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42F24" w14:paraId="106A412C" w14:textId="77777777">
      <w:pPr>
        <w:pStyle w:val="NormalWeb"/>
        <w:jc w:val="center"/>
        <w:rPr>
          <w:rFonts w:ascii="Arial" w:hAnsi="Arial" w:cs="Arial"/>
          <w:b/>
          <w:bCs/>
        </w:rPr>
      </w:pPr>
      <w:r>
        <w:rPr>
          <w:rFonts w:ascii="Arial" w:hAnsi="Arial" w:cs="Arial"/>
          <w:b/>
          <w:bCs/>
        </w:rPr>
        <w:t>Department of Transportation</w:t>
      </w:r>
    </w:p>
    <w:p w:rsidR="00F42F24" w14:paraId="5752E65C" w14:textId="77777777">
      <w:pPr>
        <w:pStyle w:val="NormalWeb"/>
        <w:jc w:val="center"/>
        <w:rPr>
          <w:rFonts w:ascii="Arial" w:hAnsi="Arial" w:cs="Arial"/>
          <w:b/>
          <w:bCs/>
        </w:rPr>
      </w:pPr>
      <w:r>
        <w:rPr>
          <w:rFonts w:ascii="Arial" w:hAnsi="Arial" w:cs="Arial"/>
          <w:b/>
          <w:bCs/>
        </w:rPr>
        <w:t>Federal Highway Administration</w:t>
      </w:r>
    </w:p>
    <w:p w:rsidR="00F42F24" w14:paraId="225C4C2A" w14:textId="1871E378">
      <w:pPr>
        <w:pStyle w:val="NormalWeb"/>
        <w:jc w:val="center"/>
        <w:rPr>
          <w:rFonts w:ascii="Arial" w:hAnsi="Arial" w:cs="Arial"/>
          <w:b/>
          <w:bCs/>
        </w:rPr>
      </w:pPr>
      <w:r>
        <w:rPr>
          <w:rFonts w:ascii="Arial" w:hAnsi="Arial" w:cs="Arial"/>
          <w:b/>
          <w:bCs/>
        </w:rPr>
        <w:t>Supporting Statement</w:t>
      </w:r>
      <w:r>
        <w:rPr>
          <w:rFonts w:ascii="Arial" w:hAnsi="Arial" w:cs="Arial"/>
          <w:b/>
          <w:bCs/>
        </w:rPr>
        <w:t xml:space="preserve"> </w:t>
      </w:r>
    </w:p>
    <w:p w:rsidR="00F42F24" w14:paraId="49E29A95" w14:textId="77777777">
      <w:pPr>
        <w:pStyle w:val="NormalWeb"/>
        <w:jc w:val="center"/>
        <w:rPr>
          <w:rFonts w:ascii="Arial" w:hAnsi="Arial" w:cs="Arial"/>
          <w:b/>
          <w:bCs/>
        </w:rPr>
      </w:pPr>
      <w:r>
        <w:rPr>
          <w:rFonts w:ascii="Arial" w:hAnsi="Arial" w:cs="Arial"/>
          <w:b/>
          <w:bCs/>
        </w:rPr>
        <w:t>Congestion Mitigation and Air Quality (CMAQ) Project Tracking System</w:t>
      </w:r>
    </w:p>
    <w:p w:rsidR="00BD1BF2" w14:paraId="1551303B" w14:textId="77777777">
      <w:pPr>
        <w:pStyle w:val="NormalWeb"/>
        <w:jc w:val="center"/>
        <w:rPr>
          <w:rFonts w:ascii="Arial" w:hAnsi="Arial" w:cs="Arial"/>
          <w:b/>
          <w:bCs/>
          <w:sz w:val="20"/>
          <w:szCs w:val="20"/>
        </w:rPr>
      </w:pPr>
      <w:r>
        <w:rPr>
          <w:rFonts w:ascii="Arial" w:hAnsi="Arial" w:cs="Arial"/>
          <w:b/>
          <w:bCs/>
        </w:rPr>
        <w:t>OMB Control No. 2125-0614</w:t>
      </w:r>
    </w:p>
    <w:p w:rsidR="00BD1BF2" w14:paraId="66B402B3" w14:textId="77777777"/>
    <w:p w:rsidR="00E47D82" w:rsidRPr="008276F9" w14:paraId="22D880DE" w14:textId="36F5543D">
      <w:pPr>
        <w:pStyle w:val="NormalWeb"/>
        <w:rPr>
          <w:rFonts w:ascii="Arial" w:hAnsi="Arial" w:cs="Arial"/>
          <w:sz w:val="20"/>
          <w:szCs w:val="20"/>
        </w:rPr>
      </w:pPr>
      <w:r>
        <w:rPr>
          <w:rFonts w:ascii="Arial" w:hAnsi="Arial" w:cs="Arial"/>
          <w:sz w:val="20"/>
          <w:szCs w:val="20"/>
          <w:u w:val="single"/>
        </w:rPr>
        <w:t>Introduction</w:t>
      </w:r>
      <w:r w:rsidRPr="008276F9">
        <w:rPr>
          <w:rFonts w:ascii="Arial" w:hAnsi="Arial" w:cs="Arial"/>
          <w:sz w:val="20"/>
          <w:szCs w:val="20"/>
        </w:rPr>
        <w:t xml:space="preserve">: </w:t>
      </w:r>
      <w:r w:rsidRPr="008276F9">
        <w:rPr>
          <w:rFonts w:ascii="Arial" w:hAnsi="Arial" w:cs="Arial"/>
          <w:sz w:val="20"/>
          <w:szCs w:val="20"/>
        </w:rPr>
        <w:t>This Supporting Statement is justification for renewal of an</w:t>
      </w:r>
      <w:r w:rsidR="00AC68B9">
        <w:rPr>
          <w:rFonts w:ascii="Arial" w:hAnsi="Arial" w:cs="Arial"/>
          <w:sz w:val="20"/>
          <w:szCs w:val="20"/>
        </w:rPr>
        <w:t xml:space="preserve"> information collection</w:t>
      </w:r>
      <w:r w:rsidRPr="008276F9">
        <w:rPr>
          <w:rFonts w:ascii="Arial" w:hAnsi="Arial" w:cs="Arial"/>
          <w:sz w:val="20"/>
          <w:szCs w:val="20"/>
        </w:rPr>
        <w:t xml:space="preserve"> </w:t>
      </w:r>
      <w:r w:rsidR="00AC68B9">
        <w:rPr>
          <w:rFonts w:ascii="Arial" w:hAnsi="Arial" w:cs="Arial"/>
          <w:sz w:val="20"/>
          <w:szCs w:val="20"/>
        </w:rPr>
        <w:t>(</w:t>
      </w:r>
      <w:r w:rsidRPr="008276F9">
        <w:rPr>
          <w:rFonts w:ascii="Arial" w:hAnsi="Arial" w:cs="Arial"/>
          <w:sz w:val="20"/>
          <w:szCs w:val="20"/>
        </w:rPr>
        <w:t>IC</w:t>
      </w:r>
      <w:r w:rsidR="00AC68B9">
        <w:rPr>
          <w:rFonts w:ascii="Arial" w:hAnsi="Arial" w:cs="Arial"/>
          <w:sz w:val="20"/>
          <w:szCs w:val="20"/>
        </w:rPr>
        <w:t>)</w:t>
      </w:r>
      <w:r w:rsidRPr="008276F9">
        <w:rPr>
          <w:rFonts w:ascii="Arial" w:hAnsi="Arial" w:cs="Arial"/>
          <w:sz w:val="20"/>
          <w:szCs w:val="20"/>
        </w:rPr>
        <w:t xml:space="preserve"> clearance for annual project reporting with the CMAQ Project Tracking System</w:t>
      </w:r>
      <w:r w:rsidR="00F42F24">
        <w:rPr>
          <w:rFonts w:ascii="Arial" w:hAnsi="Arial" w:cs="Arial"/>
          <w:sz w:val="20"/>
          <w:szCs w:val="20"/>
        </w:rPr>
        <w:t>.</w:t>
      </w:r>
    </w:p>
    <w:p w:rsidR="00BD1BF2" w14:paraId="66D49771" w14:textId="77777777">
      <w:pPr>
        <w:pStyle w:val="NormalWeb"/>
        <w:rPr>
          <w:rFonts w:ascii="Arial" w:hAnsi="Arial" w:cs="Arial"/>
          <w:sz w:val="20"/>
          <w:szCs w:val="20"/>
        </w:rPr>
      </w:pPr>
      <w:r>
        <w:rPr>
          <w:rFonts w:ascii="Arial" w:hAnsi="Arial" w:cs="Arial"/>
          <w:sz w:val="20"/>
          <w:szCs w:val="20"/>
          <w:u w:val="single"/>
        </w:rPr>
        <w:t>Part A. Justification</w:t>
      </w:r>
      <w:r>
        <w:rPr>
          <w:rFonts w:ascii="Arial" w:hAnsi="Arial" w:cs="Arial"/>
          <w:sz w:val="20"/>
          <w:szCs w:val="20"/>
        </w:rPr>
        <w:t>.</w:t>
      </w:r>
    </w:p>
    <w:p w:rsidR="00BD1BF2" w14:paraId="04C2BF3E" w14:textId="77777777">
      <w:pPr>
        <w:pStyle w:val="NormalWeb"/>
        <w:rPr>
          <w:rFonts w:ascii="Arial" w:hAnsi="Arial" w:cs="Arial"/>
          <w:sz w:val="20"/>
          <w:szCs w:val="20"/>
        </w:rPr>
      </w:pPr>
      <w:r>
        <w:rPr>
          <w:rFonts w:ascii="Arial" w:hAnsi="Arial" w:cs="Arial"/>
          <w:sz w:val="20"/>
          <w:szCs w:val="20"/>
        </w:rPr>
        <w:t xml:space="preserve">1. </w:t>
      </w:r>
      <w:r>
        <w:rPr>
          <w:rFonts w:ascii="Arial" w:hAnsi="Arial" w:cs="Arial"/>
          <w:sz w:val="20"/>
          <w:szCs w:val="20"/>
          <w:u w:val="single"/>
        </w:rPr>
        <w:t>Circumstances that make collection of information necessary</w:t>
      </w:r>
      <w:r>
        <w:rPr>
          <w:rFonts w:ascii="Arial" w:hAnsi="Arial" w:cs="Arial"/>
          <w:sz w:val="20"/>
          <w:szCs w:val="20"/>
        </w:rPr>
        <w:t>:</w:t>
      </w:r>
    </w:p>
    <w:p w:rsidR="00BD1BF2" w:rsidRPr="008276F9" w14:paraId="3E2F644C" w14:textId="51095DC4">
      <w:pPr>
        <w:rPr>
          <w:rFonts w:ascii="Arial" w:hAnsi="Arial" w:cs="Arial"/>
          <w:sz w:val="20"/>
          <w:szCs w:val="20"/>
        </w:rPr>
      </w:pPr>
      <w:r w:rsidRPr="008276F9">
        <w:rPr>
          <w:rFonts w:ascii="Arial" w:hAnsi="Arial" w:cs="Arial"/>
          <w:sz w:val="20"/>
          <w:szCs w:val="20"/>
        </w:rPr>
        <w:t>The development and maintenance of a cumulative database of all CMAQ projects is required by 23 U.S.C. 149(i)(1). This database must include specific information about each project such as name, location, sponsor, cost, and to the extent already measured by the project sponsor, cost-effectiveness based on reductions in emissions and congestion.  States provide annual reports on all CMAQ obligations and deobligations taking place in each fiscal year. These reports include obligations of program funds; descriptions of individual projects; and potential impacts on air quality and congestion.</w:t>
      </w:r>
      <w:r w:rsidRPr="008276F9" w:rsidR="0048250F">
        <w:rPr>
          <w:rFonts w:ascii="Arial" w:hAnsi="Arial" w:cs="Arial"/>
          <w:sz w:val="20"/>
          <w:szCs w:val="20"/>
        </w:rPr>
        <w:t xml:space="preserve">  </w:t>
      </w:r>
      <w:r w:rsidR="00F9561B">
        <w:rPr>
          <w:rFonts w:ascii="Arial" w:hAnsi="Arial" w:cs="Arial"/>
          <w:sz w:val="20"/>
          <w:szCs w:val="20"/>
        </w:rPr>
        <w:t xml:space="preserve">This </w:t>
      </w:r>
      <w:r w:rsidRPr="008276F9" w:rsidR="0048250F">
        <w:rPr>
          <w:rFonts w:ascii="Arial" w:hAnsi="Arial" w:cs="Arial"/>
          <w:sz w:val="20"/>
          <w:szCs w:val="20"/>
        </w:rPr>
        <w:t xml:space="preserve">CMAQ Project IC serves to demonstrate the Program’s support of </w:t>
      </w:r>
      <w:r w:rsidR="00F9561B">
        <w:rPr>
          <w:rFonts w:ascii="Arial" w:hAnsi="Arial" w:cs="Arial"/>
          <w:sz w:val="20"/>
          <w:szCs w:val="20"/>
        </w:rPr>
        <w:t>Department of Transportation (</w:t>
      </w:r>
      <w:r w:rsidRPr="008276F9" w:rsidR="0048250F">
        <w:rPr>
          <w:rFonts w:ascii="Arial" w:hAnsi="Arial" w:cs="Arial"/>
          <w:sz w:val="20"/>
          <w:szCs w:val="20"/>
        </w:rPr>
        <w:t>DOT</w:t>
      </w:r>
      <w:r w:rsidR="00F9561B">
        <w:rPr>
          <w:rFonts w:ascii="Arial" w:hAnsi="Arial" w:cs="Arial"/>
          <w:sz w:val="20"/>
          <w:szCs w:val="20"/>
        </w:rPr>
        <w:t>)</w:t>
      </w:r>
      <w:r w:rsidRPr="008276F9" w:rsidR="0048250F">
        <w:rPr>
          <w:rFonts w:ascii="Arial" w:hAnsi="Arial" w:cs="Arial"/>
          <w:sz w:val="20"/>
          <w:szCs w:val="20"/>
        </w:rPr>
        <w:t xml:space="preserve"> Strategic Goals</w:t>
      </w:r>
      <w:r w:rsidR="008276F9">
        <w:rPr>
          <w:rFonts w:ascii="Arial" w:hAnsi="Arial" w:cs="Arial"/>
          <w:sz w:val="20"/>
          <w:szCs w:val="20"/>
        </w:rPr>
        <w:t>,</w:t>
      </w:r>
      <w:r w:rsidRPr="008276F9" w:rsidR="0048250F">
        <w:rPr>
          <w:rFonts w:ascii="Arial" w:hAnsi="Arial" w:cs="Arial"/>
          <w:sz w:val="20"/>
          <w:szCs w:val="20"/>
        </w:rPr>
        <w:t xml:space="preserve"> </w:t>
      </w:r>
      <w:r w:rsidRPr="008276F9" w:rsidR="00F42F24">
        <w:rPr>
          <w:rFonts w:ascii="Arial" w:hAnsi="Arial" w:cs="Arial"/>
          <w:sz w:val="20"/>
          <w:szCs w:val="20"/>
        </w:rPr>
        <w:t>including</w:t>
      </w:r>
      <w:r w:rsidRPr="008276F9" w:rsidR="0048250F">
        <w:rPr>
          <w:rFonts w:ascii="Arial" w:hAnsi="Arial" w:cs="Arial"/>
          <w:sz w:val="20"/>
          <w:szCs w:val="20"/>
        </w:rPr>
        <w:t xml:space="preserve"> Safety</w:t>
      </w:r>
      <w:r w:rsidR="00F9561B">
        <w:rPr>
          <w:rFonts w:ascii="Arial" w:hAnsi="Arial" w:cs="Arial"/>
          <w:sz w:val="20"/>
          <w:szCs w:val="20"/>
        </w:rPr>
        <w:t xml:space="preserve"> and</w:t>
      </w:r>
      <w:r w:rsidRPr="008276F9" w:rsidR="00F9561B">
        <w:rPr>
          <w:rFonts w:ascii="Arial" w:hAnsi="Arial" w:cs="Arial"/>
          <w:sz w:val="20"/>
          <w:szCs w:val="20"/>
        </w:rPr>
        <w:t xml:space="preserve"> </w:t>
      </w:r>
      <w:r w:rsidRPr="008276F9" w:rsidR="0048250F">
        <w:rPr>
          <w:rFonts w:ascii="Arial" w:hAnsi="Arial" w:cs="Arial"/>
          <w:sz w:val="20"/>
          <w:szCs w:val="20"/>
        </w:rPr>
        <w:t xml:space="preserve">Economic </w:t>
      </w:r>
      <w:r w:rsidR="00F9561B">
        <w:rPr>
          <w:rFonts w:ascii="Arial" w:hAnsi="Arial" w:cs="Arial"/>
          <w:sz w:val="20"/>
          <w:szCs w:val="20"/>
        </w:rPr>
        <w:t>Strength and Global Competitiveness</w:t>
      </w:r>
      <w:r w:rsidRPr="008276F9" w:rsidR="0048250F">
        <w:rPr>
          <w:rFonts w:ascii="Arial" w:hAnsi="Arial" w:cs="Arial"/>
          <w:sz w:val="20"/>
          <w:szCs w:val="20"/>
        </w:rPr>
        <w:t xml:space="preserve">.  </w:t>
      </w:r>
      <w:r w:rsidRPr="008276F9" w:rsidR="0048250F">
        <w:rPr>
          <w:rFonts w:ascii="Arial" w:hAnsi="Arial" w:cs="Arial"/>
          <w:bCs/>
          <w:sz w:val="20"/>
          <w:szCs w:val="20"/>
        </w:rPr>
        <w:t>The CMAQ program provides funding for projects that improve air quality, providing cleaner air and a healthier environment in areas with air quality challenges;</w:t>
      </w:r>
      <w:r w:rsidRPr="008276F9" w:rsidR="0048250F">
        <w:rPr>
          <w:rFonts w:ascii="Arial" w:hAnsi="Arial" w:cs="Arial"/>
          <w:sz w:val="20"/>
          <w:szCs w:val="20"/>
        </w:rPr>
        <w:t xml:space="preserve"> </w:t>
      </w:r>
      <w:r w:rsidRPr="008276F9" w:rsidR="00F42F24">
        <w:rPr>
          <w:rFonts w:ascii="Arial" w:hAnsi="Arial" w:cs="Arial"/>
          <w:sz w:val="20"/>
          <w:szCs w:val="20"/>
        </w:rPr>
        <w:t>and</w:t>
      </w:r>
      <w:r w:rsidRPr="008276F9" w:rsidR="0048250F">
        <w:rPr>
          <w:rFonts w:ascii="Arial" w:hAnsi="Arial" w:cs="Arial"/>
          <w:sz w:val="20"/>
          <w:szCs w:val="20"/>
        </w:rPr>
        <w:t xml:space="preserve"> provides congestion relief, improving traffic flow and mobility, increased safety for the driving public</w:t>
      </w:r>
      <w:r w:rsidRPr="008276F9" w:rsidR="0030674A">
        <w:rPr>
          <w:rFonts w:ascii="Arial" w:hAnsi="Arial" w:cs="Arial"/>
          <w:sz w:val="20"/>
          <w:szCs w:val="20"/>
        </w:rPr>
        <w:t xml:space="preserve"> and reducing lost personal time, delivery delays, thus providing for increased economic growth and well-being.</w:t>
      </w:r>
    </w:p>
    <w:p w:rsidR="00BD1BF2" w14:paraId="3B2788FB" w14:textId="77777777">
      <w:pPr>
        <w:pStyle w:val="NormalWeb"/>
        <w:rPr>
          <w:rFonts w:ascii="Arial" w:hAnsi="Arial" w:cs="Arial"/>
          <w:sz w:val="20"/>
          <w:szCs w:val="20"/>
        </w:rPr>
      </w:pPr>
      <w:r>
        <w:rPr>
          <w:rFonts w:ascii="Arial" w:hAnsi="Arial" w:cs="Arial"/>
          <w:sz w:val="20"/>
          <w:szCs w:val="20"/>
        </w:rPr>
        <w:t xml:space="preserve">2. </w:t>
      </w:r>
      <w:r>
        <w:rPr>
          <w:rFonts w:ascii="Arial" w:hAnsi="Arial" w:cs="Arial"/>
          <w:sz w:val="20"/>
          <w:szCs w:val="20"/>
          <w:u w:val="single"/>
        </w:rPr>
        <w:t>How, by whom, and for what purpose is the information used</w:t>
      </w:r>
      <w:r>
        <w:rPr>
          <w:rFonts w:ascii="Arial" w:hAnsi="Arial" w:cs="Arial"/>
          <w:sz w:val="20"/>
          <w:szCs w:val="20"/>
        </w:rPr>
        <w:t>:</w:t>
      </w:r>
    </w:p>
    <w:p w:rsidR="00E47D82" w:rsidRPr="008276F9" w14:paraId="76BEE90F" w14:textId="4BA27C22">
      <w:pPr>
        <w:pStyle w:val="NormalWeb"/>
        <w:rPr>
          <w:rFonts w:ascii="Arial" w:hAnsi="Arial" w:cs="Arial"/>
          <w:sz w:val="20"/>
          <w:szCs w:val="20"/>
        </w:rPr>
      </w:pPr>
      <w:r w:rsidRPr="008276F9">
        <w:rPr>
          <w:rFonts w:ascii="Arial" w:hAnsi="Arial" w:cs="Arial"/>
          <w:sz w:val="20"/>
          <w:szCs w:val="20"/>
        </w:rPr>
        <w:t>Information provided in the CMAQ project reporting system</w:t>
      </w:r>
      <w:r w:rsidRPr="008276F9" w:rsidR="00387F7E">
        <w:rPr>
          <w:rFonts w:ascii="Arial" w:hAnsi="Arial" w:cs="Arial"/>
          <w:sz w:val="20"/>
          <w:szCs w:val="20"/>
        </w:rPr>
        <w:t>, compiled in various forms,</w:t>
      </w:r>
      <w:r w:rsidRPr="008276F9">
        <w:rPr>
          <w:rFonts w:ascii="Arial" w:hAnsi="Arial" w:cs="Arial"/>
          <w:sz w:val="20"/>
          <w:szCs w:val="20"/>
        </w:rPr>
        <w:t xml:space="preserve"> is useful </w:t>
      </w:r>
      <w:r w:rsidRPr="008276F9" w:rsidR="00387F7E">
        <w:rPr>
          <w:rFonts w:ascii="Arial" w:hAnsi="Arial" w:cs="Arial"/>
          <w:sz w:val="20"/>
          <w:szCs w:val="20"/>
        </w:rPr>
        <w:t>to</w:t>
      </w:r>
      <w:r w:rsidRPr="008276F9">
        <w:rPr>
          <w:rFonts w:ascii="Arial" w:hAnsi="Arial" w:cs="Arial"/>
          <w:sz w:val="20"/>
          <w:szCs w:val="20"/>
        </w:rPr>
        <w:t xml:space="preserve"> FHWA and FTA</w:t>
      </w:r>
      <w:r w:rsidRPr="008276F9" w:rsidR="00387F7E">
        <w:rPr>
          <w:rFonts w:ascii="Arial" w:hAnsi="Arial" w:cs="Arial"/>
          <w:sz w:val="20"/>
          <w:szCs w:val="20"/>
        </w:rPr>
        <w:t xml:space="preserve"> Program staff for</w:t>
      </w:r>
      <w:r w:rsidRPr="008276F9">
        <w:rPr>
          <w:rFonts w:ascii="Arial" w:hAnsi="Arial" w:cs="Arial"/>
          <w:sz w:val="20"/>
          <w:szCs w:val="20"/>
        </w:rPr>
        <w:t xml:space="preserve"> planning purposes, reports to U.S. Congress</w:t>
      </w:r>
      <w:r w:rsidRPr="008276F9" w:rsidR="00387F7E">
        <w:rPr>
          <w:rFonts w:ascii="Arial" w:hAnsi="Arial" w:cs="Arial"/>
          <w:sz w:val="20"/>
          <w:szCs w:val="20"/>
        </w:rPr>
        <w:t xml:space="preserve">ional inquiries, budget justifications, </w:t>
      </w:r>
      <w:r w:rsidR="00112F0C">
        <w:rPr>
          <w:rFonts w:ascii="Arial" w:hAnsi="Arial" w:cs="Arial"/>
          <w:sz w:val="20"/>
          <w:szCs w:val="20"/>
        </w:rPr>
        <w:t xml:space="preserve">and </w:t>
      </w:r>
      <w:r w:rsidRPr="008276F9" w:rsidR="00387F7E">
        <w:rPr>
          <w:rFonts w:ascii="Arial" w:hAnsi="Arial" w:cs="Arial"/>
          <w:sz w:val="20"/>
          <w:szCs w:val="20"/>
        </w:rPr>
        <w:t xml:space="preserve">annual reporting. </w:t>
      </w:r>
      <w:r w:rsidRPr="008276F9">
        <w:rPr>
          <w:rFonts w:ascii="Arial" w:hAnsi="Arial" w:cs="Arial"/>
          <w:sz w:val="20"/>
          <w:szCs w:val="20"/>
        </w:rPr>
        <w:t>The database is also the official data source for reporting on CMAQ emission measure performance under the transportation performance management requirements in 23 CFR part 490</w:t>
      </w:r>
      <w:r w:rsidR="00F42F24">
        <w:rPr>
          <w:rFonts w:ascii="Arial" w:hAnsi="Arial" w:cs="Arial"/>
          <w:sz w:val="20"/>
          <w:szCs w:val="20"/>
        </w:rPr>
        <w:t>.</w:t>
      </w:r>
    </w:p>
    <w:p w:rsidR="00BD1BF2" w14:paraId="14FFE986" w14:textId="77777777">
      <w:pPr>
        <w:pStyle w:val="NormalWeb"/>
        <w:rPr>
          <w:rFonts w:ascii="Arial" w:hAnsi="Arial" w:cs="Arial"/>
          <w:sz w:val="20"/>
          <w:szCs w:val="20"/>
        </w:rPr>
      </w:pPr>
      <w:r>
        <w:rPr>
          <w:rFonts w:ascii="Arial" w:hAnsi="Arial" w:cs="Arial"/>
          <w:sz w:val="20"/>
          <w:szCs w:val="20"/>
        </w:rPr>
        <w:t xml:space="preserve">3. </w:t>
      </w:r>
      <w:r>
        <w:rPr>
          <w:rFonts w:ascii="Arial" w:hAnsi="Arial" w:cs="Arial"/>
          <w:sz w:val="20"/>
          <w:szCs w:val="20"/>
          <w:u w:val="single"/>
        </w:rPr>
        <w:t>Extent of automated information collection</w:t>
      </w:r>
      <w:r>
        <w:rPr>
          <w:rFonts w:ascii="Arial" w:hAnsi="Arial" w:cs="Arial"/>
          <w:sz w:val="20"/>
          <w:szCs w:val="20"/>
        </w:rPr>
        <w:t>:</w:t>
      </w:r>
    </w:p>
    <w:p w:rsidR="0030674A" w:rsidRPr="008276F9" w:rsidP="0030674A" w14:paraId="38AE83EF" w14:textId="77777777">
      <w:pPr>
        <w:rPr>
          <w:rFonts w:ascii="Arial" w:hAnsi="Arial" w:cs="Arial"/>
          <w:sz w:val="20"/>
          <w:szCs w:val="20"/>
        </w:rPr>
      </w:pPr>
      <w:r w:rsidRPr="008276F9">
        <w:rPr>
          <w:rFonts w:ascii="Arial" w:hAnsi="Arial" w:cs="Arial"/>
          <w:sz w:val="20"/>
          <w:szCs w:val="20"/>
        </w:rPr>
        <w:t>IC for the CMAQ Program is completely automated through a secure electronic data collection system.  This system is further protected by FHWA’s proprietary User Profile and Access Control System as a firewall allowing controlled System entry to selected data entry stakeholders.  Project records collected through this system represent the comprehensive history of CMAQ Program</w:t>
      </w:r>
      <w:r w:rsidRPr="008276F9" w:rsidR="009B3C67">
        <w:rPr>
          <w:rFonts w:ascii="Arial" w:hAnsi="Arial" w:cs="Arial"/>
          <w:sz w:val="20"/>
          <w:szCs w:val="20"/>
        </w:rPr>
        <w:t>’s</w:t>
      </w:r>
      <w:r w:rsidRPr="008276F9">
        <w:rPr>
          <w:rFonts w:ascii="Arial" w:hAnsi="Arial" w:cs="Arial"/>
          <w:sz w:val="20"/>
          <w:szCs w:val="20"/>
        </w:rPr>
        <w:t xml:space="preserve"> </w:t>
      </w:r>
      <w:r w:rsidRPr="008276F9" w:rsidR="009B3C67">
        <w:rPr>
          <w:rFonts w:ascii="Arial" w:hAnsi="Arial" w:cs="Arial"/>
          <w:sz w:val="20"/>
          <w:szCs w:val="20"/>
        </w:rPr>
        <w:t xml:space="preserve">obligations </w:t>
      </w:r>
      <w:r w:rsidRPr="008276F9">
        <w:rPr>
          <w:rFonts w:ascii="Arial" w:hAnsi="Arial" w:cs="Arial"/>
          <w:sz w:val="20"/>
          <w:szCs w:val="20"/>
        </w:rPr>
        <w:t xml:space="preserve">since </w:t>
      </w:r>
      <w:r w:rsidRPr="008276F9" w:rsidR="009B3C67">
        <w:rPr>
          <w:rFonts w:ascii="Arial" w:hAnsi="Arial" w:cs="Arial"/>
          <w:sz w:val="20"/>
          <w:szCs w:val="20"/>
        </w:rPr>
        <w:t>its inception in 1992.</w:t>
      </w:r>
    </w:p>
    <w:p w:rsidR="00BD1BF2" w14:paraId="1A0841E4" w14:textId="77777777">
      <w:pPr>
        <w:pStyle w:val="NormalWeb"/>
        <w:rPr>
          <w:rFonts w:ascii="Arial" w:hAnsi="Arial" w:cs="Arial"/>
          <w:sz w:val="20"/>
          <w:szCs w:val="20"/>
        </w:rPr>
      </w:pPr>
      <w:r>
        <w:rPr>
          <w:rFonts w:ascii="Arial" w:hAnsi="Arial" w:cs="Arial"/>
          <w:sz w:val="20"/>
          <w:szCs w:val="20"/>
        </w:rPr>
        <w:t xml:space="preserve">4. </w:t>
      </w:r>
      <w:r>
        <w:rPr>
          <w:rFonts w:ascii="Arial" w:hAnsi="Arial" w:cs="Arial"/>
          <w:sz w:val="20"/>
          <w:szCs w:val="20"/>
          <w:u w:val="single"/>
        </w:rPr>
        <w:t>Efforts to identify duplication</w:t>
      </w:r>
      <w:r>
        <w:rPr>
          <w:rFonts w:ascii="Arial" w:hAnsi="Arial" w:cs="Arial"/>
          <w:sz w:val="20"/>
          <w:szCs w:val="20"/>
        </w:rPr>
        <w:t>:</w:t>
      </w:r>
    </w:p>
    <w:p w:rsidR="009B3C67" w:rsidP="00222D06" w14:paraId="49D4880B" w14:textId="694AC8B6">
      <w:r w:rsidRPr="008276F9">
        <w:rPr>
          <w:rFonts w:ascii="Arial" w:hAnsi="Arial" w:cs="Arial"/>
          <w:sz w:val="20"/>
          <w:szCs w:val="20"/>
        </w:rPr>
        <w:t>There is no duplicate information.</w:t>
      </w:r>
    </w:p>
    <w:p w:rsidR="00BD1BF2" w14:paraId="7973DB05" w14:textId="77777777">
      <w:pPr>
        <w:pStyle w:val="NormalWeb"/>
        <w:rPr>
          <w:rFonts w:ascii="Arial" w:hAnsi="Arial" w:cs="Arial"/>
          <w:sz w:val="20"/>
          <w:szCs w:val="20"/>
        </w:rPr>
      </w:pPr>
      <w:r>
        <w:rPr>
          <w:rFonts w:ascii="Arial" w:hAnsi="Arial" w:cs="Arial"/>
          <w:sz w:val="20"/>
          <w:szCs w:val="20"/>
        </w:rPr>
        <w:t xml:space="preserve">5. </w:t>
      </w:r>
      <w:r>
        <w:rPr>
          <w:rFonts w:ascii="Arial" w:hAnsi="Arial" w:cs="Arial"/>
          <w:sz w:val="20"/>
          <w:szCs w:val="20"/>
          <w:u w:val="single"/>
        </w:rPr>
        <w:t>Efforts to minimize the burden on small businesses</w:t>
      </w:r>
      <w:r>
        <w:rPr>
          <w:rFonts w:ascii="Arial" w:hAnsi="Arial" w:cs="Arial"/>
          <w:sz w:val="20"/>
          <w:szCs w:val="20"/>
        </w:rPr>
        <w:t>:</w:t>
      </w:r>
    </w:p>
    <w:p w:rsidR="00BD1BF2" w:rsidRPr="008276F9" w14:paraId="6CA64487" w14:textId="77777777">
      <w:pPr>
        <w:rPr>
          <w:rFonts w:ascii="Arial" w:hAnsi="Arial" w:cs="Arial"/>
          <w:sz w:val="20"/>
          <w:szCs w:val="20"/>
        </w:rPr>
      </w:pPr>
      <w:r w:rsidRPr="008276F9">
        <w:rPr>
          <w:rFonts w:ascii="Arial" w:hAnsi="Arial" w:cs="Arial"/>
          <w:sz w:val="20"/>
          <w:szCs w:val="20"/>
        </w:rPr>
        <w:t>There is no burden on small business.</w:t>
      </w:r>
    </w:p>
    <w:p w:rsidR="00BD1BF2" w14:paraId="419FD6AB" w14:textId="77777777">
      <w:pPr>
        <w:pStyle w:val="NormalWeb"/>
        <w:rPr>
          <w:rFonts w:ascii="Arial" w:hAnsi="Arial" w:cs="Arial"/>
          <w:sz w:val="20"/>
          <w:szCs w:val="20"/>
        </w:rPr>
      </w:pPr>
      <w:r>
        <w:rPr>
          <w:rFonts w:ascii="Arial" w:hAnsi="Arial" w:cs="Arial"/>
          <w:sz w:val="20"/>
          <w:szCs w:val="20"/>
        </w:rPr>
        <w:t xml:space="preserve">6. </w:t>
      </w:r>
      <w:r>
        <w:rPr>
          <w:rFonts w:ascii="Arial" w:hAnsi="Arial" w:cs="Arial"/>
          <w:sz w:val="20"/>
          <w:szCs w:val="20"/>
          <w:u w:val="single"/>
        </w:rPr>
        <w:t>Impact of less frequent collection of information</w:t>
      </w:r>
      <w:r>
        <w:rPr>
          <w:rFonts w:ascii="Arial" w:hAnsi="Arial" w:cs="Arial"/>
          <w:sz w:val="20"/>
          <w:szCs w:val="20"/>
        </w:rPr>
        <w:t>:</w:t>
      </w:r>
    </w:p>
    <w:p w:rsidR="00BD1BF2" w14:paraId="2BFB400E" w14:textId="30735B6C">
      <w:pPr>
        <w:rPr>
          <w:rFonts w:ascii="Arial" w:hAnsi="Arial" w:cs="Arial"/>
          <w:color w:val="FF0000"/>
          <w:sz w:val="20"/>
          <w:szCs w:val="20"/>
        </w:rPr>
      </w:pPr>
      <w:r w:rsidRPr="008276F9">
        <w:rPr>
          <w:rFonts w:ascii="Arial" w:hAnsi="Arial" w:cs="Arial"/>
          <w:sz w:val="20"/>
          <w:szCs w:val="20"/>
        </w:rPr>
        <w:t xml:space="preserve">Less frequent data collection would </w:t>
      </w:r>
      <w:r w:rsidR="00112F0C">
        <w:rPr>
          <w:rFonts w:ascii="Arial" w:hAnsi="Arial" w:cs="Arial"/>
          <w:sz w:val="20"/>
          <w:szCs w:val="20"/>
        </w:rPr>
        <w:t xml:space="preserve">not meet the intent of the statutory authority for collecting this </w:t>
      </w:r>
      <w:r w:rsidRPr="001376DF" w:rsidR="00112F0C">
        <w:rPr>
          <w:rFonts w:ascii="Arial" w:hAnsi="Arial" w:cs="Arial"/>
          <w:sz w:val="20"/>
          <w:szCs w:val="20"/>
        </w:rPr>
        <w:t>information</w:t>
      </w:r>
      <w:r w:rsidRPr="001376DF" w:rsidR="008F6C2D">
        <w:rPr>
          <w:rFonts w:ascii="Arial" w:hAnsi="Arial" w:cs="Arial"/>
          <w:sz w:val="20"/>
          <w:szCs w:val="20"/>
        </w:rPr>
        <w:t xml:space="preserve"> </w:t>
      </w:r>
      <w:r w:rsidRPr="001376DF">
        <w:rPr>
          <w:rFonts w:ascii="Arial" w:hAnsi="Arial" w:cs="Arial"/>
          <w:sz w:val="20"/>
          <w:szCs w:val="20"/>
        </w:rPr>
        <w:t>and invalidate the current comprehensive content of CMAQ Project information.</w:t>
      </w:r>
      <w:r w:rsidRPr="001376DF" w:rsidR="00112F0C">
        <w:rPr>
          <w:rFonts w:ascii="Arial" w:hAnsi="Arial" w:cs="Arial"/>
          <w:sz w:val="20"/>
          <w:szCs w:val="20"/>
        </w:rPr>
        <w:t xml:space="preserve"> It would also prevent FHWA, States, and Metropolitan Planning Organizations from carrying out transportation performance management reporting responsibilities required under 23 U.S.C. 150 and 23 CFR part 490.</w:t>
      </w:r>
    </w:p>
    <w:p w:rsidR="00BD1BF2" w14:paraId="60D51C12" w14:textId="77777777">
      <w:pPr>
        <w:pStyle w:val="NormalWeb"/>
        <w:rPr>
          <w:rFonts w:ascii="Arial" w:hAnsi="Arial" w:cs="Arial"/>
          <w:sz w:val="20"/>
          <w:szCs w:val="20"/>
        </w:rPr>
      </w:pPr>
      <w:r>
        <w:rPr>
          <w:rFonts w:ascii="Arial" w:hAnsi="Arial" w:cs="Arial"/>
          <w:sz w:val="20"/>
          <w:szCs w:val="20"/>
        </w:rPr>
        <w:t xml:space="preserve">7. </w:t>
      </w:r>
      <w:r>
        <w:rPr>
          <w:rFonts w:ascii="Arial" w:hAnsi="Arial" w:cs="Arial"/>
          <w:sz w:val="20"/>
          <w:szCs w:val="20"/>
          <w:u w:val="single"/>
        </w:rPr>
        <w:t>Special circumstances</w:t>
      </w:r>
      <w:r>
        <w:rPr>
          <w:rFonts w:ascii="Arial" w:hAnsi="Arial" w:cs="Arial"/>
          <w:sz w:val="20"/>
          <w:szCs w:val="20"/>
        </w:rPr>
        <w:t>:</w:t>
      </w:r>
    </w:p>
    <w:p w:rsidR="00BD1BF2" w:rsidRPr="00607CC2" w14:paraId="6AA2C736" w14:textId="77777777">
      <w:pPr>
        <w:pStyle w:val="BodyText"/>
        <w:rPr>
          <w:color w:val="000000"/>
        </w:rPr>
      </w:pPr>
      <w:r w:rsidRPr="00607CC2">
        <w:rPr>
          <w:color w:val="000000"/>
        </w:rPr>
        <w:t>N</w:t>
      </w:r>
      <w:r w:rsidR="00F42F24">
        <w:rPr>
          <w:color w:val="000000"/>
        </w:rPr>
        <w:t>ot Applicable.</w:t>
      </w:r>
    </w:p>
    <w:p w:rsidR="00BD1BF2" w14:paraId="01C1594F" w14:textId="77777777">
      <w:pPr>
        <w:pStyle w:val="NormalWeb"/>
        <w:rPr>
          <w:rFonts w:ascii="Arial" w:hAnsi="Arial" w:cs="Arial"/>
          <w:sz w:val="20"/>
          <w:szCs w:val="20"/>
        </w:rPr>
      </w:pPr>
      <w:r>
        <w:rPr>
          <w:rFonts w:ascii="Arial" w:hAnsi="Arial" w:cs="Arial"/>
          <w:sz w:val="20"/>
          <w:szCs w:val="20"/>
        </w:rPr>
        <w:t xml:space="preserve">8. </w:t>
      </w:r>
      <w:r>
        <w:rPr>
          <w:rFonts w:ascii="Arial" w:hAnsi="Arial" w:cs="Arial"/>
          <w:sz w:val="20"/>
          <w:szCs w:val="20"/>
          <w:u w:val="single"/>
        </w:rPr>
        <w:t>Compliance with 5 CFR 1320.8</w:t>
      </w:r>
      <w:r>
        <w:rPr>
          <w:rFonts w:ascii="Arial" w:hAnsi="Arial" w:cs="Arial"/>
          <w:sz w:val="20"/>
          <w:szCs w:val="20"/>
        </w:rPr>
        <w:t>:</w:t>
      </w:r>
    </w:p>
    <w:p w:rsidR="00BD1BF2" w:rsidRPr="004244C0" w14:paraId="718BD462" w14:textId="368D5668">
      <w:pPr>
        <w:pStyle w:val="BodyText"/>
        <w:rPr>
          <w:color w:val="000000" w:themeColor="text1"/>
        </w:rPr>
      </w:pPr>
      <w:r w:rsidRPr="006902B5">
        <w:rPr>
          <w:color w:val="auto"/>
        </w:rPr>
        <w:t xml:space="preserve">FHWA has issued the 60-day notice to the Federal Register requesting comments from the public on December 10, 2024, at [89 FR 99323]. </w:t>
      </w:r>
      <w:bookmarkStart w:id="0" w:name="_Hlk190154868"/>
      <w:r w:rsidRPr="006902B5">
        <w:rPr>
          <w:color w:val="auto"/>
        </w:rPr>
        <w:t>There was one comment received that was not relevant or applicable to this prog</w:t>
      </w:r>
      <w:r w:rsidR="00662A62">
        <w:rPr>
          <w:color w:val="auto"/>
        </w:rPr>
        <w:t>ram</w:t>
      </w:r>
      <w:r w:rsidR="004A0CE6">
        <w:rPr>
          <w:color w:val="auto"/>
        </w:rPr>
        <w:t xml:space="preserve">. </w:t>
      </w:r>
      <w:r w:rsidRPr="004244C0" w:rsidR="004A0CE6">
        <w:rPr>
          <w:color w:val="000000" w:themeColor="text1"/>
        </w:rPr>
        <w:t>The</w:t>
      </w:r>
      <w:r w:rsidRPr="004244C0" w:rsidR="00662A62">
        <w:rPr>
          <w:color w:val="000000" w:themeColor="text1"/>
        </w:rPr>
        <w:t xml:space="preserve"> comment was classified as malicious activity and potential malware for data exfiltration</w:t>
      </w:r>
      <w:r w:rsidRPr="004244C0" w:rsidR="00176539">
        <w:rPr>
          <w:color w:val="000000" w:themeColor="text1"/>
        </w:rPr>
        <w:t>.</w:t>
      </w:r>
    </w:p>
    <w:bookmarkEnd w:id="0"/>
    <w:p w:rsidR="00F42F24" w:rsidRPr="006902B5" w14:paraId="1C5FA5A6" w14:textId="77777777">
      <w:pPr>
        <w:pStyle w:val="BodyText"/>
        <w:rPr>
          <w:color w:val="auto"/>
        </w:rPr>
      </w:pPr>
    </w:p>
    <w:p w:rsidR="00F42F24" w:rsidRPr="006902B5" w14:paraId="1C628708" w14:textId="62527604">
      <w:pPr>
        <w:pStyle w:val="BodyText"/>
        <w:rPr>
          <w:color w:val="auto"/>
        </w:rPr>
      </w:pPr>
      <w:r w:rsidRPr="006902B5">
        <w:rPr>
          <w:color w:val="auto"/>
        </w:rPr>
        <w:t>FHWA issued the 30-day notice to the Federal Register notifying the public this information collection will be submitted to OMB for review and approval on</w:t>
      </w:r>
      <w:r w:rsidR="004D0771">
        <w:rPr>
          <w:color w:val="auto"/>
        </w:rPr>
        <w:t xml:space="preserve"> May 2, 2025, at [90 FR 18889]</w:t>
      </w:r>
      <w:r w:rsidRPr="006902B5">
        <w:rPr>
          <w:color w:val="auto"/>
        </w:rPr>
        <w:t>.</w:t>
      </w:r>
    </w:p>
    <w:p w:rsidR="008276F9" w14:paraId="0AE2FA74" w14:textId="77777777">
      <w:pPr>
        <w:pStyle w:val="BodyText"/>
      </w:pPr>
    </w:p>
    <w:p w:rsidR="00BD1BF2" w14:paraId="40AEDEA0" w14:textId="77777777">
      <w:pPr>
        <w:pStyle w:val="NormalWeb"/>
        <w:rPr>
          <w:rFonts w:ascii="Arial" w:hAnsi="Arial" w:cs="Arial"/>
          <w:sz w:val="20"/>
          <w:szCs w:val="20"/>
        </w:rPr>
      </w:pPr>
      <w:r>
        <w:rPr>
          <w:rFonts w:ascii="Arial" w:hAnsi="Arial" w:cs="Arial"/>
          <w:sz w:val="20"/>
          <w:szCs w:val="20"/>
        </w:rPr>
        <w:t xml:space="preserve">9. </w:t>
      </w:r>
      <w:r>
        <w:rPr>
          <w:rFonts w:ascii="Arial" w:hAnsi="Arial" w:cs="Arial"/>
          <w:sz w:val="20"/>
          <w:szCs w:val="20"/>
          <w:u w:val="single"/>
        </w:rPr>
        <w:t>Payments or gifts to respondents</w:t>
      </w:r>
      <w:r>
        <w:rPr>
          <w:rFonts w:ascii="Arial" w:hAnsi="Arial" w:cs="Arial"/>
          <w:sz w:val="20"/>
          <w:szCs w:val="20"/>
        </w:rPr>
        <w:t>:</w:t>
      </w:r>
    </w:p>
    <w:p w:rsidR="00BD1BF2" w:rsidRPr="008276F9" w14:paraId="0F9F7998" w14:textId="77777777">
      <w:pPr>
        <w:pStyle w:val="BodyText"/>
        <w:rPr>
          <w:color w:val="auto"/>
        </w:rPr>
      </w:pPr>
      <w:r w:rsidRPr="008276F9">
        <w:rPr>
          <w:color w:val="auto"/>
        </w:rPr>
        <w:t>No payments or gifts are involved in this IC process.</w:t>
      </w:r>
    </w:p>
    <w:p w:rsidR="00BD1BF2" w14:paraId="74086B0C" w14:textId="77777777">
      <w:pPr>
        <w:pStyle w:val="NormalWeb"/>
        <w:rPr>
          <w:rFonts w:ascii="Arial" w:hAnsi="Arial" w:cs="Arial"/>
          <w:sz w:val="20"/>
          <w:szCs w:val="20"/>
        </w:rPr>
      </w:pPr>
      <w:r>
        <w:rPr>
          <w:rFonts w:ascii="Arial" w:hAnsi="Arial" w:cs="Arial"/>
          <w:sz w:val="20"/>
          <w:szCs w:val="20"/>
        </w:rPr>
        <w:t xml:space="preserve">10. </w:t>
      </w:r>
      <w:r>
        <w:rPr>
          <w:rFonts w:ascii="Arial" w:hAnsi="Arial" w:cs="Arial"/>
          <w:sz w:val="20"/>
          <w:szCs w:val="20"/>
          <w:u w:val="single"/>
        </w:rPr>
        <w:t>Assurance of confidentiality</w:t>
      </w:r>
      <w:r>
        <w:rPr>
          <w:rFonts w:ascii="Arial" w:hAnsi="Arial" w:cs="Arial"/>
          <w:sz w:val="20"/>
          <w:szCs w:val="20"/>
        </w:rPr>
        <w:t>:</w:t>
      </w:r>
    </w:p>
    <w:p w:rsidR="00BD1BF2" w:rsidRPr="008276F9" w14:paraId="01FF995C" w14:textId="77777777">
      <w:pPr>
        <w:pStyle w:val="BodyText"/>
        <w:rPr>
          <w:color w:val="auto"/>
        </w:rPr>
      </w:pPr>
      <w:r w:rsidRPr="008276F9">
        <w:rPr>
          <w:color w:val="auto"/>
        </w:rPr>
        <w:t xml:space="preserve">Include any basis for assurance in statute, </w:t>
      </w:r>
      <w:r w:rsidRPr="008276F9" w:rsidR="00F42F24">
        <w:rPr>
          <w:color w:val="auto"/>
        </w:rPr>
        <w:t>regulation,</w:t>
      </w:r>
      <w:r w:rsidRPr="008276F9">
        <w:rPr>
          <w:color w:val="auto"/>
        </w:rPr>
        <w:t xml:space="preserve"> or agency policy. </w:t>
      </w:r>
    </w:p>
    <w:p w:rsidR="00BD1BF2" w14:paraId="45AB0469" w14:textId="77777777">
      <w:pPr>
        <w:pStyle w:val="NormalWeb"/>
        <w:rPr>
          <w:rFonts w:ascii="Arial" w:hAnsi="Arial" w:cs="Arial"/>
          <w:sz w:val="20"/>
          <w:szCs w:val="20"/>
        </w:rPr>
      </w:pPr>
      <w:r>
        <w:rPr>
          <w:rFonts w:ascii="Arial" w:hAnsi="Arial" w:cs="Arial"/>
          <w:sz w:val="20"/>
          <w:szCs w:val="20"/>
        </w:rPr>
        <w:t xml:space="preserve">11. </w:t>
      </w:r>
      <w:r>
        <w:rPr>
          <w:rFonts w:ascii="Arial" w:hAnsi="Arial" w:cs="Arial"/>
          <w:sz w:val="20"/>
          <w:szCs w:val="20"/>
          <w:u w:val="single"/>
        </w:rPr>
        <w:t>Justification for collection of sensitive information</w:t>
      </w:r>
      <w:r>
        <w:rPr>
          <w:rFonts w:ascii="Arial" w:hAnsi="Arial" w:cs="Arial"/>
          <w:sz w:val="20"/>
          <w:szCs w:val="20"/>
        </w:rPr>
        <w:t>:</w:t>
      </w:r>
    </w:p>
    <w:p w:rsidR="00BD1BF2" w:rsidRPr="008276F9" w14:paraId="4CD50D82" w14:textId="77777777">
      <w:pPr>
        <w:pStyle w:val="BodyText"/>
        <w:rPr>
          <w:color w:val="auto"/>
        </w:rPr>
      </w:pPr>
      <w:r>
        <w:rPr>
          <w:color w:val="auto"/>
        </w:rPr>
        <w:t>Not applicable.</w:t>
      </w:r>
    </w:p>
    <w:p w:rsidR="00BD1BF2" w14:paraId="24740B25" w14:textId="77777777">
      <w:pPr>
        <w:pStyle w:val="NormalWeb"/>
        <w:rPr>
          <w:rFonts w:ascii="Arial" w:hAnsi="Arial" w:cs="Arial"/>
          <w:sz w:val="20"/>
          <w:szCs w:val="20"/>
        </w:rPr>
      </w:pPr>
      <w:r>
        <w:rPr>
          <w:rFonts w:ascii="Arial" w:hAnsi="Arial" w:cs="Arial"/>
          <w:sz w:val="20"/>
          <w:szCs w:val="20"/>
        </w:rPr>
        <w:t xml:space="preserve">12. </w:t>
      </w:r>
      <w:r>
        <w:rPr>
          <w:rFonts w:ascii="Arial" w:hAnsi="Arial" w:cs="Arial"/>
          <w:sz w:val="20"/>
          <w:szCs w:val="20"/>
          <w:u w:val="single"/>
        </w:rPr>
        <w:t>Estimate of burden hours for information requested</w:t>
      </w:r>
      <w:r>
        <w:rPr>
          <w:rFonts w:ascii="Arial" w:hAnsi="Arial" w:cs="Arial"/>
          <w:sz w:val="20"/>
          <w:szCs w:val="20"/>
        </w:rPr>
        <w:t>:</w:t>
      </w:r>
    </w:p>
    <w:p w:rsidR="00C80678" w:rsidRPr="008276F9" w:rsidP="00C80678" w14:paraId="12DC58E5" w14:textId="77777777">
      <w:pPr>
        <w:widowControl w:val="0"/>
        <w:tabs>
          <w:tab w:val="left" w:pos="187"/>
        </w:tabs>
        <w:autoSpaceDE w:val="0"/>
        <w:autoSpaceDN w:val="0"/>
        <w:adjustRightInd w:val="0"/>
        <w:rPr>
          <w:rFonts w:ascii="Arial" w:hAnsi="Arial" w:cs="Arial"/>
          <w:sz w:val="20"/>
          <w:szCs w:val="20"/>
        </w:rPr>
      </w:pPr>
      <w:r w:rsidRPr="008276F9">
        <w:rPr>
          <w:rFonts w:ascii="Arial" w:hAnsi="Arial" w:cs="Arial"/>
          <w:bCs/>
          <w:iCs/>
          <w:sz w:val="20"/>
          <w:szCs w:val="20"/>
        </w:rPr>
        <w:t xml:space="preserve">All 50 State Transportation Departments and the District of Columbia submit CMAQ project obligation information on an annual basis. </w:t>
      </w:r>
      <w:r w:rsidRPr="008276F9">
        <w:rPr>
          <w:rFonts w:ascii="Arial" w:hAnsi="Arial" w:cs="Arial"/>
          <w:sz w:val="20"/>
          <w:szCs w:val="20"/>
        </w:rPr>
        <w:t xml:space="preserve">The respondents electronically submit an estimated total of 2000 project entries each year. Each entry requires an average of 15 minutes to complete making the estimated annual total 500 hours for this activity.  </w:t>
      </w:r>
    </w:p>
    <w:p w:rsidR="00BD1BF2" w:rsidP="00C80678" w14:paraId="2A4B037D" w14:textId="77777777">
      <w:pPr>
        <w:pStyle w:val="NormalWeb"/>
        <w:rPr>
          <w:rFonts w:ascii="Arial" w:hAnsi="Arial" w:cs="Arial"/>
          <w:sz w:val="20"/>
          <w:szCs w:val="20"/>
        </w:rPr>
      </w:pPr>
      <w:r>
        <w:rPr>
          <w:rFonts w:ascii="Arial" w:hAnsi="Arial" w:cs="Arial"/>
          <w:sz w:val="20"/>
          <w:szCs w:val="20"/>
        </w:rPr>
        <w:t xml:space="preserve">13. </w:t>
      </w:r>
      <w:r>
        <w:rPr>
          <w:rFonts w:ascii="Arial" w:hAnsi="Arial" w:cs="Arial"/>
          <w:sz w:val="20"/>
          <w:szCs w:val="20"/>
          <w:u w:val="single"/>
        </w:rPr>
        <w:t>Estimate of total annual costs to respondents</w:t>
      </w:r>
      <w:r>
        <w:rPr>
          <w:rFonts w:ascii="Arial" w:hAnsi="Arial" w:cs="Arial"/>
          <w:sz w:val="20"/>
          <w:szCs w:val="20"/>
        </w:rPr>
        <w:t>:</w:t>
      </w:r>
    </w:p>
    <w:p w:rsidR="00F70555" w:rsidRPr="00222D06" w:rsidP="00F70555" w14:paraId="1AD19207" w14:textId="391129C2">
      <w:pPr>
        <w:pStyle w:val="NormalWeb"/>
        <w:rPr>
          <w:rFonts w:ascii="Arial" w:eastAsia="Times New Roman" w:hAnsi="Arial" w:cs="Arial"/>
          <w:bCs/>
          <w:iCs/>
          <w:sz w:val="20"/>
          <w:szCs w:val="20"/>
        </w:rPr>
      </w:pPr>
      <w:bookmarkStart w:id="1" w:name="_Hlk189140724"/>
      <w:r w:rsidRPr="00222D06">
        <w:rPr>
          <w:rFonts w:ascii="Arial" w:eastAsia="Times New Roman" w:hAnsi="Arial" w:cs="Arial"/>
          <w:bCs/>
          <w:iCs/>
          <w:sz w:val="20"/>
          <w:szCs w:val="20"/>
        </w:rPr>
        <w:t xml:space="preserve">The respondents electronically submit an estimated total of 2000 project entries each year. Each entry requires an average of 15 minutes to complete making the estimated annual total 500 hours </w:t>
      </w:r>
      <w:r w:rsidRPr="00222D06">
        <w:rPr>
          <w:rFonts w:ascii="Arial" w:eastAsia="Times New Roman" w:hAnsi="Arial" w:cs="Arial"/>
          <w:bCs/>
          <w:iCs/>
          <w:sz w:val="20"/>
          <w:szCs w:val="20"/>
        </w:rPr>
        <w:t>for this activity.  Based on an average 2024 hourly wage of $</w:t>
      </w:r>
      <w:r w:rsidRPr="00222D06" w:rsidR="00AD24EF">
        <w:rPr>
          <w:rFonts w:ascii="Arial" w:eastAsia="Times New Roman" w:hAnsi="Arial" w:cs="Arial"/>
          <w:bCs/>
          <w:iCs/>
          <w:sz w:val="20"/>
          <w:szCs w:val="20"/>
        </w:rPr>
        <w:t>38.86</w:t>
      </w:r>
      <w:r>
        <w:rPr>
          <w:rStyle w:val="FootnoteReference"/>
          <w:rFonts w:ascii="Arial" w:eastAsia="Times New Roman" w:hAnsi="Arial" w:cs="Arial"/>
          <w:bCs/>
          <w:iCs/>
          <w:sz w:val="20"/>
          <w:szCs w:val="20"/>
        </w:rPr>
        <w:footnoteReference w:id="2"/>
      </w:r>
      <w:r w:rsidR="00222D06">
        <w:rPr>
          <w:rFonts w:ascii="Arial" w:eastAsia="Times New Roman" w:hAnsi="Arial" w:cs="Arial"/>
          <w:bCs/>
          <w:iCs/>
          <w:sz w:val="20"/>
          <w:szCs w:val="20"/>
        </w:rPr>
        <w:t xml:space="preserve"> </w:t>
      </w:r>
      <w:r w:rsidRPr="00222D06">
        <w:rPr>
          <w:rFonts w:ascii="Arial" w:eastAsia="Times New Roman" w:hAnsi="Arial" w:cs="Arial"/>
          <w:bCs/>
          <w:iCs/>
          <w:sz w:val="20"/>
          <w:szCs w:val="20"/>
        </w:rPr>
        <w:t xml:space="preserve">for State and Local Government Workers as reported by the Bureau of Labor Statistics, US Department of Labor, the estimated total annual cost to respondents would be </w:t>
      </w:r>
      <w:r w:rsidRPr="00222D06">
        <w:rPr>
          <w:rFonts w:ascii="Arial" w:eastAsia="Times New Roman" w:hAnsi="Arial" w:cs="Arial"/>
          <w:bCs/>
          <w:iCs/>
          <w:sz w:val="20"/>
          <w:szCs w:val="20"/>
        </w:rPr>
        <w:t>$</w:t>
      </w:r>
      <w:r w:rsidRPr="00222D06" w:rsidR="00AD24EF">
        <w:rPr>
          <w:rFonts w:ascii="Arial" w:eastAsia="Times New Roman" w:hAnsi="Arial" w:cs="Arial"/>
          <w:bCs/>
          <w:iCs/>
          <w:sz w:val="20"/>
          <w:szCs w:val="20"/>
        </w:rPr>
        <w:t>19,430</w:t>
      </w:r>
      <w:r w:rsidRPr="00222D06">
        <w:rPr>
          <w:rFonts w:ascii="Arial" w:eastAsia="Times New Roman" w:hAnsi="Arial" w:cs="Arial"/>
          <w:bCs/>
          <w:iCs/>
          <w:sz w:val="20"/>
          <w:szCs w:val="20"/>
        </w:rPr>
        <w:t>.</w:t>
      </w:r>
      <w:bookmarkEnd w:id="1"/>
    </w:p>
    <w:p w:rsidR="00BD1BF2" w:rsidP="00F70555" w14:paraId="74DBD22F" w14:textId="77777777">
      <w:pPr>
        <w:pStyle w:val="NormalWeb"/>
        <w:rPr>
          <w:rFonts w:ascii="Arial" w:hAnsi="Arial" w:cs="Arial"/>
          <w:sz w:val="20"/>
          <w:szCs w:val="20"/>
        </w:rPr>
      </w:pPr>
      <w:r>
        <w:rPr>
          <w:rFonts w:ascii="Arial" w:hAnsi="Arial" w:cs="Arial"/>
          <w:sz w:val="20"/>
          <w:szCs w:val="20"/>
        </w:rPr>
        <w:t xml:space="preserve">14. </w:t>
      </w:r>
      <w:r>
        <w:rPr>
          <w:rFonts w:ascii="Arial" w:hAnsi="Arial" w:cs="Arial"/>
          <w:sz w:val="20"/>
          <w:szCs w:val="20"/>
          <w:u w:val="single"/>
        </w:rPr>
        <w:t>Estimate of cost to the Federal government</w:t>
      </w:r>
      <w:r>
        <w:rPr>
          <w:rFonts w:ascii="Arial" w:hAnsi="Arial" w:cs="Arial"/>
          <w:sz w:val="20"/>
          <w:szCs w:val="20"/>
        </w:rPr>
        <w:t>:</w:t>
      </w:r>
    </w:p>
    <w:p w:rsidR="00E47CC1" w:rsidRPr="008276F9" w:rsidP="00E47CC1" w14:paraId="301B4565" w14:textId="67389365">
      <w:pPr>
        <w:pStyle w:val="BodyText"/>
        <w:rPr>
          <w:color w:val="auto"/>
        </w:rPr>
      </w:pPr>
      <w:r w:rsidRPr="008276F9">
        <w:rPr>
          <w:color w:val="auto"/>
        </w:rPr>
        <w:t xml:space="preserve">CMAQ Project Tracking System IC responses are typically received at FHWA </w:t>
      </w:r>
      <w:r w:rsidR="008F6C2D">
        <w:rPr>
          <w:color w:val="auto"/>
        </w:rPr>
        <w:t>headquarters (</w:t>
      </w:r>
      <w:r w:rsidRPr="008276F9">
        <w:rPr>
          <w:color w:val="auto"/>
        </w:rPr>
        <w:t>HQ</w:t>
      </w:r>
      <w:r w:rsidR="008F6C2D">
        <w:rPr>
          <w:color w:val="auto"/>
        </w:rPr>
        <w:t>)</w:t>
      </w:r>
      <w:r w:rsidRPr="008276F9">
        <w:rPr>
          <w:color w:val="auto"/>
        </w:rPr>
        <w:t xml:space="preserve"> from FHWA Division offices in all 50 states and the District of Columbia.  All 51 FHWA Division offices plus HQ staff</w:t>
      </w:r>
      <w:r w:rsidRPr="008276F9" w:rsidR="003C6D39">
        <w:rPr>
          <w:color w:val="auto"/>
        </w:rPr>
        <w:t xml:space="preserve"> each</w:t>
      </w:r>
      <w:r w:rsidRPr="008276F9">
        <w:rPr>
          <w:color w:val="auto"/>
        </w:rPr>
        <w:t xml:space="preserve"> electronically </w:t>
      </w:r>
      <w:r w:rsidR="008F6C2D">
        <w:rPr>
          <w:color w:val="auto"/>
        </w:rPr>
        <w:t>review</w:t>
      </w:r>
      <w:r w:rsidRPr="008276F9" w:rsidR="008F6C2D">
        <w:rPr>
          <w:color w:val="auto"/>
        </w:rPr>
        <w:t xml:space="preserve"> </w:t>
      </w:r>
      <w:r w:rsidRPr="008276F9">
        <w:rPr>
          <w:color w:val="auto"/>
        </w:rPr>
        <w:t xml:space="preserve">an estimated 2000 project entries each year. Each </w:t>
      </w:r>
      <w:r w:rsidRPr="008276F9" w:rsidR="003C6D39">
        <w:rPr>
          <w:color w:val="auto"/>
        </w:rPr>
        <w:t xml:space="preserve">project </w:t>
      </w:r>
      <w:r w:rsidRPr="008276F9">
        <w:rPr>
          <w:color w:val="auto"/>
        </w:rPr>
        <w:t>entry</w:t>
      </w:r>
      <w:r w:rsidRPr="008276F9" w:rsidR="003C6D39">
        <w:rPr>
          <w:color w:val="auto"/>
        </w:rPr>
        <w:t xml:space="preserve"> approval</w:t>
      </w:r>
      <w:r w:rsidRPr="008276F9">
        <w:rPr>
          <w:color w:val="auto"/>
        </w:rPr>
        <w:t xml:space="preserve"> requires approximately 10 minutes to complete making the estimated annual total 400 hours for this activity at the Division and HQ levels.  Based on a</w:t>
      </w:r>
      <w:r w:rsidRPr="008276F9" w:rsidR="00AD24EF">
        <w:rPr>
          <w:color w:val="auto"/>
        </w:rPr>
        <w:t xml:space="preserve"> weighted</w:t>
      </w:r>
      <w:r w:rsidRPr="008276F9">
        <w:rPr>
          <w:color w:val="auto"/>
        </w:rPr>
        <w:t xml:space="preserve"> average 2024 hourly wage of $</w:t>
      </w:r>
      <w:r w:rsidRPr="008276F9" w:rsidR="00AD24EF">
        <w:rPr>
          <w:color w:val="auto"/>
        </w:rPr>
        <w:t>44.35</w:t>
      </w:r>
      <w:r>
        <w:rPr>
          <w:rStyle w:val="FootnoteReference"/>
          <w:color w:val="auto"/>
        </w:rPr>
        <w:footnoteReference w:id="3"/>
      </w:r>
      <w:r w:rsidR="00222D06">
        <w:rPr>
          <w:color w:val="auto"/>
        </w:rPr>
        <w:t xml:space="preserve"> </w:t>
      </w:r>
      <w:r w:rsidRPr="008276F9" w:rsidR="003C6D39">
        <w:rPr>
          <w:color w:val="auto"/>
        </w:rPr>
        <w:t>(average for General Schedule employees in</w:t>
      </w:r>
      <w:r w:rsidRPr="008276F9" w:rsidR="00AD24EF">
        <w:rPr>
          <w:color w:val="auto"/>
        </w:rPr>
        <w:t xml:space="preserve"> Mid-</w:t>
      </w:r>
      <w:r w:rsidRPr="008276F9" w:rsidR="003C6D39">
        <w:rPr>
          <w:color w:val="auto"/>
        </w:rPr>
        <w:t xml:space="preserve">Grades </w:t>
      </w:r>
      <w:r w:rsidRPr="008276F9" w:rsidR="00AD24EF">
        <w:rPr>
          <w:color w:val="auto"/>
        </w:rPr>
        <w:t>11,</w:t>
      </w:r>
      <w:r w:rsidRPr="008276F9" w:rsidR="003C6D39">
        <w:rPr>
          <w:color w:val="auto"/>
        </w:rPr>
        <w:t>12,13</w:t>
      </w:r>
      <w:r w:rsidRPr="008276F9" w:rsidR="00AD24EF">
        <w:rPr>
          <w:color w:val="auto"/>
        </w:rPr>
        <w:t>,</w:t>
      </w:r>
      <w:r w:rsidRPr="008276F9" w:rsidR="003C6D39">
        <w:rPr>
          <w:color w:val="auto"/>
        </w:rPr>
        <w:t>14</w:t>
      </w:r>
      <w:r w:rsidRPr="008276F9" w:rsidR="00AD24EF">
        <w:rPr>
          <w:color w:val="auto"/>
        </w:rPr>
        <w:t xml:space="preserve"> and 15</w:t>
      </w:r>
      <w:r w:rsidRPr="008276F9" w:rsidR="003C6D39">
        <w:rPr>
          <w:color w:val="auto"/>
        </w:rPr>
        <w:t>)</w:t>
      </w:r>
      <w:r w:rsidRPr="008276F9">
        <w:rPr>
          <w:color w:val="auto"/>
        </w:rPr>
        <w:t xml:space="preserve"> for Salaried Federal Workers as reported by the </w:t>
      </w:r>
      <w:r w:rsidRPr="008276F9" w:rsidR="00A00954">
        <w:rPr>
          <w:color w:val="auto"/>
        </w:rPr>
        <w:t>US Office or Personnel Management</w:t>
      </w:r>
      <w:r w:rsidRPr="008276F9">
        <w:rPr>
          <w:color w:val="auto"/>
        </w:rPr>
        <w:t>,</w:t>
      </w:r>
      <w:r w:rsidRPr="008276F9" w:rsidR="00A00954">
        <w:rPr>
          <w:color w:val="auto"/>
        </w:rPr>
        <w:t xml:space="preserve"> 2025 Salaries and Wages,</w:t>
      </w:r>
      <w:r w:rsidRPr="008276F9">
        <w:rPr>
          <w:color w:val="auto"/>
        </w:rPr>
        <w:t xml:space="preserve"> the estimated total annual cost to </w:t>
      </w:r>
      <w:r w:rsidR="00F03D97">
        <w:rPr>
          <w:color w:val="auto"/>
        </w:rPr>
        <w:t xml:space="preserve">the Federal government </w:t>
      </w:r>
      <w:r w:rsidRPr="008276F9">
        <w:rPr>
          <w:color w:val="auto"/>
        </w:rPr>
        <w:t>would be $</w:t>
      </w:r>
      <w:r w:rsidRPr="008276F9" w:rsidR="00AD24EF">
        <w:rPr>
          <w:color w:val="auto"/>
        </w:rPr>
        <w:t>1</w:t>
      </w:r>
      <w:r w:rsidRPr="008276F9" w:rsidR="00A00954">
        <w:rPr>
          <w:color w:val="auto"/>
        </w:rPr>
        <w:t>7,</w:t>
      </w:r>
      <w:r w:rsidRPr="008276F9" w:rsidR="00AD24EF">
        <w:rPr>
          <w:color w:val="auto"/>
        </w:rPr>
        <w:t>900</w:t>
      </w:r>
      <w:r w:rsidRPr="008276F9">
        <w:rPr>
          <w:color w:val="auto"/>
        </w:rPr>
        <w:t>.</w:t>
      </w:r>
    </w:p>
    <w:p w:rsidR="00BD1BF2" w14:paraId="2141F1F6" w14:textId="77777777">
      <w:pPr>
        <w:pStyle w:val="NormalWeb"/>
        <w:rPr>
          <w:rFonts w:ascii="Arial" w:hAnsi="Arial" w:cs="Arial"/>
          <w:sz w:val="20"/>
          <w:szCs w:val="20"/>
        </w:rPr>
      </w:pPr>
      <w:r>
        <w:rPr>
          <w:rFonts w:ascii="Arial" w:hAnsi="Arial" w:cs="Arial"/>
          <w:sz w:val="20"/>
          <w:szCs w:val="20"/>
        </w:rPr>
        <w:t xml:space="preserve">15. </w:t>
      </w:r>
      <w:r>
        <w:rPr>
          <w:rFonts w:ascii="Arial" w:hAnsi="Arial" w:cs="Arial"/>
          <w:sz w:val="20"/>
          <w:szCs w:val="20"/>
          <w:u w:val="single"/>
        </w:rPr>
        <w:t>Explanation of program changes or adjustments</w:t>
      </w:r>
      <w:r>
        <w:rPr>
          <w:rFonts w:ascii="Arial" w:hAnsi="Arial" w:cs="Arial"/>
          <w:sz w:val="20"/>
          <w:szCs w:val="20"/>
        </w:rPr>
        <w:t>:</w:t>
      </w:r>
    </w:p>
    <w:p w:rsidR="00BE23F7" w:rsidRPr="004244C0" w:rsidP="00BE23F7" w14:paraId="620B6D03" w14:textId="55A71688">
      <w:pPr>
        <w:pStyle w:val="BodyText"/>
        <w:rPr>
          <w:color w:val="auto"/>
        </w:rPr>
      </w:pPr>
      <w:r>
        <w:rPr>
          <w:color w:val="auto"/>
        </w:rPr>
        <w:t xml:space="preserve">Due to the renewal of this IC, the </w:t>
      </w:r>
      <w:r w:rsidR="008A2761">
        <w:rPr>
          <w:color w:val="auto"/>
        </w:rPr>
        <w:t xml:space="preserve">respondent </w:t>
      </w:r>
      <w:r>
        <w:rPr>
          <w:color w:val="auto"/>
        </w:rPr>
        <w:t xml:space="preserve">burden hours </w:t>
      </w:r>
      <w:r w:rsidR="00222D06">
        <w:rPr>
          <w:color w:val="auto"/>
        </w:rPr>
        <w:t>have</w:t>
      </w:r>
      <w:r>
        <w:rPr>
          <w:color w:val="auto"/>
        </w:rPr>
        <w:t xml:space="preserve"> been reduced from 6,375 hours to 500 hours.</w:t>
      </w:r>
      <w:r w:rsidR="00222D06">
        <w:rPr>
          <w:color w:val="auto"/>
        </w:rPr>
        <w:t xml:space="preserve"> In addition, there was an agency discrepancy between the </w:t>
      </w:r>
      <w:r w:rsidR="00124D48">
        <w:rPr>
          <w:color w:val="auto"/>
        </w:rPr>
        <w:t>estimate of total burden hours in the previous approval.</w:t>
      </w:r>
      <w:r>
        <w:rPr>
          <w:color w:val="auto"/>
        </w:rPr>
        <w:t xml:space="preserve">  </w:t>
      </w:r>
      <w:r w:rsidRPr="004244C0">
        <w:rPr>
          <w:color w:val="auto"/>
        </w:rPr>
        <w:t>This previous burden estimate</w:t>
      </w:r>
      <w:r w:rsidRPr="004244C0" w:rsidR="008A2761">
        <w:rPr>
          <w:color w:val="auto"/>
        </w:rPr>
        <w:t xml:space="preserve"> has been reevaluated based on our current, more automated </w:t>
      </w:r>
      <w:r w:rsidRPr="004244C0" w:rsidR="004244C0">
        <w:rPr>
          <w:color w:val="auto"/>
        </w:rPr>
        <w:t xml:space="preserve">data entry </w:t>
      </w:r>
      <w:r w:rsidRPr="004244C0" w:rsidR="008A2761">
        <w:rPr>
          <w:color w:val="auto"/>
        </w:rPr>
        <w:t>process and was determined to overestimate total burden hours</w:t>
      </w:r>
      <w:r w:rsidRPr="004244C0">
        <w:rPr>
          <w:color w:val="auto"/>
        </w:rPr>
        <w:t>.</w:t>
      </w:r>
    </w:p>
    <w:p w:rsidR="00BD1BF2" w:rsidRPr="008276F9" w:rsidP="00F70555" w14:paraId="79EC1BAB" w14:textId="6B61FA02">
      <w:pPr>
        <w:pStyle w:val="BodyText"/>
        <w:rPr>
          <w:color w:val="auto"/>
        </w:rPr>
      </w:pPr>
    </w:p>
    <w:p w:rsidR="00BD1BF2" w14:paraId="71EE5CE3" w14:textId="77777777">
      <w:pPr>
        <w:pStyle w:val="NormalWeb"/>
        <w:rPr>
          <w:rFonts w:ascii="Arial" w:hAnsi="Arial" w:cs="Arial"/>
          <w:sz w:val="20"/>
          <w:szCs w:val="20"/>
        </w:rPr>
      </w:pPr>
      <w:r>
        <w:rPr>
          <w:rFonts w:ascii="Arial" w:hAnsi="Arial" w:cs="Arial"/>
          <w:sz w:val="20"/>
          <w:szCs w:val="20"/>
        </w:rPr>
        <w:t xml:space="preserve">16. </w:t>
      </w:r>
      <w:r>
        <w:rPr>
          <w:rFonts w:ascii="Arial" w:hAnsi="Arial" w:cs="Arial"/>
          <w:sz w:val="20"/>
          <w:szCs w:val="20"/>
          <w:u w:val="single"/>
        </w:rPr>
        <w:t>Publication of results of data collection</w:t>
      </w:r>
      <w:r>
        <w:rPr>
          <w:rFonts w:ascii="Arial" w:hAnsi="Arial" w:cs="Arial"/>
          <w:sz w:val="20"/>
          <w:szCs w:val="20"/>
        </w:rPr>
        <w:t>:</w:t>
      </w:r>
    </w:p>
    <w:p w:rsidR="00BD1BF2" w:rsidRPr="00511808" w14:paraId="606E74B6" w14:textId="137AD468">
      <w:pPr>
        <w:pStyle w:val="BodyText"/>
        <w:rPr>
          <w:color w:val="auto"/>
        </w:rPr>
      </w:pPr>
      <w:r w:rsidRPr="00511808">
        <w:rPr>
          <w:color w:val="auto"/>
        </w:rPr>
        <w:t>Results of data collection are made available through a public</w:t>
      </w:r>
      <w:r w:rsidR="004244C0">
        <w:rPr>
          <w:color w:val="auto"/>
        </w:rPr>
        <w:t>ly</w:t>
      </w:r>
      <w:r w:rsidRPr="00511808" w:rsidR="0044347E">
        <w:rPr>
          <w:color w:val="auto"/>
        </w:rPr>
        <w:t xml:space="preserve"> </w:t>
      </w:r>
      <w:r w:rsidRPr="00511808" w:rsidR="00366452">
        <w:rPr>
          <w:color w:val="auto"/>
        </w:rPr>
        <w:t>accessible</w:t>
      </w:r>
      <w:r w:rsidRPr="00511808">
        <w:rPr>
          <w:color w:val="auto"/>
        </w:rPr>
        <w:t xml:space="preserve"> interface</w:t>
      </w:r>
      <w:r w:rsidRPr="00511808" w:rsidR="0044347E">
        <w:rPr>
          <w:color w:val="auto"/>
        </w:rPr>
        <w:t xml:space="preserve"> on the FHWA website</w:t>
      </w:r>
      <w:r w:rsidRPr="00511808" w:rsidR="00511808">
        <w:rPr>
          <w:color w:val="auto"/>
        </w:rPr>
        <w:t xml:space="preserve"> (</w:t>
      </w:r>
      <w:r w:rsidRPr="004244C0" w:rsidR="00AC65FD">
        <w:rPr>
          <w:color w:val="auto"/>
        </w:rPr>
        <w:t>CMAQ Public Access System</w:t>
      </w:r>
      <w:r w:rsidRPr="00511808" w:rsidR="00511808">
        <w:rPr>
          <w:rFonts w:ascii="Times New Roman" w:hAnsi="Times New Roman" w:cs="Times New Roman"/>
          <w:color w:val="auto"/>
          <w:sz w:val="24"/>
          <w:szCs w:val="24"/>
        </w:rPr>
        <w:t>)</w:t>
      </w:r>
      <w:r w:rsidRPr="00511808" w:rsidR="0044347E">
        <w:rPr>
          <w:color w:val="auto"/>
        </w:rPr>
        <w:t>.</w:t>
      </w:r>
    </w:p>
    <w:p w:rsidR="00BD1BF2" w14:paraId="08805AE3" w14:textId="77777777">
      <w:pPr>
        <w:pStyle w:val="NormalWeb"/>
        <w:rPr>
          <w:rFonts w:ascii="Arial" w:hAnsi="Arial" w:cs="Arial"/>
          <w:sz w:val="20"/>
          <w:szCs w:val="20"/>
        </w:rPr>
      </w:pPr>
      <w:r>
        <w:rPr>
          <w:rFonts w:ascii="Arial" w:hAnsi="Arial" w:cs="Arial"/>
          <w:sz w:val="20"/>
          <w:szCs w:val="20"/>
        </w:rPr>
        <w:t xml:space="preserve">17. </w:t>
      </w:r>
      <w:r>
        <w:rPr>
          <w:rFonts w:ascii="Arial" w:hAnsi="Arial" w:cs="Arial"/>
          <w:sz w:val="20"/>
          <w:szCs w:val="20"/>
          <w:u w:val="single"/>
        </w:rPr>
        <w:t>Approval for not displaying the expiration date of OMB approval</w:t>
      </w:r>
      <w:r>
        <w:rPr>
          <w:rFonts w:ascii="Arial" w:hAnsi="Arial" w:cs="Arial"/>
          <w:sz w:val="20"/>
          <w:szCs w:val="20"/>
        </w:rPr>
        <w:t>:</w:t>
      </w:r>
    </w:p>
    <w:p w:rsidR="00BD1BF2" w:rsidRPr="008276F9" w14:paraId="3F2B781A" w14:textId="77777777">
      <w:pPr>
        <w:pStyle w:val="BodyText"/>
        <w:rPr>
          <w:color w:val="auto"/>
        </w:rPr>
      </w:pPr>
      <w:r>
        <w:rPr>
          <w:color w:val="auto"/>
        </w:rPr>
        <w:t>Not applicable.</w:t>
      </w:r>
    </w:p>
    <w:p w:rsidR="00BD1BF2" w:rsidP="00511808" w14:paraId="01AB5BC9" w14:textId="77777777">
      <w:pPr>
        <w:pStyle w:val="NormalWeb"/>
        <w:rPr>
          <w:rFonts w:ascii="Arial" w:hAnsi="Arial" w:cs="Arial"/>
          <w:sz w:val="20"/>
          <w:szCs w:val="20"/>
        </w:rPr>
      </w:pPr>
      <w:r>
        <w:rPr>
          <w:rFonts w:ascii="Arial" w:hAnsi="Arial" w:cs="Arial"/>
          <w:sz w:val="20"/>
          <w:szCs w:val="20"/>
        </w:rPr>
        <w:t xml:space="preserve">18. </w:t>
      </w:r>
      <w:r>
        <w:rPr>
          <w:rFonts w:ascii="Arial" w:hAnsi="Arial" w:cs="Arial"/>
          <w:sz w:val="20"/>
          <w:szCs w:val="20"/>
          <w:u w:val="single"/>
        </w:rPr>
        <w:t>Exceptions to certification statement</w:t>
      </w:r>
      <w:r>
        <w:rPr>
          <w:rFonts w:ascii="Arial" w:hAnsi="Arial" w:cs="Arial"/>
          <w:sz w:val="20"/>
          <w:szCs w:val="20"/>
        </w:rPr>
        <w:t>:</w:t>
      </w:r>
    </w:p>
    <w:p w:rsidR="00BD1BF2" w:rsidRPr="008276F9" w14:paraId="25ECD56F" w14:textId="77777777">
      <w:pPr>
        <w:rPr>
          <w:rFonts w:ascii="Arial" w:hAnsi="Arial" w:cs="Arial"/>
          <w:sz w:val="20"/>
          <w:szCs w:val="20"/>
        </w:rPr>
      </w:pPr>
      <w:r>
        <w:rPr>
          <w:rFonts w:ascii="Arial" w:hAnsi="Arial" w:cs="Arial"/>
          <w:sz w:val="20"/>
          <w:szCs w:val="20"/>
        </w:rPr>
        <w:t>Not applicable.</w:t>
      </w:r>
    </w:p>
    <w:p w:rsidR="00BD1BF2" w14:paraId="09C4CBA3" w14:textId="77777777">
      <w:pPr>
        <w:rPr>
          <w:color w:val="FF0000"/>
        </w:rPr>
      </w:pPr>
      <w:r>
        <w:rPr>
          <w:color w:val="FF0000"/>
        </w:rPr>
        <w:br/>
      </w:r>
      <w:r>
        <w:rPr>
          <w:color w:val="FF0000"/>
        </w:rPr>
        <w:br/>
      </w:r>
      <w:r>
        <w:rPr>
          <w:color w:val="FF0000"/>
        </w:rPr>
        <w:br/>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852BA" w:rsidP="00222D06" w14:paraId="0091303F" w14:textId="77777777">
      <w:r>
        <w:separator/>
      </w:r>
    </w:p>
  </w:footnote>
  <w:footnote w:type="continuationSeparator" w:id="1">
    <w:p w:rsidR="001852BA" w:rsidP="00222D06" w14:paraId="2B012716" w14:textId="77777777">
      <w:r>
        <w:continuationSeparator/>
      </w:r>
    </w:p>
  </w:footnote>
  <w:footnote w:id="2">
    <w:p w:rsidR="00222D06" w14:paraId="5F9D43D1" w14:textId="2F494B73">
      <w:pPr>
        <w:pStyle w:val="FootnoteText"/>
      </w:pPr>
      <w:r>
        <w:rPr>
          <w:rStyle w:val="FootnoteReference"/>
        </w:rPr>
        <w:footnoteRef/>
      </w:r>
      <w:r>
        <w:t xml:space="preserve"> </w:t>
      </w:r>
      <w:hyperlink r:id="rId1" w:history="1">
        <w:r>
          <w:rPr>
            <w:rStyle w:val="Hyperlink"/>
          </w:rPr>
          <w:t>Employer Costs for Employee Compensation - September 2024</w:t>
        </w:r>
      </w:hyperlink>
    </w:p>
  </w:footnote>
  <w:footnote w:id="3">
    <w:p w:rsidR="00222D06" w14:paraId="7C7BE4AB" w14:textId="77777777">
      <w:pPr>
        <w:pStyle w:val="FootnoteText"/>
      </w:pPr>
      <w:r>
        <w:rPr>
          <w:rStyle w:val="FootnoteReference"/>
        </w:rPr>
        <w:footnoteRef/>
      </w:r>
      <w:r>
        <w:t xml:space="preserve"> </w:t>
      </w:r>
      <w:hyperlink r:id="rId2" w:history="1">
        <w:r>
          <w:rPr>
            <w:rStyle w:val="Hyperlink"/>
          </w:rPr>
          <w:t>SALARY TABLE 2025-DCB</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C4B4D"/>
    <w:rsid w:val="00112F0C"/>
    <w:rsid w:val="00124D48"/>
    <w:rsid w:val="001376DF"/>
    <w:rsid w:val="00140FA0"/>
    <w:rsid w:val="00176539"/>
    <w:rsid w:val="001852BA"/>
    <w:rsid w:val="001E5150"/>
    <w:rsid w:val="00222D06"/>
    <w:rsid w:val="00246C96"/>
    <w:rsid w:val="00265BD8"/>
    <w:rsid w:val="002E70A2"/>
    <w:rsid w:val="0030674A"/>
    <w:rsid w:val="003369FE"/>
    <w:rsid w:val="0036456C"/>
    <w:rsid w:val="00366452"/>
    <w:rsid w:val="00387F7E"/>
    <w:rsid w:val="003A045E"/>
    <w:rsid w:val="003B4C0F"/>
    <w:rsid w:val="003C6D39"/>
    <w:rsid w:val="004244C0"/>
    <w:rsid w:val="0044347E"/>
    <w:rsid w:val="0048250F"/>
    <w:rsid w:val="004A0CE6"/>
    <w:rsid w:val="004A50D2"/>
    <w:rsid w:val="004B2678"/>
    <w:rsid w:val="004C0B75"/>
    <w:rsid w:val="004D0771"/>
    <w:rsid w:val="00505B51"/>
    <w:rsid w:val="00511808"/>
    <w:rsid w:val="00535120"/>
    <w:rsid w:val="0054496B"/>
    <w:rsid w:val="005C1410"/>
    <w:rsid w:val="00607CC2"/>
    <w:rsid w:val="00611D03"/>
    <w:rsid w:val="00611F92"/>
    <w:rsid w:val="00662A62"/>
    <w:rsid w:val="00663648"/>
    <w:rsid w:val="006902B5"/>
    <w:rsid w:val="0073550E"/>
    <w:rsid w:val="007B268B"/>
    <w:rsid w:val="008276F9"/>
    <w:rsid w:val="00842191"/>
    <w:rsid w:val="008A15E3"/>
    <w:rsid w:val="008A2761"/>
    <w:rsid w:val="008E1038"/>
    <w:rsid w:val="008F6C2D"/>
    <w:rsid w:val="009B3C67"/>
    <w:rsid w:val="00A00954"/>
    <w:rsid w:val="00AC65FD"/>
    <w:rsid w:val="00AC68B9"/>
    <w:rsid w:val="00AD24EF"/>
    <w:rsid w:val="00B42E5D"/>
    <w:rsid w:val="00B5432F"/>
    <w:rsid w:val="00B63DAA"/>
    <w:rsid w:val="00BD1BF2"/>
    <w:rsid w:val="00BE23F7"/>
    <w:rsid w:val="00C80678"/>
    <w:rsid w:val="00C93135"/>
    <w:rsid w:val="00D51DAE"/>
    <w:rsid w:val="00D5742C"/>
    <w:rsid w:val="00DE61C4"/>
    <w:rsid w:val="00E47CC1"/>
    <w:rsid w:val="00E47D82"/>
    <w:rsid w:val="00F03D97"/>
    <w:rsid w:val="00F42F24"/>
    <w:rsid w:val="00F5541D"/>
    <w:rsid w:val="00F70555"/>
    <w:rsid w:val="00F9561B"/>
    <w:rsid w:val="00FA4D1D"/>
    <w:rsid w:val="00FC7A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C5B63B"/>
  <w15:chartTrackingRefBased/>
  <w15:docId w15:val="{5D542976-2001-4D25-B653-DE8FD117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Revision">
    <w:name w:val="Revision"/>
    <w:hidden/>
    <w:uiPriority w:val="99"/>
    <w:semiHidden/>
    <w:rsid w:val="00F42F24"/>
    <w:rPr>
      <w:sz w:val="24"/>
      <w:szCs w:val="24"/>
    </w:rPr>
  </w:style>
  <w:style w:type="character" w:styleId="CommentReference">
    <w:name w:val="annotation reference"/>
    <w:rsid w:val="00F42F24"/>
    <w:rPr>
      <w:sz w:val="16"/>
      <w:szCs w:val="16"/>
    </w:rPr>
  </w:style>
  <w:style w:type="paragraph" w:styleId="CommentText">
    <w:name w:val="annotation text"/>
    <w:basedOn w:val="Normal"/>
    <w:link w:val="CommentTextChar"/>
    <w:rsid w:val="00F42F24"/>
    <w:rPr>
      <w:sz w:val="20"/>
      <w:szCs w:val="20"/>
    </w:rPr>
  </w:style>
  <w:style w:type="character" w:customStyle="1" w:styleId="CommentTextChar">
    <w:name w:val="Comment Text Char"/>
    <w:basedOn w:val="DefaultParagraphFont"/>
    <w:link w:val="CommentText"/>
    <w:rsid w:val="00F42F24"/>
  </w:style>
  <w:style w:type="paragraph" w:styleId="CommentSubject">
    <w:name w:val="annotation subject"/>
    <w:basedOn w:val="CommentText"/>
    <w:next w:val="CommentText"/>
    <w:link w:val="CommentSubjectChar"/>
    <w:rsid w:val="00F42F24"/>
    <w:rPr>
      <w:b/>
      <w:bCs/>
    </w:rPr>
  </w:style>
  <w:style w:type="character" w:customStyle="1" w:styleId="CommentSubjectChar">
    <w:name w:val="Comment Subject Char"/>
    <w:link w:val="CommentSubject"/>
    <w:rsid w:val="00F42F24"/>
    <w:rPr>
      <w:b/>
      <w:bCs/>
    </w:rPr>
  </w:style>
  <w:style w:type="paragraph" w:styleId="FootnoteText">
    <w:name w:val="footnote text"/>
    <w:basedOn w:val="Normal"/>
    <w:link w:val="FootnoteTextChar"/>
    <w:rsid w:val="00222D06"/>
    <w:rPr>
      <w:sz w:val="20"/>
      <w:szCs w:val="20"/>
    </w:rPr>
  </w:style>
  <w:style w:type="character" w:customStyle="1" w:styleId="FootnoteTextChar">
    <w:name w:val="Footnote Text Char"/>
    <w:basedOn w:val="DefaultParagraphFont"/>
    <w:link w:val="FootnoteText"/>
    <w:rsid w:val="00222D06"/>
  </w:style>
  <w:style w:type="character" w:styleId="FootnoteReference">
    <w:name w:val="footnote reference"/>
    <w:basedOn w:val="DefaultParagraphFont"/>
    <w:rsid w:val="00222D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 Id="rId2" Type="http://schemas.openxmlformats.org/officeDocument/2006/relationships/hyperlink" Target="https://www.opm.gov/policy-data-oversight/pay-leave/salaries-wages/salary-tables/pdf/2025/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356BF-D29B-481F-9E85-90F65253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Lewis, Jazmyne (FHWA)</cp:lastModifiedBy>
  <cp:revision>3</cp:revision>
  <cp:lastPrinted>2025-01-31T19:47:00Z</cp:lastPrinted>
  <dcterms:created xsi:type="dcterms:W3CDTF">2025-04-29T17:32:00Z</dcterms:created>
  <dcterms:modified xsi:type="dcterms:W3CDTF">2025-05-02T14:08:00Z</dcterms:modified>
</cp:coreProperties>
</file>