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2268FA" w:rsidP="034FB7BC" w14:paraId="0CA0107B" w14:textId="3BD0435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Bidi"/>
          <w:b/>
          <w:bCs/>
          <w:color w:val="auto"/>
          <w:sz w:val="22"/>
          <w:szCs w:val="22"/>
        </w:rPr>
      </w:pPr>
      <w:r w:rsidRPr="034FB7BC">
        <w:rPr>
          <w:rFonts w:asciiTheme="minorHAnsi" w:hAnsiTheme="minorHAnsi" w:cstheme="minorBidi"/>
          <w:b/>
          <w:bCs/>
          <w:color w:val="000000" w:themeColor="text1"/>
          <w:sz w:val="22"/>
          <w:szCs w:val="22"/>
        </w:rPr>
        <w:t xml:space="preserve">TITLE: </w:t>
      </w:r>
      <w:r w:rsidRPr="034FB7BC" w:rsidR="002268FA">
        <w:rPr>
          <w:rFonts w:asciiTheme="minorHAnsi" w:hAnsiTheme="minorHAnsi" w:cstheme="minorBidi"/>
          <w:color w:val="auto"/>
          <w:sz w:val="22"/>
          <w:szCs w:val="22"/>
        </w:rPr>
        <w:t xml:space="preserve">NSPS Review for Surface Coating of Plastic Parts for Business Machines (40 CFR part 60, subparts TTT and </w:t>
      </w:r>
      <w:r w:rsidRPr="034FB7BC" w:rsidR="002268FA">
        <w:rPr>
          <w:rFonts w:asciiTheme="minorHAnsi" w:hAnsiTheme="minorHAnsi" w:cstheme="minorBidi"/>
          <w:color w:val="auto"/>
          <w:sz w:val="22"/>
          <w:szCs w:val="22"/>
        </w:rPr>
        <w:t>TTTa</w:t>
      </w:r>
      <w:r w:rsidRPr="034FB7BC" w:rsidR="002268FA">
        <w:rPr>
          <w:rFonts w:asciiTheme="minorHAnsi" w:hAnsiTheme="minorHAnsi" w:cstheme="minorBidi"/>
          <w:color w:val="auto"/>
          <w:sz w:val="22"/>
          <w:szCs w:val="22"/>
        </w:rPr>
        <w:t>)</w:t>
      </w:r>
      <w:r w:rsidRPr="034FB7BC" w:rsidR="00BC151B">
        <w:rPr>
          <w:rFonts w:asciiTheme="minorHAnsi" w:hAnsiTheme="minorHAnsi" w:cstheme="minorBidi"/>
          <w:color w:val="auto"/>
          <w:sz w:val="22"/>
          <w:szCs w:val="22"/>
        </w:rPr>
        <w:t xml:space="preserve"> (Amendments)</w:t>
      </w:r>
    </w:p>
    <w:p w:rsidR="00EE2403" w:rsidRPr="008B3B3E" w:rsidP="00940939" w14:paraId="71D5121E" w14:textId="73471F7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2268FA">
        <w:rPr>
          <w:rFonts w:asciiTheme="minorHAnsi" w:hAnsiTheme="minorHAnsi" w:cstheme="minorHAnsi"/>
          <w:color w:val="000000" w:themeColor="text1"/>
          <w:sz w:val="22"/>
          <w:szCs w:val="22"/>
        </w:rPr>
        <w:t>2060-0162</w:t>
      </w:r>
    </w:p>
    <w:p w:rsidR="00EE2403" w:rsidRPr="008B3B3E" w:rsidP="00940939" w14:paraId="4FB77BCA" w14:textId="40FBA1C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2268FA">
        <w:rPr>
          <w:rFonts w:asciiTheme="minorHAnsi" w:hAnsiTheme="minorHAnsi" w:cstheme="minorHAnsi"/>
          <w:color w:val="000000" w:themeColor="text1"/>
          <w:sz w:val="22"/>
          <w:szCs w:val="22"/>
        </w:rPr>
        <w:t>1093.15</w:t>
      </w:r>
    </w:p>
    <w:p w:rsidR="0011244C" w:rsidP="002943D2" w14:paraId="671E1787" w14:textId="0C89DF8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2268FA" w:rsidRPr="002268FA" w:rsidP="002268FA" w14:paraId="355B4836"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This supporting statement addresses information collection activities that will be imposed by amendments to the New Source Performance Standards (NSPS) for Industrial Surface Coating of Plastic Parts for Business Machines, 40 CFR part 60, subpart TTT, as part of a periodic review required by the Clean Air Act (CAA). These amendments were proposed by notice published in the </w:t>
      </w:r>
      <w:r w:rsidRPr="002268FA">
        <w:rPr>
          <w:rFonts w:eastAsia="Times New Roman" w:cstheme="minorHAnsi"/>
          <w:i/>
          <w:iCs/>
        </w:rPr>
        <w:t>Federal Register</w:t>
      </w:r>
      <w:r w:rsidRPr="002268FA">
        <w:rPr>
          <w:rFonts w:eastAsia="Times New Roman" w:cstheme="minorHAnsi"/>
        </w:rPr>
        <w:t xml:space="preserve"> on June 21, 2022 (87 FR 36796). CAA section 111(b)(1)(B) requires the EPA to “at least every 8 years review and, if appropriate, revise” new source performance standards. The original NSPS for the source category covered by subpart TTT were proposed on January 8, 1986, and promulgated on January 29, 1988. These regulations apply to sources (plant sites) whose NSPS “affected facilities” perform industrial surface coating on plastic parts for use in the manufacture of business machines. Each affected facility is a spray booth that applies prime coats, color coats, texture coats, or touch-up coats. Under the 1988 rule, the affected facilities subject to NSPS subpart TTT were those that commenced construction, reconstruction, or modification after the date of proposal (January 8, 1986). Through the rulemaking that is the subject of this ICR, the EPA is amending 40 CFR part 60 by establishing a new subpart </w:t>
      </w:r>
      <w:r w:rsidRPr="002268FA">
        <w:rPr>
          <w:rFonts w:eastAsia="Times New Roman" w:cstheme="minorHAnsi"/>
        </w:rPr>
        <w:t>TTTa</w:t>
      </w:r>
      <w:r w:rsidRPr="002268FA">
        <w:rPr>
          <w:rFonts w:eastAsia="Times New Roman" w:cstheme="minorHAnsi"/>
        </w:rPr>
        <w:t xml:space="preserve">, to apply only to affected facilities that commence construction, reconstruction, or modification after June 21, 2022 (the date of publication of the proposed rule in the </w:t>
      </w:r>
      <w:r w:rsidRPr="002268FA">
        <w:rPr>
          <w:rFonts w:eastAsia="Times New Roman" w:cstheme="minorHAnsi"/>
          <w:u w:val="single"/>
        </w:rPr>
        <w:t>Federal Register)</w:t>
      </w:r>
      <w:r w:rsidRPr="002268FA">
        <w:rPr>
          <w:rFonts w:eastAsia="Times New Roman" w:cstheme="minorHAnsi"/>
        </w:rPr>
        <w:t>. As part of this same rulemaking, the EPA is also finalizing amendments to 40 CFR part 60, subpart TTT, such as to newly require electronic submission of the affected facilities’ periodic reports, and the amendments limit applicability of subpart TTT to affected facilities that commenced construction, reconstruction, or modification after January 8, 1986, but on or before June 21, 2022. This information is being collected to assure compliance with 40 CFR part 60, subpart TTT and new subpart </w:t>
      </w:r>
      <w:r w:rsidRPr="002268FA">
        <w:rPr>
          <w:rFonts w:eastAsia="Times New Roman" w:cstheme="minorHAnsi"/>
        </w:rPr>
        <w:t>TTTa</w:t>
      </w:r>
      <w:r w:rsidRPr="002268FA">
        <w:rPr>
          <w:rFonts w:eastAsia="Times New Roman" w:cstheme="minorHAnsi"/>
        </w:rPr>
        <w:t>.</w:t>
      </w:r>
    </w:p>
    <w:p w:rsidR="002268FA" w:rsidRPr="002268FA" w:rsidP="002268FA" w14:paraId="09EE15A3" w14:textId="77777777">
      <w:pPr>
        <w:autoSpaceDE w:val="0"/>
        <w:autoSpaceDN w:val="0"/>
        <w:spacing w:line="259" w:lineRule="auto"/>
        <w:ind w:left="0" w:firstLine="0"/>
        <w:rPr>
          <w:rFonts w:eastAsia="Times New Roman" w:cstheme="minorHAnsi"/>
        </w:rPr>
      </w:pPr>
      <w:r w:rsidRPr="002268FA">
        <w:rPr>
          <w:rFonts w:eastAsia="Times New Roman" w:cstheme="minorHAnsi"/>
        </w:rPr>
        <w:t>In general, all NSPS standards require initial notifications, performance tests, and periodic reports by the owners/operators of the affected facilities. These notifications, reports, and records are essential in determining compliance and are required of all affected facilities subject to NSPS.</w:t>
      </w:r>
    </w:p>
    <w:p w:rsidR="002268FA" w:rsidRPr="002268FA" w:rsidP="002268FA" w14:paraId="0DC0D5C6" w14:textId="77777777">
      <w:pPr>
        <w:autoSpaceDE w:val="0"/>
        <w:autoSpaceDN w:val="0"/>
        <w:spacing w:line="259" w:lineRule="auto"/>
        <w:ind w:left="0" w:firstLine="0"/>
        <w:rPr>
          <w:rFonts w:eastAsia="Times New Roman" w:cstheme="minorHAnsi"/>
        </w:rPr>
      </w:pPr>
      <w:r w:rsidRPr="002268FA">
        <w:rPr>
          <w:rFonts w:eastAsia="Times New Roman" w:cstheme="minorHAnsi"/>
        </w:rPr>
        <w:t>Any owner/operator subject to the provisions of this part shall maintain a file containing these documents and shall retain the file for at least 2 years following the generation date of such maintenance reports and records. All reports required to be submitted electronically are s</w:t>
      </w:r>
      <w:r w:rsidRPr="002268FA">
        <w:rPr>
          <w:rFonts w:eastAsia="Times New Roman" w:cstheme="minorHAnsi"/>
          <w:shd w:val="clear" w:color="auto" w:fill="FFFFFF"/>
        </w:rPr>
        <w:t xml:space="preserve">ubmitted through the EPA's Central Data Exchange (CDX), using the Compliance and Emissions Data Reporting Interface (CEDRI), where the delegated state or local authority can review them. </w:t>
      </w:r>
      <w:r w:rsidRPr="002268FA">
        <w:rPr>
          <w:rFonts w:eastAsia="Times New Roman" w:cstheme="minorHAnsi"/>
          <w:shd w:val="clear" w:color="auto" w:fill="FFFFFF"/>
        </w:rPr>
        <w:t>In the event that</w:t>
      </w:r>
      <w:r w:rsidRPr="002268FA">
        <w:rPr>
          <w:rFonts w:eastAsia="Times New Roman" w:cstheme="minorHAnsi"/>
          <w:shd w:val="clear" w:color="auto" w:fill="FFFFFF"/>
        </w:rPr>
        <w:t xml:space="preserve"> there is no such delegated authority, the EPA regional office can review them. </w:t>
      </w:r>
      <w:r w:rsidRPr="002268FA">
        <w:rPr>
          <w:rFonts w:eastAsia="Times New Roman" w:cstheme="minorHAnsi"/>
        </w:rPr>
        <w:t>All other reports are s</w:t>
      </w:r>
      <w:r w:rsidRPr="002268FA">
        <w:rPr>
          <w:rFonts w:eastAsia="Times New Roman" w:cstheme="minorHAnsi"/>
          <w:shd w:val="clear" w:color="auto" w:fill="FFFFFF"/>
        </w:rPr>
        <w:t xml:space="preserve">ent to the delegated state or local authority. </w:t>
      </w:r>
      <w:r w:rsidRPr="002268FA">
        <w:rPr>
          <w:rFonts w:eastAsia="Times New Roman" w:cstheme="minorHAnsi"/>
          <w:shd w:val="clear" w:color="auto" w:fill="FFFFFF"/>
        </w:rPr>
        <w:t>In the event that</w:t>
      </w:r>
      <w:r w:rsidRPr="002268FA">
        <w:rPr>
          <w:rFonts w:eastAsia="Times New Roman" w:cstheme="minorHAnsi"/>
          <w:shd w:val="clear" w:color="auto" w:fill="FFFFFF"/>
        </w:rPr>
        <w:t xml:space="preserve"> there is no such delegated authority, the reports are sent directly to the appropriate EPA regional office. The use of the term "Designated Administrator" </w:t>
      </w:r>
      <w:r w:rsidRPr="002268FA">
        <w:rPr>
          <w:rFonts w:eastAsia="Times New Roman" w:cstheme="minorHAnsi"/>
          <w:shd w:val="clear" w:color="auto" w:fill="FFFFFF"/>
        </w:rPr>
        <w:t>throughout this document refers to the U.S. EPA or a delegated authority such as a state agency. The term "Administrator" alone refers to the U.S. EPA Administrator.</w:t>
      </w:r>
    </w:p>
    <w:p w:rsidR="002268FA" w:rsidRPr="002268FA" w:rsidP="002268FA" w14:paraId="39D5D250"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The “Affected Public” are owners or operators of facilities that perform industrial surface coating on plastic parts for use in the manufacture of business machines. The burden to the “Affected Public” may be found in Tables 1 through 4 of Attachment 1. The burden to the “Federal Government” is attributed entirely to work performed by federal employees or government contractors and may be found in Tables 5 through 8 of Attachment 1. There are approximately three plant sites with spray booths used to surface coat plastic parts for business machines. None of the three sites in the United States are owned by state, local, tribal or the federal government. They are all owned and operated by privately-owned, for-profit businesses. We assume that they will all respond. </w:t>
      </w:r>
    </w:p>
    <w:p w:rsidR="002268FA" w:rsidRPr="002268FA" w:rsidP="002268FA" w14:paraId="5AF2288B" w14:textId="77777777">
      <w:pPr>
        <w:autoSpaceDE w:val="0"/>
        <w:autoSpaceDN w:val="0"/>
        <w:spacing w:line="259" w:lineRule="auto"/>
        <w:ind w:left="0" w:firstLine="0"/>
        <w:rPr>
          <w:rFonts w:eastAsia="Times New Roman" w:cstheme="minorHAnsi"/>
        </w:rPr>
      </w:pPr>
      <w:r w:rsidRPr="002268FA">
        <w:rPr>
          <w:rFonts w:eastAsia="Times New Roman" w:cstheme="minorHAnsi"/>
        </w:rPr>
        <w:t>Based on our consultations with respondents, there are an average of eight affected facilities (spray booths) at each plant site, and each plant site has only one respondent (</w:t>
      </w:r>
      <w:r w:rsidRPr="002268FA">
        <w:rPr>
          <w:rFonts w:eastAsia="Times New Roman" w:cstheme="minorHAnsi"/>
          <w:i/>
          <w:iCs/>
        </w:rPr>
        <w:t>i.e.</w:t>
      </w:r>
      <w:r w:rsidRPr="002268FA">
        <w:rPr>
          <w:rFonts w:eastAsia="Times New Roman" w:cstheme="minorHAnsi"/>
        </w:rPr>
        <w:t>, the owner/operator of the plant site).</w:t>
      </w:r>
    </w:p>
    <w:p w:rsidR="002268FA" w:rsidRPr="002268FA" w:rsidP="002268FA" w14:paraId="170A4267" w14:textId="77777777">
      <w:pPr>
        <w:autoSpaceDE w:val="0"/>
        <w:autoSpaceDN w:val="0"/>
        <w:spacing w:line="259" w:lineRule="auto"/>
        <w:ind w:left="0" w:firstLine="0"/>
        <w:rPr>
          <w:rFonts w:eastAsia="Times New Roman" w:cstheme="minorHAnsi"/>
        </w:rPr>
      </w:pPr>
      <w:r w:rsidRPr="002268FA">
        <w:rPr>
          <w:rFonts w:eastAsia="Times New Roman" w:cstheme="minorHAnsi"/>
        </w:rPr>
        <w:t>Respondents are sources that are owned and operated by entities that perform surface coating of plastic parts for business machines and that will be subject to either subpart TTT or subpart </w:t>
      </w:r>
      <w:r w:rsidRPr="002268FA">
        <w:rPr>
          <w:rFonts w:eastAsia="Times New Roman" w:cstheme="minorHAnsi"/>
        </w:rPr>
        <w:t>TTTa</w:t>
      </w:r>
      <w:r w:rsidRPr="002268FA">
        <w:rPr>
          <w:rFonts w:eastAsia="Times New Roman" w:cstheme="minorHAnsi"/>
        </w:rPr>
        <w:t xml:space="preserve"> of the NSPS. Over the next 3 years, the EPA estimates that approximately three respondents subject to subpart TTT will be affected by the amendments being finalized. The EPA estimates minimal burden on respondents and no change in burden on the EPA </w:t>
      </w:r>
      <w:r w:rsidRPr="002268FA">
        <w:rPr>
          <w:rFonts w:eastAsia="Times New Roman" w:cstheme="minorHAnsi"/>
        </w:rPr>
        <w:t>as a result of</w:t>
      </w:r>
      <w:r w:rsidRPr="002268FA">
        <w:rPr>
          <w:rFonts w:eastAsia="Times New Roman" w:cstheme="minorHAnsi"/>
        </w:rPr>
        <w:t xml:space="preserve"> amendments affecting sources subject to subpart TTT, because the amendments are minor, primarily to incorporate requirements for electronic submission of reports. The EPA estimates no burden on respondents or on the EPA associated with the amendments under subpart </w:t>
      </w:r>
      <w:r w:rsidRPr="002268FA">
        <w:rPr>
          <w:rFonts w:eastAsia="Times New Roman" w:cstheme="minorHAnsi"/>
        </w:rPr>
        <w:t>TTTa</w:t>
      </w:r>
      <w:r w:rsidRPr="002268FA">
        <w:rPr>
          <w:rFonts w:eastAsia="Times New Roman" w:cstheme="minorHAnsi"/>
        </w:rPr>
        <w:t xml:space="preserve">, </w:t>
      </w:r>
      <w:r w:rsidRPr="002268FA">
        <w:rPr>
          <w:rFonts w:eastAsia="Times New Roman" w:cstheme="minorHAnsi"/>
        </w:rPr>
        <w:t>for the reason that</w:t>
      </w:r>
      <w:r w:rsidRPr="002268FA">
        <w:rPr>
          <w:rFonts w:eastAsia="Times New Roman" w:cstheme="minorHAnsi"/>
        </w:rPr>
        <w:t xml:space="preserve"> no new, modified, or reconstructed facilities are expected over the 3-year collection period for which OMB’s clearance is requested.</w:t>
      </w:r>
    </w:p>
    <w:p w:rsidR="002268FA" w:rsidRPr="002268FA" w:rsidP="002268FA" w14:paraId="7FA21E17"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Over the next 3 years, we estimate that three respondents per year will be subject to these standards, and the total labor, capital, and operations and maintenance costs imposed by the amendments will average to approximately $276 per year for the first 3 years after the amendments are finalized. </w:t>
      </w:r>
      <w:r w:rsidRPr="002268FA">
        <w:rPr>
          <w:rFonts w:eastAsia="Times New Roman" w:cstheme="minorHAnsi"/>
        </w:rPr>
        <w:t>All of</w:t>
      </w:r>
      <w:r w:rsidRPr="002268FA">
        <w:rPr>
          <w:rFonts w:eastAsia="Times New Roman" w:cstheme="minorHAnsi"/>
        </w:rPr>
        <w:t xml:space="preserve"> the incremental costs would be incurred in the first year, when existing sources familiarize with the subject amendments (an estimated $828). The amendments will not impose any additional burden on respondents in years two and three. The burden to the respondents from each facility is shown in Tables 1 through 4 of Attachment 1, which is available as an Excel </w:t>
      </w:r>
      <w:bookmarkStart w:id="1" w:name="_Hlk76048501"/>
      <w:r w:rsidRPr="002268FA">
        <w:rPr>
          <w:rFonts w:eastAsia="Times New Roman" w:cstheme="minorHAnsi"/>
        </w:rPr>
        <w:t>workbook in the docket for this action (Docket ID No. EPA-HQ-OAR-2021-0200)</w:t>
      </w:r>
      <w:bookmarkEnd w:id="1"/>
      <w:r w:rsidRPr="002268FA">
        <w:rPr>
          <w:rFonts w:eastAsia="Times New Roman" w:cstheme="minorHAnsi"/>
        </w:rPr>
        <w:t>.</w:t>
      </w:r>
    </w:p>
    <w:p w:rsidR="002268FA" w:rsidRPr="002268FA" w:rsidP="002268FA" w14:paraId="09694CCC"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The total cost to the Designated Administrator during the 3 years of the ICR is estimated to average to $0 per year </w:t>
      </w:r>
      <w:r w:rsidRPr="002268FA">
        <w:rPr>
          <w:rFonts w:eastAsia="Times New Roman" w:cstheme="minorHAnsi"/>
        </w:rPr>
        <w:t>as a result of</w:t>
      </w:r>
      <w:r w:rsidRPr="002268FA">
        <w:rPr>
          <w:rFonts w:eastAsia="Times New Roman" w:cstheme="minorHAnsi"/>
        </w:rPr>
        <w:t xml:space="preserve"> the subject rule amendments, with equal cost in the first year (an estimated $0). This burden includes labor costs for the EPA and state and local authorities to implement the requirements in the NSPS resulting from the subject rule amendments. This burden is shown in Tables 5 through 8 of Attachment 1.</w:t>
      </w:r>
    </w:p>
    <w:p w:rsidR="002268FA" w:rsidRPr="002268FA" w:rsidP="002268FA" w14:paraId="3D1174C6" w14:textId="29B62BED">
      <w:pPr>
        <w:autoSpaceDE w:val="0"/>
        <w:autoSpaceDN w:val="0"/>
        <w:spacing w:line="259" w:lineRule="auto"/>
        <w:ind w:left="0" w:firstLine="0"/>
        <w:rPr>
          <w:rFonts w:eastAsia="Times New Roman" w:cstheme="minorHAnsi"/>
        </w:rPr>
      </w:pPr>
      <w:r w:rsidRPr="002268FA">
        <w:rPr>
          <w:rFonts w:eastAsia="Times New Roman" w:cstheme="minorHAnsi"/>
        </w:rPr>
        <w:t>The Office of Management and Budget (OMB) approved the currently active ICR without any “Terms of Clearance.”</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8"/>
      <w:bookmarkEnd w:id="0"/>
      <w:r w:rsidRPr="008B3B3E">
        <w:rPr>
          <w:rFonts w:asciiTheme="minorHAnsi" w:hAnsiTheme="minorHAnsi" w:cstheme="minorHAnsi"/>
          <w:b/>
          <w:bCs/>
          <w:color w:val="000000" w:themeColor="text1"/>
          <w:sz w:val="22"/>
          <w:szCs w:val="22"/>
        </w:rPr>
        <w:t>NEED AND AUTHORITY FOR THE COLLECTION</w:t>
      </w:r>
      <w:bookmarkEnd w:id="2"/>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2268FA" w:rsidRPr="002268FA" w:rsidP="002268FA" w14:paraId="3E9BD6E8"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CAA section 111(b)(1)(B) requires the EPA to “at least every 8 years review and, if appropriate, revise” new source performance standards. In setting or revising a performance standard, CAA section 111(a)(1) provides that performance standards are to “reflect the degree of emission limitation achievable through the application of the best system of emission reduction which (taking into account the cost of achieving such reduction and any </w:t>
      </w:r>
      <w:r w:rsidRPr="002268FA">
        <w:rPr>
          <w:rFonts w:eastAsia="Times New Roman" w:cstheme="minorHAnsi"/>
        </w:rPr>
        <w:t>nonair</w:t>
      </w:r>
      <w:r w:rsidRPr="002268FA">
        <w:rPr>
          <w:rFonts w:eastAsia="Times New Roman" w:cstheme="minorHAnsi"/>
        </w:rPr>
        <w:t xml:space="preserve"> quality health and environmental impact and energy requirements) the Administrator determines has been adequately demonstrated.” We refer to this level of control as the best system of emission reduction or “BSER.”</w:t>
      </w:r>
    </w:p>
    <w:p w:rsidR="002268FA" w:rsidRPr="002268FA" w:rsidP="002268FA" w14:paraId="7B9065EF" w14:textId="77777777">
      <w:pPr>
        <w:autoSpaceDE w:val="0"/>
        <w:autoSpaceDN w:val="0"/>
        <w:spacing w:line="259" w:lineRule="auto"/>
        <w:ind w:left="0" w:firstLine="0"/>
        <w:rPr>
          <w:rFonts w:eastAsia="Times New Roman" w:cstheme="minorHAnsi"/>
        </w:rPr>
      </w:pPr>
      <w:r w:rsidRPr="002268FA">
        <w:rPr>
          <w:rFonts w:eastAsia="Times New Roman" w:cstheme="minorHAnsi"/>
        </w:rPr>
        <w:t>The CAA makes clear that the EPA is to determine both the BSER for the regulated sources in the source category and the degree of emission limitation achievable through application of the BSER. The EPA must then, under CAA section 111(b)(1)(B), promulgate standards of performance for new sources that reflect that level of stringency. CAA section 111(b)(5) precludes the EPA from prescribing a particular technological system that must be used to comply with a standard of performance. Rather, sources can select any measure or combination of measures that will achieve the standard.</w:t>
      </w:r>
    </w:p>
    <w:p w:rsidR="002268FA" w:rsidRPr="002268FA" w:rsidP="002268FA" w14:paraId="6DA371FD"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In addition, CAA section 114(a) states that the Administrator may require any owner/operator subject to any requirement of this Act to: </w:t>
      </w:r>
    </w:p>
    <w:p w:rsidR="002268FA" w:rsidRPr="002268FA" w:rsidP="002268FA" w14:paraId="3258F3F7" w14:textId="77777777">
      <w:pPr>
        <w:autoSpaceDE w:val="0"/>
        <w:autoSpaceDN w:val="0"/>
        <w:spacing w:line="259" w:lineRule="auto"/>
        <w:ind w:left="1440" w:right="1440" w:firstLine="0"/>
        <w:rPr>
          <w:rFonts w:eastAsia="Times New Roman" w:cstheme="minorHAnsi"/>
        </w:rPr>
      </w:pPr>
      <w:r w:rsidRPr="002268FA">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268FA" w:rsidRPr="002268FA" w:rsidP="002268FA" w14:paraId="19942AB7" w14:textId="77777777">
      <w:pPr>
        <w:autoSpaceDE w:val="0"/>
        <w:autoSpaceDN w:val="0"/>
        <w:spacing w:line="259" w:lineRule="auto"/>
        <w:ind w:left="0" w:firstLine="0"/>
        <w:rPr>
          <w:rFonts w:eastAsia="Times New Roman" w:cstheme="minorHAnsi"/>
        </w:rPr>
      </w:pPr>
      <w:r w:rsidRPr="002268FA">
        <w:rPr>
          <w:rFonts w:eastAsia="Times New Roman" w:cstheme="minorHAnsi"/>
        </w:rPr>
        <w:t>In the Administrator's judgment, volatile organic compound (VOC) emissions from surface coating of plastic parts either cause or contribute to air pollution that may reasonably be anticipated to endanger public health and/or welfare. Therefore, the NSPS were promulgated for this source category at 40 CFR part 60, subpart TTT.</w:t>
      </w:r>
    </w:p>
    <w:p w:rsidR="002268FA" w:rsidRPr="002268FA" w:rsidP="002268FA" w14:paraId="64377C1B" w14:textId="77777777">
      <w:pPr>
        <w:autoSpaceDE w:val="0"/>
        <w:autoSpaceDN w:val="0"/>
        <w:spacing w:line="259" w:lineRule="auto"/>
        <w:ind w:left="0" w:firstLine="0"/>
        <w:rPr>
          <w:rFonts w:eastAsia="Times New Roman" w:cstheme="minorHAnsi"/>
        </w:rPr>
      </w:pPr>
      <w:r w:rsidRPr="002268FA">
        <w:rPr>
          <w:rFonts w:eastAsia="Times New Roman" w:cstheme="minorHAnsi"/>
        </w:rPr>
        <w:t xml:space="preserve">The amendments being finalized present the EPA’s review of the requirements of 40 CFR part 60, subpart TTT pursuant to CAA section 111(b)(1)(B). Based on this statutory review, the EPA has determined that there </w:t>
      </w:r>
      <w:r w:rsidRPr="002268FA">
        <w:rPr>
          <w:rFonts w:eastAsia="Times New Roman" w:cstheme="minorHAnsi"/>
        </w:rPr>
        <w:t>are</w:t>
      </w:r>
      <w:r w:rsidRPr="002268FA">
        <w:rPr>
          <w:rFonts w:eastAsia="Times New Roman" w:cstheme="minorHAnsi"/>
        </w:rPr>
        <w:t xml:space="preserve"> emission reduction techniques used in practice that achieve greater VOC emission reductions than those currently required by NSPS subpart TTT for surface coating operations. </w:t>
      </w:r>
      <w:r w:rsidRPr="002268FA">
        <w:rPr>
          <w:rFonts w:eastAsia="Times New Roman" w:cstheme="minorHAnsi"/>
          <w:bCs/>
        </w:rPr>
        <w:t>Pursuant to CAA section 111(a), the VOC emission standards under the new NSPS subpart </w:t>
      </w:r>
      <w:r w:rsidRPr="002268FA">
        <w:rPr>
          <w:rFonts w:eastAsia="Times New Roman" w:cstheme="minorHAnsi"/>
          <w:bCs/>
        </w:rPr>
        <w:t>TTTa</w:t>
      </w:r>
      <w:r w:rsidRPr="002268FA">
        <w:rPr>
          <w:rFonts w:eastAsia="Times New Roman" w:cstheme="minorHAnsi"/>
          <w:bCs/>
        </w:rPr>
        <w:t xml:space="preserve"> apply only to facilities that begin construction, reconstruction, or modification after June 21, 2022 (the date of publication of the proposed rule in the </w:t>
      </w:r>
      <w:r w:rsidRPr="002268FA">
        <w:rPr>
          <w:rFonts w:eastAsia="Times New Roman" w:cstheme="minorHAnsi"/>
          <w:bCs/>
          <w:u w:val="single"/>
        </w:rPr>
        <w:t>Federal Register)</w:t>
      </w:r>
      <w:r w:rsidRPr="002268FA">
        <w:rPr>
          <w:rFonts w:eastAsia="Times New Roman" w:cstheme="minorHAnsi"/>
          <w:bCs/>
        </w:rPr>
        <w:t>.</w:t>
      </w:r>
    </w:p>
    <w:p w:rsidR="00BB432F" w:rsidRPr="002268FA" w:rsidP="002268FA" w14:paraId="61662F16" w14:textId="02221B05">
      <w:pPr>
        <w:autoSpaceDE w:val="0"/>
        <w:autoSpaceDN w:val="0"/>
        <w:spacing w:line="259" w:lineRule="auto"/>
        <w:ind w:left="0" w:firstLine="0"/>
        <w:rPr>
          <w:rFonts w:eastAsia="Times New Roman" w:cstheme="minorHAnsi"/>
        </w:rPr>
      </w:pPr>
      <w:r w:rsidRPr="002268FA">
        <w:rPr>
          <w:rFonts w:eastAsia="Times New Roman" w:cstheme="minorHAnsi"/>
          <w:bCs/>
        </w:rPr>
        <w:t xml:space="preserve">For sources that are already subject to the NSPS, we are finalizing certain revisions to subpart TTT that do not change the applicability of the NSPS or existing emission limits for VOC. Those revisions apply to </w:t>
      </w:r>
      <w:r w:rsidRPr="002268FA">
        <w:rPr>
          <w:rFonts w:eastAsia="Times New Roman" w:cstheme="minorHAnsi"/>
          <w:bCs/>
        </w:rPr>
        <w:t xml:space="preserve">all </w:t>
      </w:r>
      <w:r w:rsidRPr="002268FA">
        <w:rPr>
          <w:rFonts w:eastAsia="Times New Roman" w:cstheme="minorHAnsi"/>
        </w:rPr>
        <w:t>affected facilities that commence construction, reconstruction, or modification after January 8, 1986 (</w:t>
      </w:r>
      <w:r w:rsidRPr="002268FA">
        <w:rPr>
          <w:rFonts w:eastAsia="Times New Roman" w:cstheme="minorHAnsi"/>
          <w:i/>
          <w:iCs/>
        </w:rPr>
        <w:t>i.e.</w:t>
      </w:r>
      <w:r w:rsidRPr="002268FA">
        <w:rPr>
          <w:rFonts w:eastAsia="Times New Roman" w:cstheme="minorHAnsi"/>
        </w:rPr>
        <w:t>, all affected facilities under either subpart TTT or new subpart </w:t>
      </w:r>
      <w:r w:rsidRPr="002268FA">
        <w:rPr>
          <w:rFonts w:eastAsia="Times New Roman" w:cstheme="minorHAnsi"/>
        </w:rPr>
        <w:t>TTTa</w:t>
      </w:r>
      <w:r w:rsidRPr="002268FA">
        <w:rPr>
          <w:rFonts w:eastAsia="Times New Roman" w:cstheme="minorHAnsi"/>
        </w:rPr>
        <w:t>). With respect to affected facilities subject to subpart TTT, none of these clarifications would increase the cost of the rule or result in a change in VOC emissions.</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9"/>
      <w:r w:rsidRPr="008B3B3E">
        <w:rPr>
          <w:rFonts w:asciiTheme="minorHAnsi" w:hAnsiTheme="minorHAnsi" w:cstheme="minorHAnsi"/>
          <w:b/>
          <w:bCs/>
          <w:color w:val="000000" w:themeColor="text1"/>
          <w:sz w:val="22"/>
          <w:szCs w:val="22"/>
        </w:rPr>
        <w:t>PRACTICAL UTILITY/USERS OF THE DATA</w:t>
      </w:r>
      <w:bookmarkEnd w:id="3"/>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2268FA" w:rsidRPr="002268FA" w:rsidP="002268FA" w14:paraId="2AD201E8" w14:textId="77777777">
      <w:pPr>
        <w:spacing w:line="259" w:lineRule="auto"/>
        <w:ind w:left="0" w:firstLine="0"/>
        <w:rPr>
          <w:rFonts w:cstheme="minorHAnsi"/>
        </w:rPr>
      </w:pPr>
      <w:r w:rsidRPr="002268FA">
        <w:rPr>
          <w:rFonts w:cstheme="minorHAnsi"/>
        </w:rPr>
        <w:t>The recordkeeping and reporting requirements in the standards ensure compliance with the applicable regulations which were promulgated in accordance with the CAA. The collected information is also used for targeting inspections and as evidence in legal proceedings.</w:t>
      </w:r>
    </w:p>
    <w:p w:rsidR="002268FA" w:rsidRPr="002268FA" w:rsidP="002268FA" w14:paraId="559FDFFF" w14:textId="77777777">
      <w:pPr>
        <w:spacing w:line="259" w:lineRule="auto"/>
        <w:ind w:left="0" w:firstLine="0"/>
        <w:rPr>
          <w:rFonts w:cstheme="minorHAnsi"/>
        </w:rPr>
      </w:pPr>
      <w:r w:rsidRPr="002268FA">
        <w:rPr>
          <w:rFonts w:cstheme="minorHAnsi"/>
        </w:rPr>
        <w:t xml:space="preserve">Performance tests are required </w:t>
      </w:r>
      <w:r w:rsidRPr="002268FA">
        <w:rPr>
          <w:rFonts w:cstheme="minorHAnsi"/>
        </w:rPr>
        <w:t>in order to</w:t>
      </w:r>
      <w:r w:rsidRPr="002268FA">
        <w:rPr>
          <w:rFonts w:cstheme="minorHAnsi"/>
        </w:rPr>
        <w:t xml:space="preserve"> determine an affected facility’s initial and ongoing capability to comply with the emission standards. During the performance test, a record of the operating parameters under which compliance was achieved may be recorded and used in place of a continuous emission monitor to determine compliance.</w:t>
      </w:r>
    </w:p>
    <w:p w:rsidR="002268FA" w:rsidRPr="002268FA" w:rsidP="002268FA" w14:paraId="716114BF" w14:textId="77777777">
      <w:pPr>
        <w:spacing w:line="259" w:lineRule="auto"/>
        <w:ind w:left="0" w:firstLine="0"/>
        <w:rPr>
          <w:rFonts w:cstheme="minorHAnsi"/>
        </w:rPr>
      </w:pPr>
      <w:r w:rsidRPr="002268FA">
        <w:rPr>
          <w:rFonts w:cstheme="minorHAnsi"/>
        </w:rPr>
        <w:t>The notifications required in the standards are used to inform the Agency or Designated Administrator when a source becomes subject to the requirements of the regulations. The Designated Administrator may also use information to inform an inspection of the source to check whether the pollution controls are properly implemented and to check whether the standards are being met.</w:t>
      </w:r>
    </w:p>
    <w:p w:rsidR="002268FA" w:rsidRPr="002268FA" w:rsidP="002268FA" w14:paraId="3465DECB" w14:textId="77777777">
      <w:pPr>
        <w:spacing w:line="259" w:lineRule="auto"/>
        <w:ind w:left="0" w:firstLine="0"/>
        <w:rPr>
          <w:rFonts w:cstheme="minorHAnsi"/>
        </w:rPr>
      </w:pPr>
      <w:r w:rsidRPr="002268FA">
        <w:rPr>
          <w:rFonts w:cstheme="minorHAnsi"/>
        </w:rPr>
        <w:t>The required quarterly and semiannual reports are used to determine periods of excess emissions, identify problems at the facility, verify operation/maintenance procedures, and demonstrate ongoing compliance with standards.</w:t>
      </w:r>
    </w:p>
    <w:p w:rsidR="00BB432F" w:rsidRPr="002943D2" w:rsidP="002943D2" w14:paraId="1E879A61" w14:textId="0F4436CA">
      <w:pPr>
        <w:spacing w:line="259" w:lineRule="auto"/>
        <w:ind w:left="0" w:firstLine="0"/>
        <w:rPr>
          <w:rFonts w:cstheme="minorHAnsi"/>
        </w:rPr>
      </w:pPr>
      <w:r w:rsidRPr="002268FA">
        <w:rPr>
          <w:rFonts w:cstheme="minorHAnsi"/>
        </w:rPr>
        <w:t xml:space="preserve">Additionally, the EPA is requiring that owners or operators of affected sources submit electronic copies of required performance test reports, quarterly reports of noncompliance, and semiannual statements of compliance through the CDX, using CEDRI. A description of the electronic data submission process is provided in the memorandum </w:t>
      </w:r>
      <w:r w:rsidRPr="002268FA">
        <w:rPr>
          <w:rFonts w:cstheme="minorHAnsi"/>
          <w:i/>
          <w:iCs/>
        </w:rPr>
        <w:t>Electronic Reporting Requirements for New Source Performance Standards (NSPS) and National Emission Standards for Hazardous Air Pollutants (NESHAP) Rules</w:t>
      </w:r>
      <w:r w:rsidRPr="002268FA">
        <w:rPr>
          <w:rFonts w:cstheme="minorHAnsi"/>
        </w:rPr>
        <w:t>, available in the docket for the rulemaking action. The subject rule requires that the performance test reports, quarterly reports of noncompliance, and semiannual statements of compliance be submitted as a portable document format (PDF) upload in CEDRI. The requirements apply to all affected facilities that commence construction, modification, or reconstruction after January 8, 1986 (</w:t>
      </w:r>
      <w:r w:rsidRPr="002268FA">
        <w:rPr>
          <w:rFonts w:cstheme="minorHAnsi"/>
          <w:i/>
          <w:iCs/>
        </w:rPr>
        <w:t>i.e.</w:t>
      </w:r>
      <w:r w:rsidRPr="002268FA">
        <w:rPr>
          <w:rFonts w:cstheme="minorHAnsi"/>
        </w:rPr>
        <w:t xml:space="preserve">, all affected facilities under either subpart TTT or new subpart </w:t>
      </w:r>
      <w:r w:rsidRPr="002268FA">
        <w:rPr>
          <w:rFonts w:cstheme="minorHAnsi"/>
        </w:rPr>
        <w:t>TTTa</w:t>
      </w:r>
      <w:r w:rsidRPr="002268FA">
        <w:rPr>
          <w:rFonts w:cstheme="minorHAnsi"/>
        </w:rPr>
        <w: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0"/>
      <w:r w:rsidRPr="008B3B3E">
        <w:rPr>
          <w:rFonts w:asciiTheme="minorHAnsi" w:hAnsiTheme="minorHAnsi" w:cstheme="minorHAnsi"/>
          <w:b/>
          <w:bCs/>
          <w:color w:val="000000" w:themeColor="text1"/>
          <w:sz w:val="22"/>
          <w:szCs w:val="22"/>
        </w:rPr>
        <w:t>USE OF TECHNOLOGY</w:t>
      </w:r>
      <w:bookmarkEnd w:id="4"/>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268FA" w:rsidRPr="002268FA" w:rsidP="002268FA" w14:paraId="26B1EA8C" w14:textId="77777777">
      <w:pPr>
        <w:spacing w:line="259" w:lineRule="auto"/>
        <w:ind w:left="0" w:firstLine="0"/>
        <w:rPr>
          <w:rFonts w:cstheme="minorHAnsi"/>
        </w:rPr>
      </w:pPr>
      <w:r w:rsidRPr="002268FA">
        <w:rPr>
          <w:rFonts w:cstheme="minorHAnsi"/>
        </w:rPr>
        <w:t xml:space="preserve">As part of the amendments being finalized, respondents are required to submit notifications and semiannual reports through the EPA’s Compliance and Emissions Data Reporting Interface (CEDRI). The </w:t>
      </w:r>
      <w:r w:rsidRPr="002268FA">
        <w:rPr>
          <w:rFonts w:cstheme="minorHAnsi"/>
        </w:rPr>
        <w:t>notification is an upload of their currently required notification in portable document format (PDF) file. No electronic template is necessary for the reporting required by the subject rulemaking. For purposes of this ICR, it is assumed that there will be only minimal burden associated with the requirement for respondents to submit the notifications and reports electronically.</w:t>
      </w:r>
    </w:p>
    <w:p w:rsidR="009F1E00" w:rsidRPr="008B3B3E" w:rsidP="002943D2" w14:paraId="7B30150C" w14:textId="34B4762D">
      <w:pPr>
        <w:spacing w:line="259" w:lineRule="auto"/>
        <w:ind w:left="0" w:firstLine="0"/>
        <w:rPr>
          <w:rFonts w:cstheme="minorHAnsi"/>
        </w:rPr>
      </w:pPr>
      <w:r w:rsidRPr="002268FA">
        <w:rPr>
          <w:rFonts w:cstheme="minorHAnsi"/>
        </w:rPr>
        <w:t xml:space="preserve">Electronic copies of records may also be maintained </w:t>
      </w:r>
      <w:r w:rsidRPr="002268FA">
        <w:rPr>
          <w:rFonts w:cstheme="minorHAnsi"/>
        </w:rPr>
        <w:t>in order to</w:t>
      </w:r>
      <w:r w:rsidRPr="002268FA">
        <w:rPr>
          <w:rFonts w:cstheme="minorHAnsi"/>
        </w:rPr>
        <w:t xml:space="preserve"> satisfy federal recordkeeping requirements. For additional information on the Paperwork Reduction Act requirements for CEDRI for this rule, see: </w:t>
      </w:r>
      <w:hyperlink r:id="rId9" w:history="1">
        <w:r w:rsidRPr="002268FA">
          <w:rPr>
            <w:rStyle w:val="Hyperlink"/>
            <w:rFonts w:cstheme="minorHAnsi"/>
            <w:i/>
            <w:iCs/>
          </w:rPr>
          <w:t>https://www.epa.gov/electronic-reporting-air-emissions/paperwork-reduction-act-pra-cedri-and-ert</w:t>
        </w:r>
      </w:hyperlink>
      <w:r w:rsidRPr="002268FA">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1"/>
      <w:r w:rsidRPr="008B3B3E">
        <w:rPr>
          <w:rFonts w:asciiTheme="minorHAnsi" w:hAnsiTheme="minorHAnsi" w:cstheme="minorHAnsi"/>
          <w:b/>
          <w:bCs/>
          <w:color w:val="000000" w:themeColor="text1"/>
          <w:sz w:val="22"/>
          <w:szCs w:val="22"/>
        </w:rPr>
        <w:t>EFFORTS TO IDENTIFY DUPLICATION</w:t>
      </w:r>
      <w:bookmarkEnd w:id="5"/>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990468" w:rsidRPr="00990468" w:rsidP="00990468" w14:paraId="2BB4A325" w14:textId="28D5E89E">
      <w:pPr>
        <w:spacing w:line="259" w:lineRule="auto"/>
        <w:ind w:left="0" w:firstLine="0"/>
      </w:pPr>
      <w: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7AE849D6" w:rsidP="7AE849D6" w14:paraId="32102776" w14:textId="36EC4528">
      <w:pPr>
        <w:spacing w:line="259" w:lineRule="auto"/>
        <w:ind w:left="0" w:firstLine="0"/>
      </w:pPr>
      <w: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FC55DA" w:rsidRPr="00FC55DA" w:rsidP="00FC55DA" w14:paraId="61A89BF7" w14:textId="77777777">
      <w:pPr>
        <w:spacing w:line="259" w:lineRule="auto"/>
        <w:ind w:left="0" w:firstLine="0"/>
        <w:rPr>
          <w:rFonts w:cstheme="minorHAnsi"/>
        </w:rPr>
      </w:pPr>
      <w:r w:rsidRPr="00FC55DA">
        <w:rPr>
          <w:rFonts w:cstheme="minorHAnsi"/>
        </w:rPr>
        <w:t>The majority of</w:t>
      </w:r>
      <w:r w:rsidRPr="00FC55DA">
        <w:rPr>
          <w:rFonts w:cstheme="minorHAnsi"/>
        </w:rPr>
        <w:t xml:space="preserve"> the respondents are small entities </w:t>
      </w:r>
      <w:r w:rsidRPr="00FC55DA">
        <w:rPr>
          <w:rFonts w:cstheme="minorHAnsi"/>
          <w:i/>
          <w:iCs/>
        </w:rPr>
        <w:t>(i.e.</w:t>
      </w:r>
      <w:r w:rsidRPr="00FC55DA">
        <w:rPr>
          <w:rFonts w:cstheme="minorHAnsi"/>
        </w:rPr>
        <w:t>, small businesses). However, the impact on small entities was taken into consideration during the development of the regulation. Due to technical considerations involving the process operations and the emission reduction technique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D57A4" w:rsidRPr="008B3B3E" w:rsidP="002943D2" w14:paraId="518B46AB" w14:textId="53D76C56">
      <w:pPr>
        <w:spacing w:line="259" w:lineRule="auto"/>
        <w:ind w:left="0" w:firstLine="0"/>
        <w:rPr>
          <w:rFonts w:cstheme="minorHAnsi"/>
        </w:rPr>
      </w:pPr>
      <w:r w:rsidRPr="00FC55DA">
        <w:rPr>
          <w:rFonts w:cstheme="minorHAnsi"/>
        </w:rPr>
        <w:t>The number of small entities potentially subject to the requirements of this information collection request is estimated to be 67 percent of the respondent universe, or two plants from a total of three respondents. This estimate is based on the percent of plants in this industry that were classified as small plants during the development of this rule.</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49B2162">
      <w:pPr>
        <w:spacing w:line="259" w:lineRule="auto"/>
        <w:ind w:left="0" w:firstLine="0"/>
        <w:rPr>
          <w:rFonts w:cstheme="minorHAnsi"/>
        </w:rPr>
      </w:pPr>
      <w:r w:rsidRPr="00FC55DA">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that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34FB7BC" w14:paraId="775EDF16" w14:textId="7E5664B1">
      <w:pPr>
        <w:spacing w:line="259" w:lineRule="auto"/>
        <w:ind w:left="0" w:firstLine="0"/>
      </w:pPr>
      <w:r>
        <w:t>T</w:t>
      </w:r>
      <w:r w:rsidRPr="034FB7BC" w:rsidR="00FC55DA">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5ED6923">
      <w:pPr>
        <w:spacing w:line="259" w:lineRule="auto"/>
        <w:ind w:left="0" w:firstLine="0"/>
        <w:rPr>
          <w:rFonts w:cstheme="minorHAnsi"/>
        </w:rPr>
      </w:pPr>
      <w:r w:rsidRPr="00FC55DA">
        <w:rPr>
          <w:rFonts w:cstheme="minorHAnsi"/>
        </w:rPr>
        <w:t xml:space="preserve">The EPA solicited public comment on the subject rule’s information collection activities as part of the same notice in which the EPA proposed to revise the subject rule. That notice, “New Source Performance Standards Review for Industrial Surface Coating of Plastic Parts for Business Machines, Proposed Rule” was published in the </w:t>
      </w:r>
      <w:r w:rsidRPr="00FC55DA">
        <w:rPr>
          <w:rFonts w:cstheme="minorHAnsi"/>
          <w:i/>
          <w:iCs/>
        </w:rPr>
        <w:t>Federal Register</w:t>
      </w:r>
      <w:r w:rsidRPr="00FC55DA">
        <w:rPr>
          <w:rFonts w:cstheme="minorHAnsi"/>
        </w:rPr>
        <w:t xml:space="preserve"> on June 21, 2022 (87 FR 36796). The comment period closed on August 22, 2022, by which time the EPA received no comment submissions. The docket for this rulemaking, Docket Number EPA-HQ-OAR-2021-0200, is accessible at </w:t>
      </w:r>
      <w:r w:rsidRPr="00FC55DA">
        <w:rPr>
          <w:rFonts w:cstheme="minorHAnsi"/>
          <w:i/>
          <w:iCs/>
        </w:rPr>
        <w:t>https://regulations.gov</w:t>
      </w:r>
      <w:r w:rsidRPr="00FC55DA">
        <w:rPr>
          <w:rFonts w:cstheme="minorHAnsi"/>
        </w:rPr>
        <w:t>.</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55DA" w:rsidRPr="00FC55DA" w:rsidP="00FC55DA" w14:paraId="6B7363A8" w14:textId="77777777">
      <w:pPr>
        <w:spacing w:line="259" w:lineRule="auto"/>
        <w:ind w:left="0" w:firstLine="0"/>
        <w:rPr>
          <w:rFonts w:cstheme="minorHAnsi"/>
        </w:rPr>
      </w:pPr>
      <w:r w:rsidRPr="00FC55DA">
        <w:rPr>
          <w:rFonts w:cstheme="minorHAnsi"/>
        </w:rPr>
        <w:t xml:space="preserve">The Agency has consulted industry experts and internal data sources to project the number of affected facilities and industry growth over the next 3 years. The primary source of information as reported by industry, in compliance with the recordkeeping and reporting provisions in the standard, is the </w:t>
      </w:r>
      <w:r w:rsidRPr="00FC55DA">
        <w:rPr>
          <w:rFonts w:cstheme="minorHAnsi"/>
        </w:rPr>
        <w:t>Integrated Compliance Information System (ICIS). ICIS is EPA’s database for the collection, maintenance, and retrieval of compliance data for industrial and government-owned facilities.</w:t>
      </w:r>
    </w:p>
    <w:p w:rsidR="00940939" w:rsidRPr="00940939" w:rsidP="002943D2" w14:paraId="09E7F150" w14:textId="79136017">
      <w:pPr>
        <w:spacing w:line="259" w:lineRule="auto"/>
        <w:ind w:left="0" w:firstLine="0"/>
        <w:rPr>
          <w:rFonts w:cstheme="minorHAnsi"/>
        </w:rPr>
      </w:pPr>
      <w:r w:rsidRPr="00FC55DA">
        <w:rPr>
          <w:rFonts w:cstheme="minorHAnsi"/>
        </w:rPr>
        <w:t>Industry trade associations and other interested parties were provided with an opportunity to comment on the burden associated with the subject rulemaking’s standards as they were being developed, and the standards have been previously reviewed to determine the minimum information needed for compliance purposes. In developing this ICR, we consulted with internal experts at EPA’s Office of Air Quality and Planning Standards (OAQPS) and the American Coatings Association.</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7E112628">
      <w:pPr>
        <w:spacing w:line="259" w:lineRule="auto"/>
        <w:ind w:left="0" w:firstLine="0"/>
        <w:rPr>
          <w:rFonts w:cstheme="minorHAnsi"/>
        </w:rPr>
      </w:pPr>
      <w:r w:rsidRPr="00FC55DA">
        <w:rPr>
          <w:rFonts w:cstheme="minorHAnsi"/>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5C8398A5">
      <w:pPr>
        <w:spacing w:line="259" w:lineRule="auto"/>
        <w:ind w:left="0" w:firstLine="0"/>
        <w:rPr>
          <w:rFonts w:cstheme="minorHAnsi"/>
        </w:rPr>
      </w:pPr>
      <w:r w:rsidRPr="00FC55DA">
        <w:rPr>
          <w:rFonts w:cstheme="minorHAnsi"/>
        </w:rPr>
        <w:t>The reporting and recordkeeping requirements in the standards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FC55DA" w:rsidRPr="00FC55DA" w:rsidP="00FC55DA" w14:paraId="43B7DC98" w14:textId="77777777">
      <w:pPr>
        <w:spacing w:line="259" w:lineRule="auto"/>
        <w:ind w:left="0" w:firstLine="0"/>
        <w:rPr>
          <w:rFonts w:cstheme="minorHAnsi"/>
        </w:rPr>
      </w:pPr>
      <w:r w:rsidRPr="00FC55DA">
        <w:rPr>
          <w:rFonts w:cstheme="minorHAnsi"/>
        </w:rPr>
        <w:t xml:space="preserve">The respondents to the recordkeeping and reporting requirements are facilities that perform surface coating of plastic parts for business machines. These surface coating operations may be (but are not necessarily) among establishments indexed under the 2022 North American Industry Classification System (NAICS) code 333310, for “Commercial and Service Industry Machinery Manufacturing.” This NAICS code merely provides a guide for readers regarding the entities that the rulemaking is likely to affect. </w:t>
      </w:r>
    </w:p>
    <w:p w:rsidR="00FC55DA" w:rsidRPr="00FC55DA" w:rsidP="00FC55DA" w14:paraId="2861C2DE" w14:textId="77777777">
      <w:pPr>
        <w:spacing w:line="259" w:lineRule="auto"/>
        <w:ind w:left="0" w:firstLine="0"/>
        <w:rPr>
          <w:rFonts w:cstheme="minorHAnsi"/>
        </w:rPr>
      </w:pPr>
      <w:r w:rsidRPr="00FC55DA">
        <w:rPr>
          <w:rFonts w:cstheme="minorHAnsi"/>
        </w:rPr>
        <w:t xml:space="preserve">The total number of respondents is also referred to as the respondent universe. Based on research conducted for the subject amendments to the NSPS for Surface Coating of Plastic Parts for Business Machines, three facilities are currently operating and subject to the standards. It is estimated that no additional respondents will become subject over the 3 years after promulgation of the subject amendments. It is assumed that </w:t>
      </w:r>
      <w:r w:rsidRPr="00FC55DA">
        <w:rPr>
          <w:rFonts w:cstheme="minorHAnsi"/>
        </w:rPr>
        <w:t>all of</w:t>
      </w:r>
      <w:r w:rsidRPr="00FC55DA">
        <w:rPr>
          <w:rFonts w:cstheme="minorHAnsi"/>
        </w:rPr>
        <w:t xml:space="preserve"> the existing facilities will begin complying upon promulgation of the subject amendments and will be subject to recordkeeping and reporting requirements in each of the 3 years covered by this ICR. </w:t>
      </w:r>
    </w:p>
    <w:p w:rsidR="00FC55DA" w:rsidRPr="00FC55DA" w:rsidP="00FC55DA" w14:paraId="497D8CB9" w14:textId="77777777">
      <w:pPr>
        <w:spacing w:line="259" w:lineRule="auto"/>
        <w:ind w:left="0" w:firstLine="0"/>
        <w:rPr>
          <w:rFonts w:cstheme="minorHAnsi"/>
        </w:rPr>
      </w:pPr>
      <w:r w:rsidRPr="00FC55DA">
        <w:rPr>
          <w:rFonts w:cstheme="minorHAnsi"/>
        </w:rPr>
        <w:t>The number of respondents is calculated using the following table that addresses the 3 years covered by this ICR: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
      <w:tblGrid>
        <w:gridCol w:w="901"/>
        <w:gridCol w:w="1598"/>
        <w:gridCol w:w="1282"/>
        <w:gridCol w:w="2069"/>
        <w:gridCol w:w="1800"/>
        <w:gridCol w:w="1710"/>
      </w:tblGrid>
      <w:tr w14:paraId="58199F2F" w14:textId="77777777" w:rsidTr="0054016C">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86" w:type="dxa"/>
            <w:bottom w:w="29" w:type="dxa"/>
            <w:right w:w="86" w:type="dxa"/>
          </w:tblCellMar>
          <w:tblLook w:val="01E0"/>
        </w:tblPrEx>
        <w:trPr>
          <w:cantSplit/>
          <w:trHeight w:val="248"/>
          <w:tblHeader/>
        </w:trPr>
        <w:tc>
          <w:tcPr>
            <w:tcW w:w="9360" w:type="dxa"/>
            <w:gridSpan w:val="6"/>
            <w:tcMar>
              <w:top w:w="29" w:type="dxa"/>
              <w:left w:w="86" w:type="dxa"/>
              <w:bottom w:w="29" w:type="dxa"/>
              <w:right w:w="86" w:type="dxa"/>
            </w:tcMar>
            <w:vAlign w:val="center"/>
          </w:tcPr>
          <w:p w:rsidR="00FC55DA" w:rsidRPr="00FC55DA" w:rsidP="00FC55DA" w14:paraId="708C7962" w14:textId="77777777">
            <w:pPr>
              <w:spacing w:line="259" w:lineRule="auto"/>
              <w:ind w:left="0" w:firstLine="0"/>
              <w:contextualSpacing/>
              <w:jc w:val="center"/>
              <w:rPr>
                <w:rFonts w:cstheme="minorHAnsi"/>
                <w:b/>
                <w:bCs/>
                <w:sz w:val="20"/>
                <w:szCs w:val="20"/>
              </w:rPr>
            </w:pPr>
            <w:r w:rsidRPr="00FC55DA">
              <w:rPr>
                <w:rFonts w:cstheme="minorHAnsi"/>
                <w:b/>
                <w:bCs/>
                <w:sz w:val="20"/>
                <w:szCs w:val="20"/>
              </w:rPr>
              <w:t>Number of Respondents</w:t>
            </w:r>
          </w:p>
        </w:tc>
      </w:tr>
      <w:tr w14:paraId="5E2F35BB" w14:textId="77777777" w:rsidTr="00743BEB">
        <w:tblPrEx>
          <w:tblW w:w="9360" w:type="dxa"/>
          <w:tblLayout w:type="fixed"/>
          <w:tblCellMar>
            <w:top w:w="29" w:type="dxa"/>
            <w:left w:w="86" w:type="dxa"/>
            <w:bottom w:w="29" w:type="dxa"/>
            <w:right w:w="86" w:type="dxa"/>
          </w:tblCellMar>
          <w:tblLook w:val="01E0"/>
        </w:tblPrEx>
        <w:trPr>
          <w:cantSplit/>
          <w:trHeight w:val="612"/>
          <w:tblHeader/>
        </w:trPr>
        <w:tc>
          <w:tcPr>
            <w:tcW w:w="901" w:type="dxa"/>
            <w:tcMar>
              <w:top w:w="29" w:type="dxa"/>
              <w:left w:w="86" w:type="dxa"/>
              <w:bottom w:w="29" w:type="dxa"/>
              <w:right w:w="86" w:type="dxa"/>
            </w:tcMar>
          </w:tcPr>
          <w:p w:rsidR="00FC55DA" w:rsidRPr="00FC55DA" w:rsidP="00FC55DA" w14:paraId="69FCAE34" w14:textId="77777777">
            <w:pPr>
              <w:spacing w:line="259" w:lineRule="auto"/>
              <w:ind w:left="0" w:firstLine="0"/>
              <w:contextualSpacing/>
              <w:rPr>
                <w:rFonts w:cstheme="minorHAnsi"/>
                <w:sz w:val="20"/>
                <w:szCs w:val="20"/>
              </w:rPr>
            </w:pPr>
          </w:p>
        </w:tc>
        <w:tc>
          <w:tcPr>
            <w:tcW w:w="2880" w:type="dxa"/>
            <w:gridSpan w:val="2"/>
            <w:tcMar>
              <w:top w:w="29" w:type="dxa"/>
              <w:left w:w="86" w:type="dxa"/>
              <w:bottom w:w="29" w:type="dxa"/>
              <w:right w:w="86" w:type="dxa"/>
            </w:tcMar>
          </w:tcPr>
          <w:p w:rsidR="00FC55DA" w:rsidRPr="00FC55DA" w:rsidP="00FC55DA" w14:paraId="1DB402D2" w14:textId="77777777">
            <w:pPr>
              <w:spacing w:line="259" w:lineRule="auto"/>
              <w:ind w:left="0" w:firstLine="0"/>
              <w:contextualSpacing/>
              <w:rPr>
                <w:rFonts w:cstheme="minorHAnsi"/>
                <w:sz w:val="20"/>
                <w:szCs w:val="20"/>
              </w:rPr>
            </w:pPr>
            <w:r w:rsidRPr="00FC55DA">
              <w:rPr>
                <w:rFonts w:cstheme="minorHAnsi"/>
                <w:sz w:val="20"/>
                <w:szCs w:val="20"/>
              </w:rPr>
              <w:t>Respondents That Submit Reports</w:t>
            </w:r>
          </w:p>
        </w:tc>
        <w:tc>
          <w:tcPr>
            <w:tcW w:w="2069" w:type="dxa"/>
            <w:tcMar>
              <w:top w:w="29" w:type="dxa"/>
              <w:left w:w="86" w:type="dxa"/>
              <w:bottom w:w="29" w:type="dxa"/>
              <w:right w:w="86" w:type="dxa"/>
            </w:tcMar>
          </w:tcPr>
          <w:p w:rsidR="00FC55DA" w:rsidRPr="00FC55DA" w:rsidP="00FC55DA" w14:paraId="1DDCE46B" w14:textId="77777777">
            <w:pPr>
              <w:spacing w:line="259" w:lineRule="auto"/>
              <w:ind w:left="0" w:firstLine="0"/>
              <w:contextualSpacing/>
              <w:rPr>
                <w:rFonts w:cstheme="minorHAnsi"/>
                <w:sz w:val="20"/>
                <w:szCs w:val="20"/>
              </w:rPr>
            </w:pPr>
            <w:r w:rsidRPr="00FC55DA">
              <w:rPr>
                <w:rFonts w:cstheme="minorHAnsi"/>
                <w:sz w:val="20"/>
                <w:szCs w:val="20"/>
              </w:rPr>
              <w:t>Respondents That Do Not Submit Any Reports</w:t>
            </w:r>
          </w:p>
        </w:tc>
        <w:tc>
          <w:tcPr>
            <w:tcW w:w="3510" w:type="dxa"/>
            <w:gridSpan w:val="2"/>
            <w:tcMar>
              <w:top w:w="29" w:type="dxa"/>
              <w:left w:w="86" w:type="dxa"/>
              <w:bottom w:w="29" w:type="dxa"/>
              <w:right w:w="86" w:type="dxa"/>
            </w:tcMar>
          </w:tcPr>
          <w:p w:rsidR="00FC55DA" w:rsidRPr="00FC55DA" w:rsidP="00FC55DA" w14:paraId="3E33A434" w14:textId="77777777">
            <w:pPr>
              <w:spacing w:line="259" w:lineRule="auto"/>
              <w:ind w:left="0" w:firstLine="0"/>
              <w:contextualSpacing/>
              <w:rPr>
                <w:rFonts w:cstheme="minorHAnsi"/>
                <w:sz w:val="20"/>
                <w:szCs w:val="20"/>
              </w:rPr>
            </w:pPr>
          </w:p>
        </w:tc>
      </w:tr>
      <w:tr w14:paraId="29B9EBE6" w14:textId="77777777" w:rsidTr="00743BEB">
        <w:tblPrEx>
          <w:tblW w:w="9360" w:type="dxa"/>
          <w:tblLayout w:type="fixed"/>
          <w:tblCellMar>
            <w:top w:w="29" w:type="dxa"/>
            <w:left w:w="86" w:type="dxa"/>
            <w:bottom w:w="29" w:type="dxa"/>
            <w:right w:w="86" w:type="dxa"/>
          </w:tblCellMar>
          <w:tblLook w:val="01E0"/>
        </w:tblPrEx>
        <w:trPr>
          <w:cantSplit/>
          <w:tblHeader/>
        </w:trPr>
        <w:tc>
          <w:tcPr>
            <w:tcW w:w="901" w:type="dxa"/>
            <w:tcMar>
              <w:top w:w="29" w:type="dxa"/>
              <w:left w:w="86" w:type="dxa"/>
              <w:bottom w:w="29" w:type="dxa"/>
              <w:right w:w="86" w:type="dxa"/>
            </w:tcMar>
          </w:tcPr>
          <w:p w:rsidR="00FC55DA" w:rsidRPr="00FC55DA" w:rsidP="00FC55DA" w14:paraId="542D34C7" w14:textId="77777777">
            <w:pPr>
              <w:spacing w:line="259" w:lineRule="auto"/>
              <w:ind w:left="0" w:firstLine="0"/>
              <w:contextualSpacing/>
              <w:rPr>
                <w:rFonts w:cstheme="minorHAnsi"/>
                <w:sz w:val="20"/>
                <w:szCs w:val="20"/>
              </w:rPr>
            </w:pPr>
          </w:p>
          <w:p w:rsidR="00FC55DA" w:rsidRPr="00FC55DA" w:rsidP="00FC55DA" w14:paraId="654E9B12" w14:textId="77777777">
            <w:pPr>
              <w:spacing w:line="259" w:lineRule="auto"/>
              <w:ind w:left="0" w:firstLine="0"/>
              <w:contextualSpacing/>
              <w:rPr>
                <w:rFonts w:cstheme="minorHAnsi"/>
                <w:sz w:val="20"/>
                <w:szCs w:val="20"/>
              </w:rPr>
            </w:pPr>
            <w:r w:rsidRPr="00FC55DA">
              <w:rPr>
                <w:rFonts w:cstheme="minorHAnsi"/>
                <w:sz w:val="20"/>
                <w:szCs w:val="20"/>
              </w:rPr>
              <w:t>Year</w:t>
            </w:r>
          </w:p>
        </w:tc>
        <w:tc>
          <w:tcPr>
            <w:tcW w:w="1598" w:type="dxa"/>
            <w:tcMar>
              <w:top w:w="29" w:type="dxa"/>
              <w:left w:w="86" w:type="dxa"/>
              <w:bottom w:w="29" w:type="dxa"/>
              <w:right w:w="86" w:type="dxa"/>
            </w:tcMar>
          </w:tcPr>
          <w:p w:rsidR="00FC55DA" w:rsidRPr="00FC55DA" w:rsidP="00FC55DA" w14:paraId="139FE725" w14:textId="77777777">
            <w:pPr>
              <w:spacing w:line="259" w:lineRule="auto"/>
              <w:ind w:left="0" w:firstLine="0"/>
              <w:contextualSpacing/>
              <w:rPr>
                <w:rFonts w:cstheme="minorHAnsi"/>
                <w:sz w:val="20"/>
                <w:szCs w:val="20"/>
              </w:rPr>
            </w:pPr>
            <w:r w:rsidRPr="00FC55DA">
              <w:rPr>
                <w:rFonts w:cstheme="minorHAnsi"/>
                <w:sz w:val="20"/>
                <w:szCs w:val="20"/>
              </w:rPr>
              <w:t>(A)</w:t>
            </w:r>
          </w:p>
          <w:p w:rsidR="00FC55DA" w:rsidRPr="00FC55DA" w:rsidP="00FC55DA" w14:paraId="7873359A" w14:textId="77777777">
            <w:pPr>
              <w:spacing w:line="259" w:lineRule="auto"/>
              <w:ind w:left="0" w:firstLine="0"/>
              <w:contextualSpacing/>
              <w:rPr>
                <w:rFonts w:cstheme="minorHAnsi"/>
                <w:sz w:val="20"/>
                <w:szCs w:val="20"/>
              </w:rPr>
            </w:pPr>
            <w:r w:rsidRPr="00FC55DA">
              <w:rPr>
                <w:rFonts w:cstheme="minorHAnsi"/>
                <w:sz w:val="20"/>
                <w:szCs w:val="20"/>
              </w:rPr>
              <w:t xml:space="preserve">Number of New Respondents </w:t>
            </w:r>
            <w:r w:rsidRPr="00FC55DA">
              <w:rPr>
                <w:rFonts w:cstheme="minorHAnsi"/>
                <w:sz w:val="20"/>
                <w:szCs w:val="20"/>
                <w:vertAlign w:val="superscript"/>
              </w:rPr>
              <w:t>1</w:t>
            </w:r>
          </w:p>
        </w:tc>
        <w:tc>
          <w:tcPr>
            <w:tcW w:w="1282" w:type="dxa"/>
            <w:tcMar>
              <w:top w:w="29" w:type="dxa"/>
              <w:left w:w="86" w:type="dxa"/>
              <w:bottom w:w="29" w:type="dxa"/>
              <w:right w:w="86" w:type="dxa"/>
            </w:tcMar>
          </w:tcPr>
          <w:p w:rsidR="00FC55DA" w:rsidRPr="00FC55DA" w:rsidP="00FC55DA" w14:paraId="76DC59DD" w14:textId="77777777">
            <w:pPr>
              <w:spacing w:line="259" w:lineRule="auto"/>
              <w:ind w:left="0" w:firstLine="0"/>
              <w:contextualSpacing/>
              <w:rPr>
                <w:rFonts w:cstheme="minorHAnsi"/>
                <w:sz w:val="20"/>
                <w:szCs w:val="20"/>
              </w:rPr>
            </w:pPr>
            <w:r w:rsidRPr="00FC55DA">
              <w:rPr>
                <w:rFonts w:cstheme="minorHAnsi"/>
                <w:sz w:val="20"/>
                <w:szCs w:val="20"/>
              </w:rPr>
              <w:t>(B)</w:t>
            </w:r>
          </w:p>
          <w:p w:rsidR="00FC55DA" w:rsidRPr="00FC55DA" w:rsidP="00FC55DA" w14:paraId="7E707C7A" w14:textId="77777777">
            <w:pPr>
              <w:spacing w:line="259" w:lineRule="auto"/>
              <w:ind w:left="0" w:firstLine="0"/>
              <w:contextualSpacing/>
              <w:rPr>
                <w:rFonts w:cstheme="minorHAnsi"/>
                <w:sz w:val="20"/>
                <w:szCs w:val="20"/>
              </w:rPr>
            </w:pPr>
            <w:r w:rsidRPr="00FC55DA">
              <w:rPr>
                <w:rFonts w:cstheme="minorHAnsi"/>
                <w:sz w:val="20"/>
                <w:szCs w:val="20"/>
              </w:rPr>
              <w:t>Number of Existing Respondents</w:t>
            </w:r>
          </w:p>
        </w:tc>
        <w:tc>
          <w:tcPr>
            <w:tcW w:w="2069" w:type="dxa"/>
            <w:tcMar>
              <w:top w:w="29" w:type="dxa"/>
              <w:left w:w="86" w:type="dxa"/>
              <w:bottom w:w="29" w:type="dxa"/>
              <w:right w:w="86" w:type="dxa"/>
            </w:tcMar>
          </w:tcPr>
          <w:p w:rsidR="00FC55DA" w:rsidRPr="00FC55DA" w:rsidP="00FC55DA" w14:paraId="3C6444A3" w14:textId="77777777">
            <w:pPr>
              <w:spacing w:line="259" w:lineRule="auto"/>
              <w:ind w:left="0" w:firstLine="0"/>
              <w:contextualSpacing/>
              <w:rPr>
                <w:rFonts w:cstheme="minorHAnsi"/>
                <w:sz w:val="20"/>
                <w:szCs w:val="20"/>
              </w:rPr>
            </w:pPr>
            <w:r w:rsidRPr="00FC55DA">
              <w:rPr>
                <w:rFonts w:cstheme="minorHAnsi"/>
                <w:sz w:val="20"/>
                <w:szCs w:val="20"/>
              </w:rPr>
              <w:t>(C)</w:t>
            </w:r>
          </w:p>
          <w:p w:rsidR="00FC55DA" w:rsidRPr="00FC55DA" w:rsidP="00FC55DA" w14:paraId="6DAA05D7" w14:textId="77777777">
            <w:pPr>
              <w:spacing w:line="259" w:lineRule="auto"/>
              <w:ind w:left="0" w:firstLine="0"/>
              <w:contextualSpacing/>
              <w:rPr>
                <w:rFonts w:cstheme="minorHAnsi"/>
                <w:sz w:val="20"/>
                <w:szCs w:val="20"/>
              </w:rPr>
            </w:pPr>
            <w:r w:rsidRPr="00FC55DA">
              <w:rPr>
                <w:rFonts w:cstheme="minorHAnsi"/>
                <w:sz w:val="20"/>
                <w:szCs w:val="20"/>
              </w:rPr>
              <w:t>Number of Existing Respondents that keep records but do not submit reports</w:t>
            </w:r>
          </w:p>
        </w:tc>
        <w:tc>
          <w:tcPr>
            <w:tcW w:w="1800" w:type="dxa"/>
            <w:tcBorders>
              <w:right w:val="single" w:sz="4" w:space="0" w:color="000000"/>
            </w:tcBorders>
            <w:tcMar>
              <w:top w:w="29" w:type="dxa"/>
              <w:left w:w="86" w:type="dxa"/>
              <w:bottom w:w="29" w:type="dxa"/>
              <w:right w:w="86" w:type="dxa"/>
            </w:tcMar>
          </w:tcPr>
          <w:p w:rsidR="00FC55DA" w:rsidRPr="00FC55DA" w:rsidP="00FC55DA" w14:paraId="2EAF0723" w14:textId="77777777">
            <w:pPr>
              <w:spacing w:line="259" w:lineRule="auto"/>
              <w:ind w:left="0" w:firstLine="0"/>
              <w:contextualSpacing/>
              <w:rPr>
                <w:rFonts w:cstheme="minorHAnsi"/>
                <w:sz w:val="20"/>
                <w:szCs w:val="20"/>
              </w:rPr>
            </w:pPr>
            <w:r w:rsidRPr="00FC55DA">
              <w:rPr>
                <w:rFonts w:cstheme="minorHAnsi"/>
                <w:sz w:val="20"/>
                <w:szCs w:val="20"/>
              </w:rPr>
              <w:t>(D)</w:t>
            </w:r>
          </w:p>
          <w:p w:rsidR="00FC55DA" w:rsidRPr="00FC55DA" w:rsidP="00FC55DA" w14:paraId="0BB19146" w14:textId="77777777">
            <w:pPr>
              <w:spacing w:line="259" w:lineRule="auto"/>
              <w:ind w:left="0" w:firstLine="0"/>
              <w:contextualSpacing/>
              <w:rPr>
                <w:rFonts w:cstheme="minorHAnsi"/>
                <w:sz w:val="20"/>
                <w:szCs w:val="20"/>
              </w:rPr>
            </w:pPr>
            <w:r w:rsidRPr="00FC55DA">
              <w:rPr>
                <w:rFonts w:cstheme="minorHAnsi"/>
                <w:sz w:val="20"/>
                <w:szCs w:val="20"/>
              </w:rPr>
              <w:t>Number of Existing Respondents That Are Also New Respondents</w:t>
            </w:r>
          </w:p>
        </w:tc>
        <w:tc>
          <w:tcPr>
            <w:tcW w:w="1710" w:type="dxa"/>
            <w:tcBorders>
              <w:left w:val="single" w:sz="4" w:space="0" w:color="000000"/>
            </w:tcBorders>
            <w:tcMar>
              <w:top w:w="29" w:type="dxa"/>
              <w:left w:w="86" w:type="dxa"/>
              <w:bottom w:w="29" w:type="dxa"/>
              <w:right w:w="86" w:type="dxa"/>
            </w:tcMar>
          </w:tcPr>
          <w:p w:rsidR="00FC55DA" w:rsidRPr="00FC55DA" w:rsidP="00FC55DA" w14:paraId="361EEFD0" w14:textId="77777777">
            <w:pPr>
              <w:spacing w:line="259" w:lineRule="auto"/>
              <w:ind w:left="0" w:firstLine="0"/>
              <w:contextualSpacing/>
              <w:rPr>
                <w:rFonts w:cstheme="minorHAnsi"/>
                <w:sz w:val="20"/>
                <w:szCs w:val="20"/>
              </w:rPr>
            </w:pPr>
            <w:r w:rsidRPr="00FC55DA">
              <w:rPr>
                <w:rFonts w:cstheme="minorHAnsi"/>
                <w:sz w:val="20"/>
                <w:szCs w:val="20"/>
              </w:rPr>
              <w:t>(E)</w:t>
            </w:r>
          </w:p>
          <w:p w:rsidR="00FC55DA" w:rsidRPr="00FC55DA" w:rsidP="00FC55DA" w14:paraId="5BE2E00B" w14:textId="77777777">
            <w:pPr>
              <w:spacing w:line="259" w:lineRule="auto"/>
              <w:ind w:left="0" w:firstLine="0"/>
              <w:contextualSpacing/>
              <w:rPr>
                <w:rFonts w:cstheme="minorHAnsi"/>
                <w:sz w:val="20"/>
                <w:szCs w:val="20"/>
              </w:rPr>
            </w:pPr>
            <w:r w:rsidRPr="00FC55DA">
              <w:rPr>
                <w:rFonts w:cstheme="minorHAnsi"/>
                <w:sz w:val="20"/>
                <w:szCs w:val="20"/>
              </w:rPr>
              <w:t>Number of Respondents (E=A+B+C-D)</w:t>
            </w:r>
          </w:p>
        </w:tc>
      </w:tr>
      <w:tr w14:paraId="081E5496" w14:textId="77777777" w:rsidTr="0054016C">
        <w:tblPrEx>
          <w:tblW w:w="9360" w:type="dxa"/>
          <w:tblLayout w:type="fixed"/>
          <w:tblCellMar>
            <w:top w:w="29" w:type="dxa"/>
            <w:left w:w="86" w:type="dxa"/>
            <w:bottom w:w="29" w:type="dxa"/>
            <w:right w:w="86" w:type="dxa"/>
          </w:tblCellMar>
          <w:tblLook w:val="01E0"/>
        </w:tblPrEx>
        <w:trPr>
          <w:cantSplit/>
          <w:trHeight w:val="158"/>
        </w:trPr>
        <w:tc>
          <w:tcPr>
            <w:tcW w:w="901" w:type="dxa"/>
            <w:tcBorders>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5C9BB197" w14:textId="77777777">
            <w:pPr>
              <w:spacing w:line="259" w:lineRule="auto"/>
              <w:ind w:left="0" w:firstLine="0"/>
              <w:contextualSpacing/>
              <w:rPr>
                <w:rFonts w:cstheme="minorHAnsi"/>
                <w:sz w:val="20"/>
                <w:szCs w:val="20"/>
              </w:rPr>
            </w:pPr>
            <w:r w:rsidRPr="00FC55DA">
              <w:rPr>
                <w:rFonts w:cstheme="minorHAnsi"/>
                <w:sz w:val="20"/>
                <w:szCs w:val="20"/>
              </w:rPr>
              <w:t>1</w:t>
            </w:r>
          </w:p>
        </w:tc>
        <w:tc>
          <w:tcPr>
            <w:tcW w:w="1598"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5BF8E24B"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82"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760E3B6C" w14:textId="77777777">
            <w:pPr>
              <w:spacing w:line="259" w:lineRule="auto"/>
              <w:ind w:left="0" w:firstLine="0"/>
              <w:contextualSpacing/>
              <w:rPr>
                <w:rFonts w:cstheme="minorHAnsi"/>
                <w:sz w:val="20"/>
                <w:szCs w:val="20"/>
              </w:rPr>
            </w:pPr>
            <w:r w:rsidRPr="00FC55DA">
              <w:rPr>
                <w:rFonts w:cstheme="minorHAnsi"/>
                <w:sz w:val="20"/>
                <w:szCs w:val="20"/>
              </w:rPr>
              <w:t>3</w:t>
            </w:r>
          </w:p>
        </w:tc>
        <w:tc>
          <w:tcPr>
            <w:tcW w:w="2069"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1B0A98D2"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00" w:type="dxa"/>
            <w:tcBorders>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00956A10"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710" w:type="dxa"/>
            <w:tcBorders>
              <w:left w:val="single" w:sz="6" w:space="0" w:color="000000"/>
              <w:bottom w:val="single" w:sz="6" w:space="0" w:color="000000"/>
            </w:tcBorders>
            <w:tcMar>
              <w:top w:w="29" w:type="dxa"/>
              <w:left w:w="86" w:type="dxa"/>
              <w:bottom w:w="29" w:type="dxa"/>
              <w:right w:w="86" w:type="dxa"/>
            </w:tcMar>
            <w:vAlign w:val="center"/>
          </w:tcPr>
          <w:p w:rsidR="00FC55DA" w:rsidRPr="00FC55DA" w:rsidP="00FC55DA" w14:paraId="7F129D02" w14:textId="77777777">
            <w:pPr>
              <w:spacing w:line="259" w:lineRule="auto"/>
              <w:ind w:left="0" w:firstLine="0"/>
              <w:contextualSpacing/>
              <w:rPr>
                <w:rFonts w:cstheme="minorHAnsi"/>
                <w:sz w:val="20"/>
                <w:szCs w:val="20"/>
              </w:rPr>
            </w:pPr>
            <w:r w:rsidRPr="00FC55DA">
              <w:rPr>
                <w:rFonts w:cstheme="minorHAnsi"/>
                <w:sz w:val="20"/>
                <w:szCs w:val="20"/>
              </w:rPr>
              <w:t>3</w:t>
            </w:r>
          </w:p>
        </w:tc>
      </w:tr>
      <w:tr w14:paraId="3467F242" w14:textId="77777777" w:rsidTr="0054016C">
        <w:tblPrEx>
          <w:tblW w:w="9360" w:type="dxa"/>
          <w:tblLayout w:type="fixed"/>
          <w:tblCellMar>
            <w:top w:w="29" w:type="dxa"/>
            <w:left w:w="86" w:type="dxa"/>
            <w:bottom w:w="29" w:type="dxa"/>
            <w:right w:w="86" w:type="dxa"/>
          </w:tblCellMar>
          <w:tblLook w:val="01E0"/>
        </w:tblPrEx>
        <w:trPr>
          <w:cantSplit/>
          <w:trHeight w:val="181"/>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0E9FAB14" w14:textId="77777777">
            <w:pPr>
              <w:spacing w:line="259" w:lineRule="auto"/>
              <w:ind w:left="0" w:firstLine="0"/>
              <w:contextualSpacing/>
              <w:rPr>
                <w:rFonts w:cstheme="minorHAnsi"/>
                <w:sz w:val="20"/>
                <w:szCs w:val="20"/>
              </w:rPr>
            </w:pPr>
            <w:r w:rsidRPr="00FC55DA">
              <w:rPr>
                <w:rFonts w:cstheme="minorHAnsi"/>
                <w:sz w:val="20"/>
                <w:szCs w:val="20"/>
              </w:rPr>
              <w:t>2</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1E72D4AA"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365552A7" w14:textId="77777777">
            <w:pPr>
              <w:spacing w:line="259" w:lineRule="auto"/>
              <w:ind w:left="0" w:firstLine="0"/>
              <w:contextualSpacing/>
              <w:rPr>
                <w:rFonts w:cstheme="minorHAnsi"/>
                <w:sz w:val="20"/>
                <w:szCs w:val="20"/>
              </w:rPr>
            </w:pPr>
            <w:r w:rsidRPr="00FC55DA">
              <w:rPr>
                <w:rFonts w:cstheme="minorHAnsi"/>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0250A2CB"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6A81FC37"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FC55DA" w:rsidRPr="00FC55DA" w:rsidP="00FC55DA" w14:paraId="17B5CC36" w14:textId="77777777">
            <w:pPr>
              <w:spacing w:line="259" w:lineRule="auto"/>
              <w:ind w:left="0" w:firstLine="0"/>
              <w:contextualSpacing/>
              <w:rPr>
                <w:rFonts w:cstheme="minorHAnsi"/>
                <w:sz w:val="20"/>
                <w:szCs w:val="20"/>
              </w:rPr>
            </w:pPr>
            <w:r w:rsidRPr="00FC55DA">
              <w:rPr>
                <w:rFonts w:cstheme="minorHAnsi"/>
                <w:sz w:val="20"/>
                <w:szCs w:val="20"/>
              </w:rPr>
              <w:t>3</w:t>
            </w:r>
          </w:p>
        </w:tc>
      </w:tr>
      <w:tr w14:paraId="4AE63011" w14:textId="77777777" w:rsidTr="0054016C">
        <w:tblPrEx>
          <w:tblW w:w="9360" w:type="dxa"/>
          <w:tblLayout w:type="fixed"/>
          <w:tblCellMar>
            <w:top w:w="29" w:type="dxa"/>
            <w:left w:w="86" w:type="dxa"/>
            <w:bottom w:w="29" w:type="dxa"/>
            <w:right w:w="86" w:type="dxa"/>
          </w:tblCellMar>
          <w:tblLook w:val="01E0"/>
        </w:tblPrEx>
        <w:trPr>
          <w:cantSplit/>
          <w:trHeight w:val="118"/>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12C5A220" w14:textId="77777777">
            <w:pPr>
              <w:spacing w:line="259" w:lineRule="auto"/>
              <w:ind w:left="0" w:firstLine="0"/>
              <w:contextualSpacing/>
              <w:rPr>
                <w:rFonts w:cstheme="minorHAnsi"/>
                <w:sz w:val="20"/>
                <w:szCs w:val="20"/>
              </w:rPr>
            </w:pPr>
            <w:r w:rsidRPr="00FC55DA">
              <w:rPr>
                <w:rFonts w:cstheme="minorHAnsi"/>
                <w:sz w:val="20"/>
                <w:szCs w:val="20"/>
              </w:rPr>
              <w:t>3</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42E9586D"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0CF22D49" w14:textId="77777777">
            <w:pPr>
              <w:spacing w:line="259" w:lineRule="auto"/>
              <w:ind w:left="0" w:firstLine="0"/>
              <w:contextualSpacing/>
              <w:rPr>
                <w:rFonts w:cstheme="minorHAnsi"/>
                <w:sz w:val="20"/>
                <w:szCs w:val="20"/>
              </w:rPr>
            </w:pPr>
            <w:r w:rsidRPr="00FC55DA">
              <w:rPr>
                <w:rFonts w:cstheme="minorHAnsi"/>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41BFFB46"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7D177748"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FC55DA" w:rsidRPr="00FC55DA" w:rsidP="00FC55DA" w14:paraId="0847F09B" w14:textId="77777777">
            <w:pPr>
              <w:spacing w:line="259" w:lineRule="auto"/>
              <w:ind w:left="0" w:firstLine="0"/>
              <w:contextualSpacing/>
              <w:rPr>
                <w:rFonts w:cstheme="minorHAnsi"/>
                <w:sz w:val="20"/>
                <w:szCs w:val="20"/>
              </w:rPr>
            </w:pPr>
            <w:r w:rsidRPr="00FC55DA">
              <w:rPr>
                <w:rFonts w:cstheme="minorHAnsi"/>
                <w:sz w:val="20"/>
                <w:szCs w:val="20"/>
              </w:rPr>
              <w:t>3</w:t>
            </w:r>
          </w:p>
        </w:tc>
      </w:tr>
      <w:tr w14:paraId="29134E81" w14:textId="77777777" w:rsidTr="0054016C">
        <w:tblPrEx>
          <w:tblW w:w="9360" w:type="dxa"/>
          <w:tblLayout w:type="fixed"/>
          <w:tblCellMar>
            <w:top w:w="29" w:type="dxa"/>
            <w:left w:w="86" w:type="dxa"/>
            <w:bottom w:w="29" w:type="dxa"/>
            <w:right w:w="86" w:type="dxa"/>
          </w:tblCellMar>
          <w:tblLook w:val="01E0"/>
        </w:tblPrEx>
        <w:trPr>
          <w:cantSplit/>
          <w:trHeight w:val="145"/>
        </w:trPr>
        <w:tc>
          <w:tcPr>
            <w:tcW w:w="901" w:type="dxa"/>
            <w:tcBorders>
              <w:top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7BCEDA22" w14:textId="77777777">
            <w:pPr>
              <w:spacing w:line="259" w:lineRule="auto"/>
              <w:ind w:left="0" w:firstLine="0"/>
              <w:contextualSpacing/>
              <w:rPr>
                <w:rFonts w:cstheme="minorHAnsi"/>
                <w:sz w:val="20"/>
                <w:szCs w:val="20"/>
              </w:rPr>
            </w:pPr>
            <w:r w:rsidRPr="00FC55DA">
              <w:rPr>
                <w:rFonts w:cstheme="minorHAnsi"/>
                <w:sz w:val="20"/>
                <w:szCs w:val="20"/>
              </w:rPr>
              <w:t>Average</w:t>
            </w:r>
          </w:p>
        </w:tc>
        <w:tc>
          <w:tcPr>
            <w:tcW w:w="1598"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49934203"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31584A14" w14:textId="77777777">
            <w:pPr>
              <w:spacing w:line="259" w:lineRule="auto"/>
              <w:ind w:left="0" w:firstLine="0"/>
              <w:contextualSpacing/>
              <w:rPr>
                <w:rFonts w:cstheme="minorHAnsi"/>
                <w:sz w:val="20"/>
                <w:szCs w:val="20"/>
              </w:rPr>
            </w:pPr>
            <w:r w:rsidRPr="00FC55DA">
              <w:rPr>
                <w:rFonts w:cstheme="minorHAnsi"/>
                <w:sz w:val="20"/>
                <w:szCs w:val="20"/>
              </w:rPr>
              <w:t>3</w:t>
            </w:r>
          </w:p>
        </w:tc>
        <w:tc>
          <w:tcPr>
            <w:tcW w:w="2069"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231EA4B4"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tcMar>
              <w:top w:w="29" w:type="dxa"/>
              <w:left w:w="86" w:type="dxa"/>
              <w:bottom w:w="29" w:type="dxa"/>
              <w:right w:w="86" w:type="dxa"/>
            </w:tcMar>
            <w:vAlign w:val="center"/>
          </w:tcPr>
          <w:p w:rsidR="00FC55DA" w:rsidRPr="00FC55DA" w:rsidP="00FC55DA" w14:paraId="69A15326"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710" w:type="dxa"/>
            <w:tcBorders>
              <w:top w:val="single" w:sz="6" w:space="0" w:color="000000"/>
              <w:left w:val="single" w:sz="6" w:space="0" w:color="000000"/>
              <w:bottom w:val="single" w:sz="6" w:space="0" w:color="000000"/>
            </w:tcBorders>
            <w:tcMar>
              <w:top w:w="29" w:type="dxa"/>
              <w:left w:w="86" w:type="dxa"/>
              <w:bottom w:w="29" w:type="dxa"/>
              <w:right w:w="86" w:type="dxa"/>
            </w:tcMar>
            <w:vAlign w:val="center"/>
          </w:tcPr>
          <w:p w:rsidR="00FC55DA" w:rsidRPr="00FC55DA" w:rsidP="00FC55DA" w14:paraId="6CFFB6C3" w14:textId="77777777">
            <w:pPr>
              <w:spacing w:line="259" w:lineRule="auto"/>
              <w:ind w:left="0" w:firstLine="0"/>
              <w:contextualSpacing/>
              <w:rPr>
                <w:rFonts w:cstheme="minorHAnsi"/>
                <w:sz w:val="20"/>
                <w:szCs w:val="20"/>
              </w:rPr>
            </w:pPr>
            <w:r w:rsidRPr="00FC55DA">
              <w:rPr>
                <w:rFonts w:cstheme="minorHAnsi"/>
                <w:sz w:val="20"/>
                <w:szCs w:val="20"/>
              </w:rPr>
              <w:t>3</w:t>
            </w:r>
          </w:p>
        </w:tc>
      </w:tr>
    </w:tbl>
    <w:p w:rsidR="00FC55DA" w:rsidRPr="0054016C" w:rsidP="00FC55DA" w14:paraId="64B7617C" w14:textId="77777777">
      <w:pPr>
        <w:spacing w:line="259" w:lineRule="auto"/>
        <w:ind w:left="0" w:firstLine="0"/>
        <w:rPr>
          <w:rFonts w:cstheme="minorHAnsi"/>
          <w:sz w:val="20"/>
          <w:szCs w:val="20"/>
        </w:rPr>
      </w:pPr>
      <w:r w:rsidRPr="0054016C">
        <w:rPr>
          <w:rFonts w:cstheme="minorHAnsi"/>
          <w:sz w:val="20"/>
          <w:szCs w:val="20"/>
          <w:vertAlign w:val="superscript"/>
        </w:rPr>
        <w:t>1</w:t>
      </w:r>
      <w:r w:rsidRPr="0054016C">
        <w:rPr>
          <w:rFonts w:cstheme="minorHAnsi"/>
          <w:sz w:val="20"/>
          <w:szCs w:val="20"/>
        </w:rPr>
        <w:t>New respondents include sources with constructed, reconstructed, and modified affected facilities.</w:t>
      </w:r>
    </w:p>
    <w:p w:rsidR="00FC55DA" w:rsidRPr="00FC55DA" w:rsidP="00FC55DA" w14:paraId="6A23BBD8" w14:textId="77777777">
      <w:pPr>
        <w:spacing w:line="259" w:lineRule="auto"/>
        <w:ind w:left="0" w:firstLine="0"/>
        <w:rPr>
          <w:rFonts w:cstheme="minorHAnsi"/>
        </w:rPr>
      </w:pPr>
      <w:r w:rsidRPr="00FC55DA">
        <w:rPr>
          <w:rFonts w:cstheme="minorHAnsi"/>
        </w:rPr>
        <w:t>Column D is subtracted to avoid double-counting respondents. As shown above, the average Number of Respondents over the 3-year period of this ICR is three.</w:t>
      </w:r>
    </w:p>
    <w:p w:rsidR="00FC55DA" w:rsidRPr="00FC55DA" w:rsidP="00FC55DA" w14:paraId="6FB033D0" w14:textId="620A3994">
      <w:pPr>
        <w:spacing w:line="259" w:lineRule="auto"/>
        <w:ind w:left="0" w:firstLine="0"/>
        <w:rPr>
          <w:rFonts w:cstheme="minorHAnsi"/>
        </w:rPr>
      </w:pPr>
      <w:r w:rsidRPr="00FC55DA">
        <w:rPr>
          <w:rFonts w:cstheme="minorHAnsi"/>
        </w:rPr>
        <w:t>The total number of annual responses per year is calculated using the following table: [The information used in this section is from Table 1 of Attachment 1.]</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638C28E1" w14:textId="77777777" w:rsidTr="00743BEB">
        <w:tblPrEx>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FC55DA" w:rsidRPr="00FC55DA" w:rsidP="00E95D30" w14:paraId="5B54E96F" w14:textId="68038FA4">
            <w:pPr>
              <w:spacing w:line="259" w:lineRule="auto"/>
              <w:ind w:left="0" w:firstLine="0"/>
              <w:contextualSpacing/>
              <w:jc w:val="center"/>
              <w:rPr>
                <w:rFonts w:cstheme="minorHAnsi"/>
                <w:b/>
                <w:bCs/>
                <w:sz w:val="20"/>
                <w:szCs w:val="20"/>
              </w:rPr>
            </w:pPr>
            <w:r w:rsidRPr="00FC55DA">
              <w:rPr>
                <w:rFonts w:cstheme="minorHAnsi"/>
                <w:b/>
                <w:bCs/>
                <w:sz w:val="20"/>
                <w:szCs w:val="20"/>
              </w:rPr>
              <w:t>Total Annual Responses, In Year One</w:t>
            </w:r>
          </w:p>
        </w:tc>
      </w:tr>
      <w:tr w14:paraId="76E77F28" w14:textId="77777777" w:rsidTr="00743BEB">
        <w:tblPrEx>
          <w:tblW w:w="0" w:type="auto"/>
          <w:tblLayout w:type="fixed"/>
          <w:tblCellMar>
            <w:left w:w="111" w:type="dxa"/>
            <w:right w:w="111" w:type="dxa"/>
          </w:tblCellMar>
          <w:tblLook w:val="0000"/>
        </w:tblPrEx>
        <w:tc>
          <w:tcPr>
            <w:tcW w:w="2700" w:type="dxa"/>
          </w:tcPr>
          <w:p w:rsidR="00FC55DA" w:rsidRPr="00FC55DA" w:rsidP="00E95D30" w14:paraId="62013396" w14:textId="77777777">
            <w:pPr>
              <w:spacing w:line="259" w:lineRule="auto"/>
              <w:ind w:left="0" w:firstLine="0"/>
              <w:contextualSpacing/>
              <w:rPr>
                <w:rFonts w:cstheme="minorHAnsi"/>
                <w:sz w:val="20"/>
                <w:szCs w:val="20"/>
              </w:rPr>
            </w:pPr>
            <w:r w:rsidRPr="00FC55DA">
              <w:rPr>
                <w:rFonts w:cstheme="minorHAnsi"/>
                <w:sz w:val="20"/>
                <w:szCs w:val="20"/>
              </w:rPr>
              <w:t>(A)</w:t>
            </w:r>
          </w:p>
          <w:p w:rsidR="00FC55DA" w:rsidRPr="00FC55DA" w:rsidP="00E95D30" w14:paraId="1C09EEFF" w14:textId="77777777">
            <w:pPr>
              <w:spacing w:line="259" w:lineRule="auto"/>
              <w:ind w:left="0" w:firstLine="0"/>
              <w:contextualSpacing/>
              <w:rPr>
                <w:rFonts w:cstheme="minorHAnsi"/>
                <w:sz w:val="20"/>
                <w:szCs w:val="20"/>
              </w:rPr>
            </w:pPr>
            <w:r w:rsidRPr="00FC55DA">
              <w:rPr>
                <w:rFonts w:cstheme="minorHAnsi"/>
                <w:sz w:val="20"/>
                <w:szCs w:val="20"/>
              </w:rPr>
              <w:t>Information Collection Activity</w:t>
            </w:r>
          </w:p>
        </w:tc>
        <w:tc>
          <w:tcPr>
            <w:tcW w:w="1260" w:type="dxa"/>
          </w:tcPr>
          <w:p w:rsidR="00FC55DA" w:rsidRPr="00FC55DA" w:rsidP="00E95D30" w14:paraId="779FB541" w14:textId="77777777">
            <w:pPr>
              <w:spacing w:line="259" w:lineRule="auto"/>
              <w:ind w:left="0" w:firstLine="0"/>
              <w:contextualSpacing/>
              <w:rPr>
                <w:rFonts w:cstheme="minorHAnsi"/>
                <w:sz w:val="20"/>
                <w:szCs w:val="20"/>
              </w:rPr>
            </w:pPr>
            <w:r w:rsidRPr="00FC55DA">
              <w:rPr>
                <w:rFonts w:cstheme="minorHAnsi"/>
                <w:sz w:val="20"/>
                <w:szCs w:val="20"/>
              </w:rPr>
              <w:t>(B)</w:t>
            </w:r>
          </w:p>
          <w:p w:rsidR="00FC55DA" w:rsidRPr="00FC55DA" w:rsidP="00E95D30" w14:paraId="30218517" w14:textId="77777777">
            <w:pPr>
              <w:spacing w:line="259" w:lineRule="auto"/>
              <w:ind w:left="0" w:firstLine="0"/>
              <w:contextualSpacing/>
              <w:rPr>
                <w:rFonts w:cstheme="minorHAnsi"/>
                <w:sz w:val="20"/>
                <w:szCs w:val="20"/>
              </w:rPr>
            </w:pPr>
            <w:r w:rsidRPr="00FC55DA">
              <w:rPr>
                <w:rFonts w:cstheme="minorHAnsi"/>
                <w:sz w:val="20"/>
                <w:szCs w:val="20"/>
              </w:rPr>
              <w:t>Number of Respondents</w:t>
            </w:r>
          </w:p>
        </w:tc>
        <w:tc>
          <w:tcPr>
            <w:tcW w:w="1260" w:type="dxa"/>
          </w:tcPr>
          <w:p w:rsidR="00FC55DA" w:rsidRPr="00FC55DA" w:rsidP="00E95D30" w14:paraId="1F76FC97" w14:textId="77777777">
            <w:pPr>
              <w:spacing w:line="259" w:lineRule="auto"/>
              <w:ind w:left="0" w:firstLine="0"/>
              <w:contextualSpacing/>
              <w:rPr>
                <w:rFonts w:cstheme="minorHAnsi"/>
                <w:sz w:val="20"/>
                <w:szCs w:val="20"/>
              </w:rPr>
            </w:pPr>
            <w:r w:rsidRPr="00FC55DA">
              <w:rPr>
                <w:rFonts w:cstheme="minorHAnsi"/>
                <w:sz w:val="20"/>
                <w:szCs w:val="20"/>
              </w:rPr>
              <w:t>(C)</w:t>
            </w:r>
          </w:p>
          <w:p w:rsidR="00FC55DA" w:rsidRPr="00FC55DA" w:rsidP="00E95D30" w14:paraId="467747B2" w14:textId="77777777">
            <w:pPr>
              <w:spacing w:line="259" w:lineRule="auto"/>
              <w:ind w:left="0" w:firstLine="0"/>
              <w:contextualSpacing/>
              <w:rPr>
                <w:rFonts w:cstheme="minorHAnsi"/>
                <w:sz w:val="20"/>
                <w:szCs w:val="20"/>
              </w:rPr>
            </w:pPr>
            <w:r w:rsidRPr="00FC55DA">
              <w:rPr>
                <w:rFonts w:cstheme="minorHAnsi"/>
                <w:sz w:val="20"/>
                <w:szCs w:val="20"/>
              </w:rPr>
              <w:t>Number of Responses</w:t>
            </w:r>
          </w:p>
        </w:tc>
        <w:tc>
          <w:tcPr>
            <w:tcW w:w="1890" w:type="dxa"/>
          </w:tcPr>
          <w:p w:rsidR="00FC55DA" w:rsidRPr="00FC55DA" w:rsidP="00E95D30" w14:paraId="3423A002" w14:textId="77777777">
            <w:pPr>
              <w:spacing w:line="259" w:lineRule="auto"/>
              <w:ind w:left="0" w:firstLine="0"/>
              <w:contextualSpacing/>
              <w:rPr>
                <w:rFonts w:cstheme="minorHAnsi"/>
                <w:sz w:val="20"/>
                <w:szCs w:val="20"/>
              </w:rPr>
            </w:pPr>
            <w:r w:rsidRPr="00FC55DA">
              <w:rPr>
                <w:rFonts w:cstheme="minorHAnsi"/>
                <w:sz w:val="20"/>
                <w:szCs w:val="20"/>
              </w:rPr>
              <w:t>(D)</w:t>
            </w:r>
          </w:p>
          <w:p w:rsidR="00FC55DA" w:rsidRPr="00FC55DA" w:rsidP="00E95D30" w14:paraId="55BE3DA6" w14:textId="77777777">
            <w:pPr>
              <w:spacing w:line="259" w:lineRule="auto"/>
              <w:ind w:left="0" w:firstLine="0"/>
              <w:contextualSpacing/>
              <w:rPr>
                <w:rFonts w:cstheme="minorHAnsi"/>
                <w:sz w:val="20"/>
                <w:szCs w:val="20"/>
              </w:rPr>
            </w:pPr>
            <w:r w:rsidRPr="00FC55DA">
              <w:rPr>
                <w:rFonts w:cstheme="minorHAnsi"/>
                <w:sz w:val="20"/>
                <w:szCs w:val="20"/>
              </w:rPr>
              <w:t xml:space="preserve">Number of Existing Respondents That Keep Records </w:t>
            </w:r>
            <w:r w:rsidRPr="00FC55DA">
              <w:rPr>
                <w:rFonts w:cstheme="minorHAnsi"/>
                <w:sz w:val="20"/>
                <w:szCs w:val="20"/>
              </w:rPr>
              <w:t>But</w:t>
            </w:r>
            <w:r w:rsidRPr="00FC55DA">
              <w:rPr>
                <w:rFonts w:cstheme="minorHAnsi"/>
                <w:sz w:val="20"/>
                <w:szCs w:val="20"/>
              </w:rPr>
              <w:t xml:space="preserve"> </w:t>
            </w:r>
            <w:r w:rsidRPr="00FC55DA">
              <w:rPr>
                <w:rFonts w:cstheme="minorHAnsi"/>
                <w:sz w:val="20"/>
                <w:szCs w:val="20"/>
              </w:rPr>
              <w:t>Do Not Submit Reports</w:t>
            </w:r>
          </w:p>
        </w:tc>
        <w:tc>
          <w:tcPr>
            <w:tcW w:w="2070" w:type="dxa"/>
          </w:tcPr>
          <w:p w:rsidR="00FC55DA" w:rsidRPr="00E95D30" w:rsidP="00E95D30" w14:paraId="5AC6C8BB" w14:textId="77777777">
            <w:pPr>
              <w:spacing w:line="259" w:lineRule="auto"/>
              <w:ind w:left="0" w:firstLine="0"/>
              <w:contextualSpacing/>
              <w:rPr>
                <w:rFonts w:cstheme="minorHAnsi"/>
                <w:sz w:val="20"/>
                <w:szCs w:val="20"/>
                <w:lang w:val="pt-BR"/>
              </w:rPr>
            </w:pPr>
            <w:r w:rsidRPr="00E95D30">
              <w:rPr>
                <w:rFonts w:cstheme="minorHAnsi"/>
                <w:sz w:val="20"/>
                <w:szCs w:val="20"/>
                <w:lang w:val="pt-BR"/>
              </w:rPr>
              <w:t>(E)</w:t>
            </w:r>
          </w:p>
          <w:p w:rsidR="00FC55DA" w:rsidRPr="00E95D30" w:rsidP="00E95D30" w14:paraId="170F9C75" w14:textId="77777777">
            <w:pPr>
              <w:spacing w:line="259" w:lineRule="auto"/>
              <w:ind w:left="0" w:firstLine="0"/>
              <w:contextualSpacing/>
              <w:rPr>
                <w:rFonts w:cstheme="minorHAnsi"/>
                <w:sz w:val="20"/>
                <w:szCs w:val="20"/>
                <w:lang w:val="pt-BR"/>
              </w:rPr>
            </w:pPr>
            <w:r w:rsidRPr="00E95D30">
              <w:rPr>
                <w:rFonts w:cstheme="minorHAnsi"/>
                <w:sz w:val="20"/>
                <w:szCs w:val="20"/>
                <w:lang w:val="pt-BR"/>
              </w:rPr>
              <w:t>Total Annual Responses</w:t>
            </w:r>
          </w:p>
          <w:p w:rsidR="00FC55DA" w:rsidRPr="00E95D30" w:rsidP="00E95D30" w14:paraId="4CF1E4E8" w14:textId="77777777">
            <w:pPr>
              <w:spacing w:line="259" w:lineRule="auto"/>
              <w:ind w:left="0" w:firstLine="0"/>
              <w:contextualSpacing/>
              <w:rPr>
                <w:rFonts w:cstheme="minorHAnsi"/>
                <w:sz w:val="20"/>
                <w:szCs w:val="20"/>
                <w:lang w:val="pt-BR"/>
              </w:rPr>
            </w:pPr>
            <w:r w:rsidRPr="00E95D30">
              <w:rPr>
                <w:rFonts w:cstheme="minorHAnsi"/>
                <w:sz w:val="20"/>
                <w:szCs w:val="20"/>
                <w:lang w:val="pt-BR"/>
              </w:rPr>
              <w:t>E=(BxC)+D</w:t>
            </w:r>
          </w:p>
        </w:tc>
      </w:tr>
      <w:tr w14:paraId="7B5BF825" w14:textId="77777777" w:rsidTr="00743BEB">
        <w:tblPrEx>
          <w:tblW w:w="0" w:type="auto"/>
          <w:tblLayout w:type="fixed"/>
          <w:tblCellMar>
            <w:left w:w="111" w:type="dxa"/>
            <w:right w:w="111" w:type="dxa"/>
          </w:tblCellMar>
          <w:tblLook w:val="0000"/>
        </w:tblPrEx>
        <w:trPr>
          <w:trHeight w:val="366"/>
        </w:trPr>
        <w:tc>
          <w:tcPr>
            <w:tcW w:w="2700" w:type="dxa"/>
          </w:tcPr>
          <w:p w:rsidR="00FC55DA" w:rsidRPr="00FC55DA" w:rsidP="00E95D30" w14:paraId="2A060A6F" w14:textId="77777777">
            <w:pPr>
              <w:spacing w:line="259" w:lineRule="auto"/>
              <w:ind w:left="0" w:firstLine="0"/>
              <w:contextualSpacing/>
              <w:rPr>
                <w:rFonts w:cstheme="minorHAnsi"/>
                <w:sz w:val="20"/>
                <w:szCs w:val="20"/>
              </w:rPr>
            </w:pPr>
            <w:r w:rsidRPr="00FC55DA">
              <w:rPr>
                <w:rFonts w:cstheme="minorHAnsi"/>
                <w:sz w:val="20"/>
                <w:szCs w:val="20"/>
              </w:rPr>
              <w:t xml:space="preserve">Become familiar with CEDRI for electronic filing of notifications and reports </w:t>
            </w:r>
            <w:r w:rsidRPr="00FC55DA">
              <w:rPr>
                <w:rFonts w:cstheme="minorHAnsi"/>
                <w:sz w:val="20"/>
                <w:szCs w:val="20"/>
                <w:vertAlign w:val="superscript"/>
              </w:rPr>
              <w:t>a</w:t>
            </w:r>
          </w:p>
        </w:tc>
        <w:tc>
          <w:tcPr>
            <w:tcW w:w="1260" w:type="dxa"/>
            <w:vAlign w:val="center"/>
          </w:tcPr>
          <w:p w:rsidR="00FC55DA" w:rsidRPr="00FC55DA" w:rsidP="00E95D30" w14:paraId="44CB0330" w14:textId="77777777">
            <w:pPr>
              <w:spacing w:line="259" w:lineRule="auto"/>
              <w:ind w:left="0" w:firstLine="0"/>
              <w:contextualSpacing/>
              <w:rPr>
                <w:rFonts w:cstheme="minorHAnsi"/>
                <w:sz w:val="20"/>
                <w:szCs w:val="20"/>
              </w:rPr>
            </w:pPr>
            <w:r w:rsidRPr="00FC55DA">
              <w:rPr>
                <w:rFonts w:cstheme="minorHAnsi"/>
                <w:sz w:val="20"/>
                <w:szCs w:val="20"/>
              </w:rPr>
              <w:t>3</w:t>
            </w:r>
          </w:p>
        </w:tc>
        <w:tc>
          <w:tcPr>
            <w:tcW w:w="1260" w:type="dxa"/>
            <w:vAlign w:val="center"/>
          </w:tcPr>
          <w:p w:rsidR="00FC55DA" w:rsidRPr="00FC55DA" w:rsidP="00E95D30" w14:paraId="3B46317D" w14:textId="77777777">
            <w:pPr>
              <w:spacing w:line="259" w:lineRule="auto"/>
              <w:ind w:left="0" w:firstLine="0"/>
              <w:contextualSpacing/>
              <w:rPr>
                <w:rFonts w:cstheme="minorHAnsi"/>
                <w:sz w:val="20"/>
                <w:szCs w:val="20"/>
              </w:rPr>
            </w:pPr>
            <w:r w:rsidRPr="00FC55DA">
              <w:rPr>
                <w:rFonts w:cstheme="minorHAnsi"/>
                <w:sz w:val="20"/>
                <w:szCs w:val="20"/>
              </w:rPr>
              <w:t>1</w:t>
            </w:r>
          </w:p>
        </w:tc>
        <w:tc>
          <w:tcPr>
            <w:tcW w:w="1890" w:type="dxa"/>
            <w:vAlign w:val="center"/>
          </w:tcPr>
          <w:p w:rsidR="00FC55DA" w:rsidRPr="00FC55DA" w:rsidP="00E95D30" w14:paraId="0EE55537" w14:textId="77777777">
            <w:pPr>
              <w:spacing w:line="259" w:lineRule="auto"/>
              <w:ind w:left="0" w:firstLine="0"/>
              <w:contextualSpacing/>
              <w:rPr>
                <w:rFonts w:cstheme="minorHAnsi"/>
                <w:sz w:val="20"/>
                <w:szCs w:val="20"/>
              </w:rPr>
            </w:pPr>
            <w:r w:rsidRPr="00FC55DA">
              <w:rPr>
                <w:rFonts w:cstheme="minorHAnsi"/>
                <w:sz w:val="20"/>
                <w:szCs w:val="20"/>
              </w:rPr>
              <w:t>0</w:t>
            </w:r>
          </w:p>
        </w:tc>
        <w:tc>
          <w:tcPr>
            <w:tcW w:w="2070" w:type="dxa"/>
            <w:vAlign w:val="center"/>
          </w:tcPr>
          <w:p w:rsidR="00FC55DA" w:rsidRPr="00FC55DA" w:rsidP="00E95D30" w14:paraId="0F02D96E" w14:textId="77777777">
            <w:pPr>
              <w:spacing w:line="259" w:lineRule="auto"/>
              <w:ind w:left="0" w:firstLine="0"/>
              <w:contextualSpacing/>
              <w:rPr>
                <w:rFonts w:cstheme="minorHAnsi"/>
                <w:sz w:val="20"/>
                <w:szCs w:val="20"/>
              </w:rPr>
            </w:pPr>
            <w:r w:rsidRPr="00FC55DA">
              <w:rPr>
                <w:rFonts w:cstheme="minorHAnsi"/>
                <w:sz w:val="20"/>
                <w:szCs w:val="20"/>
              </w:rPr>
              <w:t>3</w:t>
            </w:r>
          </w:p>
        </w:tc>
      </w:tr>
      <w:tr w14:paraId="1A20C03F" w14:textId="77777777" w:rsidTr="00743BEB">
        <w:tblPrEx>
          <w:tblW w:w="0" w:type="auto"/>
          <w:tblLayout w:type="fixed"/>
          <w:tblCellMar>
            <w:left w:w="111" w:type="dxa"/>
            <w:right w:w="111" w:type="dxa"/>
          </w:tblCellMar>
          <w:tblLook w:val="0000"/>
        </w:tblPrEx>
        <w:trPr>
          <w:trHeight w:val="366"/>
        </w:trPr>
        <w:tc>
          <w:tcPr>
            <w:tcW w:w="2700" w:type="dxa"/>
            <w:vAlign w:val="center"/>
          </w:tcPr>
          <w:p w:rsidR="00FC55DA" w:rsidRPr="00FC55DA" w:rsidP="00E95D30" w14:paraId="124BA392"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7ACEE2E4"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6DE33046" w14:textId="77777777">
            <w:pPr>
              <w:spacing w:line="259" w:lineRule="auto"/>
              <w:ind w:left="0" w:firstLine="0"/>
              <w:contextualSpacing/>
              <w:rPr>
                <w:rFonts w:cstheme="minorHAnsi"/>
                <w:sz w:val="20"/>
                <w:szCs w:val="20"/>
              </w:rPr>
            </w:pPr>
          </w:p>
        </w:tc>
        <w:tc>
          <w:tcPr>
            <w:tcW w:w="1890" w:type="dxa"/>
            <w:vAlign w:val="center"/>
          </w:tcPr>
          <w:p w:rsidR="00FC55DA" w:rsidRPr="00FC55DA" w:rsidP="00E95D30" w14:paraId="3FBFD98D" w14:textId="77777777">
            <w:pPr>
              <w:spacing w:line="259" w:lineRule="auto"/>
              <w:ind w:left="0" w:firstLine="0"/>
              <w:contextualSpacing/>
              <w:rPr>
                <w:rFonts w:cstheme="minorHAnsi"/>
                <w:sz w:val="20"/>
                <w:szCs w:val="20"/>
              </w:rPr>
            </w:pPr>
            <w:r w:rsidRPr="00FC55DA">
              <w:rPr>
                <w:rFonts w:cstheme="minorHAnsi"/>
                <w:sz w:val="20"/>
                <w:szCs w:val="20"/>
              </w:rPr>
              <w:t>Total</w:t>
            </w:r>
          </w:p>
        </w:tc>
        <w:tc>
          <w:tcPr>
            <w:tcW w:w="2070" w:type="dxa"/>
            <w:vAlign w:val="center"/>
          </w:tcPr>
          <w:p w:rsidR="00FC55DA" w:rsidRPr="00FC55DA" w:rsidP="00E95D30" w14:paraId="3E09D442" w14:textId="77777777">
            <w:pPr>
              <w:spacing w:line="259" w:lineRule="auto"/>
              <w:ind w:left="0" w:firstLine="0"/>
              <w:contextualSpacing/>
              <w:rPr>
                <w:rFonts w:cstheme="minorHAnsi"/>
                <w:sz w:val="20"/>
                <w:szCs w:val="20"/>
              </w:rPr>
            </w:pPr>
            <w:r w:rsidRPr="00FC55DA">
              <w:rPr>
                <w:rFonts w:cstheme="minorHAnsi"/>
                <w:sz w:val="20"/>
                <w:szCs w:val="20"/>
              </w:rPr>
              <w:t>3</w:t>
            </w:r>
          </w:p>
        </w:tc>
      </w:tr>
      <w:tr w14:paraId="2CCC5745" w14:textId="77777777" w:rsidTr="00743BEB">
        <w:tblPrEx>
          <w:tblW w:w="0" w:type="auto"/>
          <w:tblLayout w:type="fixed"/>
          <w:tblCellMar>
            <w:left w:w="111" w:type="dxa"/>
            <w:right w:w="111" w:type="dxa"/>
          </w:tblCellMar>
          <w:tblLook w:val="0000"/>
        </w:tblPrEx>
        <w:trPr>
          <w:trHeight w:val="366"/>
        </w:trPr>
        <w:tc>
          <w:tcPr>
            <w:tcW w:w="9180" w:type="dxa"/>
            <w:gridSpan w:val="5"/>
            <w:vAlign w:val="center"/>
          </w:tcPr>
          <w:p w:rsidR="00FC55DA" w:rsidRPr="00FC55DA" w:rsidP="00E95D30" w14:paraId="757BE34F" w14:textId="77777777">
            <w:pPr>
              <w:spacing w:line="259" w:lineRule="auto"/>
              <w:ind w:left="0" w:firstLine="0"/>
              <w:contextualSpacing/>
              <w:jc w:val="center"/>
              <w:rPr>
                <w:rFonts w:cstheme="minorHAnsi"/>
                <w:sz w:val="20"/>
                <w:szCs w:val="20"/>
              </w:rPr>
            </w:pPr>
            <w:r w:rsidRPr="00FC55DA">
              <w:rPr>
                <w:rFonts w:cstheme="minorHAnsi"/>
                <w:b/>
                <w:bCs/>
                <w:sz w:val="20"/>
                <w:szCs w:val="20"/>
              </w:rPr>
              <w:t>Total Annual Responses, In Year Two</w:t>
            </w:r>
          </w:p>
        </w:tc>
      </w:tr>
      <w:tr w14:paraId="31372730" w14:textId="77777777" w:rsidTr="00743BEB">
        <w:tblPrEx>
          <w:tblW w:w="0" w:type="auto"/>
          <w:tblLayout w:type="fixed"/>
          <w:tblCellMar>
            <w:left w:w="111" w:type="dxa"/>
            <w:right w:w="111" w:type="dxa"/>
          </w:tblCellMar>
          <w:tblLook w:val="0000"/>
        </w:tblPrEx>
        <w:trPr>
          <w:trHeight w:val="366"/>
        </w:trPr>
        <w:tc>
          <w:tcPr>
            <w:tcW w:w="2700" w:type="dxa"/>
          </w:tcPr>
          <w:p w:rsidR="00FC55DA" w:rsidRPr="00FC55DA" w:rsidP="00E95D30" w14:paraId="363CB86D" w14:textId="77777777">
            <w:pPr>
              <w:spacing w:line="259" w:lineRule="auto"/>
              <w:ind w:left="0" w:firstLine="0"/>
              <w:contextualSpacing/>
              <w:rPr>
                <w:rFonts w:cstheme="minorHAnsi"/>
                <w:sz w:val="20"/>
                <w:szCs w:val="20"/>
              </w:rPr>
            </w:pPr>
            <w:r w:rsidRPr="00FC55DA">
              <w:rPr>
                <w:rFonts w:cstheme="minorHAnsi"/>
                <w:sz w:val="20"/>
                <w:szCs w:val="20"/>
              </w:rPr>
              <w:t xml:space="preserve">Become familiar with CEDRI for electronic filing of notifications and reports </w:t>
            </w:r>
            <w:r w:rsidRPr="00FC55DA">
              <w:rPr>
                <w:rFonts w:cstheme="minorHAnsi"/>
                <w:sz w:val="20"/>
                <w:szCs w:val="20"/>
                <w:vertAlign w:val="superscript"/>
              </w:rPr>
              <w:t>a</w:t>
            </w:r>
          </w:p>
        </w:tc>
        <w:tc>
          <w:tcPr>
            <w:tcW w:w="1260" w:type="dxa"/>
            <w:vAlign w:val="center"/>
          </w:tcPr>
          <w:p w:rsidR="00FC55DA" w:rsidRPr="00FC55DA" w:rsidP="00E95D30" w14:paraId="527BF694"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60" w:type="dxa"/>
            <w:vAlign w:val="center"/>
          </w:tcPr>
          <w:p w:rsidR="00FC55DA" w:rsidRPr="00FC55DA" w:rsidP="00E95D30" w14:paraId="78AF6274"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90" w:type="dxa"/>
            <w:vAlign w:val="center"/>
          </w:tcPr>
          <w:p w:rsidR="00FC55DA" w:rsidRPr="00FC55DA" w:rsidP="00E95D30" w14:paraId="7B610269" w14:textId="77777777">
            <w:pPr>
              <w:spacing w:line="259" w:lineRule="auto"/>
              <w:ind w:left="0" w:firstLine="0"/>
              <w:contextualSpacing/>
              <w:rPr>
                <w:rFonts w:cstheme="minorHAnsi"/>
                <w:sz w:val="20"/>
                <w:szCs w:val="20"/>
              </w:rPr>
            </w:pPr>
            <w:r w:rsidRPr="00FC55DA">
              <w:rPr>
                <w:rFonts w:cstheme="minorHAnsi"/>
                <w:sz w:val="20"/>
                <w:szCs w:val="20"/>
              </w:rPr>
              <w:t>0</w:t>
            </w:r>
          </w:p>
        </w:tc>
        <w:tc>
          <w:tcPr>
            <w:tcW w:w="2070" w:type="dxa"/>
            <w:vAlign w:val="center"/>
          </w:tcPr>
          <w:p w:rsidR="00FC55DA" w:rsidRPr="00FC55DA" w:rsidP="00E95D30" w14:paraId="53A6632A" w14:textId="77777777">
            <w:pPr>
              <w:spacing w:line="259" w:lineRule="auto"/>
              <w:ind w:left="0" w:firstLine="0"/>
              <w:contextualSpacing/>
              <w:rPr>
                <w:rFonts w:cstheme="minorHAnsi"/>
                <w:sz w:val="20"/>
                <w:szCs w:val="20"/>
              </w:rPr>
            </w:pPr>
            <w:r w:rsidRPr="00FC55DA">
              <w:rPr>
                <w:rFonts w:cstheme="minorHAnsi"/>
                <w:sz w:val="20"/>
                <w:szCs w:val="20"/>
              </w:rPr>
              <w:t>0</w:t>
            </w:r>
          </w:p>
        </w:tc>
      </w:tr>
      <w:tr w14:paraId="6E052D8B" w14:textId="77777777" w:rsidTr="00743BEB">
        <w:tblPrEx>
          <w:tblW w:w="0" w:type="auto"/>
          <w:tblLayout w:type="fixed"/>
          <w:tblCellMar>
            <w:left w:w="111" w:type="dxa"/>
            <w:right w:w="111" w:type="dxa"/>
          </w:tblCellMar>
          <w:tblLook w:val="0000"/>
        </w:tblPrEx>
        <w:trPr>
          <w:trHeight w:val="366"/>
        </w:trPr>
        <w:tc>
          <w:tcPr>
            <w:tcW w:w="2700" w:type="dxa"/>
            <w:vAlign w:val="center"/>
          </w:tcPr>
          <w:p w:rsidR="00FC55DA" w:rsidRPr="00FC55DA" w:rsidP="00E95D30" w14:paraId="2BE7299D"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5E344952"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16EDAE1A" w14:textId="77777777">
            <w:pPr>
              <w:spacing w:line="259" w:lineRule="auto"/>
              <w:ind w:left="0" w:firstLine="0"/>
              <w:contextualSpacing/>
              <w:rPr>
                <w:rFonts w:cstheme="minorHAnsi"/>
                <w:sz w:val="20"/>
                <w:szCs w:val="20"/>
              </w:rPr>
            </w:pPr>
          </w:p>
        </w:tc>
        <w:tc>
          <w:tcPr>
            <w:tcW w:w="1890" w:type="dxa"/>
            <w:vAlign w:val="center"/>
          </w:tcPr>
          <w:p w:rsidR="00FC55DA" w:rsidRPr="00FC55DA" w:rsidP="00E95D30" w14:paraId="373CD0B8" w14:textId="77777777">
            <w:pPr>
              <w:spacing w:line="259" w:lineRule="auto"/>
              <w:ind w:left="0" w:firstLine="0"/>
              <w:contextualSpacing/>
              <w:rPr>
                <w:rFonts w:cstheme="minorHAnsi"/>
                <w:sz w:val="20"/>
                <w:szCs w:val="20"/>
              </w:rPr>
            </w:pPr>
            <w:r w:rsidRPr="00FC55DA">
              <w:rPr>
                <w:rFonts w:cstheme="minorHAnsi"/>
                <w:sz w:val="20"/>
                <w:szCs w:val="20"/>
              </w:rPr>
              <w:t>Total</w:t>
            </w:r>
          </w:p>
        </w:tc>
        <w:tc>
          <w:tcPr>
            <w:tcW w:w="2070" w:type="dxa"/>
            <w:vAlign w:val="center"/>
          </w:tcPr>
          <w:p w:rsidR="00FC55DA" w:rsidRPr="00FC55DA" w:rsidP="00E95D30" w14:paraId="3320024E" w14:textId="77777777">
            <w:pPr>
              <w:spacing w:line="259" w:lineRule="auto"/>
              <w:ind w:left="0" w:firstLine="0"/>
              <w:contextualSpacing/>
              <w:rPr>
                <w:rFonts w:cstheme="minorHAnsi"/>
                <w:sz w:val="20"/>
                <w:szCs w:val="20"/>
              </w:rPr>
            </w:pPr>
            <w:r w:rsidRPr="00FC55DA">
              <w:rPr>
                <w:rFonts w:cstheme="minorHAnsi"/>
                <w:sz w:val="20"/>
                <w:szCs w:val="20"/>
              </w:rPr>
              <w:t>0</w:t>
            </w:r>
          </w:p>
        </w:tc>
      </w:tr>
      <w:tr w14:paraId="42CE623A" w14:textId="77777777" w:rsidTr="00743BEB">
        <w:tblPrEx>
          <w:tblW w:w="0" w:type="auto"/>
          <w:tblLayout w:type="fixed"/>
          <w:tblCellMar>
            <w:left w:w="111" w:type="dxa"/>
            <w:right w:w="111" w:type="dxa"/>
          </w:tblCellMar>
          <w:tblLook w:val="0000"/>
        </w:tblPrEx>
        <w:trPr>
          <w:trHeight w:val="366"/>
        </w:trPr>
        <w:tc>
          <w:tcPr>
            <w:tcW w:w="9180" w:type="dxa"/>
            <w:gridSpan w:val="5"/>
            <w:vAlign w:val="center"/>
          </w:tcPr>
          <w:p w:rsidR="00FC55DA" w:rsidRPr="00FC55DA" w:rsidP="00E95D30" w14:paraId="57B12B13" w14:textId="77777777">
            <w:pPr>
              <w:spacing w:line="259" w:lineRule="auto"/>
              <w:ind w:left="0" w:firstLine="0"/>
              <w:contextualSpacing/>
              <w:jc w:val="center"/>
              <w:rPr>
                <w:rFonts w:cstheme="minorHAnsi"/>
                <w:sz w:val="20"/>
                <w:szCs w:val="20"/>
              </w:rPr>
            </w:pPr>
            <w:r w:rsidRPr="00FC55DA">
              <w:rPr>
                <w:rFonts w:cstheme="minorHAnsi"/>
                <w:b/>
                <w:bCs/>
                <w:sz w:val="20"/>
                <w:szCs w:val="20"/>
              </w:rPr>
              <w:t>Total Annual Responses, In Year Three</w:t>
            </w:r>
          </w:p>
        </w:tc>
      </w:tr>
      <w:tr w14:paraId="386541F5" w14:textId="77777777" w:rsidTr="00743BEB">
        <w:tblPrEx>
          <w:tblW w:w="0" w:type="auto"/>
          <w:tblLayout w:type="fixed"/>
          <w:tblCellMar>
            <w:left w:w="111" w:type="dxa"/>
            <w:right w:w="111" w:type="dxa"/>
          </w:tblCellMar>
          <w:tblLook w:val="0000"/>
        </w:tblPrEx>
        <w:trPr>
          <w:trHeight w:val="366"/>
        </w:trPr>
        <w:tc>
          <w:tcPr>
            <w:tcW w:w="2700" w:type="dxa"/>
          </w:tcPr>
          <w:p w:rsidR="00FC55DA" w:rsidRPr="00FC55DA" w:rsidP="00E95D30" w14:paraId="029B1B3F" w14:textId="77777777">
            <w:pPr>
              <w:spacing w:line="259" w:lineRule="auto"/>
              <w:ind w:left="0" w:firstLine="0"/>
              <w:contextualSpacing/>
              <w:rPr>
                <w:rFonts w:cstheme="minorHAnsi"/>
                <w:sz w:val="20"/>
                <w:szCs w:val="20"/>
              </w:rPr>
            </w:pPr>
            <w:r w:rsidRPr="00FC55DA">
              <w:rPr>
                <w:rFonts w:cstheme="minorHAnsi"/>
                <w:sz w:val="20"/>
                <w:szCs w:val="20"/>
              </w:rPr>
              <w:t xml:space="preserve">Become familiar with CEDRI for electronic filing of notifications and reports </w:t>
            </w:r>
            <w:r w:rsidRPr="00FC55DA">
              <w:rPr>
                <w:rFonts w:cstheme="minorHAnsi"/>
                <w:sz w:val="20"/>
                <w:szCs w:val="20"/>
                <w:vertAlign w:val="superscript"/>
              </w:rPr>
              <w:t>a</w:t>
            </w:r>
          </w:p>
        </w:tc>
        <w:tc>
          <w:tcPr>
            <w:tcW w:w="1260" w:type="dxa"/>
            <w:vAlign w:val="center"/>
          </w:tcPr>
          <w:p w:rsidR="00FC55DA" w:rsidRPr="00FC55DA" w:rsidP="00E95D30" w14:paraId="13710101"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260" w:type="dxa"/>
            <w:vAlign w:val="center"/>
          </w:tcPr>
          <w:p w:rsidR="00FC55DA" w:rsidRPr="00FC55DA" w:rsidP="00E95D30" w14:paraId="714030EB" w14:textId="77777777">
            <w:pPr>
              <w:spacing w:line="259" w:lineRule="auto"/>
              <w:ind w:left="0" w:firstLine="0"/>
              <w:contextualSpacing/>
              <w:rPr>
                <w:rFonts w:cstheme="minorHAnsi"/>
                <w:sz w:val="20"/>
                <w:szCs w:val="20"/>
              </w:rPr>
            </w:pPr>
            <w:r w:rsidRPr="00FC55DA">
              <w:rPr>
                <w:rFonts w:cstheme="minorHAnsi"/>
                <w:sz w:val="20"/>
                <w:szCs w:val="20"/>
              </w:rPr>
              <w:t>0</w:t>
            </w:r>
          </w:p>
        </w:tc>
        <w:tc>
          <w:tcPr>
            <w:tcW w:w="1890" w:type="dxa"/>
            <w:vAlign w:val="center"/>
          </w:tcPr>
          <w:p w:rsidR="00FC55DA" w:rsidRPr="00FC55DA" w:rsidP="00E95D30" w14:paraId="46A1A8FF" w14:textId="77777777">
            <w:pPr>
              <w:spacing w:line="259" w:lineRule="auto"/>
              <w:ind w:left="0" w:firstLine="0"/>
              <w:contextualSpacing/>
              <w:rPr>
                <w:rFonts w:cstheme="minorHAnsi"/>
                <w:sz w:val="20"/>
                <w:szCs w:val="20"/>
              </w:rPr>
            </w:pPr>
            <w:r w:rsidRPr="00FC55DA">
              <w:rPr>
                <w:rFonts w:cstheme="minorHAnsi"/>
                <w:sz w:val="20"/>
                <w:szCs w:val="20"/>
              </w:rPr>
              <w:t>0</w:t>
            </w:r>
          </w:p>
        </w:tc>
        <w:tc>
          <w:tcPr>
            <w:tcW w:w="2070" w:type="dxa"/>
            <w:vAlign w:val="center"/>
          </w:tcPr>
          <w:p w:rsidR="00FC55DA" w:rsidRPr="00FC55DA" w:rsidP="00E95D30" w14:paraId="42DD21C4" w14:textId="77777777">
            <w:pPr>
              <w:spacing w:line="259" w:lineRule="auto"/>
              <w:ind w:left="0" w:firstLine="0"/>
              <w:contextualSpacing/>
              <w:rPr>
                <w:rFonts w:cstheme="minorHAnsi"/>
                <w:sz w:val="20"/>
                <w:szCs w:val="20"/>
              </w:rPr>
            </w:pPr>
            <w:r w:rsidRPr="00FC55DA">
              <w:rPr>
                <w:rFonts w:cstheme="minorHAnsi"/>
                <w:sz w:val="20"/>
                <w:szCs w:val="20"/>
              </w:rPr>
              <w:t>0</w:t>
            </w:r>
          </w:p>
        </w:tc>
      </w:tr>
      <w:tr w14:paraId="333897E1" w14:textId="77777777" w:rsidTr="00743BEB">
        <w:tblPrEx>
          <w:tblW w:w="0" w:type="auto"/>
          <w:tblLayout w:type="fixed"/>
          <w:tblCellMar>
            <w:left w:w="111" w:type="dxa"/>
            <w:right w:w="111" w:type="dxa"/>
          </w:tblCellMar>
          <w:tblLook w:val="0000"/>
        </w:tblPrEx>
        <w:trPr>
          <w:trHeight w:val="366"/>
        </w:trPr>
        <w:tc>
          <w:tcPr>
            <w:tcW w:w="2700" w:type="dxa"/>
            <w:vAlign w:val="center"/>
          </w:tcPr>
          <w:p w:rsidR="00FC55DA" w:rsidRPr="00FC55DA" w:rsidP="00E95D30" w14:paraId="1FA0211B"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5D22DF20" w14:textId="77777777">
            <w:pPr>
              <w:spacing w:line="259" w:lineRule="auto"/>
              <w:ind w:left="0" w:firstLine="0"/>
              <w:contextualSpacing/>
              <w:rPr>
                <w:rFonts w:cstheme="minorHAnsi"/>
                <w:sz w:val="20"/>
                <w:szCs w:val="20"/>
              </w:rPr>
            </w:pPr>
          </w:p>
        </w:tc>
        <w:tc>
          <w:tcPr>
            <w:tcW w:w="1260" w:type="dxa"/>
            <w:vAlign w:val="center"/>
          </w:tcPr>
          <w:p w:rsidR="00FC55DA" w:rsidRPr="00FC55DA" w:rsidP="00E95D30" w14:paraId="1DD6B20F" w14:textId="77777777">
            <w:pPr>
              <w:spacing w:line="259" w:lineRule="auto"/>
              <w:ind w:left="0" w:firstLine="0"/>
              <w:contextualSpacing/>
              <w:rPr>
                <w:rFonts w:cstheme="minorHAnsi"/>
                <w:sz w:val="20"/>
                <w:szCs w:val="20"/>
              </w:rPr>
            </w:pPr>
          </w:p>
        </w:tc>
        <w:tc>
          <w:tcPr>
            <w:tcW w:w="1890" w:type="dxa"/>
            <w:vAlign w:val="center"/>
          </w:tcPr>
          <w:p w:rsidR="00FC55DA" w:rsidRPr="00FC55DA" w:rsidP="00E95D30" w14:paraId="50799E59" w14:textId="77777777">
            <w:pPr>
              <w:spacing w:line="259" w:lineRule="auto"/>
              <w:ind w:left="0" w:firstLine="0"/>
              <w:contextualSpacing/>
              <w:rPr>
                <w:rFonts w:cstheme="minorHAnsi"/>
                <w:sz w:val="20"/>
                <w:szCs w:val="20"/>
              </w:rPr>
            </w:pPr>
            <w:r w:rsidRPr="00FC55DA">
              <w:rPr>
                <w:rFonts w:cstheme="minorHAnsi"/>
                <w:sz w:val="20"/>
                <w:szCs w:val="20"/>
              </w:rPr>
              <w:t>Total</w:t>
            </w:r>
          </w:p>
        </w:tc>
        <w:tc>
          <w:tcPr>
            <w:tcW w:w="2070" w:type="dxa"/>
            <w:vAlign w:val="center"/>
          </w:tcPr>
          <w:p w:rsidR="00FC55DA" w:rsidRPr="00FC55DA" w:rsidP="00E95D30" w14:paraId="64BC9F4F" w14:textId="77777777">
            <w:pPr>
              <w:spacing w:line="259" w:lineRule="auto"/>
              <w:ind w:left="0" w:firstLine="0"/>
              <w:contextualSpacing/>
              <w:rPr>
                <w:rFonts w:cstheme="minorHAnsi"/>
                <w:sz w:val="20"/>
                <w:szCs w:val="20"/>
              </w:rPr>
            </w:pPr>
            <w:r w:rsidRPr="00FC55DA">
              <w:rPr>
                <w:rFonts w:cstheme="minorHAnsi"/>
                <w:sz w:val="20"/>
                <w:szCs w:val="20"/>
              </w:rPr>
              <w:t>0</w:t>
            </w:r>
          </w:p>
        </w:tc>
      </w:tr>
    </w:tbl>
    <w:p w:rsidR="00FC55DA" w:rsidRPr="00FC55DA" w:rsidP="00FC55DA" w14:paraId="1D276816" w14:textId="77777777">
      <w:pPr>
        <w:spacing w:line="259" w:lineRule="auto"/>
        <w:ind w:left="0" w:firstLine="0"/>
        <w:rPr>
          <w:rFonts w:cstheme="minorHAnsi"/>
        </w:rPr>
      </w:pPr>
      <w:r w:rsidRPr="00FC55DA">
        <w:rPr>
          <w:rFonts w:cstheme="minorHAnsi"/>
        </w:rPr>
        <w:t>The number of Total Annual Responses in year one is three. The number of Total Annual Responses in years two and three is zero.</w:t>
      </w:r>
    </w:p>
    <w:p w:rsidR="00ED57A4" w:rsidRPr="008B3B3E" w:rsidP="00E95D30" w14:paraId="24D360E5" w14:textId="226DCC14">
      <w:pPr>
        <w:spacing w:line="259" w:lineRule="auto"/>
        <w:ind w:left="0" w:firstLine="0"/>
        <w:rPr>
          <w:rFonts w:cstheme="minorHAnsi"/>
          <w:b/>
          <w:bCs/>
        </w:rPr>
      </w:pPr>
      <w:r w:rsidRPr="008B3B3E">
        <w:rPr>
          <w:rFonts w:cstheme="minorHAnsi"/>
          <w:b/>
          <w:bCs/>
          <w:color w:val="000000" w:themeColor="text1"/>
        </w:rPr>
        <w:t>12b.</w:t>
      </w:r>
      <w:r w:rsidRPr="008B3B3E">
        <w:rPr>
          <w:rFonts w:cstheme="minorHAnsi"/>
          <w:b/>
          <w:bCs/>
        </w:rPr>
        <w:t xml:space="preserve"> </w:t>
      </w:r>
      <w:r w:rsidRPr="008B3B3E" w:rsidR="0042474D">
        <w:rPr>
          <w:rFonts w:cstheme="minorHAnsi"/>
          <w:b/>
          <w:bCs/>
          <w:color w:val="000000" w:themeColor="text1"/>
        </w:rPr>
        <w:t>INFORMATION REQUESTED</w:t>
      </w:r>
      <w:bookmarkStart w:id="18" w:name="_Toc156593384"/>
      <w:bookmarkEnd w:id="17"/>
    </w:p>
    <w:p w:rsidR="00FC55DA" w:rsidRPr="00FC55DA" w:rsidP="00FC55DA" w14:paraId="69DEEFF4" w14:textId="77777777">
      <w:pPr>
        <w:spacing w:line="259" w:lineRule="auto"/>
        <w:ind w:left="0" w:firstLine="0"/>
        <w:rPr>
          <w:rFonts w:cstheme="minorHAnsi"/>
        </w:rPr>
      </w:pPr>
      <w:r w:rsidRPr="00FC55DA">
        <w:rPr>
          <w:rFonts w:cstheme="minorHAnsi"/>
        </w:rPr>
        <w:t xml:space="preserve">In this ICR, all the data that are recorded or reported are required by the NSPS Review for Surface Coating of Plastic Parts for Business Machines (40 CFR part 60, subparts TTT and </w:t>
      </w:r>
      <w:r w:rsidRPr="00FC55DA">
        <w:rPr>
          <w:rFonts w:cstheme="minorHAnsi"/>
        </w:rPr>
        <w:t>TTTa</w:t>
      </w:r>
      <w:r w:rsidRPr="00FC55DA">
        <w:rPr>
          <w:rFonts w:cstheme="minorHAnsi"/>
        </w:rPr>
        <w:t>) (Amendments).</w:t>
      </w:r>
    </w:p>
    <w:p w:rsidR="00FC55DA" w:rsidRPr="00FC55DA" w:rsidP="00FC55DA" w14:paraId="28A85F93" w14:textId="77777777">
      <w:pPr>
        <w:spacing w:line="259" w:lineRule="auto"/>
        <w:ind w:left="0" w:firstLine="0"/>
        <w:rPr>
          <w:rFonts w:cstheme="minorHAnsi"/>
        </w:rPr>
      </w:pPr>
      <w:r w:rsidRPr="00FC55DA">
        <w:rPr>
          <w:rFonts w:cstheme="minorHAnsi"/>
        </w:rPr>
        <w:t>A source must make the following reports:</w:t>
      </w:r>
    </w:p>
    <w:tbl>
      <w:tblPr>
        <w:tblW w:w="9360" w:type="dxa"/>
        <w:jc w:val="center"/>
        <w:tblLayout w:type="fixed"/>
        <w:tblCellMar>
          <w:left w:w="120" w:type="dxa"/>
          <w:right w:w="120" w:type="dxa"/>
        </w:tblCellMar>
        <w:tblLook w:val="0000"/>
      </w:tblPr>
      <w:tblGrid>
        <w:gridCol w:w="7020"/>
        <w:gridCol w:w="2340"/>
      </w:tblGrid>
      <w:tr w14:paraId="3F29C602" w14:textId="77777777" w:rsidTr="00743BEB">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55DA" w:rsidRPr="00FC55DA" w:rsidP="00E95D30" w14:paraId="5E821342" w14:textId="77777777">
            <w:pPr>
              <w:spacing w:line="259" w:lineRule="auto"/>
              <w:ind w:left="0" w:firstLine="0"/>
              <w:contextualSpacing/>
              <w:jc w:val="center"/>
              <w:rPr>
                <w:rFonts w:cstheme="minorHAnsi"/>
                <w:b/>
                <w:sz w:val="20"/>
                <w:szCs w:val="20"/>
              </w:rPr>
            </w:pPr>
            <w:r w:rsidRPr="00FC55DA">
              <w:rPr>
                <w:rFonts w:cstheme="minorHAnsi"/>
                <w:b/>
                <w:sz w:val="20"/>
                <w:szCs w:val="20"/>
              </w:rPr>
              <w:t>Notifications</w:t>
            </w:r>
          </w:p>
        </w:tc>
      </w:tr>
      <w:tr w14:paraId="74128581" w14:textId="77777777" w:rsidTr="00743BEB">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FC55DA" w:rsidRPr="00FC55DA" w:rsidP="00E95D30" w14:paraId="409E1E4E" w14:textId="77777777">
            <w:pPr>
              <w:spacing w:line="259" w:lineRule="auto"/>
              <w:ind w:left="0" w:firstLine="0"/>
              <w:contextualSpacing/>
              <w:rPr>
                <w:rFonts w:cstheme="minorHAnsi"/>
                <w:sz w:val="20"/>
                <w:szCs w:val="20"/>
              </w:rPr>
            </w:pPr>
            <w:r w:rsidRPr="00FC55DA">
              <w:rPr>
                <w:rFonts w:cstheme="minorHAnsi"/>
                <w:sz w:val="20"/>
                <w:szCs w:val="2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FC55DA" w:rsidRPr="00FC55DA" w:rsidP="00E95D30" w14:paraId="0CFD7F8A" w14:textId="77777777">
            <w:pPr>
              <w:spacing w:line="259" w:lineRule="auto"/>
              <w:ind w:left="0" w:firstLine="0"/>
              <w:contextualSpacing/>
              <w:rPr>
                <w:rFonts w:cstheme="minorHAnsi"/>
                <w:sz w:val="20"/>
                <w:szCs w:val="20"/>
              </w:rPr>
            </w:pPr>
            <w:r w:rsidRPr="00FC55DA">
              <w:rPr>
                <w:rFonts w:cstheme="minorHAnsi"/>
                <w:sz w:val="20"/>
                <w:szCs w:val="20"/>
              </w:rPr>
              <w:t>§60.7(a)(1)</w:t>
            </w:r>
          </w:p>
        </w:tc>
      </w:tr>
      <w:tr w14:paraId="565134D2" w14:textId="77777777" w:rsidTr="00743BEB">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FC55DA" w:rsidRPr="00FC55DA" w:rsidP="00E95D30" w14:paraId="0598A4CC" w14:textId="77777777">
            <w:pPr>
              <w:spacing w:line="259" w:lineRule="auto"/>
              <w:ind w:left="0" w:firstLine="0"/>
              <w:contextualSpacing/>
              <w:rPr>
                <w:rFonts w:cstheme="minorHAnsi"/>
                <w:sz w:val="20"/>
                <w:szCs w:val="20"/>
              </w:rPr>
            </w:pPr>
            <w:r w:rsidRPr="00FC55DA">
              <w:rPr>
                <w:rFonts w:cstheme="minorHAnsi"/>
                <w:sz w:val="20"/>
                <w:szCs w:val="2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FC55DA" w:rsidRPr="00FC55DA" w:rsidP="00E95D30" w14:paraId="4BF6CE32" w14:textId="77777777">
            <w:pPr>
              <w:spacing w:line="259" w:lineRule="auto"/>
              <w:ind w:left="0" w:firstLine="0"/>
              <w:contextualSpacing/>
              <w:rPr>
                <w:rFonts w:cstheme="minorHAnsi"/>
                <w:sz w:val="20"/>
                <w:szCs w:val="20"/>
              </w:rPr>
            </w:pPr>
            <w:r w:rsidRPr="00FC55DA">
              <w:rPr>
                <w:rFonts w:cstheme="minorHAnsi"/>
                <w:sz w:val="20"/>
                <w:szCs w:val="20"/>
              </w:rPr>
              <w:t>§60.7(a)(3)</w:t>
            </w:r>
          </w:p>
        </w:tc>
      </w:tr>
      <w:tr w14:paraId="14A76C13" w14:textId="77777777" w:rsidTr="00743BEB">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FC55DA" w:rsidRPr="00FC55DA" w:rsidP="00E95D30" w14:paraId="04644245" w14:textId="77777777">
            <w:pPr>
              <w:spacing w:line="259" w:lineRule="auto"/>
              <w:ind w:left="0" w:firstLine="0"/>
              <w:contextualSpacing/>
              <w:rPr>
                <w:rFonts w:cstheme="minorHAnsi"/>
                <w:sz w:val="20"/>
                <w:szCs w:val="20"/>
              </w:rPr>
            </w:pPr>
            <w:r w:rsidRPr="00FC55DA">
              <w:rPr>
                <w:rFonts w:cstheme="minorHAnsi"/>
                <w:sz w:val="20"/>
                <w:szCs w:val="2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FC55DA" w:rsidRPr="00FC55DA" w:rsidP="00E95D30" w14:paraId="154F0CB6" w14:textId="77777777">
            <w:pPr>
              <w:spacing w:line="259" w:lineRule="auto"/>
              <w:ind w:left="0" w:firstLine="0"/>
              <w:contextualSpacing/>
              <w:rPr>
                <w:rFonts w:cstheme="minorHAnsi"/>
                <w:sz w:val="20"/>
                <w:szCs w:val="20"/>
              </w:rPr>
            </w:pPr>
            <w:r w:rsidRPr="00FC55DA">
              <w:rPr>
                <w:rFonts w:cstheme="minorHAnsi"/>
                <w:sz w:val="20"/>
                <w:szCs w:val="20"/>
              </w:rPr>
              <w:t>§§60.8(a), 60.724(a)</w:t>
            </w:r>
          </w:p>
        </w:tc>
      </w:tr>
      <w:tr w14:paraId="0206A47A" w14:textId="77777777" w:rsidTr="00743BEB">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FC55DA" w:rsidRPr="00FC55DA" w:rsidP="00E95D30" w14:paraId="75E9D317" w14:textId="77777777">
            <w:pPr>
              <w:spacing w:line="259" w:lineRule="auto"/>
              <w:ind w:left="0" w:firstLine="0"/>
              <w:contextualSpacing/>
              <w:rPr>
                <w:rFonts w:cstheme="minorHAnsi"/>
                <w:sz w:val="20"/>
                <w:szCs w:val="20"/>
              </w:rPr>
            </w:pPr>
            <w:r w:rsidRPr="00FC55DA">
              <w:rPr>
                <w:rFonts w:cstheme="minorHAnsi"/>
                <w:sz w:val="20"/>
                <w:szCs w:val="2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FC55DA" w:rsidRPr="00FC55DA" w:rsidP="00E95D30" w14:paraId="2654106B" w14:textId="77777777">
            <w:pPr>
              <w:spacing w:line="259" w:lineRule="auto"/>
              <w:ind w:left="0" w:firstLine="0"/>
              <w:contextualSpacing/>
              <w:rPr>
                <w:rFonts w:cstheme="minorHAnsi"/>
                <w:sz w:val="20"/>
                <w:szCs w:val="20"/>
              </w:rPr>
            </w:pPr>
            <w:r w:rsidRPr="00FC55DA">
              <w:rPr>
                <w:rFonts w:cstheme="minorHAnsi"/>
                <w:sz w:val="20"/>
                <w:szCs w:val="20"/>
              </w:rPr>
              <w:t>§60.8(d)</w:t>
            </w:r>
          </w:p>
        </w:tc>
      </w:tr>
      <w:tr w14:paraId="7D4B79A1" w14:textId="77777777" w:rsidTr="00743BEB">
        <w:tblPrEx>
          <w:tblW w:w="9360" w:type="dxa"/>
          <w:jc w:val="center"/>
          <w:tblLayout w:type="fixed"/>
          <w:tblCellMar>
            <w:left w:w="120" w:type="dxa"/>
            <w:right w:w="120" w:type="dxa"/>
          </w:tblCellMar>
          <w:tblLook w:val="0000"/>
        </w:tblPrEx>
        <w:trPr>
          <w:cantSplit/>
          <w:jc w:val="center"/>
        </w:trPr>
        <w:tc>
          <w:tcPr>
            <w:tcW w:w="7020" w:type="dxa"/>
            <w:tcBorders>
              <w:top w:val="single" w:sz="7" w:space="0" w:color="000000"/>
              <w:left w:val="single" w:sz="7" w:space="0" w:color="000000"/>
              <w:bottom w:val="single" w:sz="7" w:space="0" w:color="000000"/>
              <w:right w:val="single" w:sz="7" w:space="0" w:color="000000"/>
            </w:tcBorders>
          </w:tcPr>
          <w:p w:rsidR="00FC55DA" w:rsidRPr="00FC55DA" w:rsidP="00E95D30" w14:paraId="53E09A5C" w14:textId="77777777">
            <w:pPr>
              <w:spacing w:line="259" w:lineRule="auto"/>
              <w:ind w:left="0" w:firstLine="0"/>
              <w:contextualSpacing/>
              <w:rPr>
                <w:rFonts w:cstheme="minorHAnsi"/>
                <w:sz w:val="20"/>
                <w:szCs w:val="20"/>
              </w:rPr>
            </w:pPr>
            <w:r w:rsidRPr="00FC55DA">
              <w:rPr>
                <w:rFonts w:cstheme="minorHAnsi"/>
                <w:sz w:val="20"/>
                <w:szCs w:val="20"/>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FC55DA" w:rsidRPr="00FC55DA" w:rsidP="00E95D30" w14:paraId="6A8EA48C" w14:textId="77777777">
            <w:pPr>
              <w:spacing w:line="259" w:lineRule="auto"/>
              <w:ind w:left="0" w:firstLine="0"/>
              <w:contextualSpacing/>
              <w:rPr>
                <w:rFonts w:cstheme="minorHAnsi"/>
                <w:sz w:val="20"/>
                <w:szCs w:val="20"/>
              </w:rPr>
            </w:pPr>
            <w:r w:rsidRPr="00FC55DA">
              <w:rPr>
                <w:rFonts w:cstheme="minorHAnsi"/>
                <w:sz w:val="20"/>
                <w:szCs w:val="20"/>
              </w:rPr>
              <w:t>§60.7(a)(4)</w:t>
            </w:r>
          </w:p>
        </w:tc>
      </w:tr>
    </w:tbl>
    <w:p w:rsidR="00FC55DA" w:rsidRPr="00FC55DA" w:rsidP="00FC55DA" w14:paraId="53860F78"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011"/>
        <w:gridCol w:w="2349"/>
      </w:tblGrid>
      <w:tr w14:paraId="53E2EF3A" w14:textId="77777777" w:rsidTr="00743BEB">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55DA" w:rsidRPr="00FC55DA" w:rsidP="00E95D30" w14:paraId="4B59ECEC" w14:textId="77777777">
            <w:pPr>
              <w:spacing w:line="259" w:lineRule="auto"/>
              <w:ind w:left="0" w:firstLine="0"/>
              <w:contextualSpacing/>
              <w:jc w:val="center"/>
              <w:rPr>
                <w:rFonts w:cstheme="minorHAnsi"/>
                <w:b/>
                <w:sz w:val="20"/>
                <w:szCs w:val="20"/>
              </w:rPr>
            </w:pPr>
            <w:r w:rsidRPr="00FC55DA">
              <w:rPr>
                <w:rFonts w:cstheme="minorHAnsi"/>
                <w:b/>
                <w:sz w:val="20"/>
                <w:szCs w:val="20"/>
              </w:rPr>
              <w:t>Reports</w:t>
            </w:r>
          </w:p>
        </w:tc>
      </w:tr>
      <w:tr w14:paraId="2EC5A9B6" w14:textId="77777777" w:rsidTr="00E95D30">
        <w:tblPrEx>
          <w:tblW w:w="9360" w:type="dxa"/>
          <w:jc w:val="center"/>
          <w:tblLayout w:type="fixed"/>
          <w:tblCellMar>
            <w:left w:w="120" w:type="dxa"/>
            <w:right w:w="120" w:type="dxa"/>
          </w:tblCellMar>
          <w:tblLook w:val="0000"/>
        </w:tblPrEx>
        <w:trPr>
          <w:cantSplit/>
          <w:jc w:val="center"/>
        </w:trPr>
        <w:tc>
          <w:tcPr>
            <w:tcW w:w="7011" w:type="dxa"/>
            <w:tcBorders>
              <w:top w:val="single" w:sz="7" w:space="0" w:color="000000"/>
              <w:left w:val="single" w:sz="7" w:space="0" w:color="000000"/>
              <w:bottom w:val="single" w:sz="7" w:space="0" w:color="000000"/>
              <w:right w:val="single" w:sz="7" w:space="0" w:color="000000"/>
            </w:tcBorders>
          </w:tcPr>
          <w:p w:rsidR="00FC55DA" w:rsidRPr="00FC55DA" w:rsidP="00E95D30" w14:paraId="44006793" w14:textId="77777777">
            <w:pPr>
              <w:spacing w:line="259" w:lineRule="auto"/>
              <w:ind w:left="0" w:firstLine="0"/>
              <w:contextualSpacing/>
              <w:rPr>
                <w:rFonts w:cstheme="minorHAnsi"/>
                <w:sz w:val="20"/>
                <w:szCs w:val="20"/>
              </w:rPr>
            </w:pPr>
            <w:r w:rsidRPr="00FC55DA">
              <w:rPr>
                <w:rFonts w:cstheme="minorHAnsi"/>
                <w:sz w:val="20"/>
                <w:szCs w:val="20"/>
              </w:rPr>
              <w:t>Statement of compliance (semiannual)</w:t>
            </w:r>
          </w:p>
        </w:tc>
        <w:tc>
          <w:tcPr>
            <w:tcW w:w="2349" w:type="dxa"/>
            <w:tcBorders>
              <w:top w:val="single" w:sz="7" w:space="0" w:color="000000"/>
              <w:left w:val="single" w:sz="7" w:space="0" w:color="000000"/>
              <w:bottom w:val="single" w:sz="7" w:space="0" w:color="000000"/>
              <w:right w:val="single" w:sz="7" w:space="0" w:color="000000"/>
            </w:tcBorders>
          </w:tcPr>
          <w:p w:rsidR="00FC55DA" w:rsidRPr="00FC55DA" w:rsidP="00E95D30" w14:paraId="5E9254A2" w14:textId="77777777">
            <w:pPr>
              <w:spacing w:line="259" w:lineRule="auto"/>
              <w:ind w:left="0" w:firstLine="0"/>
              <w:contextualSpacing/>
              <w:rPr>
                <w:rFonts w:cstheme="minorHAnsi"/>
                <w:sz w:val="20"/>
                <w:szCs w:val="20"/>
              </w:rPr>
            </w:pPr>
            <w:r w:rsidRPr="00FC55DA">
              <w:rPr>
                <w:rFonts w:cstheme="minorHAnsi"/>
                <w:sz w:val="20"/>
                <w:szCs w:val="20"/>
              </w:rPr>
              <w:t>§60.724(b)(2) and §60.724a(b)(2)</w:t>
            </w:r>
          </w:p>
        </w:tc>
      </w:tr>
      <w:tr w14:paraId="0F8FB8A5" w14:textId="77777777" w:rsidTr="00E95D30">
        <w:tblPrEx>
          <w:tblW w:w="9360" w:type="dxa"/>
          <w:jc w:val="center"/>
          <w:tblLayout w:type="fixed"/>
          <w:tblCellMar>
            <w:left w:w="120" w:type="dxa"/>
            <w:right w:w="120" w:type="dxa"/>
          </w:tblCellMar>
          <w:tblLook w:val="0000"/>
        </w:tblPrEx>
        <w:trPr>
          <w:cantSplit/>
          <w:jc w:val="center"/>
        </w:trPr>
        <w:tc>
          <w:tcPr>
            <w:tcW w:w="7011" w:type="dxa"/>
            <w:tcBorders>
              <w:top w:val="single" w:sz="7" w:space="0" w:color="000000"/>
              <w:left w:val="single" w:sz="7" w:space="0" w:color="000000"/>
              <w:bottom w:val="single" w:sz="7" w:space="0" w:color="000000"/>
              <w:right w:val="single" w:sz="7" w:space="0" w:color="000000"/>
            </w:tcBorders>
          </w:tcPr>
          <w:p w:rsidR="00FC55DA" w:rsidRPr="00FC55DA" w:rsidP="00E95D30" w14:paraId="700C834E" w14:textId="77777777">
            <w:pPr>
              <w:spacing w:line="259" w:lineRule="auto"/>
              <w:ind w:left="0" w:firstLine="0"/>
              <w:contextualSpacing/>
              <w:rPr>
                <w:rFonts w:cstheme="minorHAnsi"/>
                <w:sz w:val="20"/>
                <w:szCs w:val="20"/>
              </w:rPr>
            </w:pPr>
            <w:r w:rsidRPr="00FC55DA">
              <w:rPr>
                <w:rFonts w:cstheme="minorHAnsi"/>
                <w:sz w:val="20"/>
                <w:szCs w:val="20"/>
              </w:rPr>
              <w:t>Excess emissions/noncompliance (quarterly)</w:t>
            </w:r>
          </w:p>
        </w:tc>
        <w:tc>
          <w:tcPr>
            <w:tcW w:w="2349" w:type="dxa"/>
            <w:tcBorders>
              <w:top w:val="single" w:sz="7" w:space="0" w:color="000000"/>
              <w:left w:val="single" w:sz="7" w:space="0" w:color="000000"/>
              <w:bottom w:val="single" w:sz="7" w:space="0" w:color="000000"/>
              <w:right w:val="single" w:sz="7" w:space="0" w:color="000000"/>
            </w:tcBorders>
          </w:tcPr>
          <w:p w:rsidR="00FC55DA" w:rsidRPr="00FC55DA" w:rsidP="00E95D30" w14:paraId="2B163F86" w14:textId="77777777">
            <w:pPr>
              <w:spacing w:line="259" w:lineRule="auto"/>
              <w:ind w:left="0" w:firstLine="0"/>
              <w:contextualSpacing/>
              <w:rPr>
                <w:rFonts w:cstheme="minorHAnsi"/>
                <w:sz w:val="20"/>
                <w:szCs w:val="20"/>
              </w:rPr>
            </w:pPr>
            <w:r w:rsidRPr="00FC55DA">
              <w:rPr>
                <w:rFonts w:cstheme="minorHAnsi"/>
                <w:sz w:val="20"/>
                <w:szCs w:val="20"/>
              </w:rPr>
              <w:t>§60.724(b)(1) and §60.724a(b)(1)</w:t>
            </w:r>
          </w:p>
        </w:tc>
      </w:tr>
    </w:tbl>
    <w:p w:rsidR="00FC55DA" w:rsidRPr="00FC55DA" w:rsidP="00FC55DA" w14:paraId="17AB57ED" w14:textId="77777777">
      <w:pPr>
        <w:spacing w:line="259" w:lineRule="auto"/>
        <w:ind w:left="0" w:firstLine="0"/>
        <w:rPr>
          <w:rFonts w:cstheme="minorHAnsi"/>
        </w:rPr>
      </w:pPr>
    </w:p>
    <w:p w:rsidR="00FC55DA" w:rsidRPr="00FC55DA" w:rsidP="00FC55DA" w14:paraId="255337E2" w14:textId="0383F9EB">
      <w:pPr>
        <w:spacing w:line="259" w:lineRule="auto"/>
        <w:ind w:left="0" w:firstLine="0"/>
        <w:rPr>
          <w:rFonts w:cstheme="minorHAnsi"/>
        </w:rPr>
      </w:pPr>
      <w:r w:rsidRPr="00FC55DA">
        <w:rPr>
          <w:rFonts w:cstheme="minorHAnsi"/>
        </w:rPr>
        <w:t>A source must keep the following records:</w:t>
      </w:r>
    </w:p>
    <w:tbl>
      <w:tblPr>
        <w:tblW w:w="9360" w:type="dxa"/>
        <w:jc w:val="center"/>
        <w:tblLayout w:type="fixed"/>
        <w:tblCellMar>
          <w:left w:w="120" w:type="dxa"/>
          <w:right w:w="120" w:type="dxa"/>
        </w:tblCellMar>
        <w:tblLook w:val="0000"/>
      </w:tblPr>
      <w:tblGrid>
        <w:gridCol w:w="7011"/>
        <w:gridCol w:w="2349"/>
      </w:tblGrid>
      <w:tr w14:paraId="424A5AF4" w14:textId="77777777" w:rsidTr="00743BEB">
        <w:tblPrEx>
          <w:tblW w:w="9360" w:type="dxa"/>
          <w:jc w:val="center"/>
          <w:tblLayout w:type="fixed"/>
          <w:tblCellMar>
            <w:left w:w="120" w:type="dxa"/>
            <w:right w:w="120" w:type="dxa"/>
          </w:tblCellMar>
          <w:tblLook w:val="0000"/>
        </w:tblPrEx>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55DA" w:rsidRPr="00FC55DA" w:rsidP="00E95D30" w14:paraId="2C25D432" w14:textId="77777777">
            <w:pPr>
              <w:spacing w:line="259" w:lineRule="auto"/>
              <w:ind w:left="0" w:firstLine="0"/>
              <w:contextualSpacing/>
              <w:jc w:val="center"/>
              <w:rPr>
                <w:rFonts w:cstheme="minorHAnsi"/>
                <w:b/>
                <w:sz w:val="20"/>
                <w:szCs w:val="20"/>
              </w:rPr>
            </w:pPr>
            <w:r w:rsidRPr="00FC55DA">
              <w:rPr>
                <w:rFonts w:cstheme="minorHAnsi"/>
                <w:b/>
                <w:sz w:val="20"/>
                <w:szCs w:val="20"/>
              </w:rPr>
              <w:t>Recordkeeping</w:t>
            </w:r>
          </w:p>
        </w:tc>
      </w:tr>
      <w:tr w14:paraId="6C286CC7" w14:textId="77777777" w:rsidTr="00E95D30">
        <w:tblPrEx>
          <w:tblW w:w="9360" w:type="dxa"/>
          <w:jc w:val="center"/>
          <w:tblLayout w:type="fixed"/>
          <w:tblCellMar>
            <w:left w:w="120" w:type="dxa"/>
            <w:right w:w="120" w:type="dxa"/>
          </w:tblCellMar>
          <w:tblLook w:val="0000"/>
        </w:tblPrEx>
        <w:trPr>
          <w:cantSplit/>
          <w:jc w:val="center"/>
        </w:trPr>
        <w:tc>
          <w:tcPr>
            <w:tcW w:w="7011" w:type="dxa"/>
            <w:tcBorders>
              <w:top w:val="single" w:sz="7" w:space="0" w:color="000000"/>
              <w:left w:val="single" w:sz="7" w:space="0" w:color="000000"/>
              <w:bottom w:val="single" w:sz="7" w:space="0" w:color="000000"/>
              <w:right w:val="single" w:sz="7" w:space="0" w:color="000000"/>
            </w:tcBorders>
          </w:tcPr>
          <w:p w:rsidR="00FC55DA" w:rsidRPr="00FC55DA" w:rsidP="00E95D30" w14:paraId="399025D9" w14:textId="77777777">
            <w:pPr>
              <w:spacing w:line="259" w:lineRule="auto"/>
              <w:ind w:left="0" w:firstLine="0"/>
              <w:contextualSpacing/>
              <w:rPr>
                <w:rFonts w:cstheme="minorHAnsi"/>
                <w:sz w:val="20"/>
                <w:szCs w:val="20"/>
              </w:rPr>
            </w:pPr>
            <w:r w:rsidRPr="00FC55DA">
              <w:rPr>
                <w:rFonts w:cstheme="minorHAnsi"/>
                <w:sz w:val="20"/>
                <w:szCs w:val="20"/>
              </w:rPr>
              <w:t xml:space="preserve">Startups, shutdowns, malfunctions, periods where the continuous monitoring system is inoperative </w:t>
            </w:r>
          </w:p>
        </w:tc>
        <w:tc>
          <w:tcPr>
            <w:tcW w:w="2349" w:type="dxa"/>
            <w:tcBorders>
              <w:top w:val="single" w:sz="7" w:space="0" w:color="000000"/>
              <w:left w:val="single" w:sz="7" w:space="0" w:color="000000"/>
              <w:bottom w:val="single" w:sz="7" w:space="0" w:color="000000"/>
              <w:right w:val="single" w:sz="7" w:space="0" w:color="000000"/>
            </w:tcBorders>
          </w:tcPr>
          <w:p w:rsidR="00FC55DA" w:rsidRPr="00FC55DA" w:rsidP="00E95D30" w14:paraId="6A08BC30" w14:textId="77777777">
            <w:pPr>
              <w:spacing w:line="259" w:lineRule="auto"/>
              <w:ind w:left="0" w:firstLine="0"/>
              <w:contextualSpacing/>
              <w:rPr>
                <w:rFonts w:cstheme="minorHAnsi"/>
                <w:sz w:val="20"/>
                <w:szCs w:val="20"/>
              </w:rPr>
            </w:pPr>
            <w:r w:rsidRPr="00FC55DA">
              <w:rPr>
                <w:rFonts w:cstheme="minorHAnsi"/>
                <w:sz w:val="20"/>
                <w:szCs w:val="20"/>
              </w:rPr>
              <w:t>§60.7(b)</w:t>
            </w:r>
          </w:p>
        </w:tc>
      </w:tr>
      <w:tr w14:paraId="6D3C320D" w14:textId="77777777" w:rsidTr="00E95D30">
        <w:tblPrEx>
          <w:tblW w:w="9360" w:type="dxa"/>
          <w:jc w:val="center"/>
          <w:tblLayout w:type="fixed"/>
          <w:tblCellMar>
            <w:left w:w="120" w:type="dxa"/>
            <w:right w:w="120" w:type="dxa"/>
          </w:tblCellMar>
          <w:tblLook w:val="0000"/>
        </w:tblPrEx>
        <w:trPr>
          <w:cantSplit/>
          <w:jc w:val="center"/>
        </w:trPr>
        <w:tc>
          <w:tcPr>
            <w:tcW w:w="7011" w:type="dxa"/>
            <w:tcBorders>
              <w:top w:val="single" w:sz="7" w:space="0" w:color="000000"/>
              <w:left w:val="single" w:sz="7" w:space="0" w:color="000000"/>
              <w:bottom w:val="single" w:sz="7" w:space="0" w:color="000000"/>
              <w:right w:val="single" w:sz="7" w:space="0" w:color="000000"/>
            </w:tcBorders>
          </w:tcPr>
          <w:p w:rsidR="00FC55DA" w:rsidRPr="00FC55DA" w:rsidP="00E95D30" w14:paraId="65E20B59" w14:textId="77777777">
            <w:pPr>
              <w:spacing w:line="259" w:lineRule="auto"/>
              <w:ind w:left="0" w:firstLine="0"/>
              <w:contextualSpacing/>
              <w:rPr>
                <w:rFonts w:cstheme="minorHAnsi"/>
                <w:sz w:val="20"/>
                <w:szCs w:val="20"/>
              </w:rPr>
            </w:pPr>
            <w:r w:rsidRPr="00FC55DA">
              <w:rPr>
                <w:rFonts w:cstheme="minorHAnsi"/>
                <w:sz w:val="20"/>
                <w:szCs w:val="20"/>
              </w:rPr>
              <w:t xml:space="preserve">Monthly performance test measures and calculations </w:t>
            </w:r>
          </w:p>
        </w:tc>
        <w:tc>
          <w:tcPr>
            <w:tcW w:w="2349" w:type="dxa"/>
            <w:tcBorders>
              <w:top w:val="single" w:sz="7" w:space="0" w:color="000000"/>
              <w:left w:val="single" w:sz="7" w:space="0" w:color="000000"/>
              <w:bottom w:val="single" w:sz="7" w:space="0" w:color="000000"/>
              <w:right w:val="single" w:sz="7" w:space="0" w:color="000000"/>
            </w:tcBorders>
          </w:tcPr>
          <w:p w:rsidR="00FC55DA" w:rsidRPr="00FC55DA" w:rsidP="00E95D30" w14:paraId="2BDA3551" w14:textId="77777777">
            <w:pPr>
              <w:spacing w:line="259" w:lineRule="auto"/>
              <w:ind w:left="0" w:firstLine="0"/>
              <w:contextualSpacing/>
              <w:rPr>
                <w:rFonts w:cstheme="minorHAnsi"/>
                <w:sz w:val="20"/>
                <w:szCs w:val="20"/>
              </w:rPr>
            </w:pPr>
            <w:r w:rsidRPr="00FC55DA">
              <w:rPr>
                <w:rFonts w:cstheme="minorHAnsi"/>
                <w:sz w:val="20"/>
                <w:szCs w:val="20"/>
              </w:rPr>
              <w:t>§60.724(a) and §60.724a(a)</w:t>
            </w:r>
          </w:p>
        </w:tc>
      </w:tr>
      <w:tr w14:paraId="717761BF" w14:textId="77777777" w:rsidTr="00E95D30">
        <w:tblPrEx>
          <w:tblW w:w="9360" w:type="dxa"/>
          <w:jc w:val="center"/>
          <w:tblLayout w:type="fixed"/>
          <w:tblCellMar>
            <w:left w:w="120" w:type="dxa"/>
            <w:right w:w="120" w:type="dxa"/>
          </w:tblCellMar>
          <w:tblLook w:val="0000"/>
        </w:tblPrEx>
        <w:trPr>
          <w:cantSplit/>
          <w:jc w:val="center"/>
        </w:trPr>
        <w:tc>
          <w:tcPr>
            <w:tcW w:w="7011" w:type="dxa"/>
            <w:tcBorders>
              <w:top w:val="single" w:sz="7" w:space="0" w:color="000000"/>
              <w:left w:val="single" w:sz="7" w:space="0" w:color="000000"/>
              <w:bottom w:val="single" w:sz="7" w:space="0" w:color="000000"/>
              <w:right w:val="single" w:sz="7" w:space="0" w:color="000000"/>
            </w:tcBorders>
          </w:tcPr>
          <w:p w:rsidR="00FC55DA" w:rsidRPr="00FC55DA" w:rsidP="00E95D30" w14:paraId="3958FD75" w14:textId="77777777">
            <w:pPr>
              <w:spacing w:line="259" w:lineRule="auto"/>
              <w:ind w:left="0" w:firstLine="0"/>
              <w:contextualSpacing/>
              <w:rPr>
                <w:rFonts w:cstheme="minorHAnsi"/>
                <w:sz w:val="20"/>
                <w:szCs w:val="20"/>
              </w:rPr>
            </w:pPr>
            <w:r w:rsidRPr="00FC55DA">
              <w:rPr>
                <w:rFonts w:cstheme="minorHAnsi"/>
                <w:sz w:val="20"/>
                <w:szCs w:val="20"/>
              </w:rPr>
              <w:t>Records are required to be retained for 2 years. These records must be kept onsite.</w:t>
            </w:r>
          </w:p>
        </w:tc>
        <w:tc>
          <w:tcPr>
            <w:tcW w:w="2349" w:type="dxa"/>
            <w:tcBorders>
              <w:top w:val="single" w:sz="7" w:space="0" w:color="000000"/>
              <w:left w:val="single" w:sz="7" w:space="0" w:color="000000"/>
              <w:bottom w:val="single" w:sz="7" w:space="0" w:color="000000"/>
              <w:right w:val="single" w:sz="7" w:space="0" w:color="000000"/>
            </w:tcBorders>
          </w:tcPr>
          <w:p w:rsidR="00FC55DA" w:rsidRPr="00FC55DA" w:rsidP="00E95D30" w14:paraId="2600382A" w14:textId="77777777">
            <w:pPr>
              <w:spacing w:line="259" w:lineRule="auto"/>
              <w:ind w:left="0" w:firstLine="0"/>
              <w:contextualSpacing/>
              <w:rPr>
                <w:rFonts w:cstheme="minorHAnsi"/>
                <w:sz w:val="20"/>
                <w:szCs w:val="20"/>
              </w:rPr>
            </w:pPr>
            <w:r w:rsidRPr="00FC55DA">
              <w:rPr>
                <w:rFonts w:cstheme="minorHAnsi"/>
                <w:sz w:val="20"/>
                <w:szCs w:val="20"/>
              </w:rPr>
              <w:t>§60.724(d) and §60.724a(d)</w:t>
            </w:r>
          </w:p>
        </w:tc>
      </w:tr>
    </w:tbl>
    <w:p w:rsidR="00BB3410" w:rsidRPr="002943D2" w:rsidP="002943D2" w14:paraId="42074A5E" w14:textId="1B0A0142">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p w:rsidR="00A25163" w:rsidRPr="00A25163" w:rsidP="00A25163" w14:paraId="0FBD5209" w14:textId="77777777">
      <w:pPr>
        <w:pStyle w:val="ListParagraph"/>
        <w:numPr>
          <w:ilvl w:val="0"/>
          <w:numId w:val="30"/>
        </w:numPr>
        <w:spacing w:line="259" w:lineRule="auto"/>
        <w:rPr>
          <w:rFonts w:cstheme="minorHAnsi"/>
        </w:rPr>
      </w:pPr>
      <w:r w:rsidRPr="00A25163">
        <w:rPr>
          <w:rFonts w:cstheme="minorHAnsi"/>
        </w:rPr>
        <w:t>Write the notifications and reports listed above.</w:t>
      </w:r>
    </w:p>
    <w:p w:rsidR="00A25163" w:rsidRPr="00A25163" w:rsidP="00A25163" w14:paraId="6D00DBB0" w14:textId="77777777">
      <w:pPr>
        <w:pStyle w:val="ListParagraph"/>
        <w:numPr>
          <w:ilvl w:val="0"/>
          <w:numId w:val="30"/>
        </w:numPr>
        <w:spacing w:line="259" w:lineRule="auto"/>
        <w:rPr>
          <w:rFonts w:cstheme="minorHAnsi"/>
        </w:rPr>
      </w:pPr>
      <w:r w:rsidRPr="00A25163">
        <w:rPr>
          <w:rFonts w:cstheme="minorHAnsi"/>
        </w:rPr>
        <w:t>Enter information required to be recorded above.</w:t>
      </w:r>
    </w:p>
    <w:p w:rsidR="00A25163" w:rsidRPr="00A25163" w:rsidP="00A25163" w14:paraId="54F8E686" w14:textId="77777777">
      <w:pPr>
        <w:pStyle w:val="ListParagraph"/>
        <w:numPr>
          <w:ilvl w:val="0"/>
          <w:numId w:val="30"/>
        </w:numPr>
        <w:spacing w:line="259" w:lineRule="auto"/>
        <w:rPr>
          <w:rFonts w:cstheme="minorHAnsi"/>
        </w:rPr>
      </w:pPr>
      <w:r w:rsidRPr="00A25163">
        <w:rPr>
          <w:rFonts w:cstheme="minorHAnsi"/>
        </w:rPr>
        <w:t>Submit the required reports developing, acquiring, installing, and utilizing technology and systems for the purpose of collecting, validating, and verifying information.</w:t>
      </w:r>
    </w:p>
    <w:p w:rsidR="00A25163" w:rsidRPr="00A25163" w:rsidP="00A25163" w14:paraId="6BB0789F" w14:textId="77777777">
      <w:pPr>
        <w:pStyle w:val="ListParagraph"/>
        <w:numPr>
          <w:ilvl w:val="0"/>
          <w:numId w:val="30"/>
        </w:numPr>
        <w:spacing w:line="259" w:lineRule="auto"/>
        <w:rPr>
          <w:rFonts w:cstheme="minorHAnsi"/>
        </w:rPr>
      </w:pPr>
      <w:r w:rsidRPr="00A25163">
        <w:rPr>
          <w:rFonts w:cstheme="minorHAnsi"/>
        </w:rPr>
        <w:t>Develop, acquire, install, and utilize technology and systems for processing and maintaining information.</w:t>
      </w:r>
    </w:p>
    <w:p w:rsidR="00A25163" w:rsidRPr="00A25163" w:rsidP="00A25163" w14:paraId="6C1052B6" w14:textId="77777777">
      <w:pPr>
        <w:pStyle w:val="ListParagraph"/>
        <w:numPr>
          <w:ilvl w:val="0"/>
          <w:numId w:val="30"/>
        </w:numPr>
        <w:spacing w:line="259" w:lineRule="auto"/>
        <w:rPr>
          <w:rFonts w:cstheme="minorHAnsi"/>
        </w:rPr>
      </w:pPr>
      <w:r w:rsidRPr="00A25163">
        <w:rPr>
          <w:rFonts w:cstheme="minorHAnsi"/>
        </w:rPr>
        <w:t>Develop, acquire, install, and utilize technology and systems for disclosing and providing information.</w:t>
      </w:r>
    </w:p>
    <w:p w:rsidR="00A25163" w:rsidRPr="00A25163" w:rsidP="00A25163" w14:paraId="49420022" w14:textId="77777777">
      <w:pPr>
        <w:pStyle w:val="ListParagraph"/>
        <w:numPr>
          <w:ilvl w:val="0"/>
          <w:numId w:val="30"/>
        </w:numPr>
        <w:spacing w:line="259" w:lineRule="auto"/>
        <w:rPr>
          <w:rFonts w:cstheme="minorHAnsi"/>
        </w:rPr>
      </w:pPr>
      <w:r w:rsidRPr="00A25163">
        <w:rPr>
          <w:rFonts w:cstheme="minorHAnsi"/>
        </w:rPr>
        <w:t>Train personnel to be able to respond to a collection of information.</w:t>
      </w:r>
    </w:p>
    <w:p w:rsidR="00A25163" w:rsidRPr="00A25163" w:rsidP="00A25163" w14:paraId="040C0779" w14:textId="77777777">
      <w:pPr>
        <w:pStyle w:val="ListParagraph"/>
        <w:numPr>
          <w:ilvl w:val="0"/>
          <w:numId w:val="30"/>
        </w:numPr>
        <w:spacing w:line="259" w:lineRule="auto"/>
        <w:rPr>
          <w:rFonts w:cstheme="minorHAnsi"/>
        </w:rPr>
      </w:pPr>
      <w:r w:rsidRPr="00A25163">
        <w:rPr>
          <w:rFonts w:cstheme="minorHAnsi"/>
        </w:rPr>
        <w:t>Transmit, or otherwise disclose the information.</w:t>
      </w:r>
    </w:p>
    <w:p w:rsidR="00A25163" w:rsidRPr="00A25163" w:rsidP="00A25163" w14:paraId="15202553" w14:textId="5C876EBE">
      <w:pPr>
        <w:pStyle w:val="ListParagraph"/>
        <w:numPr>
          <w:ilvl w:val="0"/>
          <w:numId w:val="30"/>
        </w:numPr>
        <w:spacing w:line="259" w:lineRule="auto"/>
        <w:rPr>
          <w:rFonts w:cstheme="minorHAnsi"/>
        </w:rPr>
      </w:pPr>
      <w:r w:rsidRPr="00A25163">
        <w:rPr>
          <w:rFonts w:cstheme="minorHAnsi"/>
        </w:rPr>
        <w:t>Familiarization with the CDX and CEDRI systems.</w:t>
      </w:r>
    </w:p>
    <w:p w:rsidR="00FC55DA" w:rsidRPr="008B3B3E" w:rsidP="00B7548A" w14:paraId="16BBFACC" w14:textId="25227B41">
      <w:pPr>
        <w:spacing w:line="259" w:lineRule="auto"/>
        <w:ind w:left="0" w:firstLine="0"/>
        <w:contextualSpacing/>
        <w:rPr>
          <w:rFonts w:cstheme="minorHAnsi"/>
        </w:rPr>
      </w:pPr>
      <w:r w:rsidRPr="00FC55DA">
        <w:rPr>
          <w:rFonts w:cstheme="minorHAnsi"/>
        </w:rPr>
        <w:t>The specific frequency for each information collection activity within this request is shown in Tables 1 through 3 of Attachment 1, which is available as an Excel workbook in the docket for this action (Docket ID No. EPA- HQ-OAR-2021-0200).</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FC55DA" w:rsidRPr="00FC55DA" w:rsidP="00FC55DA" w14:paraId="187EF988" w14:textId="77777777">
      <w:pPr>
        <w:spacing w:line="259" w:lineRule="auto"/>
        <w:ind w:left="0" w:firstLine="0"/>
        <w:rPr>
          <w:rFonts w:cstheme="minorHAnsi"/>
        </w:rPr>
      </w:pPr>
      <w:r w:rsidRPr="00FC55DA">
        <w:rPr>
          <w:rFonts w:cstheme="minorHAnsi"/>
        </w:rPr>
        <w:t>The total burden to industry over the next 3 years from the recordkeeping and reporting requirements is estimated to be 7 hours, with an average annual burden of 2 hours. The average annual reporting hours are estimated at 0 hours and the average annual recordkeeping hours are estimated at 2 hours, as shown in Table 4 of Attachment 1. These hours are based on Agency studies and background documents from the development of the regulation, Agency knowledge and experience with the NSPS program, the previously approved ICR, and any comments received.</w:t>
      </w:r>
    </w:p>
    <w:p w:rsidR="00FC55DA" w:rsidRPr="00FC55DA" w:rsidP="00FB5F9C" w14:paraId="39EA4A52" w14:textId="77777777">
      <w:pPr>
        <w:spacing w:line="259" w:lineRule="auto"/>
        <w:ind w:left="0" w:firstLine="0"/>
        <w:contextualSpacing/>
        <w:rPr>
          <w:rFonts w:cstheme="minorHAnsi"/>
        </w:rPr>
      </w:pPr>
      <w:r w:rsidRPr="00FC55DA">
        <w:rPr>
          <w:rFonts w:cstheme="minorHAnsi"/>
        </w:rPr>
        <w:t>This ICR uses the following labor rates:</w:t>
      </w:r>
    </w:p>
    <w:p w:rsidR="00FB5F9C" w:rsidRPr="00FB5F9C" w:rsidP="00FB5F9C" w14:paraId="09C22938" w14:textId="77777777">
      <w:pPr>
        <w:spacing w:line="259" w:lineRule="auto"/>
        <w:ind w:firstLine="0"/>
        <w:contextualSpacing/>
        <w:rPr>
          <w:rFonts w:cstheme="minorHAnsi"/>
        </w:rPr>
      </w:pPr>
      <w:r w:rsidRPr="00FB5F9C">
        <w:rPr>
          <w:rFonts w:cstheme="minorHAnsi"/>
        </w:rPr>
        <w:t>Managerial</w:t>
      </w:r>
      <w:r w:rsidRPr="00FB5F9C">
        <w:rPr>
          <w:rFonts w:cstheme="minorHAnsi"/>
        </w:rPr>
        <w:tab/>
        <w:t>$157.61 ($75.05 + 110%)</w:t>
      </w:r>
    </w:p>
    <w:p w:rsidR="00FB5F9C" w:rsidRPr="00FB5F9C" w:rsidP="00FB5F9C" w14:paraId="78B4086E" w14:textId="77777777">
      <w:pPr>
        <w:spacing w:line="259" w:lineRule="auto"/>
        <w:ind w:firstLine="0"/>
        <w:contextualSpacing/>
        <w:rPr>
          <w:rFonts w:cstheme="minorHAnsi"/>
        </w:rPr>
      </w:pPr>
      <w:r w:rsidRPr="00FB5F9C">
        <w:rPr>
          <w:rFonts w:cstheme="minorHAnsi"/>
        </w:rPr>
        <w:t>Technical</w:t>
      </w:r>
      <w:r w:rsidRPr="00FB5F9C">
        <w:rPr>
          <w:rFonts w:cstheme="minorHAnsi"/>
        </w:rPr>
        <w:tab/>
        <w:t>$123.95 ($59.02 + 110%)</w:t>
      </w:r>
    </w:p>
    <w:p w:rsidR="00FB5F9C" w:rsidP="00FB5F9C" w14:paraId="021690D3" w14:textId="40CC8F73">
      <w:pPr>
        <w:spacing w:line="259" w:lineRule="auto"/>
        <w:ind w:firstLine="0"/>
        <w:rPr>
          <w:rFonts w:cstheme="minorHAnsi"/>
        </w:rPr>
      </w:pPr>
      <w:r w:rsidRPr="00FB5F9C">
        <w:rPr>
          <w:rFonts w:cstheme="minorHAnsi"/>
        </w:rPr>
        <w:t>Clerical</w:t>
      </w:r>
      <w:r w:rsidRPr="00FB5F9C">
        <w:rPr>
          <w:rFonts w:cstheme="minorHAnsi"/>
        </w:rPr>
        <w:tab/>
      </w:r>
      <w:r>
        <w:rPr>
          <w:rFonts w:cstheme="minorHAnsi"/>
        </w:rPr>
        <w:tab/>
      </w:r>
      <w:r w:rsidRPr="00FB5F9C">
        <w:rPr>
          <w:rFonts w:cstheme="minorHAnsi"/>
        </w:rPr>
        <w:t>$62.52 ($29.77 + 110%)</w:t>
      </w:r>
    </w:p>
    <w:p w:rsidR="00FC55DA" w:rsidRPr="00FC55DA" w:rsidP="00FB5F9C" w14:paraId="40F89656" w14:textId="4BFE9E95">
      <w:pPr>
        <w:spacing w:line="259" w:lineRule="auto"/>
        <w:ind w:left="0" w:firstLine="0"/>
        <w:rPr>
          <w:rFonts w:cstheme="minorHAnsi"/>
        </w:rPr>
      </w:pPr>
      <w:r w:rsidRPr="00FC55DA">
        <w:rPr>
          <w:rFonts w:cstheme="minorHAnsi"/>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FC55DA" w:rsidRPr="00FC55DA" w:rsidP="00FC55DA" w14:paraId="2583C611" w14:textId="77777777">
      <w:pPr>
        <w:spacing w:line="259" w:lineRule="auto"/>
        <w:ind w:left="0" w:firstLine="0"/>
        <w:rPr>
          <w:rFonts w:cstheme="minorHAnsi"/>
        </w:rPr>
      </w:pPr>
      <w:r w:rsidRPr="00FC55DA">
        <w:rPr>
          <w:rFonts w:cstheme="minorHAnsi"/>
        </w:rPr>
        <w:t xml:space="preserve">The total annual labor hours associated with the subject amendments are 2 hours. Details regarding these estimates may be found in Tables 1 through 4 of Attachment 1. </w:t>
      </w:r>
    </w:p>
    <w:p w:rsidR="00FC55DA" w:rsidRPr="00FC55DA" w:rsidP="00FC55DA" w14:paraId="4B52366B" w14:textId="77777777">
      <w:pPr>
        <w:spacing w:line="259" w:lineRule="auto"/>
        <w:ind w:left="0" w:firstLine="0"/>
        <w:rPr>
          <w:rFonts w:cstheme="minorHAnsi"/>
        </w:rPr>
      </w:pPr>
      <w:r w:rsidRPr="00FC55DA">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ED57A4" w:rsidRPr="008B3B3E" w:rsidP="002943D2" w14:paraId="68F435BE" w14:textId="5C4150E5">
      <w:pPr>
        <w:spacing w:line="259" w:lineRule="auto"/>
        <w:ind w:left="0" w:firstLine="0"/>
        <w:rPr>
          <w:rFonts w:cstheme="minorHAnsi"/>
        </w:rPr>
      </w:pPr>
      <w:r w:rsidRPr="00FC55DA">
        <w:rPr>
          <w:rFonts w:cstheme="minorHAnsi"/>
        </w:rPr>
        <w:t>Furthermore, the annual public reporting and recordkeeping burden for this collection of information is estimated to average 2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C55DA" w:rsidRPr="00FC55DA" w:rsidP="00FC55DA" w14:paraId="6F35E3AE" w14:textId="77777777">
      <w:pPr>
        <w:spacing w:line="259" w:lineRule="auto"/>
        <w:ind w:left="0" w:firstLine="0"/>
        <w:rPr>
          <w:rFonts w:cstheme="minorHAnsi"/>
        </w:rPr>
      </w:pPr>
      <w:r w:rsidRPr="00FC55DA">
        <w:rPr>
          <w:rFonts w:cstheme="minorHAnsi"/>
        </w:rPr>
        <w:t>The type of industry costs associated with the information collection activities in the subject standards are labor costs. There are no capital/startup or operation and maintenance costs.</w:t>
      </w:r>
    </w:p>
    <w:p w:rsidR="00FC55DA" w:rsidRPr="00FC55DA" w:rsidP="00FC55DA" w14:paraId="272A85A4" w14:textId="77777777">
      <w:pPr>
        <w:spacing w:line="259" w:lineRule="auto"/>
        <w:ind w:left="0" w:firstLine="0"/>
        <w:rPr>
          <w:rFonts w:cstheme="minorHAnsi"/>
        </w:rPr>
      </w:pPr>
      <w:r w:rsidRPr="00FC55DA">
        <w:rPr>
          <w:rFonts w:cstheme="minorHAnsi"/>
        </w:rPr>
        <w:t>The only type of industry costs associated with the information collection activity in the regulations are labor costs. There are no capital/startup or operation and maintenance costs.</w:t>
      </w:r>
    </w:p>
    <w:p w:rsidR="00BB3410" w:rsidRPr="002943D2" w:rsidP="034FB7BC" w14:paraId="678BA42F" w14:textId="536899F3">
      <w:pPr>
        <w:spacing w:line="259" w:lineRule="auto"/>
        <w:ind w:left="0" w:firstLine="0"/>
      </w:pPr>
      <w:r w:rsidRPr="034FB7BC">
        <w:t>The total annual capital/startup and operation and maintenance (O&amp;M) costs associated with the rulemaking’s requirements for electronic submission of reports are $0. The cost calculations are detailed in Estimated Capital/Startup and Operation and Maintenance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FC55DA" w:rsidP="034FB7BC" w14:paraId="3D28D6FC" w14:textId="77777777">
      <w:pPr>
        <w:spacing w:line="259" w:lineRule="auto"/>
        <w:ind w:left="0" w:firstLine="0"/>
      </w:pPr>
      <w:r w:rsidRPr="034FB7BC">
        <w:t>EPA conducts the following activities in connection with the acquisition, analysis, storage, and distribution of the required information:</w:t>
      </w:r>
    </w:p>
    <w:p w:rsidR="002E1131" w:rsidRPr="002E1131" w:rsidP="002E1131" w14:paraId="5C3703C9" w14:textId="77777777">
      <w:pPr>
        <w:pStyle w:val="ListParagraph"/>
        <w:numPr>
          <w:ilvl w:val="0"/>
          <w:numId w:val="31"/>
        </w:numPr>
        <w:spacing w:line="259" w:lineRule="auto"/>
        <w:rPr>
          <w:rFonts w:cstheme="minorHAnsi"/>
        </w:rPr>
      </w:pPr>
      <w:r w:rsidRPr="002E1131">
        <w:rPr>
          <w:rFonts w:cstheme="minorHAnsi"/>
        </w:rPr>
        <w:t>Review notifications and reports, including performance test reports, and excess emissions reports, required to be submitted by industry.</w:t>
      </w:r>
    </w:p>
    <w:p w:rsidR="002E1131" w:rsidRPr="002E1131" w:rsidP="002E1131" w14:paraId="45991627" w14:textId="77777777">
      <w:pPr>
        <w:pStyle w:val="ListParagraph"/>
        <w:numPr>
          <w:ilvl w:val="0"/>
          <w:numId w:val="31"/>
        </w:numPr>
        <w:spacing w:line="259" w:lineRule="auto"/>
        <w:rPr>
          <w:rFonts w:cstheme="minorHAnsi"/>
        </w:rPr>
      </w:pPr>
      <w:r w:rsidRPr="002E1131">
        <w:rPr>
          <w:rFonts w:cstheme="minorHAnsi"/>
        </w:rPr>
        <w:t>Audit facility records.</w:t>
      </w:r>
    </w:p>
    <w:p w:rsidR="002E1131" w:rsidRPr="002E1131" w:rsidP="002E1131" w14:paraId="6EEA780D" w14:textId="1CF3B1BC">
      <w:pPr>
        <w:pStyle w:val="ListParagraph"/>
        <w:numPr>
          <w:ilvl w:val="0"/>
          <w:numId w:val="31"/>
        </w:numPr>
        <w:spacing w:line="259" w:lineRule="auto"/>
        <w:rPr>
          <w:rFonts w:cstheme="minorHAnsi"/>
        </w:rPr>
      </w:pPr>
      <w:r w:rsidRPr="002E1131">
        <w:rPr>
          <w:rFonts w:cstheme="minorHAnsi"/>
        </w:rPr>
        <w:t>Input, analyze, and maintain data in the Enforcement and Compliance History Online (ECHO) and ICIS.</w:t>
      </w:r>
    </w:p>
    <w:p w:rsidR="00FC55DA" w:rsidRPr="00FC55DA" w:rsidP="00FC55DA" w14:paraId="3139759E" w14:textId="77777777">
      <w:pPr>
        <w:spacing w:line="259" w:lineRule="auto"/>
        <w:ind w:left="0" w:firstLine="0"/>
        <w:rPr>
          <w:rFonts w:cstheme="minorHAnsi"/>
        </w:rPr>
      </w:pPr>
      <w:r w:rsidRPr="00FC55DA">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and quarterly reports are used for problem identification, as a check on source operation and maintenance, and for compliance determinations.</w:t>
      </w:r>
    </w:p>
    <w:p w:rsidR="00FC55DA" w:rsidRPr="00FC55DA" w:rsidP="00FC55DA" w14:paraId="04620A1D" w14:textId="77777777">
      <w:pPr>
        <w:spacing w:line="259" w:lineRule="auto"/>
        <w:ind w:left="0" w:firstLine="0"/>
        <w:rPr>
          <w:rFonts w:cstheme="minorHAnsi"/>
        </w:rPr>
      </w:pPr>
      <w:r w:rsidRPr="00FC55DA">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FC55DA" w:rsidRPr="008B3B3E" w:rsidP="002943D2" w14:paraId="1206FD8B" w14:textId="7B2648E3">
      <w:pPr>
        <w:spacing w:line="259" w:lineRule="auto"/>
        <w:ind w:left="0" w:firstLine="0"/>
        <w:rPr>
          <w:rFonts w:cstheme="minorHAnsi"/>
        </w:rPr>
      </w:pPr>
      <w:r w:rsidRPr="00FC55DA">
        <w:rPr>
          <w:rFonts w:cstheme="minorHAnsi"/>
        </w:rPr>
        <w:t>The records required by this regulation must be retained by the owner/operator for 2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FC55DA" w:rsidRPr="00FC55DA" w:rsidP="00FC55DA" w14:paraId="5730AD6C" w14:textId="77777777">
      <w:pPr>
        <w:spacing w:line="259" w:lineRule="auto"/>
        <w:ind w:left="0" w:firstLine="0"/>
        <w:rPr>
          <w:rFonts w:cstheme="minorHAnsi"/>
        </w:rPr>
      </w:pPr>
      <w:r w:rsidRPr="00FC55DA">
        <w:rPr>
          <w:rFonts w:cstheme="minorHAnsi"/>
        </w:rPr>
        <w:t>The only costs to the Agency would be those costs associated with analysis of the reported information. The EPA's overall compliance and enforcement program includes activities such as the examination of records maintained by the respondents, periodic inspection of sources of emissions, and the publication and distribution of collected information.</w:t>
      </w:r>
    </w:p>
    <w:p w:rsidR="00FC55DA" w:rsidP="00CE6515" w14:paraId="0179D9FC" w14:textId="77777777">
      <w:pPr>
        <w:spacing w:line="259" w:lineRule="auto"/>
        <w:ind w:left="0" w:firstLine="0"/>
        <w:contextualSpacing/>
        <w:rPr>
          <w:rFonts w:cstheme="minorHAnsi"/>
        </w:rPr>
      </w:pPr>
      <w:r w:rsidRPr="00FC55DA">
        <w:rPr>
          <w:rFonts w:cstheme="minorHAnsi"/>
        </w:rPr>
        <w:t>The average annual Agency cost during the 3 years of the ICR attributable to the subject amendments to the NSPS for Surface Coating of Plastic Parts for Business Machines is estimated to be $828. This cost is based on the average hourly labor rate as follows:</w:t>
      </w:r>
    </w:p>
    <w:p w:rsidR="00CE6515" w:rsidRPr="00CE6515" w:rsidP="00CE6515" w14:paraId="7B887B09" w14:textId="77777777">
      <w:pPr>
        <w:spacing w:line="259" w:lineRule="auto"/>
        <w:ind w:firstLine="0"/>
        <w:contextualSpacing/>
        <w:rPr>
          <w:rFonts w:cstheme="minorHAnsi"/>
        </w:rPr>
      </w:pPr>
      <w:r w:rsidRPr="00CE6515">
        <w:rPr>
          <w:rFonts w:cstheme="minorHAnsi"/>
        </w:rPr>
        <w:t>Managerial</w:t>
      </w:r>
      <w:r w:rsidRPr="00CE6515">
        <w:rPr>
          <w:rFonts w:cstheme="minorHAnsi"/>
        </w:rPr>
        <w:tab/>
        <w:t>$70.56 (GS-13, Step 5, $44.10 + 60%)</w:t>
      </w:r>
    </w:p>
    <w:p w:rsidR="00CE6515" w:rsidRPr="00CE6515" w:rsidP="00CE6515" w14:paraId="3DE513DD" w14:textId="77777777">
      <w:pPr>
        <w:spacing w:line="259" w:lineRule="auto"/>
        <w:ind w:firstLine="0"/>
        <w:contextualSpacing/>
        <w:rPr>
          <w:rFonts w:cstheme="minorHAnsi"/>
        </w:rPr>
      </w:pPr>
      <w:r w:rsidRPr="00CE6515">
        <w:rPr>
          <w:rFonts w:cstheme="minorHAnsi"/>
        </w:rPr>
        <w:t>Technical</w:t>
      </w:r>
      <w:r w:rsidRPr="00CE6515">
        <w:rPr>
          <w:rFonts w:cstheme="minorHAnsi"/>
        </w:rPr>
        <w:tab/>
        <w:t>$52.37 (GS-12, Step 1, $32.73 + 60%)</w:t>
      </w:r>
    </w:p>
    <w:p w:rsidR="00CE6515" w:rsidRPr="00FC55DA" w:rsidP="00CE6515" w14:paraId="5FE9162F" w14:textId="73F539F0">
      <w:pPr>
        <w:spacing w:line="259" w:lineRule="auto"/>
        <w:ind w:firstLine="0"/>
        <w:rPr>
          <w:rFonts w:cstheme="minorHAnsi"/>
        </w:rPr>
      </w:pPr>
      <w:r w:rsidRPr="00CE6515">
        <w:rPr>
          <w:rFonts w:cstheme="minorHAnsi"/>
        </w:rPr>
        <w:t>Clerical</w:t>
      </w:r>
      <w:r w:rsidRPr="00CE6515">
        <w:rPr>
          <w:rFonts w:cstheme="minorHAnsi"/>
        </w:rPr>
        <w:tab/>
      </w:r>
      <w:r>
        <w:rPr>
          <w:rFonts w:cstheme="minorHAnsi"/>
        </w:rPr>
        <w:tab/>
      </w:r>
      <w:r w:rsidRPr="00CE6515">
        <w:rPr>
          <w:rFonts w:cstheme="minorHAnsi"/>
        </w:rPr>
        <w:t>$28.34(GS-6, Step 3, $17.17 + 60%)</w:t>
      </w:r>
    </w:p>
    <w:p w:rsidR="00FC55DA" w:rsidRPr="00FC55DA" w:rsidP="00CE6515" w14:paraId="0FB0DD44" w14:textId="77777777">
      <w:pPr>
        <w:spacing w:line="259" w:lineRule="auto"/>
        <w:ind w:left="0" w:firstLine="0"/>
        <w:rPr>
          <w:rFonts w:cstheme="minorHAnsi"/>
        </w:rPr>
      </w:pPr>
      <w:r w:rsidRPr="00FC55DA">
        <w:rPr>
          <w:rFonts w:cstheme="minorHAnsi"/>
        </w:rPr>
        <w:t>These rates are from the Office of Personnel Management (OPM), 2022 General Schedule, which excludes locality rates of pay. The rates have been increased by 60 percent to account for the benefit packages available to government employees. Details upon which this estimate is based are shown in Tables 5 through 8 of Attachment 1.</w:t>
      </w:r>
    </w:p>
    <w:p w:rsidR="00FC55DA" w:rsidRPr="00FC55DA" w:rsidP="00FC55DA" w14:paraId="3089DEE3" w14:textId="77777777">
      <w:pPr>
        <w:spacing w:line="259" w:lineRule="auto"/>
        <w:ind w:left="0" w:firstLine="0"/>
        <w:rPr>
          <w:rFonts w:cstheme="minorHAnsi"/>
        </w:rPr>
      </w:pPr>
      <w:r w:rsidRPr="00FC55DA">
        <w:rPr>
          <w:rFonts w:cstheme="minorHAnsi"/>
        </w:rPr>
        <w:t>The average annual Agency (Designated Administrator) burden and cost associated with the subject amendments over the next 3 years is estimated to be 0 labor hours at a cost of $0, as shown in Tables 5 through 8 of Attachment 1.</w:t>
      </w:r>
    </w:p>
    <w:p w:rsidR="00BB3410" w:rsidRPr="002943D2" w:rsidP="002943D2" w14:paraId="5BA12778" w14:textId="7E007957">
      <w:pPr>
        <w:spacing w:line="259" w:lineRule="auto"/>
        <w:ind w:left="0" w:firstLine="0"/>
        <w:rPr>
          <w:rFonts w:cstheme="minorHAnsi"/>
        </w:rPr>
      </w:pPr>
      <w:r w:rsidRPr="00FC55DA">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FC55DA" w:rsidRPr="00FC55DA" w:rsidP="00FC55DA" w14:paraId="69C344B1" w14:textId="77777777">
      <w:pPr>
        <w:spacing w:line="259" w:lineRule="auto"/>
        <w:ind w:left="0" w:firstLine="0"/>
        <w:rPr>
          <w:rFonts w:cstheme="minorHAnsi"/>
        </w:rPr>
      </w:pPr>
      <w:r w:rsidRPr="00FC55DA">
        <w:rPr>
          <w:rFonts w:cstheme="minorHAnsi"/>
        </w:rPr>
        <w:t>In this ICR, the EPA estimates additional one-time respondent burden of 2 labor hours in the first year following promulgation of the subject amendments to provide for becoming familiar with the amendments to NSPS subpart TTT and becoming familiar with the CDX and CEDRI systems associated with electronic submission of reports. These amendments will not impact the burden on respondents in later years because they do not impose additional reporting or recordkeeping requirements. The total estimated respondent burden as currently identified in the OMB Inventory of Approved Burdens is based on 10 respondents (a larger number than the three respondents counted in this ICR). The downward adjustment in the number of respondents for this ICR, based on the EPA’s most recent information, is reflected in Attachment 1 to this ICR Supporting Statement.</w:t>
      </w:r>
    </w:p>
    <w:p w:rsidR="00ED57A4" w:rsidRPr="002943D2" w:rsidP="002943D2" w14:paraId="18F76AB6" w14:textId="151FA0D5">
      <w:pPr>
        <w:spacing w:line="259" w:lineRule="auto"/>
        <w:ind w:left="0" w:firstLine="0"/>
        <w:rPr>
          <w:rFonts w:cstheme="minorHAnsi"/>
        </w:rPr>
      </w:pPr>
      <w:r w:rsidRPr="00FC55DA">
        <w:rPr>
          <w:rFonts w:cstheme="minorHAnsi"/>
        </w:rPr>
        <w:t>The only other change is related to the use of updated labor rates. This ICR uses labor rates from the most recent Bureau of Labor Statistics report (September 2021)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47663" w:rsidRPr="008A4E01" w:rsidP="034FB7BC" w14:paraId="6111CE11" w14:textId="7D707A96">
      <w:pPr>
        <w:spacing w:line="259" w:lineRule="auto"/>
        <w:ind w:left="0" w:firstLine="0"/>
      </w:pPr>
      <w:r w:rsidRPr="034FB7BC">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w:t>
      </w:r>
      <w:r w:rsidRPr="034FB7BC" w:rsidR="002034AA">
        <w:t xml:space="preserve">and quarterly </w:t>
      </w:r>
      <w:r w:rsidRPr="034FB7BC">
        <w:t>reports are used for problem identification, as a check on source operation and maintenance, and for compliance determinations.</w:t>
      </w:r>
    </w:p>
    <w:p w:rsidR="00547663" w:rsidRPr="008A4E01" w:rsidP="034FB7BC" w14:paraId="031B44A3" w14:textId="7B25C6AF">
      <w:pPr>
        <w:spacing w:line="259" w:lineRule="auto"/>
        <w:ind w:left="0" w:firstLine="0"/>
      </w:pPr>
      <w:r w:rsidRPr="034FB7BC">
        <w:t>Information contained in the reports is reported by state and local governments in the ICIS Air database, which is operated and maintained by EPA's Office of Compliance.</w:t>
      </w:r>
      <w:r w:rsidRPr="034FB7BC" w:rsidR="00330DD5">
        <w:t xml:space="preserve"> ICIS is EPA’s database for the collection, maintenance, and retrieval of compliance data for industrial and government-owned facilities. </w:t>
      </w:r>
      <w:r w:rsidRPr="034FB7BC">
        <w:t>EPA uses ICIS for tracking air pollution compliance and enforcement by local and state regulatory agencies, EPA regional offices and EPA headquarters. EPA and its delegated Authorities can edit, store, retrieve and analyze the data.</w:t>
      </w:r>
    </w:p>
    <w:p w:rsidR="00547663" w:rsidRPr="008B3B3E" w:rsidP="002943D2" w14:paraId="050AD9E0" w14:textId="152A818A">
      <w:pPr>
        <w:spacing w:line="259" w:lineRule="auto"/>
        <w:ind w:left="0" w:firstLine="0"/>
        <w:rPr>
          <w:rFonts w:cstheme="minorHAnsi"/>
        </w:rPr>
      </w:pPr>
      <w:r w:rsidRPr="008A4E01">
        <w:rPr>
          <w:rFonts w:cstheme="minorHAnsi"/>
        </w:rPr>
        <w:t xml:space="preserve">The records required by this regulation must be retained by the owner/operator for </w:t>
      </w:r>
      <w:r>
        <w:rPr>
          <w:rFonts w:cstheme="minorHAnsi"/>
        </w:rPr>
        <w:t>two</w:t>
      </w:r>
      <w:r w:rsidRPr="008A4E01">
        <w:rPr>
          <w:rFonts w:cstheme="minorHAnsi"/>
        </w:rPr>
        <w:t xml:space="preserve">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547663" w:rsidRPr="00547663" w:rsidP="00547663" w14:paraId="0E0D13D2" w14:textId="77777777">
      <w:pPr>
        <w:spacing w:line="259" w:lineRule="auto"/>
        <w:ind w:left="0" w:firstLine="0"/>
        <w:rPr>
          <w:rFonts w:cstheme="minorHAnsi"/>
        </w:rPr>
      </w:pPr>
      <w:r w:rsidRPr="00547663">
        <w:rPr>
          <w:rFonts w:cstheme="minorHAnsi"/>
        </w:rPr>
        <w:t>The annual public reporting and recordkeeping burden for this collection of information is estimated to average 2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2943D2" w14:paraId="2EB99920" w14:textId="39BAFDAC">
      <w:pPr>
        <w:spacing w:line="259" w:lineRule="auto"/>
        <w:ind w:left="0" w:firstLine="0"/>
        <w:rPr>
          <w:rFonts w:cstheme="minorHAnsi"/>
        </w:rPr>
      </w:pPr>
      <w:r w:rsidRPr="00547663">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EPA-HQ-OAR-2021-0200. An electronic version of the public docket is available at </w:t>
      </w:r>
      <w:hyperlink r:id="rId10">
        <w:r w:rsidRPr="00547663">
          <w:rPr>
            <w:rStyle w:val="Hyperlink"/>
            <w:rFonts w:cstheme="minorHAnsi"/>
          </w:rPr>
          <w:t>http://www.regulations.gov,</w:t>
        </w:r>
      </w:hyperlink>
      <w:r w:rsidRPr="00547663">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EPA Docket Center, Room 3334, WJC West Building, 1301 Constitution Avenue, NW, Washington, DC. The EPA Docket Center Public Reading Room is open from 8:30 a.m. to 4:30 p.m., Monday through Friday, excluding legal holidays. The telephone number for the Public Reading Room is (202) 566-1744, and the telephone number for the EPA Docket Center is (202) 566-1742. Also, you can send comments to the Office of Information and Regulatory Affairs, Office of Management and Budget, 725 17th Street, NW, Washington, DC 20503, Attention: Desk Officer for EPA. Please include the EPA Docket ID Number EPA-HQ-OAR-2021-0200 and OMB Control Number 2060-0162 in any correspondence.</w:t>
      </w:r>
    </w:p>
    <w:p w:rsidR="004B3607" w:rsidRPr="002034AA" w:rsidP="034FB7BC" w14:paraId="637711AA" w14:textId="4314E21E">
      <w:pPr>
        <w:pStyle w:val="Heading1"/>
        <w:keepNext w:val="0"/>
        <w:pBdr>
          <w:bottom w:val="single" w:sz="4" w:space="1" w:color="auto"/>
        </w:pBdr>
        <w:spacing w:before="0" w:after="160"/>
        <w:rPr>
          <w:rFonts w:asciiTheme="minorHAnsi" w:hAnsiTheme="minorHAnsi" w:cstheme="minorBidi"/>
          <w:b/>
          <w:bCs/>
          <w:color w:val="000000" w:themeColor="text1"/>
          <w:sz w:val="22"/>
          <w:szCs w:val="22"/>
        </w:rPr>
      </w:pPr>
      <w:r w:rsidRPr="034FB7BC">
        <w:rPr>
          <w:rFonts w:asciiTheme="minorHAnsi" w:hAnsiTheme="minorHAnsi" w:cstheme="minorBidi"/>
          <w:b/>
          <w:bCs/>
          <w:color w:val="000000" w:themeColor="text1"/>
          <w:sz w:val="22"/>
          <w:szCs w:val="22"/>
        </w:rPr>
        <w:t>ATTACHMENTS</w:t>
      </w:r>
    </w:p>
    <w:p w:rsidR="002034AA" w:rsidRPr="002034AA" w:rsidP="006F0D6C" w14:paraId="4E17239E" w14:textId="77777777">
      <w:pPr>
        <w:spacing w:line="259" w:lineRule="auto"/>
        <w:ind w:left="0" w:firstLine="0"/>
      </w:pPr>
      <w:r w:rsidRPr="034FB7BC">
        <w:t>Attachment 1:</w:t>
      </w:r>
    </w:p>
    <w:p w:rsidR="002034AA" w:rsidRPr="002034AA" w:rsidP="006F0D6C" w14:paraId="274C1C73" w14:textId="5C0510AB">
      <w:pPr>
        <w:spacing w:line="259" w:lineRule="auto"/>
        <w:ind w:left="0" w:firstLine="0"/>
      </w:pPr>
      <w:r w:rsidRPr="034FB7BC">
        <w:t>Information Collection Request (ICR) Workbook for</w:t>
      </w:r>
      <w:r w:rsidR="006F0D6C">
        <w:t xml:space="preserve"> </w:t>
      </w:r>
      <w:r w:rsidRPr="034FB7BC">
        <w:t>NSPS Review for Surface Coating of Plastic Parts for Business Machines</w:t>
      </w:r>
      <w:r w:rsidR="006F0D6C">
        <w:t xml:space="preserve"> </w:t>
      </w:r>
      <w:r w:rsidRPr="034FB7BC">
        <w:t xml:space="preserve">(40 CFR Part 60, Subparts TTT and </w:t>
      </w:r>
      <w:r w:rsidRPr="034FB7BC">
        <w:t>TTTa</w:t>
      </w:r>
      <w:r w:rsidRPr="034FB7BC">
        <w:t>) (Amendments).</w:t>
      </w:r>
    </w:p>
    <w:p w:rsidR="00547663" w:rsidP="006F0D6C" w14:paraId="291B79A9" w14:textId="4CD3F237">
      <w:pPr>
        <w:spacing w:line="259" w:lineRule="auto"/>
        <w:ind w:left="0" w:firstLine="0"/>
      </w:pPr>
      <w:r w:rsidRPr="034FB7BC">
        <w:t xml:space="preserve">Excel workbook: </w:t>
      </w:r>
      <w:hyperlink r:id="rId11" w:history="1">
        <w:r w:rsidRPr="002D073C">
          <w:rPr>
            <w:rStyle w:val="Hyperlink"/>
          </w:rPr>
          <w:t xml:space="preserve">Business Machines NSPS final </w:t>
        </w:r>
        <w:r w:rsidRPr="002D073C">
          <w:rPr>
            <w:rStyle w:val="Hyperlink"/>
          </w:rPr>
          <w:t>rule_ICR</w:t>
        </w:r>
        <w:r w:rsidRPr="002D073C">
          <w:rPr>
            <w:rStyle w:val="Hyperlink"/>
          </w:rPr>
          <w:t xml:space="preserve"> Workbook_1093.15.xlsx</w:t>
        </w:r>
      </w:hyperlink>
      <w:r w:rsidRPr="034FB7BC">
        <w:t>.</w:t>
      </w:r>
    </w:p>
    <w:p w:rsidR="00547663" w:rsidP="002943D2" w14:paraId="74D49425" w14:textId="77777777">
      <w:pPr>
        <w:spacing w:line="259" w:lineRule="auto"/>
        <w:ind w:left="0" w:firstLine="0"/>
        <w:rPr>
          <w:rFonts w:cstheme="minorHAnsi"/>
        </w:rPr>
      </w:pPr>
    </w:p>
    <w:p w:rsidR="00547663" w:rsidP="002943D2" w14:paraId="467463EF" w14:textId="77777777">
      <w:pPr>
        <w:spacing w:line="259" w:lineRule="auto"/>
        <w:ind w:left="0" w:firstLine="0"/>
        <w:rPr>
          <w:rFonts w:cstheme="minorHAnsi"/>
        </w:rPr>
      </w:pPr>
    </w:p>
    <w:p w:rsidR="00547663" w:rsidP="002943D2" w14:paraId="5126E151" w14:textId="77777777">
      <w:pPr>
        <w:spacing w:line="259" w:lineRule="auto"/>
        <w:ind w:left="0" w:firstLine="0"/>
        <w:rPr>
          <w:rFonts w:cstheme="minorHAnsi"/>
        </w:rPr>
      </w:pPr>
    </w:p>
    <w:p w:rsidR="00547663" w:rsidP="002943D2" w14:paraId="73D54EF1" w14:textId="77777777">
      <w:pPr>
        <w:spacing w:line="259" w:lineRule="auto"/>
        <w:ind w:left="0" w:firstLine="0"/>
        <w:rPr>
          <w:rFonts w:cstheme="minorHAnsi"/>
        </w:rPr>
      </w:pPr>
    </w:p>
    <w:p w:rsidR="00547663" w:rsidP="002943D2" w14:paraId="625D2785" w14:textId="77777777">
      <w:pPr>
        <w:spacing w:line="259" w:lineRule="auto"/>
        <w:ind w:left="0" w:firstLine="0"/>
        <w:rPr>
          <w:rFonts w:cstheme="minorHAnsi"/>
        </w:rPr>
      </w:pPr>
    </w:p>
    <w:p w:rsidR="00547663" w:rsidP="002943D2" w14:paraId="6D5DB9EB" w14:textId="77777777">
      <w:pPr>
        <w:spacing w:line="259" w:lineRule="auto"/>
        <w:ind w:left="0" w:firstLine="0"/>
        <w:rPr>
          <w:rFonts w:cstheme="minorHAnsi"/>
        </w:rPr>
      </w:pPr>
    </w:p>
    <w:p w:rsidR="00547663" w:rsidP="002943D2" w14:paraId="36A3A720" w14:textId="77777777">
      <w:pPr>
        <w:spacing w:line="259" w:lineRule="auto"/>
        <w:ind w:left="0" w:firstLine="0"/>
        <w:rPr>
          <w:rFonts w:cstheme="minorHAnsi"/>
        </w:rPr>
      </w:pPr>
    </w:p>
    <w:p w:rsidR="00547663" w:rsidP="002943D2" w14:paraId="5E47F400" w14:textId="77777777">
      <w:pPr>
        <w:spacing w:line="259" w:lineRule="auto"/>
        <w:ind w:left="0" w:firstLine="0"/>
        <w:rPr>
          <w:rFonts w:cstheme="minorHAnsi"/>
        </w:rPr>
      </w:pPr>
    </w:p>
    <w:p w:rsidR="00547663" w:rsidP="002943D2" w14:paraId="0999484E" w14:textId="77777777">
      <w:pPr>
        <w:spacing w:line="259" w:lineRule="auto"/>
        <w:ind w:left="0" w:firstLine="0"/>
        <w:rPr>
          <w:rFonts w:cstheme="minorHAnsi"/>
        </w:rPr>
      </w:pPr>
    </w:p>
    <w:p w:rsidR="00547663" w:rsidP="002943D2" w14:paraId="7EE20938" w14:textId="77777777">
      <w:pPr>
        <w:spacing w:line="259" w:lineRule="auto"/>
        <w:ind w:left="0" w:firstLine="0"/>
        <w:rPr>
          <w:rFonts w:cstheme="minorHAnsi"/>
        </w:rPr>
      </w:pPr>
    </w:p>
    <w:p w:rsidR="00547663" w:rsidP="002943D2" w14:paraId="56FF8478" w14:textId="77777777">
      <w:pPr>
        <w:spacing w:line="259" w:lineRule="auto"/>
        <w:ind w:left="0" w:firstLine="0"/>
        <w:rPr>
          <w:rFonts w:cstheme="minorHAnsi"/>
        </w:rPr>
      </w:pPr>
    </w:p>
    <w:p w:rsidR="00547663" w:rsidRPr="008B3B3E" w:rsidP="002943D2" w14:paraId="01553354" w14:textId="77777777">
      <w:pPr>
        <w:spacing w:line="259" w:lineRule="auto"/>
        <w:ind w:left="0" w:firstLine="0"/>
        <w:rPr>
          <w:rFonts w:cstheme="minorHAnsi"/>
        </w:rPr>
      </w:pPr>
    </w:p>
    <w:sectPr w:rsidSect="000A1353">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3521605"/>
    <w:multiLevelType w:val="hybridMultilevel"/>
    <w:tmpl w:val="F4F05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884971"/>
    <w:multiLevelType w:val="hybridMultilevel"/>
    <w:tmpl w:val="9438C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3"/>
  </w:num>
  <w:num w:numId="4" w16cid:durableId="493573829">
    <w:abstractNumId w:val="29"/>
  </w:num>
  <w:num w:numId="5" w16cid:durableId="2055687918">
    <w:abstractNumId w:val="19"/>
  </w:num>
  <w:num w:numId="6" w16cid:durableId="1603025219">
    <w:abstractNumId w:val="26"/>
  </w:num>
  <w:num w:numId="7" w16cid:durableId="423957196">
    <w:abstractNumId w:val="16"/>
  </w:num>
  <w:num w:numId="8" w16cid:durableId="2031829208">
    <w:abstractNumId w:val="22"/>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0"/>
  </w:num>
  <w:num w:numId="14" w16cid:durableId="239490726">
    <w:abstractNumId w:val="7"/>
  </w:num>
  <w:num w:numId="15" w16cid:durableId="1395350314">
    <w:abstractNumId w:val="10"/>
  </w:num>
  <w:num w:numId="16" w16cid:durableId="441535906">
    <w:abstractNumId w:val="14"/>
  </w:num>
  <w:num w:numId="17" w16cid:durableId="2008243381">
    <w:abstractNumId w:val="23"/>
  </w:num>
  <w:num w:numId="18" w16cid:durableId="840463183">
    <w:abstractNumId w:val="21"/>
  </w:num>
  <w:num w:numId="19" w16cid:durableId="469980091">
    <w:abstractNumId w:val="25"/>
  </w:num>
  <w:num w:numId="20" w16cid:durableId="2126730031">
    <w:abstractNumId w:val="12"/>
  </w:num>
  <w:num w:numId="21" w16cid:durableId="106124704">
    <w:abstractNumId w:val="2"/>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877668812">
    <w:abstractNumId w:val="5"/>
  </w:num>
  <w:num w:numId="31" w16cid:durableId="86710729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34A5"/>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1AC"/>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6F75"/>
    <w:rsid w:val="001A76B3"/>
    <w:rsid w:val="001A7DEF"/>
    <w:rsid w:val="001B1773"/>
    <w:rsid w:val="001B1962"/>
    <w:rsid w:val="001B2D25"/>
    <w:rsid w:val="001B3364"/>
    <w:rsid w:val="001B4565"/>
    <w:rsid w:val="001B46D7"/>
    <w:rsid w:val="001B4BEC"/>
    <w:rsid w:val="001B4EFF"/>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34AA"/>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8FA"/>
    <w:rsid w:val="00226D49"/>
    <w:rsid w:val="0022710C"/>
    <w:rsid w:val="002272EE"/>
    <w:rsid w:val="00227759"/>
    <w:rsid w:val="00230F45"/>
    <w:rsid w:val="00233342"/>
    <w:rsid w:val="002335AB"/>
    <w:rsid w:val="002345BD"/>
    <w:rsid w:val="00234B8D"/>
    <w:rsid w:val="00235E79"/>
    <w:rsid w:val="002360BC"/>
    <w:rsid w:val="0023726A"/>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67154"/>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073C"/>
    <w:rsid w:val="002D3E1A"/>
    <w:rsid w:val="002E0316"/>
    <w:rsid w:val="002E0999"/>
    <w:rsid w:val="002E1131"/>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25990"/>
    <w:rsid w:val="003302F3"/>
    <w:rsid w:val="00330B87"/>
    <w:rsid w:val="00330DD5"/>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16C"/>
    <w:rsid w:val="00540228"/>
    <w:rsid w:val="00542227"/>
    <w:rsid w:val="005424B5"/>
    <w:rsid w:val="00542CEE"/>
    <w:rsid w:val="00544672"/>
    <w:rsid w:val="00545E7F"/>
    <w:rsid w:val="00546097"/>
    <w:rsid w:val="00546B65"/>
    <w:rsid w:val="00546FB4"/>
    <w:rsid w:val="00547115"/>
    <w:rsid w:val="00547663"/>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0D6C"/>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49"/>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0C4B"/>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4E01"/>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8A"/>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2DF"/>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468"/>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5163"/>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38BF"/>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41C"/>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548A"/>
    <w:rsid w:val="00B77C81"/>
    <w:rsid w:val="00B80F08"/>
    <w:rsid w:val="00B80F76"/>
    <w:rsid w:val="00B818B8"/>
    <w:rsid w:val="00B81A2E"/>
    <w:rsid w:val="00B83587"/>
    <w:rsid w:val="00B8407F"/>
    <w:rsid w:val="00B8491D"/>
    <w:rsid w:val="00B85A50"/>
    <w:rsid w:val="00B85B34"/>
    <w:rsid w:val="00B8742C"/>
    <w:rsid w:val="00B90437"/>
    <w:rsid w:val="00B92284"/>
    <w:rsid w:val="00B9379D"/>
    <w:rsid w:val="00B938CC"/>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1B"/>
    <w:rsid w:val="00BC1522"/>
    <w:rsid w:val="00BC1BF0"/>
    <w:rsid w:val="00BC3541"/>
    <w:rsid w:val="00BC3DD2"/>
    <w:rsid w:val="00BD12E4"/>
    <w:rsid w:val="00BD326F"/>
    <w:rsid w:val="00BD3B4A"/>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515"/>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280C"/>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0CA4"/>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1AA"/>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5D30"/>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B6A6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4DB2"/>
    <w:rsid w:val="00F462DB"/>
    <w:rsid w:val="00F47EAC"/>
    <w:rsid w:val="00F5019F"/>
    <w:rsid w:val="00F5075C"/>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5F9C"/>
    <w:rsid w:val="00FB678D"/>
    <w:rsid w:val="00FB6E02"/>
    <w:rsid w:val="00FB72D9"/>
    <w:rsid w:val="00FB7E9F"/>
    <w:rsid w:val="00FC02BD"/>
    <w:rsid w:val="00FC0F42"/>
    <w:rsid w:val="00FC2365"/>
    <w:rsid w:val="00FC4CC6"/>
    <w:rsid w:val="00FC4FBB"/>
    <w:rsid w:val="00FC53C7"/>
    <w:rsid w:val="00FC55DA"/>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4FB7BC"/>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489A1D"/>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3C7388"/>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62EFB9"/>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AE849D6"/>
    <w:rsid w:val="7B85C3CB"/>
    <w:rsid w:val="7BD2E15A"/>
    <w:rsid w:val="7C02D676"/>
    <w:rsid w:val="7C55E10E"/>
    <w:rsid w:val="7C6523A7"/>
    <w:rsid w:val="7D0C0225"/>
    <w:rsid w:val="7D4D62A7"/>
    <w:rsid w:val="7D4DE6BD"/>
    <w:rsid w:val="7D7D5244"/>
    <w:rsid w:val="7E06B584"/>
    <w:rsid w:val="7E4924F3"/>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character" w:styleId="Mention">
    <w:name w:val="Mention"/>
    <w:basedOn w:val="DefaultParagraphFont"/>
    <w:uiPriority w:val="99"/>
    <w:unhideWhenUsed/>
    <w:rsid w:val="009252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yperlink" Target="https://usepa.sharepoint.com/:x:/r/sites/RegulatorySupportDivision/Shared%20Documents/ICR%20Program/ICR%20Desk%20Officer%20Materials/OAR%20Stuff/Converted%20SSs%20and%20Template%20Files/1093.15/Business%20Machines%20NSPS%20final%20rule_ICR%20Workbook_1093.15.xlsx?d=w14196002a08f493da8759a0fa26d6f5c&amp;csf=1&amp;web=1&amp;e=MF9LBB"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2024-11-27T13:42:15+00:00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903E4699-C31F-4958-A1A4-A15F0649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95F2F4D1-ED7E-438E-8CC8-980BE8740157}">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schemas.microsoft.com/sharepoint/v3"/>
    <ds:schemaRef ds:uri="http://purl.org/dc/dcmitype/"/>
    <ds:schemaRef ds:uri="http://schemas.microsoft.com/sharepoint/v3/fields"/>
    <ds:schemaRef ds:uri="http://purl.org/dc/elements/1.1/"/>
    <ds:schemaRef ds:uri="http://purl.org/dc/terms/"/>
    <ds:schemaRef ds:uri="http://schemas.microsoft.com/office/infopath/2007/PartnerControls"/>
    <ds:schemaRef ds:uri="http://schemas.openxmlformats.org/package/2006/metadata/core-properties"/>
    <ds:schemaRef ds:uri="02fe02c4-dc41-46ff-9d52-90c0a1b1f611"/>
    <ds:schemaRef ds:uri="http://schemas.microsoft.com/office/2006/documentManagement/types"/>
    <ds:schemaRef ds:uri="http://schemas.microsoft.com/office/2006/metadata/properties"/>
    <ds:schemaRef ds:uri="96fc5250-dc30-4f01-945b-7e46a880eeb3"/>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6369</Words>
  <Characters>36195</Characters>
  <Application>Microsoft Office Word</Application>
  <DocSecurity>0</DocSecurity>
  <Lines>301</Lines>
  <Paragraphs>84</Paragraphs>
  <ScaleCrop>false</ScaleCrop>
  <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37</cp:revision>
  <dcterms:created xsi:type="dcterms:W3CDTF">2024-11-27T13:41:00Z</dcterms:created>
  <dcterms:modified xsi:type="dcterms:W3CDTF">2025-03-17T19:40:00Z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