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041909" w:rsidP="00FE2197" w14:paraId="427FB855"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38CF610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6C95230" w14:textId="74B01CFF">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 xml:space="preserve">Supporting Statement for </w:t>
          </w:r>
          <w:r w:rsidR="000439AA">
            <w:rPr>
              <w:rFonts w:ascii="Times New Roman" w:hAnsi="Times New Roman" w:cs="Times New Roman"/>
              <w:color w:val="139CD8"/>
              <w:sz w:val="56"/>
              <w:szCs w:val="52"/>
            </w:rPr>
            <w:t>Procurement Requirements</w:t>
          </w:r>
        </w:p>
      </w:sdtContent>
    </w:sdt>
    <w:p w:rsidR="0059212D" w:rsidRPr="00EE2CAF" w:rsidP="00EE2CAF" w14:paraId="7462A159" w14:textId="77777777">
      <w:pPr>
        <w:pStyle w:val="Heading1"/>
      </w:pPr>
      <w:bookmarkStart w:id="0" w:name="_Toc16271317"/>
      <w:r w:rsidRPr="00EE2CAF">
        <w:t>Part A: Justification</w:t>
      </w:r>
      <w:bookmarkEnd w:id="0"/>
    </w:p>
    <w:p w:rsidR="00711414" w:rsidRPr="00711414" w:rsidP="00D928FD" w14:paraId="06D4D017" w14:textId="21744822">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636F8" w:rsidRPr="00AD4F00" w:rsidP="004636F8" w14:textId="77777777">
                            <w:pPr>
                              <w:rPr>
                                <w:rFonts w:cstheme="minorHAnsi"/>
                                <w:i/>
                                <w:sz w:val="28"/>
                                <w:szCs w:val="28"/>
                              </w:rPr>
                            </w:pPr>
                            <w:r w:rsidRPr="00AD4F00">
                              <w:rPr>
                                <w:rFonts w:cstheme="minorHAnsi"/>
                                <w:i/>
                                <w:sz w:val="28"/>
                                <w:szCs w:val="28"/>
                              </w:rPr>
                              <w:t>Collection Instruments</w:t>
                            </w:r>
                          </w:p>
                          <w:p w:rsidR="004636F8" w:rsidRPr="00A6162F" w:rsidP="009A5C4D" w14:textId="76BBC889">
                            <w:pPr>
                              <w:pStyle w:val="ListParagraph"/>
                              <w:numPr>
                                <w:ilvl w:val="0"/>
                                <w:numId w:val="9"/>
                              </w:numPr>
                              <w:spacing w:after="0" w:line="240" w:lineRule="auto"/>
                              <w:rPr>
                                <w:rFonts w:cs="Arial"/>
                                <w:sz w:val="28"/>
                                <w:szCs w:val="28"/>
                                <w:lang w:val="en"/>
                              </w:rPr>
                            </w:pPr>
                            <w:r w:rsidRPr="00A6162F">
                              <w:rPr>
                                <w:sz w:val="28"/>
                                <w:szCs w:val="28"/>
                              </w:rPr>
                              <w:t xml:space="preserve">Department of Energy Acquisition Regulation (DEAR) Part 952 – </w:t>
                            </w:r>
                            <w:r w:rsidRPr="00A6162F">
                              <w:rPr>
                                <w:rFonts w:cs="Arial"/>
                                <w:sz w:val="28"/>
                                <w:szCs w:val="28"/>
                                <w:lang w:val="en"/>
                              </w:rPr>
                              <w:t>Solicitation Provisions and Contract Clauses</w:t>
                            </w:r>
                            <w:r w:rsidRPr="00A6162F">
                              <w:rPr>
                                <w:sz w:val="28"/>
                                <w:szCs w:val="28"/>
                              </w:rPr>
                              <w:t xml:space="preserve"> </w:t>
                            </w:r>
                          </w:p>
                          <w:p w:rsidR="004636F8" w:rsidRPr="00A6162F" w:rsidP="004636F8" w14:textId="77777777">
                            <w:pPr>
                              <w:pStyle w:val="ListParagraph"/>
                              <w:numPr>
                                <w:ilvl w:val="0"/>
                                <w:numId w:val="0"/>
                              </w:numPr>
                              <w:spacing w:after="0" w:line="240" w:lineRule="auto"/>
                              <w:ind w:left="720"/>
                              <w:rPr>
                                <w:rFonts w:cs="Arial"/>
                                <w:sz w:val="28"/>
                                <w:szCs w:val="28"/>
                                <w:lang w:val="en"/>
                              </w:rPr>
                            </w:pPr>
                          </w:p>
                          <w:p w:rsidR="004636F8" w:rsidRPr="00A6162F" w:rsidP="009A5C4D" w14:textId="1D092A81">
                            <w:pPr>
                              <w:pStyle w:val="ListParagraph"/>
                              <w:numPr>
                                <w:ilvl w:val="0"/>
                                <w:numId w:val="9"/>
                              </w:numPr>
                              <w:spacing w:after="0" w:line="240" w:lineRule="auto"/>
                              <w:rPr>
                                <w:rFonts w:cs="Arial"/>
                                <w:sz w:val="28"/>
                                <w:szCs w:val="28"/>
                                <w:lang w:val="en"/>
                              </w:rPr>
                            </w:pPr>
                            <w:r w:rsidRPr="00A6162F">
                              <w:rPr>
                                <w:sz w:val="28"/>
                                <w:szCs w:val="28"/>
                              </w:rPr>
                              <w:t xml:space="preserve">DEAR Subpart 970.52 </w:t>
                            </w:r>
                            <w:r w:rsidRPr="00A6162F">
                              <w:rPr>
                                <w:rFonts w:cs="Arial"/>
                                <w:sz w:val="28"/>
                                <w:szCs w:val="28"/>
                                <w:lang w:val="en"/>
                              </w:rPr>
                              <w:t>Solicitation</w:t>
                            </w:r>
                            <w:r w:rsidR="00F73806">
                              <w:rPr>
                                <w:rFonts w:cs="Arial"/>
                                <w:sz w:val="28"/>
                                <w:szCs w:val="28"/>
                                <w:lang w:val="en"/>
                              </w:rPr>
                              <w:t xml:space="preserve"> </w:t>
                            </w:r>
                            <w:r w:rsidRPr="00A6162F" w:rsidR="00F73806">
                              <w:rPr>
                                <w:sz w:val="28"/>
                                <w:szCs w:val="28"/>
                              </w:rPr>
                              <w:t xml:space="preserve">– </w:t>
                            </w:r>
                            <w:r w:rsidRPr="00A6162F">
                              <w:rPr>
                                <w:rFonts w:cs="Arial"/>
                                <w:sz w:val="28"/>
                                <w:szCs w:val="28"/>
                                <w:lang w:val="en"/>
                              </w:rPr>
                              <w:t xml:space="preserve">Provisions and Contract Clauses for Management and Operating (M&amp;O) Contracts </w:t>
                            </w:r>
                          </w:p>
                          <w:p w:rsidR="008F16EC" w:rsidRPr="0059212D" w:rsidP="00FB6BF3" w14:textId="30782A4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4636F8" w:rsidRPr="00AD4F00" w:rsidP="004636F8" w14:paraId="0CFABD76" w14:textId="77777777">
                      <w:pPr>
                        <w:rPr>
                          <w:rFonts w:cstheme="minorHAnsi"/>
                          <w:i/>
                          <w:sz w:val="28"/>
                          <w:szCs w:val="28"/>
                        </w:rPr>
                      </w:pPr>
                      <w:r w:rsidRPr="00AD4F00">
                        <w:rPr>
                          <w:rFonts w:cstheme="minorHAnsi"/>
                          <w:i/>
                          <w:sz w:val="28"/>
                          <w:szCs w:val="28"/>
                        </w:rPr>
                        <w:t>Collection Instruments</w:t>
                      </w:r>
                    </w:p>
                    <w:p w:rsidR="004636F8" w:rsidRPr="00A6162F" w:rsidP="009A5C4D" w14:paraId="0A431F47" w14:textId="76BBC889">
                      <w:pPr>
                        <w:pStyle w:val="ListParagraph"/>
                        <w:numPr>
                          <w:ilvl w:val="0"/>
                          <w:numId w:val="9"/>
                        </w:numPr>
                        <w:spacing w:after="0" w:line="240" w:lineRule="auto"/>
                        <w:rPr>
                          <w:rFonts w:cs="Arial"/>
                          <w:sz w:val="28"/>
                          <w:szCs w:val="28"/>
                          <w:lang w:val="en"/>
                        </w:rPr>
                      </w:pPr>
                      <w:r w:rsidRPr="00A6162F">
                        <w:rPr>
                          <w:sz w:val="28"/>
                          <w:szCs w:val="28"/>
                        </w:rPr>
                        <w:t xml:space="preserve">Department of Energy Acquisition Regulation (DEAR) Part 952 – </w:t>
                      </w:r>
                      <w:r w:rsidRPr="00A6162F">
                        <w:rPr>
                          <w:rFonts w:cs="Arial"/>
                          <w:sz w:val="28"/>
                          <w:szCs w:val="28"/>
                          <w:lang w:val="en"/>
                        </w:rPr>
                        <w:t>Solicitation Provisions and Contract Clauses</w:t>
                      </w:r>
                      <w:r w:rsidRPr="00A6162F">
                        <w:rPr>
                          <w:sz w:val="28"/>
                          <w:szCs w:val="28"/>
                        </w:rPr>
                        <w:t xml:space="preserve"> </w:t>
                      </w:r>
                    </w:p>
                    <w:p w:rsidR="004636F8" w:rsidRPr="00A6162F" w:rsidP="004636F8" w14:paraId="4C139E3D" w14:textId="77777777">
                      <w:pPr>
                        <w:pStyle w:val="ListParagraph"/>
                        <w:numPr>
                          <w:ilvl w:val="0"/>
                          <w:numId w:val="0"/>
                        </w:numPr>
                        <w:spacing w:after="0" w:line="240" w:lineRule="auto"/>
                        <w:ind w:left="720"/>
                        <w:rPr>
                          <w:rFonts w:cs="Arial"/>
                          <w:sz w:val="28"/>
                          <w:szCs w:val="28"/>
                          <w:lang w:val="en"/>
                        </w:rPr>
                      </w:pPr>
                    </w:p>
                    <w:p w:rsidR="004636F8" w:rsidRPr="00A6162F" w:rsidP="009A5C4D" w14:paraId="27AA73E3" w14:textId="1D092A81">
                      <w:pPr>
                        <w:pStyle w:val="ListParagraph"/>
                        <w:numPr>
                          <w:ilvl w:val="0"/>
                          <w:numId w:val="9"/>
                        </w:numPr>
                        <w:spacing w:after="0" w:line="240" w:lineRule="auto"/>
                        <w:rPr>
                          <w:rFonts w:cs="Arial"/>
                          <w:sz w:val="28"/>
                          <w:szCs w:val="28"/>
                          <w:lang w:val="en"/>
                        </w:rPr>
                      </w:pPr>
                      <w:r w:rsidRPr="00A6162F">
                        <w:rPr>
                          <w:sz w:val="28"/>
                          <w:szCs w:val="28"/>
                        </w:rPr>
                        <w:t xml:space="preserve">DEAR Subpart 970.52 </w:t>
                      </w:r>
                      <w:r w:rsidRPr="00A6162F">
                        <w:rPr>
                          <w:rFonts w:cs="Arial"/>
                          <w:sz w:val="28"/>
                          <w:szCs w:val="28"/>
                          <w:lang w:val="en"/>
                        </w:rPr>
                        <w:t>Solicitation</w:t>
                      </w:r>
                      <w:r w:rsidR="00F73806">
                        <w:rPr>
                          <w:rFonts w:cs="Arial"/>
                          <w:sz w:val="28"/>
                          <w:szCs w:val="28"/>
                          <w:lang w:val="en"/>
                        </w:rPr>
                        <w:t xml:space="preserve"> </w:t>
                      </w:r>
                      <w:r w:rsidRPr="00A6162F" w:rsidR="00F73806">
                        <w:rPr>
                          <w:sz w:val="28"/>
                          <w:szCs w:val="28"/>
                        </w:rPr>
                        <w:t xml:space="preserve">– </w:t>
                      </w:r>
                      <w:r w:rsidRPr="00A6162F">
                        <w:rPr>
                          <w:rFonts w:cs="Arial"/>
                          <w:sz w:val="28"/>
                          <w:szCs w:val="28"/>
                          <w:lang w:val="en"/>
                        </w:rPr>
                        <w:t xml:space="preserve">Provisions and Contract Clauses for Management and Operating (M&amp;O) Contracts </w:t>
                      </w:r>
                    </w:p>
                    <w:p w:rsidR="008F16EC" w:rsidRPr="0059212D" w:rsidP="00FB6BF3" w14:paraId="2C258F15" w14:textId="30782A4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0439AA">
        <w:rPr>
          <w:rFonts w:ascii="Times New Roman" w:hAnsi="Times New Roman" w:cs="Times New Roman"/>
          <w:b/>
          <w:sz w:val="36"/>
          <w:szCs w:val="36"/>
        </w:rPr>
        <w:t>4100</w:t>
      </w:r>
    </w:p>
    <w:p w:rsidR="001F3A8F" w:rsidRPr="00711414" w:rsidP="00711414" w14:paraId="2D3FC677"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3003A8D5">
                            <w:pPr>
                              <w:rPr>
                                <w:color w:val="A6A6A6" w:themeColor="background1" w:themeShade="A6"/>
                                <w:sz w:val="36"/>
                              </w:rPr>
                            </w:pPr>
                            <w:r>
                              <w:rPr>
                                <w:color w:val="A6A6A6" w:themeColor="background1" w:themeShade="A6"/>
                                <w:sz w:val="36"/>
                              </w:rPr>
                              <w:t xml:space="preserve">June </w:t>
                            </w:r>
                            <w:r w:rsidR="00EA57F9">
                              <w:rPr>
                                <w:color w:val="A6A6A6" w:themeColor="background1" w:themeShade="A6"/>
                                <w:sz w:val="36"/>
                              </w:rPr>
                              <w:t>2025</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3003A8D5">
                      <w:pPr>
                        <w:rPr>
                          <w:color w:val="A6A6A6" w:themeColor="background1" w:themeShade="A6"/>
                          <w:sz w:val="36"/>
                        </w:rPr>
                      </w:pPr>
                      <w:r>
                        <w:rPr>
                          <w:color w:val="A6A6A6" w:themeColor="background1" w:themeShade="A6"/>
                          <w:sz w:val="36"/>
                        </w:rPr>
                        <w:t xml:space="preserve">June </w:t>
                      </w:r>
                      <w:r w:rsidR="00EA57F9">
                        <w:rPr>
                          <w:color w:val="A6A6A6" w:themeColor="background1" w:themeShade="A6"/>
                          <w:sz w:val="36"/>
                        </w:rPr>
                        <w:t>2025</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02ADA158" w14:textId="77777777">
      <w:pPr>
        <w:sectPr w:rsidSect="001F3A8F">
          <w:headerReference w:type="default" r:id="rId10"/>
          <w:footerReference w:type="default" r:id="rId11"/>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5A1365D7" w14:textId="77777777">
          <w:pPr>
            <w:pStyle w:val="TOCHeading"/>
          </w:pPr>
          <w:r>
            <w:t>Table of Contents</w:t>
          </w:r>
        </w:p>
        <w:p w:rsidR="00537A91" w14:paraId="3536BDC7" w14:textId="30B90FF6">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sidR="00456B11">
              <w:rPr>
                <w:noProof/>
                <w:webHidden/>
              </w:rPr>
              <w:t>i</w:t>
            </w:r>
            <w:r>
              <w:rPr>
                <w:noProof/>
                <w:webHidden/>
              </w:rPr>
              <w:fldChar w:fldCharType="end"/>
            </w:r>
          </w:hyperlink>
        </w:p>
        <w:p w:rsidR="00537A91" w14:paraId="101B4F84" w14:textId="6F748782">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sidR="00456B11">
              <w:rPr>
                <w:noProof/>
                <w:webHidden/>
              </w:rPr>
              <w:t>2</w:t>
            </w:r>
            <w:r>
              <w:rPr>
                <w:noProof/>
                <w:webHidden/>
              </w:rPr>
              <w:fldChar w:fldCharType="end"/>
            </w:r>
          </w:hyperlink>
        </w:p>
        <w:p w:rsidR="00537A91" w14:paraId="02C634BA" w14:textId="0C1E32A9">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sidR="00456B11">
              <w:rPr>
                <w:noProof/>
                <w:webHidden/>
              </w:rPr>
              <w:t>3</w:t>
            </w:r>
            <w:r>
              <w:rPr>
                <w:noProof/>
                <w:webHidden/>
              </w:rPr>
              <w:fldChar w:fldCharType="end"/>
            </w:r>
          </w:hyperlink>
        </w:p>
        <w:p w:rsidR="00537A91" w14:paraId="08E178C6" w14:textId="377F23D5">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sidR="00456B11">
              <w:rPr>
                <w:noProof/>
                <w:webHidden/>
              </w:rPr>
              <w:t>4</w:t>
            </w:r>
            <w:r>
              <w:rPr>
                <w:noProof/>
                <w:webHidden/>
              </w:rPr>
              <w:fldChar w:fldCharType="end"/>
            </w:r>
          </w:hyperlink>
        </w:p>
        <w:p w:rsidR="00537A91" w14:paraId="4CE2F60F" w14:textId="2D823388">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sidR="00456B11">
              <w:rPr>
                <w:noProof/>
                <w:webHidden/>
              </w:rPr>
              <w:t>4</w:t>
            </w:r>
            <w:r>
              <w:rPr>
                <w:noProof/>
                <w:webHidden/>
              </w:rPr>
              <w:fldChar w:fldCharType="end"/>
            </w:r>
          </w:hyperlink>
        </w:p>
        <w:p w:rsidR="00537A91" w14:paraId="3A067BC6" w14:textId="4C8C7F6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sidR="00456B11">
              <w:rPr>
                <w:noProof/>
                <w:webHidden/>
              </w:rPr>
              <w:t>5</w:t>
            </w:r>
            <w:r>
              <w:rPr>
                <w:noProof/>
                <w:webHidden/>
              </w:rPr>
              <w:fldChar w:fldCharType="end"/>
            </w:r>
          </w:hyperlink>
        </w:p>
        <w:p w:rsidR="00537A91" w14:paraId="25C73FC9" w14:textId="3E4B5A5F">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sidR="00456B11">
              <w:rPr>
                <w:noProof/>
                <w:webHidden/>
              </w:rPr>
              <w:t>5</w:t>
            </w:r>
            <w:r>
              <w:rPr>
                <w:noProof/>
                <w:webHidden/>
              </w:rPr>
              <w:fldChar w:fldCharType="end"/>
            </w:r>
          </w:hyperlink>
        </w:p>
        <w:p w:rsidR="00537A91" w14:paraId="67E6C83A" w14:textId="27D14D64">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sidR="00456B11">
              <w:rPr>
                <w:noProof/>
                <w:webHidden/>
              </w:rPr>
              <w:t>6</w:t>
            </w:r>
            <w:r>
              <w:rPr>
                <w:noProof/>
                <w:webHidden/>
              </w:rPr>
              <w:fldChar w:fldCharType="end"/>
            </w:r>
          </w:hyperlink>
        </w:p>
        <w:p w:rsidR="00537A91" w14:paraId="1B9C3A7B" w14:textId="4D03B144">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sidR="00456B11">
              <w:rPr>
                <w:noProof/>
                <w:webHidden/>
              </w:rPr>
              <w:t>6</w:t>
            </w:r>
            <w:r>
              <w:rPr>
                <w:noProof/>
                <w:webHidden/>
              </w:rPr>
              <w:fldChar w:fldCharType="end"/>
            </w:r>
          </w:hyperlink>
        </w:p>
        <w:p w:rsidR="00537A91" w14:paraId="537C3941" w14:textId="1E6702FB">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sidR="00456B11">
              <w:rPr>
                <w:noProof/>
                <w:webHidden/>
              </w:rPr>
              <w:t>7</w:t>
            </w:r>
            <w:r>
              <w:rPr>
                <w:noProof/>
                <w:webHidden/>
              </w:rPr>
              <w:fldChar w:fldCharType="end"/>
            </w:r>
          </w:hyperlink>
        </w:p>
        <w:p w:rsidR="00537A91" w14:paraId="5FAD51C5" w14:textId="607C267A">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sidR="00456B11">
              <w:rPr>
                <w:noProof/>
                <w:webHidden/>
              </w:rPr>
              <w:t>7</w:t>
            </w:r>
            <w:r>
              <w:rPr>
                <w:noProof/>
                <w:webHidden/>
              </w:rPr>
              <w:fldChar w:fldCharType="end"/>
            </w:r>
          </w:hyperlink>
        </w:p>
        <w:p w:rsidR="00537A91" w14:paraId="1726E6A2" w14:textId="57832BBD">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sidR="00456B11">
              <w:rPr>
                <w:noProof/>
                <w:webHidden/>
              </w:rPr>
              <w:t>8</w:t>
            </w:r>
            <w:r>
              <w:rPr>
                <w:noProof/>
                <w:webHidden/>
              </w:rPr>
              <w:fldChar w:fldCharType="end"/>
            </w:r>
          </w:hyperlink>
        </w:p>
        <w:p w:rsidR="00537A91" w14:paraId="4A6A9630" w14:textId="38FC6C4B">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sidR="00456B11">
              <w:rPr>
                <w:noProof/>
                <w:webHidden/>
              </w:rPr>
              <w:t>8</w:t>
            </w:r>
            <w:r>
              <w:rPr>
                <w:noProof/>
                <w:webHidden/>
              </w:rPr>
              <w:fldChar w:fldCharType="end"/>
            </w:r>
          </w:hyperlink>
        </w:p>
        <w:p w:rsidR="00537A91" w14:paraId="76109842" w14:textId="3027F2B5">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sidR="00456B11">
              <w:rPr>
                <w:noProof/>
                <w:webHidden/>
              </w:rPr>
              <w:t>8</w:t>
            </w:r>
            <w:r>
              <w:rPr>
                <w:noProof/>
                <w:webHidden/>
              </w:rPr>
              <w:fldChar w:fldCharType="end"/>
            </w:r>
          </w:hyperlink>
        </w:p>
        <w:p w:rsidR="00537A91" w14:paraId="75AE2099" w14:textId="3E3982D8">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sidR="00456B11">
              <w:rPr>
                <w:noProof/>
                <w:webHidden/>
              </w:rPr>
              <w:t>11</w:t>
            </w:r>
            <w:r>
              <w:rPr>
                <w:noProof/>
                <w:webHidden/>
              </w:rPr>
              <w:fldChar w:fldCharType="end"/>
            </w:r>
          </w:hyperlink>
        </w:p>
        <w:p w:rsidR="00537A91" w14:paraId="34257AE7" w14:textId="00C2FDAF">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sidR="00456B11">
              <w:rPr>
                <w:noProof/>
                <w:webHidden/>
              </w:rPr>
              <w:t>12</w:t>
            </w:r>
            <w:r>
              <w:rPr>
                <w:noProof/>
                <w:webHidden/>
              </w:rPr>
              <w:fldChar w:fldCharType="end"/>
            </w:r>
          </w:hyperlink>
        </w:p>
        <w:p w:rsidR="00537A91" w14:paraId="1CE8CA5C" w14:textId="0F1D4F9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sidR="00456B11">
              <w:rPr>
                <w:noProof/>
                <w:webHidden/>
              </w:rPr>
              <w:t>12</w:t>
            </w:r>
            <w:r>
              <w:rPr>
                <w:noProof/>
                <w:webHidden/>
              </w:rPr>
              <w:fldChar w:fldCharType="end"/>
            </w:r>
          </w:hyperlink>
        </w:p>
        <w:p w:rsidR="00537A91" w14:paraId="29A7E81E" w14:textId="29246963">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sidR="00456B11">
              <w:rPr>
                <w:noProof/>
                <w:webHidden/>
              </w:rPr>
              <w:t>12</w:t>
            </w:r>
            <w:r>
              <w:rPr>
                <w:noProof/>
                <w:webHidden/>
              </w:rPr>
              <w:fldChar w:fldCharType="end"/>
            </w:r>
          </w:hyperlink>
        </w:p>
        <w:p w:rsidR="00537A91" w14:paraId="29807F52" w14:textId="13CBD17B">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sidR="00456B11">
              <w:rPr>
                <w:noProof/>
                <w:webHidden/>
              </w:rPr>
              <w:t>18</w:t>
            </w:r>
            <w:r>
              <w:rPr>
                <w:noProof/>
                <w:webHidden/>
              </w:rPr>
              <w:fldChar w:fldCharType="end"/>
            </w:r>
          </w:hyperlink>
        </w:p>
        <w:p w:rsidR="00537A91" w14:paraId="41A13E03" w14:textId="0812E5F3">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sidR="00456B11">
              <w:rPr>
                <w:noProof/>
                <w:webHidden/>
              </w:rPr>
              <w:t>18</w:t>
            </w:r>
            <w:r>
              <w:rPr>
                <w:noProof/>
                <w:webHidden/>
              </w:rPr>
              <w:fldChar w:fldCharType="end"/>
            </w:r>
          </w:hyperlink>
        </w:p>
        <w:p w:rsidR="00537A91" w14:paraId="61D4CF08" w14:textId="6B195513">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sidR="00456B11">
              <w:rPr>
                <w:noProof/>
                <w:webHidden/>
              </w:rPr>
              <w:t>18</w:t>
            </w:r>
            <w:r>
              <w:rPr>
                <w:noProof/>
                <w:webHidden/>
              </w:rPr>
              <w:fldChar w:fldCharType="end"/>
            </w:r>
          </w:hyperlink>
        </w:p>
        <w:p w:rsidR="0059212D" w14:paraId="3C174CDC" w14:textId="77777777">
          <w:r>
            <w:rPr>
              <w:b/>
              <w:bCs/>
              <w:noProof/>
            </w:rPr>
            <w:fldChar w:fldCharType="end"/>
          </w:r>
        </w:p>
      </w:sdtContent>
    </w:sdt>
    <w:p w:rsidR="001F3A8F" w:rsidP="00D928FD" w14:paraId="64EC5D6D" w14:textId="77777777"/>
    <w:p w:rsidR="00D928FD" w:rsidP="00D928FD" w14:paraId="5AC8FFB4" w14:textId="77777777">
      <w:pPr>
        <w:sectPr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6C0685D0" w14:textId="77777777">
      <w:pPr>
        <w:spacing w:line="240" w:lineRule="auto"/>
      </w:pPr>
    </w:p>
    <w:p w:rsidR="00933D5D" w:rsidP="00933D5D" w14:paraId="51486C34" w14:textId="77777777">
      <w:pPr>
        <w:tabs>
          <w:tab w:val="left" w:pos="7365"/>
        </w:tabs>
      </w:pPr>
      <w:r>
        <w:tab/>
      </w:r>
    </w:p>
    <w:p w:rsidR="00041909" w:rsidRPr="00933D5D" w:rsidP="00933D5D" w14:paraId="626BF99B" w14:textId="77777777">
      <w:pPr>
        <w:tabs>
          <w:tab w:val="left" w:pos="7365"/>
        </w:tabs>
        <w:sectPr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52FD1B10" w14:textId="77777777">
      <w:pPr>
        <w:pStyle w:val="Heading2"/>
      </w:pPr>
      <w:bookmarkStart w:id="1" w:name="_Toc16271318"/>
      <w:r>
        <w:t>Introdu</w:t>
      </w:r>
      <w:r w:rsidR="00844524">
        <w:t>ction</w:t>
      </w:r>
      <w:bookmarkEnd w:id="1"/>
    </w:p>
    <w:p w:rsidR="006D42EC" w:rsidRPr="006D42EC" w:rsidP="00844524" w14:paraId="53041DF0"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922E07" w:rsidP="00922E07" w14:paraId="094AA797" w14:textId="51461740">
      <w:r>
        <w:t>The Department of Energy’s</w:t>
      </w:r>
      <w:r w:rsidR="0010677B">
        <w:t xml:space="preserve"> (</w:t>
      </w:r>
      <w:r>
        <w:t>DOE</w:t>
      </w:r>
      <w:r w:rsidR="0010677B">
        <w:t>)</w:t>
      </w:r>
      <w:r>
        <w:t xml:space="preserve"> existing authority to collect </w:t>
      </w:r>
      <w:r w:rsidR="0010677B">
        <w:t>p</w:t>
      </w:r>
      <w:r>
        <w:t xml:space="preserve">rocurement data from contractors is scheduled to expire on </w:t>
      </w:r>
      <w:r w:rsidR="00783DF7">
        <w:t>June</w:t>
      </w:r>
      <w:r>
        <w:t xml:space="preserve"> 30, 202</w:t>
      </w:r>
      <w:r w:rsidR="00783DF7">
        <w:t>5</w:t>
      </w:r>
      <w:r>
        <w:t>.  The purpose of this request is to</w:t>
      </w:r>
      <w:r w:rsidR="00B32D7C">
        <w:t xml:space="preserve"> revise </w:t>
      </w:r>
      <w:r>
        <w:t xml:space="preserve">DOE’s existing authority to collect </w:t>
      </w:r>
      <w:r w:rsidR="005146C5">
        <w:t>p</w:t>
      </w:r>
      <w:r>
        <w:t>rocurement data from contractors.  Information collection of this data is required by the Department of Energy Acquisition Regulation (DEAR) codified at Chapter 9 of Title 48 of the Code of Federal Regulations</w:t>
      </w:r>
      <w:r w:rsidR="00FB4312">
        <w:t xml:space="preserve"> (CFR)</w:t>
      </w:r>
      <w:r>
        <w:t xml:space="preserve">.  </w:t>
      </w:r>
    </w:p>
    <w:p w:rsidR="00922E07" w:rsidP="00922E07" w14:paraId="100BFF7C" w14:textId="227DF253">
      <w:r>
        <w:t>To the extent that a procurement burden is first imposed by the</w:t>
      </w:r>
      <w:r w:rsidR="006262CA">
        <w:t xml:space="preserve"> Federal Acquisition Regulation (</w:t>
      </w:r>
      <w:r>
        <w:t>FAR</w:t>
      </w:r>
      <w:r w:rsidR="006262CA">
        <w:t>)</w:t>
      </w:r>
      <w:r>
        <w:t>, it will be justified and cleared by the General Services Administration for Government-wide use.  If a procurement burden is imposed by the DEAR, the burden will be justified and cleared by DOE as part of this Paperwork Reduction Act submission.</w:t>
      </w:r>
    </w:p>
    <w:p w:rsidR="00922E07" w:rsidP="00922E07" w14:paraId="3754F14B" w14:textId="5D77F295">
      <w:r>
        <w:t xml:space="preserve">The 60-Day Federal Register </w:t>
      </w:r>
      <w:r w:rsidRPr="00BC1FF0">
        <w:t xml:space="preserve">Notice was published on </w:t>
      </w:r>
      <w:r w:rsidRPr="00984C4B" w:rsidR="00F55B3D">
        <w:t>April 3, 2025</w:t>
      </w:r>
      <w:r w:rsidRPr="00984C4B">
        <w:t xml:space="preserve"> (Volume </w:t>
      </w:r>
      <w:r w:rsidRPr="00984C4B" w:rsidR="00BC1FF0">
        <w:t>90</w:t>
      </w:r>
      <w:r w:rsidRPr="00984C4B">
        <w:t xml:space="preserve">, Number </w:t>
      </w:r>
      <w:r w:rsidRPr="00984C4B" w:rsidR="00BC1FF0">
        <w:t>63</w:t>
      </w:r>
      <w:r w:rsidR="0052731C">
        <w:t xml:space="preserve">, and Page number </w:t>
      </w:r>
      <w:r w:rsidR="00157F5A">
        <w:t>14647</w:t>
      </w:r>
      <w:r w:rsidRPr="00984C4B">
        <w:t>)</w:t>
      </w:r>
      <w:r w:rsidRPr="00BC1FF0">
        <w:t>.</w:t>
      </w:r>
      <w:r>
        <w:t xml:space="preserve">  </w:t>
      </w:r>
    </w:p>
    <w:p w:rsidR="00A41763" w:rsidP="00F61D3A" w14:paraId="5FFD53F5" w14:textId="50B99B65">
      <w:pPr>
        <w:spacing w:after="0"/>
      </w:pPr>
      <w:r>
        <w:t>The list of Solicitation Provisions and Contract Clauses within this collection are from DEAR Part 952 – Solicitation Provisions and Contract Clauses and DEAR Subpart 970.52 Solicitation Provisions and Contract Clauses for Management and Operating (M&amp;O) Contracts as shown below:</w:t>
      </w:r>
    </w:p>
    <w:tbl>
      <w:tblPr>
        <w:tblStyle w:val="TableGrid"/>
        <w:tblW w:w="0" w:type="auto"/>
        <w:tblLook w:val="04A0"/>
      </w:tblPr>
      <w:tblGrid>
        <w:gridCol w:w="1434"/>
        <w:gridCol w:w="7902"/>
      </w:tblGrid>
      <w:tr w14:paraId="70AEF2F0" w14:textId="77777777" w:rsidTr="00EA1018">
        <w:tblPrEx>
          <w:tblW w:w="0" w:type="auto"/>
          <w:tblLook w:val="04A0"/>
        </w:tblPrEx>
        <w:tc>
          <w:tcPr>
            <w:tcW w:w="1434" w:type="dxa"/>
          </w:tcPr>
          <w:p w:rsidR="00CD03ED" w:rsidRPr="00214ED8" w:rsidP="00EA1018" w14:paraId="6DC51FE9" w14:textId="77777777">
            <w:pPr>
              <w:rPr>
                <w:b w:val="0"/>
                <w:bCs/>
                <w:sz w:val="20"/>
                <w:szCs w:val="20"/>
              </w:rPr>
            </w:pPr>
          </w:p>
        </w:tc>
        <w:tc>
          <w:tcPr>
            <w:tcW w:w="7902" w:type="dxa"/>
          </w:tcPr>
          <w:p w:rsidR="00CD03ED" w:rsidRPr="00214ED8" w:rsidP="00EA1018" w14:paraId="3E662BE6" w14:textId="77777777">
            <w:pPr>
              <w:jc w:val="left"/>
              <w:rPr>
                <w:b w:val="0"/>
                <w:bCs/>
                <w:sz w:val="20"/>
                <w:szCs w:val="20"/>
              </w:rPr>
            </w:pPr>
          </w:p>
        </w:tc>
      </w:tr>
      <w:tr w14:paraId="04C87C79" w14:textId="77777777" w:rsidTr="00EA1018">
        <w:tblPrEx>
          <w:tblW w:w="0" w:type="auto"/>
          <w:tblLook w:val="04A0"/>
        </w:tblPrEx>
        <w:tc>
          <w:tcPr>
            <w:tcW w:w="1434" w:type="dxa"/>
          </w:tcPr>
          <w:p w:rsidR="00CD03ED" w:rsidRPr="004D2AB9" w:rsidP="00EA1018" w14:paraId="02AADFF8" w14:textId="77777777">
            <w:pPr>
              <w:spacing w:line="240" w:lineRule="auto"/>
              <w:rPr>
                <w:b/>
                <w:bCs/>
                <w:sz w:val="20"/>
                <w:szCs w:val="20"/>
              </w:rPr>
            </w:pPr>
            <w:r w:rsidRPr="004D2AB9">
              <w:rPr>
                <w:b/>
                <w:bCs/>
                <w:sz w:val="20"/>
                <w:szCs w:val="20"/>
              </w:rPr>
              <w:t>DEAR Part 952</w:t>
            </w:r>
          </w:p>
        </w:tc>
        <w:tc>
          <w:tcPr>
            <w:tcW w:w="7902" w:type="dxa"/>
            <w:vAlign w:val="bottom"/>
          </w:tcPr>
          <w:p w:rsidR="00CD03ED" w:rsidRPr="004D2AB9" w:rsidP="00EA1018" w14:paraId="705EED74" w14:textId="77777777">
            <w:pPr>
              <w:spacing w:line="240" w:lineRule="auto"/>
              <w:jc w:val="left"/>
              <w:rPr>
                <w:b/>
                <w:bCs/>
                <w:sz w:val="20"/>
                <w:szCs w:val="20"/>
              </w:rPr>
            </w:pPr>
            <w:r w:rsidRPr="004D2AB9">
              <w:rPr>
                <w:rFonts w:cs="Arial"/>
                <w:b/>
                <w:bCs/>
                <w:sz w:val="20"/>
                <w:szCs w:val="20"/>
                <w:lang w:val="en"/>
              </w:rPr>
              <w:t>Solicitation Provisions and Contract Clauses</w:t>
            </w:r>
          </w:p>
        </w:tc>
      </w:tr>
      <w:tr w14:paraId="362C7DB0" w14:textId="77777777" w:rsidTr="00EA1018">
        <w:tblPrEx>
          <w:tblW w:w="0" w:type="auto"/>
          <w:tblLook w:val="04A0"/>
        </w:tblPrEx>
        <w:tc>
          <w:tcPr>
            <w:tcW w:w="1434" w:type="dxa"/>
          </w:tcPr>
          <w:p w:rsidR="00CD03ED" w:rsidRPr="006E7206" w:rsidP="00EA1018" w14:paraId="1A5BE5C8" w14:textId="77777777">
            <w:pPr>
              <w:spacing w:line="240" w:lineRule="auto"/>
              <w:rPr>
                <w:sz w:val="20"/>
                <w:szCs w:val="20"/>
              </w:rPr>
            </w:pPr>
            <w:r w:rsidRPr="006E7206">
              <w:rPr>
                <w:sz w:val="20"/>
                <w:szCs w:val="20"/>
              </w:rPr>
              <w:t>952.204-2</w:t>
            </w:r>
          </w:p>
        </w:tc>
        <w:tc>
          <w:tcPr>
            <w:tcW w:w="7902" w:type="dxa"/>
            <w:vAlign w:val="bottom"/>
          </w:tcPr>
          <w:p w:rsidR="00CD03ED" w:rsidRPr="006E7206" w:rsidP="00EA1018" w14:paraId="528AE97F" w14:textId="77777777">
            <w:pPr>
              <w:spacing w:line="240" w:lineRule="auto"/>
              <w:jc w:val="left"/>
              <w:rPr>
                <w:sz w:val="20"/>
                <w:szCs w:val="20"/>
              </w:rPr>
            </w:pPr>
            <w:r w:rsidRPr="006E7206">
              <w:rPr>
                <w:sz w:val="20"/>
                <w:szCs w:val="20"/>
              </w:rPr>
              <w:t>Security requirements.</w:t>
            </w:r>
          </w:p>
        </w:tc>
      </w:tr>
      <w:tr w14:paraId="0D965558" w14:textId="77777777" w:rsidTr="00EA1018">
        <w:tblPrEx>
          <w:tblW w:w="0" w:type="auto"/>
          <w:tblLook w:val="04A0"/>
        </w:tblPrEx>
        <w:tc>
          <w:tcPr>
            <w:tcW w:w="1434" w:type="dxa"/>
          </w:tcPr>
          <w:p w:rsidR="00CD03ED" w:rsidRPr="006E7206" w:rsidP="00EA1018" w14:paraId="63DE8687" w14:textId="77777777">
            <w:pPr>
              <w:spacing w:line="240" w:lineRule="auto"/>
              <w:rPr>
                <w:sz w:val="20"/>
                <w:szCs w:val="20"/>
              </w:rPr>
            </w:pPr>
            <w:r w:rsidRPr="006E7206">
              <w:rPr>
                <w:sz w:val="20"/>
                <w:szCs w:val="20"/>
              </w:rPr>
              <w:t>952.204-70</w:t>
            </w:r>
          </w:p>
        </w:tc>
        <w:tc>
          <w:tcPr>
            <w:tcW w:w="7902" w:type="dxa"/>
            <w:vAlign w:val="bottom"/>
          </w:tcPr>
          <w:p w:rsidR="00CD03ED" w:rsidRPr="006E7206" w:rsidP="00EA1018" w14:paraId="6ADBCEB8" w14:textId="77777777">
            <w:pPr>
              <w:spacing w:line="240" w:lineRule="auto"/>
              <w:jc w:val="left"/>
              <w:rPr>
                <w:sz w:val="20"/>
                <w:szCs w:val="20"/>
              </w:rPr>
            </w:pPr>
            <w:r w:rsidRPr="006E7206">
              <w:rPr>
                <w:sz w:val="20"/>
                <w:szCs w:val="20"/>
              </w:rPr>
              <w:t>Classification/ Declassification.</w:t>
            </w:r>
          </w:p>
        </w:tc>
      </w:tr>
      <w:tr w14:paraId="5DAC4381" w14:textId="77777777" w:rsidTr="00EA1018">
        <w:tblPrEx>
          <w:tblW w:w="0" w:type="auto"/>
          <w:tblLook w:val="04A0"/>
        </w:tblPrEx>
        <w:tc>
          <w:tcPr>
            <w:tcW w:w="1434" w:type="dxa"/>
          </w:tcPr>
          <w:p w:rsidR="00CD03ED" w:rsidRPr="006E7206" w:rsidP="00EA1018" w14:paraId="5B54C50B" w14:textId="77777777">
            <w:pPr>
              <w:spacing w:line="240" w:lineRule="auto"/>
              <w:rPr>
                <w:sz w:val="20"/>
                <w:szCs w:val="20"/>
              </w:rPr>
            </w:pPr>
            <w:r w:rsidRPr="006E7206">
              <w:rPr>
                <w:sz w:val="20"/>
                <w:szCs w:val="20"/>
              </w:rPr>
              <w:t>952.204-72</w:t>
            </w:r>
          </w:p>
        </w:tc>
        <w:tc>
          <w:tcPr>
            <w:tcW w:w="7902" w:type="dxa"/>
            <w:vAlign w:val="bottom"/>
          </w:tcPr>
          <w:p w:rsidR="00CD03ED" w:rsidRPr="006E7206" w:rsidP="00EA1018" w14:paraId="5E181A0D" w14:textId="77777777">
            <w:pPr>
              <w:spacing w:line="240" w:lineRule="auto"/>
              <w:jc w:val="left"/>
              <w:rPr>
                <w:sz w:val="20"/>
                <w:szCs w:val="20"/>
              </w:rPr>
            </w:pPr>
            <w:r w:rsidRPr="006E7206">
              <w:rPr>
                <w:sz w:val="20"/>
                <w:szCs w:val="20"/>
              </w:rPr>
              <w:t>Disclosure of information.</w:t>
            </w:r>
          </w:p>
        </w:tc>
      </w:tr>
      <w:tr w14:paraId="65C7A1CB" w14:textId="77777777" w:rsidTr="00EA1018">
        <w:tblPrEx>
          <w:tblW w:w="0" w:type="auto"/>
          <w:tblLook w:val="04A0"/>
        </w:tblPrEx>
        <w:tc>
          <w:tcPr>
            <w:tcW w:w="1434" w:type="dxa"/>
          </w:tcPr>
          <w:p w:rsidR="00CD03ED" w:rsidRPr="006E7206" w:rsidP="00EA1018" w14:paraId="34A6A373" w14:textId="77777777">
            <w:pPr>
              <w:spacing w:line="240" w:lineRule="auto"/>
              <w:rPr>
                <w:sz w:val="20"/>
                <w:szCs w:val="20"/>
              </w:rPr>
            </w:pPr>
            <w:r w:rsidRPr="006E7206">
              <w:rPr>
                <w:sz w:val="20"/>
                <w:szCs w:val="20"/>
              </w:rPr>
              <w:t>952.204-73</w:t>
            </w:r>
          </w:p>
        </w:tc>
        <w:tc>
          <w:tcPr>
            <w:tcW w:w="7902" w:type="dxa"/>
            <w:vAlign w:val="bottom"/>
          </w:tcPr>
          <w:p w:rsidR="00CD03ED" w:rsidRPr="006E7206" w:rsidP="00EA1018" w14:paraId="77D948B8" w14:textId="77777777">
            <w:pPr>
              <w:spacing w:line="240" w:lineRule="auto"/>
              <w:jc w:val="left"/>
              <w:rPr>
                <w:sz w:val="20"/>
                <w:szCs w:val="20"/>
              </w:rPr>
            </w:pPr>
            <w:r w:rsidRPr="006E7206">
              <w:rPr>
                <w:sz w:val="20"/>
                <w:szCs w:val="20"/>
              </w:rPr>
              <w:t>Facility Clearance.</w:t>
            </w:r>
          </w:p>
        </w:tc>
      </w:tr>
      <w:tr w14:paraId="7E161030" w14:textId="77777777" w:rsidTr="00EA1018">
        <w:tblPrEx>
          <w:tblW w:w="0" w:type="auto"/>
          <w:tblLook w:val="04A0"/>
        </w:tblPrEx>
        <w:tc>
          <w:tcPr>
            <w:tcW w:w="1434" w:type="dxa"/>
          </w:tcPr>
          <w:p w:rsidR="0037417F" w:rsidRPr="00984C4B" w:rsidP="00EA1018" w14:paraId="5CEABEA1" w14:textId="70807176">
            <w:pPr>
              <w:spacing w:line="240" w:lineRule="auto"/>
              <w:rPr>
                <w:sz w:val="20"/>
                <w:szCs w:val="20"/>
              </w:rPr>
            </w:pPr>
            <w:r w:rsidRPr="00984C4B">
              <w:rPr>
                <w:sz w:val="20"/>
                <w:szCs w:val="20"/>
              </w:rPr>
              <w:t>952.204-74</w:t>
            </w:r>
          </w:p>
        </w:tc>
        <w:tc>
          <w:tcPr>
            <w:tcW w:w="7902" w:type="dxa"/>
            <w:vAlign w:val="bottom"/>
          </w:tcPr>
          <w:p w:rsidR="0037417F" w:rsidRPr="00984C4B" w:rsidP="0037417F" w14:paraId="34A020C6" w14:textId="5D65E278">
            <w:pPr>
              <w:spacing w:line="240" w:lineRule="auto"/>
              <w:jc w:val="left"/>
              <w:rPr>
                <w:sz w:val="20"/>
                <w:szCs w:val="20"/>
              </w:rPr>
            </w:pPr>
            <w:r w:rsidRPr="00984C4B">
              <w:rPr>
                <w:sz w:val="20"/>
                <w:szCs w:val="20"/>
              </w:rPr>
              <w:t>Counterintelligence.</w:t>
            </w:r>
          </w:p>
        </w:tc>
      </w:tr>
      <w:tr w14:paraId="1D308249" w14:textId="77777777" w:rsidTr="00EA1018">
        <w:tblPrEx>
          <w:tblW w:w="0" w:type="auto"/>
          <w:tblLook w:val="04A0"/>
        </w:tblPrEx>
        <w:tc>
          <w:tcPr>
            <w:tcW w:w="1434" w:type="dxa"/>
          </w:tcPr>
          <w:p w:rsidR="00CD03ED" w:rsidRPr="006E7206" w:rsidP="00EA1018" w14:paraId="3696D8C4" w14:textId="77777777">
            <w:pPr>
              <w:spacing w:line="240" w:lineRule="auto"/>
              <w:rPr>
                <w:sz w:val="20"/>
                <w:szCs w:val="20"/>
              </w:rPr>
            </w:pPr>
            <w:r w:rsidRPr="006E7206">
              <w:rPr>
                <w:sz w:val="20"/>
                <w:szCs w:val="20"/>
              </w:rPr>
              <w:t>952.204-75</w:t>
            </w:r>
          </w:p>
        </w:tc>
        <w:tc>
          <w:tcPr>
            <w:tcW w:w="7902" w:type="dxa"/>
            <w:vAlign w:val="bottom"/>
          </w:tcPr>
          <w:p w:rsidR="00CD03ED" w:rsidRPr="006E7206" w:rsidP="00EA1018" w14:paraId="54069FE2" w14:textId="77777777">
            <w:pPr>
              <w:spacing w:line="240" w:lineRule="auto"/>
              <w:jc w:val="left"/>
              <w:rPr>
                <w:sz w:val="20"/>
                <w:szCs w:val="20"/>
              </w:rPr>
            </w:pPr>
            <w:r w:rsidRPr="006E7206">
              <w:rPr>
                <w:sz w:val="20"/>
                <w:szCs w:val="20"/>
              </w:rPr>
              <w:t>Public Affairs.</w:t>
            </w:r>
          </w:p>
        </w:tc>
      </w:tr>
      <w:tr w14:paraId="2C059E2E" w14:textId="77777777" w:rsidTr="00EA1018">
        <w:tblPrEx>
          <w:tblW w:w="0" w:type="auto"/>
          <w:tblLook w:val="04A0"/>
        </w:tblPrEx>
        <w:tc>
          <w:tcPr>
            <w:tcW w:w="1434" w:type="dxa"/>
          </w:tcPr>
          <w:p w:rsidR="00CD03ED" w:rsidRPr="006E7206" w:rsidP="00EA1018" w14:paraId="6902F48C" w14:textId="77777777">
            <w:pPr>
              <w:spacing w:line="240" w:lineRule="auto"/>
              <w:rPr>
                <w:sz w:val="20"/>
                <w:szCs w:val="20"/>
              </w:rPr>
            </w:pPr>
            <w:r w:rsidRPr="006E7206">
              <w:rPr>
                <w:sz w:val="20"/>
                <w:szCs w:val="20"/>
              </w:rPr>
              <w:t>952.208-7</w:t>
            </w:r>
          </w:p>
        </w:tc>
        <w:tc>
          <w:tcPr>
            <w:tcW w:w="7902" w:type="dxa"/>
            <w:vAlign w:val="bottom"/>
          </w:tcPr>
          <w:p w:rsidR="00CD03ED" w:rsidRPr="006E7206" w:rsidP="00EA1018" w14:paraId="316C8A62" w14:textId="77777777">
            <w:pPr>
              <w:spacing w:line="240" w:lineRule="auto"/>
              <w:jc w:val="left"/>
              <w:rPr>
                <w:sz w:val="20"/>
                <w:szCs w:val="20"/>
              </w:rPr>
            </w:pPr>
            <w:r w:rsidRPr="006E7206">
              <w:rPr>
                <w:sz w:val="20"/>
                <w:szCs w:val="20"/>
              </w:rPr>
              <w:t>Tagging of leased vehicles.</w:t>
            </w:r>
          </w:p>
        </w:tc>
      </w:tr>
      <w:tr w14:paraId="729968EA" w14:textId="77777777" w:rsidTr="00EA1018">
        <w:tblPrEx>
          <w:tblW w:w="0" w:type="auto"/>
          <w:tblLook w:val="04A0"/>
        </w:tblPrEx>
        <w:tc>
          <w:tcPr>
            <w:tcW w:w="1434" w:type="dxa"/>
          </w:tcPr>
          <w:p w:rsidR="00CD03ED" w:rsidRPr="006E7206" w:rsidP="00EA1018" w14:paraId="6E92169C" w14:textId="77777777">
            <w:pPr>
              <w:spacing w:line="240" w:lineRule="auto"/>
              <w:rPr>
                <w:sz w:val="20"/>
                <w:szCs w:val="20"/>
              </w:rPr>
            </w:pPr>
            <w:r w:rsidRPr="006E7206">
              <w:rPr>
                <w:sz w:val="20"/>
                <w:szCs w:val="20"/>
              </w:rPr>
              <w:t>952.209-8</w:t>
            </w:r>
          </w:p>
        </w:tc>
        <w:tc>
          <w:tcPr>
            <w:tcW w:w="7902" w:type="dxa"/>
            <w:vAlign w:val="bottom"/>
          </w:tcPr>
          <w:p w:rsidR="00CD03ED" w:rsidRPr="006E7206" w:rsidP="00EA1018" w14:paraId="757A5EF2" w14:textId="77777777">
            <w:pPr>
              <w:spacing w:line="240" w:lineRule="auto"/>
              <w:jc w:val="left"/>
              <w:rPr>
                <w:sz w:val="20"/>
                <w:szCs w:val="20"/>
              </w:rPr>
            </w:pPr>
            <w:r w:rsidRPr="006E7206">
              <w:rPr>
                <w:sz w:val="20"/>
                <w:szCs w:val="20"/>
              </w:rPr>
              <w:t>Organizational conflicts of interest-disclosure.</w:t>
            </w:r>
          </w:p>
        </w:tc>
      </w:tr>
      <w:tr w14:paraId="065204B6" w14:textId="77777777" w:rsidTr="00EA1018">
        <w:tblPrEx>
          <w:tblW w:w="0" w:type="auto"/>
          <w:tblLook w:val="04A0"/>
        </w:tblPrEx>
        <w:tc>
          <w:tcPr>
            <w:tcW w:w="1434" w:type="dxa"/>
          </w:tcPr>
          <w:p w:rsidR="00CD03ED" w:rsidRPr="006E7206" w:rsidP="00EA1018" w14:paraId="025AD4B8" w14:textId="77777777">
            <w:pPr>
              <w:spacing w:line="240" w:lineRule="auto"/>
              <w:rPr>
                <w:sz w:val="20"/>
                <w:szCs w:val="20"/>
              </w:rPr>
            </w:pPr>
            <w:r w:rsidRPr="006E7206">
              <w:rPr>
                <w:sz w:val="20"/>
                <w:szCs w:val="20"/>
              </w:rPr>
              <w:t>952.209-72</w:t>
            </w:r>
          </w:p>
        </w:tc>
        <w:tc>
          <w:tcPr>
            <w:tcW w:w="7902" w:type="dxa"/>
            <w:vAlign w:val="bottom"/>
          </w:tcPr>
          <w:p w:rsidR="00CD03ED" w:rsidRPr="006E7206" w:rsidP="00EA1018" w14:paraId="719F461F" w14:textId="77777777">
            <w:pPr>
              <w:spacing w:line="240" w:lineRule="auto"/>
              <w:jc w:val="left"/>
              <w:rPr>
                <w:sz w:val="20"/>
                <w:szCs w:val="20"/>
              </w:rPr>
            </w:pPr>
            <w:r w:rsidRPr="006E7206">
              <w:rPr>
                <w:sz w:val="20"/>
                <w:szCs w:val="20"/>
              </w:rPr>
              <w:t>Organizational conflicts of interest-contract clause.</w:t>
            </w:r>
          </w:p>
        </w:tc>
      </w:tr>
      <w:tr w14:paraId="570F434D" w14:textId="77777777" w:rsidTr="00EA1018">
        <w:tblPrEx>
          <w:tblW w:w="0" w:type="auto"/>
          <w:tblLook w:val="04A0"/>
        </w:tblPrEx>
        <w:trPr>
          <w:trHeight w:val="143"/>
        </w:trPr>
        <w:tc>
          <w:tcPr>
            <w:tcW w:w="1434" w:type="dxa"/>
          </w:tcPr>
          <w:p w:rsidR="00CD03ED" w:rsidRPr="006E7206" w:rsidP="00EA1018" w14:paraId="138B5E76" w14:textId="77777777">
            <w:pPr>
              <w:spacing w:line="240" w:lineRule="auto"/>
              <w:rPr>
                <w:sz w:val="20"/>
                <w:szCs w:val="20"/>
              </w:rPr>
            </w:pPr>
            <w:r w:rsidRPr="006E7206">
              <w:rPr>
                <w:sz w:val="20"/>
                <w:szCs w:val="20"/>
              </w:rPr>
              <w:t>952.215-70</w:t>
            </w:r>
          </w:p>
        </w:tc>
        <w:tc>
          <w:tcPr>
            <w:tcW w:w="7902" w:type="dxa"/>
            <w:vAlign w:val="bottom"/>
          </w:tcPr>
          <w:p w:rsidR="00CD03ED" w:rsidRPr="006E7206" w:rsidP="00EA1018" w14:paraId="64B38C03" w14:textId="77777777">
            <w:pPr>
              <w:spacing w:line="240" w:lineRule="auto"/>
              <w:jc w:val="left"/>
              <w:rPr>
                <w:sz w:val="20"/>
                <w:szCs w:val="20"/>
              </w:rPr>
            </w:pPr>
            <w:r w:rsidRPr="006E7206">
              <w:rPr>
                <w:sz w:val="20"/>
                <w:szCs w:val="20"/>
              </w:rPr>
              <w:t>Key personnel (General Contracts).</w:t>
            </w:r>
          </w:p>
        </w:tc>
      </w:tr>
      <w:tr w14:paraId="4E8B3FB2" w14:textId="77777777" w:rsidTr="00EA1018">
        <w:tblPrEx>
          <w:tblW w:w="0" w:type="auto"/>
          <w:tblLook w:val="04A0"/>
        </w:tblPrEx>
        <w:tc>
          <w:tcPr>
            <w:tcW w:w="1434" w:type="dxa"/>
          </w:tcPr>
          <w:p w:rsidR="00CD03ED" w:rsidRPr="006E7206" w:rsidP="00EA1018" w14:paraId="7F95D69B" w14:textId="77777777">
            <w:pPr>
              <w:spacing w:line="240" w:lineRule="auto"/>
              <w:rPr>
                <w:sz w:val="20"/>
                <w:szCs w:val="20"/>
              </w:rPr>
            </w:pPr>
            <w:r w:rsidRPr="006E7206">
              <w:rPr>
                <w:sz w:val="20"/>
                <w:szCs w:val="20"/>
              </w:rPr>
              <w:t>952.217-70</w:t>
            </w:r>
          </w:p>
        </w:tc>
        <w:tc>
          <w:tcPr>
            <w:tcW w:w="7902" w:type="dxa"/>
            <w:vAlign w:val="bottom"/>
          </w:tcPr>
          <w:p w:rsidR="00CD03ED" w:rsidRPr="006E7206" w:rsidP="00EA1018" w14:paraId="3256FF41" w14:textId="77777777">
            <w:pPr>
              <w:spacing w:line="240" w:lineRule="auto"/>
              <w:jc w:val="left"/>
              <w:rPr>
                <w:sz w:val="20"/>
                <w:szCs w:val="20"/>
              </w:rPr>
            </w:pPr>
            <w:r w:rsidRPr="006E7206">
              <w:rPr>
                <w:sz w:val="20"/>
                <w:szCs w:val="20"/>
              </w:rPr>
              <w:t>Acquisition of real property.</w:t>
            </w:r>
          </w:p>
        </w:tc>
      </w:tr>
      <w:tr w14:paraId="2909EE10" w14:textId="77777777" w:rsidTr="00EA1018">
        <w:tblPrEx>
          <w:tblW w:w="0" w:type="auto"/>
          <w:tblLook w:val="04A0"/>
        </w:tblPrEx>
        <w:tc>
          <w:tcPr>
            <w:tcW w:w="1434" w:type="dxa"/>
          </w:tcPr>
          <w:p w:rsidR="00CD03ED" w:rsidRPr="006E7206" w:rsidP="00EA1018" w14:paraId="4F177CC2" w14:textId="77777777">
            <w:pPr>
              <w:spacing w:line="240" w:lineRule="auto"/>
              <w:rPr>
                <w:sz w:val="20"/>
                <w:szCs w:val="20"/>
              </w:rPr>
            </w:pPr>
            <w:r w:rsidRPr="006E7206">
              <w:rPr>
                <w:sz w:val="20"/>
                <w:szCs w:val="20"/>
              </w:rPr>
              <w:t>952.219-70</w:t>
            </w:r>
          </w:p>
        </w:tc>
        <w:tc>
          <w:tcPr>
            <w:tcW w:w="7902" w:type="dxa"/>
            <w:vAlign w:val="bottom"/>
          </w:tcPr>
          <w:p w:rsidR="00CD03ED" w:rsidRPr="006E7206" w:rsidP="00EA1018" w14:paraId="531A0A4C" w14:textId="77777777">
            <w:pPr>
              <w:spacing w:line="240" w:lineRule="auto"/>
              <w:jc w:val="left"/>
              <w:rPr>
                <w:sz w:val="20"/>
                <w:szCs w:val="20"/>
              </w:rPr>
            </w:pPr>
            <w:r w:rsidRPr="006E7206">
              <w:rPr>
                <w:sz w:val="20"/>
                <w:szCs w:val="20"/>
              </w:rPr>
              <w:t>DOE Mentor-Protégé program.</w:t>
            </w:r>
          </w:p>
        </w:tc>
      </w:tr>
      <w:tr w14:paraId="4BA8C062" w14:textId="77777777" w:rsidTr="00EA1018">
        <w:tblPrEx>
          <w:tblW w:w="0" w:type="auto"/>
          <w:tblLook w:val="04A0"/>
        </w:tblPrEx>
        <w:tc>
          <w:tcPr>
            <w:tcW w:w="1434" w:type="dxa"/>
          </w:tcPr>
          <w:p w:rsidR="008F7961" w:rsidRPr="006E7206" w:rsidP="00EA1018" w14:paraId="320A8882" w14:textId="4D7CA0D1">
            <w:pPr>
              <w:spacing w:line="240" w:lineRule="auto"/>
              <w:rPr>
                <w:sz w:val="20"/>
                <w:szCs w:val="20"/>
              </w:rPr>
            </w:pPr>
            <w:r w:rsidRPr="0099217F">
              <w:rPr>
                <w:sz w:val="20"/>
                <w:szCs w:val="20"/>
              </w:rPr>
              <w:t>952.223-71</w:t>
            </w:r>
          </w:p>
        </w:tc>
        <w:tc>
          <w:tcPr>
            <w:tcW w:w="7902" w:type="dxa"/>
            <w:vAlign w:val="bottom"/>
          </w:tcPr>
          <w:p w:rsidR="008F7961" w:rsidRPr="006E7206" w:rsidP="008F63FB" w14:paraId="5923C0D0" w14:textId="5BA8ABB7">
            <w:pPr>
              <w:spacing w:line="240" w:lineRule="auto"/>
              <w:jc w:val="left"/>
              <w:rPr>
                <w:sz w:val="20"/>
                <w:szCs w:val="20"/>
              </w:rPr>
            </w:pPr>
            <w:r w:rsidRPr="008F63FB">
              <w:rPr>
                <w:sz w:val="20"/>
                <w:szCs w:val="20"/>
              </w:rPr>
              <w:t>Integration of environment, safety, and health into work planning and execution.</w:t>
            </w:r>
          </w:p>
        </w:tc>
      </w:tr>
      <w:tr w14:paraId="6CDA8862" w14:textId="77777777" w:rsidTr="00EA1018">
        <w:tblPrEx>
          <w:tblW w:w="0" w:type="auto"/>
          <w:tblLook w:val="04A0"/>
        </w:tblPrEx>
        <w:tc>
          <w:tcPr>
            <w:tcW w:w="1434" w:type="dxa"/>
          </w:tcPr>
          <w:p w:rsidR="00CD03ED" w:rsidRPr="00257462" w:rsidP="00EA1018" w14:paraId="7CFE973A" w14:textId="77777777">
            <w:pPr>
              <w:spacing w:line="240" w:lineRule="auto"/>
              <w:rPr>
                <w:rFonts w:cstheme="minorHAnsi"/>
                <w:sz w:val="20"/>
                <w:szCs w:val="20"/>
              </w:rPr>
            </w:pPr>
            <w:r w:rsidRPr="00257462">
              <w:rPr>
                <w:rFonts w:cstheme="minorHAnsi"/>
                <w:sz w:val="20"/>
                <w:szCs w:val="20"/>
              </w:rPr>
              <w:t>952.223-75</w:t>
            </w:r>
          </w:p>
        </w:tc>
        <w:tc>
          <w:tcPr>
            <w:tcW w:w="7902" w:type="dxa"/>
            <w:vAlign w:val="bottom"/>
          </w:tcPr>
          <w:p w:rsidR="00CD03ED" w:rsidRPr="00257462" w:rsidP="00EA1018" w14:paraId="4DFC8DD8" w14:textId="77777777">
            <w:pPr>
              <w:spacing w:line="240" w:lineRule="auto"/>
              <w:jc w:val="left"/>
              <w:rPr>
                <w:rFonts w:cstheme="minorHAnsi"/>
                <w:sz w:val="20"/>
                <w:szCs w:val="20"/>
              </w:rPr>
            </w:pPr>
            <w:r w:rsidRPr="00257462">
              <w:rPr>
                <w:rFonts w:cstheme="minorHAnsi"/>
                <w:sz w:val="20"/>
                <w:szCs w:val="20"/>
              </w:rPr>
              <w:t>Preservation of individual occupational radiation exposure records.</w:t>
            </w:r>
          </w:p>
        </w:tc>
      </w:tr>
      <w:tr w14:paraId="2EEA6856" w14:textId="77777777" w:rsidTr="00EA1018">
        <w:tblPrEx>
          <w:tblW w:w="0" w:type="auto"/>
          <w:tblLook w:val="04A0"/>
        </w:tblPrEx>
        <w:tc>
          <w:tcPr>
            <w:tcW w:w="1434" w:type="dxa"/>
          </w:tcPr>
          <w:p w:rsidR="00CD03ED" w:rsidRPr="00257462" w:rsidP="00EA1018" w14:paraId="16AF0D8B" w14:textId="77777777">
            <w:pPr>
              <w:spacing w:line="240" w:lineRule="auto"/>
              <w:rPr>
                <w:rFonts w:cstheme="minorHAnsi"/>
                <w:sz w:val="20"/>
                <w:szCs w:val="20"/>
              </w:rPr>
            </w:pPr>
            <w:r w:rsidRPr="00257462">
              <w:rPr>
                <w:rFonts w:cstheme="minorHAnsi"/>
                <w:sz w:val="20"/>
                <w:szCs w:val="20"/>
              </w:rPr>
              <w:t>952.223-78</w:t>
            </w:r>
          </w:p>
        </w:tc>
        <w:tc>
          <w:tcPr>
            <w:tcW w:w="7902" w:type="dxa"/>
            <w:vAlign w:val="bottom"/>
          </w:tcPr>
          <w:p w:rsidR="00CD03ED" w:rsidRPr="00257462" w:rsidP="00EA1018" w14:paraId="54A73D60" w14:textId="77777777">
            <w:pPr>
              <w:spacing w:line="240" w:lineRule="auto"/>
              <w:jc w:val="left"/>
              <w:rPr>
                <w:rFonts w:cstheme="minorHAnsi"/>
                <w:sz w:val="20"/>
                <w:szCs w:val="20"/>
              </w:rPr>
            </w:pPr>
            <w:r w:rsidRPr="00257462">
              <w:rPr>
                <w:rFonts w:cstheme="minorHAnsi"/>
                <w:sz w:val="20"/>
                <w:szCs w:val="20"/>
              </w:rPr>
              <w:t>Sustainable Acquisition Program (Non M&amp;O contracts)</w:t>
            </w:r>
          </w:p>
        </w:tc>
      </w:tr>
      <w:tr w14:paraId="3D7C2746" w14:textId="77777777" w:rsidTr="00EA1018">
        <w:tblPrEx>
          <w:tblW w:w="0" w:type="auto"/>
          <w:tblLook w:val="04A0"/>
        </w:tblPrEx>
        <w:tc>
          <w:tcPr>
            <w:tcW w:w="1434" w:type="dxa"/>
          </w:tcPr>
          <w:p w:rsidR="00CD03ED" w:rsidRPr="00257462" w:rsidP="00EA1018" w14:paraId="71B18AA0" w14:textId="77777777">
            <w:pPr>
              <w:spacing w:line="240" w:lineRule="auto"/>
              <w:rPr>
                <w:rFonts w:cstheme="minorHAnsi"/>
                <w:sz w:val="20"/>
                <w:szCs w:val="20"/>
              </w:rPr>
            </w:pPr>
            <w:r w:rsidRPr="00257462">
              <w:rPr>
                <w:rFonts w:cstheme="minorHAnsi"/>
                <w:sz w:val="20"/>
                <w:szCs w:val="20"/>
              </w:rPr>
              <w:t>952.226-70</w:t>
            </w:r>
          </w:p>
        </w:tc>
        <w:tc>
          <w:tcPr>
            <w:tcW w:w="7902" w:type="dxa"/>
            <w:vAlign w:val="bottom"/>
          </w:tcPr>
          <w:p w:rsidR="00CD03ED" w:rsidRPr="00257462" w:rsidP="00EA1018" w14:paraId="431FFEBB" w14:textId="77777777">
            <w:pPr>
              <w:spacing w:line="240" w:lineRule="auto"/>
              <w:jc w:val="left"/>
              <w:rPr>
                <w:rFonts w:cstheme="minorHAnsi"/>
                <w:sz w:val="20"/>
                <w:szCs w:val="20"/>
              </w:rPr>
            </w:pPr>
            <w:r w:rsidRPr="00257462">
              <w:rPr>
                <w:rFonts w:cstheme="minorHAnsi"/>
                <w:sz w:val="20"/>
                <w:szCs w:val="20"/>
              </w:rPr>
              <w:t>Subcontracting goals under section 3021(a) of the Energy Policy Act of 1992 – solicitation provision.</w:t>
            </w:r>
          </w:p>
        </w:tc>
      </w:tr>
      <w:tr w14:paraId="3344EC86" w14:textId="77777777" w:rsidTr="00EA1018">
        <w:tblPrEx>
          <w:tblW w:w="0" w:type="auto"/>
          <w:tblLook w:val="04A0"/>
        </w:tblPrEx>
        <w:tc>
          <w:tcPr>
            <w:tcW w:w="1434" w:type="dxa"/>
          </w:tcPr>
          <w:p w:rsidR="00CD03ED" w:rsidRPr="00257462" w:rsidP="00EA1018" w14:paraId="5EFB6C03" w14:textId="77777777">
            <w:pPr>
              <w:spacing w:line="240" w:lineRule="auto"/>
              <w:rPr>
                <w:rFonts w:cstheme="minorHAnsi"/>
                <w:sz w:val="20"/>
                <w:szCs w:val="20"/>
              </w:rPr>
            </w:pPr>
            <w:r w:rsidRPr="00257462">
              <w:rPr>
                <w:rFonts w:cstheme="minorHAnsi"/>
                <w:sz w:val="20"/>
                <w:szCs w:val="20"/>
              </w:rPr>
              <w:t>952.226-72</w:t>
            </w:r>
          </w:p>
        </w:tc>
        <w:tc>
          <w:tcPr>
            <w:tcW w:w="7902" w:type="dxa"/>
            <w:vAlign w:val="bottom"/>
          </w:tcPr>
          <w:p w:rsidR="00CD03ED" w:rsidRPr="00257462" w:rsidP="00EA1018" w14:paraId="6E6BA925" w14:textId="77777777">
            <w:pPr>
              <w:spacing w:line="240" w:lineRule="auto"/>
              <w:jc w:val="left"/>
              <w:rPr>
                <w:rFonts w:cstheme="minorHAnsi"/>
                <w:sz w:val="20"/>
                <w:szCs w:val="20"/>
              </w:rPr>
            </w:pPr>
            <w:r w:rsidRPr="00257462">
              <w:rPr>
                <w:rFonts w:cstheme="minorHAnsi"/>
                <w:sz w:val="20"/>
                <w:szCs w:val="20"/>
              </w:rPr>
              <w:t>Energy Policy Act subcontracting goals and reporting requirements.</w:t>
            </w:r>
          </w:p>
        </w:tc>
      </w:tr>
      <w:tr w14:paraId="11209BD3" w14:textId="77777777" w:rsidTr="00EA1018">
        <w:tblPrEx>
          <w:tblW w:w="0" w:type="auto"/>
          <w:tblLook w:val="04A0"/>
        </w:tblPrEx>
        <w:tc>
          <w:tcPr>
            <w:tcW w:w="1434" w:type="dxa"/>
          </w:tcPr>
          <w:p w:rsidR="00CD03ED" w:rsidRPr="00257462" w:rsidP="00EA1018" w14:paraId="7632A2B9" w14:textId="77777777">
            <w:pPr>
              <w:spacing w:line="240" w:lineRule="auto"/>
              <w:rPr>
                <w:rFonts w:cstheme="minorHAnsi"/>
                <w:sz w:val="20"/>
                <w:szCs w:val="20"/>
              </w:rPr>
            </w:pPr>
            <w:r w:rsidRPr="00257462">
              <w:rPr>
                <w:rFonts w:cstheme="minorHAnsi"/>
                <w:sz w:val="20"/>
                <w:szCs w:val="20"/>
              </w:rPr>
              <w:t>952.226-73</w:t>
            </w:r>
          </w:p>
        </w:tc>
        <w:tc>
          <w:tcPr>
            <w:tcW w:w="7902" w:type="dxa"/>
            <w:vAlign w:val="bottom"/>
          </w:tcPr>
          <w:p w:rsidR="00CD03ED" w:rsidRPr="00257462" w:rsidP="00EA1018" w14:paraId="0F998F71" w14:textId="77777777">
            <w:pPr>
              <w:spacing w:line="240" w:lineRule="auto"/>
              <w:jc w:val="left"/>
              <w:rPr>
                <w:rFonts w:cstheme="minorHAnsi"/>
                <w:sz w:val="20"/>
                <w:szCs w:val="20"/>
              </w:rPr>
            </w:pPr>
            <w:r w:rsidRPr="00257462">
              <w:rPr>
                <w:rFonts w:cstheme="minorHAnsi"/>
                <w:sz w:val="20"/>
                <w:szCs w:val="20"/>
              </w:rPr>
              <w:t>Energy Policy Act target group certification.</w:t>
            </w:r>
          </w:p>
        </w:tc>
      </w:tr>
      <w:tr w14:paraId="47F0F045" w14:textId="77777777" w:rsidTr="00EA1018">
        <w:tblPrEx>
          <w:tblW w:w="0" w:type="auto"/>
          <w:tblLook w:val="04A0"/>
        </w:tblPrEx>
        <w:tc>
          <w:tcPr>
            <w:tcW w:w="1434" w:type="dxa"/>
          </w:tcPr>
          <w:p w:rsidR="00CD03ED" w:rsidRPr="00257462" w:rsidP="00EA1018" w14:paraId="2B06A2DA" w14:textId="77777777">
            <w:pPr>
              <w:spacing w:line="240" w:lineRule="auto"/>
              <w:rPr>
                <w:rFonts w:cstheme="minorHAnsi"/>
                <w:sz w:val="20"/>
                <w:szCs w:val="20"/>
              </w:rPr>
            </w:pPr>
            <w:r w:rsidRPr="00257462">
              <w:rPr>
                <w:rFonts w:cstheme="minorHAnsi"/>
                <w:sz w:val="20"/>
                <w:szCs w:val="20"/>
              </w:rPr>
              <w:t>952.231-71</w:t>
            </w:r>
          </w:p>
        </w:tc>
        <w:tc>
          <w:tcPr>
            <w:tcW w:w="7902" w:type="dxa"/>
            <w:vAlign w:val="bottom"/>
          </w:tcPr>
          <w:p w:rsidR="00CD03ED" w:rsidRPr="00257462" w:rsidP="00EA1018" w14:paraId="38A25DB0" w14:textId="77777777">
            <w:pPr>
              <w:spacing w:line="240" w:lineRule="auto"/>
              <w:jc w:val="left"/>
              <w:rPr>
                <w:rFonts w:cstheme="minorHAnsi"/>
                <w:sz w:val="20"/>
                <w:szCs w:val="20"/>
              </w:rPr>
            </w:pPr>
            <w:r w:rsidRPr="00257462">
              <w:rPr>
                <w:rFonts w:cstheme="minorHAnsi"/>
                <w:sz w:val="20"/>
                <w:szCs w:val="20"/>
              </w:rPr>
              <w:t>Insurance - litigation and claims.</w:t>
            </w:r>
          </w:p>
        </w:tc>
      </w:tr>
      <w:tr w14:paraId="77715F67" w14:textId="77777777" w:rsidTr="00EA1018">
        <w:tblPrEx>
          <w:tblW w:w="0" w:type="auto"/>
          <w:tblLook w:val="04A0"/>
        </w:tblPrEx>
        <w:tc>
          <w:tcPr>
            <w:tcW w:w="1434" w:type="dxa"/>
          </w:tcPr>
          <w:p w:rsidR="00CD03ED" w:rsidRPr="00257462" w:rsidP="00EA1018" w14:paraId="013E5DEA" w14:textId="77777777">
            <w:pPr>
              <w:spacing w:line="240" w:lineRule="auto"/>
              <w:rPr>
                <w:rFonts w:cstheme="minorHAnsi"/>
                <w:sz w:val="20"/>
                <w:szCs w:val="20"/>
              </w:rPr>
            </w:pPr>
            <w:r w:rsidRPr="00257462">
              <w:rPr>
                <w:rFonts w:cstheme="minorHAnsi"/>
                <w:sz w:val="20"/>
                <w:szCs w:val="20"/>
              </w:rPr>
              <w:t>952.250-70</w:t>
            </w:r>
          </w:p>
        </w:tc>
        <w:tc>
          <w:tcPr>
            <w:tcW w:w="7902" w:type="dxa"/>
            <w:vAlign w:val="bottom"/>
          </w:tcPr>
          <w:p w:rsidR="00CD03ED" w:rsidRPr="00257462" w:rsidP="00EA1018" w14:paraId="50A57B20" w14:textId="77777777">
            <w:pPr>
              <w:spacing w:line="240" w:lineRule="auto"/>
              <w:jc w:val="left"/>
              <w:rPr>
                <w:rFonts w:cstheme="minorHAnsi"/>
                <w:sz w:val="20"/>
                <w:szCs w:val="20"/>
              </w:rPr>
            </w:pPr>
            <w:r w:rsidRPr="00257462">
              <w:rPr>
                <w:rFonts w:cstheme="minorHAnsi"/>
                <w:sz w:val="20"/>
                <w:szCs w:val="20"/>
              </w:rPr>
              <w:t>Nuclear hazards indemnity agreement.</w:t>
            </w:r>
          </w:p>
        </w:tc>
      </w:tr>
      <w:tr w14:paraId="3113C0AC" w14:textId="77777777" w:rsidTr="00EA1018">
        <w:tblPrEx>
          <w:tblW w:w="0" w:type="auto"/>
          <w:tblLook w:val="04A0"/>
        </w:tblPrEx>
        <w:tc>
          <w:tcPr>
            <w:tcW w:w="1434" w:type="dxa"/>
          </w:tcPr>
          <w:p w:rsidR="00CD03ED" w:rsidRPr="00102D8E" w:rsidP="00EA1018" w14:paraId="5365E37C" w14:textId="77777777">
            <w:pPr>
              <w:spacing w:line="240" w:lineRule="auto"/>
              <w:rPr>
                <w:rFonts w:cstheme="minorHAnsi"/>
                <w:b/>
                <w:bCs/>
                <w:sz w:val="20"/>
                <w:szCs w:val="20"/>
              </w:rPr>
            </w:pPr>
            <w:r w:rsidRPr="00102D8E">
              <w:rPr>
                <w:b/>
                <w:bCs/>
                <w:sz w:val="20"/>
                <w:szCs w:val="20"/>
              </w:rPr>
              <w:t>DEAR Subpart 970.52</w:t>
            </w:r>
          </w:p>
        </w:tc>
        <w:tc>
          <w:tcPr>
            <w:tcW w:w="7902" w:type="dxa"/>
            <w:vAlign w:val="bottom"/>
          </w:tcPr>
          <w:p w:rsidR="00CD03ED" w:rsidRPr="00102D8E" w:rsidP="00EA1018" w14:paraId="06D4E9A3" w14:textId="77777777">
            <w:pPr>
              <w:spacing w:line="240" w:lineRule="auto"/>
              <w:jc w:val="left"/>
              <w:rPr>
                <w:rFonts w:cstheme="minorHAnsi"/>
                <w:b/>
                <w:bCs/>
                <w:sz w:val="20"/>
                <w:szCs w:val="20"/>
              </w:rPr>
            </w:pPr>
            <w:r w:rsidRPr="00102D8E">
              <w:rPr>
                <w:rFonts w:cs="Arial"/>
                <w:b/>
                <w:bCs/>
                <w:sz w:val="20"/>
                <w:szCs w:val="20"/>
                <w:lang w:val="en"/>
              </w:rPr>
              <w:t>Solicitation Provisions and Contract Clauses for M&amp;O Contracts</w:t>
            </w:r>
          </w:p>
        </w:tc>
      </w:tr>
      <w:tr w14:paraId="1DEC6279" w14:textId="77777777" w:rsidTr="00EA1018">
        <w:tblPrEx>
          <w:tblW w:w="0" w:type="auto"/>
          <w:tblLook w:val="04A0"/>
        </w:tblPrEx>
        <w:tc>
          <w:tcPr>
            <w:tcW w:w="1434" w:type="dxa"/>
          </w:tcPr>
          <w:p w:rsidR="00CD03ED" w:rsidRPr="00257462" w:rsidP="00EA1018" w14:paraId="5DD351A3" w14:textId="77777777">
            <w:pPr>
              <w:spacing w:line="240" w:lineRule="auto"/>
              <w:rPr>
                <w:rFonts w:cstheme="minorHAnsi"/>
                <w:sz w:val="20"/>
                <w:szCs w:val="20"/>
              </w:rPr>
            </w:pPr>
            <w:r w:rsidRPr="00257462">
              <w:rPr>
                <w:rFonts w:cstheme="minorHAnsi"/>
                <w:sz w:val="20"/>
                <w:szCs w:val="20"/>
              </w:rPr>
              <w:t>970.5203-3</w:t>
            </w:r>
          </w:p>
        </w:tc>
        <w:tc>
          <w:tcPr>
            <w:tcW w:w="7902" w:type="dxa"/>
            <w:vAlign w:val="bottom"/>
          </w:tcPr>
          <w:p w:rsidR="00CD03ED" w:rsidRPr="00257462" w:rsidP="00EA1018" w14:paraId="0EEFBB2D" w14:textId="77777777">
            <w:pPr>
              <w:spacing w:line="240" w:lineRule="auto"/>
              <w:jc w:val="left"/>
              <w:rPr>
                <w:rFonts w:cstheme="minorHAnsi"/>
                <w:sz w:val="20"/>
                <w:szCs w:val="20"/>
              </w:rPr>
            </w:pPr>
            <w:r w:rsidRPr="00257462">
              <w:rPr>
                <w:rFonts w:cstheme="minorHAnsi"/>
                <w:sz w:val="20"/>
                <w:szCs w:val="20"/>
              </w:rPr>
              <w:t>Contractor's organization.</w:t>
            </w:r>
          </w:p>
        </w:tc>
      </w:tr>
      <w:tr w14:paraId="11E7DC2F" w14:textId="77777777" w:rsidTr="00EA1018">
        <w:tblPrEx>
          <w:tblW w:w="0" w:type="auto"/>
          <w:tblLook w:val="04A0"/>
        </w:tblPrEx>
        <w:tc>
          <w:tcPr>
            <w:tcW w:w="1434" w:type="dxa"/>
          </w:tcPr>
          <w:p w:rsidR="00984C4B" w:rsidRPr="008C2ADE" w:rsidP="00EA1018" w14:paraId="108A8D7B" w14:textId="3C93A7BC">
            <w:pPr>
              <w:spacing w:line="240" w:lineRule="auto"/>
              <w:rPr>
                <w:rFonts w:cstheme="minorHAnsi"/>
                <w:strike/>
                <w:sz w:val="20"/>
                <w:szCs w:val="20"/>
              </w:rPr>
            </w:pPr>
            <w:r w:rsidRPr="00257462">
              <w:rPr>
                <w:rFonts w:cstheme="minorHAnsi"/>
                <w:sz w:val="20"/>
                <w:szCs w:val="20"/>
              </w:rPr>
              <w:t>970.5204-2</w:t>
            </w:r>
          </w:p>
        </w:tc>
        <w:tc>
          <w:tcPr>
            <w:tcW w:w="7902" w:type="dxa"/>
            <w:vAlign w:val="bottom"/>
          </w:tcPr>
          <w:p w:rsidR="00984C4B" w:rsidRPr="008C2ADE" w:rsidP="00EA1018" w14:paraId="2E627323" w14:textId="07969A49">
            <w:pPr>
              <w:spacing w:line="240" w:lineRule="auto"/>
              <w:jc w:val="left"/>
              <w:rPr>
                <w:rFonts w:cstheme="minorHAnsi"/>
                <w:strike/>
                <w:sz w:val="20"/>
                <w:szCs w:val="20"/>
              </w:rPr>
            </w:pPr>
            <w:r w:rsidRPr="00257462">
              <w:rPr>
                <w:rFonts w:cstheme="minorHAnsi"/>
                <w:sz w:val="20"/>
                <w:szCs w:val="20"/>
              </w:rPr>
              <w:t>Laws, regulations, and DOE directives.</w:t>
            </w:r>
          </w:p>
        </w:tc>
      </w:tr>
      <w:tr w14:paraId="2BFB7040" w14:textId="77777777" w:rsidTr="00EA1018">
        <w:tblPrEx>
          <w:tblW w:w="0" w:type="auto"/>
          <w:tblLook w:val="04A0"/>
        </w:tblPrEx>
        <w:tc>
          <w:tcPr>
            <w:tcW w:w="1434" w:type="dxa"/>
          </w:tcPr>
          <w:p w:rsidR="00984C4B" w:rsidRPr="00257462" w:rsidP="00EA1018" w14:paraId="06F6C215" w14:textId="02254FB5">
            <w:pPr>
              <w:spacing w:line="240" w:lineRule="auto"/>
              <w:rPr>
                <w:rFonts w:cstheme="minorHAnsi"/>
                <w:sz w:val="20"/>
                <w:szCs w:val="20"/>
              </w:rPr>
            </w:pPr>
            <w:r w:rsidRPr="00257462">
              <w:rPr>
                <w:rFonts w:cstheme="minorHAnsi"/>
                <w:sz w:val="20"/>
                <w:szCs w:val="20"/>
              </w:rPr>
              <w:t>970.5204-3</w:t>
            </w:r>
          </w:p>
        </w:tc>
        <w:tc>
          <w:tcPr>
            <w:tcW w:w="7902" w:type="dxa"/>
            <w:vAlign w:val="bottom"/>
          </w:tcPr>
          <w:p w:rsidR="00984C4B" w:rsidRPr="00257462" w:rsidP="00EA1018" w14:paraId="43804C49" w14:textId="0BDF69BC">
            <w:pPr>
              <w:spacing w:line="240" w:lineRule="auto"/>
              <w:jc w:val="left"/>
              <w:rPr>
                <w:rFonts w:cstheme="minorHAnsi"/>
                <w:sz w:val="20"/>
                <w:szCs w:val="20"/>
              </w:rPr>
            </w:pPr>
            <w:r w:rsidRPr="00257462">
              <w:rPr>
                <w:rFonts w:cstheme="minorHAnsi"/>
                <w:sz w:val="20"/>
                <w:szCs w:val="20"/>
              </w:rPr>
              <w:t>Access to and ownership of records.</w:t>
            </w:r>
          </w:p>
        </w:tc>
      </w:tr>
      <w:tr w14:paraId="7B3B7629" w14:textId="77777777" w:rsidTr="00EA1018">
        <w:tblPrEx>
          <w:tblW w:w="0" w:type="auto"/>
          <w:tblLook w:val="04A0"/>
        </w:tblPrEx>
        <w:tc>
          <w:tcPr>
            <w:tcW w:w="1434" w:type="dxa"/>
          </w:tcPr>
          <w:p w:rsidR="00984C4B" w:rsidRPr="00257462" w:rsidP="00EA1018" w14:paraId="680E1805" w14:textId="24622DB9">
            <w:pPr>
              <w:spacing w:line="240" w:lineRule="auto"/>
              <w:rPr>
                <w:rFonts w:cstheme="minorHAnsi"/>
                <w:sz w:val="20"/>
                <w:szCs w:val="20"/>
              </w:rPr>
            </w:pPr>
            <w:r w:rsidRPr="00257462">
              <w:rPr>
                <w:rFonts w:cstheme="minorHAnsi"/>
                <w:sz w:val="20"/>
                <w:szCs w:val="20"/>
              </w:rPr>
              <w:t>970.5211-1</w:t>
            </w:r>
          </w:p>
        </w:tc>
        <w:tc>
          <w:tcPr>
            <w:tcW w:w="7902" w:type="dxa"/>
            <w:vAlign w:val="bottom"/>
          </w:tcPr>
          <w:p w:rsidR="00984C4B" w:rsidRPr="00257462" w:rsidP="00EA1018" w14:paraId="7FBC70AC" w14:textId="1C93698E">
            <w:pPr>
              <w:spacing w:line="240" w:lineRule="auto"/>
              <w:jc w:val="left"/>
              <w:rPr>
                <w:rFonts w:cstheme="minorHAnsi"/>
                <w:sz w:val="20"/>
                <w:szCs w:val="20"/>
              </w:rPr>
            </w:pPr>
            <w:r w:rsidRPr="00257462">
              <w:rPr>
                <w:rFonts w:cstheme="minorHAnsi"/>
                <w:sz w:val="20"/>
                <w:szCs w:val="20"/>
              </w:rPr>
              <w:t>Work authorization.</w:t>
            </w:r>
          </w:p>
        </w:tc>
      </w:tr>
      <w:tr w14:paraId="2F0CBB7E" w14:textId="77777777" w:rsidTr="00EA1018">
        <w:tblPrEx>
          <w:tblW w:w="0" w:type="auto"/>
          <w:tblLook w:val="04A0"/>
        </w:tblPrEx>
        <w:tc>
          <w:tcPr>
            <w:tcW w:w="1434" w:type="dxa"/>
          </w:tcPr>
          <w:p w:rsidR="00984C4B" w:rsidRPr="00257462" w:rsidP="00EA1018" w14:paraId="3330F084" w14:textId="1C399F81">
            <w:pPr>
              <w:rPr>
                <w:rFonts w:cstheme="minorHAnsi"/>
                <w:sz w:val="20"/>
                <w:szCs w:val="20"/>
              </w:rPr>
            </w:pPr>
            <w:r w:rsidRPr="00257462">
              <w:rPr>
                <w:rFonts w:cstheme="minorHAnsi"/>
                <w:sz w:val="20"/>
                <w:szCs w:val="20"/>
              </w:rPr>
              <w:t>970.5215-1</w:t>
            </w:r>
          </w:p>
        </w:tc>
        <w:tc>
          <w:tcPr>
            <w:tcW w:w="7902" w:type="dxa"/>
            <w:vAlign w:val="bottom"/>
          </w:tcPr>
          <w:p w:rsidR="00984C4B" w:rsidRPr="00257462" w:rsidP="00EA1018" w14:paraId="7787C7E6" w14:textId="0F47EF58">
            <w:pPr>
              <w:jc w:val="left"/>
              <w:rPr>
                <w:rFonts w:cstheme="minorHAnsi"/>
                <w:sz w:val="20"/>
                <w:szCs w:val="20"/>
              </w:rPr>
            </w:pPr>
            <w:r w:rsidRPr="00257462">
              <w:rPr>
                <w:rFonts w:cstheme="minorHAnsi"/>
                <w:sz w:val="20"/>
                <w:szCs w:val="20"/>
              </w:rPr>
              <w:t>Total Available Fee: Base fee amount and performance fee amount.</w:t>
            </w:r>
          </w:p>
        </w:tc>
      </w:tr>
      <w:tr w14:paraId="134036E8" w14:textId="77777777" w:rsidTr="00EA1018">
        <w:tblPrEx>
          <w:tblW w:w="0" w:type="auto"/>
          <w:tblLook w:val="04A0"/>
        </w:tblPrEx>
        <w:tc>
          <w:tcPr>
            <w:tcW w:w="1434" w:type="dxa"/>
          </w:tcPr>
          <w:p w:rsidR="00252B03" w:rsidRPr="00257462" w:rsidP="00EA1018" w14:paraId="6B48DA88" w14:textId="089DFE85">
            <w:pPr>
              <w:rPr>
                <w:rFonts w:cstheme="minorHAnsi"/>
                <w:sz w:val="20"/>
                <w:szCs w:val="20"/>
              </w:rPr>
            </w:pPr>
            <w:r w:rsidRPr="00F63D9A">
              <w:rPr>
                <w:rFonts w:cstheme="minorHAnsi"/>
                <w:sz w:val="20"/>
                <w:szCs w:val="20"/>
              </w:rPr>
              <w:t>970.5217-2</w:t>
            </w:r>
          </w:p>
        </w:tc>
        <w:tc>
          <w:tcPr>
            <w:tcW w:w="7902" w:type="dxa"/>
            <w:vAlign w:val="bottom"/>
          </w:tcPr>
          <w:p w:rsidR="00252B03" w:rsidRPr="00257462" w:rsidP="00F63D9A" w14:paraId="64F48286" w14:textId="32B68171">
            <w:pPr>
              <w:jc w:val="left"/>
              <w:rPr>
                <w:rFonts w:cstheme="minorHAnsi"/>
                <w:sz w:val="20"/>
                <w:szCs w:val="20"/>
              </w:rPr>
            </w:pPr>
            <w:r w:rsidRPr="00F63D9A">
              <w:rPr>
                <w:rFonts w:cstheme="minorHAnsi"/>
                <w:sz w:val="20"/>
                <w:szCs w:val="20"/>
              </w:rPr>
              <w:t>Agreements for commercializing technology.</w:t>
            </w:r>
          </w:p>
        </w:tc>
      </w:tr>
      <w:tr w14:paraId="06770874" w14:textId="77777777" w:rsidTr="00EA1018">
        <w:tblPrEx>
          <w:tblW w:w="0" w:type="auto"/>
          <w:tblLook w:val="04A0"/>
        </w:tblPrEx>
        <w:tc>
          <w:tcPr>
            <w:tcW w:w="1434" w:type="dxa"/>
          </w:tcPr>
          <w:p w:rsidR="007F341B" w:rsidRPr="00F63D9A" w:rsidP="00EA1018" w14:paraId="4C9682AF" w14:textId="584E6DDF">
            <w:pPr>
              <w:rPr>
                <w:rFonts w:cstheme="minorHAnsi"/>
                <w:sz w:val="20"/>
                <w:szCs w:val="20"/>
              </w:rPr>
            </w:pPr>
            <w:r w:rsidRPr="00F26029">
              <w:rPr>
                <w:rFonts w:cstheme="minorHAnsi"/>
                <w:sz w:val="20"/>
                <w:szCs w:val="20"/>
              </w:rPr>
              <w:t>970.5219</w:t>
            </w:r>
          </w:p>
        </w:tc>
        <w:tc>
          <w:tcPr>
            <w:tcW w:w="7902" w:type="dxa"/>
            <w:vAlign w:val="bottom"/>
          </w:tcPr>
          <w:p w:rsidR="007F341B" w:rsidRPr="00F63D9A" w:rsidP="000339A2" w14:paraId="452062B1" w14:textId="0BE63E5B">
            <w:pPr>
              <w:jc w:val="left"/>
              <w:rPr>
                <w:rFonts w:cstheme="minorHAnsi"/>
                <w:sz w:val="20"/>
                <w:szCs w:val="20"/>
              </w:rPr>
            </w:pPr>
            <w:r w:rsidRPr="000339A2">
              <w:rPr>
                <w:rFonts w:cstheme="minorHAnsi"/>
                <w:sz w:val="20"/>
                <w:szCs w:val="20"/>
              </w:rPr>
              <w:t>Small business subcontracting plan.</w:t>
            </w:r>
          </w:p>
        </w:tc>
      </w:tr>
      <w:tr w14:paraId="0F8646F1" w14:textId="77777777" w:rsidTr="00EA1018">
        <w:tblPrEx>
          <w:tblW w:w="0" w:type="auto"/>
          <w:tblLook w:val="04A0"/>
        </w:tblPrEx>
        <w:tc>
          <w:tcPr>
            <w:tcW w:w="1434" w:type="dxa"/>
          </w:tcPr>
          <w:p w:rsidR="00E152AE" w:rsidRPr="00F63D9A" w:rsidP="00EA1018" w14:paraId="4EA74AEA" w14:textId="25B8CFF0">
            <w:pPr>
              <w:rPr>
                <w:rFonts w:cstheme="minorHAnsi"/>
                <w:sz w:val="20"/>
                <w:szCs w:val="20"/>
              </w:rPr>
            </w:pPr>
            <w:r w:rsidRPr="001F3B79">
              <w:rPr>
                <w:rFonts w:cstheme="minorHAnsi"/>
                <w:sz w:val="20"/>
                <w:szCs w:val="20"/>
              </w:rPr>
              <w:t>970.5222-4</w:t>
            </w:r>
          </w:p>
        </w:tc>
        <w:tc>
          <w:tcPr>
            <w:tcW w:w="7902" w:type="dxa"/>
            <w:vAlign w:val="bottom"/>
          </w:tcPr>
          <w:p w:rsidR="00E152AE" w:rsidRPr="00F63D9A" w:rsidP="0015539E" w14:paraId="02F1C103" w14:textId="182C9614">
            <w:pPr>
              <w:jc w:val="left"/>
              <w:rPr>
                <w:rFonts w:cstheme="minorHAnsi"/>
                <w:sz w:val="20"/>
                <w:szCs w:val="20"/>
              </w:rPr>
            </w:pPr>
            <w:r w:rsidRPr="0015539E">
              <w:rPr>
                <w:rFonts w:cstheme="minorHAnsi"/>
                <w:sz w:val="20"/>
                <w:szCs w:val="20"/>
              </w:rPr>
              <w:t>Unemployment compensation.</w:t>
            </w:r>
          </w:p>
        </w:tc>
      </w:tr>
      <w:tr w14:paraId="741D0980" w14:textId="77777777" w:rsidTr="00EA1018">
        <w:tblPrEx>
          <w:tblW w:w="0" w:type="auto"/>
          <w:tblLook w:val="04A0"/>
        </w:tblPrEx>
        <w:tc>
          <w:tcPr>
            <w:tcW w:w="1434" w:type="dxa"/>
          </w:tcPr>
          <w:p w:rsidR="00984C4B" w:rsidRPr="00257462" w:rsidP="00EA1018" w14:paraId="16818AD9" w14:textId="39022F9E">
            <w:pPr>
              <w:rPr>
                <w:rFonts w:cstheme="minorHAnsi"/>
                <w:sz w:val="20"/>
                <w:szCs w:val="20"/>
              </w:rPr>
            </w:pPr>
            <w:r w:rsidRPr="00257462">
              <w:rPr>
                <w:rFonts w:cstheme="minorHAnsi"/>
                <w:sz w:val="20"/>
                <w:szCs w:val="20"/>
              </w:rPr>
              <w:t>970.5223-1</w:t>
            </w:r>
          </w:p>
        </w:tc>
        <w:tc>
          <w:tcPr>
            <w:tcW w:w="7902" w:type="dxa"/>
            <w:vAlign w:val="bottom"/>
          </w:tcPr>
          <w:p w:rsidR="00984C4B" w:rsidRPr="00257462" w:rsidP="00EA1018" w14:paraId="02B8518C" w14:textId="54B4DD7C">
            <w:pPr>
              <w:jc w:val="left"/>
              <w:rPr>
                <w:rFonts w:cstheme="minorHAnsi"/>
                <w:sz w:val="20"/>
                <w:szCs w:val="20"/>
              </w:rPr>
            </w:pPr>
            <w:r w:rsidRPr="00257462">
              <w:rPr>
                <w:rFonts w:cstheme="minorHAnsi"/>
                <w:sz w:val="20"/>
                <w:szCs w:val="20"/>
              </w:rPr>
              <w:t>Integration of environment, safety, and health into work planning and execution.</w:t>
            </w:r>
          </w:p>
        </w:tc>
      </w:tr>
      <w:tr w14:paraId="5A7EBC30" w14:textId="77777777" w:rsidTr="00E0374D">
        <w:tblPrEx>
          <w:tblW w:w="0" w:type="auto"/>
          <w:tblLook w:val="04A0"/>
        </w:tblPrEx>
        <w:tc>
          <w:tcPr>
            <w:tcW w:w="1434" w:type="dxa"/>
          </w:tcPr>
          <w:p w:rsidR="00984C4B" w:rsidRPr="00257462" w:rsidP="00EA1018" w14:paraId="190262B3" w14:textId="3F626B75">
            <w:pPr>
              <w:spacing w:line="240" w:lineRule="auto"/>
              <w:rPr>
                <w:rFonts w:cstheme="minorHAnsi"/>
                <w:sz w:val="20"/>
                <w:szCs w:val="20"/>
              </w:rPr>
            </w:pPr>
            <w:r w:rsidRPr="00257462">
              <w:rPr>
                <w:rFonts w:cstheme="minorHAnsi"/>
                <w:sz w:val="20"/>
                <w:szCs w:val="20"/>
              </w:rPr>
              <w:t>970.5226-1</w:t>
            </w:r>
          </w:p>
        </w:tc>
        <w:tc>
          <w:tcPr>
            <w:tcW w:w="7902" w:type="dxa"/>
          </w:tcPr>
          <w:p w:rsidR="00984C4B" w:rsidRPr="00257462" w:rsidP="00EA1018" w14:paraId="0B912680" w14:textId="54C60D7A">
            <w:pPr>
              <w:spacing w:line="240" w:lineRule="auto"/>
              <w:jc w:val="left"/>
              <w:rPr>
                <w:rFonts w:cstheme="minorHAnsi"/>
                <w:sz w:val="20"/>
                <w:szCs w:val="20"/>
              </w:rPr>
            </w:pPr>
            <w:r w:rsidRPr="00257462">
              <w:rPr>
                <w:rFonts w:cstheme="minorHAnsi"/>
                <w:sz w:val="20"/>
                <w:szCs w:val="20"/>
              </w:rPr>
              <w:t>Diversity plan.</w:t>
            </w:r>
            <w:r w:rsidRPr="007034DB" w:rsidR="007034DB">
              <w:rPr>
                <w:rFonts w:cstheme="minorHAnsi"/>
                <w:sz w:val="20"/>
                <w:szCs w:val="20"/>
                <w:vertAlign w:val="superscript"/>
              </w:rPr>
              <w:t>1</w:t>
            </w:r>
          </w:p>
        </w:tc>
      </w:tr>
      <w:tr w14:paraId="70C70C88" w14:textId="77777777" w:rsidTr="00E0374D">
        <w:tblPrEx>
          <w:tblW w:w="0" w:type="auto"/>
          <w:tblLook w:val="04A0"/>
        </w:tblPrEx>
        <w:tc>
          <w:tcPr>
            <w:tcW w:w="1434" w:type="dxa"/>
          </w:tcPr>
          <w:p w:rsidR="00984C4B" w:rsidRPr="003E78AF" w:rsidP="00EA1018" w14:paraId="4B066669" w14:textId="163552FF">
            <w:pPr>
              <w:spacing w:line="240" w:lineRule="auto"/>
              <w:rPr>
                <w:rFonts w:cstheme="minorHAnsi"/>
                <w:strike/>
                <w:sz w:val="20"/>
                <w:szCs w:val="20"/>
              </w:rPr>
            </w:pPr>
            <w:r w:rsidRPr="00257462">
              <w:rPr>
                <w:rFonts w:cstheme="minorHAnsi"/>
                <w:sz w:val="20"/>
                <w:szCs w:val="20"/>
              </w:rPr>
              <w:t>970.5227-1</w:t>
            </w:r>
          </w:p>
        </w:tc>
        <w:tc>
          <w:tcPr>
            <w:tcW w:w="7902" w:type="dxa"/>
            <w:vAlign w:val="bottom"/>
          </w:tcPr>
          <w:p w:rsidR="00984C4B" w:rsidRPr="003E78AF" w:rsidP="00EA1018" w14:paraId="4F93B657" w14:textId="0A4884F5">
            <w:pPr>
              <w:spacing w:line="240" w:lineRule="auto"/>
              <w:jc w:val="left"/>
              <w:rPr>
                <w:rFonts w:cstheme="minorHAnsi"/>
                <w:strike/>
                <w:sz w:val="20"/>
                <w:szCs w:val="20"/>
              </w:rPr>
            </w:pPr>
            <w:r w:rsidRPr="00257462">
              <w:rPr>
                <w:rFonts w:cstheme="minorHAnsi"/>
                <w:sz w:val="20"/>
                <w:szCs w:val="20"/>
              </w:rPr>
              <w:t>Rights in data-facilities.</w:t>
            </w:r>
          </w:p>
        </w:tc>
      </w:tr>
      <w:tr w14:paraId="744B7093" w14:textId="77777777" w:rsidTr="00E0374D">
        <w:tblPrEx>
          <w:tblW w:w="0" w:type="auto"/>
          <w:tblLook w:val="04A0"/>
        </w:tblPrEx>
        <w:tc>
          <w:tcPr>
            <w:tcW w:w="1434" w:type="dxa"/>
          </w:tcPr>
          <w:p w:rsidR="00984C4B" w:rsidRPr="00257462" w:rsidP="00EA1018" w14:paraId="1F38B0F3" w14:textId="689758D9">
            <w:pPr>
              <w:rPr>
                <w:rFonts w:cstheme="minorHAnsi"/>
                <w:sz w:val="20"/>
                <w:szCs w:val="20"/>
              </w:rPr>
            </w:pPr>
            <w:r w:rsidRPr="00257462">
              <w:rPr>
                <w:rFonts w:cstheme="minorHAnsi"/>
                <w:sz w:val="20"/>
                <w:szCs w:val="20"/>
              </w:rPr>
              <w:t>970.5227-2</w:t>
            </w:r>
          </w:p>
        </w:tc>
        <w:tc>
          <w:tcPr>
            <w:tcW w:w="7902" w:type="dxa"/>
          </w:tcPr>
          <w:p w:rsidR="00984C4B" w:rsidRPr="00257462" w:rsidP="00EA1018" w14:paraId="5CE91159" w14:textId="3B645F02">
            <w:pPr>
              <w:jc w:val="left"/>
              <w:rPr>
                <w:rFonts w:cstheme="minorHAnsi"/>
                <w:sz w:val="20"/>
                <w:szCs w:val="20"/>
              </w:rPr>
            </w:pPr>
            <w:r w:rsidRPr="00257462">
              <w:rPr>
                <w:rFonts w:cstheme="minorHAnsi"/>
                <w:sz w:val="20"/>
                <w:szCs w:val="20"/>
              </w:rPr>
              <w:t>Rights in data-technology transfer.</w:t>
            </w:r>
          </w:p>
        </w:tc>
      </w:tr>
      <w:tr w14:paraId="2DEC71D9" w14:textId="77777777" w:rsidTr="00C43EE9">
        <w:tblPrEx>
          <w:tblW w:w="0" w:type="auto"/>
          <w:tblLook w:val="04A0"/>
        </w:tblPrEx>
        <w:tc>
          <w:tcPr>
            <w:tcW w:w="1434" w:type="dxa"/>
          </w:tcPr>
          <w:p w:rsidR="00984C4B" w:rsidRPr="00257462" w:rsidP="00EA1018" w14:paraId="0D2AB12A" w14:textId="7E1D6140">
            <w:pPr>
              <w:rPr>
                <w:rFonts w:cstheme="minorHAnsi"/>
                <w:sz w:val="20"/>
                <w:szCs w:val="20"/>
              </w:rPr>
            </w:pPr>
            <w:r w:rsidRPr="00257462">
              <w:rPr>
                <w:rFonts w:cstheme="minorHAnsi"/>
                <w:sz w:val="20"/>
                <w:szCs w:val="20"/>
              </w:rPr>
              <w:t>970.5227-3</w:t>
            </w:r>
          </w:p>
        </w:tc>
        <w:tc>
          <w:tcPr>
            <w:tcW w:w="7902" w:type="dxa"/>
          </w:tcPr>
          <w:p w:rsidR="00984C4B" w:rsidRPr="00257462" w:rsidP="00EA1018" w14:paraId="39DB522E" w14:textId="62934AA4">
            <w:pPr>
              <w:jc w:val="left"/>
              <w:rPr>
                <w:rFonts w:cstheme="minorHAnsi"/>
                <w:sz w:val="20"/>
                <w:szCs w:val="20"/>
              </w:rPr>
            </w:pPr>
            <w:r w:rsidRPr="00257462">
              <w:rPr>
                <w:rFonts w:cstheme="minorHAnsi"/>
                <w:sz w:val="20"/>
                <w:szCs w:val="20"/>
              </w:rPr>
              <w:t>Technology transfer mission.</w:t>
            </w:r>
          </w:p>
        </w:tc>
      </w:tr>
      <w:tr w14:paraId="475E20EA" w14:textId="77777777" w:rsidTr="00EA1018">
        <w:tblPrEx>
          <w:tblW w:w="0" w:type="auto"/>
          <w:tblLook w:val="04A0"/>
        </w:tblPrEx>
        <w:tc>
          <w:tcPr>
            <w:tcW w:w="1434" w:type="dxa"/>
          </w:tcPr>
          <w:p w:rsidR="00984C4B" w:rsidRPr="00257462" w:rsidP="00EA1018" w14:paraId="62D86214" w14:textId="60D11A88">
            <w:pPr>
              <w:rPr>
                <w:rFonts w:cstheme="minorHAnsi"/>
                <w:sz w:val="20"/>
                <w:szCs w:val="20"/>
              </w:rPr>
            </w:pPr>
            <w:r w:rsidRPr="00257462">
              <w:rPr>
                <w:rFonts w:cstheme="minorHAnsi"/>
                <w:sz w:val="20"/>
                <w:szCs w:val="20"/>
              </w:rPr>
              <w:t>970.5227-10</w:t>
            </w:r>
          </w:p>
        </w:tc>
        <w:tc>
          <w:tcPr>
            <w:tcW w:w="7902" w:type="dxa"/>
          </w:tcPr>
          <w:p w:rsidR="00984C4B" w:rsidRPr="00257462" w:rsidP="00EA1018" w14:paraId="223787B6" w14:textId="306C6E7F">
            <w:pPr>
              <w:jc w:val="left"/>
              <w:rPr>
                <w:rFonts w:cstheme="minorHAnsi"/>
                <w:sz w:val="20"/>
                <w:szCs w:val="20"/>
              </w:rPr>
            </w:pPr>
            <w:r w:rsidRPr="00257462">
              <w:rPr>
                <w:rFonts w:cstheme="minorHAnsi"/>
                <w:sz w:val="20"/>
                <w:szCs w:val="20"/>
              </w:rPr>
              <w:t>Patent rights-management and operating contracts, nonprofit organization or small business firm contractor.</w:t>
            </w:r>
          </w:p>
        </w:tc>
      </w:tr>
      <w:tr w14:paraId="76907F36" w14:textId="77777777" w:rsidTr="00E0374D">
        <w:tblPrEx>
          <w:tblW w:w="0" w:type="auto"/>
          <w:tblLook w:val="04A0"/>
        </w:tblPrEx>
        <w:tc>
          <w:tcPr>
            <w:tcW w:w="1434" w:type="dxa"/>
          </w:tcPr>
          <w:p w:rsidR="00984C4B" w:rsidRPr="00257462" w:rsidP="00EA1018" w14:paraId="01219C02" w14:textId="56517A4F">
            <w:pPr>
              <w:rPr>
                <w:rFonts w:cstheme="minorHAnsi"/>
                <w:sz w:val="20"/>
                <w:szCs w:val="20"/>
              </w:rPr>
            </w:pPr>
            <w:r w:rsidRPr="00257462">
              <w:rPr>
                <w:rFonts w:cstheme="minorHAnsi"/>
                <w:sz w:val="20"/>
                <w:szCs w:val="20"/>
              </w:rPr>
              <w:t>970.5227-11</w:t>
            </w:r>
          </w:p>
        </w:tc>
        <w:tc>
          <w:tcPr>
            <w:tcW w:w="7902" w:type="dxa"/>
            <w:vAlign w:val="bottom"/>
          </w:tcPr>
          <w:p w:rsidR="00984C4B" w:rsidRPr="00257462" w:rsidP="00EA1018" w14:paraId="016ABAE4" w14:textId="125801E2">
            <w:pPr>
              <w:jc w:val="left"/>
              <w:rPr>
                <w:rFonts w:cstheme="minorHAnsi"/>
                <w:sz w:val="20"/>
                <w:szCs w:val="20"/>
              </w:rPr>
            </w:pPr>
            <w:r w:rsidRPr="00257462">
              <w:rPr>
                <w:rFonts w:cstheme="minorHAnsi"/>
                <w:sz w:val="20"/>
                <w:szCs w:val="20"/>
              </w:rPr>
              <w:t>Patent rights-management and operating contracts, for-profit contractor, non-technology transfer.</w:t>
            </w:r>
          </w:p>
        </w:tc>
      </w:tr>
      <w:tr w14:paraId="63202B54" w14:textId="77777777" w:rsidTr="00C43EE9">
        <w:tblPrEx>
          <w:tblW w:w="0" w:type="auto"/>
          <w:tblLook w:val="04A0"/>
        </w:tblPrEx>
        <w:tc>
          <w:tcPr>
            <w:tcW w:w="1434" w:type="dxa"/>
          </w:tcPr>
          <w:p w:rsidR="00984C4B" w:rsidRPr="00257462" w:rsidP="00EA1018" w14:paraId="206D43C6" w14:textId="04130DD0">
            <w:pPr>
              <w:rPr>
                <w:rFonts w:cstheme="minorHAnsi"/>
                <w:sz w:val="20"/>
                <w:szCs w:val="20"/>
              </w:rPr>
            </w:pPr>
            <w:r w:rsidRPr="00257462">
              <w:rPr>
                <w:rFonts w:cstheme="minorHAnsi"/>
                <w:sz w:val="20"/>
                <w:szCs w:val="20"/>
              </w:rPr>
              <w:t>970.5227-12</w:t>
            </w:r>
          </w:p>
        </w:tc>
        <w:tc>
          <w:tcPr>
            <w:tcW w:w="7902" w:type="dxa"/>
            <w:vAlign w:val="bottom"/>
          </w:tcPr>
          <w:p w:rsidR="00984C4B" w:rsidRPr="00257462" w:rsidP="00EA1018" w14:paraId="1ACDC58B" w14:textId="71A40074">
            <w:pPr>
              <w:spacing w:line="240" w:lineRule="auto"/>
              <w:jc w:val="left"/>
              <w:rPr>
                <w:rFonts w:cstheme="minorHAnsi"/>
                <w:sz w:val="20"/>
                <w:szCs w:val="20"/>
              </w:rPr>
            </w:pPr>
            <w:r w:rsidRPr="00257462">
              <w:rPr>
                <w:rFonts w:cstheme="minorHAnsi"/>
                <w:sz w:val="20"/>
                <w:szCs w:val="20"/>
              </w:rPr>
              <w:t>Patent rights-management and operating contracts, for-profit contractor, advance class waiver.</w:t>
            </w:r>
          </w:p>
        </w:tc>
      </w:tr>
      <w:tr w14:paraId="42940224" w14:textId="77777777" w:rsidTr="00EA1018">
        <w:tblPrEx>
          <w:tblW w:w="0" w:type="auto"/>
          <w:tblLook w:val="04A0"/>
        </w:tblPrEx>
        <w:tc>
          <w:tcPr>
            <w:tcW w:w="1434" w:type="dxa"/>
          </w:tcPr>
          <w:p w:rsidR="00984C4B" w:rsidRPr="00257462" w:rsidP="00EA1018" w14:paraId="642B1A71" w14:textId="40F2EFA6">
            <w:pPr>
              <w:rPr>
                <w:rFonts w:cstheme="minorHAnsi"/>
                <w:sz w:val="20"/>
                <w:szCs w:val="20"/>
              </w:rPr>
            </w:pPr>
            <w:r w:rsidRPr="00257462">
              <w:rPr>
                <w:rFonts w:cstheme="minorHAnsi"/>
                <w:sz w:val="20"/>
                <w:szCs w:val="20"/>
              </w:rPr>
              <w:t>970.5228-1</w:t>
            </w:r>
          </w:p>
        </w:tc>
        <w:tc>
          <w:tcPr>
            <w:tcW w:w="7902" w:type="dxa"/>
            <w:vAlign w:val="bottom"/>
          </w:tcPr>
          <w:p w:rsidR="00984C4B" w:rsidRPr="00257462" w:rsidP="00EA1018" w14:paraId="64A25497" w14:textId="3E0919CB">
            <w:pPr>
              <w:jc w:val="left"/>
              <w:rPr>
                <w:rFonts w:cstheme="minorHAnsi"/>
                <w:sz w:val="20"/>
                <w:szCs w:val="20"/>
              </w:rPr>
            </w:pPr>
            <w:r w:rsidRPr="00257462">
              <w:rPr>
                <w:rFonts w:cstheme="minorHAnsi"/>
                <w:sz w:val="20"/>
                <w:szCs w:val="20"/>
              </w:rPr>
              <w:t>Insurance-Litigation and claims.</w:t>
            </w:r>
          </w:p>
        </w:tc>
      </w:tr>
      <w:tr w14:paraId="1E78AE68" w14:textId="77777777" w:rsidTr="00EA1018">
        <w:tblPrEx>
          <w:tblW w:w="0" w:type="auto"/>
          <w:tblLook w:val="04A0"/>
        </w:tblPrEx>
        <w:tc>
          <w:tcPr>
            <w:tcW w:w="1434" w:type="dxa"/>
          </w:tcPr>
          <w:p w:rsidR="00984C4B" w:rsidRPr="00257462" w:rsidP="00EA1018" w14:paraId="4322FE63" w14:textId="769C81BA">
            <w:pPr>
              <w:rPr>
                <w:rFonts w:cstheme="minorHAnsi"/>
                <w:sz w:val="20"/>
                <w:szCs w:val="20"/>
              </w:rPr>
            </w:pPr>
            <w:r w:rsidRPr="00257462">
              <w:rPr>
                <w:rFonts w:cstheme="minorHAnsi"/>
                <w:sz w:val="20"/>
                <w:szCs w:val="20"/>
              </w:rPr>
              <w:t>970.5229-1</w:t>
            </w:r>
          </w:p>
        </w:tc>
        <w:tc>
          <w:tcPr>
            <w:tcW w:w="7902" w:type="dxa"/>
            <w:vAlign w:val="bottom"/>
          </w:tcPr>
          <w:p w:rsidR="00984C4B" w:rsidRPr="00257462" w:rsidP="00EA1018" w14:paraId="3085F79A" w14:textId="7289E8B6">
            <w:pPr>
              <w:jc w:val="left"/>
              <w:rPr>
                <w:rFonts w:cstheme="minorHAnsi"/>
                <w:sz w:val="20"/>
                <w:szCs w:val="20"/>
              </w:rPr>
            </w:pPr>
            <w:r w:rsidRPr="00257462">
              <w:rPr>
                <w:rFonts w:cstheme="minorHAnsi"/>
                <w:sz w:val="20"/>
                <w:szCs w:val="20"/>
              </w:rPr>
              <w:t>State and local taxes.</w:t>
            </w:r>
          </w:p>
        </w:tc>
      </w:tr>
      <w:tr w14:paraId="336C0EBC" w14:textId="77777777" w:rsidTr="00EA1018">
        <w:tblPrEx>
          <w:tblW w:w="0" w:type="auto"/>
          <w:tblLook w:val="04A0"/>
        </w:tblPrEx>
        <w:tc>
          <w:tcPr>
            <w:tcW w:w="1434" w:type="dxa"/>
          </w:tcPr>
          <w:p w:rsidR="00984C4B" w:rsidRPr="00257462" w:rsidP="00EA1018" w14:paraId="16C78EFF" w14:textId="4968B4A4">
            <w:pPr>
              <w:spacing w:line="240" w:lineRule="auto"/>
              <w:rPr>
                <w:rFonts w:cstheme="minorHAnsi"/>
                <w:sz w:val="20"/>
                <w:szCs w:val="20"/>
              </w:rPr>
            </w:pPr>
            <w:r w:rsidRPr="00257462">
              <w:rPr>
                <w:rFonts w:cstheme="minorHAnsi"/>
                <w:sz w:val="20"/>
                <w:szCs w:val="20"/>
              </w:rPr>
              <w:t>970.5232-2</w:t>
            </w:r>
          </w:p>
        </w:tc>
        <w:tc>
          <w:tcPr>
            <w:tcW w:w="7902" w:type="dxa"/>
            <w:vAlign w:val="bottom"/>
          </w:tcPr>
          <w:p w:rsidR="00984C4B" w:rsidRPr="00257462" w:rsidP="00EA1018" w14:paraId="00C57D7F" w14:textId="4089F83A">
            <w:pPr>
              <w:spacing w:line="240" w:lineRule="auto"/>
              <w:jc w:val="left"/>
              <w:rPr>
                <w:rFonts w:cstheme="minorHAnsi"/>
                <w:sz w:val="20"/>
                <w:szCs w:val="20"/>
              </w:rPr>
            </w:pPr>
            <w:r w:rsidRPr="00257462">
              <w:rPr>
                <w:rFonts w:cstheme="minorHAnsi"/>
                <w:sz w:val="20"/>
                <w:szCs w:val="20"/>
              </w:rPr>
              <w:t>Payments and advances.</w:t>
            </w:r>
          </w:p>
        </w:tc>
      </w:tr>
      <w:tr w14:paraId="1BF95BA6" w14:textId="77777777" w:rsidTr="00EA1018">
        <w:tblPrEx>
          <w:tblW w:w="0" w:type="auto"/>
          <w:tblLook w:val="04A0"/>
        </w:tblPrEx>
        <w:tc>
          <w:tcPr>
            <w:tcW w:w="1434" w:type="dxa"/>
          </w:tcPr>
          <w:p w:rsidR="00984C4B" w:rsidRPr="00257462" w:rsidP="00EA1018" w14:paraId="537E1278" w14:textId="34078089">
            <w:pPr>
              <w:spacing w:line="240" w:lineRule="auto"/>
              <w:rPr>
                <w:rFonts w:cstheme="minorHAnsi"/>
                <w:sz w:val="20"/>
                <w:szCs w:val="20"/>
              </w:rPr>
            </w:pPr>
            <w:r w:rsidRPr="00257462">
              <w:rPr>
                <w:rFonts w:cstheme="minorHAnsi"/>
                <w:sz w:val="20"/>
                <w:szCs w:val="20"/>
              </w:rPr>
              <w:t>970.5232-3</w:t>
            </w:r>
          </w:p>
        </w:tc>
        <w:tc>
          <w:tcPr>
            <w:tcW w:w="7902" w:type="dxa"/>
            <w:vAlign w:val="bottom"/>
          </w:tcPr>
          <w:p w:rsidR="00984C4B" w:rsidRPr="00257462" w:rsidP="00EA1018" w14:paraId="26977893" w14:textId="4B08B222">
            <w:pPr>
              <w:spacing w:line="240" w:lineRule="auto"/>
              <w:jc w:val="left"/>
              <w:rPr>
                <w:rFonts w:cstheme="minorHAnsi"/>
                <w:sz w:val="20"/>
                <w:szCs w:val="20"/>
              </w:rPr>
            </w:pPr>
            <w:r w:rsidRPr="00257462">
              <w:rPr>
                <w:rFonts w:cstheme="minorHAnsi"/>
                <w:sz w:val="20"/>
                <w:szCs w:val="20"/>
              </w:rPr>
              <w:t>Accounts, records, and inspection.</w:t>
            </w:r>
          </w:p>
        </w:tc>
      </w:tr>
      <w:tr w14:paraId="081F49B9" w14:textId="77777777" w:rsidTr="00EA1018">
        <w:tblPrEx>
          <w:tblW w:w="0" w:type="auto"/>
          <w:tblLook w:val="04A0"/>
        </w:tblPrEx>
        <w:tc>
          <w:tcPr>
            <w:tcW w:w="1434" w:type="dxa"/>
          </w:tcPr>
          <w:p w:rsidR="00984C4B" w:rsidRPr="00257462" w:rsidP="00EA1018" w14:paraId="483DA447" w14:textId="3D193D1A">
            <w:pPr>
              <w:spacing w:line="240" w:lineRule="auto"/>
              <w:rPr>
                <w:rFonts w:cstheme="minorHAnsi"/>
                <w:sz w:val="20"/>
                <w:szCs w:val="20"/>
              </w:rPr>
            </w:pPr>
            <w:r w:rsidRPr="00257462">
              <w:rPr>
                <w:rFonts w:cstheme="minorHAnsi"/>
                <w:sz w:val="20"/>
                <w:szCs w:val="20"/>
              </w:rPr>
              <w:t>970.5236-1</w:t>
            </w:r>
          </w:p>
        </w:tc>
        <w:tc>
          <w:tcPr>
            <w:tcW w:w="7902" w:type="dxa"/>
            <w:vAlign w:val="bottom"/>
          </w:tcPr>
          <w:p w:rsidR="00984C4B" w:rsidRPr="00257462" w:rsidP="00EA1018" w14:paraId="7FD421BD" w14:textId="0C411499">
            <w:pPr>
              <w:spacing w:line="240" w:lineRule="auto"/>
              <w:jc w:val="left"/>
              <w:rPr>
                <w:rFonts w:cstheme="minorHAnsi"/>
                <w:sz w:val="20"/>
                <w:szCs w:val="20"/>
              </w:rPr>
            </w:pPr>
            <w:r w:rsidRPr="00257462">
              <w:rPr>
                <w:rFonts w:cstheme="minorHAnsi"/>
                <w:sz w:val="20"/>
                <w:szCs w:val="20"/>
              </w:rPr>
              <w:t>Government facility subcontract approval.</w:t>
            </w:r>
          </w:p>
        </w:tc>
      </w:tr>
      <w:tr w14:paraId="042A2C2F" w14:textId="77777777" w:rsidTr="00EA1018">
        <w:tblPrEx>
          <w:tblW w:w="0" w:type="auto"/>
          <w:tblLook w:val="04A0"/>
        </w:tblPrEx>
        <w:tc>
          <w:tcPr>
            <w:tcW w:w="1434" w:type="dxa"/>
          </w:tcPr>
          <w:p w:rsidR="00984C4B" w:rsidRPr="00257462" w:rsidP="00EA1018" w14:paraId="335BEDA3" w14:textId="580B1EE3">
            <w:pPr>
              <w:spacing w:line="240" w:lineRule="auto"/>
              <w:rPr>
                <w:rFonts w:cstheme="minorHAnsi"/>
                <w:sz w:val="20"/>
                <w:szCs w:val="20"/>
              </w:rPr>
            </w:pPr>
            <w:r w:rsidRPr="00257462">
              <w:rPr>
                <w:rFonts w:cstheme="minorHAnsi"/>
                <w:sz w:val="20"/>
                <w:szCs w:val="20"/>
              </w:rPr>
              <w:t>970.5243-1</w:t>
            </w:r>
          </w:p>
        </w:tc>
        <w:tc>
          <w:tcPr>
            <w:tcW w:w="7902" w:type="dxa"/>
            <w:vAlign w:val="bottom"/>
          </w:tcPr>
          <w:p w:rsidR="00984C4B" w:rsidRPr="00257462" w:rsidP="00EA1018" w14:paraId="68B85F3A" w14:textId="29B141F7">
            <w:pPr>
              <w:spacing w:line="240" w:lineRule="auto"/>
              <w:jc w:val="left"/>
              <w:rPr>
                <w:rFonts w:cstheme="minorHAnsi"/>
                <w:sz w:val="20"/>
                <w:szCs w:val="20"/>
              </w:rPr>
            </w:pPr>
            <w:r w:rsidRPr="00257462">
              <w:rPr>
                <w:rFonts w:cstheme="minorHAnsi"/>
                <w:sz w:val="20"/>
                <w:szCs w:val="20"/>
              </w:rPr>
              <w:t>Changes.</w:t>
            </w:r>
          </w:p>
        </w:tc>
      </w:tr>
      <w:tr w14:paraId="5D571B11" w14:textId="77777777" w:rsidTr="00EA1018">
        <w:tblPrEx>
          <w:tblW w:w="0" w:type="auto"/>
          <w:tblLook w:val="04A0"/>
        </w:tblPrEx>
        <w:tc>
          <w:tcPr>
            <w:tcW w:w="1434" w:type="dxa"/>
          </w:tcPr>
          <w:p w:rsidR="00984C4B" w:rsidRPr="00257462" w:rsidP="00EA1018" w14:paraId="60EDC111" w14:textId="7768908D">
            <w:pPr>
              <w:spacing w:line="240" w:lineRule="auto"/>
              <w:rPr>
                <w:rFonts w:cstheme="minorHAnsi"/>
                <w:sz w:val="20"/>
                <w:szCs w:val="20"/>
              </w:rPr>
            </w:pPr>
            <w:r w:rsidRPr="00257462">
              <w:rPr>
                <w:rFonts w:cstheme="minorHAnsi"/>
                <w:sz w:val="20"/>
                <w:szCs w:val="20"/>
              </w:rPr>
              <w:t>970.5245-1</w:t>
            </w:r>
          </w:p>
        </w:tc>
        <w:tc>
          <w:tcPr>
            <w:tcW w:w="7902" w:type="dxa"/>
            <w:vAlign w:val="bottom"/>
          </w:tcPr>
          <w:p w:rsidR="00984C4B" w:rsidRPr="00257462" w:rsidP="00EA1018" w14:paraId="1C1499A5" w14:textId="67657BDD">
            <w:pPr>
              <w:spacing w:line="240" w:lineRule="auto"/>
              <w:jc w:val="left"/>
              <w:rPr>
                <w:rFonts w:cstheme="minorHAnsi"/>
                <w:sz w:val="20"/>
                <w:szCs w:val="20"/>
              </w:rPr>
            </w:pPr>
            <w:r w:rsidRPr="00257462">
              <w:rPr>
                <w:rFonts w:cstheme="minorHAnsi"/>
                <w:sz w:val="20"/>
                <w:szCs w:val="20"/>
              </w:rPr>
              <w:t>Property.</w:t>
            </w:r>
          </w:p>
        </w:tc>
      </w:tr>
    </w:tbl>
    <w:p w:rsidR="00CD03ED" w:rsidP="00825553" w14:paraId="532C8685" w14:textId="10F74981">
      <w:pPr>
        <w:spacing w:before="240"/>
      </w:pPr>
      <w:r w:rsidRPr="007034DB">
        <w:rPr>
          <w:vertAlign w:val="superscript"/>
        </w:rPr>
        <w:t>1</w:t>
      </w:r>
      <w:r>
        <w:t xml:space="preserve"> </w:t>
      </w:r>
      <w:r w:rsidR="00BF3F5C">
        <w:t xml:space="preserve">There’s currently a class deviation in place for </w:t>
      </w:r>
      <w:r w:rsidR="001D13C3">
        <w:t xml:space="preserve">clause </w:t>
      </w:r>
      <w:r w:rsidRPr="001D13C3" w:rsidR="001D13C3">
        <w:t>970.5226-1</w:t>
      </w:r>
      <w:r w:rsidR="001D13C3">
        <w:t xml:space="preserve"> </w:t>
      </w:r>
      <w:r w:rsidRPr="001D13C3" w:rsidR="001D13C3">
        <w:t>Diversity plan</w:t>
      </w:r>
      <w:r w:rsidR="001D13C3">
        <w:t xml:space="preserve">, which requires </w:t>
      </w:r>
      <w:r w:rsidR="00825553">
        <w:t>Contracting Officers to notify affected contractors that the Department will no longer enforce this clause and that they should not submit such plans or any updates to such plans, and modify affected solicitations and contracts to remove the clause as soon as practicable.</w:t>
      </w:r>
    </w:p>
    <w:p w:rsidR="008C734C" w:rsidP="008C734C" w14:paraId="148ABAB1" w14:textId="77777777">
      <w:pPr>
        <w:pStyle w:val="Heading2"/>
      </w:pPr>
      <w:bookmarkStart w:id="2" w:name="_Toc16271319"/>
      <w:r>
        <w:t>A.1. Legal Justification</w:t>
      </w:r>
      <w:bookmarkEnd w:id="2"/>
    </w:p>
    <w:p w:rsidR="00A41763" w:rsidRPr="00A41763" w:rsidP="00A41763" w14:paraId="2928E63A"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D26E11" w:rsidRPr="00D26E11" w:rsidP="00D26E11" w14:paraId="238AF592" w14:textId="04D74961">
      <w:r w:rsidRPr="00D26E11">
        <w:t xml:space="preserve">The basic authority for </w:t>
      </w:r>
      <w:r w:rsidRPr="00D26E11" w:rsidR="00D414F0">
        <w:t>collecting</w:t>
      </w:r>
      <w:r w:rsidRPr="00D26E11">
        <w:t xml:space="preserve"> this data is the statute establishing the Department of Energy ("Department of Energy Organization Act," Public Law 95-91, of August 4, 1977).  It vests the Secretary of Energy with the executive direction and management function, authority, and responsibilities for the Department, including contract management.  The provisions of 42 U.S.C § 7254 state "</w:t>
      </w:r>
      <w:r w:rsidR="005D36CE">
        <w:t>[</w:t>
      </w:r>
      <w:r w:rsidR="00693F99">
        <w:t>t]</w:t>
      </w:r>
      <w:r w:rsidRPr="00D26E11">
        <w:t>he Secretary is authorized to prescribe such procedural and administrative rules and regulations as he may deem necessary or appropriate to administer and manage the functions now or hereafter vested in him”; and 42 U.S.C § 7256 (a) "</w:t>
      </w:r>
      <w:r w:rsidR="00693F99">
        <w:t>[t]</w:t>
      </w:r>
      <w:r w:rsidRPr="00D26E11">
        <w:t xml:space="preserve">he Secretary is authorized to enter into and perform such contracts, leases, cooperative agreements, or other similar transactions with public agencies and private organizations and persons, and to make such payments (in lump sum or installments, and by way of advance or </w:t>
      </w:r>
      <w:r w:rsidRPr="00D26E11">
        <w:t xml:space="preserve">reimbursement) as he may deem to be necessary or appropriate to carry out functions now or here after vested in the Secretary."  </w:t>
      </w:r>
    </w:p>
    <w:p w:rsidR="008C734C" w:rsidP="00E65A9B" w14:paraId="586C4610" w14:textId="24FB9FEF">
      <w:r w:rsidRPr="00D26E11">
        <w:t xml:space="preserve">DOE is already collecting this information as required by the DEAR codified at Chapter 9 of Title 48 of the Code of Federal Regulations.  The DEAR is authorized by section 644 of the Department of Energy Organization Act, 42 U.S.C. § 7254, as well as section 205(c) of the Federal Property and Administrative Services Act, 40 U.S.C. 486(c).  The DEAR implements and supplements the Federal Acquisition Regulation (FAR) authorized by the Office of Federal Procurement Policy Act, 41 U.S.C. 405.  </w:t>
      </w:r>
    </w:p>
    <w:p w:rsidR="008C734C" w:rsidP="008C734C" w14:paraId="4CC8B66B" w14:textId="77777777">
      <w:pPr>
        <w:pStyle w:val="Heading2"/>
      </w:pPr>
      <w:bookmarkStart w:id="3" w:name="_Toc16271320"/>
      <w:r>
        <w:t>A.2. Needs and Uses of Data</w:t>
      </w:r>
      <w:bookmarkEnd w:id="3"/>
    </w:p>
    <w:p w:rsidR="00A41763" w:rsidRPr="00A41763" w:rsidP="00A41763" w14:paraId="4B0B0235"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E602CE" w:rsidP="00E602CE" w14:paraId="701DADF4" w14:textId="614DA591">
      <w:pPr>
        <w:spacing w:after="0" w:line="276" w:lineRule="auto"/>
        <w:rPr>
          <w:rFonts w:cstheme="minorHAnsi"/>
          <w:color w:val="000000"/>
          <w:shd w:val="clear" w:color="auto" w:fill="FFFFFF"/>
        </w:rPr>
      </w:pPr>
      <w:bookmarkStart w:id="4" w:name="_Toc16271321"/>
      <w:r w:rsidRPr="0024328A">
        <w:t xml:space="preserve">DEAR Part </w:t>
      </w:r>
      <w:r>
        <w:t xml:space="preserve">952 – </w:t>
      </w:r>
      <w:r w:rsidRPr="0024328A">
        <w:rPr>
          <w:rFonts w:cs="Arial"/>
          <w:lang w:val="en"/>
        </w:rPr>
        <w:t>Solicitation Provisions and Contract Clauses</w:t>
      </w:r>
      <w:r>
        <w:rPr>
          <w:rFonts w:cs="Arial"/>
          <w:lang w:val="en"/>
        </w:rPr>
        <w:t>,</w:t>
      </w:r>
      <w:r>
        <w:t xml:space="preserve"> within this collection, </w:t>
      </w:r>
      <w:r w:rsidRPr="004F3A14">
        <w:rPr>
          <w:rFonts w:cstheme="minorHAnsi"/>
          <w:color w:val="000000"/>
          <w:shd w:val="clear" w:color="auto" w:fill="FFFFFF"/>
        </w:rPr>
        <w:t>implement</w:t>
      </w:r>
      <w:r>
        <w:rPr>
          <w:rFonts w:cstheme="minorHAnsi"/>
          <w:color w:val="000000"/>
          <w:shd w:val="clear" w:color="auto" w:fill="FFFFFF"/>
        </w:rPr>
        <w:t>s</w:t>
      </w:r>
      <w:r w:rsidRPr="004F3A14">
        <w:rPr>
          <w:rFonts w:cstheme="minorHAnsi"/>
          <w:color w:val="000000"/>
          <w:shd w:val="clear" w:color="auto" w:fill="FFFFFF"/>
        </w:rPr>
        <w:t xml:space="preserve"> FAR part 52 which sets forth contract clauses for use in connection with the acquisition of personal property and nonpersonal services (including construction), and supplements, as well as modifies, FAR part 52 by prescribing certain modifications to be made to FAR clauses when used in DOE contracts and specifying certain D</w:t>
      </w:r>
      <w:r>
        <w:rPr>
          <w:rFonts w:cstheme="minorHAnsi"/>
          <w:color w:val="000000"/>
          <w:shd w:val="clear" w:color="auto" w:fill="FFFFFF"/>
        </w:rPr>
        <w:t xml:space="preserve">EAR </w:t>
      </w:r>
      <w:r w:rsidRPr="004F3A14">
        <w:rPr>
          <w:rFonts w:cstheme="minorHAnsi"/>
          <w:color w:val="000000"/>
          <w:shd w:val="clear" w:color="auto" w:fill="FFFFFF"/>
        </w:rPr>
        <w:t>clauses to be used in addition to or in place of such FAR clauses</w:t>
      </w:r>
      <w:r>
        <w:rPr>
          <w:rFonts w:cstheme="minorHAnsi"/>
          <w:color w:val="000000"/>
          <w:shd w:val="clear" w:color="auto" w:fill="FFFFFF"/>
        </w:rPr>
        <w:t xml:space="preserve"> to meet DOE mission requirements.  </w:t>
      </w:r>
    </w:p>
    <w:p w:rsidR="00E602CE" w:rsidP="00E602CE" w14:paraId="3DA76280" w14:textId="77777777">
      <w:pPr>
        <w:spacing w:after="0" w:line="276" w:lineRule="auto"/>
        <w:rPr>
          <w:rFonts w:cstheme="minorHAnsi"/>
          <w:color w:val="000000"/>
          <w:shd w:val="clear" w:color="auto" w:fill="FFFFFF"/>
        </w:rPr>
      </w:pPr>
    </w:p>
    <w:p w:rsidR="00E602CE" w:rsidRPr="00DF267B" w:rsidP="00E602CE" w14:paraId="597AA1E3" w14:textId="0437968C">
      <w:pPr>
        <w:spacing w:after="0" w:line="276" w:lineRule="auto"/>
        <w:rPr>
          <w:rFonts w:cstheme="minorHAnsi"/>
        </w:rPr>
      </w:pPr>
      <w:r>
        <w:t xml:space="preserve">DEAR Subpart 970.52 </w:t>
      </w:r>
      <w:r w:rsidR="00D12EEB">
        <w:t xml:space="preserve">– </w:t>
      </w:r>
      <w:r w:rsidRPr="0024328A">
        <w:rPr>
          <w:rFonts w:cs="Arial"/>
          <w:lang w:val="en"/>
        </w:rPr>
        <w:t xml:space="preserve">Solicitation Provisions and Contract Clauses for </w:t>
      </w:r>
      <w:r>
        <w:rPr>
          <w:rFonts w:cs="Arial"/>
          <w:lang w:val="en"/>
        </w:rPr>
        <w:t>M</w:t>
      </w:r>
      <w:r w:rsidRPr="0024328A">
        <w:rPr>
          <w:rFonts w:cs="Arial"/>
          <w:lang w:val="en"/>
        </w:rPr>
        <w:t>&amp;O Contracts</w:t>
      </w:r>
      <w:r>
        <w:rPr>
          <w:rFonts w:cs="Arial"/>
          <w:lang w:val="en"/>
        </w:rPr>
        <w:t xml:space="preserve">, within this collection, </w:t>
      </w:r>
      <w:r w:rsidRPr="00DF267B">
        <w:rPr>
          <w:rFonts w:cstheme="minorHAnsi"/>
        </w:rPr>
        <w:t>supplement the provisions and clauses prescribed in the FAR and in other parts of the DEAR (</w:t>
      </w:r>
      <w:hyperlink r:id="rId14" w:history="1">
        <w:r w:rsidRPr="00DF267B">
          <w:rPr>
            <w:rStyle w:val="Hyperlink"/>
            <w:rFonts w:cstheme="minorHAnsi"/>
          </w:rPr>
          <w:t>48 CFR 901</w:t>
        </w:r>
      </w:hyperlink>
      <w:r w:rsidRPr="00DF267B">
        <w:rPr>
          <w:rFonts w:cstheme="minorHAnsi"/>
        </w:rPr>
        <w:t xml:space="preserve"> through </w:t>
      </w:r>
      <w:hyperlink r:id="rId15" w:history="1">
        <w:r w:rsidRPr="00DF267B">
          <w:rPr>
            <w:rStyle w:val="Hyperlink"/>
            <w:rFonts w:cstheme="minorHAnsi"/>
          </w:rPr>
          <w:t>48 CFR 952</w:t>
        </w:r>
      </w:hyperlink>
      <w:r w:rsidRPr="00DF267B">
        <w:rPr>
          <w:rFonts w:cstheme="minorHAnsi"/>
        </w:rPr>
        <w:t>), and, pursuant to the individual provision or clause prescription, are to be used in addition to or in place of such clauses</w:t>
      </w:r>
      <w:r>
        <w:rPr>
          <w:rFonts w:cstheme="minorHAnsi"/>
        </w:rPr>
        <w:t xml:space="preserve"> to meet DOE mission requirements</w:t>
      </w:r>
      <w:r w:rsidRPr="00DF267B">
        <w:rPr>
          <w:rFonts w:cstheme="minorHAnsi"/>
        </w:rPr>
        <w:t xml:space="preserve">. </w:t>
      </w:r>
      <w:r>
        <w:rPr>
          <w:rFonts w:cstheme="minorHAnsi"/>
        </w:rPr>
        <w:t xml:space="preserve"> M&amp;O </w:t>
      </w:r>
      <w:r w:rsidRPr="00DF267B">
        <w:rPr>
          <w:rFonts w:cstheme="minorHAnsi"/>
        </w:rPr>
        <w:t>contracts are hybrid contracts</w:t>
      </w:r>
      <w:r w:rsidR="00716093">
        <w:rPr>
          <w:rFonts w:cstheme="minorHAnsi"/>
        </w:rPr>
        <w:t>;</w:t>
      </w:r>
      <w:r w:rsidRPr="00DF267B">
        <w:rPr>
          <w:rFonts w:cstheme="minorHAnsi"/>
        </w:rPr>
        <w:t xml:space="preserve"> in some </w:t>
      </w:r>
      <w:r w:rsidRPr="00DF267B" w:rsidR="00DF3DA2">
        <w:rPr>
          <w:rFonts w:cstheme="minorHAnsi"/>
        </w:rPr>
        <w:t>cases,</w:t>
      </w:r>
      <w:r w:rsidRPr="00DF267B">
        <w:rPr>
          <w:rFonts w:cstheme="minorHAnsi"/>
        </w:rPr>
        <w:t xml:space="preserve"> including aspects of several FAR contract types, for example, supplies and construction. </w:t>
      </w:r>
      <w:r>
        <w:rPr>
          <w:rFonts w:cstheme="minorHAnsi"/>
        </w:rPr>
        <w:t xml:space="preserve"> </w:t>
      </w:r>
      <w:r w:rsidRPr="00DF267B">
        <w:rPr>
          <w:rFonts w:cstheme="minorHAnsi"/>
        </w:rPr>
        <w:t xml:space="preserve">For some FAR solicitation provisions and contract clauses, this subpart prescribes their use despite the hybrid nature of the work required. </w:t>
      </w:r>
      <w:r>
        <w:rPr>
          <w:rFonts w:cstheme="minorHAnsi"/>
        </w:rPr>
        <w:t xml:space="preserve"> </w:t>
      </w:r>
    </w:p>
    <w:p w:rsidR="00E602CE" w:rsidP="00E602CE" w14:paraId="50A1760D" w14:textId="77777777">
      <w:pPr>
        <w:spacing w:after="0"/>
      </w:pPr>
    </w:p>
    <w:p w:rsidR="00E602CE" w:rsidP="00E602CE" w14:paraId="5D3AC2D6" w14:textId="1135258C">
      <w:r>
        <w:t xml:space="preserve">The information collected is </w:t>
      </w:r>
      <w:r>
        <w:rPr>
          <w:rFonts w:cstheme="minorHAnsi"/>
        </w:rPr>
        <w:t xml:space="preserve">required </w:t>
      </w:r>
      <w:r>
        <w:t>by the DEAR codified at Chapter 9 of Title 48 of the Code of Federal Regulations and this information is currently used by the Department’s program, financial, and procurement personnel, e.g., Heads of Contracting Activities, Procurement Directors, Contracting Officers, and Contracting Officer</w:t>
      </w:r>
      <w:r w:rsidR="00195220">
        <w:t>’s</w:t>
      </w:r>
      <w:r>
        <w:t xml:space="preserve"> Representatives, to evaluate proposals, award, and administer contracts.  Additionally, these collections are used to exercise management oversight and control of the Department’s M&amp;O contractors operating the Department’s major facilities and other contractors furnishing products and services.  The information received from the current collection has been used for the award and administration of these contracts.</w:t>
      </w:r>
    </w:p>
    <w:p w:rsidR="008C734C" w:rsidP="008C734C" w14:paraId="1448BF97" w14:textId="77777777">
      <w:pPr>
        <w:pStyle w:val="Heading2"/>
      </w:pPr>
      <w:r>
        <w:t>A.</w:t>
      </w:r>
      <w:r w:rsidRPr="00A41763" w:rsidR="00A41763">
        <w:t xml:space="preserve">3. </w:t>
      </w:r>
      <w:r>
        <w:t>Use of Technology</w:t>
      </w:r>
      <w:bookmarkEnd w:id="4"/>
    </w:p>
    <w:p w:rsidR="00A41763" w:rsidRPr="00A41763" w:rsidP="00A41763" w14:paraId="45EAB336"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830107" w:rsidRPr="001918BF" w:rsidP="00830107" w14:paraId="714F437F" w14:textId="73BEC03D">
      <w:r w:rsidRPr="001918BF">
        <w:t>Contractors are authorized to submit</w:t>
      </w:r>
      <w:r w:rsidR="00142CC7">
        <w:t xml:space="preserve"> all</w:t>
      </w:r>
      <w:r w:rsidR="004001A9">
        <w:t xml:space="preserve"> (100%)</w:t>
      </w:r>
      <w:r w:rsidRPr="001918BF">
        <w:t xml:space="preserve"> information</w:t>
      </w:r>
      <w:r w:rsidR="00A00837">
        <w:t xml:space="preserve"> covered by this Information Collection Request</w:t>
      </w:r>
      <w:r w:rsidRPr="001918BF">
        <w:t xml:space="preserve"> to the Department electronically, e.g.,</w:t>
      </w:r>
      <w:r w:rsidR="00A5595A">
        <w:t xml:space="preserve"> the</w:t>
      </w:r>
      <w:r w:rsidRPr="001918BF">
        <w:t xml:space="preserve"> Internet, E-mail, computer storage device, or facsimile.  Submission of proposals and scientific report</w:t>
      </w:r>
      <w:r w:rsidR="00810183">
        <w:t>s</w:t>
      </w:r>
      <w:r w:rsidRPr="001918BF">
        <w:t xml:space="preserve"> utilize the Department’s Web-based tools to facilitate submission of information</w:t>
      </w:r>
      <w:r w:rsidR="00810183">
        <w:t xml:space="preserve"> (e.g., </w:t>
      </w:r>
      <w:r w:rsidR="006A7E85">
        <w:t>iEdison)</w:t>
      </w:r>
      <w:r w:rsidRPr="001918BF">
        <w:t xml:space="preserve">.  The burden on contractors is reduced </w:t>
      </w:r>
      <w:r>
        <w:t xml:space="preserve">significantly </w:t>
      </w:r>
      <w:r w:rsidRPr="001918BF">
        <w:t xml:space="preserve">by tools such as DOE’s electronic Strategic Integrated Enterprise Procurement System (STRIPES), and the Vendor Inquiry Payment Electronic Reporting System (VIPERS).  STRIPES allows vendors to submit their proposals and receive awards electronically and VIPERS allows vendors to submit their invoices and supporting data electronically for payment.  </w:t>
      </w:r>
    </w:p>
    <w:p w:rsidR="008C734C" w:rsidP="00151DF6" w14:paraId="46E9AED9" w14:textId="26C406EE">
      <w:r w:rsidRPr="001918BF">
        <w:t>The Department program managers and contractors continually work to apply the latest information technology (hardware and software) methods to reduce the information collection burden and improve the timeliness and usefulness of the management information collected.  This includes automation of previously manual processes as appropriate.</w:t>
      </w:r>
      <w:r w:rsidR="006047EC">
        <w:t xml:space="preserve"> In November 2024, the DEAR was updated to include a new clause 48 CFR </w:t>
      </w:r>
      <w:r w:rsidR="00454E5C">
        <w:t xml:space="preserve">952.232-7 </w:t>
      </w:r>
      <w:r w:rsidRPr="0023415E" w:rsidR="00454E5C">
        <w:rPr>
          <w:i/>
          <w:iCs/>
        </w:rPr>
        <w:t>Electronic submission of invoices/vouchers</w:t>
      </w:r>
      <w:r w:rsidR="00454E5C">
        <w:t>.</w:t>
      </w:r>
      <w:r w:rsidR="005F030F">
        <w:t xml:space="preserve"> The new clause establishes </w:t>
      </w:r>
      <w:r w:rsidR="00151DF6">
        <w:t>DOE’s strong preference for electronic submission of vendor invoices and standardize</w:t>
      </w:r>
      <w:r w:rsidR="00781A77">
        <w:t>s</w:t>
      </w:r>
      <w:r w:rsidR="00151DF6">
        <w:t xml:space="preserve"> instructions for such submissions</w:t>
      </w:r>
      <w:r w:rsidR="00781A77">
        <w:t xml:space="preserve"> across the DOE complex</w:t>
      </w:r>
      <w:r w:rsidR="00151DF6">
        <w:t>.</w:t>
      </w:r>
    </w:p>
    <w:p w:rsidR="008C734C" w:rsidP="008C734C" w14:paraId="0DE5859D" w14:textId="77777777">
      <w:pPr>
        <w:pStyle w:val="Heading2"/>
      </w:pPr>
      <w:bookmarkStart w:id="5" w:name="_Toc16271322"/>
      <w:r>
        <w:t>A.</w:t>
      </w:r>
      <w:r w:rsidRPr="00A41763" w:rsidR="00A41763">
        <w:t xml:space="preserve">4. </w:t>
      </w:r>
      <w:r>
        <w:t>Efforts to Identify Duplication</w:t>
      </w:r>
      <w:bookmarkEnd w:id="5"/>
    </w:p>
    <w:p w:rsidR="00A41763" w:rsidRPr="00A41763" w:rsidP="00A41763" w14:paraId="39439627" w14:textId="77777777">
      <w:r w:rsidRPr="00A41763">
        <w:rPr>
          <w:b/>
          <w:bCs/>
        </w:rPr>
        <w:t xml:space="preserve">Describe efforts to identify duplication. </w:t>
      </w:r>
    </w:p>
    <w:p w:rsidR="008C734C" w:rsidP="00A41763" w14:paraId="7AA88A33" w14:textId="37DF5A3C">
      <w:r>
        <w:t>The data collected is not available from any other source and is not duplicated elsewhere, to our knowledge.  For example, twice in the past, DOE has done an extensive review of this information collection package to ensure that it does not duplicate other collections conducted elsewhere in the Department or within the larger Federal procurement community.  The first review, in the mid-90s as part of the Clinton era Government Reinvention initiative and in the early days of the Paperwork Reduction process found significant overlap between the Department and Federal collections and led to a 50</w:t>
      </w:r>
      <w:r w:rsidR="00E358B6">
        <w:t xml:space="preserve"> percent</w:t>
      </w:r>
      <w:r>
        <w:t xml:space="preserve"> reduction in the Department’s regulation.  A more recent review found no duplication between the Department and other collections.  Indeed, to comply with the FAR, we must ensure that the DEAR does not duplicate any requirements contained in the FAR.  T</w:t>
      </w:r>
      <w:r w:rsidRPr="004312FA">
        <w:t xml:space="preserve">he </w:t>
      </w:r>
      <w:r>
        <w:t xml:space="preserve">FAR </w:t>
      </w:r>
      <w:r w:rsidRPr="004312FA">
        <w:t>system</w:t>
      </w:r>
      <w:r>
        <w:t xml:space="preserve"> prohibits agencies from duplicating requirements originally established in the FAR (see 48 CFR 1.302 and 1.304).  </w:t>
      </w:r>
    </w:p>
    <w:p w:rsidR="008C734C" w:rsidP="008C734C" w14:paraId="2ECACA07" w14:textId="77777777">
      <w:pPr>
        <w:pStyle w:val="Heading2"/>
      </w:pPr>
      <w:bookmarkStart w:id="6" w:name="_Toc16271323"/>
      <w:r>
        <w:t>A.</w:t>
      </w:r>
      <w:r w:rsidRPr="00A41763" w:rsidR="00A41763">
        <w:t xml:space="preserve">5. </w:t>
      </w:r>
      <w:r w:rsidRPr="008C734C">
        <w:t>Provisions for Reducing Burden on Small Businesses</w:t>
      </w:r>
      <w:bookmarkEnd w:id="6"/>
      <w:r w:rsidRPr="008C734C">
        <w:t xml:space="preserve"> </w:t>
      </w:r>
    </w:p>
    <w:p w:rsidR="00A41763" w:rsidRPr="00A41763" w:rsidP="00A41763" w14:paraId="34B53FFE" w14:textId="77777777">
      <w:r w:rsidRPr="00A41763">
        <w:rPr>
          <w:b/>
          <w:bCs/>
        </w:rPr>
        <w:t xml:space="preserve">If the collection of information impacts small businesses or other small entities, describe any methods used to minimize burden. </w:t>
      </w:r>
    </w:p>
    <w:p w:rsidR="00CE431B" w:rsidRPr="0039074A" w:rsidP="000D1B48" w14:paraId="2F7EEAA7" w14:textId="7BB92B59">
      <w:r>
        <w:t>The impact of the collection on small businesses is considered in the rulemaking process and steps</w:t>
      </w:r>
      <w:r w:rsidR="00C05F03">
        <w:t xml:space="preserve">, such as </w:t>
      </w:r>
      <w:r w:rsidR="00BB0C2E">
        <w:t>leveraging the use of technology through the use of</w:t>
      </w:r>
      <w:r w:rsidR="00C05F03">
        <w:t xml:space="preserve"> </w:t>
      </w:r>
      <w:r w:rsidR="00CD347E">
        <w:t>electronic submission</w:t>
      </w:r>
      <w:r w:rsidR="00BB0C2E">
        <w:t>s</w:t>
      </w:r>
      <w:r w:rsidR="00CD347E">
        <w:t xml:space="preserve"> </w:t>
      </w:r>
      <w:r w:rsidR="00410FCE">
        <w:t xml:space="preserve">and </w:t>
      </w:r>
      <w:r w:rsidR="00CD347E">
        <w:t>simplifying submission procedures</w:t>
      </w:r>
      <w:r w:rsidR="00BB0C2E">
        <w:t>,</w:t>
      </w:r>
      <w:r>
        <w:t xml:space="preserve"> to minimize the impact are taken to the extent permitted by applicable statutory requirements and other legal and management constraints.  </w:t>
      </w:r>
      <w:r w:rsidR="004E4A16">
        <w:t>As</w:t>
      </w:r>
      <w:r w:rsidR="00C048FE">
        <w:t xml:space="preserve"> an example, the comprehensive update of the Department’s acquisition regulation</w:t>
      </w:r>
      <w:r w:rsidR="004108C9">
        <w:t xml:space="preserve">s issued in </w:t>
      </w:r>
      <w:r w:rsidR="00670B45">
        <w:t xml:space="preserve">November </w:t>
      </w:r>
      <w:r w:rsidR="004108C9">
        <w:t xml:space="preserve">2024 </w:t>
      </w:r>
      <w:r w:rsidR="000D1B48">
        <w:t>revise</w:t>
      </w:r>
      <w:r w:rsidR="00257BFB">
        <w:t>d the DEAR to</w:t>
      </w:r>
      <w:r w:rsidR="000D1B48">
        <w:t xml:space="preserve"> remove outdated information and citations</w:t>
      </w:r>
      <w:r w:rsidR="00AC6D3D">
        <w:t xml:space="preserve"> along with</w:t>
      </w:r>
      <w:r w:rsidR="000D1B48">
        <w:t xml:space="preserve"> extraneous procedural information that applies only to DOE’s internal </w:t>
      </w:r>
      <w:r w:rsidR="002B7D14">
        <w:t>procedures and</w:t>
      </w:r>
      <w:r w:rsidR="000D1B48">
        <w:t xml:space="preserve"> remove</w:t>
      </w:r>
      <w:r w:rsidR="00AC6D3D">
        <w:t>d</w:t>
      </w:r>
      <w:r w:rsidR="000D1B48">
        <w:t xml:space="preserve"> policy or procedures duplicative of FAR requirements</w:t>
      </w:r>
      <w:r w:rsidR="003D1C47">
        <w:t>. T</w:t>
      </w:r>
      <w:r w:rsidR="00563C73">
        <w:t xml:space="preserve">hese </w:t>
      </w:r>
      <w:r w:rsidR="003A33F8">
        <w:t>revisions</w:t>
      </w:r>
      <w:r w:rsidR="00563C73">
        <w:t xml:space="preserve"> are anticipated to benefit </w:t>
      </w:r>
      <w:r w:rsidR="009C39CB">
        <w:t>small businesses</w:t>
      </w:r>
      <w:r w:rsidR="00BC3697">
        <w:t xml:space="preserve"> by clarifying </w:t>
      </w:r>
      <w:r w:rsidR="003A33F8">
        <w:t xml:space="preserve">and streamlining </w:t>
      </w:r>
      <w:r w:rsidR="004114E0">
        <w:t xml:space="preserve">processes and </w:t>
      </w:r>
      <w:r w:rsidR="00BC3697">
        <w:t>procedures</w:t>
      </w:r>
      <w:r w:rsidR="004114E0">
        <w:t xml:space="preserve">, and, in the case of invoice submission, standardizing processes across the DOE complex </w:t>
      </w:r>
      <w:r w:rsidR="00392F94">
        <w:t>with a preference for electronic submission of required information.</w:t>
      </w:r>
    </w:p>
    <w:p w:rsidR="008C734C" w:rsidP="008C734C" w14:paraId="4DA71ECE" w14:textId="77777777">
      <w:pPr>
        <w:pStyle w:val="Heading2"/>
      </w:pPr>
      <w:bookmarkStart w:id="7" w:name="_Toc16271324"/>
      <w:r>
        <w:t>A.</w:t>
      </w:r>
      <w:r w:rsidRPr="00A41763" w:rsidR="00A41763">
        <w:t xml:space="preserve">6. </w:t>
      </w:r>
      <w:r w:rsidRPr="008C734C">
        <w:t>Consequences of Less-Frequent Reporting</w:t>
      </w:r>
      <w:bookmarkEnd w:id="7"/>
    </w:p>
    <w:p w:rsidR="00A41763" w:rsidRPr="00A41763" w:rsidP="00A41763" w14:paraId="1F559B61"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8C734C" w:rsidP="00A41763" w14:paraId="762CA884" w14:textId="172D72AD">
      <w:r w:rsidRPr="00152634">
        <w:t xml:space="preserve">The frequency of collection is dictated by sound management practice, external laws and regulations, and Departmental Directives and requirements.  When any of these conditions change to permit reduction in the frequency of collection, the reduction will be made and the contract documents will be changed to reflect the reduction.  Not collecting the information or reducing the collection </w:t>
      </w:r>
      <w:r w:rsidR="00750029">
        <w:t xml:space="preserve">frequency </w:t>
      </w:r>
      <w:r w:rsidRPr="00152634">
        <w:t>may result in violations of procurement, contractual, safety, health, or environmental statutes or regulations.  The health and well-being of Federal and contractor employees, as well as Federal property and adjacent communities, could be adversely affected.  Violations could also lead to criminal or civil penalties.</w:t>
      </w:r>
    </w:p>
    <w:p w:rsidR="008C734C" w:rsidP="008C734C" w14:paraId="2A49B40F" w14:textId="77777777">
      <w:pPr>
        <w:pStyle w:val="Heading2"/>
      </w:pPr>
      <w:bookmarkStart w:id="8" w:name="_Toc16271325"/>
      <w:r>
        <w:t>A.</w:t>
      </w:r>
      <w:r w:rsidRPr="00A41763" w:rsidR="00A41763">
        <w:t xml:space="preserve">7. </w:t>
      </w:r>
      <w:r w:rsidRPr="008C734C">
        <w:t>Compliance with 5 CFR 1320.5</w:t>
      </w:r>
      <w:bookmarkEnd w:id="8"/>
    </w:p>
    <w:p w:rsidR="00DB6FBD" w:rsidP="00A41763" w14:paraId="688D70B3"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5296749" w14:textId="77777777">
      <w:pPr>
        <w:rPr>
          <w:b/>
          <w:bCs/>
        </w:rPr>
      </w:pPr>
      <w:r w:rsidRPr="00A41763">
        <w:rPr>
          <w:b/>
          <w:bCs/>
        </w:rPr>
        <w:t xml:space="preserve">(a) requiring respondents to report information to the agency more often than quarterly; </w:t>
      </w:r>
    </w:p>
    <w:p w:rsidR="00DB6FBD" w:rsidP="00A41763" w14:paraId="706C1057"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7CBBDBFA" w14:textId="77777777">
      <w:pPr>
        <w:rPr>
          <w:b/>
          <w:bCs/>
        </w:rPr>
      </w:pPr>
      <w:r w:rsidRPr="00A41763">
        <w:rPr>
          <w:b/>
          <w:bCs/>
        </w:rPr>
        <w:t xml:space="preserve">(c) requiring respondents to submit more than an original and two copies of any document; </w:t>
      </w:r>
    </w:p>
    <w:p w:rsidR="00DB6FBD" w:rsidP="00A41763" w14:paraId="4DF3081F"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7F8B624D" w14:textId="1AD1FCEA">
      <w:pPr>
        <w:rPr>
          <w:b/>
          <w:bCs/>
        </w:rPr>
      </w:pPr>
      <w:r w:rsidRPr="02B15C40">
        <w:rPr>
          <w:b/>
          <w:bCs/>
        </w:rPr>
        <w:t>(e) in connection with a statistical survey, that is not designed to produc</w:t>
      </w:r>
      <w:r w:rsidRPr="02B15C40" w:rsidR="0913D8C0">
        <w:rPr>
          <w:b/>
          <w:bCs/>
        </w:rPr>
        <w:t>e</w:t>
      </w:r>
      <w:r w:rsidRPr="02B15C40">
        <w:rPr>
          <w:b/>
          <w:bCs/>
        </w:rPr>
        <w:t xml:space="preserve"> valid and reliable results that can be generalized to the universe of study; </w:t>
      </w:r>
    </w:p>
    <w:p w:rsidR="00DB6FBD" w:rsidP="00A41763" w14:paraId="21472A65" w14:textId="77777777">
      <w:pPr>
        <w:rPr>
          <w:b/>
          <w:bCs/>
        </w:rPr>
      </w:pPr>
      <w:r w:rsidRPr="00A41763">
        <w:rPr>
          <w:b/>
          <w:bCs/>
        </w:rPr>
        <w:t xml:space="preserve">(f) requiring the use of statistical data classification that has not been reviewed and approved by OMB; </w:t>
      </w:r>
    </w:p>
    <w:p w:rsidR="00DB6FBD" w:rsidP="00A41763" w14:paraId="4232396F" w14:textId="1100D4E3">
      <w:pPr>
        <w:rPr>
          <w:b/>
          <w:bCs/>
        </w:rPr>
      </w:pPr>
      <w:r w:rsidRPr="02B15C40">
        <w:rPr>
          <w:b/>
          <w:bCs/>
        </w:rPr>
        <w:t>(g) that includes a pledge of confidential</w:t>
      </w:r>
      <w:r w:rsidRPr="02B15C40" w:rsidR="45DF7F08">
        <w:rPr>
          <w:b/>
          <w:bCs/>
        </w:rPr>
        <w:t>ity</w:t>
      </w:r>
      <w:r w:rsidRPr="02B15C40">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w:t>
      </w:r>
      <w:r w:rsidRPr="02B15C40">
        <w:rPr>
          <w:b/>
          <w:bCs/>
        </w:rPr>
        <w:t>or</w:t>
      </w:r>
    </w:p>
    <w:p w:rsidR="00A41763" w:rsidRPr="00A41763" w:rsidP="00A41763" w14:paraId="1BD241E0"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E74E4C" w:rsidRPr="006A41B8" w:rsidP="00E74E4C" w14:paraId="3A9710C3" w14:textId="77777777">
      <w:r>
        <w:t>Information collections in this package have been reviewed and justified by Departmental management requirements, statutes, external regulations, interagency requirements, Departmental orders or other internal DOE requirements.  The package is consistent with the guidelines.</w:t>
      </w:r>
    </w:p>
    <w:p w:rsidR="008C734C" w:rsidP="008C734C" w14:paraId="74C8DEA2" w14:textId="77777777">
      <w:pPr>
        <w:pStyle w:val="Heading2"/>
      </w:pPr>
      <w:bookmarkStart w:id="9" w:name="_Toc16271326"/>
      <w:r>
        <w:t>A.</w:t>
      </w:r>
      <w:r w:rsidRPr="00A41763" w:rsidR="00A41763">
        <w:t xml:space="preserve">8. </w:t>
      </w:r>
      <w:r w:rsidRPr="008C734C">
        <w:t>Summary of Consultations Outside of the Agency</w:t>
      </w:r>
      <w:bookmarkEnd w:id="9"/>
    </w:p>
    <w:p w:rsidR="00A41763" w:rsidRPr="00A41763" w:rsidP="00A41763" w14:paraId="5911F359"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D56FFF" w:rsidRPr="00430448" w:rsidP="00D56FFF" w14:paraId="4B9349E4" w14:textId="738F4C23">
      <w:r w:rsidRPr="005B5219">
        <w:rPr>
          <w:rFonts w:cstheme="minorHAnsi"/>
        </w:rPr>
        <w:t xml:space="preserve">The Department published a Notice and Request for Comment concerning this collection in the Federal Register on </w:t>
      </w:r>
      <w:r w:rsidR="00590EC2">
        <w:rPr>
          <w:rFonts w:cstheme="minorHAnsi"/>
        </w:rPr>
        <w:t xml:space="preserve">April </w:t>
      </w:r>
      <w:r w:rsidR="009165B5">
        <w:rPr>
          <w:rFonts w:cstheme="minorHAnsi"/>
        </w:rPr>
        <w:t xml:space="preserve">3, 2025 (Volume 90, </w:t>
      </w:r>
      <w:r w:rsidRPr="006F0515" w:rsidR="009165B5">
        <w:rPr>
          <w:rFonts w:cstheme="minorHAnsi"/>
        </w:rPr>
        <w:t>Number 63)</w:t>
      </w:r>
      <w:r w:rsidRPr="006F0515">
        <w:rPr>
          <w:rFonts w:cstheme="minorHAnsi"/>
        </w:rPr>
        <w:t xml:space="preserve">, Page </w:t>
      </w:r>
      <w:r w:rsidRPr="006F0515" w:rsidR="006F0515">
        <w:rPr>
          <w:rFonts w:cstheme="minorHAnsi"/>
        </w:rPr>
        <w:t>14647</w:t>
      </w:r>
      <w:r w:rsidRPr="006F0515">
        <w:rPr>
          <w:rFonts w:cstheme="minorHAnsi"/>
        </w:rPr>
        <w:t xml:space="preserve">.  </w:t>
      </w:r>
      <w:r w:rsidRPr="006F0515">
        <w:t>The notice</w:t>
      </w:r>
      <w:r>
        <w:t xml:space="preserve"> described the collection and invited interested parties to submit comments or recommendations regarding the collection.  </w:t>
      </w:r>
      <w:r w:rsidRPr="00A4666E" w:rsidR="00A4666E">
        <w:t>There were three responses submitted in response to the Federal Register Notice. Two respondents submitted comments that are outside the scope of this Information Collection Requests and therefore are not addressed. One respondent stated that “the collection should not be renewed due to the noncompliance of the original agency that made the request. The original collection is not a normal agency function, and should be removed immediately due to the significant waste of taxpayer dollars.” The comment does not provide sufficient detail to allow for a comprehensive response; however, as noted in the Federal Register Notice, the procurement-related information covered by this Information Collection Requests is necessary to administer and manage DOE’s procurement and acquisition programs.</w:t>
      </w:r>
      <w:r>
        <w:t xml:space="preserve"> </w:t>
      </w:r>
    </w:p>
    <w:p w:rsidR="008C734C" w:rsidP="008C734C" w14:paraId="72BD7E79" w14:textId="77777777">
      <w:pPr>
        <w:pStyle w:val="Heading2"/>
      </w:pPr>
      <w:bookmarkStart w:id="10" w:name="_Toc16271327"/>
      <w:r>
        <w:t>A.</w:t>
      </w:r>
      <w:r w:rsidRPr="00A41763" w:rsidR="00A41763">
        <w:t xml:space="preserve">9. </w:t>
      </w:r>
      <w:r w:rsidRPr="008C734C">
        <w:t>Payments or Gifts to Respondents</w:t>
      </w:r>
      <w:bookmarkEnd w:id="10"/>
      <w:r w:rsidRPr="008C734C">
        <w:t xml:space="preserve"> </w:t>
      </w:r>
    </w:p>
    <w:p w:rsidR="00A41763" w:rsidRPr="00A41763" w:rsidP="00A41763" w14:paraId="6AA9DE7E"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BF1CD5" w:rsidP="00BF1CD5" w14:paraId="779D284B" w14:textId="77777777">
      <w:r>
        <w:t>There is no remuneration given for submission of any of the information other than the fact that the expense of responding is treated as an allowable cost.</w:t>
      </w:r>
    </w:p>
    <w:p w:rsidR="00BF1CD5" w:rsidRPr="0016473B" w:rsidP="00BF1CD5" w14:paraId="631FC48C" w14:textId="54E970EE">
      <w:r>
        <w:t xml:space="preserve">It should be noted that the costs incurred by DOE contractors in responding to these information collections should generally be allowable costs recovered pursuant to their contracts’ cost principles </w:t>
      </w:r>
      <w:r w:rsidR="002D6B47">
        <w:t xml:space="preserve">requirements and </w:t>
      </w:r>
      <w:r>
        <w:t>guidance.  In this sense they differ from information collections imposed on the general public for which no cost reimbursement is provided.  DOE is interested in keeping these information burdens as small as possible to lessen its own costs under these contracts.  Only basic management information is collected from contractors to allow the Department to manage and oversee contractor-conducted operations.</w:t>
      </w:r>
    </w:p>
    <w:p w:rsidR="008C734C" w:rsidP="008C734C" w14:paraId="21C23607" w14:textId="77777777">
      <w:pPr>
        <w:pStyle w:val="Heading2"/>
      </w:pPr>
      <w:bookmarkStart w:id="11" w:name="_Toc16271328"/>
      <w:r>
        <w:t>A.</w:t>
      </w:r>
      <w:r w:rsidRPr="00A41763" w:rsidR="00A41763">
        <w:t xml:space="preserve">10. </w:t>
      </w:r>
      <w:r w:rsidRPr="008C734C">
        <w:t>Provisions for Protection of Information</w:t>
      </w:r>
      <w:bookmarkEnd w:id="11"/>
      <w:r w:rsidRPr="008C734C">
        <w:t xml:space="preserve"> </w:t>
      </w:r>
    </w:p>
    <w:p w:rsidR="00A41763" w:rsidRPr="00A41763" w:rsidP="00A41763" w14:paraId="329F710D" w14:textId="77777777">
      <w:r w:rsidRPr="00A41763">
        <w:rPr>
          <w:b/>
          <w:bCs/>
        </w:rPr>
        <w:t xml:space="preserve">Describe any assurance of confidentiality provided to respondents and the basis for the assurance in statute, regulation, or agency policy. </w:t>
      </w:r>
    </w:p>
    <w:p w:rsidR="002850F3" w:rsidP="002850F3" w14:paraId="17ABDD1F" w14:textId="0F97138C">
      <w:r>
        <w:t>Where confidential information is involved in an information collection, the provisions for dealing with the confidential information are set forth in the related Departmental regulations</w:t>
      </w:r>
      <w:r w:rsidR="00072661">
        <w:t xml:space="preserve"> (e.g., </w:t>
      </w:r>
      <w:r w:rsidR="00A15721">
        <w:t xml:space="preserve">48 CFR </w:t>
      </w:r>
      <w:r w:rsidRPr="00A15721" w:rsidR="00A15721">
        <w:t>952.204-2</w:t>
      </w:r>
      <w:r w:rsidR="00A15721">
        <w:t xml:space="preserve"> </w:t>
      </w:r>
      <w:r w:rsidRPr="0023415E" w:rsidR="00A15721">
        <w:rPr>
          <w:i/>
          <w:iCs/>
        </w:rPr>
        <w:t>Security requirements</w:t>
      </w:r>
      <w:r w:rsidR="00A15721">
        <w:t xml:space="preserve">, </w:t>
      </w:r>
      <w:r w:rsidR="00EA3978">
        <w:t xml:space="preserve">48 CFR </w:t>
      </w:r>
      <w:r w:rsidRPr="00EA3978" w:rsidR="00EA3978">
        <w:t>952.209-72</w:t>
      </w:r>
      <w:r w:rsidR="00EA3978">
        <w:t xml:space="preserve"> </w:t>
      </w:r>
      <w:r w:rsidRPr="0023415E" w:rsidR="00EA3978">
        <w:rPr>
          <w:i/>
          <w:iCs/>
        </w:rPr>
        <w:t>Organizational conflicts of interest</w:t>
      </w:r>
      <w:r w:rsidR="00227CCB">
        <w:t xml:space="preserve">, 48 CFR </w:t>
      </w:r>
      <w:r w:rsidRPr="00227CCB" w:rsidR="00227CCB">
        <w:t>970.5204-3</w:t>
      </w:r>
      <w:r w:rsidR="00227CCB">
        <w:t xml:space="preserve"> </w:t>
      </w:r>
      <w:r w:rsidRPr="0023415E" w:rsidR="00227CCB">
        <w:rPr>
          <w:i/>
          <w:iCs/>
        </w:rPr>
        <w:t>Access to and ownership of records</w:t>
      </w:r>
      <w:r w:rsidR="00324979">
        <w:t>, etc.)</w:t>
      </w:r>
      <w:r>
        <w:t>; these are the normal regulations for the handling of management and program information by the Department.</w:t>
      </w:r>
    </w:p>
    <w:p w:rsidR="00F056C3" w:rsidP="00F056C3" w14:paraId="54948D33" w14:textId="77777777">
      <w:pPr>
        <w:pStyle w:val="Heading2"/>
      </w:pPr>
      <w:bookmarkStart w:id="12" w:name="_Toc16271329"/>
      <w:r>
        <w:t>A.</w:t>
      </w:r>
      <w:r w:rsidRPr="00A41763" w:rsidR="00A41763">
        <w:t xml:space="preserve">11. </w:t>
      </w:r>
      <w:r w:rsidRPr="00F056C3">
        <w:t>Justification for Sensitive Questions</w:t>
      </w:r>
      <w:bookmarkEnd w:id="12"/>
      <w:r w:rsidRPr="00F056C3">
        <w:t xml:space="preserve"> </w:t>
      </w:r>
    </w:p>
    <w:p w:rsidR="00A41763" w:rsidRPr="00A41763" w:rsidP="00A41763" w14:paraId="61F9C381"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8719EC" w:rsidP="008719EC" w14:paraId="49FD3660" w14:textId="77777777">
      <w:r>
        <w:t>There are no collections in this package involving questions that are sensitive, personal, or private in nature.</w:t>
      </w:r>
    </w:p>
    <w:p w:rsidR="00F056C3" w:rsidP="00F056C3" w14:paraId="78140148" w14:textId="77777777">
      <w:pPr>
        <w:pStyle w:val="Heading2"/>
      </w:pPr>
      <w:bookmarkStart w:id="13" w:name="_Toc16271330"/>
      <w:r>
        <w:t>A.</w:t>
      </w:r>
      <w:r w:rsidRPr="00A41763" w:rsidR="00A41763">
        <w:t>12</w:t>
      </w:r>
      <w:r w:rsidR="006F3C12">
        <w:t>A</w:t>
      </w:r>
      <w:r w:rsidRPr="00A41763" w:rsidR="00A41763">
        <w:t xml:space="preserve">. </w:t>
      </w:r>
      <w:r w:rsidRPr="00F056C3">
        <w:t>Estimate of Respondent Burden Hours</w:t>
      </w:r>
      <w:bookmarkEnd w:id="13"/>
      <w:r w:rsidRPr="00F056C3">
        <w:t xml:space="preserve"> </w:t>
      </w:r>
    </w:p>
    <w:p w:rsidR="00AC69E8" w:rsidRPr="00253E41" w:rsidP="00AC69E8" w14:paraId="32821E38" w14:textId="77777777">
      <w:pPr>
        <w:pStyle w:val="Default"/>
        <w:rPr>
          <w:rFonts w:asciiTheme="minorHAnsi" w:hAnsiTheme="minorHAnsi" w:cstheme="minorHAnsi"/>
          <w:sz w:val="22"/>
          <w:szCs w:val="22"/>
        </w:rPr>
      </w:pPr>
      <w:r w:rsidRPr="00253E41">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253E41">
        <w:rPr>
          <w:rFonts w:asciiTheme="minorHAnsi" w:hAnsiTheme="minorHAnsi" w:cstheme="minorHAnsi"/>
          <w:b/>
          <w:bCs/>
          <w:sz w:val="22"/>
          <w:szCs w:val="22"/>
          <w:u w:val="single"/>
        </w:rPr>
        <w:t>an explanation of how the burden was estimated</w:t>
      </w:r>
      <w:r w:rsidRPr="00253E41">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5370EC" w:rsidRPr="003A3CAF" w:rsidP="005370EC" w14:paraId="478DC4B4" w14:textId="5B68D60C">
      <w:r>
        <w:br/>
      </w:r>
      <w:r w:rsidRPr="003A3CAF">
        <w:t xml:space="preserve">The collection package contains burdens associated with solicitation provisions or contract clauses that request the submission of information or the maintenance of records by offerors and contractors.  The individual burdens and their regulatory citations are identified in Table A1, </w:t>
      </w:r>
      <w:r w:rsidRPr="003A3CAF">
        <w:rPr>
          <w:rFonts w:ascii="Calibri" w:eastAsia="Times New Roman" w:hAnsi="Calibri" w:cs="Arial"/>
        </w:rPr>
        <w:t>Estimated Respondent Hour Burden</w:t>
      </w:r>
      <w:r w:rsidRPr="003A3CAF">
        <w:t xml:space="preserve">.  The collection involves </w:t>
      </w:r>
      <w:r w:rsidRPr="00E46847">
        <w:t>7,</w:t>
      </w:r>
      <w:r w:rsidR="007614B1">
        <w:t>4</w:t>
      </w:r>
      <w:r w:rsidR="000024FD">
        <w:t>41</w:t>
      </w:r>
      <w:r w:rsidRPr="00E46847" w:rsidR="007614B1">
        <w:t xml:space="preserve"> </w:t>
      </w:r>
      <w:r w:rsidRPr="00E46847">
        <w:t xml:space="preserve">respondents with an annual estimate of </w:t>
      </w:r>
      <w:r w:rsidR="007614B1">
        <w:t>6</w:t>
      </w:r>
      <w:r w:rsidR="009D71AE">
        <w:t>67,056</w:t>
      </w:r>
      <w:r w:rsidRPr="003A3CAF">
        <w:t xml:space="preserve"> burden hours.  These estimates were derived from field office inquiries and the related analysis of subject matter experts.  </w:t>
      </w:r>
    </w:p>
    <w:tbl>
      <w:tblPr>
        <w:tblW w:w="10020" w:type="dxa"/>
        <w:tblLook w:val="04A0"/>
      </w:tblPr>
      <w:tblGrid>
        <w:gridCol w:w="2293"/>
        <w:gridCol w:w="1296"/>
        <w:gridCol w:w="1296"/>
        <w:gridCol w:w="1158"/>
        <w:gridCol w:w="1282"/>
        <w:gridCol w:w="1431"/>
        <w:gridCol w:w="1264"/>
      </w:tblGrid>
      <w:tr w14:paraId="5962B018" w14:textId="77777777" w:rsidTr="00350AA6">
        <w:tblPrEx>
          <w:tblW w:w="10020" w:type="dxa"/>
          <w:tblLook w:val="04A0"/>
        </w:tblPrEx>
        <w:trPr>
          <w:trHeight w:val="360"/>
        </w:trPr>
        <w:tc>
          <w:tcPr>
            <w:tcW w:w="8756" w:type="dxa"/>
            <w:gridSpan w:val="6"/>
            <w:tcBorders>
              <w:top w:val="nil"/>
              <w:left w:val="nil"/>
              <w:bottom w:val="single" w:sz="4" w:space="0" w:color="auto"/>
              <w:right w:val="nil"/>
            </w:tcBorders>
            <w:shd w:val="clear" w:color="auto" w:fill="auto"/>
            <w:hideMark/>
          </w:tcPr>
          <w:p w:rsidR="002846AA" w:rsidP="00343C00" w14:paraId="7597166D" w14:textId="77777777">
            <w:pPr>
              <w:spacing w:after="0" w:line="240" w:lineRule="auto"/>
              <w:jc w:val="center"/>
              <w:rPr>
                <w:rFonts w:ascii="Calibri" w:eastAsia="Times New Roman" w:hAnsi="Calibri" w:cs="Arial"/>
                <w:b/>
                <w:bCs/>
                <w:color w:val="0070C0"/>
                <w:sz w:val="28"/>
                <w:szCs w:val="28"/>
              </w:rPr>
            </w:pPr>
            <w:r w:rsidRPr="006F3C12">
              <w:rPr>
                <w:rFonts w:ascii="Calibri" w:eastAsia="Times New Roman" w:hAnsi="Calibri" w:cs="Arial"/>
                <w:b/>
                <w:bCs/>
                <w:color w:val="0070C0"/>
                <w:sz w:val="28"/>
                <w:szCs w:val="28"/>
              </w:rPr>
              <w:t xml:space="preserve">Table A1. Estimated Respondent </w:t>
            </w:r>
            <w:r>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p w:rsidR="009B374D" w:rsidRPr="009B374D" w:rsidP="00343C00" w14:paraId="7A687845" w14:textId="77777777">
            <w:pPr>
              <w:spacing w:after="0" w:line="240" w:lineRule="auto"/>
              <w:jc w:val="center"/>
              <w:rPr>
                <w:rFonts w:ascii="Calibri" w:eastAsia="Times New Roman" w:hAnsi="Calibri" w:cs="Arial"/>
                <w:b/>
                <w:bCs/>
                <w:color w:val="0070C0"/>
              </w:rPr>
            </w:pPr>
          </w:p>
          <w:p w:rsidR="004D4273" w:rsidRPr="004D4273" w:rsidP="00343C00" w14:paraId="256310A0" w14:textId="77777777">
            <w:pPr>
              <w:spacing w:after="0" w:line="240" w:lineRule="auto"/>
              <w:jc w:val="center"/>
              <w:rPr>
                <w:rFonts w:ascii="Calibri" w:eastAsia="Times New Roman" w:hAnsi="Calibri" w:cs="Arial"/>
                <w:b/>
                <w:bCs/>
                <w:color w:val="0070C0"/>
              </w:rPr>
            </w:pPr>
          </w:p>
        </w:tc>
        <w:tc>
          <w:tcPr>
            <w:tcW w:w="1264" w:type="dxa"/>
            <w:tcBorders>
              <w:top w:val="nil"/>
              <w:left w:val="nil"/>
              <w:bottom w:val="nil"/>
              <w:right w:val="nil"/>
            </w:tcBorders>
            <w:shd w:val="clear" w:color="auto" w:fill="auto"/>
            <w:noWrap/>
            <w:vAlign w:val="bottom"/>
            <w:hideMark/>
          </w:tcPr>
          <w:p w:rsidR="002846AA" w:rsidRPr="006F3C12" w:rsidP="00343C00" w14:paraId="64818F48" w14:textId="77777777">
            <w:pPr>
              <w:spacing w:after="0" w:line="240" w:lineRule="auto"/>
              <w:jc w:val="center"/>
              <w:rPr>
                <w:rFonts w:ascii="Calibri" w:eastAsia="Times New Roman" w:hAnsi="Calibri" w:cs="Arial"/>
                <w:b/>
                <w:bCs/>
                <w:color w:val="0070C0"/>
                <w:sz w:val="28"/>
                <w:szCs w:val="28"/>
              </w:rPr>
            </w:pPr>
          </w:p>
        </w:tc>
      </w:tr>
      <w:tr w14:paraId="15AA9912" w14:textId="77777777" w:rsidTr="00561362">
        <w:tblPrEx>
          <w:tblW w:w="10020" w:type="dxa"/>
          <w:tblLook w:val="04A0"/>
        </w:tblPrEx>
        <w:trPr>
          <w:trHeight w:val="765"/>
        </w:trPr>
        <w:tc>
          <w:tcPr>
            <w:tcW w:w="2293" w:type="dxa"/>
            <w:tcBorders>
              <w:top w:val="nil"/>
              <w:left w:val="single" w:sz="4" w:space="0" w:color="auto"/>
              <w:bottom w:val="single" w:sz="4" w:space="0" w:color="auto"/>
              <w:right w:val="single" w:sz="4" w:space="0" w:color="auto"/>
            </w:tcBorders>
            <w:shd w:val="clear" w:color="000000" w:fill="00B0F0"/>
            <w:vAlign w:val="center"/>
            <w:hideMark/>
          </w:tcPr>
          <w:p w:rsidR="002846AA" w:rsidRPr="006F3C12" w:rsidP="00343C00" w14:paraId="3A0A7AF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296" w:type="dxa"/>
            <w:tcBorders>
              <w:top w:val="nil"/>
              <w:left w:val="nil"/>
              <w:bottom w:val="single" w:sz="4" w:space="0" w:color="auto"/>
              <w:right w:val="single" w:sz="4" w:space="0" w:color="auto"/>
            </w:tcBorders>
            <w:shd w:val="clear" w:color="000000" w:fill="00B0F0"/>
            <w:vAlign w:val="center"/>
            <w:hideMark/>
          </w:tcPr>
          <w:p w:rsidR="002846AA" w:rsidRPr="006F3C12" w:rsidP="00343C00" w14:paraId="3F1CEF7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296" w:type="dxa"/>
            <w:tcBorders>
              <w:top w:val="nil"/>
              <w:left w:val="nil"/>
              <w:bottom w:val="single" w:sz="4" w:space="0" w:color="auto"/>
              <w:right w:val="single" w:sz="4" w:space="0" w:color="auto"/>
            </w:tcBorders>
            <w:shd w:val="clear" w:color="000000" w:fill="00B0F0"/>
            <w:vAlign w:val="center"/>
            <w:hideMark/>
          </w:tcPr>
          <w:p w:rsidR="002846AA" w:rsidRPr="006F3C12" w:rsidP="00343C00" w14:paraId="541B5A82"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2846AA" w:rsidRPr="006F3C12" w:rsidP="00343C00" w14:paraId="386C027F"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282" w:type="dxa"/>
            <w:tcBorders>
              <w:top w:val="nil"/>
              <w:left w:val="nil"/>
              <w:bottom w:val="single" w:sz="4" w:space="0" w:color="auto"/>
              <w:right w:val="single" w:sz="4" w:space="0" w:color="auto"/>
            </w:tcBorders>
            <w:shd w:val="clear" w:color="000000" w:fill="00B0F0"/>
            <w:vAlign w:val="center"/>
            <w:hideMark/>
          </w:tcPr>
          <w:p w:rsidR="002846AA" w:rsidRPr="006F3C12" w:rsidP="00343C00" w14:paraId="22A890BD"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431" w:type="dxa"/>
            <w:tcBorders>
              <w:top w:val="nil"/>
              <w:left w:val="nil"/>
              <w:bottom w:val="single" w:sz="4" w:space="0" w:color="auto"/>
              <w:right w:val="single" w:sz="4" w:space="0" w:color="auto"/>
            </w:tcBorders>
            <w:shd w:val="clear" w:color="000000" w:fill="00B0F0"/>
            <w:vAlign w:val="center"/>
            <w:hideMark/>
          </w:tcPr>
          <w:p w:rsidR="002846AA" w:rsidRPr="006F3C12" w:rsidP="00343C00" w14:paraId="37C56AE4"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264" w:type="dxa"/>
            <w:tcBorders>
              <w:top w:val="single" w:sz="4" w:space="0" w:color="auto"/>
              <w:left w:val="nil"/>
              <w:bottom w:val="single" w:sz="4" w:space="0" w:color="auto"/>
              <w:right w:val="single" w:sz="4" w:space="0" w:color="auto"/>
            </w:tcBorders>
            <w:shd w:val="clear" w:color="000000" w:fill="00B0F0"/>
            <w:vAlign w:val="center"/>
            <w:hideMark/>
          </w:tcPr>
          <w:p w:rsidR="002846AA" w:rsidRPr="006F3C12" w:rsidP="00343C00" w14:paraId="2BA28A91"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21AE26E5"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4CBF0A73" w14:textId="77777777">
            <w:pPr>
              <w:spacing w:after="0" w:line="240" w:lineRule="auto"/>
              <w:rPr>
                <w:rFonts w:cstheme="minorHAnsi"/>
                <w:sz w:val="20"/>
                <w:szCs w:val="20"/>
              </w:rPr>
            </w:pPr>
            <w:r w:rsidRPr="00B00072">
              <w:rPr>
                <w:rFonts w:cstheme="minorHAnsi"/>
                <w:sz w:val="20"/>
                <w:szCs w:val="20"/>
              </w:rPr>
              <w:t>952.204-2, Security requirements.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800BF7C" w14:textId="77777777">
            <w:pPr>
              <w:spacing w:after="0" w:line="240" w:lineRule="auto"/>
              <w:rPr>
                <w:rFonts w:eastAsia="Times New Roman" w:cstheme="minorHAnsi"/>
                <w:color w:val="000000"/>
                <w:sz w:val="20"/>
                <w:szCs w:val="20"/>
              </w:rPr>
            </w:pPr>
            <w:r w:rsidRPr="00B00072">
              <w:rPr>
                <w:rFonts w:eastAsia="Times New Roman" w:cstheme="minorHAnsi"/>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2FBECC7E" w14:textId="7777777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5B7CC73" w14:textId="7777777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372B26FA" w14:textId="7777777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0D831E70" w14:textId="7777777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5,717</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A336B73" w14:textId="77777777">
            <w:pPr>
              <w:spacing w:after="0" w:line="240" w:lineRule="auto"/>
              <w:jc w:val="center"/>
              <w:rPr>
                <w:rFonts w:eastAsia="Times New Roman" w:cstheme="minorHAnsi"/>
                <w:color w:val="000000"/>
                <w:sz w:val="20"/>
                <w:szCs w:val="20"/>
              </w:rPr>
            </w:pPr>
            <w:r w:rsidRPr="00B00072">
              <w:rPr>
                <w:rFonts w:eastAsia="Times New Roman" w:cstheme="minorHAnsi"/>
                <w:color w:val="000000"/>
                <w:sz w:val="20"/>
                <w:szCs w:val="20"/>
              </w:rPr>
              <w:t>Once</w:t>
            </w:r>
          </w:p>
        </w:tc>
      </w:tr>
      <w:tr w14:paraId="016857CD"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3116EC72" w14:textId="77777777">
            <w:pPr>
              <w:spacing w:after="0" w:line="240" w:lineRule="auto"/>
              <w:rPr>
                <w:sz w:val="20"/>
                <w:szCs w:val="20"/>
              </w:rPr>
            </w:pPr>
            <w:r w:rsidRPr="00B00072">
              <w:rPr>
                <w:sz w:val="20"/>
                <w:szCs w:val="20"/>
              </w:rPr>
              <w:t>952.204-70, Classification/ Declassification.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7798F4E"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D7B7E8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113</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35B1B6B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113</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7DBA803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44.25</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76D6792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5,000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1CF1C03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CE36802"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AFD0813" w14:textId="77777777">
            <w:pPr>
              <w:spacing w:after="0" w:line="240" w:lineRule="auto"/>
              <w:rPr>
                <w:sz w:val="20"/>
                <w:szCs w:val="20"/>
              </w:rPr>
            </w:pPr>
            <w:r w:rsidRPr="00B00072">
              <w:rPr>
                <w:sz w:val="20"/>
                <w:szCs w:val="20"/>
              </w:rPr>
              <w:t>952.204-72, Disclosure of information.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82B8802"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90DA88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9</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5C07259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9</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19394CC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555.56</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6430FA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5,000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15BBB38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8A80027"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B19FB62" w14:textId="77777777">
            <w:pPr>
              <w:spacing w:after="0" w:line="240" w:lineRule="auto"/>
              <w:rPr>
                <w:sz w:val="20"/>
                <w:szCs w:val="20"/>
              </w:rPr>
            </w:pPr>
            <w:r w:rsidRPr="00B00072">
              <w:rPr>
                <w:sz w:val="20"/>
                <w:szCs w:val="20"/>
              </w:rPr>
              <w:t>952.204-73, Facility Clearance.</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4ECD8C3B"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E89A50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113</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18CBF1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113</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4F8C462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16.32</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536CFE3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1,844</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17627ED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27789DF"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201AA50C" w14:textId="01B2C244">
            <w:pPr>
              <w:spacing w:after="0" w:line="240" w:lineRule="auto"/>
              <w:rPr>
                <w:sz w:val="20"/>
                <w:szCs w:val="20"/>
              </w:rPr>
            </w:pPr>
            <w:r w:rsidRPr="00B00072">
              <w:rPr>
                <w:sz w:val="20"/>
                <w:szCs w:val="20"/>
              </w:rPr>
              <w:t>952.204-75, Public Affairs.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93A7EC6"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141E3B5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66D8128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0A4CE57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30D020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65142FB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B01A118"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350AA6" w:rsidRPr="00B00072" w:rsidP="00633E76" w14:paraId="2CEBD047" w14:textId="700EC6EC">
            <w:pPr>
              <w:spacing w:after="0" w:line="240" w:lineRule="auto"/>
              <w:rPr>
                <w:sz w:val="20"/>
                <w:szCs w:val="20"/>
              </w:rPr>
            </w:pPr>
            <w:r w:rsidRPr="00B00072">
              <w:rPr>
                <w:sz w:val="20"/>
                <w:szCs w:val="20"/>
              </w:rPr>
              <w:t>9</w:t>
            </w:r>
            <w:r>
              <w:rPr>
                <w:sz w:val="20"/>
                <w:szCs w:val="20"/>
              </w:rPr>
              <w:t>52</w:t>
            </w:r>
            <w:r w:rsidRPr="00B00072">
              <w:rPr>
                <w:sz w:val="20"/>
                <w:szCs w:val="20"/>
              </w:rPr>
              <w:t>.204-</w:t>
            </w:r>
            <w:r>
              <w:rPr>
                <w:sz w:val="20"/>
                <w:szCs w:val="20"/>
              </w:rPr>
              <w:t>74</w:t>
            </w:r>
            <w:r w:rsidRPr="00B00072">
              <w:rPr>
                <w:sz w:val="20"/>
                <w:szCs w:val="20"/>
              </w:rPr>
              <w:t>, Counterintelligence.</w:t>
            </w:r>
          </w:p>
        </w:tc>
        <w:tc>
          <w:tcPr>
            <w:tcW w:w="1296" w:type="dxa"/>
            <w:tcBorders>
              <w:top w:val="nil"/>
              <w:left w:val="nil"/>
              <w:bottom w:val="single" w:sz="4" w:space="0" w:color="auto"/>
              <w:right w:val="single" w:sz="4" w:space="0" w:color="auto"/>
            </w:tcBorders>
            <w:shd w:val="clear" w:color="auto" w:fill="auto"/>
            <w:noWrap/>
            <w:vAlign w:val="bottom"/>
          </w:tcPr>
          <w:p w:rsidR="00350AA6" w:rsidRPr="00B00072" w:rsidP="00633E76" w14:paraId="6DA1F833"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350AA6" w:rsidRPr="00B00072" w:rsidP="00633E76" w14:paraId="79BBB68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350AA6" w:rsidRPr="00B00072" w:rsidP="00633E76" w14:paraId="31558E5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350AA6" w:rsidRPr="00B00072" w:rsidP="00633E76" w14:paraId="3A4275D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40.00</w:t>
            </w:r>
          </w:p>
        </w:tc>
        <w:tc>
          <w:tcPr>
            <w:tcW w:w="1431" w:type="dxa"/>
            <w:tcBorders>
              <w:top w:val="nil"/>
              <w:left w:val="nil"/>
              <w:bottom w:val="single" w:sz="4" w:space="0" w:color="auto"/>
              <w:right w:val="single" w:sz="4" w:space="0" w:color="auto"/>
            </w:tcBorders>
            <w:shd w:val="clear" w:color="000000" w:fill="E2A5AC"/>
            <w:noWrap/>
            <w:vAlign w:val="bottom"/>
          </w:tcPr>
          <w:p w:rsidR="00350AA6" w:rsidRPr="00B00072" w:rsidP="00633E76" w14:paraId="22AFE24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400</w:t>
            </w:r>
          </w:p>
        </w:tc>
        <w:tc>
          <w:tcPr>
            <w:tcW w:w="1264" w:type="dxa"/>
            <w:tcBorders>
              <w:top w:val="nil"/>
              <w:left w:val="nil"/>
              <w:bottom w:val="single" w:sz="4" w:space="0" w:color="auto"/>
              <w:right w:val="single" w:sz="4" w:space="0" w:color="auto"/>
            </w:tcBorders>
            <w:shd w:val="clear" w:color="auto" w:fill="auto"/>
            <w:noWrap/>
            <w:vAlign w:val="bottom"/>
          </w:tcPr>
          <w:p w:rsidR="00350AA6" w:rsidRPr="00B00072" w:rsidP="00633E76" w14:paraId="508936A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B2E163E"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4EF11CA8" w14:textId="77777777">
            <w:pPr>
              <w:spacing w:after="0" w:line="240" w:lineRule="auto"/>
              <w:rPr>
                <w:sz w:val="20"/>
                <w:szCs w:val="20"/>
              </w:rPr>
            </w:pPr>
            <w:r w:rsidRPr="00B00072">
              <w:rPr>
                <w:sz w:val="20"/>
                <w:szCs w:val="20"/>
              </w:rPr>
              <w:t>952.208-7, Tagging of leased vehicles.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12E54169"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00B0D9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3155FC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2607394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7E2DD2F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3F03ADC4"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DE8A79E"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0217FA6E" w14:textId="77777777">
            <w:pPr>
              <w:spacing w:after="0" w:line="240" w:lineRule="auto"/>
              <w:rPr>
                <w:sz w:val="20"/>
                <w:szCs w:val="20"/>
              </w:rPr>
            </w:pPr>
            <w:r w:rsidRPr="00B00072">
              <w:rPr>
                <w:sz w:val="20"/>
                <w:szCs w:val="20"/>
              </w:rPr>
              <w:t>952.209-8, Organizational conflicts of interest-disclosure.</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CEF0063"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27EEB92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700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C42AA6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700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7490B81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6EF42A4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1,400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8075F8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45425AF9"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21732F9E" w14:textId="77777777">
            <w:pPr>
              <w:spacing w:after="0" w:line="240" w:lineRule="auto"/>
              <w:rPr>
                <w:sz w:val="20"/>
                <w:szCs w:val="20"/>
              </w:rPr>
            </w:pPr>
            <w:r w:rsidRPr="00B00072">
              <w:rPr>
                <w:sz w:val="20"/>
                <w:szCs w:val="20"/>
              </w:rPr>
              <w:t>952.209-72, Organizational conflicts of interest-contract clause.</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AF6845B"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E408D9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D84E7B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7EB96B9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2A611DC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6ABF3AD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224C5EC"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DA8D3C2" w14:textId="77777777">
            <w:pPr>
              <w:spacing w:after="0" w:line="240" w:lineRule="auto"/>
              <w:rPr>
                <w:sz w:val="20"/>
                <w:szCs w:val="20"/>
              </w:rPr>
            </w:pPr>
            <w:r w:rsidRPr="00B00072">
              <w:rPr>
                <w:sz w:val="20"/>
                <w:szCs w:val="20"/>
              </w:rPr>
              <w:t>952.215-70, Key personnel (General Contracts).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0D07006"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7667904"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61</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13D320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61</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23B5B48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4.11</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0CDC55E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251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BD915C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752CAC02"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67C9DC81" w14:textId="77777777">
            <w:pPr>
              <w:spacing w:after="0" w:line="240" w:lineRule="auto"/>
              <w:rPr>
                <w:sz w:val="20"/>
                <w:szCs w:val="20"/>
              </w:rPr>
            </w:pPr>
            <w:r w:rsidRPr="00B00072">
              <w:rPr>
                <w:sz w:val="20"/>
                <w:szCs w:val="20"/>
              </w:rPr>
              <w:t>952.217-70, Acquisition of real property.</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461D1EAC"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62E963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2445546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12C3FBD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03A21E3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D6DB7A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89E713B"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4DCFB73F" w14:textId="77777777">
            <w:pPr>
              <w:spacing w:after="0" w:line="240" w:lineRule="auto"/>
              <w:rPr>
                <w:sz w:val="20"/>
                <w:szCs w:val="20"/>
              </w:rPr>
            </w:pPr>
            <w:r w:rsidRPr="00B00072">
              <w:rPr>
                <w:sz w:val="20"/>
                <w:szCs w:val="20"/>
              </w:rPr>
              <w:t>952.219-70, DOE Mentor-Protégé program.</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4B5C2BB"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BFC476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584C924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0C94E02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666EAC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54A25F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6517ED8B"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FE276D" w:rsidRPr="00B00072" w:rsidP="00343C00" w14:paraId="71FC00C8" w14:textId="17CD0C5E">
            <w:pPr>
              <w:spacing w:after="0" w:line="240" w:lineRule="auto"/>
              <w:rPr>
                <w:sz w:val="20"/>
                <w:szCs w:val="20"/>
              </w:rPr>
            </w:pPr>
            <w:r w:rsidRPr="002D69F5">
              <w:rPr>
                <w:sz w:val="20"/>
                <w:szCs w:val="20"/>
              </w:rPr>
              <w:t>952.223-71 Integration of environment, safety, and health into work planning and execution.</w:t>
            </w:r>
          </w:p>
        </w:tc>
        <w:tc>
          <w:tcPr>
            <w:tcW w:w="1296" w:type="dxa"/>
            <w:tcBorders>
              <w:top w:val="nil"/>
              <w:left w:val="nil"/>
              <w:bottom w:val="single" w:sz="4" w:space="0" w:color="auto"/>
              <w:right w:val="single" w:sz="4" w:space="0" w:color="auto"/>
            </w:tcBorders>
            <w:shd w:val="clear" w:color="auto" w:fill="auto"/>
            <w:noWrap/>
            <w:vAlign w:val="bottom"/>
          </w:tcPr>
          <w:p w:rsidR="00FE276D" w:rsidRPr="00B00072" w:rsidP="00343C00" w14:paraId="6BB6EE11" w14:textId="0E09E278">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FE276D" w:rsidRPr="00B00072" w:rsidP="00343C00" w14:paraId="63D7F44A" w14:textId="672A8DCC">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w:t>
            </w:r>
          </w:p>
        </w:tc>
        <w:tc>
          <w:tcPr>
            <w:tcW w:w="1158" w:type="dxa"/>
            <w:tcBorders>
              <w:top w:val="nil"/>
              <w:left w:val="nil"/>
              <w:bottom w:val="single" w:sz="4" w:space="0" w:color="auto"/>
              <w:right w:val="single" w:sz="4" w:space="0" w:color="auto"/>
            </w:tcBorders>
            <w:shd w:val="clear" w:color="000000" w:fill="E2A5AC"/>
            <w:noWrap/>
            <w:vAlign w:val="bottom"/>
          </w:tcPr>
          <w:p w:rsidR="00FE276D" w:rsidRPr="00B00072" w:rsidP="00343C00" w14:paraId="6EC3AD4C" w14:textId="7A10F39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w:t>
            </w:r>
          </w:p>
        </w:tc>
        <w:tc>
          <w:tcPr>
            <w:tcW w:w="1282" w:type="dxa"/>
            <w:tcBorders>
              <w:top w:val="nil"/>
              <w:left w:val="nil"/>
              <w:bottom w:val="single" w:sz="4" w:space="0" w:color="auto"/>
              <w:right w:val="single" w:sz="4" w:space="0" w:color="auto"/>
            </w:tcBorders>
            <w:shd w:val="clear" w:color="auto" w:fill="auto"/>
            <w:noWrap/>
            <w:vAlign w:val="bottom"/>
          </w:tcPr>
          <w:p w:rsidR="00FE276D" w:rsidRPr="00B00072" w:rsidP="00343C00" w14:paraId="63DC2475" w14:textId="5F97D86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245</w:t>
            </w:r>
            <w:r w:rsidR="00EE7FA4">
              <w:rPr>
                <w:rFonts w:ascii="Calibri" w:eastAsia="Times New Roman" w:hAnsi="Calibri" w:cs="Arial"/>
                <w:color w:val="000000"/>
                <w:sz w:val="20"/>
                <w:szCs w:val="20"/>
              </w:rPr>
              <w:t>.00</w:t>
            </w:r>
          </w:p>
        </w:tc>
        <w:tc>
          <w:tcPr>
            <w:tcW w:w="1431" w:type="dxa"/>
            <w:tcBorders>
              <w:top w:val="nil"/>
              <w:left w:val="nil"/>
              <w:bottom w:val="single" w:sz="4" w:space="0" w:color="auto"/>
              <w:right w:val="single" w:sz="4" w:space="0" w:color="auto"/>
            </w:tcBorders>
            <w:shd w:val="clear" w:color="000000" w:fill="E2A5AC"/>
            <w:noWrap/>
            <w:vAlign w:val="bottom"/>
          </w:tcPr>
          <w:p w:rsidR="00FE276D" w:rsidRPr="00B00072" w:rsidP="00343C00" w14:paraId="0F6F936B" w14:textId="2F1915E6">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735</w:t>
            </w:r>
          </w:p>
        </w:tc>
        <w:tc>
          <w:tcPr>
            <w:tcW w:w="1264" w:type="dxa"/>
            <w:tcBorders>
              <w:top w:val="nil"/>
              <w:left w:val="nil"/>
              <w:bottom w:val="single" w:sz="4" w:space="0" w:color="auto"/>
              <w:right w:val="single" w:sz="4" w:space="0" w:color="auto"/>
            </w:tcBorders>
            <w:shd w:val="clear" w:color="auto" w:fill="auto"/>
            <w:noWrap/>
            <w:vAlign w:val="bottom"/>
          </w:tcPr>
          <w:p w:rsidR="00FE276D" w:rsidRPr="00B00072" w:rsidP="00343C00" w14:paraId="46772D76" w14:textId="678261E8">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Once</w:t>
            </w:r>
          </w:p>
        </w:tc>
      </w:tr>
      <w:tr w14:paraId="1E646462"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316AC6D1" w14:textId="77777777">
            <w:pPr>
              <w:spacing w:after="0" w:line="240" w:lineRule="auto"/>
              <w:rPr>
                <w:sz w:val="20"/>
                <w:szCs w:val="20"/>
              </w:rPr>
            </w:pPr>
            <w:r w:rsidRPr="00B00072">
              <w:rPr>
                <w:sz w:val="20"/>
                <w:szCs w:val="20"/>
              </w:rPr>
              <w:t>952.223-75, Preservation of individual occupational radiation exposure records.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85A065B"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0B2C75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27</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5975A1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27</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5A67B7E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58074F24"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2,700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B740EB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449BD47"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0C6BD367" w14:textId="0BCF0C7D">
            <w:pPr>
              <w:spacing w:after="0" w:line="240" w:lineRule="auto"/>
              <w:rPr>
                <w:sz w:val="20"/>
                <w:szCs w:val="20"/>
              </w:rPr>
            </w:pPr>
            <w:r w:rsidRPr="00B00072">
              <w:rPr>
                <w:sz w:val="20"/>
                <w:szCs w:val="20"/>
              </w:rPr>
              <w:t>952.223-78, Sustainable Acquisition Program.</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1F99DB0E"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C756A3F" w14:textId="211EC4B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32</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6F79DBA2" w14:textId="346E82B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32</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30EBD3A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40.00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6223ACF8" w14:textId="0E9A8513">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1,280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0DAF973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4DC2388D"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3BEF1686" w14:textId="77777777">
            <w:pPr>
              <w:spacing w:after="0" w:line="240" w:lineRule="auto"/>
              <w:rPr>
                <w:sz w:val="20"/>
                <w:szCs w:val="20"/>
              </w:rPr>
            </w:pPr>
            <w:r w:rsidRPr="00B00072">
              <w:rPr>
                <w:sz w:val="20"/>
                <w:szCs w:val="20"/>
              </w:rPr>
              <w:t>952.226-70, Subcontracting goals under section 3021(a) of the Energy Policy Act of 1992 – solicitation provision.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E3FE254"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3DA8D9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276312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0B4926A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105B801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14E23D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391006A"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2F004CF5" w14:textId="77777777">
            <w:pPr>
              <w:spacing w:after="0" w:line="240" w:lineRule="auto"/>
              <w:rPr>
                <w:sz w:val="20"/>
                <w:szCs w:val="20"/>
              </w:rPr>
            </w:pPr>
            <w:r w:rsidRPr="00B00072">
              <w:rPr>
                <w:sz w:val="20"/>
                <w:szCs w:val="20"/>
              </w:rPr>
              <w:t>952.226-72, Energy Policy Act subcontracting goals and reporting requirements.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99518FD"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27EC6E6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34549D7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2D28D61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12A9E24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52</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1A59D6C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AA324E3"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6CC98280" w14:textId="77777777">
            <w:pPr>
              <w:spacing w:after="0" w:line="240" w:lineRule="auto"/>
              <w:rPr>
                <w:sz w:val="20"/>
                <w:szCs w:val="20"/>
              </w:rPr>
            </w:pPr>
            <w:r w:rsidRPr="00B00072">
              <w:rPr>
                <w:sz w:val="20"/>
                <w:szCs w:val="20"/>
              </w:rPr>
              <w:t>952.226-73, Energy Policy Act target</w:t>
            </w:r>
            <w:r w:rsidRPr="00B00072">
              <w:rPr>
                <w:sz w:val="20"/>
                <w:szCs w:val="20"/>
              </w:rPr>
              <w:br w:type="page"/>
              <w:t xml:space="preserve"> group certification.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9A057D9"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756D04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882548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0AF23D4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0A258C0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104</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5D79F46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53BFC1B"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4FCAD4C8" w14:textId="77777777">
            <w:pPr>
              <w:spacing w:after="0" w:line="240" w:lineRule="auto"/>
              <w:rPr>
                <w:sz w:val="20"/>
                <w:szCs w:val="20"/>
              </w:rPr>
            </w:pPr>
            <w:r w:rsidRPr="00B00072">
              <w:rPr>
                <w:sz w:val="20"/>
                <w:szCs w:val="20"/>
              </w:rPr>
              <w:t>952.231-71, Insurance - litigation and claims.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351DEF7"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6E3693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3D47773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79B60AF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880.50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57D09614"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19,371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81A550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CD1B8EA"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09434B4A" w14:textId="77777777">
            <w:pPr>
              <w:spacing w:after="0" w:line="240" w:lineRule="auto"/>
              <w:rPr>
                <w:sz w:val="20"/>
                <w:szCs w:val="20"/>
              </w:rPr>
            </w:pPr>
            <w:r w:rsidRPr="00B00072">
              <w:rPr>
                <w:sz w:val="20"/>
                <w:szCs w:val="20"/>
              </w:rPr>
              <w:t>952.250-70, Nuclear hazards indemnity agreement.</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5AC0130"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2B68E3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1079BC1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2932042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7ED6AD7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0CCA029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331B2E5C"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54AFB7FB" w14:textId="77777777">
            <w:pPr>
              <w:spacing w:after="0" w:line="240" w:lineRule="auto"/>
              <w:rPr>
                <w:sz w:val="20"/>
                <w:szCs w:val="20"/>
              </w:rPr>
            </w:pPr>
            <w:r w:rsidRPr="00B00072">
              <w:rPr>
                <w:sz w:val="20"/>
                <w:szCs w:val="20"/>
              </w:rPr>
              <w:t>970.5203-3, Contractor's organization.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4320341"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DB3C41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3477247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26</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59BDB45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21.96</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5DBCCE7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571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F49890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7D2BF100"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77B2CC6F" w14:textId="77777777">
            <w:pPr>
              <w:spacing w:after="0" w:line="240" w:lineRule="auto"/>
              <w:rPr>
                <w:sz w:val="20"/>
                <w:szCs w:val="20"/>
              </w:rPr>
            </w:pPr>
            <w:r w:rsidRPr="00B00072">
              <w:rPr>
                <w:sz w:val="20"/>
                <w:szCs w:val="20"/>
              </w:rPr>
              <w:t>970.5204-2, Laws, regulations, and DOE directives.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2159AAF9"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800D49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34</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22E99A2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34</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76CB7B1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856.79</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773E390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29,131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91DF42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61300484"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9C98ABB" w14:textId="77777777">
            <w:pPr>
              <w:spacing w:after="0" w:line="240" w:lineRule="auto"/>
              <w:rPr>
                <w:sz w:val="20"/>
                <w:szCs w:val="20"/>
              </w:rPr>
            </w:pPr>
            <w:r w:rsidRPr="00B00072">
              <w:rPr>
                <w:sz w:val="20"/>
                <w:szCs w:val="20"/>
              </w:rPr>
              <w:t>970.5204-3, Access to and ownership of records.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3DBF9FA"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911E80E" w14:textId="206102C3">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25</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F001AB6" w14:textId="45B9D608">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25</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120D5F62" w14:textId="70CFFA6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6</w:t>
            </w:r>
            <w:r w:rsidRPr="00B00072">
              <w:rPr>
                <w:rFonts w:ascii="Calibri" w:eastAsia="Times New Roman" w:hAnsi="Calibri" w:cs="Arial"/>
                <w:color w:val="000000"/>
                <w:sz w:val="20"/>
                <w:szCs w:val="20"/>
              </w:rPr>
              <w:t>,</w:t>
            </w:r>
            <w:r>
              <w:rPr>
                <w:rFonts w:ascii="Calibri" w:eastAsia="Times New Roman" w:hAnsi="Calibri" w:cs="Arial"/>
                <w:color w:val="000000"/>
                <w:sz w:val="20"/>
                <w:szCs w:val="20"/>
              </w:rPr>
              <w:t>8</w:t>
            </w:r>
            <w:r w:rsidRPr="00B00072">
              <w:rPr>
                <w:rFonts w:ascii="Calibri" w:eastAsia="Times New Roman" w:hAnsi="Calibri" w:cs="Arial"/>
                <w:color w:val="000000"/>
                <w:sz w:val="20"/>
                <w:szCs w:val="20"/>
              </w:rPr>
              <w:t>37.52</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2610ECF9" w14:textId="75C5681A">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17</w:t>
            </w:r>
            <w:r w:rsidR="0021596D">
              <w:rPr>
                <w:rFonts w:ascii="Calibri" w:eastAsia="Times New Roman" w:hAnsi="Calibri" w:cs="Arial"/>
                <w:color w:val="000000"/>
                <w:sz w:val="20"/>
                <w:szCs w:val="20"/>
              </w:rPr>
              <w:t>0</w:t>
            </w:r>
            <w:r w:rsidRPr="00B00072">
              <w:rPr>
                <w:rFonts w:ascii="Calibri" w:eastAsia="Times New Roman" w:hAnsi="Calibri" w:cs="Arial"/>
                <w:color w:val="000000"/>
                <w:sz w:val="20"/>
                <w:szCs w:val="20"/>
              </w:rPr>
              <w:t>,938</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25FD30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3F8AEAC"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0A2A2CB9" w14:textId="77777777">
            <w:pPr>
              <w:spacing w:after="0" w:line="240" w:lineRule="auto"/>
              <w:rPr>
                <w:rFonts w:ascii="Calibri" w:eastAsia="Times New Roman" w:hAnsi="Calibri" w:cs="Arial"/>
                <w:color w:val="000000"/>
                <w:sz w:val="20"/>
                <w:szCs w:val="20"/>
              </w:rPr>
            </w:pPr>
            <w:r w:rsidRPr="00B00072">
              <w:rPr>
                <w:sz w:val="20"/>
                <w:szCs w:val="20"/>
              </w:rPr>
              <w:t>970.5211-1, Work Authorization.</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0F0276D9"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6C961AC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558F1E9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6E96357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16.00</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138EEF0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368</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6D759C4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7AD8B2A8"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0651F1E7" w14:textId="77777777">
            <w:pPr>
              <w:spacing w:after="0" w:line="240" w:lineRule="auto"/>
              <w:rPr>
                <w:rFonts w:ascii="Calibri" w:eastAsia="Times New Roman" w:hAnsi="Calibri" w:cs="Arial"/>
                <w:color w:val="000000"/>
                <w:sz w:val="20"/>
                <w:szCs w:val="20"/>
              </w:rPr>
            </w:pPr>
            <w:r w:rsidRPr="00B00072">
              <w:rPr>
                <w:sz w:val="20"/>
                <w:szCs w:val="20"/>
              </w:rPr>
              <w:t>970.5215-1, Total Available Fee: Base fee amount and performance fee amount.</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0B9D03C"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437652C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2D538DD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7975453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33.26</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22EE816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765</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32E79F5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7B967E20"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3C26" w:rsidRPr="00B00072" w:rsidP="00343C00" w14:paraId="7F37B74A" w14:textId="13451098">
            <w:pPr>
              <w:spacing w:after="0" w:line="240" w:lineRule="auto"/>
              <w:rPr>
                <w:sz w:val="20"/>
                <w:szCs w:val="20"/>
              </w:rPr>
            </w:pPr>
            <w:r w:rsidRPr="002C33A4">
              <w:rPr>
                <w:sz w:val="20"/>
                <w:szCs w:val="20"/>
              </w:rPr>
              <w:t>970.5217-2 Agreements for commercializing technology.</w:t>
            </w:r>
          </w:p>
        </w:tc>
        <w:tc>
          <w:tcPr>
            <w:tcW w:w="1296" w:type="dxa"/>
            <w:tcBorders>
              <w:top w:val="nil"/>
              <w:left w:val="nil"/>
              <w:bottom w:val="single" w:sz="4" w:space="0" w:color="auto"/>
              <w:right w:val="single" w:sz="4" w:space="0" w:color="auto"/>
            </w:tcBorders>
            <w:shd w:val="clear" w:color="auto" w:fill="auto"/>
            <w:noWrap/>
            <w:vAlign w:val="bottom"/>
          </w:tcPr>
          <w:p w:rsidR="00283C26" w:rsidRPr="00B00072" w:rsidP="00343C00" w14:paraId="177F9948" w14:textId="2F224199">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3C26" w:rsidRPr="00B00072" w:rsidP="00343C00" w14:paraId="15281B54" w14:textId="0898A7AD">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tcPr>
          <w:p w:rsidR="00283C26" w:rsidRPr="00B00072" w:rsidP="00343C00" w14:paraId="3EAD1386" w14:textId="00C0B01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tcPr>
          <w:p w:rsidR="00283C26" w:rsidRPr="00B00072" w:rsidP="00343C00" w14:paraId="10D2C364" w14:textId="3FBD4C89">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245.00</w:t>
            </w:r>
          </w:p>
        </w:tc>
        <w:tc>
          <w:tcPr>
            <w:tcW w:w="1431" w:type="dxa"/>
            <w:tcBorders>
              <w:top w:val="nil"/>
              <w:left w:val="nil"/>
              <w:bottom w:val="single" w:sz="4" w:space="0" w:color="auto"/>
              <w:right w:val="single" w:sz="4" w:space="0" w:color="auto"/>
            </w:tcBorders>
            <w:shd w:val="clear" w:color="000000" w:fill="E2A5AC"/>
            <w:noWrap/>
            <w:vAlign w:val="bottom"/>
          </w:tcPr>
          <w:p w:rsidR="00283C26" w:rsidRPr="00B00072" w:rsidP="00343C00" w14:paraId="009E804A" w14:textId="12C5A31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5,635</w:t>
            </w:r>
          </w:p>
        </w:tc>
        <w:tc>
          <w:tcPr>
            <w:tcW w:w="1264" w:type="dxa"/>
            <w:tcBorders>
              <w:top w:val="nil"/>
              <w:left w:val="nil"/>
              <w:bottom w:val="single" w:sz="4" w:space="0" w:color="auto"/>
              <w:right w:val="single" w:sz="4" w:space="0" w:color="auto"/>
            </w:tcBorders>
            <w:shd w:val="clear" w:color="auto" w:fill="auto"/>
            <w:noWrap/>
            <w:vAlign w:val="bottom"/>
          </w:tcPr>
          <w:p w:rsidR="00283C26" w:rsidRPr="00B00072" w:rsidP="00343C00" w14:paraId="5BAC49C2" w14:textId="0DD489C1">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Once</w:t>
            </w:r>
          </w:p>
        </w:tc>
      </w:tr>
      <w:tr w14:paraId="68223068" w14:textId="77777777" w:rsidTr="00565D8F">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7F2F35" w:rsidRPr="00825553" w:rsidP="00343C00" w14:paraId="621CCB41" w14:textId="6C8DE7DD">
            <w:pPr>
              <w:spacing w:after="0" w:line="240" w:lineRule="auto"/>
              <w:rPr>
                <w:sz w:val="20"/>
                <w:szCs w:val="20"/>
              </w:rPr>
            </w:pPr>
            <w:r w:rsidRPr="00825553">
              <w:rPr>
                <w:sz w:val="20"/>
                <w:szCs w:val="20"/>
              </w:rPr>
              <w:t>970.5219 Small business subcontracting plan.</w:t>
            </w:r>
          </w:p>
        </w:tc>
        <w:tc>
          <w:tcPr>
            <w:tcW w:w="1296" w:type="dxa"/>
            <w:tcBorders>
              <w:top w:val="nil"/>
              <w:left w:val="nil"/>
              <w:bottom w:val="single" w:sz="4" w:space="0" w:color="auto"/>
              <w:right w:val="single" w:sz="4" w:space="0" w:color="auto"/>
            </w:tcBorders>
            <w:shd w:val="clear" w:color="auto" w:fill="auto"/>
            <w:noWrap/>
            <w:vAlign w:val="bottom"/>
          </w:tcPr>
          <w:p w:rsidR="007F2F35" w:rsidRPr="00825553" w:rsidP="00343C00" w14:paraId="05AE710E" w14:textId="1DAA9C5A">
            <w:pPr>
              <w:spacing w:after="0" w:line="240" w:lineRule="auto"/>
              <w:rPr>
                <w:rFonts w:ascii="Calibri" w:eastAsia="Times New Roman" w:hAnsi="Calibri" w:cs="Arial"/>
                <w:color w:val="000000"/>
                <w:sz w:val="20"/>
                <w:szCs w:val="20"/>
              </w:rPr>
            </w:pPr>
            <w:r w:rsidRPr="00825553">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7F2F35" w:rsidRPr="00825553" w:rsidP="00343C00" w14:paraId="1033E3E8" w14:textId="0264AB14">
            <w:pPr>
              <w:spacing w:after="0" w:line="240" w:lineRule="auto"/>
              <w:jc w:val="center"/>
              <w:rPr>
                <w:rFonts w:ascii="Calibri" w:eastAsia="Times New Roman" w:hAnsi="Calibri" w:cs="Arial"/>
                <w:color w:val="000000"/>
                <w:sz w:val="20"/>
                <w:szCs w:val="20"/>
              </w:rPr>
            </w:pPr>
            <w:r w:rsidRPr="00825553">
              <w:rPr>
                <w:rFonts w:ascii="Calibri" w:eastAsia="Times New Roman" w:hAnsi="Calibri" w:cs="Arial"/>
                <w:color w:val="000000"/>
                <w:sz w:val="20"/>
                <w:szCs w:val="20"/>
              </w:rPr>
              <w:t>21</w:t>
            </w:r>
          </w:p>
        </w:tc>
        <w:tc>
          <w:tcPr>
            <w:tcW w:w="1158" w:type="dxa"/>
            <w:tcBorders>
              <w:top w:val="nil"/>
              <w:left w:val="nil"/>
              <w:bottom w:val="single" w:sz="4" w:space="0" w:color="auto"/>
              <w:right w:val="single" w:sz="4" w:space="0" w:color="auto"/>
            </w:tcBorders>
            <w:shd w:val="clear" w:color="auto" w:fill="E2A4AC" w:themeFill="accent5" w:themeFillTint="66"/>
            <w:noWrap/>
            <w:vAlign w:val="bottom"/>
          </w:tcPr>
          <w:p w:rsidR="007F2F35" w:rsidRPr="00825553" w:rsidP="00343C00" w14:paraId="31BAE923" w14:textId="297DA036">
            <w:pPr>
              <w:spacing w:after="0" w:line="240" w:lineRule="auto"/>
              <w:jc w:val="center"/>
              <w:rPr>
                <w:rFonts w:ascii="Calibri" w:eastAsia="Times New Roman" w:hAnsi="Calibri" w:cs="Arial"/>
                <w:color w:val="000000"/>
                <w:sz w:val="20"/>
                <w:szCs w:val="20"/>
              </w:rPr>
            </w:pPr>
            <w:r w:rsidRPr="00825553">
              <w:rPr>
                <w:rFonts w:ascii="Calibri" w:eastAsia="Times New Roman" w:hAnsi="Calibri" w:cs="Arial"/>
                <w:color w:val="000000"/>
                <w:sz w:val="20"/>
                <w:szCs w:val="20"/>
              </w:rPr>
              <w:t>252</w:t>
            </w:r>
          </w:p>
        </w:tc>
        <w:tc>
          <w:tcPr>
            <w:tcW w:w="1282" w:type="dxa"/>
            <w:tcBorders>
              <w:top w:val="nil"/>
              <w:left w:val="nil"/>
              <w:bottom w:val="single" w:sz="4" w:space="0" w:color="auto"/>
              <w:right w:val="single" w:sz="4" w:space="0" w:color="auto"/>
            </w:tcBorders>
            <w:shd w:val="clear" w:color="auto" w:fill="auto"/>
            <w:noWrap/>
            <w:vAlign w:val="bottom"/>
          </w:tcPr>
          <w:p w:rsidR="007F2F35" w:rsidRPr="00825553" w:rsidP="00343C00" w14:paraId="6A8EC3D8" w14:textId="4FA802B7">
            <w:pPr>
              <w:spacing w:after="0" w:line="240" w:lineRule="auto"/>
              <w:jc w:val="center"/>
              <w:rPr>
                <w:rFonts w:ascii="Calibri" w:eastAsia="Times New Roman" w:hAnsi="Calibri" w:cs="Arial"/>
                <w:color w:val="000000"/>
                <w:sz w:val="20"/>
                <w:szCs w:val="20"/>
              </w:rPr>
            </w:pPr>
            <w:r w:rsidRPr="00825553">
              <w:rPr>
                <w:rFonts w:ascii="Calibri" w:eastAsia="Times New Roman" w:hAnsi="Calibri" w:cs="Arial"/>
                <w:color w:val="000000"/>
                <w:sz w:val="20"/>
                <w:szCs w:val="20"/>
              </w:rPr>
              <w:t>1</w:t>
            </w:r>
            <w:r w:rsidRPr="00825553" w:rsidR="00DC2D5B">
              <w:rPr>
                <w:rFonts w:ascii="Calibri" w:eastAsia="Times New Roman" w:hAnsi="Calibri" w:cs="Arial"/>
                <w:color w:val="000000"/>
                <w:sz w:val="20"/>
                <w:szCs w:val="20"/>
              </w:rPr>
              <w:t>.0</w:t>
            </w:r>
          </w:p>
        </w:tc>
        <w:tc>
          <w:tcPr>
            <w:tcW w:w="1431" w:type="dxa"/>
            <w:tcBorders>
              <w:top w:val="nil"/>
              <w:left w:val="nil"/>
              <w:bottom w:val="single" w:sz="4" w:space="0" w:color="auto"/>
              <w:right w:val="single" w:sz="4" w:space="0" w:color="auto"/>
            </w:tcBorders>
            <w:shd w:val="clear" w:color="auto" w:fill="E2A4AC" w:themeFill="accent5" w:themeFillTint="66"/>
            <w:noWrap/>
            <w:vAlign w:val="bottom"/>
          </w:tcPr>
          <w:p w:rsidR="007F2F35" w:rsidRPr="00825553" w:rsidP="00343C00" w14:paraId="01FC3766" w14:textId="1501A427">
            <w:pPr>
              <w:spacing w:after="0" w:line="240" w:lineRule="auto"/>
              <w:jc w:val="center"/>
              <w:rPr>
                <w:rFonts w:ascii="Calibri" w:eastAsia="Times New Roman" w:hAnsi="Calibri" w:cs="Arial"/>
                <w:color w:val="000000"/>
                <w:sz w:val="20"/>
                <w:szCs w:val="20"/>
              </w:rPr>
            </w:pPr>
            <w:r w:rsidRPr="00825553">
              <w:rPr>
                <w:rFonts w:ascii="Calibri" w:eastAsia="Times New Roman" w:hAnsi="Calibri" w:cs="Arial"/>
                <w:color w:val="000000"/>
                <w:sz w:val="20"/>
                <w:szCs w:val="20"/>
              </w:rPr>
              <w:t>252</w:t>
            </w:r>
          </w:p>
        </w:tc>
        <w:tc>
          <w:tcPr>
            <w:tcW w:w="1264" w:type="dxa"/>
            <w:tcBorders>
              <w:top w:val="nil"/>
              <w:left w:val="nil"/>
              <w:bottom w:val="single" w:sz="4" w:space="0" w:color="auto"/>
              <w:right w:val="single" w:sz="4" w:space="0" w:color="auto"/>
            </w:tcBorders>
            <w:shd w:val="clear" w:color="auto" w:fill="auto"/>
            <w:noWrap/>
            <w:vAlign w:val="bottom"/>
          </w:tcPr>
          <w:p w:rsidR="007F2F35" w:rsidRPr="00825553" w:rsidP="00343C00" w14:paraId="43E5F62F" w14:textId="3F8478CD">
            <w:pPr>
              <w:spacing w:after="0" w:line="240" w:lineRule="auto"/>
              <w:jc w:val="center"/>
              <w:rPr>
                <w:rFonts w:ascii="Calibri" w:eastAsia="Times New Roman" w:hAnsi="Calibri" w:cs="Arial"/>
                <w:color w:val="000000"/>
                <w:sz w:val="20"/>
                <w:szCs w:val="20"/>
              </w:rPr>
            </w:pPr>
            <w:r w:rsidRPr="00825553">
              <w:rPr>
                <w:rFonts w:ascii="Calibri" w:eastAsia="Times New Roman" w:hAnsi="Calibri" w:cs="Arial"/>
                <w:color w:val="000000"/>
                <w:sz w:val="20"/>
                <w:szCs w:val="20"/>
              </w:rPr>
              <w:t>Once</w:t>
            </w:r>
          </w:p>
        </w:tc>
      </w:tr>
      <w:tr w14:paraId="349CE49F"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0E4009" w:rsidRPr="007F2F35" w:rsidP="00343C00" w14:paraId="2307DCE1" w14:textId="35F7935C">
            <w:pPr>
              <w:spacing w:after="0" w:line="240" w:lineRule="auto"/>
              <w:rPr>
                <w:sz w:val="20"/>
                <w:szCs w:val="20"/>
              </w:rPr>
            </w:pPr>
            <w:r w:rsidRPr="00BC7152">
              <w:rPr>
                <w:sz w:val="20"/>
                <w:szCs w:val="20"/>
              </w:rPr>
              <w:t>970.5222-4 Unemployment compensation.</w:t>
            </w:r>
          </w:p>
        </w:tc>
        <w:tc>
          <w:tcPr>
            <w:tcW w:w="1296" w:type="dxa"/>
            <w:tcBorders>
              <w:top w:val="nil"/>
              <w:left w:val="nil"/>
              <w:bottom w:val="single" w:sz="4" w:space="0" w:color="auto"/>
              <w:right w:val="single" w:sz="4" w:space="0" w:color="auto"/>
            </w:tcBorders>
            <w:shd w:val="clear" w:color="auto" w:fill="auto"/>
            <w:noWrap/>
            <w:vAlign w:val="bottom"/>
          </w:tcPr>
          <w:p w:rsidR="000E4009" w:rsidP="00343C00" w14:paraId="7FB174A8" w14:textId="250C2B40">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0E4009" w:rsidP="00343C00" w14:paraId="55D557D4" w14:textId="6AA44DD5">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0E4009" w:rsidP="00343C00" w14:paraId="74973129" w14:textId="560E222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0E4009" w:rsidP="00343C00" w14:paraId="6745E73B" w14:textId="362CDB87">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1.0</w:t>
            </w:r>
            <w:r w:rsidR="00561362">
              <w:rPr>
                <w:rFonts w:ascii="Calibri" w:eastAsia="Times New Roman" w:hAnsi="Calibri" w:cs="Arial"/>
                <w:color w:val="000000"/>
                <w:sz w:val="20"/>
                <w:szCs w:val="20"/>
              </w:rPr>
              <w:t>0</w:t>
            </w:r>
          </w:p>
        </w:tc>
        <w:tc>
          <w:tcPr>
            <w:tcW w:w="1431" w:type="dxa"/>
            <w:tcBorders>
              <w:top w:val="nil"/>
              <w:left w:val="nil"/>
              <w:bottom w:val="single" w:sz="4" w:space="0" w:color="auto"/>
              <w:right w:val="single" w:sz="4" w:space="0" w:color="auto"/>
            </w:tcBorders>
            <w:shd w:val="clear" w:color="000000" w:fill="E2A5AC"/>
            <w:noWrap/>
            <w:vAlign w:val="bottom"/>
          </w:tcPr>
          <w:p w:rsidR="000E4009" w:rsidP="00343C00" w14:paraId="7FC4ADA7" w14:textId="438CC78F">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0E4009" w:rsidRPr="000E4009" w:rsidP="00343C00" w14:paraId="3746DD19" w14:textId="3F86AE90">
            <w:pPr>
              <w:spacing w:after="0" w:line="240" w:lineRule="auto"/>
              <w:jc w:val="center"/>
              <w:rPr>
                <w:rFonts w:ascii="Calibri" w:eastAsia="Times New Roman" w:hAnsi="Calibri" w:cs="Arial"/>
                <w:color w:val="000000"/>
                <w:sz w:val="20"/>
                <w:szCs w:val="20"/>
                <w:highlight w:val="yellow"/>
              </w:rPr>
            </w:pPr>
            <w:r w:rsidRPr="00275E21">
              <w:rPr>
                <w:rFonts w:ascii="Calibri" w:eastAsia="Times New Roman" w:hAnsi="Calibri" w:cs="Arial"/>
                <w:color w:val="000000"/>
                <w:sz w:val="20"/>
                <w:szCs w:val="20"/>
              </w:rPr>
              <w:t>Once</w:t>
            </w:r>
          </w:p>
        </w:tc>
      </w:tr>
      <w:tr w14:paraId="0325871B"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664AC001" w14:textId="77777777">
            <w:pPr>
              <w:spacing w:after="0" w:line="240" w:lineRule="auto"/>
              <w:rPr>
                <w:sz w:val="20"/>
                <w:szCs w:val="20"/>
              </w:rPr>
            </w:pPr>
            <w:r w:rsidRPr="00B00072">
              <w:rPr>
                <w:sz w:val="20"/>
                <w:szCs w:val="20"/>
              </w:rPr>
              <w:t>970.5223-1, Integration of environment, safety, and health into work planning and execution.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CB4D2A2"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20017CC0" w14:textId="313799DE">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7</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741B9ACD" w14:textId="3D16AD3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7</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620EAE7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245.00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68491A12" w14:textId="29FF1EF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1,715</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577A1FD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55E5409"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53D54070" w14:textId="77777777">
            <w:pPr>
              <w:spacing w:after="0" w:line="240" w:lineRule="auto"/>
              <w:rPr>
                <w:rFonts w:ascii="Calibri" w:eastAsia="Times New Roman" w:hAnsi="Calibri" w:cs="Arial"/>
                <w:color w:val="000000"/>
                <w:sz w:val="20"/>
                <w:szCs w:val="20"/>
              </w:rPr>
            </w:pPr>
            <w:r w:rsidRPr="00B00072">
              <w:rPr>
                <w:sz w:val="20"/>
                <w:szCs w:val="20"/>
              </w:rPr>
              <w:t>970.5226-1, Diversity plan.</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3715E0E1"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5D60E98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69ECFA4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434A3BC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39.61</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11E40DC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911</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74F2100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C7F7B9D"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0ECA8F40" w14:textId="77777777">
            <w:pPr>
              <w:spacing w:after="0" w:line="240" w:lineRule="auto"/>
              <w:rPr>
                <w:rFonts w:ascii="Calibri" w:eastAsia="Times New Roman" w:hAnsi="Calibri" w:cs="Arial"/>
                <w:color w:val="000000"/>
                <w:sz w:val="20"/>
                <w:szCs w:val="20"/>
              </w:rPr>
            </w:pPr>
            <w:r w:rsidRPr="00B00072">
              <w:rPr>
                <w:sz w:val="20"/>
                <w:szCs w:val="20"/>
              </w:rPr>
              <w:t>970.5227-1, Rights in data-facilities.</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0BE643A6"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BBDF00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60AE034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0EC08041" w14:textId="6866F025">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w:t>
            </w:r>
            <w:r w:rsidR="00B90333">
              <w:rPr>
                <w:rFonts w:ascii="Calibri" w:eastAsia="Times New Roman" w:hAnsi="Calibri" w:cs="Arial"/>
                <w:color w:val="000000"/>
                <w:sz w:val="20"/>
                <w:szCs w:val="20"/>
              </w:rPr>
              <w:t>4</w:t>
            </w:r>
            <w:r w:rsidRPr="00B00072">
              <w:rPr>
                <w:rFonts w:ascii="Calibri" w:eastAsia="Times New Roman" w:hAnsi="Calibri" w:cs="Arial"/>
                <w:color w:val="000000"/>
                <w:sz w:val="20"/>
                <w:szCs w:val="20"/>
              </w:rPr>
              <w:t>.83</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0A04FFB4" w14:textId="50179E7F">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w:t>
            </w:r>
            <w:r w:rsidR="007601BE">
              <w:rPr>
                <w:rFonts w:ascii="Calibri" w:eastAsia="Times New Roman" w:hAnsi="Calibri" w:cs="Arial"/>
                <w:color w:val="000000"/>
                <w:sz w:val="20"/>
                <w:szCs w:val="20"/>
              </w:rPr>
              <w:t>721</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7CD257C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A8E385D"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31B60097" w14:textId="77777777">
            <w:pPr>
              <w:spacing w:after="0" w:line="240" w:lineRule="auto"/>
              <w:rPr>
                <w:rFonts w:ascii="Calibri" w:eastAsia="Times New Roman" w:hAnsi="Calibri" w:cs="Arial"/>
                <w:color w:val="000000"/>
                <w:sz w:val="20"/>
                <w:szCs w:val="20"/>
              </w:rPr>
            </w:pPr>
            <w:r w:rsidRPr="00B00072">
              <w:rPr>
                <w:sz w:val="20"/>
                <w:szCs w:val="20"/>
              </w:rPr>
              <w:t>970.5227-2, Rights in data-technology transfer.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2E41706E"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F83020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7FF2A19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A2EC54D" w14:textId="661BCAF4">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w:t>
            </w:r>
            <w:r w:rsidR="003D7215">
              <w:rPr>
                <w:rFonts w:ascii="Calibri" w:eastAsia="Times New Roman" w:hAnsi="Calibri" w:cs="Arial"/>
                <w:color w:val="000000"/>
                <w:sz w:val="20"/>
                <w:szCs w:val="20"/>
              </w:rPr>
              <w:t>3</w:t>
            </w:r>
            <w:r w:rsidRPr="00B00072">
              <w:rPr>
                <w:rFonts w:ascii="Calibri" w:eastAsia="Times New Roman" w:hAnsi="Calibri" w:cs="Arial"/>
                <w:color w:val="000000"/>
                <w:sz w:val="20"/>
                <w:szCs w:val="20"/>
              </w:rPr>
              <w:t>.</w:t>
            </w:r>
            <w:r w:rsidR="003D7215">
              <w:rPr>
                <w:rFonts w:ascii="Calibri" w:eastAsia="Times New Roman" w:hAnsi="Calibri" w:cs="Arial"/>
                <w:color w:val="000000"/>
                <w:sz w:val="20"/>
                <w:szCs w:val="20"/>
              </w:rPr>
              <w:t>00</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0F53D68B" w14:textId="5345EEF2">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1,67</w:t>
            </w:r>
            <w:r w:rsidR="009E716A">
              <w:rPr>
                <w:rFonts w:ascii="Calibri" w:eastAsia="Times New Roman" w:hAnsi="Calibri" w:cs="Arial"/>
                <w:color w:val="000000"/>
                <w:sz w:val="20"/>
                <w:szCs w:val="20"/>
              </w:rPr>
              <w:t>9</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E5A557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132D5C69"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0D14F1C0" w14:textId="77777777">
            <w:pPr>
              <w:spacing w:after="0" w:line="240" w:lineRule="auto"/>
              <w:rPr>
                <w:rFonts w:ascii="Calibri" w:eastAsia="Times New Roman" w:hAnsi="Calibri" w:cs="Arial"/>
                <w:color w:val="000000"/>
                <w:sz w:val="20"/>
                <w:szCs w:val="20"/>
              </w:rPr>
            </w:pPr>
            <w:r w:rsidRPr="00B00072">
              <w:rPr>
                <w:sz w:val="20"/>
                <w:szCs w:val="20"/>
              </w:rPr>
              <w:t>970.5227-3, Technology transfer mission.</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778AFB6F"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29DCC35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153FB24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47A84D47" w14:textId="3CECA0DE">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w:t>
            </w:r>
            <w:r w:rsidR="00A90C57">
              <w:rPr>
                <w:rFonts w:ascii="Calibri" w:eastAsia="Times New Roman" w:hAnsi="Calibri" w:cs="Arial"/>
                <w:color w:val="000000"/>
                <w:sz w:val="20"/>
                <w:szCs w:val="20"/>
              </w:rPr>
              <w:t>1</w:t>
            </w:r>
            <w:r w:rsidRPr="00B00072">
              <w:rPr>
                <w:rFonts w:ascii="Calibri" w:eastAsia="Times New Roman" w:hAnsi="Calibri" w:cs="Arial"/>
                <w:color w:val="000000"/>
                <w:sz w:val="20"/>
                <w:szCs w:val="20"/>
              </w:rPr>
              <w:t>.83</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1EA968B3" w14:textId="5CE42E2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w:t>
            </w:r>
            <w:r w:rsidR="00833EA7">
              <w:rPr>
                <w:rFonts w:ascii="Calibri" w:eastAsia="Times New Roman" w:hAnsi="Calibri" w:cs="Arial"/>
                <w:color w:val="000000"/>
                <w:sz w:val="20"/>
                <w:szCs w:val="20"/>
              </w:rPr>
              <w:t>52</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64224E9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EA20E25"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4E3ED70D" w14:textId="77777777">
            <w:pPr>
              <w:spacing w:after="0" w:line="240" w:lineRule="auto"/>
              <w:rPr>
                <w:rFonts w:ascii="Calibri" w:eastAsia="Times New Roman" w:hAnsi="Calibri" w:cs="Arial"/>
                <w:color w:val="000000"/>
                <w:sz w:val="20"/>
                <w:szCs w:val="20"/>
              </w:rPr>
            </w:pPr>
            <w:r w:rsidRPr="00B00072">
              <w:rPr>
                <w:sz w:val="20"/>
                <w:szCs w:val="20"/>
              </w:rPr>
              <w:t>970.5227-10, Patent rights-management and operating contracts, nonprofit organization or small business firm 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BCCDC52"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D2D246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27D9A15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630F42FF" w14:textId="38CB6F4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w:t>
            </w:r>
            <w:r w:rsidR="00EA4E31">
              <w:rPr>
                <w:rFonts w:ascii="Calibri" w:eastAsia="Times New Roman" w:hAnsi="Calibri" w:cs="Arial"/>
                <w:color w:val="000000"/>
                <w:sz w:val="20"/>
                <w:szCs w:val="20"/>
              </w:rPr>
              <w:t>4</w:t>
            </w:r>
            <w:r w:rsidRPr="00B00072">
              <w:rPr>
                <w:rFonts w:ascii="Calibri" w:eastAsia="Times New Roman" w:hAnsi="Calibri" w:cs="Arial"/>
                <w:color w:val="000000"/>
                <w:sz w:val="20"/>
                <w:szCs w:val="20"/>
              </w:rPr>
              <w:t>.83</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5B8A19E9" w14:textId="6F78B9DA">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w:t>
            </w:r>
            <w:r w:rsidR="00EA4E31">
              <w:rPr>
                <w:rFonts w:ascii="Calibri" w:eastAsia="Times New Roman" w:hAnsi="Calibri" w:cs="Arial"/>
                <w:color w:val="000000"/>
                <w:sz w:val="20"/>
                <w:szCs w:val="20"/>
              </w:rPr>
              <w:t>721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5C10E15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0A1B0F1"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7A0549C0" w14:textId="77777777">
            <w:pPr>
              <w:spacing w:after="0" w:line="240" w:lineRule="auto"/>
              <w:rPr>
                <w:rFonts w:ascii="Calibri" w:eastAsia="Times New Roman" w:hAnsi="Calibri" w:cs="Arial"/>
                <w:color w:val="000000"/>
                <w:sz w:val="20"/>
                <w:szCs w:val="20"/>
              </w:rPr>
            </w:pPr>
            <w:r w:rsidRPr="00B00072">
              <w:rPr>
                <w:sz w:val="20"/>
                <w:szCs w:val="20"/>
              </w:rPr>
              <w:t>970.5227-11, Patent rights-management and operating contracts, for-profit contractor, non-technology transfer.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37EB4050"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70F16C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78E8ADD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11623F77" w14:textId="6CF83774">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w:t>
            </w:r>
            <w:r w:rsidR="00FE6748">
              <w:rPr>
                <w:rFonts w:ascii="Calibri" w:eastAsia="Times New Roman" w:hAnsi="Calibri" w:cs="Arial"/>
                <w:color w:val="000000"/>
                <w:sz w:val="20"/>
                <w:szCs w:val="20"/>
              </w:rPr>
              <w:t>3</w:t>
            </w:r>
            <w:r w:rsidRPr="00B00072">
              <w:rPr>
                <w:rFonts w:ascii="Calibri" w:eastAsia="Times New Roman" w:hAnsi="Calibri" w:cs="Arial"/>
                <w:color w:val="000000"/>
                <w:sz w:val="20"/>
                <w:szCs w:val="20"/>
              </w:rPr>
              <w:t>.</w:t>
            </w:r>
            <w:r w:rsidR="00FE6748">
              <w:rPr>
                <w:rFonts w:ascii="Calibri" w:eastAsia="Times New Roman" w:hAnsi="Calibri" w:cs="Arial"/>
                <w:color w:val="000000"/>
                <w:sz w:val="20"/>
                <w:szCs w:val="20"/>
              </w:rPr>
              <w:t>00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012985C9" w14:textId="097460DE">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1,67</w:t>
            </w:r>
            <w:r w:rsidR="00FE6748">
              <w:rPr>
                <w:rFonts w:ascii="Calibri" w:eastAsia="Times New Roman" w:hAnsi="Calibri" w:cs="Arial"/>
                <w:color w:val="000000"/>
                <w:sz w:val="20"/>
                <w:szCs w:val="20"/>
              </w:rPr>
              <w:t>9</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30FE236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76A1D944"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760DD032" w14:textId="77777777">
            <w:pPr>
              <w:spacing w:after="0" w:line="240" w:lineRule="auto"/>
              <w:rPr>
                <w:rFonts w:ascii="Calibri" w:eastAsia="Times New Roman" w:hAnsi="Calibri" w:cs="Arial"/>
                <w:color w:val="000000"/>
                <w:sz w:val="20"/>
                <w:szCs w:val="20"/>
              </w:rPr>
            </w:pPr>
            <w:r w:rsidRPr="00B00072">
              <w:rPr>
                <w:sz w:val="20"/>
                <w:szCs w:val="20"/>
              </w:rPr>
              <w:t>970.5227-12, Patent rights-management and operating contracts, for-profit contractor, advance class waiver.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AF91108"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100F095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2BE6399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23</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3A3CB17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72.83</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571315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1,675</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27ED44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07E2667B"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3A18F81F" w14:textId="77777777">
            <w:pPr>
              <w:spacing w:after="0" w:line="240" w:lineRule="auto"/>
              <w:rPr>
                <w:rFonts w:ascii="Calibri" w:eastAsia="Times New Roman" w:hAnsi="Calibri" w:cs="Arial"/>
                <w:color w:val="000000"/>
                <w:sz w:val="20"/>
                <w:szCs w:val="20"/>
              </w:rPr>
            </w:pPr>
            <w:r w:rsidRPr="00B00072">
              <w:rPr>
                <w:sz w:val="20"/>
                <w:szCs w:val="20"/>
              </w:rPr>
              <w:t>970.5228-1, Insurance-Litigation and claims.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6AF37ED2"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1A553C0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52EC5DD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50D9BD2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880.50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C3A6127"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19,371</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6ADE2C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5A7BF96"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3824358" w14:textId="77777777">
            <w:pPr>
              <w:spacing w:after="0" w:line="240" w:lineRule="auto"/>
              <w:rPr>
                <w:rFonts w:ascii="Calibri" w:eastAsia="Times New Roman" w:hAnsi="Calibri" w:cs="Arial"/>
                <w:color w:val="000000"/>
                <w:sz w:val="20"/>
                <w:szCs w:val="20"/>
              </w:rPr>
            </w:pPr>
            <w:r w:rsidRPr="00B00072">
              <w:rPr>
                <w:sz w:val="20"/>
                <w:szCs w:val="20"/>
              </w:rPr>
              <w:t>970.5229-1, State and local taxes.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75E4576"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469B861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5773684F"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01757DA3" w14:textId="3AE36E43">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r w:rsidR="00561362">
              <w:rPr>
                <w:rFonts w:ascii="Calibri" w:eastAsia="Times New Roman" w:hAnsi="Calibri" w:cs="Arial"/>
                <w:color w:val="000000"/>
                <w:sz w:val="20"/>
                <w:szCs w:val="20"/>
              </w:rPr>
              <w:t>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13618F03"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20B833C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65EBA0EA"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F6DAE9B" w14:textId="77777777">
            <w:pPr>
              <w:spacing w:after="0" w:line="240" w:lineRule="auto"/>
              <w:rPr>
                <w:rFonts w:ascii="Calibri" w:eastAsia="Times New Roman" w:hAnsi="Calibri" w:cs="Arial"/>
                <w:color w:val="000000"/>
                <w:sz w:val="20"/>
                <w:szCs w:val="20"/>
              </w:rPr>
            </w:pPr>
            <w:r w:rsidRPr="00B00072">
              <w:rPr>
                <w:sz w:val="20"/>
                <w:szCs w:val="20"/>
              </w:rPr>
              <w:t>970.5232-2, Payments and advances.</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4DD028A7"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 xml:space="preserve">Contractor </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45B47F4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3883ED96"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22</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383E53B5"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7,745.23</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4A1E13C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170,395</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EE9AF0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4BA2AE7F"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1B890C0C" w14:textId="77777777">
            <w:pPr>
              <w:spacing w:after="0" w:line="240" w:lineRule="auto"/>
              <w:rPr>
                <w:rFonts w:ascii="Calibri" w:eastAsia="Times New Roman" w:hAnsi="Calibri" w:cs="Arial"/>
                <w:color w:val="000000"/>
                <w:sz w:val="20"/>
                <w:szCs w:val="20"/>
              </w:rPr>
            </w:pPr>
            <w:r w:rsidRPr="00B00072">
              <w:rPr>
                <w:sz w:val="20"/>
                <w:szCs w:val="20"/>
              </w:rPr>
              <w:t>970.5232-3, Accounts, records, and inspection.</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39FF66F"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5ABDE481"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25</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41F3FD2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25</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4843CEA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7,037.52</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6C5AF44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175,938</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785ABA1C"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693935F1"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tcPr>
          <w:p w:rsidR="002846AA" w:rsidRPr="00B00072" w:rsidP="00343C00" w14:paraId="3B0D0E63" w14:textId="77777777">
            <w:pPr>
              <w:spacing w:after="0" w:line="240" w:lineRule="auto"/>
              <w:rPr>
                <w:rFonts w:ascii="Calibri" w:eastAsia="Times New Roman" w:hAnsi="Calibri" w:cs="Arial"/>
                <w:color w:val="000000"/>
                <w:sz w:val="20"/>
                <w:szCs w:val="20"/>
              </w:rPr>
            </w:pPr>
            <w:r w:rsidRPr="00B00072">
              <w:rPr>
                <w:sz w:val="20"/>
                <w:szCs w:val="20"/>
              </w:rPr>
              <w:t>970.5236-1, Government facility subcontract approval.</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7EEDB40B"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tcPr>
          <w:p w:rsidR="002846AA" w:rsidRPr="00B00072" w:rsidP="00343C00" w14:paraId="0021002A"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158" w:type="dxa"/>
            <w:tcBorders>
              <w:top w:val="nil"/>
              <w:left w:val="nil"/>
              <w:bottom w:val="single" w:sz="4" w:space="0" w:color="auto"/>
              <w:right w:val="single" w:sz="4" w:space="0" w:color="auto"/>
            </w:tcBorders>
            <w:shd w:val="clear" w:color="000000" w:fill="E2A5AC"/>
            <w:noWrap/>
            <w:vAlign w:val="bottom"/>
          </w:tcPr>
          <w:p w:rsidR="002846AA" w:rsidRPr="00B00072" w:rsidP="00343C00" w14:paraId="0D0FE99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82" w:type="dxa"/>
            <w:tcBorders>
              <w:top w:val="nil"/>
              <w:left w:val="nil"/>
              <w:bottom w:val="single" w:sz="4" w:space="0" w:color="auto"/>
              <w:right w:val="single" w:sz="4" w:space="0" w:color="auto"/>
            </w:tcBorders>
            <w:shd w:val="clear" w:color="auto" w:fill="auto"/>
            <w:noWrap/>
            <w:vAlign w:val="bottom"/>
          </w:tcPr>
          <w:p w:rsidR="002846AA" w:rsidRPr="00B00072" w:rsidP="00343C00" w14:paraId="3681A871" w14:textId="23EA79DA">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r w:rsidR="00561362">
              <w:rPr>
                <w:rFonts w:ascii="Calibri" w:eastAsia="Times New Roman" w:hAnsi="Calibri" w:cs="Arial"/>
                <w:color w:val="000000"/>
                <w:sz w:val="20"/>
                <w:szCs w:val="20"/>
              </w:rPr>
              <w:t>0</w:t>
            </w:r>
          </w:p>
        </w:tc>
        <w:tc>
          <w:tcPr>
            <w:tcW w:w="1431" w:type="dxa"/>
            <w:tcBorders>
              <w:top w:val="nil"/>
              <w:left w:val="nil"/>
              <w:bottom w:val="single" w:sz="4" w:space="0" w:color="auto"/>
              <w:right w:val="single" w:sz="4" w:space="0" w:color="auto"/>
            </w:tcBorders>
            <w:shd w:val="clear" w:color="000000" w:fill="E2A5AC"/>
            <w:noWrap/>
            <w:vAlign w:val="bottom"/>
          </w:tcPr>
          <w:p w:rsidR="002846AA" w:rsidRPr="00B00072" w:rsidP="00343C00" w14:paraId="2727C3B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w:t>
            </w:r>
          </w:p>
        </w:tc>
        <w:tc>
          <w:tcPr>
            <w:tcW w:w="1264" w:type="dxa"/>
            <w:tcBorders>
              <w:top w:val="nil"/>
              <w:left w:val="nil"/>
              <w:bottom w:val="single" w:sz="4" w:space="0" w:color="auto"/>
              <w:right w:val="single" w:sz="4" w:space="0" w:color="auto"/>
            </w:tcBorders>
            <w:shd w:val="clear" w:color="auto" w:fill="auto"/>
            <w:noWrap/>
            <w:vAlign w:val="bottom"/>
          </w:tcPr>
          <w:p w:rsidR="002846AA" w:rsidRPr="00B00072" w:rsidP="00343C00" w14:paraId="3B8B474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44FA5B78"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52D75AA2" w14:textId="77777777">
            <w:pPr>
              <w:spacing w:after="0" w:line="240" w:lineRule="auto"/>
              <w:rPr>
                <w:rFonts w:ascii="Calibri" w:eastAsia="Times New Roman" w:hAnsi="Calibri" w:cs="Arial"/>
                <w:color w:val="000000"/>
                <w:sz w:val="20"/>
                <w:szCs w:val="20"/>
              </w:rPr>
            </w:pPr>
            <w:r w:rsidRPr="00B00072">
              <w:rPr>
                <w:sz w:val="20"/>
                <w:szCs w:val="20"/>
              </w:rPr>
              <w:t>970.5243-1, Changes.</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2ABCCAE6"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27C0AF6D"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18</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2616A23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18</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4D5A0BF8"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40.28</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128A09D4"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725</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54A7D09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2563586E"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B00072" w:rsidP="00343C00" w14:paraId="5393D4EC" w14:textId="77777777">
            <w:pPr>
              <w:spacing w:after="0" w:line="240" w:lineRule="auto"/>
              <w:rPr>
                <w:rFonts w:ascii="Calibri" w:eastAsia="Times New Roman" w:hAnsi="Calibri" w:cs="Arial"/>
                <w:color w:val="000000"/>
                <w:sz w:val="20"/>
                <w:szCs w:val="20"/>
              </w:rPr>
            </w:pPr>
            <w:r w:rsidRPr="00B00072">
              <w:rPr>
                <w:sz w:val="20"/>
                <w:szCs w:val="20"/>
              </w:rPr>
              <w:t>970.5245-1, Property.</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695C42C4" w14:textId="77777777">
            <w:pPr>
              <w:spacing w:after="0" w:line="240" w:lineRule="auto"/>
              <w:rPr>
                <w:rFonts w:ascii="Calibri" w:eastAsia="Times New Roman" w:hAnsi="Calibri" w:cs="Arial"/>
                <w:color w:val="000000"/>
                <w:sz w:val="20"/>
                <w:szCs w:val="20"/>
              </w:rPr>
            </w:pPr>
            <w:r w:rsidRPr="00B00072">
              <w:rPr>
                <w:rFonts w:ascii="Calibri" w:eastAsia="Times New Roman" w:hAnsi="Calibri" w:cs="Arial"/>
                <w:color w:val="000000"/>
                <w:sz w:val="20"/>
                <w:szCs w:val="20"/>
              </w:rPr>
              <w:t>Contractor</w:t>
            </w:r>
          </w:p>
        </w:tc>
        <w:tc>
          <w:tcPr>
            <w:tcW w:w="1296"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37A3BA9"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36</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534F8FCB"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36</w:t>
            </w:r>
          </w:p>
        </w:tc>
        <w:tc>
          <w:tcPr>
            <w:tcW w:w="1282"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2E4C50F0"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1,000.00</w:t>
            </w: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B00072" w:rsidP="00343C00" w14:paraId="40C9DA22"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36,000</w:t>
            </w:r>
          </w:p>
        </w:tc>
        <w:tc>
          <w:tcPr>
            <w:tcW w:w="1264" w:type="dxa"/>
            <w:tcBorders>
              <w:top w:val="nil"/>
              <w:left w:val="nil"/>
              <w:bottom w:val="single" w:sz="4" w:space="0" w:color="auto"/>
              <w:right w:val="single" w:sz="4" w:space="0" w:color="auto"/>
            </w:tcBorders>
            <w:shd w:val="clear" w:color="auto" w:fill="auto"/>
            <w:noWrap/>
            <w:vAlign w:val="bottom"/>
            <w:hideMark/>
          </w:tcPr>
          <w:p w:rsidR="002846AA" w:rsidRPr="00B00072" w:rsidP="00343C00" w14:paraId="1AC2271E" w14:textId="77777777">
            <w:pPr>
              <w:spacing w:after="0" w:line="240" w:lineRule="auto"/>
              <w:jc w:val="center"/>
              <w:rPr>
                <w:rFonts w:ascii="Calibri" w:eastAsia="Times New Roman" w:hAnsi="Calibri" w:cs="Arial"/>
                <w:color w:val="000000"/>
                <w:sz w:val="20"/>
                <w:szCs w:val="20"/>
              </w:rPr>
            </w:pPr>
            <w:r w:rsidRPr="00B00072">
              <w:rPr>
                <w:rFonts w:ascii="Calibri" w:eastAsia="Times New Roman" w:hAnsi="Calibri" w:cs="Arial"/>
                <w:color w:val="000000"/>
                <w:sz w:val="20"/>
                <w:szCs w:val="20"/>
              </w:rPr>
              <w:t>Once</w:t>
            </w:r>
          </w:p>
        </w:tc>
      </w:tr>
      <w:tr w14:paraId="5F24820C" w14:textId="77777777" w:rsidTr="00561362">
        <w:tblPrEx>
          <w:tblW w:w="10020" w:type="dxa"/>
          <w:tblLook w:val="04A0"/>
        </w:tblPrEx>
        <w:trPr>
          <w:trHeight w:val="255"/>
        </w:trPr>
        <w:tc>
          <w:tcPr>
            <w:tcW w:w="2293" w:type="dxa"/>
            <w:tcBorders>
              <w:top w:val="nil"/>
              <w:left w:val="single" w:sz="4" w:space="0" w:color="auto"/>
              <w:bottom w:val="single" w:sz="4" w:space="0" w:color="auto"/>
              <w:right w:val="single" w:sz="4" w:space="0" w:color="auto"/>
            </w:tcBorders>
            <w:shd w:val="clear" w:color="auto" w:fill="auto"/>
            <w:vAlign w:val="bottom"/>
            <w:hideMark/>
          </w:tcPr>
          <w:p w:rsidR="002846AA" w:rsidRPr="00A87AC1" w:rsidP="00343C00" w14:paraId="6F444614" w14:textId="77777777">
            <w:pPr>
              <w:spacing w:after="0" w:line="240" w:lineRule="auto"/>
              <w:rPr>
                <w:rFonts w:ascii="Calibri" w:eastAsia="Times New Roman" w:hAnsi="Calibri" w:cs="Arial"/>
                <w:b/>
                <w:bCs/>
                <w:color w:val="000000"/>
                <w:sz w:val="20"/>
                <w:szCs w:val="20"/>
              </w:rPr>
            </w:pPr>
            <w:r w:rsidRPr="00A87AC1">
              <w:rPr>
                <w:rFonts w:ascii="Calibri" w:eastAsia="Times New Roman" w:hAnsi="Calibri" w:cs="Arial"/>
                <w:b/>
                <w:bCs/>
                <w:color w:val="000000"/>
                <w:sz w:val="20"/>
                <w:szCs w:val="20"/>
              </w:rPr>
              <w:t>TOTAL</w:t>
            </w:r>
          </w:p>
        </w:tc>
        <w:tc>
          <w:tcPr>
            <w:tcW w:w="1296" w:type="dxa"/>
            <w:tcBorders>
              <w:top w:val="nil"/>
              <w:left w:val="nil"/>
              <w:bottom w:val="single" w:sz="4" w:space="0" w:color="auto"/>
              <w:right w:val="single" w:sz="4" w:space="0" w:color="auto"/>
            </w:tcBorders>
            <w:shd w:val="clear" w:color="000000" w:fill="333333"/>
            <w:noWrap/>
            <w:vAlign w:val="bottom"/>
            <w:hideMark/>
          </w:tcPr>
          <w:p w:rsidR="002846AA" w:rsidRPr="00A87AC1" w:rsidP="00343C00" w14:paraId="29417077" w14:textId="77777777">
            <w:pPr>
              <w:spacing w:after="0" w:line="240" w:lineRule="auto"/>
              <w:rPr>
                <w:rFonts w:ascii="Calibri" w:eastAsia="Times New Roman" w:hAnsi="Calibri" w:cs="Arial"/>
                <w:b/>
                <w:bCs/>
                <w:color w:val="000000"/>
                <w:sz w:val="20"/>
                <w:szCs w:val="20"/>
              </w:rPr>
            </w:pPr>
            <w:r w:rsidRPr="00A87AC1">
              <w:rPr>
                <w:rFonts w:ascii="Calibri" w:eastAsia="Times New Roman" w:hAnsi="Calibri" w:cs="Arial"/>
                <w:b/>
                <w:bCs/>
                <w:color w:val="000000"/>
                <w:sz w:val="20"/>
                <w:szCs w:val="20"/>
              </w:rPr>
              <w:t> </w:t>
            </w:r>
          </w:p>
        </w:tc>
        <w:tc>
          <w:tcPr>
            <w:tcW w:w="1296" w:type="dxa"/>
            <w:tcBorders>
              <w:top w:val="nil"/>
              <w:left w:val="nil"/>
              <w:bottom w:val="single" w:sz="4" w:space="0" w:color="auto"/>
              <w:right w:val="single" w:sz="4" w:space="0" w:color="auto"/>
            </w:tcBorders>
            <w:shd w:val="clear" w:color="000000" w:fill="E2A5AC"/>
            <w:noWrap/>
            <w:vAlign w:val="bottom"/>
            <w:hideMark/>
          </w:tcPr>
          <w:p w:rsidR="002846AA" w:rsidRPr="00A87AC1" w:rsidP="00343C00" w14:paraId="4E84612B" w14:textId="5FE86399">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7,</w:t>
            </w:r>
            <w:r w:rsidR="00C6742C">
              <w:rPr>
                <w:rFonts w:ascii="Calibri" w:eastAsia="Times New Roman" w:hAnsi="Calibri" w:cs="Arial"/>
                <w:b/>
                <w:bCs/>
                <w:color w:val="000000"/>
                <w:sz w:val="20"/>
                <w:szCs w:val="20"/>
              </w:rPr>
              <w:t>4</w:t>
            </w:r>
            <w:r w:rsidR="000024FD">
              <w:rPr>
                <w:rFonts w:ascii="Calibri" w:eastAsia="Times New Roman" w:hAnsi="Calibri" w:cs="Arial"/>
                <w:b/>
                <w:bCs/>
                <w:color w:val="000000"/>
                <w:sz w:val="20"/>
                <w:szCs w:val="20"/>
              </w:rPr>
              <w:t>41</w:t>
            </w:r>
          </w:p>
        </w:tc>
        <w:tc>
          <w:tcPr>
            <w:tcW w:w="1158" w:type="dxa"/>
            <w:tcBorders>
              <w:top w:val="nil"/>
              <w:left w:val="nil"/>
              <w:bottom w:val="single" w:sz="4" w:space="0" w:color="auto"/>
              <w:right w:val="single" w:sz="4" w:space="0" w:color="auto"/>
            </w:tcBorders>
            <w:shd w:val="clear" w:color="000000" w:fill="E2A5AC"/>
            <w:noWrap/>
            <w:vAlign w:val="bottom"/>
            <w:hideMark/>
          </w:tcPr>
          <w:p w:rsidR="002846AA" w:rsidRPr="00A87AC1" w:rsidP="00343C00" w14:paraId="47908397" w14:textId="46B6FF92">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7,</w:t>
            </w:r>
            <w:r w:rsidR="00620FDA">
              <w:rPr>
                <w:rFonts w:ascii="Calibri" w:eastAsia="Times New Roman" w:hAnsi="Calibri" w:cs="Arial"/>
                <w:b/>
                <w:bCs/>
                <w:color w:val="000000"/>
                <w:sz w:val="20"/>
                <w:szCs w:val="20"/>
              </w:rPr>
              <w:t>67</w:t>
            </w:r>
            <w:r w:rsidR="00D92CF3">
              <w:rPr>
                <w:rFonts w:ascii="Calibri" w:eastAsia="Times New Roman" w:hAnsi="Calibri" w:cs="Arial"/>
                <w:b/>
                <w:bCs/>
                <w:color w:val="000000"/>
                <w:sz w:val="20"/>
                <w:szCs w:val="20"/>
              </w:rPr>
              <w:t>2</w:t>
            </w:r>
          </w:p>
        </w:tc>
        <w:tc>
          <w:tcPr>
            <w:tcW w:w="1282" w:type="dxa"/>
            <w:tcBorders>
              <w:top w:val="nil"/>
              <w:left w:val="nil"/>
              <w:bottom w:val="single" w:sz="4" w:space="0" w:color="auto"/>
              <w:right w:val="single" w:sz="4" w:space="0" w:color="auto"/>
            </w:tcBorders>
            <w:shd w:val="clear" w:color="000000" w:fill="333333"/>
            <w:noWrap/>
            <w:vAlign w:val="bottom"/>
            <w:hideMark/>
          </w:tcPr>
          <w:p w:rsidR="002846AA" w:rsidRPr="00A87AC1" w:rsidP="00343C00" w14:paraId="0E1510F3" w14:textId="77777777">
            <w:pPr>
              <w:spacing w:after="0" w:line="240" w:lineRule="auto"/>
              <w:jc w:val="center"/>
              <w:rPr>
                <w:rFonts w:ascii="Calibri" w:eastAsia="Times New Roman" w:hAnsi="Calibri" w:cs="Arial"/>
                <w:b/>
                <w:bCs/>
                <w:color w:val="000000"/>
                <w:sz w:val="20"/>
                <w:szCs w:val="20"/>
              </w:rPr>
            </w:pPr>
          </w:p>
        </w:tc>
        <w:tc>
          <w:tcPr>
            <w:tcW w:w="1431" w:type="dxa"/>
            <w:tcBorders>
              <w:top w:val="nil"/>
              <w:left w:val="nil"/>
              <w:bottom w:val="single" w:sz="4" w:space="0" w:color="auto"/>
              <w:right w:val="single" w:sz="4" w:space="0" w:color="auto"/>
            </w:tcBorders>
            <w:shd w:val="clear" w:color="000000" w:fill="E2A5AC"/>
            <w:noWrap/>
            <w:vAlign w:val="bottom"/>
            <w:hideMark/>
          </w:tcPr>
          <w:p w:rsidR="002846AA" w:rsidRPr="00A87AC1" w:rsidP="00343C00" w14:paraId="5937ECA1" w14:textId="7F031649">
            <w:pPr>
              <w:spacing w:after="0" w:line="240" w:lineRule="auto"/>
              <w:jc w:val="center"/>
              <w:rPr>
                <w:rFonts w:ascii="Calibri" w:eastAsia="Times New Roman" w:hAnsi="Calibri" w:cs="Arial"/>
                <w:b/>
                <w:bCs/>
                <w:color w:val="000000"/>
                <w:sz w:val="20"/>
                <w:szCs w:val="20"/>
              </w:rPr>
            </w:pPr>
            <w:r>
              <w:rPr>
                <w:rFonts w:ascii="Calibri" w:eastAsia="Times New Roman" w:hAnsi="Calibri" w:cs="Arial"/>
                <w:b/>
                <w:bCs/>
                <w:color w:val="000000"/>
                <w:sz w:val="20"/>
                <w:szCs w:val="20"/>
              </w:rPr>
              <w:t>66</w:t>
            </w:r>
            <w:r w:rsidR="00960690">
              <w:rPr>
                <w:rFonts w:ascii="Calibri" w:eastAsia="Times New Roman" w:hAnsi="Calibri" w:cs="Arial"/>
                <w:b/>
                <w:bCs/>
                <w:color w:val="000000"/>
                <w:sz w:val="20"/>
                <w:szCs w:val="20"/>
              </w:rPr>
              <w:t>7</w:t>
            </w:r>
            <w:r>
              <w:rPr>
                <w:rFonts w:ascii="Calibri" w:eastAsia="Times New Roman" w:hAnsi="Calibri" w:cs="Arial"/>
                <w:b/>
                <w:bCs/>
                <w:color w:val="000000"/>
                <w:sz w:val="20"/>
                <w:szCs w:val="20"/>
              </w:rPr>
              <w:t>,0</w:t>
            </w:r>
            <w:r w:rsidR="00960690">
              <w:rPr>
                <w:rFonts w:ascii="Calibri" w:eastAsia="Times New Roman" w:hAnsi="Calibri" w:cs="Arial"/>
                <w:b/>
                <w:bCs/>
                <w:color w:val="000000"/>
                <w:sz w:val="20"/>
                <w:szCs w:val="20"/>
              </w:rPr>
              <w:t>56</w:t>
            </w:r>
          </w:p>
        </w:tc>
        <w:tc>
          <w:tcPr>
            <w:tcW w:w="1264" w:type="dxa"/>
            <w:tcBorders>
              <w:top w:val="nil"/>
              <w:left w:val="nil"/>
              <w:bottom w:val="single" w:sz="4" w:space="0" w:color="auto"/>
              <w:right w:val="single" w:sz="4" w:space="0" w:color="auto"/>
            </w:tcBorders>
            <w:shd w:val="clear" w:color="000000" w:fill="333333"/>
            <w:noWrap/>
            <w:vAlign w:val="bottom"/>
            <w:hideMark/>
          </w:tcPr>
          <w:p w:rsidR="002846AA" w:rsidRPr="00A87AC1" w:rsidP="00343C00" w14:paraId="517DB8B9" w14:textId="77777777">
            <w:pPr>
              <w:spacing w:after="0" w:line="240" w:lineRule="auto"/>
              <w:rPr>
                <w:rFonts w:ascii="Calibri" w:eastAsia="Times New Roman" w:hAnsi="Calibri" w:cs="Arial"/>
                <w:b/>
                <w:bCs/>
                <w:color w:val="000000"/>
                <w:sz w:val="20"/>
                <w:szCs w:val="20"/>
              </w:rPr>
            </w:pPr>
            <w:r w:rsidRPr="00A87AC1">
              <w:rPr>
                <w:rFonts w:ascii="Calibri" w:eastAsia="Times New Roman" w:hAnsi="Calibri" w:cs="Arial"/>
                <w:b/>
                <w:bCs/>
                <w:color w:val="000000"/>
                <w:sz w:val="20"/>
                <w:szCs w:val="20"/>
              </w:rPr>
              <w:t> </w:t>
            </w:r>
          </w:p>
        </w:tc>
      </w:tr>
    </w:tbl>
    <w:p w:rsidR="00AE6862" w:rsidRPr="00A41763" w:rsidP="00A41763" w14:paraId="19A731A3" w14:textId="77777777"/>
    <w:p w:rsidR="006F3C12" w:rsidP="006F3C12" w14:paraId="3E28018C" w14:textId="77777777">
      <w:pPr>
        <w:pStyle w:val="Heading2"/>
      </w:pPr>
      <w:bookmarkStart w:id="14"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4"/>
      <w:r w:rsidRPr="00F056C3">
        <w:t xml:space="preserve"> </w:t>
      </w:r>
    </w:p>
    <w:p w:rsidR="000B43BF" w:rsidRPr="002846AA" w:rsidP="000B43BF" w14:paraId="1FD02EB4" w14:textId="78CD8BB5">
      <w:pPr>
        <w:pStyle w:val="Default"/>
        <w:rPr>
          <w:rFonts w:asciiTheme="minorHAnsi" w:hAnsiTheme="minorHAnsi" w:cstheme="minorHAnsi"/>
          <w:b/>
          <w:bCs/>
          <w:sz w:val="22"/>
          <w:szCs w:val="22"/>
        </w:rPr>
      </w:pPr>
      <w:r w:rsidRPr="002846AA">
        <w:rPr>
          <w:rFonts w:asciiTheme="minorHAnsi" w:hAnsiTheme="minorHAnsi" w:cstheme="minorHAnsi"/>
          <w:b/>
          <w:bCs/>
          <w:sz w:val="22"/>
          <w:szCs w:val="22"/>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831D86" w:rsidRPr="00B25343" w:rsidP="007262CB" w14:paraId="3F3CD911" w14:textId="23A5870D">
      <w:pPr>
        <w:spacing w:before="240"/>
      </w:pPr>
      <w:r>
        <w:t xml:space="preserve">The estimated total cost to respondents is </w:t>
      </w:r>
      <w:r w:rsidRPr="001822B3" w:rsidR="001822B3">
        <w:t>$</w:t>
      </w:r>
      <w:r w:rsidRPr="00D078F1" w:rsidR="00D078F1">
        <w:t xml:space="preserve"> $70,844,015</w:t>
      </w:r>
      <w:r>
        <w:t xml:space="preserve">.  This is based on a fully burdened hourly wage </w:t>
      </w:r>
      <w:r w:rsidRPr="00656934">
        <w:t xml:space="preserve">of </w:t>
      </w:r>
      <w:r w:rsidRPr="00AC78F2">
        <w:t>$</w:t>
      </w:r>
      <w:r w:rsidR="00CF0664">
        <w:t>106.20</w:t>
      </w:r>
      <w:r w:rsidRPr="00656934">
        <w:t>/hour</w:t>
      </w:r>
      <w:r>
        <w:t xml:space="preserve"> using “Management, Professional and related” line item on the U.S. Bureau of Labor Statistics (BLS) </w:t>
      </w:r>
      <w:hyperlink r:id="rId16" w:history="1">
        <w:r w:rsidRPr="008A4C35">
          <w:rPr>
            <w:color w:val="0000FF"/>
            <w:u w:val="single"/>
          </w:rPr>
          <w:t>Table 2. Civilian workers by occupational and industry group (bls.gov)</w:t>
        </w:r>
      </w:hyperlink>
      <w:r>
        <w:t xml:space="preserve">. </w:t>
      </w:r>
      <w:r w:rsidRPr="00B25343">
        <w:t xml:space="preserve">This fully burdened hourly wage </w:t>
      </w:r>
      <w:r>
        <w:t xml:space="preserve">rate from BLS </w:t>
      </w:r>
      <w:r w:rsidRPr="00B25343">
        <w:t xml:space="preserve">includes </w:t>
      </w:r>
      <w:r>
        <w:t xml:space="preserve">the </w:t>
      </w:r>
      <w:r w:rsidRPr="00B25343">
        <w:t>1.4 multiplier for private employees.</w:t>
      </w:r>
    </w:p>
    <w:tbl>
      <w:tblPr>
        <w:tblW w:w="10020" w:type="dxa"/>
        <w:tblLook w:val="04A0"/>
      </w:tblPr>
      <w:tblGrid>
        <w:gridCol w:w="2226"/>
        <w:gridCol w:w="2184"/>
        <w:gridCol w:w="1890"/>
        <w:gridCol w:w="2424"/>
        <w:gridCol w:w="1296"/>
      </w:tblGrid>
      <w:tr w14:paraId="3313B411" w14:textId="77777777" w:rsidTr="00343C00">
        <w:tblPrEx>
          <w:tblW w:w="10020" w:type="dxa"/>
          <w:tblLook w:val="04A0"/>
        </w:tblPrEx>
        <w:trPr>
          <w:trHeight w:val="360"/>
        </w:trPr>
        <w:tc>
          <w:tcPr>
            <w:tcW w:w="8724" w:type="dxa"/>
            <w:gridSpan w:val="4"/>
            <w:tcBorders>
              <w:top w:val="nil"/>
              <w:left w:val="nil"/>
              <w:bottom w:val="single" w:sz="4" w:space="0" w:color="auto"/>
              <w:right w:val="nil"/>
            </w:tcBorders>
            <w:shd w:val="clear" w:color="auto" w:fill="auto"/>
            <w:hideMark/>
          </w:tcPr>
          <w:p w:rsidR="003D7383" w:rsidP="00343C00" w14:paraId="49797D53"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p w:rsidR="003D7678" w:rsidRPr="003D7678" w:rsidP="00343C00" w14:paraId="20E6235A" w14:textId="77777777">
            <w:pPr>
              <w:spacing w:after="0" w:line="240" w:lineRule="auto"/>
              <w:jc w:val="center"/>
              <w:rPr>
                <w:rFonts w:ascii="Calibri" w:eastAsia="Times New Roman" w:hAnsi="Calibri" w:cs="Arial"/>
                <w:b/>
                <w:bCs/>
                <w:color w:val="0070C0"/>
              </w:rPr>
            </w:pPr>
          </w:p>
        </w:tc>
        <w:tc>
          <w:tcPr>
            <w:tcW w:w="1296" w:type="dxa"/>
            <w:tcBorders>
              <w:top w:val="nil"/>
              <w:left w:val="nil"/>
              <w:bottom w:val="nil"/>
              <w:right w:val="nil"/>
            </w:tcBorders>
            <w:shd w:val="clear" w:color="auto" w:fill="auto"/>
            <w:noWrap/>
            <w:vAlign w:val="bottom"/>
            <w:hideMark/>
          </w:tcPr>
          <w:p w:rsidR="003D7383" w:rsidRPr="006F3C12" w:rsidP="00343C00" w14:paraId="37E6FA0E" w14:textId="77777777">
            <w:pPr>
              <w:spacing w:after="0" w:line="240" w:lineRule="auto"/>
              <w:jc w:val="center"/>
              <w:rPr>
                <w:rFonts w:ascii="Calibri" w:eastAsia="Times New Roman" w:hAnsi="Calibri" w:cs="Arial"/>
                <w:b/>
                <w:bCs/>
                <w:color w:val="0070C0"/>
                <w:sz w:val="28"/>
                <w:szCs w:val="28"/>
              </w:rPr>
            </w:pPr>
          </w:p>
        </w:tc>
      </w:tr>
      <w:tr w14:paraId="0F7C8278" w14:textId="77777777" w:rsidTr="00343C00">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3D7383" w:rsidRPr="006F3C12" w:rsidP="00343C00" w14:paraId="15EFC6D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3D7383" w:rsidRPr="006F3C12" w:rsidP="00343C00" w14:paraId="2AAD128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3D7383" w:rsidRPr="006F3C12" w:rsidP="00343C00" w14:paraId="4CADBE9B"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3D7383" w:rsidRPr="006F3C12" w:rsidP="00343C00" w14:paraId="4076252A"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7742CCBC" w14:textId="77777777" w:rsidTr="00343C00">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3D7383" w:rsidRPr="006F3C12" w:rsidP="00343C00" w14:paraId="36A5F0A3"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Pr>
                <w:rFonts w:ascii="Calibri" w:eastAsia="Times New Roman" w:hAnsi="Calibri" w:cs="Arial"/>
                <w:color w:val="000000"/>
                <w:sz w:val="20"/>
                <w:szCs w:val="20"/>
              </w:rPr>
              <w:t xml:space="preserve">Contractor </w:t>
            </w:r>
          </w:p>
        </w:tc>
        <w:tc>
          <w:tcPr>
            <w:tcW w:w="2184" w:type="dxa"/>
            <w:tcBorders>
              <w:top w:val="nil"/>
              <w:left w:val="nil"/>
              <w:bottom w:val="single" w:sz="4" w:space="0" w:color="auto"/>
              <w:right w:val="single" w:sz="4" w:space="0" w:color="auto"/>
            </w:tcBorders>
            <w:shd w:val="clear" w:color="auto" w:fill="auto"/>
            <w:noWrap/>
            <w:vAlign w:val="bottom"/>
            <w:hideMark/>
          </w:tcPr>
          <w:p w:rsidR="003D7383" w:rsidRPr="006F3C12" w:rsidP="00343C00" w14:paraId="170D7C27" w14:textId="69A0B0BC">
            <w:pPr>
              <w:spacing w:after="0" w:line="240" w:lineRule="auto"/>
              <w:jc w:val="center"/>
              <w:rPr>
                <w:rFonts w:ascii="Calibri" w:eastAsia="Times New Roman" w:hAnsi="Calibri" w:cs="Arial"/>
                <w:color w:val="000000"/>
                <w:sz w:val="20"/>
                <w:szCs w:val="20"/>
              </w:rPr>
            </w:pPr>
            <w:r w:rsidRPr="00D92CF3">
              <w:rPr>
                <w:rFonts w:ascii="Calibri" w:eastAsia="Times New Roman" w:hAnsi="Calibri" w:cs="Arial"/>
                <w:color w:val="000000"/>
                <w:sz w:val="20"/>
                <w:szCs w:val="20"/>
              </w:rPr>
              <w:t>6</w:t>
            </w:r>
            <w:r w:rsidR="00960690">
              <w:rPr>
                <w:rFonts w:ascii="Calibri" w:eastAsia="Times New Roman" w:hAnsi="Calibri" w:cs="Arial"/>
                <w:color w:val="000000"/>
                <w:sz w:val="20"/>
                <w:szCs w:val="20"/>
              </w:rPr>
              <w:t>67,0</w:t>
            </w:r>
            <w:r w:rsidRPr="00D92CF3">
              <w:rPr>
                <w:rFonts w:ascii="Calibri" w:eastAsia="Times New Roman" w:hAnsi="Calibri" w:cs="Arial"/>
                <w:color w:val="000000"/>
                <w:sz w:val="20"/>
                <w:szCs w:val="20"/>
              </w:rPr>
              <w:t>56</w:t>
            </w:r>
          </w:p>
        </w:tc>
        <w:tc>
          <w:tcPr>
            <w:tcW w:w="1890" w:type="dxa"/>
            <w:tcBorders>
              <w:top w:val="nil"/>
              <w:left w:val="nil"/>
              <w:bottom w:val="single" w:sz="4" w:space="0" w:color="auto"/>
              <w:right w:val="single" w:sz="4" w:space="0" w:color="auto"/>
            </w:tcBorders>
            <w:shd w:val="clear" w:color="auto" w:fill="auto"/>
            <w:noWrap/>
            <w:vAlign w:val="bottom"/>
            <w:hideMark/>
          </w:tcPr>
          <w:p w:rsidR="003D7383" w:rsidRPr="006F3C12" w:rsidP="00343C00" w14:paraId="7B609CF6" w14:textId="38139032">
            <w:pPr>
              <w:spacing w:after="0" w:line="240" w:lineRule="auto"/>
              <w:jc w:val="center"/>
              <w:rPr>
                <w:rFonts w:ascii="Calibri" w:eastAsia="Times New Roman" w:hAnsi="Calibri" w:cs="Arial"/>
                <w:color w:val="000000"/>
                <w:sz w:val="20"/>
                <w:szCs w:val="20"/>
              </w:rPr>
            </w:pPr>
            <w:r>
              <w:rPr>
                <w:rFonts w:ascii="Calibri" w:eastAsia="Times New Roman" w:hAnsi="Calibri" w:cs="Arial"/>
                <w:color w:val="000000"/>
                <w:sz w:val="20"/>
                <w:szCs w:val="20"/>
              </w:rPr>
              <w:t>$</w:t>
            </w:r>
            <w:r w:rsidR="00CF0664">
              <w:rPr>
                <w:rFonts w:ascii="Calibri" w:eastAsia="Times New Roman" w:hAnsi="Calibri" w:cs="Arial"/>
                <w:color w:val="000000"/>
                <w:sz w:val="20"/>
                <w:szCs w:val="20"/>
              </w:rPr>
              <w:t>106.20</w:t>
            </w:r>
          </w:p>
        </w:tc>
        <w:tc>
          <w:tcPr>
            <w:tcW w:w="2424" w:type="dxa"/>
            <w:tcBorders>
              <w:top w:val="nil"/>
              <w:left w:val="nil"/>
              <w:bottom w:val="single" w:sz="4" w:space="0" w:color="auto"/>
              <w:right w:val="single" w:sz="4" w:space="0" w:color="auto"/>
            </w:tcBorders>
            <w:shd w:val="clear" w:color="000000" w:fill="E2A5AC"/>
            <w:noWrap/>
            <w:vAlign w:val="bottom"/>
            <w:hideMark/>
          </w:tcPr>
          <w:p w:rsidR="003D7383" w:rsidRPr="006F3C12" w:rsidP="00343C00" w14:paraId="44727D6E" w14:textId="7EB1942A">
            <w:pPr>
              <w:spacing w:after="0" w:line="240" w:lineRule="auto"/>
              <w:jc w:val="center"/>
              <w:rPr>
                <w:rFonts w:ascii="Calibri" w:eastAsia="Times New Roman" w:hAnsi="Calibri" w:cs="Arial"/>
                <w:color w:val="000000"/>
                <w:sz w:val="20"/>
                <w:szCs w:val="20"/>
              </w:rPr>
            </w:pPr>
            <w:bookmarkStart w:id="15" w:name="_Hlk197333848"/>
            <w:r w:rsidRPr="00D078F1">
              <w:rPr>
                <w:rFonts w:ascii="Calibri" w:eastAsia="Times New Roman" w:hAnsi="Calibri" w:cs="Arial"/>
                <w:color w:val="000000"/>
                <w:sz w:val="20"/>
                <w:szCs w:val="20"/>
              </w:rPr>
              <w:t>$70,844,015</w:t>
            </w:r>
            <w:bookmarkEnd w:id="15"/>
          </w:p>
        </w:tc>
      </w:tr>
      <w:tr w14:paraId="20E7C164" w14:textId="77777777" w:rsidTr="00343C00">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shd w:val="clear" w:color="auto" w:fill="auto"/>
            <w:vAlign w:val="bottom"/>
            <w:hideMark/>
          </w:tcPr>
          <w:p w:rsidR="003D7383" w:rsidRPr="006F3C12" w:rsidP="00343C00" w14:paraId="58B5381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3D7383" w:rsidRPr="006F3C12" w:rsidP="00343C00" w14:paraId="3B35A47F" w14:textId="5B513550">
            <w:pPr>
              <w:spacing w:after="0" w:line="240" w:lineRule="auto"/>
              <w:jc w:val="center"/>
              <w:rPr>
                <w:rFonts w:ascii="Calibri" w:eastAsia="Times New Roman" w:hAnsi="Calibri" w:cs="Arial"/>
                <w:b/>
                <w:bCs/>
                <w:color w:val="000000"/>
                <w:sz w:val="20"/>
                <w:szCs w:val="20"/>
              </w:rPr>
            </w:pPr>
            <w:r w:rsidRPr="00D92CF3">
              <w:rPr>
                <w:rFonts w:ascii="Calibri" w:eastAsia="Times New Roman" w:hAnsi="Calibri" w:cs="Arial"/>
                <w:b/>
                <w:bCs/>
                <w:color w:val="000000"/>
                <w:sz w:val="20"/>
                <w:szCs w:val="20"/>
              </w:rPr>
              <w:t>6</w:t>
            </w:r>
            <w:r w:rsidR="00960690">
              <w:rPr>
                <w:rFonts w:ascii="Calibri" w:eastAsia="Times New Roman" w:hAnsi="Calibri" w:cs="Arial"/>
                <w:b/>
                <w:bCs/>
                <w:color w:val="000000"/>
                <w:sz w:val="20"/>
                <w:szCs w:val="20"/>
              </w:rPr>
              <w:t>6</w:t>
            </w:r>
            <w:r w:rsidRPr="00D92CF3">
              <w:rPr>
                <w:rFonts w:ascii="Calibri" w:eastAsia="Times New Roman" w:hAnsi="Calibri" w:cs="Arial"/>
                <w:b/>
                <w:bCs/>
                <w:color w:val="000000"/>
                <w:sz w:val="20"/>
                <w:szCs w:val="20"/>
              </w:rPr>
              <w:t>7,056</w:t>
            </w:r>
          </w:p>
        </w:tc>
        <w:tc>
          <w:tcPr>
            <w:tcW w:w="1890" w:type="dxa"/>
            <w:tcBorders>
              <w:top w:val="nil"/>
              <w:left w:val="nil"/>
              <w:bottom w:val="single" w:sz="4" w:space="0" w:color="auto"/>
              <w:right w:val="single" w:sz="4" w:space="0" w:color="auto"/>
            </w:tcBorders>
            <w:shd w:val="clear" w:color="000000" w:fill="333333"/>
            <w:noWrap/>
            <w:vAlign w:val="bottom"/>
            <w:hideMark/>
          </w:tcPr>
          <w:p w:rsidR="003D7383" w:rsidRPr="006F3C12" w:rsidP="00343C00" w14:paraId="13F46352"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3D7383" w:rsidRPr="006F3C12" w:rsidP="00343C00" w14:paraId="219309B2" w14:textId="4EB48B06">
            <w:pPr>
              <w:spacing w:after="0" w:line="240" w:lineRule="auto"/>
              <w:jc w:val="center"/>
              <w:rPr>
                <w:rFonts w:ascii="Calibri" w:eastAsia="Times New Roman" w:hAnsi="Calibri" w:cs="Arial"/>
                <w:b/>
                <w:bCs/>
                <w:color w:val="000000"/>
                <w:sz w:val="20"/>
                <w:szCs w:val="20"/>
              </w:rPr>
            </w:pPr>
            <w:r w:rsidRPr="00D078F1">
              <w:rPr>
                <w:rFonts w:ascii="Calibri" w:eastAsia="Times New Roman" w:hAnsi="Calibri" w:cs="Arial"/>
                <w:b/>
                <w:bCs/>
                <w:color w:val="000000"/>
                <w:sz w:val="20"/>
                <w:szCs w:val="20"/>
              </w:rPr>
              <w:t>$70,844,015</w:t>
            </w:r>
          </w:p>
        </w:tc>
      </w:tr>
    </w:tbl>
    <w:p w:rsidR="00F056C3" w:rsidP="00F056C3" w14:paraId="17CAAADC" w14:textId="77777777">
      <w:pPr>
        <w:pStyle w:val="Heading2"/>
      </w:pPr>
      <w:bookmarkStart w:id="16" w:name="_Toc16271332"/>
      <w:r>
        <w:t>A.</w:t>
      </w:r>
      <w:r w:rsidRPr="00A41763" w:rsidR="00A41763">
        <w:t xml:space="preserve">13. </w:t>
      </w:r>
      <w:r w:rsidR="006F3C12">
        <w:t xml:space="preserve">Other Estimated </w:t>
      </w:r>
      <w:r w:rsidRPr="00F056C3">
        <w:t xml:space="preserve">Annual Cost to </w:t>
      </w:r>
      <w:r w:rsidR="00FE2197">
        <w:t>Respondents</w:t>
      </w:r>
      <w:bookmarkEnd w:id="16"/>
    </w:p>
    <w:p w:rsidR="00A41763" w:rsidRPr="00A41763" w:rsidP="00A41763" w14:paraId="5509891F" w14:textId="77777777">
      <w:r w:rsidRPr="00A41763">
        <w:rPr>
          <w:b/>
          <w:bCs/>
        </w:rPr>
        <w:t xml:space="preserve">Provide an estimate for the total annual cost burden to respondents or recordkeepers resulting from the collection of information. </w:t>
      </w:r>
    </w:p>
    <w:p w:rsidR="00DF4AF3" w:rsidP="00ED2653" w14:paraId="776EC12D" w14:textId="75522847">
      <w:pPr>
        <w:spacing w:before="240"/>
      </w:pPr>
      <w:r>
        <w:t xml:space="preserve">No other costs, including capital or maintenance costs, will be incurred by contractors, beyond their time. </w:t>
      </w:r>
      <w:r w:rsidR="00AF0A62">
        <w:t xml:space="preserve"> </w:t>
      </w:r>
      <w:r>
        <w:t>T</w:t>
      </w:r>
      <w:r w:rsidRPr="00B023FB">
        <w:t xml:space="preserve">his information </w:t>
      </w:r>
      <w:r>
        <w:t xml:space="preserve">collection is an allowable </w:t>
      </w:r>
      <w:r w:rsidRPr="00B023FB">
        <w:t xml:space="preserve">contract </w:t>
      </w:r>
      <w:r>
        <w:t>cost. Contractor collection costs are all charged to the Department. Therefore, t</w:t>
      </w:r>
      <w:r w:rsidRPr="00B023FB">
        <w:t>here is</w:t>
      </w:r>
      <w:r>
        <w:t xml:space="preserve"> no </w:t>
      </w:r>
      <w:r w:rsidRPr="00B023FB">
        <w:t>cost</w:t>
      </w:r>
      <w:r>
        <w:t xml:space="preserve"> to the contractors for the collection </w:t>
      </w:r>
      <w:r w:rsidRPr="00B023FB">
        <w:t xml:space="preserve">of this data. </w:t>
      </w:r>
    </w:p>
    <w:p w:rsidR="00F056C3" w:rsidP="00F056C3" w14:paraId="249D505C" w14:textId="77777777">
      <w:pPr>
        <w:pStyle w:val="Heading2"/>
      </w:pPr>
      <w:bookmarkStart w:id="17" w:name="_Toc16271333"/>
      <w:r>
        <w:t>A.</w:t>
      </w:r>
      <w:r w:rsidRPr="00A41763" w:rsidR="00A41763">
        <w:t xml:space="preserve">14. </w:t>
      </w:r>
      <w:r w:rsidR="00FE2197">
        <w:t>Annual Cost to the Federal Government</w:t>
      </w:r>
      <w:bookmarkEnd w:id="17"/>
      <w:r w:rsidRPr="00F056C3">
        <w:t xml:space="preserve"> </w:t>
      </w:r>
    </w:p>
    <w:p w:rsidR="00A41763" w:rsidRPr="00A41763" w:rsidP="00A41763" w14:paraId="42208E52" w14:textId="77777777">
      <w:bookmarkStart w:id="18" w:name="_Hlk57385461"/>
      <w:r w:rsidRPr="00A41763">
        <w:rPr>
          <w:b/>
          <w:bCs/>
        </w:rPr>
        <w:t xml:space="preserve">Provide estimates of annualized cost to the Federal government. </w:t>
      </w:r>
    </w:p>
    <w:p w:rsidR="0092565C" w:rsidP="00002473" w14:paraId="2033FE58" w14:textId="75F8A7BD">
      <w:bookmarkStart w:id="19" w:name="_Toc16271334"/>
      <w:bookmarkEnd w:id="18"/>
      <w:r w:rsidRPr="00002473">
        <w:t>The annualized cost to the Federal government for this information collection is estimated to be</w:t>
      </w:r>
      <w:r w:rsidRPr="009B374D" w:rsidR="009B374D">
        <w:t xml:space="preserve"> $1,572,109</w:t>
      </w:r>
      <w:r w:rsidRPr="00002473">
        <w:t xml:space="preserve">. </w:t>
      </w:r>
      <w:r w:rsidR="00537F1C">
        <w:t xml:space="preserve"> </w:t>
      </w:r>
      <w:r w:rsidRPr="00002473">
        <w:t>Th</w:t>
      </w:r>
      <w:r w:rsidR="00ED345E">
        <w:t>e</w:t>
      </w:r>
      <w:r w:rsidRPr="00002473">
        <w:t xml:space="preserve"> information collected under this collection is reviewed for accuracy and completeness </w:t>
      </w:r>
      <w:r w:rsidRPr="00002473">
        <w:t>by Contracting Officers and Contracting Officer’s Representatives performing their normal contract award and contract administration duties.</w:t>
      </w:r>
      <w:r w:rsidR="00537F1C">
        <w:t xml:space="preserve"> </w:t>
      </w:r>
      <w:r w:rsidRPr="00002473">
        <w:t xml:space="preserve"> The </w:t>
      </w:r>
      <w:r w:rsidRPr="00002473" w:rsidR="00AE67D3">
        <w:t>Contracting Officer</w:t>
      </w:r>
      <w:r w:rsidR="00AE67D3">
        <w:t xml:space="preserve"> </w:t>
      </w:r>
      <w:r w:rsidRPr="00002473">
        <w:t>would typically be a General Schedule (GS) Grade 14, Step 5, with an average hourly</w:t>
      </w:r>
      <w:r w:rsidR="00EF08FF">
        <w:t xml:space="preserve"> base pay</w:t>
      </w:r>
      <w:r w:rsidRPr="00002473">
        <w:t xml:space="preserve"> rate of $</w:t>
      </w:r>
      <w:r w:rsidRPr="0067322F" w:rsidR="0067322F">
        <w:t>69.37</w:t>
      </w:r>
      <w:r w:rsidRPr="0092565C">
        <w:rPr>
          <w:vertAlign w:val="superscript"/>
        </w:rPr>
        <w:t>1</w:t>
      </w:r>
      <w:r w:rsidRPr="00002473">
        <w:rPr>
          <w:i/>
          <w:iCs/>
        </w:rPr>
        <w:t xml:space="preserve"> (adding a 1.6 multiplier for government employees</w:t>
      </w:r>
      <w:r w:rsidR="005D1419">
        <w:rPr>
          <w:i/>
          <w:iCs/>
        </w:rPr>
        <w:t xml:space="preserve"> ($110.99)</w:t>
      </w:r>
      <w:r w:rsidRPr="00002473">
        <w:rPr>
          <w:i/>
          <w:iCs/>
        </w:rPr>
        <w:t>)</w:t>
      </w:r>
      <w:r w:rsidRPr="00002473">
        <w:t xml:space="preserve">. </w:t>
      </w:r>
      <w:r w:rsidR="00537F1C">
        <w:t xml:space="preserve"> </w:t>
      </w:r>
      <w:r w:rsidRPr="00002473">
        <w:t xml:space="preserve">The </w:t>
      </w:r>
      <w:r w:rsidRPr="00002473" w:rsidR="000C2E8C">
        <w:t>Contracting Officer’s Representative</w:t>
      </w:r>
      <w:r w:rsidR="000C2E8C">
        <w:t xml:space="preserve"> </w:t>
      </w:r>
      <w:r w:rsidRPr="00002473">
        <w:t xml:space="preserve">would typically be a GS Grade 13, Step 5, with an average hourly </w:t>
      </w:r>
      <w:r w:rsidRPr="007560F2">
        <w:t xml:space="preserve">rate </w:t>
      </w:r>
      <w:r w:rsidR="007560F2">
        <w:t xml:space="preserve">of </w:t>
      </w:r>
      <w:r w:rsidRPr="007560F2">
        <w:t>$</w:t>
      </w:r>
      <w:r w:rsidRPr="0067322F" w:rsidR="0067322F">
        <w:t>58.70</w:t>
      </w:r>
      <w:r w:rsidRPr="002A6357" w:rsidR="003B0DFC">
        <w:rPr>
          <w:vertAlign w:val="superscript"/>
        </w:rPr>
        <w:t>2</w:t>
      </w:r>
      <w:r w:rsidRPr="007560F2">
        <w:t xml:space="preserve"> </w:t>
      </w:r>
      <w:r w:rsidRPr="007560F2">
        <w:rPr>
          <w:i/>
          <w:iCs/>
        </w:rPr>
        <w:t>(</w:t>
      </w:r>
      <w:r w:rsidRPr="00002473">
        <w:rPr>
          <w:i/>
          <w:iCs/>
        </w:rPr>
        <w:t>adding a 1.6 multiplier for government employees</w:t>
      </w:r>
      <w:r w:rsidR="005D1419">
        <w:rPr>
          <w:i/>
          <w:iCs/>
        </w:rPr>
        <w:t xml:space="preserve"> ($93.92)</w:t>
      </w:r>
      <w:r w:rsidRPr="00002473">
        <w:rPr>
          <w:i/>
          <w:iCs/>
        </w:rPr>
        <w:t>)</w:t>
      </w:r>
      <w:r w:rsidRPr="00002473">
        <w:t xml:space="preserve">. </w:t>
      </w:r>
      <w:r w:rsidR="00537F1C">
        <w:t xml:space="preserve"> </w:t>
      </w:r>
    </w:p>
    <w:p w:rsidR="004A4062" w:rsidP="00002473" w14:paraId="259B1CFE" w14:textId="75118A03">
      <w:r w:rsidRPr="003638C4">
        <w:rPr>
          <w:vertAlign w:val="superscript"/>
        </w:rPr>
        <w:t>1</w:t>
      </w:r>
      <w:r>
        <w:t xml:space="preserve"> </w:t>
      </w:r>
      <w:r w:rsidR="002D442F">
        <w:t xml:space="preserve">Hourly wage rate </w:t>
      </w:r>
      <w:r w:rsidR="00760CCA">
        <w:t xml:space="preserve">of $69.37 </w:t>
      </w:r>
      <w:r w:rsidR="002D442F">
        <w:t xml:space="preserve">is based on </w:t>
      </w:r>
      <w:r w:rsidR="00145F63">
        <w:t xml:space="preserve">an average for a GS-14, Step 5 </w:t>
      </w:r>
      <w:r w:rsidR="00160676">
        <w:t xml:space="preserve">at </w:t>
      </w:r>
      <w:r w:rsidRPr="00160676" w:rsidR="00160676">
        <w:t>DOE’s five largest procurement offices</w:t>
      </w:r>
      <w:r w:rsidR="00160676">
        <w:t xml:space="preserve"> as follows:</w:t>
      </w:r>
      <w:r w:rsidRPr="00160676" w:rsidR="00160676">
        <w:t xml:space="preserve"> Chicago Service Center (IL)</w:t>
      </w:r>
      <w:r w:rsidR="00160676">
        <w:t xml:space="preserve"> ($</w:t>
      </w:r>
      <w:r w:rsidR="00902C69">
        <w:t>75.60)</w:t>
      </w:r>
      <w:r w:rsidRPr="00160676" w:rsidR="00160676">
        <w:t>, Oak Ridge Office (TN)</w:t>
      </w:r>
      <w:r w:rsidR="00902C69">
        <w:t xml:space="preserve"> ($67.63)</w:t>
      </w:r>
      <w:r w:rsidRPr="00160676" w:rsidR="00160676">
        <w:t>, Idaho Operations Office (ID)</w:t>
      </w:r>
      <w:r w:rsidR="00902C69">
        <w:t xml:space="preserve"> ($67.63)</w:t>
      </w:r>
      <w:r w:rsidRPr="00160676" w:rsidR="00160676">
        <w:t>, NNSA M&amp;O Contracting Office (NM)</w:t>
      </w:r>
      <w:r w:rsidR="00902C69">
        <w:t xml:space="preserve"> ($68.36)</w:t>
      </w:r>
      <w:r w:rsidRPr="00160676" w:rsidR="00160676">
        <w:t>, and Savannah River Operations Office (SC)</w:t>
      </w:r>
      <w:r w:rsidR="00A9667E">
        <w:t xml:space="preserve"> ($67.63)</w:t>
      </w:r>
      <w:r w:rsidR="00F15C75">
        <w:t>,</w:t>
      </w:r>
      <w:r w:rsidRPr="00160676" w:rsidR="00160676">
        <w:t xml:space="preserve"> using the </w:t>
      </w:r>
      <w:hyperlink r:id="rId17" w:history="1">
        <w:r w:rsidRPr="007D4199" w:rsidR="00160676">
          <w:rPr>
            <w:rStyle w:val="Hyperlink"/>
          </w:rPr>
          <w:t>2025 General Schedule (GS) Locality Pay Tables</w:t>
        </w:r>
      </w:hyperlink>
      <w:r w:rsidRPr="00160676" w:rsidR="00160676">
        <w:t xml:space="preserve"> for rates at each locality</w:t>
      </w:r>
      <w:r w:rsidR="003B0DFC">
        <w:t>.</w:t>
      </w:r>
    </w:p>
    <w:p w:rsidR="003B0DFC" w:rsidRPr="00002473" w:rsidP="00002473" w14:paraId="38F26D0A" w14:textId="30F5EC0A">
      <w:r>
        <w:rPr>
          <w:vertAlign w:val="superscript"/>
        </w:rPr>
        <w:t>2</w:t>
      </w:r>
      <w:r>
        <w:t xml:space="preserve"> Hourly wage rate</w:t>
      </w:r>
      <w:r w:rsidR="00760CCA">
        <w:t xml:space="preserve"> of </w:t>
      </w:r>
      <w:r w:rsidR="002A6357">
        <w:t>$</w:t>
      </w:r>
      <w:r w:rsidR="00760CCA">
        <w:t>58.70</w:t>
      </w:r>
      <w:r>
        <w:t xml:space="preserve"> is based on an average for a GS-1</w:t>
      </w:r>
      <w:r w:rsidR="002A6357">
        <w:t>3</w:t>
      </w:r>
      <w:r>
        <w:t xml:space="preserve">, Step 5 at </w:t>
      </w:r>
      <w:r w:rsidRPr="00160676">
        <w:t>DOE’s five largest procurement offices</w:t>
      </w:r>
      <w:r>
        <w:t xml:space="preserve"> as follows:</w:t>
      </w:r>
      <w:r w:rsidRPr="00160676">
        <w:t xml:space="preserve"> Chicago Service Center (IL)</w:t>
      </w:r>
      <w:r>
        <w:t xml:space="preserve"> ($</w:t>
      </w:r>
      <w:r w:rsidR="00AF5625">
        <w:t>63.97</w:t>
      </w:r>
      <w:r>
        <w:t>)</w:t>
      </w:r>
      <w:r w:rsidRPr="00160676">
        <w:t>, Oak Ridge Office (TN)</w:t>
      </w:r>
      <w:r>
        <w:t xml:space="preserve"> ($</w:t>
      </w:r>
      <w:r w:rsidR="00AF5625">
        <w:t>57.23</w:t>
      </w:r>
      <w:r>
        <w:t>)</w:t>
      </w:r>
      <w:r w:rsidRPr="00160676">
        <w:t>, Idaho Operations Office (ID)</w:t>
      </w:r>
      <w:r>
        <w:t xml:space="preserve"> ($</w:t>
      </w:r>
      <w:r w:rsidR="00AF5625">
        <w:t>57.23</w:t>
      </w:r>
      <w:r>
        <w:t>)</w:t>
      </w:r>
      <w:r w:rsidRPr="00160676">
        <w:t>, NNSA M&amp;O Contracting Office (NM)</w:t>
      </w:r>
      <w:r>
        <w:t xml:space="preserve"> ($</w:t>
      </w:r>
      <w:r w:rsidR="004416B8">
        <w:t>57.85</w:t>
      </w:r>
      <w:r>
        <w:t>)</w:t>
      </w:r>
      <w:r w:rsidRPr="00160676">
        <w:t>, and Savannah River Operations Office (SC)</w:t>
      </w:r>
      <w:r>
        <w:t xml:space="preserve"> ($</w:t>
      </w:r>
      <w:r w:rsidR="00AF5625">
        <w:t>57.23</w:t>
      </w:r>
      <w:r>
        <w:t>)</w:t>
      </w:r>
      <w:r w:rsidR="00F15C75">
        <w:t>,</w:t>
      </w:r>
      <w:r w:rsidRPr="00160676">
        <w:t xml:space="preserve"> using the </w:t>
      </w:r>
      <w:hyperlink r:id="rId17" w:history="1">
        <w:r w:rsidRPr="007D4199">
          <w:rPr>
            <w:rStyle w:val="Hyperlink"/>
          </w:rPr>
          <w:t>2025 General Schedule (GS) Locality Pay Tables</w:t>
        </w:r>
      </w:hyperlink>
      <w:r w:rsidRPr="00160676">
        <w:t xml:space="preserve"> for rates at each locality</w:t>
      </w:r>
      <w:r>
        <w:t>.</w:t>
      </w:r>
    </w:p>
    <w:p w:rsidR="006321A9" w:rsidP="00C82F5F" w14:paraId="6FF5D940" w14:textId="576A99C6">
      <w:pPr>
        <w:rPr>
          <w:b/>
        </w:rPr>
      </w:pPr>
      <w:r w:rsidRPr="00002473">
        <w:t xml:space="preserve">The average review time for each position is approximately one hour. </w:t>
      </w:r>
      <w:r w:rsidR="00537F1C">
        <w:t xml:space="preserve"> </w:t>
      </w:r>
      <w:r w:rsidRPr="00002473">
        <w:t>The annual cost to the Federal Government is summarized below:</w:t>
      </w:r>
    </w:p>
    <w:p w:rsidR="00075AB4" w:rsidP="00075AB4" w14:paraId="78676364" w14:textId="1A27CF1A">
      <w:pPr>
        <w:jc w:val="center"/>
      </w:pPr>
      <w:r>
        <w:rPr>
          <w:rFonts w:ascii="Calibri" w:eastAsia="Times New Roman" w:hAnsi="Calibri" w:cs="Arial"/>
          <w:b/>
          <w:bCs/>
          <w:color w:val="0070C0"/>
          <w:sz w:val="28"/>
          <w:szCs w:val="28"/>
        </w:rPr>
        <w:t>Table A3</w:t>
      </w:r>
      <w:r w:rsidRPr="006F3C12">
        <w:rPr>
          <w:rFonts w:ascii="Calibri" w:eastAsia="Times New Roman" w:hAnsi="Calibri" w:cs="Arial"/>
          <w:b/>
          <w:bCs/>
          <w:color w:val="0070C0"/>
          <w:sz w:val="28"/>
          <w:szCs w:val="28"/>
        </w:rPr>
        <w:t xml:space="preserve">. </w:t>
      </w:r>
      <w:r>
        <w:rPr>
          <w:rFonts w:ascii="Calibri" w:eastAsia="Times New Roman" w:hAnsi="Calibri" w:cs="Arial"/>
          <w:b/>
          <w:bCs/>
          <w:color w:val="0070C0"/>
          <w:sz w:val="28"/>
          <w:szCs w:val="28"/>
        </w:rPr>
        <w:t>Annual Cost to the Government</w:t>
      </w:r>
    </w:p>
    <w:tbl>
      <w:tblPr>
        <w:tblW w:w="8602" w:type="dxa"/>
        <w:tblLook w:val="04A0"/>
      </w:tblPr>
      <w:tblGrid>
        <w:gridCol w:w="1525"/>
        <w:gridCol w:w="1180"/>
        <w:gridCol w:w="1319"/>
        <w:gridCol w:w="1098"/>
        <w:gridCol w:w="2052"/>
        <w:gridCol w:w="1767"/>
      </w:tblGrid>
      <w:tr w14:paraId="451282D4" w14:textId="77777777" w:rsidTr="00DA40DC">
        <w:tblPrEx>
          <w:tblW w:w="8602" w:type="dxa"/>
          <w:tblLook w:val="04A0"/>
        </w:tblPrEx>
        <w:trPr>
          <w:trHeight w:val="873"/>
        </w:trPr>
        <w:tc>
          <w:tcPr>
            <w:tcW w:w="1186" w:type="dxa"/>
            <w:tcBorders>
              <w:top w:val="single" w:sz="4" w:space="0" w:color="auto"/>
              <w:left w:val="single" w:sz="4" w:space="0" w:color="auto"/>
              <w:bottom w:val="single" w:sz="4" w:space="0" w:color="auto"/>
              <w:right w:val="nil"/>
            </w:tcBorders>
            <w:shd w:val="clear" w:color="auto" w:fill="00B0F0"/>
            <w:noWrap/>
            <w:hideMark/>
          </w:tcPr>
          <w:p w:rsidR="00075AB4" w:rsidRPr="00F301AE" w:rsidP="00572807" w14:paraId="315CEB70"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Federal Employee</w:t>
            </w:r>
          </w:p>
        </w:tc>
        <w:tc>
          <w:tcPr>
            <w:tcW w:w="1180" w:type="dxa"/>
            <w:tcBorders>
              <w:top w:val="single" w:sz="4" w:space="0" w:color="auto"/>
              <w:left w:val="single" w:sz="4" w:space="0" w:color="auto"/>
              <w:bottom w:val="single" w:sz="4" w:space="0" w:color="auto"/>
              <w:right w:val="single" w:sz="4" w:space="0" w:color="auto"/>
            </w:tcBorders>
            <w:shd w:val="clear" w:color="auto" w:fill="00B0F0"/>
            <w:noWrap/>
            <w:hideMark/>
          </w:tcPr>
          <w:p w:rsidR="00075AB4" w:rsidRPr="00F301AE" w:rsidP="00572807" w14:paraId="54C1081F"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GS Level</w:t>
            </w:r>
          </w:p>
        </w:tc>
        <w:tc>
          <w:tcPr>
            <w:tcW w:w="1319" w:type="dxa"/>
            <w:tcBorders>
              <w:top w:val="single" w:sz="4" w:space="0" w:color="auto"/>
              <w:left w:val="nil"/>
              <w:bottom w:val="single" w:sz="4" w:space="0" w:color="auto"/>
              <w:right w:val="nil"/>
            </w:tcBorders>
            <w:shd w:val="clear" w:color="auto" w:fill="00B0F0"/>
            <w:noWrap/>
            <w:hideMark/>
          </w:tcPr>
          <w:p w:rsidR="00075AB4" w:rsidRPr="00F301AE" w:rsidP="00572807" w14:paraId="0C615E56"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Average Hourly Rate</w:t>
            </w:r>
          </w:p>
        </w:tc>
        <w:tc>
          <w:tcPr>
            <w:tcW w:w="1098" w:type="dxa"/>
            <w:tcBorders>
              <w:top w:val="single" w:sz="4" w:space="0" w:color="auto"/>
              <w:left w:val="single" w:sz="4" w:space="0" w:color="auto"/>
              <w:bottom w:val="single" w:sz="4" w:space="0" w:color="auto"/>
              <w:right w:val="single" w:sz="4" w:space="0" w:color="auto"/>
            </w:tcBorders>
            <w:shd w:val="clear" w:color="auto" w:fill="00B0F0"/>
            <w:noWrap/>
            <w:hideMark/>
          </w:tcPr>
          <w:p w:rsidR="00075AB4" w:rsidRPr="00F301AE" w:rsidP="00572807" w14:paraId="0E6CD140"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1.6 Multiplier</w:t>
            </w:r>
          </w:p>
        </w:tc>
        <w:tc>
          <w:tcPr>
            <w:tcW w:w="2052" w:type="dxa"/>
            <w:tcBorders>
              <w:top w:val="single" w:sz="4" w:space="0" w:color="auto"/>
              <w:left w:val="nil"/>
              <w:bottom w:val="single" w:sz="4" w:space="0" w:color="auto"/>
              <w:right w:val="nil"/>
            </w:tcBorders>
            <w:shd w:val="clear" w:color="auto" w:fill="00B0F0"/>
            <w:noWrap/>
            <w:hideMark/>
          </w:tcPr>
          <w:p w:rsidR="00075AB4" w:rsidRPr="00F301AE" w:rsidP="00572807" w14:paraId="7FA44D14"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Total Annual Responses (1 hr per response)</w:t>
            </w:r>
          </w:p>
        </w:tc>
        <w:tc>
          <w:tcPr>
            <w:tcW w:w="1767" w:type="dxa"/>
            <w:tcBorders>
              <w:top w:val="single" w:sz="4" w:space="0" w:color="auto"/>
              <w:left w:val="single" w:sz="4" w:space="0" w:color="auto"/>
              <w:bottom w:val="single" w:sz="4" w:space="0" w:color="auto"/>
              <w:right w:val="single" w:sz="4" w:space="0" w:color="auto"/>
            </w:tcBorders>
            <w:shd w:val="clear" w:color="auto" w:fill="00B0F0"/>
            <w:noWrap/>
            <w:hideMark/>
          </w:tcPr>
          <w:p w:rsidR="00075AB4" w:rsidRPr="00F301AE" w:rsidP="00572807" w14:paraId="5D2DE762" w14:textId="77777777">
            <w:pPr>
              <w:spacing w:after="0" w:line="240" w:lineRule="auto"/>
              <w:rPr>
                <w:rFonts w:ascii="Calibri" w:eastAsia="Times New Roman" w:hAnsi="Calibri" w:cs="Calibri"/>
                <w:b/>
                <w:bCs/>
                <w:color w:val="000000"/>
                <w:sz w:val="20"/>
                <w:szCs w:val="20"/>
              </w:rPr>
            </w:pPr>
            <w:r w:rsidRPr="00F301AE">
              <w:rPr>
                <w:rFonts w:ascii="Calibri" w:eastAsia="Times New Roman" w:hAnsi="Calibri" w:cs="Calibri"/>
                <w:b/>
                <w:bCs/>
                <w:color w:val="000000"/>
                <w:sz w:val="20"/>
                <w:szCs w:val="20"/>
              </w:rPr>
              <w:t xml:space="preserve">Annual Cost </w:t>
            </w:r>
          </w:p>
        </w:tc>
      </w:tr>
      <w:tr w14:paraId="5D91728E" w14:textId="77777777" w:rsidTr="00DA40DC">
        <w:tblPrEx>
          <w:tblW w:w="8602" w:type="dxa"/>
          <w:tblLook w:val="04A0"/>
        </w:tblPrEx>
        <w:trPr>
          <w:trHeight w:val="290"/>
        </w:trPr>
        <w:tc>
          <w:tcPr>
            <w:tcW w:w="1186" w:type="dxa"/>
            <w:tcBorders>
              <w:top w:val="single" w:sz="4" w:space="0" w:color="auto"/>
              <w:left w:val="single" w:sz="4" w:space="0" w:color="auto"/>
              <w:bottom w:val="single" w:sz="4" w:space="0" w:color="auto"/>
              <w:right w:val="nil"/>
            </w:tcBorders>
            <w:shd w:val="clear" w:color="auto" w:fill="auto"/>
            <w:noWrap/>
            <w:vAlign w:val="bottom"/>
            <w:hideMark/>
          </w:tcPr>
          <w:p w:rsidR="00075AB4" w:rsidRPr="00232A67" w:rsidP="00572807" w14:paraId="7231CBE4" w14:textId="2FA268B9">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C</w:t>
            </w:r>
            <w:r w:rsidR="00DA40DC">
              <w:rPr>
                <w:rFonts w:ascii="Calibri" w:eastAsia="Times New Roman" w:hAnsi="Calibri" w:cs="Calibri"/>
                <w:color w:val="000000"/>
                <w:sz w:val="20"/>
                <w:szCs w:val="20"/>
              </w:rPr>
              <w:t>ontracting Officer</w:t>
            </w:r>
            <w:r>
              <w:rPr>
                <w:rFonts w:ascii="Calibri" w:eastAsia="Times New Roman" w:hAnsi="Calibri" w:cs="Calibri"/>
                <w:color w:val="000000"/>
                <w:sz w:val="20"/>
                <w:szCs w:val="20"/>
              </w:rPr>
              <w:t>s</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B4" w:rsidRPr="00232A67" w:rsidP="00572807" w14:paraId="7B67D19A"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GS-14-5</w:t>
            </w:r>
          </w:p>
        </w:tc>
        <w:tc>
          <w:tcPr>
            <w:tcW w:w="1319" w:type="dxa"/>
            <w:tcBorders>
              <w:top w:val="single" w:sz="4" w:space="0" w:color="auto"/>
              <w:left w:val="nil"/>
              <w:bottom w:val="single" w:sz="4" w:space="0" w:color="auto"/>
              <w:right w:val="nil"/>
            </w:tcBorders>
            <w:shd w:val="clear" w:color="auto" w:fill="auto"/>
            <w:noWrap/>
            <w:vAlign w:val="bottom"/>
            <w:hideMark/>
          </w:tcPr>
          <w:p w:rsidR="00075AB4" w:rsidRPr="00232A67" w:rsidP="00572807" w14:paraId="58E0F0D0" w14:textId="7747C36B">
            <w:pPr>
              <w:spacing w:after="0" w:line="240" w:lineRule="auto"/>
              <w:jc w:val="right"/>
              <w:rPr>
                <w:rFonts w:ascii="Calibri" w:eastAsia="Times New Roman" w:hAnsi="Calibri" w:cs="Calibri"/>
                <w:color w:val="000000"/>
                <w:sz w:val="20"/>
                <w:szCs w:val="20"/>
              </w:rPr>
            </w:pPr>
            <w:r w:rsidRPr="00232A67">
              <w:rPr>
                <w:rFonts w:ascii="Calibri" w:eastAsia="Times New Roman" w:hAnsi="Calibri" w:cs="Calibri"/>
                <w:color w:val="000000"/>
                <w:sz w:val="20"/>
                <w:szCs w:val="20"/>
              </w:rPr>
              <w:t>$</w:t>
            </w:r>
            <w:r w:rsidRPr="009E3327" w:rsidR="009E3327">
              <w:rPr>
                <w:rFonts w:ascii="Calibri" w:eastAsia="Times New Roman" w:hAnsi="Calibri" w:cs="Calibri"/>
                <w:color w:val="000000"/>
                <w:sz w:val="20"/>
                <w:szCs w:val="20"/>
              </w:rPr>
              <w:t>69.37</w:t>
            </w:r>
          </w:p>
        </w:tc>
        <w:tc>
          <w:tcPr>
            <w:tcW w:w="1098" w:type="dxa"/>
            <w:tcBorders>
              <w:top w:val="single" w:sz="4" w:space="0" w:color="auto"/>
              <w:left w:val="single" w:sz="4" w:space="0" w:color="auto"/>
              <w:bottom w:val="single" w:sz="4" w:space="0" w:color="auto"/>
              <w:right w:val="nil"/>
            </w:tcBorders>
            <w:shd w:val="clear" w:color="auto" w:fill="auto"/>
            <w:noWrap/>
            <w:vAlign w:val="bottom"/>
            <w:hideMark/>
          </w:tcPr>
          <w:p w:rsidR="00075AB4" w:rsidRPr="00232A67" w:rsidP="00572807" w14:paraId="48833CBF" w14:textId="7EE9E2CA">
            <w:pPr>
              <w:spacing w:after="0" w:line="240" w:lineRule="auto"/>
              <w:jc w:val="right"/>
              <w:rPr>
                <w:rFonts w:ascii="Calibri" w:eastAsia="Times New Roman" w:hAnsi="Calibri" w:cs="Calibri"/>
                <w:color w:val="000000"/>
                <w:sz w:val="20"/>
                <w:szCs w:val="20"/>
              </w:rPr>
            </w:pPr>
            <w:r w:rsidRPr="00232A67">
              <w:rPr>
                <w:rFonts w:ascii="Calibri" w:eastAsia="Times New Roman" w:hAnsi="Calibri" w:cs="Calibri"/>
                <w:color w:val="000000"/>
                <w:sz w:val="20"/>
                <w:szCs w:val="20"/>
              </w:rPr>
              <w:t>$</w:t>
            </w:r>
            <w:r w:rsidRPr="00BE2CD7" w:rsidR="00BE2CD7">
              <w:rPr>
                <w:rFonts w:ascii="Calibri" w:eastAsia="Times New Roman" w:hAnsi="Calibri" w:cs="Calibri"/>
                <w:color w:val="000000"/>
                <w:sz w:val="20"/>
                <w:szCs w:val="20"/>
              </w:rPr>
              <w:t>110.99</w:t>
            </w:r>
          </w:p>
        </w:tc>
        <w:tc>
          <w:tcPr>
            <w:tcW w:w="2052" w:type="dxa"/>
            <w:tcBorders>
              <w:top w:val="single" w:sz="4" w:space="0" w:color="auto"/>
              <w:left w:val="single" w:sz="4" w:space="0" w:color="auto"/>
              <w:bottom w:val="single" w:sz="4" w:space="0" w:color="auto"/>
              <w:right w:val="nil"/>
            </w:tcBorders>
            <w:shd w:val="clear" w:color="auto" w:fill="auto"/>
            <w:noWrap/>
            <w:vAlign w:val="bottom"/>
            <w:hideMark/>
          </w:tcPr>
          <w:p w:rsidR="00075AB4" w:rsidRPr="00232A67" w:rsidP="00572807" w14:paraId="6DBE356A" w14:textId="30355978">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xml:space="preserve">                        7,</w:t>
            </w:r>
            <w:r w:rsidR="00F8237F">
              <w:rPr>
                <w:rFonts w:ascii="Calibri" w:eastAsia="Times New Roman" w:hAnsi="Calibri" w:cs="Calibri"/>
                <w:color w:val="000000"/>
                <w:sz w:val="20"/>
                <w:szCs w:val="20"/>
              </w:rPr>
              <w:t>672</w:t>
            </w:r>
            <w:r w:rsidRPr="00232A67">
              <w:rPr>
                <w:rFonts w:ascii="Calibri" w:eastAsia="Times New Roman" w:hAnsi="Calibri" w:cs="Calibri"/>
                <w:color w:val="000000"/>
                <w:sz w:val="20"/>
                <w:szCs w:val="20"/>
              </w:rPr>
              <w:t xml:space="preserve"> </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B4" w:rsidRPr="00232A67" w:rsidP="00617C47" w14:paraId="35140F08" w14:textId="7C736B44">
            <w:pPr>
              <w:spacing w:after="0" w:line="240" w:lineRule="auto"/>
              <w:jc w:val="right"/>
              <w:rPr>
                <w:rFonts w:ascii="Calibri" w:eastAsia="Times New Roman" w:hAnsi="Calibri" w:cs="Calibri"/>
                <w:color w:val="000000"/>
                <w:sz w:val="20"/>
                <w:szCs w:val="20"/>
              </w:rPr>
            </w:pPr>
            <w:r w:rsidRPr="00F8237F">
              <w:rPr>
                <w:rFonts w:ascii="Calibri" w:eastAsia="Times New Roman" w:hAnsi="Calibri" w:cs="Calibri"/>
                <w:color w:val="000000"/>
                <w:sz w:val="20"/>
                <w:szCs w:val="20"/>
              </w:rPr>
              <w:t>$851,531</w:t>
            </w:r>
          </w:p>
        </w:tc>
      </w:tr>
      <w:tr w14:paraId="4904B69B" w14:textId="77777777" w:rsidTr="00DA40DC">
        <w:tblPrEx>
          <w:tblW w:w="8602" w:type="dxa"/>
          <w:tblLook w:val="04A0"/>
        </w:tblPrEx>
        <w:trPr>
          <w:trHeight w:val="290"/>
        </w:trPr>
        <w:tc>
          <w:tcPr>
            <w:tcW w:w="1186" w:type="dxa"/>
            <w:tcBorders>
              <w:top w:val="single" w:sz="4" w:space="0" w:color="auto"/>
              <w:left w:val="single" w:sz="4" w:space="0" w:color="auto"/>
              <w:bottom w:val="single" w:sz="4" w:space="0" w:color="auto"/>
              <w:right w:val="nil"/>
            </w:tcBorders>
            <w:shd w:val="clear" w:color="auto" w:fill="auto"/>
            <w:noWrap/>
            <w:vAlign w:val="bottom"/>
            <w:hideMark/>
          </w:tcPr>
          <w:p w:rsidR="00075AB4" w:rsidRPr="00B32D7C" w:rsidP="00572807" w14:paraId="2FE4AAD2" w14:textId="19DCC404">
            <w:pPr>
              <w:spacing w:after="0" w:line="240" w:lineRule="auto"/>
              <w:rPr>
                <w:rFonts w:ascii="Calibri" w:eastAsia="Times New Roman" w:hAnsi="Calibri" w:cs="Calibri"/>
                <w:color w:val="000000"/>
                <w:sz w:val="20"/>
                <w:szCs w:val="20"/>
              </w:rPr>
            </w:pPr>
            <w:r w:rsidRPr="00095AE6">
              <w:rPr>
                <w:sz w:val="20"/>
                <w:szCs w:val="20"/>
              </w:rPr>
              <w:t>Contracting Officer’s Representative</w:t>
            </w:r>
            <w:r w:rsidRPr="00B32D7C">
              <w:rPr>
                <w:rFonts w:ascii="Calibri" w:eastAsia="Times New Roman" w:hAnsi="Calibri" w:cs="Calibri"/>
                <w:color w:val="000000"/>
                <w:sz w:val="20"/>
                <w:szCs w:val="20"/>
              </w:rPr>
              <w:t>s</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B4" w:rsidRPr="00232A67" w:rsidP="00572807" w14:paraId="727A1014"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GS-13-5</w:t>
            </w:r>
          </w:p>
        </w:tc>
        <w:tc>
          <w:tcPr>
            <w:tcW w:w="1319" w:type="dxa"/>
            <w:tcBorders>
              <w:top w:val="single" w:sz="4" w:space="0" w:color="auto"/>
              <w:left w:val="nil"/>
              <w:bottom w:val="single" w:sz="4" w:space="0" w:color="auto"/>
              <w:right w:val="nil"/>
            </w:tcBorders>
            <w:shd w:val="clear" w:color="auto" w:fill="auto"/>
            <w:noWrap/>
            <w:vAlign w:val="bottom"/>
            <w:hideMark/>
          </w:tcPr>
          <w:p w:rsidR="00075AB4" w:rsidRPr="00232A67" w:rsidP="00572807" w14:paraId="4FC7CEA5" w14:textId="55319487">
            <w:pPr>
              <w:spacing w:after="0" w:line="240" w:lineRule="auto"/>
              <w:jc w:val="right"/>
              <w:rPr>
                <w:rFonts w:ascii="Calibri" w:eastAsia="Times New Roman" w:hAnsi="Calibri" w:cs="Calibri"/>
                <w:color w:val="000000"/>
                <w:sz w:val="20"/>
                <w:szCs w:val="20"/>
              </w:rPr>
            </w:pPr>
            <w:r w:rsidRPr="00232A67">
              <w:rPr>
                <w:rFonts w:ascii="Calibri" w:eastAsia="Times New Roman" w:hAnsi="Calibri" w:cs="Calibri"/>
                <w:color w:val="000000"/>
                <w:sz w:val="20"/>
                <w:szCs w:val="20"/>
              </w:rPr>
              <w:t>$</w:t>
            </w:r>
            <w:r w:rsidRPr="00BE2CD7" w:rsidR="00BE2CD7">
              <w:rPr>
                <w:rFonts w:ascii="Calibri" w:eastAsia="Times New Roman" w:hAnsi="Calibri" w:cs="Calibri"/>
                <w:color w:val="000000"/>
                <w:sz w:val="20"/>
                <w:szCs w:val="20"/>
              </w:rPr>
              <w:t>58.70</w:t>
            </w:r>
          </w:p>
        </w:tc>
        <w:tc>
          <w:tcPr>
            <w:tcW w:w="1098" w:type="dxa"/>
            <w:tcBorders>
              <w:top w:val="single" w:sz="4" w:space="0" w:color="auto"/>
              <w:left w:val="single" w:sz="4" w:space="0" w:color="auto"/>
              <w:bottom w:val="single" w:sz="4" w:space="0" w:color="auto"/>
              <w:right w:val="nil"/>
            </w:tcBorders>
            <w:shd w:val="clear" w:color="auto" w:fill="auto"/>
            <w:noWrap/>
            <w:vAlign w:val="bottom"/>
            <w:hideMark/>
          </w:tcPr>
          <w:p w:rsidR="00075AB4" w:rsidRPr="00232A67" w:rsidP="00572807" w14:paraId="3F4F61B0" w14:textId="79EBCC39">
            <w:pPr>
              <w:spacing w:after="0" w:line="240" w:lineRule="auto"/>
              <w:jc w:val="right"/>
              <w:rPr>
                <w:rFonts w:ascii="Calibri" w:eastAsia="Times New Roman" w:hAnsi="Calibri" w:cs="Calibri"/>
                <w:color w:val="000000"/>
                <w:sz w:val="20"/>
                <w:szCs w:val="20"/>
              </w:rPr>
            </w:pPr>
            <w:r w:rsidRPr="00232A67">
              <w:rPr>
                <w:rFonts w:ascii="Calibri" w:eastAsia="Times New Roman" w:hAnsi="Calibri" w:cs="Calibri"/>
                <w:color w:val="000000"/>
                <w:sz w:val="20"/>
                <w:szCs w:val="20"/>
              </w:rPr>
              <w:t>$</w:t>
            </w:r>
            <w:r w:rsidRPr="00BE2CD7" w:rsidR="00BE2CD7">
              <w:rPr>
                <w:rFonts w:ascii="Calibri" w:eastAsia="Times New Roman" w:hAnsi="Calibri" w:cs="Calibri"/>
                <w:color w:val="000000"/>
                <w:sz w:val="20"/>
                <w:szCs w:val="20"/>
              </w:rPr>
              <w:t>93.92</w:t>
            </w:r>
          </w:p>
        </w:tc>
        <w:tc>
          <w:tcPr>
            <w:tcW w:w="2052" w:type="dxa"/>
            <w:tcBorders>
              <w:top w:val="single" w:sz="4" w:space="0" w:color="auto"/>
              <w:left w:val="single" w:sz="4" w:space="0" w:color="auto"/>
              <w:bottom w:val="single" w:sz="4" w:space="0" w:color="auto"/>
              <w:right w:val="nil"/>
            </w:tcBorders>
            <w:shd w:val="clear" w:color="auto" w:fill="auto"/>
            <w:noWrap/>
            <w:vAlign w:val="bottom"/>
            <w:hideMark/>
          </w:tcPr>
          <w:p w:rsidR="00075AB4" w:rsidRPr="00232A67" w:rsidP="00572807" w14:paraId="63637D4B" w14:textId="08A7D954">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xml:space="preserve">                        7,</w:t>
            </w:r>
            <w:r w:rsidR="00F8237F">
              <w:rPr>
                <w:rFonts w:ascii="Calibri" w:eastAsia="Times New Roman" w:hAnsi="Calibri" w:cs="Calibri"/>
                <w:color w:val="000000"/>
                <w:sz w:val="20"/>
                <w:szCs w:val="20"/>
              </w:rPr>
              <w:t>672</w:t>
            </w:r>
            <w:r w:rsidRPr="00232A67">
              <w:rPr>
                <w:rFonts w:ascii="Calibri" w:eastAsia="Times New Roman" w:hAnsi="Calibri" w:cs="Calibri"/>
                <w:color w:val="000000"/>
                <w:sz w:val="20"/>
                <w:szCs w:val="20"/>
              </w:rPr>
              <w:t xml:space="preserve"> </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B4" w:rsidRPr="00232A67" w:rsidP="00DA40DC" w14:paraId="7ACA96B6" w14:textId="07F1B03E">
            <w:pPr>
              <w:spacing w:after="0" w:line="240" w:lineRule="auto"/>
              <w:jc w:val="right"/>
              <w:rPr>
                <w:rFonts w:ascii="Calibri" w:eastAsia="Times New Roman" w:hAnsi="Calibri" w:cs="Calibri"/>
                <w:color w:val="000000"/>
                <w:sz w:val="20"/>
                <w:szCs w:val="20"/>
              </w:rPr>
            </w:pPr>
            <w:r w:rsidRPr="009B374D">
              <w:rPr>
                <w:rFonts w:ascii="Calibri" w:eastAsia="Times New Roman" w:hAnsi="Calibri" w:cs="Calibri"/>
                <w:color w:val="000000"/>
                <w:sz w:val="20"/>
                <w:szCs w:val="20"/>
              </w:rPr>
              <w:t>$720,579</w:t>
            </w:r>
          </w:p>
        </w:tc>
      </w:tr>
      <w:tr w14:paraId="7601497B" w14:textId="77777777" w:rsidTr="00DA40DC">
        <w:tblPrEx>
          <w:tblW w:w="8602" w:type="dxa"/>
          <w:tblLook w:val="04A0"/>
        </w:tblPrEx>
        <w:trPr>
          <w:trHeight w:val="290"/>
        </w:trPr>
        <w:tc>
          <w:tcPr>
            <w:tcW w:w="1186" w:type="dxa"/>
            <w:tcBorders>
              <w:top w:val="single" w:sz="4" w:space="0" w:color="auto"/>
              <w:left w:val="single" w:sz="4" w:space="0" w:color="auto"/>
              <w:bottom w:val="single" w:sz="4" w:space="0" w:color="auto"/>
              <w:right w:val="nil"/>
            </w:tcBorders>
            <w:shd w:val="clear" w:color="auto" w:fill="E2A4AC" w:themeFill="accent5" w:themeFillTint="66"/>
            <w:noWrap/>
            <w:vAlign w:val="bottom"/>
            <w:hideMark/>
          </w:tcPr>
          <w:p w:rsidR="00075AB4" w:rsidRPr="00232A67" w:rsidP="00572807" w14:paraId="54DE4720"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w:t>
            </w:r>
          </w:p>
        </w:tc>
        <w:tc>
          <w:tcPr>
            <w:tcW w:w="1180" w:type="dxa"/>
            <w:tcBorders>
              <w:top w:val="single" w:sz="4" w:space="0" w:color="auto"/>
              <w:left w:val="nil"/>
              <w:bottom w:val="single" w:sz="4" w:space="0" w:color="auto"/>
              <w:right w:val="nil"/>
            </w:tcBorders>
            <w:shd w:val="clear" w:color="auto" w:fill="E2A4AC" w:themeFill="accent5" w:themeFillTint="66"/>
            <w:noWrap/>
            <w:vAlign w:val="bottom"/>
            <w:hideMark/>
          </w:tcPr>
          <w:p w:rsidR="00075AB4" w:rsidRPr="00232A67" w:rsidP="00572807" w14:paraId="6E5B8943"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w:t>
            </w:r>
          </w:p>
        </w:tc>
        <w:tc>
          <w:tcPr>
            <w:tcW w:w="1319" w:type="dxa"/>
            <w:tcBorders>
              <w:top w:val="single" w:sz="4" w:space="0" w:color="auto"/>
              <w:left w:val="single" w:sz="4" w:space="0" w:color="auto"/>
              <w:bottom w:val="single" w:sz="4" w:space="0" w:color="auto"/>
              <w:right w:val="nil"/>
            </w:tcBorders>
            <w:shd w:val="clear" w:color="auto" w:fill="E2A4AC" w:themeFill="accent5" w:themeFillTint="66"/>
            <w:noWrap/>
            <w:vAlign w:val="bottom"/>
            <w:hideMark/>
          </w:tcPr>
          <w:p w:rsidR="00075AB4" w:rsidRPr="00232A67" w:rsidP="00572807" w14:paraId="48ADCC18"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xml:space="preserve">   </w:t>
            </w:r>
          </w:p>
        </w:tc>
        <w:tc>
          <w:tcPr>
            <w:tcW w:w="1098" w:type="dxa"/>
            <w:tcBorders>
              <w:top w:val="single" w:sz="4" w:space="0" w:color="auto"/>
              <w:left w:val="nil"/>
              <w:bottom w:val="single" w:sz="4" w:space="0" w:color="auto"/>
              <w:right w:val="nil"/>
            </w:tcBorders>
            <w:shd w:val="clear" w:color="auto" w:fill="E2A4AC" w:themeFill="accent5" w:themeFillTint="66"/>
            <w:noWrap/>
            <w:vAlign w:val="bottom"/>
            <w:hideMark/>
          </w:tcPr>
          <w:p w:rsidR="00075AB4" w:rsidRPr="00232A67" w:rsidP="00572807" w14:paraId="4E7B9F31"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xml:space="preserve">   </w:t>
            </w:r>
          </w:p>
        </w:tc>
        <w:tc>
          <w:tcPr>
            <w:tcW w:w="2052" w:type="dxa"/>
            <w:tcBorders>
              <w:top w:val="single" w:sz="4" w:space="0" w:color="auto"/>
              <w:left w:val="nil"/>
              <w:bottom w:val="single" w:sz="4" w:space="0" w:color="auto"/>
              <w:right w:val="nil"/>
            </w:tcBorders>
            <w:shd w:val="clear" w:color="auto" w:fill="E2A4AC" w:themeFill="accent5" w:themeFillTint="66"/>
            <w:noWrap/>
            <w:vAlign w:val="bottom"/>
            <w:hideMark/>
          </w:tcPr>
          <w:p w:rsidR="00075AB4" w:rsidRPr="00232A67" w:rsidP="00572807" w14:paraId="7796F8E8" w14:textId="77777777">
            <w:pPr>
              <w:spacing w:after="0" w:line="240" w:lineRule="auto"/>
              <w:rPr>
                <w:rFonts w:ascii="Calibri" w:eastAsia="Times New Roman" w:hAnsi="Calibri" w:cs="Calibri"/>
                <w:color w:val="000000"/>
                <w:sz w:val="20"/>
                <w:szCs w:val="20"/>
              </w:rPr>
            </w:pPr>
            <w:r w:rsidRPr="00232A67">
              <w:rPr>
                <w:rFonts w:ascii="Calibri" w:eastAsia="Times New Roman" w:hAnsi="Calibri" w:cs="Calibri"/>
                <w:color w:val="000000"/>
                <w:sz w:val="20"/>
                <w:szCs w:val="20"/>
              </w:rPr>
              <w:t> </w:t>
            </w:r>
          </w:p>
        </w:tc>
        <w:tc>
          <w:tcPr>
            <w:tcW w:w="17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AB4" w:rsidRPr="00232A67" w:rsidP="00DA40DC" w14:paraId="75D7E1E0" w14:textId="0D13A812">
            <w:pPr>
              <w:spacing w:after="0" w:line="240" w:lineRule="auto"/>
              <w:jc w:val="right"/>
              <w:rPr>
                <w:rFonts w:ascii="Calibri" w:eastAsia="Times New Roman" w:hAnsi="Calibri" w:cs="Calibri"/>
                <w:color w:val="000000"/>
                <w:sz w:val="20"/>
                <w:szCs w:val="20"/>
              </w:rPr>
            </w:pPr>
            <w:r w:rsidRPr="009B374D">
              <w:rPr>
                <w:rFonts w:ascii="Calibri" w:eastAsia="Times New Roman" w:hAnsi="Calibri" w:cs="Calibri"/>
                <w:color w:val="000000"/>
                <w:sz w:val="20"/>
                <w:szCs w:val="20"/>
              </w:rPr>
              <w:t>$1,572,109</w:t>
            </w:r>
          </w:p>
        </w:tc>
      </w:tr>
    </w:tbl>
    <w:p w:rsidR="006321A9" w:rsidP="00C82F5F" w14:paraId="1AF1275F" w14:textId="77777777"/>
    <w:p w:rsidR="006D42EC" w:rsidP="00002473" w14:paraId="163CD763" w14:textId="459C5EE4">
      <w:pPr>
        <w:pStyle w:val="Heading2"/>
      </w:pPr>
      <w:r>
        <w:t>A.</w:t>
      </w:r>
      <w:r w:rsidRPr="00A41763" w:rsidR="00A41763">
        <w:t xml:space="preserve">15. </w:t>
      </w:r>
      <w:r>
        <w:t>Reasons for Changes in Burden</w:t>
      </w:r>
      <w:bookmarkEnd w:id="19"/>
    </w:p>
    <w:p w:rsidR="00A41763" w:rsidRPr="00A41763" w:rsidP="00A41763" w14:paraId="371F9FF2" w14:textId="77777777">
      <w:bookmarkStart w:id="20" w:name="_Hlk57385469"/>
      <w:r w:rsidRPr="00A41763">
        <w:rPr>
          <w:b/>
          <w:bCs/>
        </w:rPr>
        <w:t xml:space="preserve">Explain the reasons for any program changes or adjustments reported in Items 13 (or 14) of OMB Form 83-I. </w:t>
      </w:r>
    </w:p>
    <w:bookmarkEnd w:id="20"/>
    <w:p w:rsidR="00957275" w:rsidRPr="00957275" w:rsidP="006A3109" w14:paraId="3F32CBBA" w14:textId="7B5B9066">
      <w:r>
        <w:t xml:space="preserve">Since </w:t>
      </w:r>
      <w:r w:rsidRPr="00957275" w:rsidR="004E5DFF">
        <w:t xml:space="preserve">the previous Information Collection Request extension, the </w:t>
      </w:r>
      <w:r w:rsidRPr="00957275" w:rsidR="00FF589B">
        <w:t>Department</w:t>
      </w:r>
      <w:r w:rsidRPr="00957275" w:rsidR="004E5DFF">
        <w:t xml:space="preserve"> of Energy Acquisition Regulation</w:t>
      </w:r>
      <w:r w:rsidRPr="00957275" w:rsidR="00FF589B">
        <w:t xml:space="preserve"> (DEAR)</w:t>
      </w:r>
      <w:r w:rsidR="00627DF3">
        <w:t xml:space="preserve">, codified at 48 CFR </w:t>
      </w:r>
      <w:r w:rsidR="00DB382A">
        <w:t xml:space="preserve">Chapter 9, </w:t>
      </w:r>
      <w:r w:rsidRPr="00957275" w:rsidR="00FF589B">
        <w:t xml:space="preserve">underwent a </w:t>
      </w:r>
      <w:r w:rsidRPr="00957275" w:rsidR="005F7B96">
        <w:t xml:space="preserve">comprehensive revision </w:t>
      </w:r>
      <w:r w:rsidRPr="00957275" w:rsidR="006A3109">
        <w:t>(</w:t>
      </w:r>
      <w:r w:rsidRPr="00957275" w:rsidR="0029726F">
        <w:t>89 FR 89720 published on November 13, 2024)</w:t>
      </w:r>
      <w:r w:rsidRPr="00957275" w:rsidR="00591719">
        <w:t xml:space="preserve"> </w:t>
      </w:r>
      <w:r w:rsidRPr="00957275" w:rsidR="005F7B96">
        <w:t xml:space="preserve">to </w:t>
      </w:r>
      <w:r w:rsidRPr="00957275" w:rsidR="006A3109">
        <w:t>streamline the policies,</w:t>
      </w:r>
      <w:r w:rsidRPr="00957275" w:rsidR="00591719">
        <w:t xml:space="preserve"> </w:t>
      </w:r>
      <w:r w:rsidRPr="00957275" w:rsidR="006A3109">
        <w:t>procedures, provisions and clauses that</w:t>
      </w:r>
      <w:r w:rsidRPr="00957275" w:rsidR="00591719">
        <w:t xml:space="preserve"> </w:t>
      </w:r>
      <w:r w:rsidRPr="00957275" w:rsidR="006A3109">
        <w:t>are applicable to the Department’s</w:t>
      </w:r>
      <w:r w:rsidRPr="00957275" w:rsidR="00591719">
        <w:t xml:space="preserve"> </w:t>
      </w:r>
      <w:r w:rsidRPr="00957275" w:rsidR="006A3109">
        <w:t xml:space="preserve">contracts. </w:t>
      </w:r>
      <w:r w:rsidR="00537F1C">
        <w:t xml:space="preserve"> </w:t>
      </w:r>
      <w:r w:rsidRPr="00957275" w:rsidR="006A3109">
        <w:t>Th</w:t>
      </w:r>
      <w:r w:rsidRPr="00957275" w:rsidR="00591719">
        <w:t>e</w:t>
      </w:r>
      <w:r w:rsidRPr="00957275" w:rsidR="006A3109">
        <w:t xml:space="preserve"> rulemaking update</w:t>
      </w:r>
      <w:r w:rsidRPr="00957275" w:rsidR="00591719">
        <w:t>d</w:t>
      </w:r>
      <w:r w:rsidRPr="00957275" w:rsidR="006A3109">
        <w:t xml:space="preserve"> or</w:t>
      </w:r>
      <w:r w:rsidRPr="00957275" w:rsidR="00591719">
        <w:t xml:space="preserve"> </w:t>
      </w:r>
      <w:r w:rsidRPr="00957275" w:rsidR="006A3109">
        <w:t>eliminate</w:t>
      </w:r>
      <w:r w:rsidRPr="00957275" w:rsidR="00591719">
        <w:t>d</w:t>
      </w:r>
      <w:r w:rsidRPr="00957275" w:rsidR="006A3109">
        <w:t xml:space="preserve"> coverage that </w:t>
      </w:r>
      <w:r w:rsidRPr="00957275" w:rsidR="00E24414">
        <w:t>was considered</w:t>
      </w:r>
      <w:r w:rsidRPr="00957275" w:rsidR="006A3109">
        <w:t xml:space="preserve"> obsolete or</w:t>
      </w:r>
      <w:r w:rsidRPr="00957275" w:rsidR="00E24414">
        <w:t xml:space="preserve"> </w:t>
      </w:r>
      <w:r w:rsidRPr="00957275" w:rsidR="006A3109">
        <w:t>that unnecessarily duplicate</w:t>
      </w:r>
      <w:r w:rsidRPr="00957275" w:rsidR="00E24414">
        <w:t>d</w:t>
      </w:r>
      <w:r w:rsidRPr="00957275" w:rsidR="006A3109">
        <w:t xml:space="preserve"> the</w:t>
      </w:r>
      <w:r w:rsidRPr="00957275" w:rsidR="00E24414">
        <w:t xml:space="preserve"> </w:t>
      </w:r>
      <w:r w:rsidRPr="00957275" w:rsidR="006A3109">
        <w:t>Federal Acquisition Regulation (FAR)</w:t>
      </w:r>
      <w:r w:rsidRPr="00957275" w:rsidR="00C329A2">
        <w:t xml:space="preserve"> while</w:t>
      </w:r>
      <w:r w:rsidRPr="00957275" w:rsidR="006A3109">
        <w:t xml:space="preserve"> retain</w:t>
      </w:r>
      <w:r w:rsidRPr="00957275" w:rsidR="00C329A2">
        <w:t>ing</w:t>
      </w:r>
      <w:r w:rsidRPr="00957275" w:rsidR="006A3109">
        <w:t xml:space="preserve"> only that coverage which</w:t>
      </w:r>
      <w:r w:rsidRPr="00957275" w:rsidR="00C329A2">
        <w:t xml:space="preserve"> </w:t>
      </w:r>
      <w:r w:rsidRPr="00957275" w:rsidR="006A3109">
        <w:t>either implements or supplements the</w:t>
      </w:r>
      <w:r w:rsidRPr="00957275" w:rsidR="00C329A2">
        <w:t xml:space="preserve"> </w:t>
      </w:r>
      <w:r w:rsidRPr="00957275" w:rsidR="006A3109">
        <w:t>FAR for the award and administration of</w:t>
      </w:r>
      <w:r w:rsidRPr="00957275" w:rsidR="00C329A2">
        <w:t xml:space="preserve"> </w:t>
      </w:r>
      <w:r w:rsidRPr="00957275" w:rsidR="006A3109">
        <w:t xml:space="preserve">the DOE’s contracts. </w:t>
      </w:r>
      <w:r w:rsidR="00537F1C">
        <w:t xml:space="preserve"> </w:t>
      </w:r>
      <w:r w:rsidRPr="00957275" w:rsidR="006A3109">
        <w:t>The rule add</w:t>
      </w:r>
      <w:r w:rsidRPr="00957275" w:rsidR="00C329A2">
        <w:t xml:space="preserve">ed </w:t>
      </w:r>
      <w:r w:rsidRPr="00957275" w:rsidR="006A3109">
        <w:t>several new clauses</w:t>
      </w:r>
      <w:r w:rsidRPr="00957275" w:rsidR="001E49C1">
        <w:t xml:space="preserve">, removed others, </w:t>
      </w:r>
      <w:r w:rsidRPr="00957275" w:rsidR="006A3109">
        <w:t xml:space="preserve">and </w:t>
      </w:r>
      <w:r w:rsidRPr="00957275" w:rsidR="006A3109">
        <w:t>amend</w:t>
      </w:r>
      <w:r w:rsidRPr="00957275" w:rsidR="00C329A2">
        <w:t>ed</w:t>
      </w:r>
      <w:r w:rsidRPr="00957275" w:rsidR="006A3109">
        <w:t xml:space="preserve"> several</w:t>
      </w:r>
      <w:r w:rsidRPr="00957275" w:rsidR="00C329A2">
        <w:t xml:space="preserve"> </w:t>
      </w:r>
      <w:r w:rsidRPr="00957275" w:rsidR="006A3109">
        <w:t>existing clauses in order to promote</w:t>
      </w:r>
      <w:r w:rsidRPr="00957275" w:rsidR="00C329A2">
        <w:t xml:space="preserve"> </w:t>
      </w:r>
      <w:r w:rsidRPr="00957275" w:rsidR="006A3109">
        <w:t>more uniform application of the DOE’s</w:t>
      </w:r>
      <w:r w:rsidRPr="00957275" w:rsidR="00C329A2">
        <w:t xml:space="preserve"> </w:t>
      </w:r>
      <w:r w:rsidRPr="00957275" w:rsidR="006A3109">
        <w:t>contract award and administration</w:t>
      </w:r>
      <w:r w:rsidRPr="00957275" w:rsidR="00C329A2">
        <w:t xml:space="preserve"> </w:t>
      </w:r>
      <w:r w:rsidRPr="00957275" w:rsidR="006A3109">
        <w:t>policies.</w:t>
      </w:r>
      <w:r w:rsidRPr="00957275" w:rsidR="001E49C1">
        <w:t xml:space="preserve"> </w:t>
      </w:r>
      <w:r w:rsidR="000D6DB5">
        <w:t xml:space="preserve"> </w:t>
      </w:r>
      <w:r w:rsidRPr="00957275" w:rsidR="002164A1">
        <w:t>While not all of these additions, revisions, and deletions resulted in</w:t>
      </w:r>
      <w:r w:rsidRPr="00957275">
        <w:t xml:space="preserve"> changes to this Information Collection Request, those that did are discussed in the following paragraph</w:t>
      </w:r>
      <w:r w:rsidR="00AA6B02">
        <w:t>s</w:t>
      </w:r>
      <w:r w:rsidRPr="00957275">
        <w:t>.</w:t>
      </w:r>
    </w:p>
    <w:p w:rsidR="00AA6B02" w:rsidP="006A3109" w14:paraId="2455746E" w14:textId="31C49BF4">
      <w:r>
        <w:t xml:space="preserve">Clause </w:t>
      </w:r>
      <w:r w:rsidRPr="008D6A4E">
        <w:t xml:space="preserve">952.204-74, </w:t>
      </w:r>
      <w:r w:rsidRPr="000A5804">
        <w:rPr>
          <w:i/>
          <w:iCs/>
        </w:rPr>
        <w:t>Counterintelligence</w:t>
      </w:r>
      <w:r>
        <w:t xml:space="preserve"> </w:t>
      </w:r>
      <w:r w:rsidR="0078060D">
        <w:t>(previously 970.5204-1) was</w:t>
      </w:r>
      <w:r w:rsidR="00D42F35">
        <w:t xml:space="preserve"> renumbered and</w:t>
      </w:r>
      <w:r w:rsidR="0078060D">
        <w:t xml:space="preserve"> moved from 48 CFR 970</w:t>
      </w:r>
      <w:r w:rsidR="00F83FA0">
        <w:t>.52 to 48 CFR 952 because the clause could apply to</w:t>
      </w:r>
      <w:r w:rsidR="00A45C62">
        <w:t xml:space="preserve"> non-M&amp;O contracts</w:t>
      </w:r>
      <w:r w:rsidR="00D42F35">
        <w:t xml:space="preserve"> as well as M&amp;O contracts</w:t>
      </w:r>
      <w:r w:rsidR="00A45C62">
        <w:t xml:space="preserve">. </w:t>
      </w:r>
      <w:r w:rsidR="000D6DB5">
        <w:t xml:space="preserve"> </w:t>
      </w:r>
      <w:r w:rsidR="00A45C62">
        <w:t xml:space="preserve">However, there </w:t>
      </w:r>
      <w:r w:rsidR="00016B45">
        <w:t xml:space="preserve">were no substantive changes to the clause or to the recordkeeping requirements associated with it. </w:t>
      </w:r>
    </w:p>
    <w:p w:rsidR="00AA6B02" w:rsidP="006A3109" w14:paraId="73F1FB68" w14:textId="38A04AE9">
      <w:r>
        <w:t>The text of c</w:t>
      </w:r>
      <w:r w:rsidR="000A5804">
        <w:t xml:space="preserve">lause </w:t>
      </w:r>
      <w:r w:rsidRPr="000A5804" w:rsidR="000A5804">
        <w:t xml:space="preserve">952.223-71 </w:t>
      </w:r>
      <w:r w:rsidRPr="000A5804" w:rsidR="000A5804">
        <w:rPr>
          <w:i/>
          <w:iCs/>
        </w:rPr>
        <w:t>Integration of environment, safety, and health into work planning and execution</w:t>
      </w:r>
      <w:r w:rsidR="000A5804">
        <w:t xml:space="preserve"> </w:t>
      </w:r>
      <w:r w:rsidR="00A86CD1">
        <w:t xml:space="preserve">previously simply pointed to the M&amp;O version of the clause </w:t>
      </w:r>
      <w:r w:rsidRPr="0087260D" w:rsidR="0087260D">
        <w:t>(970.5223-1</w:t>
      </w:r>
      <w:r w:rsidR="00D20421">
        <w:t xml:space="preserve"> </w:t>
      </w:r>
      <w:r w:rsidRPr="00D20421" w:rsidR="00D20421">
        <w:rPr>
          <w:i/>
          <w:iCs/>
        </w:rPr>
        <w:t>Integration of environment, safety, and health into work planning and execution</w:t>
      </w:r>
      <w:r w:rsidRPr="0087260D" w:rsidR="0087260D">
        <w:t xml:space="preserve">) </w:t>
      </w:r>
      <w:r w:rsidR="00A86CD1">
        <w:t xml:space="preserve">for the actual </w:t>
      </w:r>
      <w:r w:rsidR="0087260D">
        <w:t>requirements (i.e., clause text)</w:t>
      </w:r>
      <w:r w:rsidR="00EE02F1">
        <w:t xml:space="preserve">. </w:t>
      </w:r>
      <w:r w:rsidR="000D6DB5">
        <w:t xml:space="preserve"> </w:t>
      </w:r>
      <w:r w:rsidR="00BC7FD9">
        <w:t>T</w:t>
      </w:r>
      <w:r w:rsidR="00EE02F1">
        <w:t>he DEAR revision</w:t>
      </w:r>
      <w:r w:rsidR="00BC7FD9">
        <w:t xml:space="preserve"> added</w:t>
      </w:r>
      <w:r w:rsidR="00EE02F1">
        <w:t xml:space="preserve"> text similar to the M&amp;O version </w:t>
      </w:r>
      <w:r w:rsidR="00BC7FD9">
        <w:t>of</w:t>
      </w:r>
      <w:r w:rsidR="00EE02F1">
        <w:t xml:space="preserve"> the clause</w:t>
      </w:r>
      <w:r w:rsidR="00E22B9E">
        <w:t xml:space="preserve"> to this clause (</w:t>
      </w:r>
      <w:r w:rsidR="00A74D83">
        <w:t>952.223-71)</w:t>
      </w:r>
      <w:r w:rsidR="00EE02F1">
        <w:t xml:space="preserve">, </w:t>
      </w:r>
      <w:r w:rsidR="00A6009C">
        <w:t xml:space="preserve">but the </w:t>
      </w:r>
      <w:r w:rsidR="00F957EB">
        <w:t xml:space="preserve">net </w:t>
      </w:r>
      <w:r w:rsidR="00A6009C">
        <w:t xml:space="preserve">recordkeeping requirements </w:t>
      </w:r>
      <w:r w:rsidR="00BC7FD9">
        <w:t xml:space="preserve">did not change because </w:t>
      </w:r>
      <w:r w:rsidR="00F957EB">
        <w:t xml:space="preserve">previously the recordkeeping requirements associated with the M&amp;O version of the clause </w:t>
      </w:r>
      <w:r w:rsidR="00A74D83">
        <w:t xml:space="preserve">(970.5223-1) </w:t>
      </w:r>
      <w:r w:rsidR="00F957EB">
        <w:t xml:space="preserve">captured both M&amp;O and non-M&amp;O use. </w:t>
      </w:r>
    </w:p>
    <w:p w:rsidR="000A5804" w:rsidP="006A3109" w14:paraId="7D9C439E" w14:textId="467A2B66">
      <w:r>
        <w:t>Clause</w:t>
      </w:r>
      <w:r w:rsidR="0097257C">
        <w:t xml:space="preserve"> </w:t>
      </w:r>
      <w:r w:rsidRPr="009E3D9C">
        <w:t xml:space="preserve">970.5223-7, </w:t>
      </w:r>
      <w:r w:rsidRPr="00BF3C38">
        <w:rPr>
          <w:i/>
          <w:iCs/>
        </w:rPr>
        <w:t>Sustainable Acquisition Program (M&amp;O contracts)</w:t>
      </w:r>
      <w:r>
        <w:t xml:space="preserve"> </w:t>
      </w:r>
      <w:r w:rsidR="002E77F8">
        <w:t>was</w:t>
      </w:r>
      <w:r>
        <w:t xml:space="preserve"> deleted</w:t>
      </w:r>
      <w:r w:rsidR="00A6047E">
        <w:t xml:space="preserve"> and </w:t>
      </w:r>
      <w:r w:rsidR="004C5651">
        <w:t xml:space="preserve">the title of </w:t>
      </w:r>
      <w:r w:rsidR="00A6047E">
        <w:t xml:space="preserve">clause </w:t>
      </w:r>
      <w:r w:rsidRPr="004C5651" w:rsidR="004C5651">
        <w:t xml:space="preserve">952.223-78, </w:t>
      </w:r>
      <w:r w:rsidRPr="00BF3C38" w:rsidR="004C5651">
        <w:rPr>
          <w:i/>
          <w:iCs/>
        </w:rPr>
        <w:t>Sustainable Acquisition Program (Non M&amp;O contracts)</w:t>
      </w:r>
      <w:r w:rsidR="004C5651">
        <w:t xml:space="preserve"> was revised to remove the “</w:t>
      </w:r>
      <w:r w:rsidRPr="004C5651" w:rsidR="004C5651">
        <w:t>(Non</w:t>
      </w:r>
      <w:r w:rsidR="00BF3C38">
        <w:t>-</w:t>
      </w:r>
      <w:r w:rsidRPr="004C5651" w:rsidR="004C5651">
        <w:t>M&amp;O contracts)</w:t>
      </w:r>
      <w:r w:rsidR="004C5651">
        <w:t>” qualifier</w:t>
      </w:r>
      <w:r w:rsidR="008C6EF1">
        <w:t xml:space="preserve">, since clause </w:t>
      </w:r>
      <w:r w:rsidRPr="004C5651" w:rsidR="008C6EF1">
        <w:t>952.223-78</w:t>
      </w:r>
      <w:r w:rsidR="008C6EF1">
        <w:t xml:space="preserve"> now covers both M&amp;O and non-M&amp;O contracts. </w:t>
      </w:r>
      <w:r w:rsidR="000D6DB5">
        <w:t xml:space="preserve"> </w:t>
      </w:r>
      <w:r w:rsidR="008C6EF1">
        <w:t xml:space="preserve">As a result, the </w:t>
      </w:r>
      <w:r w:rsidR="003A4C6C">
        <w:t>recordkeeping burden is simply shifted from the deleted clause (970.52</w:t>
      </w:r>
      <w:r w:rsidR="00100A8F">
        <w:t xml:space="preserve">23-7) </w:t>
      </w:r>
      <w:r w:rsidR="003A4C6C">
        <w:t xml:space="preserve">to clause </w:t>
      </w:r>
      <w:r w:rsidRPr="004C5651" w:rsidR="003A4C6C">
        <w:t>952.223-78</w:t>
      </w:r>
      <w:r w:rsidR="00100A8F">
        <w:t xml:space="preserve"> and there is no net change to the total recordkeeping burden.</w:t>
      </w:r>
    </w:p>
    <w:p w:rsidR="000A5804" w:rsidP="006A3109" w14:paraId="60B4577D" w14:textId="58EC907C">
      <w:r>
        <w:t>C</w:t>
      </w:r>
      <w:r w:rsidR="002E5240">
        <w:t xml:space="preserve">lause </w:t>
      </w:r>
      <w:r w:rsidRPr="00AA6B02">
        <w:t xml:space="preserve">970.5204-3, </w:t>
      </w:r>
      <w:r w:rsidRPr="0033486A">
        <w:rPr>
          <w:i/>
          <w:iCs/>
        </w:rPr>
        <w:t>Access to and ownership of records</w:t>
      </w:r>
      <w:r w:rsidR="002E5240">
        <w:t xml:space="preserve"> was revised to remove </w:t>
      </w:r>
      <w:r w:rsidRPr="0033486A" w:rsidR="0033486A">
        <w:t>the automatic flow</w:t>
      </w:r>
      <w:r w:rsidR="0033486A">
        <w:t>-</w:t>
      </w:r>
      <w:r w:rsidRPr="0033486A" w:rsidR="0033486A">
        <w:t>down of the clause requirement</w:t>
      </w:r>
      <w:r w:rsidR="0033486A">
        <w:t>s</w:t>
      </w:r>
      <w:r w:rsidRPr="0033486A" w:rsidR="0033486A">
        <w:t xml:space="preserve"> based on the presence of clause at 970.5223</w:t>
      </w:r>
      <w:r w:rsidR="0033486A">
        <w:t>-</w:t>
      </w:r>
      <w:r w:rsidRPr="0033486A" w:rsidR="0033486A">
        <w:t xml:space="preserve">1 </w:t>
      </w:r>
      <w:r w:rsidRPr="00AB7111" w:rsidR="0033486A">
        <w:rPr>
          <w:i/>
          <w:iCs/>
        </w:rPr>
        <w:t>Integration of environment, safety, and health into work planning and execution</w:t>
      </w:r>
      <w:r w:rsidRPr="0033486A" w:rsidR="0033486A">
        <w:t xml:space="preserve">, </w:t>
      </w:r>
      <w:r w:rsidR="00AB7111">
        <w:t xml:space="preserve">and replace the prescription </w:t>
      </w:r>
      <w:r w:rsidRPr="0033486A" w:rsidR="0033486A">
        <w:t>with language that requires the contractor to flow down the clause (or maintain the applicable records themselves) whenever the subcontract scope of work could result in potential exposure to radioactive or other toxic substances that can cause long term health impacts.</w:t>
      </w:r>
      <w:r w:rsidR="004D5209">
        <w:t xml:space="preserve"> Although the number of </w:t>
      </w:r>
      <w:r w:rsidR="00184A76">
        <w:t xml:space="preserve">DOE </w:t>
      </w:r>
      <w:r w:rsidR="004D5209">
        <w:t xml:space="preserve">prime contracts impacted </w:t>
      </w:r>
      <w:r w:rsidR="005E682A">
        <w:t xml:space="preserve">remains the same, the revised flow-down prescription means that </w:t>
      </w:r>
      <w:r w:rsidR="00A25880">
        <w:t>the requirements of the clause would be flowed down into fewer subcontracts</w:t>
      </w:r>
      <w:r w:rsidR="00EB75BD">
        <w:t>, and result</w:t>
      </w:r>
      <w:r w:rsidR="002F5C34">
        <w:t xml:space="preserve"> in a decline in</w:t>
      </w:r>
      <w:r w:rsidR="00EB75BD">
        <w:t xml:space="preserve"> the burden hours per response</w:t>
      </w:r>
      <w:r w:rsidR="00184A76">
        <w:t xml:space="preserve"> at the prime contract level</w:t>
      </w:r>
      <w:r w:rsidR="00A25880">
        <w:t>.</w:t>
      </w:r>
      <w:r w:rsidR="008A19F0">
        <w:t xml:space="preserve"> While data on the various clauses included in subcontracts</w:t>
      </w:r>
      <w:r w:rsidR="00B90F53">
        <w:t xml:space="preserve"> is</w:t>
      </w:r>
      <w:r w:rsidR="00781E39">
        <w:t xml:space="preserve"> not</w:t>
      </w:r>
      <w:r w:rsidR="00B90F53">
        <w:t xml:space="preserve"> readily available, </w:t>
      </w:r>
      <w:r w:rsidR="00840835">
        <w:t xml:space="preserve">it is estimated </w:t>
      </w:r>
      <w:r w:rsidR="00094C68">
        <w:t>that the revision to the clause’s flow-down prescription</w:t>
      </w:r>
      <w:r w:rsidR="009D628A">
        <w:t xml:space="preserve"> will result in a reduction of 200 </w:t>
      </w:r>
      <w:r w:rsidR="00094C68">
        <w:t>b</w:t>
      </w:r>
      <w:r w:rsidR="009D628A">
        <w:t>urden hour</w:t>
      </w:r>
      <w:r w:rsidR="005D101F">
        <w:t>s</w:t>
      </w:r>
      <w:r w:rsidR="009D628A">
        <w:t xml:space="preserve"> </w:t>
      </w:r>
      <w:r w:rsidR="001E6507">
        <w:t xml:space="preserve">per </w:t>
      </w:r>
      <w:r w:rsidR="009D628A">
        <w:t>response</w:t>
      </w:r>
      <w:r w:rsidR="005D101F">
        <w:t>.</w:t>
      </w:r>
    </w:p>
    <w:p w:rsidR="00464CCE" w:rsidP="00F147EC" w14:paraId="4E2A1CD4" w14:textId="4F20A5A0">
      <w:r>
        <w:t xml:space="preserve">Clause </w:t>
      </w:r>
      <w:r w:rsidRPr="00464CCE">
        <w:t xml:space="preserve">970.5217-2 </w:t>
      </w:r>
      <w:r w:rsidRPr="00B80CF2">
        <w:rPr>
          <w:i/>
          <w:iCs/>
        </w:rPr>
        <w:t>Agreements for commercializing technology</w:t>
      </w:r>
      <w:r>
        <w:t xml:space="preserve"> </w:t>
      </w:r>
      <w:r w:rsidR="00E27569">
        <w:t xml:space="preserve">is a new clause </w:t>
      </w:r>
      <w:r w:rsidR="003C49CF">
        <w:t xml:space="preserve">with several recordkeeping impacts. </w:t>
      </w:r>
      <w:r w:rsidR="00F147EC">
        <w:t xml:space="preserve">Paragraph </w:t>
      </w:r>
      <w:r w:rsidR="0087099E">
        <w:t>(</w:t>
      </w:r>
      <w:r w:rsidR="00F147EC">
        <w:t>b)(3)(iv) requires the contractor to maintain and provide</w:t>
      </w:r>
      <w:r w:rsidR="0087099E">
        <w:t>,</w:t>
      </w:r>
      <w:r w:rsidR="00F147EC">
        <w:t xml:space="preserve"> when requested by the DOE Contracting Officer, a summary of project information for each active </w:t>
      </w:r>
      <w:r w:rsidRPr="004C33A4" w:rsidR="004C33A4">
        <w:t xml:space="preserve">Agreements </w:t>
      </w:r>
      <w:r w:rsidR="004C33A4">
        <w:t>f</w:t>
      </w:r>
      <w:r w:rsidRPr="004C33A4" w:rsidR="004C33A4">
        <w:t xml:space="preserve">or Commercializing Technology </w:t>
      </w:r>
      <w:r w:rsidR="004C33A4">
        <w:t>(</w:t>
      </w:r>
      <w:r w:rsidR="00F147EC">
        <w:t>ACT</w:t>
      </w:r>
      <w:r w:rsidR="004C33A4">
        <w:t>)</w:t>
      </w:r>
      <w:r w:rsidR="00F147EC">
        <w:t xml:space="preserve"> project, consisting of sponsor name</w:t>
      </w:r>
      <w:r w:rsidR="0087099E">
        <w:t>,</w:t>
      </w:r>
      <w:r w:rsidR="00F147EC">
        <w:t xml:space="preserve"> total estimated costs</w:t>
      </w:r>
      <w:r w:rsidR="0087099E">
        <w:t>,</w:t>
      </w:r>
      <w:r w:rsidR="00F147EC">
        <w:t xml:space="preserve"> project title and description</w:t>
      </w:r>
      <w:r w:rsidR="0087099E">
        <w:t>,</w:t>
      </w:r>
      <w:r w:rsidR="00F147EC">
        <w:t xml:space="preserve"> project point of </w:t>
      </w:r>
      <w:r w:rsidR="0087099E">
        <w:t>contact,</w:t>
      </w:r>
      <w:r w:rsidR="00F147EC">
        <w:t xml:space="preserve"> and estimated start and completion dates</w:t>
      </w:r>
      <w:r w:rsidR="004C33A4">
        <w:t xml:space="preserve">; paragraph </w:t>
      </w:r>
      <w:r w:rsidR="00F147EC">
        <w:t>(b)(4)(ii)</w:t>
      </w:r>
      <w:r w:rsidR="004C33A4">
        <w:t xml:space="preserve"> r</w:t>
      </w:r>
      <w:r w:rsidR="00F147EC">
        <w:t xml:space="preserve">equires </w:t>
      </w:r>
      <w:r w:rsidR="00E94C61">
        <w:t xml:space="preserve">the </w:t>
      </w:r>
      <w:r w:rsidR="00F147EC">
        <w:t xml:space="preserve">contractor to develop and submit to the </w:t>
      </w:r>
      <w:r w:rsidR="004C33A4">
        <w:t>Contracting Officer</w:t>
      </w:r>
      <w:r w:rsidR="00F147EC">
        <w:t xml:space="preserve"> for approval ACT proposal packages</w:t>
      </w:r>
      <w:r w:rsidR="007D6457">
        <w:t>, which</w:t>
      </w:r>
      <w:r w:rsidR="00C33755">
        <w:t xml:space="preserve"> are very detailed, and</w:t>
      </w:r>
      <w:r w:rsidR="007D6457">
        <w:t xml:space="preserve"> include the identity </w:t>
      </w:r>
      <w:r w:rsidR="00F147EC">
        <w:t>of the parties to the ACT agreement</w:t>
      </w:r>
      <w:r w:rsidR="00C33755">
        <w:t>,</w:t>
      </w:r>
      <w:r w:rsidR="00F147EC">
        <w:t xml:space="preserve"> the principal place of performance</w:t>
      </w:r>
      <w:r w:rsidR="00C33755">
        <w:t>,</w:t>
      </w:r>
      <w:r w:rsidR="00F147EC">
        <w:t xml:space="preserve"> any foreign ownership or control of the ACT agreement parties</w:t>
      </w:r>
      <w:r w:rsidR="00C33755">
        <w:t>,</w:t>
      </w:r>
      <w:r w:rsidR="00F147EC">
        <w:t xml:space="preserve"> a Statement of Work</w:t>
      </w:r>
      <w:r w:rsidR="00C33755">
        <w:t>,</w:t>
      </w:r>
      <w:r w:rsidR="00F147EC">
        <w:t xml:space="preserve"> an estimate of costs incurred under the M&amp;O contract</w:t>
      </w:r>
      <w:r w:rsidR="00C33755">
        <w:t>,</w:t>
      </w:r>
      <w:r w:rsidR="00F147EC">
        <w:t xml:space="preserve"> an anticipated </w:t>
      </w:r>
      <w:r w:rsidR="00F147EC">
        <w:t>schedule</w:t>
      </w:r>
      <w:r w:rsidR="00C33755">
        <w:t>,</w:t>
      </w:r>
      <w:r w:rsidR="00F147EC">
        <w:t xml:space="preserve"> identification of key Government equipment and facilities that will be used under the ACT agreement</w:t>
      </w:r>
      <w:r w:rsidR="00C33755">
        <w:t>,</w:t>
      </w:r>
      <w:r w:rsidR="00F147EC">
        <w:t xml:space="preserve"> a list of expected deliverables</w:t>
      </w:r>
      <w:r w:rsidR="00C33755">
        <w:t>,</w:t>
      </w:r>
      <w:r w:rsidR="00F147EC">
        <w:t xml:space="preserve"> identification of the Intellectual Property (IP) lead and proposed selection of IP rights, a signed certification by the private parti</w:t>
      </w:r>
      <w:r w:rsidR="00C33755">
        <w:t>es</w:t>
      </w:r>
      <w:r w:rsidR="00F147EC">
        <w:t xml:space="preserve"> that the M&amp;O </w:t>
      </w:r>
      <w:r w:rsidR="00F71F88">
        <w:t>c</w:t>
      </w:r>
      <w:r w:rsidR="00F147EC">
        <w:t>ontractor offered the option to use Cooperative Research and Development Agreement (CRADA) and Strategic Partnership Project (SPP) alternatives such that the private parties are aware of the relative costs and other differences between the ACT agreement and the CRADA and SPP alternatives</w:t>
      </w:r>
      <w:r w:rsidR="00AD25CF">
        <w:t>,</w:t>
      </w:r>
      <w:r w:rsidR="00F147EC">
        <w:t xml:space="preserve"> source of funds, including a statement that no Federal funds, including pass-through funds received as a subcontractor or partner, are being utilized</w:t>
      </w:r>
      <w:r w:rsidR="00AD25CF">
        <w:t>,</w:t>
      </w:r>
      <w:r w:rsidR="00F147EC">
        <w:t xml:space="preserve"> applicable </w:t>
      </w:r>
      <w:r w:rsidR="00AD25CF">
        <w:t>Environment, Safety, and Health (</w:t>
      </w:r>
      <w:r w:rsidR="00F147EC">
        <w:t>ES&amp;H</w:t>
      </w:r>
      <w:r w:rsidR="00AD25CF">
        <w:t>)</w:t>
      </w:r>
      <w:r w:rsidR="00F147EC">
        <w:t xml:space="preserve"> and </w:t>
      </w:r>
      <w:r w:rsidRPr="00CD32FD" w:rsidR="00CD32FD">
        <w:t xml:space="preserve">National Environmental Policy Act </w:t>
      </w:r>
      <w:r w:rsidR="00CD32FD">
        <w:t>(</w:t>
      </w:r>
      <w:r w:rsidR="00F147EC">
        <w:t>NEPA</w:t>
      </w:r>
      <w:r w:rsidR="00CD32FD">
        <w:t>)</w:t>
      </w:r>
      <w:r w:rsidR="00F147EC">
        <w:t xml:space="preserve"> documentation</w:t>
      </w:r>
      <w:r w:rsidR="005F3F5E">
        <w:t>,</w:t>
      </w:r>
      <w:r w:rsidR="00F147EC">
        <w:t xml:space="preserve"> a statement of consideration, summarizing the risk and/or consideration offered the ACT participants in exchange for charging beyond full cost recovery or for other compensation provided by the participants</w:t>
      </w:r>
      <w:r w:rsidR="005F3F5E">
        <w:t>,</w:t>
      </w:r>
      <w:r w:rsidR="00F147EC">
        <w:t xml:space="preserve"> and when multiple third parties are parties to the ACT agreement, or as otherwise requested by the Contracting Officer, an IP Management Plan that sets forth the proposed disposition of IP rights, and income and royalty sharing, among the parties to an ACT agreement</w:t>
      </w:r>
      <w:r w:rsidR="005F3F5E">
        <w:t xml:space="preserve">; paragraph </w:t>
      </w:r>
      <w:r w:rsidR="00F147EC">
        <w:t>(b)(8)</w:t>
      </w:r>
      <w:r w:rsidR="000310D5">
        <w:t xml:space="preserve"> r</w:t>
      </w:r>
      <w:r w:rsidR="00F147EC">
        <w:t>equires the reporting of all ACT inventions to DOE, and requires the contractor to inform ACT partners of their IP rights and obligations</w:t>
      </w:r>
      <w:r w:rsidR="000310D5">
        <w:t>,</w:t>
      </w:r>
      <w:r w:rsidR="00F147EC">
        <w:t xml:space="preserve"> and the contractor must provide to the DOE Office of Technical Information (OSTI), computer software produced under an ACT Agreement</w:t>
      </w:r>
      <w:r w:rsidR="00F237D5">
        <w:t xml:space="preserve">. </w:t>
      </w:r>
      <w:r w:rsidR="00F147EC">
        <w:t xml:space="preserve">In addition, the clause requires the </w:t>
      </w:r>
      <w:r w:rsidR="00F237D5">
        <w:t>c</w:t>
      </w:r>
      <w:r w:rsidR="00F147EC">
        <w:t>ontractor to establish performance metric(s) to measure the time required to negotiate ACT agreements in a manner consistent with the time required to negotiate CRADAs and SPPs</w:t>
      </w:r>
      <w:r w:rsidR="00EE719C">
        <w:t>,</w:t>
      </w:r>
      <w:r w:rsidR="00F147EC">
        <w:t xml:space="preserve"> </w:t>
      </w:r>
      <w:r w:rsidR="00EE719C">
        <w:t xml:space="preserve">and </w:t>
      </w:r>
      <w:r w:rsidR="00F147EC">
        <w:t>to obtain from each entity engaged in ACT the entity's reason(s) for selecting ACT for performance of work under the M&amp;O contract.</w:t>
      </w:r>
      <w:r w:rsidR="00DA5308">
        <w:t xml:space="preserve"> </w:t>
      </w:r>
      <w:r w:rsidRPr="00DA5308" w:rsidR="00DA5308">
        <w:t>These recordkeeping and information submission requirements are similar to clause 970.5223-1</w:t>
      </w:r>
      <w:r w:rsidRPr="00DA5308" w:rsidR="00DA5308">
        <w:rPr>
          <w:i/>
          <w:iCs/>
        </w:rPr>
        <w:t>, Integration of environment, safety, and health into work planning and execution</w:t>
      </w:r>
      <w:r w:rsidRPr="00DA5308" w:rsidR="00DA5308">
        <w:t xml:space="preserve">, and it is anticipated that the clause will be included in all M&amp;O contracts. In addition, it is further estimated that on average, each M&amp;O contractor will submit one ACT package for </w:t>
      </w:r>
      <w:r w:rsidR="00DA5308">
        <w:t>Contracting Officer</w:t>
      </w:r>
      <w:r w:rsidRPr="00DA5308" w:rsidR="00DA5308">
        <w:t xml:space="preserve"> review per yea</w:t>
      </w:r>
      <w:r w:rsidR="00DA5308">
        <w:t>r</w:t>
      </w:r>
      <w:r w:rsidR="00A22D46">
        <w:t>,</w:t>
      </w:r>
      <w:r w:rsidR="004364B5">
        <w:t xml:space="preserve"> therefore</w:t>
      </w:r>
      <w:r w:rsidR="00F27ADA">
        <w:t>,</w:t>
      </w:r>
      <w:r w:rsidR="004364B5">
        <w:t xml:space="preserve"> the Information Collection Request has been updated accordingly.</w:t>
      </w:r>
    </w:p>
    <w:p w:rsidR="00B80CF2" w:rsidP="00F147EC" w14:paraId="2A3A9299" w14:textId="337FFC86">
      <w:r>
        <w:t xml:space="preserve">Clause </w:t>
      </w:r>
      <w:r w:rsidRPr="00B80CF2">
        <w:t xml:space="preserve">970.5219 </w:t>
      </w:r>
      <w:r w:rsidRPr="00B80CF2">
        <w:rPr>
          <w:i/>
          <w:iCs/>
        </w:rPr>
        <w:t>Small business subcontracting plan</w:t>
      </w:r>
      <w:r>
        <w:t xml:space="preserve"> is a new clause that </w:t>
      </w:r>
      <w:r w:rsidRPr="002A2159" w:rsidR="002A2159">
        <w:t xml:space="preserve">supplements FAR clause </w:t>
      </w:r>
      <w:r w:rsidRPr="001E451E" w:rsidR="001E451E">
        <w:t>52.219-9</w:t>
      </w:r>
      <w:r w:rsidR="00BB017B">
        <w:t xml:space="preserve"> </w:t>
      </w:r>
      <w:r w:rsidRPr="00BF2A17" w:rsidR="00BB017B">
        <w:rPr>
          <w:i/>
          <w:iCs/>
        </w:rPr>
        <w:t>Small Business Subcontracting Plan</w:t>
      </w:r>
      <w:r w:rsidR="00932C7D">
        <w:t>,</w:t>
      </w:r>
      <w:r w:rsidR="00B952B1">
        <w:t xml:space="preserve"> which requires</w:t>
      </w:r>
      <w:r w:rsidRPr="00B952B1" w:rsidR="00B952B1">
        <w:t xml:space="preserve"> </w:t>
      </w:r>
      <w:r w:rsidR="00311584">
        <w:t xml:space="preserve">semi-annual subcontract reporting via the </w:t>
      </w:r>
      <w:r w:rsidRPr="00797DB2" w:rsidR="00B952B1">
        <w:t>Electronic Subcontracting Reporting System</w:t>
      </w:r>
      <w:r w:rsidRPr="001E451E" w:rsidR="00B952B1">
        <w:t xml:space="preserve"> </w:t>
      </w:r>
      <w:r w:rsidR="00B952B1">
        <w:t>(</w:t>
      </w:r>
      <w:r w:rsidRPr="001E451E" w:rsidR="00B952B1">
        <w:t>eSRS</w:t>
      </w:r>
      <w:r w:rsidR="00B952B1">
        <w:t>)</w:t>
      </w:r>
      <w:r w:rsidRPr="001E451E" w:rsidR="001E451E">
        <w:t xml:space="preserve">. </w:t>
      </w:r>
      <w:r w:rsidR="009537A3">
        <w:t>The DEAR clause</w:t>
      </w:r>
      <w:r w:rsidRPr="001E451E" w:rsidR="001E451E">
        <w:t xml:space="preserve"> </w:t>
      </w:r>
      <w:r w:rsidRPr="001E451E" w:rsidR="009537A3">
        <w:t xml:space="preserve">does not </w:t>
      </w:r>
      <w:r w:rsidR="009537A3">
        <w:t xml:space="preserve">require the contractor to maintain any additional </w:t>
      </w:r>
      <w:r w:rsidR="00C674A3">
        <w:t>records beyond t</w:t>
      </w:r>
      <w:r w:rsidRPr="001E451E" w:rsidR="009537A3">
        <w:t>hose imposed by 52.219-9</w:t>
      </w:r>
      <w:r w:rsidR="009537A3">
        <w:t xml:space="preserve"> and does not establish a reporting frequency; however, the </w:t>
      </w:r>
      <w:r w:rsidRPr="00F92D48" w:rsidR="004F32B8">
        <w:rPr>
          <w:i/>
          <w:iCs/>
        </w:rPr>
        <w:t xml:space="preserve">Management and Operating Contractor Subcontract Reporting Capability (MOSRC) Guide for </w:t>
      </w:r>
      <w:r w:rsidRPr="00F92D48" w:rsidR="00204899">
        <w:rPr>
          <w:i/>
          <w:iCs/>
        </w:rPr>
        <w:t>M&amp;O Contractors</w:t>
      </w:r>
      <w:r w:rsidR="009537A3">
        <w:t xml:space="preserve"> </w:t>
      </w:r>
      <w:r w:rsidR="00F331CC">
        <w:t>(Guide)</w:t>
      </w:r>
      <w:r w:rsidR="00507937">
        <w:t>, which</w:t>
      </w:r>
      <w:r w:rsidR="00F331CC">
        <w:t xml:space="preserve"> </w:t>
      </w:r>
      <w:r w:rsidR="00991127">
        <w:t>provides specific instructions to contractors</w:t>
      </w:r>
      <w:r w:rsidR="00AE35F9">
        <w:t xml:space="preserve"> regarding subcontract reporting</w:t>
      </w:r>
      <w:r w:rsidR="00507937">
        <w:t xml:space="preserve">, </w:t>
      </w:r>
      <w:r w:rsidR="009537A3">
        <w:t xml:space="preserve">requires the contractor to extract the required data for </w:t>
      </w:r>
      <w:r w:rsidRPr="0013097C" w:rsidR="009537A3">
        <w:t xml:space="preserve">a for all eligible actions in the required format from </w:t>
      </w:r>
      <w:r w:rsidR="00F92D48">
        <w:t xml:space="preserve">the </w:t>
      </w:r>
      <w:r w:rsidRPr="0013097C" w:rsidR="009537A3">
        <w:t>contractor</w:t>
      </w:r>
      <w:r w:rsidR="00F92D48">
        <w:t>’s</w:t>
      </w:r>
      <w:r w:rsidRPr="0013097C" w:rsidR="009537A3">
        <w:t xml:space="preserve"> business systems</w:t>
      </w:r>
      <w:r w:rsidR="009537A3">
        <w:t xml:space="preserve"> and upload the extracted data to MOSRC.</w:t>
      </w:r>
      <w:r w:rsidR="003201E4">
        <w:t xml:space="preserve"> </w:t>
      </w:r>
      <w:r w:rsidR="00217B6F">
        <w:t xml:space="preserve">The clause is applicable to all M&amp;O contractors, except for </w:t>
      </w:r>
      <w:r w:rsidRPr="006307AE" w:rsidR="006307AE">
        <w:t xml:space="preserve">Ames </w:t>
      </w:r>
      <w:r w:rsidR="006307AE">
        <w:t xml:space="preserve">National </w:t>
      </w:r>
      <w:r w:rsidRPr="006307AE" w:rsidR="006307AE">
        <w:t>Laboratory and Princeton Plasma Physics Laboratory</w:t>
      </w:r>
      <w:r w:rsidR="006307AE">
        <w:t>, and i</w:t>
      </w:r>
      <w:r w:rsidR="002D4270">
        <w:t>t is anticipated that contractors will spend one hour per</w:t>
      </w:r>
      <w:r w:rsidR="00340723">
        <w:t xml:space="preserve"> to extract the required information and upload it to MOSRC</w:t>
      </w:r>
      <w:r w:rsidR="00F331CC">
        <w:t>, per report, as required by the Guide</w:t>
      </w:r>
      <w:r w:rsidR="002D4270">
        <w:t>.</w:t>
      </w:r>
    </w:p>
    <w:p w:rsidR="00BB7002" w:rsidP="00F147EC" w14:paraId="34568073" w14:textId="2D87E441">
      <w:r>
        <w:t>Cl</w:t>
      </w:r>
      <w:r w:rsidR="005978E4">
        <w:t xml:space="preserve">ause </w:t>
      </w:r>
      <w:r w:rsidRPr="0067352E" w:rsidR="0067352E">
        <w:t xml:space="preserve">970.5222-4 </w:t>
      </w:r>
      <w:r w:rsidRPr="00D94B05" w:rsidR="0067352E">
        <w:rPr>
          <w:i/>
          <w:iCs/>
        </w:rPr>
        <w:t>Unemployment compensation</w:t>
      </w:r>
      <w:r w:rsidR="005978E4">
        <w:t xml:space="preserve"> is a new clause that </w:t>
      </w:r>
      <w:r w:rsidRPr="005978E4" w:rsidR="005978E4">
        <w:t xml:space="preserve">requires the contractor to provide the </w:t>
      </w:r>
      <w:r w:rsidR="005978E4">
        <w:t>Contracting Officer</w:t>
      </w:r>
      <w:r w:rsidRPr="005978E4" w:rsidR="005978E4">
        <w:t xml:space="preserve"> a "statement of coverage" to identify whether the contractor will opt into the state unemployment fund through payment of the unemployment insurance tax or opt out by reimbursing the state(s) for actual claims paid. The clause also reserves the right for the </w:t>
      </w:r>
      <w:r w:rsidR="005978E4">
        <w:t>Contracting Officer</w:t>
      </w:r>
      <w:r w:rsidRPr="005978E4" w:rsidR="005978E4">
        <w:t xml:space="preserve"> to "request additional information to assess budgetary and programmatic risks and impact when </w:t>
      </w:r>
      <w:r w:rsidRPr="005978E4" w:rsidR="005978E4">
        <w:t>the contractor chooses to opt out"</w:t>
      </w:r>
      <w:r w:rsidR="00F77E16">
        <w:t xml:space="preserve">. The recordkeeping / information collection burden associated with this clause is similar in scope and frequency to the </w:t>
      </w:r>
      <w:r w:rsidR="004C02E4">
        <w:t xml:space="preserve">recordkeeping / information collection burden associated with clause </w:t>
      </w:r>
      <w:r w:rsidRPr="00D76C6C" w:rsidR="00D76C6C">
        <w:t xml:space="preserve">970.5229-1, </w:t>
      </w:r>
      <w:r w:rsidRPr="00D94B05" w:rsidR="00D76C6C">
        <w:rPr>
          <w:i/>
          <w:iCs/>
        </w:rPr>
        <w:t>State and local taxes</w:t>
      </w:r>
      <w:r w:rsidR="00D94B05">
        <w:t xml:space="preserve">, therefore the </w:t>
      </w:r>
      <w:r w:rsidR="008444B6">
        <w:t>estimates from clause 970.5229-1 were</w:t>
      </w:r>
      <w:r w:rsidR="007175D4">
        <w:t xml:space="preserve"> used for this clause.</w:t>
      </w:r>
    </w:p>
    <w:p w:rsidR="00E50A01" w:rsidP="008E38F6" w14:paraId="068AE567" w14:textId="1A08DF5B">
      <w:r>
        <w:t xml:space="preserve">Clause </w:t>
      </w:r>
      <w:r w:rsidRPr="00E50A01">
        <w:t>970.5227-1</w:t>
      </w:r>
      <w:r w:rsidRPr="008E38F6">
        <w:rPr>
          <w:i/>
          <w:iCs/>
        </w:rPr>
        <w:t>, Rights in data-facilities</w:t>
      </w:r>
      <w:r>
        <w:t xml:space="preserve"> was revised to add </w:t>
      </w:r>
      <w:r w:rsidR="00AB1A62">
        <w:t>several new requirements, including</w:t>
      </w:r>
      <w:r w:rsidR="008E38F6">
        <w:t xml:space="preserve"> paragraph (b)(4), requiring the </w:t>
      </w:r>
      <w:r w:rsidR="00F71F88">
        <w:t>c</w:t>
      </w:r>
      <w:r w:rsidR="008E38F6">
        <w:t>ontractor to deposit technical data at the Office of Scientific and Technical Information per the DOE Order 241.1</w:t>
      </w:r>
      <w:r w:rsidR="00AB1A62">
        <w:t>; p</w:t>
      </w:r>
      <w:r w:rsidR="008E38F6">
        <w:t xml:space="preserve">aragraph (c)(3) to allow the Government to instruct the </w:t>
      </w:r>
      <w:r w:rsidR="00AB1A62">
        <w:t>c</w:t>
      </w:r>
      <w:r w:rsidR="008E38F6">
        <w:t>ontractor to assert copyright in technical data or software and transfer title to the Government for licensing and distribution if necessary</w:t>
      </w:r>
      <w:r w:rsidR="00AB1A62">
        <w:t>, which</w:t>
      </w:r>
      <w:r w:rsidR="008E38F6">
        <w:t xml:space="preserve"> may require the contractor to submit information to DOE Patent Counsel or to a third party</w:t>
      </w:r>
      <w:r w:rsidR="00AB1A62">
        <w:t>; and p</w:t>
      </w:r>
      <w:r w:rsidR="008E38F6">
        <w:t xml:space="preserve">aragraph (d) </w:t>
      </w:r>
      <w:r w:rsidR="00AB1A62">
        <w:t>wa</w:t>
      </w:r>
      <w:r w:rsidR="008E38F6">
        <w:t>s modified to allow DOE Patent Counsel to determine what Alternates are appropriate to data rights clauses in subcontracts</w:t>
      </w:r>
      <w:r w:rsidR="00AB1A62">
        <w:t>, which may also</w:t>
      </w:r>
      <w:r w:rsidR="008E38F6">
        <w:t xml:space="preserve"> require the submission of information to the DOE Patent Counsel</w:t>
      </w:r>
      <w:r w:rsidR="00700492">
        <w:t>.</w:t>
      </w:r>
      <w:r w:rsidR="0065644E">
        <w:t xml:space="preserve"> The additional requirements result in a slight increase </w:t>
      </w:r>
      <w:r w:rsidR="000028B7">
        <w:t xml:space="preserve">(estimated at 2 hours) </w:t>
      </w:r>
      <w:r w:rsidR="0065644E">
        <w:t>to the burden hour per response</w:t>
      </w:r>
      <w:r w:rsidR="000028B7">
        <w:t xml:space="preserve"> for this clause</w:t>
      </w:r>
      <w:r w:rsidR="0065644E">
        <w:t>.</w:t>
      </w:r>
    </w:p>
    <w:p w:rsidR="00877E7B" w:rsidRPr="00877E7B" w:rsidP="00877E7B" w14:paraId="0EC0E7C4" w14:textId="46C42D4D">
      <w:r>
        <w:t xml:space="preserve">Clause </w:t>
      </w:r>
      <w:r w:rsidRPr="00617920" w:rsidR="00617920">
        <w:t xml:space="preserve">970.5227-2, </w:t>
      </w:r>
      <w:r w:rsidRPr="00877E7B" w:rsidR="00617920">
        <w:rPr>
          <w:i/>
          <w:iCs/>
        </w:rPr>
        <w:t>Rights in data-technology transfer</w:t>
      </w:r>
      <w:r>
        <w:t xml:space="preserve"> was revised </w:t>
      </w:r>
      <w:r w:rsidR="00EB7BF6">
        <w:t xml:space="preserve">in paragraph (d) </w:t>
      </w:r>
      <w:r w:rsidRPr="00677FA2" w:rsidR="00677FA2">
        <w:t xml:space="preserve">to expand the type of data that the </w:t>
      </w:r>
      <w:r w:rsidR="00677FA2">
        <w:t>c</w:t>
      </w:r>
      <w:r w:rsidRPr="00677FA2" w:rsidR="00677FA2">
        <w:t>ontractor can protect for control without commercializing and adds a shorter notice to the publisher</w:t>
      </w:r>
      <w:r w:rsidR="000F7D3F">
        <w:t>,</w:t>
      </w:r>
      <w:r w:rsidRPr="00677FA2" w:rsidR="00677FA2">
        <w:t xml:space="preserve"> if necessary</w:t>
      </w:r>
      <w:r w:rsidR="000F7D3F">
        <w:t>. T</w:t>
      </w:r>
      <w:r w:rsidRPr="00677FA2" w:rsidR="00677FA2">
        <w:t xml:space="preserve">his expansion of the contractor's ability to assert copyrights without </w:t>
      </w:r>
      <w:r w:rsidR="000F7D3F">
        <w:t>Contracting Officer</w:t>
      </w:r>
      <w:r w:rsidRPr="00677FA2" w:rsidR="00677FA2">
        <w:t xml:space="preserve"> approval decreases the </w:t>
      </w:r>
      <w:r w:rsidR="000F7D3F">
        <w:t>recordkeeping</w:t>
      </w:r>
      <w:r w:rsidRPr="00677FA2" w:rsidR="00677FA2">
        <w:t xml:space="preserve"> burden on the contractor since the contractor will have fewer copyright assertion package submissions for </w:t>
      </w:r>
      <w:r w:rsidR="000F7D3F">
        <w:t xml:space="preserve">Contracting Officer </w:t>
      </w:r>
      <w:r w:rsidRPr="00677FA2" w:rsidR="00677FA2">
        <w:t>/</w:t>
      </w:r>
      <w:r w:rsidR="000F7D3F">
        <w:t xml:space="preserve"> G</w:t>
      </w:r>
      <w:r w:rsidRPr="00677FA2" w:rsidR="00677FA2">
        <w:t>overnment approval</w:t>
      </w:r>
      <w:r w:rsidR="000F7D3F">
        <w:t xml:space="preserve">. </w:t>
      </w:r>
      <w:r w:rsidR="007B4101">
        <w:t>However, the reduction was offset by the addition of</w:t>
      </w:r>
      <w:r w:rsidRPr="008C359A" w:rsidR="008C359A">
        <w:t xml:space="preserve"> paragraph (f), which addresses copyright assertion and distribution in </w:t>
      </w:r>
      <w:r w:rsidRPr="008C359A" w:rsidR="00D029FE">
        <w:t>open-source</w:t>
      </w:r>
      <w:r w:rsidRPr="008C359A" w:rsidR="008C359A">
        <w:t xml:space="preserve"> software (OSS). The</w:t>
      </w:r>
      <w:r w:rsidR="002A7A7F">
        <w:t xml:space="preserve"> new paragraph requires the</w:t>
      </w:r>
      <w:r w:rsidRPr="008C359A" w:rsidR="008C359A">
        <w:t xml:space="preserve"> </w:t>
      </w:r>
      <w:r w:rsidR="002A7A7F">
        <w:t>c</w:t>
      </w:r>
      <w:r w:rsidRPr="008C359A" w:rsidR="008C359A">
        <w:t xml:space="preserve">ontractor </w:t>
      </w:r>
      <w:r w:rsidR="002A7A7F">
        <w:t>to</w:t>
      </w:r>
      <w:r w:rsidRPr="008C359A" w:rsidR="008C359A">
        <w:t xml:space="preserve"> notify the funding program that the </w:t>
      </w:r>
      <w:r w:rsidR="002A7A7F">
        <w:t>c</w:t>
      </w:r>
      <w:r w:rsidRPr="008C359A" w:rsidR="008C359A">
        <w:t>ontractor intends to distribute the software as OSS</w:t>
      </w:r>
      <w:r w:rsidR="002A7A7F">
        <w:t>, which</w:t>
      </w:r>
      <w:r w:rsidRPr="008C359A" w:rsidR="008C359A">
        <w:t xml:space="preserve"> requires the provision of written notice (including relevant data such as, for example, the software disclosure form) to each DOE Program or Programs that have provided a substantial portion of the funding (funding source(s)) to develop the software.</w:t>
      </w:r>
      <w:r w:rsidR="007B4101">
        <w:t xml:space="preserve"> Overall, the revisions result in a slight increase in the burden hour per response for this clause.</w:t>
      </w:r>
    </w:p>
    <w:p w:rsidR="00326BAF" w:rsidP="00F147EC" w14:paraId="3BB2E9A6" w14:textId="0FF4F8F2">
      <w:r>
        <w:t xml:space="preserve">Clause </w:t>
      </w:r>
      <w:r w:rsidRPr="00326BAF">
        <w:t xml:space="preserve">970.5227-3, </w:t>
      </w:r>
      <w:r w:rsidRPr="008A1888">
        <w:rPr>
          <w:i/>
          <w:iCs/>
        </w:rPr>
        <w:t>Technology transfer mission</w:t>
      </w:r>
      <w:r w:rsidRPr="009537B1" w:rsidR="009537B1">
        <w:t xml:space="preserve"> </w:t>
      </w:r>
      <w:r>
        <w:t>was revised</w:t>
      </w:r>
      <w:r w:rsidR="00FC62C9">
        <w:t xml:space="preserve"> </w:t>
      </w:r>
      <w:r w:rsidR="0094061D">
        <w:t xml:space="preserve">to </w:t>
      </w:r>
      <w:r w:rsidRPr="00877E7B" w:rsidR="009537B1">
        <w:t xml:space="preserve">exclude CRADA and SPP requirements for product liability indemnity, which </w:t>
      </w:r>
      <w:r w:rsidR="009537B1">
        <w:t>will</w:t>
      </w:r>
      <w:r w:rsidRPr="00877E7B" w:rsidR="009537B1">
        <w:t xml:space="preserve"> reduce the number of instances where the </w:t>
      </w:r>
      <w:r w:rsidR="009537B1">
        <w:t>c</w:t>
      </w:r>
      <w:r w:rsidRPr="00877E7B" w:rsidR="009537B1">
        <w:t>ontractor has to identify and obtain the approval of the Contracting Officer for any proposed exception</w:t>
      </w:r>
      <w:r w:rsidR="001A15A5">
        <w:t>(</w:t>
      </w:r>
      <w:r w:rsidRPr="00877E7B" w:rsidR="009537B1">
        <w:t>s</w:t>
      </w:r>
      <w:r w:rsidR="001A15A5">
        <w:t>)</w:t>
      </w:r>
      <w:r w:rsidRPr="00877E7B" w:rsidR="009537B1">
        <w:t xml:space="preserve"> to the product liability indemnity requirement of the contract.</w:t>
      </w:r>
      <w:r w:rsidR="003D0B73">
        <w:t xml:space="preserve"> The revision results in a slight decrease (</w:t>
      </w:r>
      <w:r w:rsidRPr="003D0B73" w:rsidR="003D0B73">
        <w:t xml:space="preserve">estimated at </w:t>
      </w:r>
      <w:r w:rsidR="003D0B73">
        <w:t>1</w:t>
      </w:r>
      <w:r w:rsidRPr="003D0B73" w:rsidR="003D0B73">
        <w:t xml:space="preserve"> hour) to the burden hour per response for this clause.</w:t>
      </w:r>
    </w:p>
    <w:p w:rsidR="00E837D3" w:rsidP="00E837D3" w14:paraId="4F03AE63" w14:textId="7A123564">
      <w:r>
        <w:t xml:space="preserve">Clause </w:t>
      </w:r>
      <w:r w:rsidRPr="00C618CE" w:rsidR="00C618CE">
        <w:t xml:space="preserve">970.5227-10, </w:t>
      </w:r>
      <w:r w:rsidRPr="008904E3" w:rsidR="00C618CE">
        <w:rPr>
          <w:i/>
          <w:iCs/>
        </w:rPr>
        <w:t>Patent rights-management and operating contracts, nonprofit organization or small business firm contractor</w:t>
      </w:r>
      <w:r w:rsidR="008904E3">
        <w:t xml:space="preserve"> was revised to add several new requirements, including paragraph</w:t>
      </w:r>
      <w:r>
        <w:t xml:space="preserve"> (t) U.S. Competitiveness, </w:t>
      </w:r>
      <w:r w:rsidR="00CF6A4E">
        <w:t xml:space="preserve">which requires that, </w:t>
      </w:r>
      <w:r>
        <w:t>in compliance with the Determination of Exceptional Circumstance (DEC) for Domestic Manufacture of DOE Science and Energy Technologies</w:t>
      </w:r>
      <w:r w:rsidR="000C0448">
        <w:t xml:space="preserve">, </w:t>
      </w:r>
      <w:r>
        <w:t xml:space="preserve">the contractor to submit a waiver package to show the government that it is not  commercially feasible to comply with the DEC, or if there is a change in ownership amounting to a controlling interest, the contractor inform DOE and if it cannot comply with the DEC as a result, </w:t>
      </w:r>
      <w:r w:rsidR="00F24241">
        <w:t>and</w:t>
      </w:r>
      <w:r>
        <w:t xml:space="preserve"> convey to DOE title to any subject invention, if the contractor believes it cannot comply with the DEC</w:t>
      </w:r>
      <w:r w:rsidR="00CF6F9C">
        <w:t>; and p</w:t>
      </w:r>
      <w:r w:rsidR="00D20E0C">
        <w:t xml:space="preserve">aragraph (v), Unauthorized Access, which requires the </w:t>
      </w:r>
      <w:r w:rsidR="00283DF1">
        <w:t>c</w:t>
      </w:r>
      <w:r w:rsidR="00D20E0C">
        <w:t xml:space="preserve">ontractor to adequately protect materials related to inventions and notify DOE of a </w:t>
      </w:r>
      <w:r w:rsidR="00D20E0C">
        <w:t>breach</w:t>
      </w:r>
      <w:r w:rsidR="00DE6EB6">
        <w:t>.</w:t>
      </w:r>
      <w:r w:rsidR="00D20E0C">
        <w:t xml:space="preserve"> The additional requirement</w:t>
      </w:r>
      <w:r w:rsidR="00DE6EB6">
        <w:t>s</w:t>
      </w:r>
      <w:r w:rsidR="00D20E0C">
        <w:t xml:space="preserve"> result in a slight increase (estimated at 2 hours) to the burden hour per response for this clause.</w:t>
      </w:r>
    </w:p>
    <w:p w:rsidR="00E264FD" w:rsidP="00F147EC" w14:paraId="637926ED" w14:textId="6AD4DB9C">
      <w:r>
        <w:t xml:space="preserve">Clause </w:t>
      </w:r>
      <w:r w:rsidRPr="00E264FD">
        <w:t xml:space="preserve">970.5227-11, </w:t>
      </w:r>
      <w:r w:rsidRPr="009262B3">
        <w:rPr>
          <w:i/>
          <w:iCs/>
        </w:rPr>
        <w:t>Patent rights-management and operating contracts, for-profit contractor, non-technology transfer</w:t>
      </w:r>
      <w:r>
        <w:t xml:space="preserve"> was revised to </w:t>
      </w:r>
      <w:r w:rsidRPr="000A7DAE" w:rsidR="000A7DAE">
        <w:t xml:space="preserve">require the </w:t>
      </w:r>
      <w:r w:rsidR="000A7DAE">
        <w:t>c</w:t>
      </w:r>
      <w:r w:rsidRPr="000A7DAE" w:rsidR="000A7DAE">
        <w:t>ontractor to adequately protect materials related to inventions and notify DOE of a security breach.</w:t>
      </w:r>
      <w:r w:rsidR="000A7DAE">
        <w:t xml:space="preserve"> The revi</w:t>
      </w:r>
      <w:r w:rsidR="00AE776D">
        <w:t xml:space="preserve">sion results in a slight increase </w:t>
      </w:r>
      <w:r w:rsidRPr="003D0B73" w:rsidR="00AE776D">
        <w:t>to the burden hour per response for this clause.</w:t>
      </w:r>
    </w:p>
    <w:p w:rsidR="00A41763" w:rsidP="00E21A2C" w14:paraId="5347DC7B" w14:textId="592485E3">
      <w:pPr>
        <w:spacing w:before="240"/>
      </w:pPr>
      <w:r>
        <w:t xml:space="preserve">As a result of </w:t>
      </w:r>
      <w:r w:rsidR="00A467DB">
        <w:t>the comprehensive DEAR revision (</w:t>
      </w:r>
      <w:r w:rsidRPr="00957275" w:rsidR="00A467DB">
        <w:t>89 FR 89720 published on November 13, 2024</w:t>
      </w:r>
      <w:r w:rsidR="00A467DB">
        <w:t>) referenced above</w:t>
      </w:r>
      <w:r>
        <w:t>, t</w:t>
      </w:r>
      <w:r w:rsidR="002C5943">
        <w:t xml:space="preserve">he total number of responses </w:t>
      </w:r>
      <w:r w:rsidR="00FB2DBF">
        <w:t>increased by 285</w:t>
      </w:r>
      <w:r>
        <w:t>,</w:t>
      </w:r>
      <w:r w:rsidR="00FB2DBF">
        <w:t xml:space="preserve"> </w:t>
      </w:r>
      <w:r w:rsidR="004C62C9">
        <w:t>and the total time burden increased by 974 hours</w:t>
      </w:r>
      <w:r w:rsidR="00E573BC">
        <w:t xml:space="preserve">. </w:t>
      </w:r>
      <w:r w:rsidR="008B4B5E">
        <w:t>While the DEAR</w:t>
      </w:r>
      <w:r w:rsidR="00A61FE7">
        <w:t xml:space="preserve"> revisions included</w:t>
      </w:r>
      <w:r w:rsidR="009C602B">
        <w:t xml:space="preserve"> changes</w:t>
      </w:r>
      <w:r w:rsidR="0074403E">
        <w:t xml:space="preserve"> to clauses (e.g., re-numbering, creating a non-M&amp;O version of a clause, eliminating an exclusive M&amp;O version of a clause, etc.)</w:t>
      </w:r>
      <w:r w:rsidR="009C602B">
        <w:t xml:space="preserve"> </w:t>
      </w:r>
      <w:r w:rsidR="00A32552">
        <w:t xml:space="preserve">that resulted in zero net change to the </w:t>
      </w:r>
      <w:r w:rsidR="00174CA2">
        <w:t>recordkeeping / information collection</w:t>
      </w:r>
      <w:r w:rsidR="00A32552">
        <w:t xml:space="preserve"> burden</w:t>
      </w:r>
      <w:r w:rsidR="00174CA2">
        <w:t xml:space="preserve"> because </w:t>
      </w:r>
      <w:r w:rsidR="00014A44">
        <w:t>the recordkeeping / information collection burden was already captured in the previous clauses</w:t>
      </w:r>
      <w:r w:rsidR="008B4B5E">
        <w:t>, the</w:t>
      </w:r>
      <w:r w:rsidR="00014A44">
        <w:t xml:space="preserve"> DEAR revision also included the addition of three new clauses </w:t>
      </w:r>
      <w:r w:rsidR="004F29FB">
        <w:t>(</w:t>
      </w:r>
      <w:r w:rsidR="00725E40">
        <w:t>970.5217-</w:t>
      </w:r>
      <w:r w:rsidRPr="00725E40" w:rsidR="00725E40">
        <w:rPr>
          <w:i/>
          <w:iCs/>
        </w:rPr>
        <w:t>2 Agreements for commercializing technology</w:t>
      </w:r>
      <w:r w:rsidR="00725E40">
        <w:t xml:space="preserve">, 970.5219 </w:t>
      </w:r>
      <w:r w:rsidRPr="00725E40" w:rsidR="00725E40">
        <w:rPr>
          <w:i/>
          <w:iCs/>
        </w:rPr>
        <w:t>Small business subcontracting plan</w:t>
      </w:r>
      <w:r w:rsidR="00725E40">
        <w:t xml:space="preserve">, and 970.5222-4 </w:t>
      </w:r>
      <w:r w:rsidRPr="00725E40" w:rsidR="00725E40">
        <w:rPr>
          <w:i/>
          <w:iCs/>
        </w:rPr>
        <w:t>Unemployment compensation</w:t>
      </w:r>
      <w:r w:rsidR="00725E40">
        <w:t xml:space="preserve">) </w:t>
      </w:r>
      <w:r w:rsidR="009C2FCE">
        <w:t xml:space="preserve">as well as revisions to existing clauses that that added new requirements to those clauses </w:t>
      </w:r>
      <w:r w:rsidR="004C62C9">
        <w:t xml:space="preserve">that are considered </w:t>
      </w:r>
      <w:r w:rsidR="00F94345">
        <w:t>Program changes</w:t>
      </w:r>
      <w:r w:rsidR="00D40864">
        <w:t xml:space="preserve">. </w:t>
      </w:r>
      <w:r w:rsidR="00495D13">
        <w:t xml:space="preserve">In addition, </w:t>
      </w:r>
      <w:r w:rsidRPr="00495D13" w:rsidR="00495D13">
        <w:t>the total cost burden</w:t>
      </w:r>
      <w:r w:rsidR="00D603A4">
        <w:t xml:space="preserve"> also in</w:t>
      </w:r>
      <w:r w:rsidR="00970A0E">
        <w:t>crease</w:t>
      </w:r>
      <w:r w:rsidR="002A407E">
        <w:t>d</w:t>
      </w:r>
      <w:r w:rsidRPr="00495D13" w:rsidR="00495D13">
        <w:t xml:space="preserve"> due to </w:t>
      </w:r>
      <w:r w:rsidR="00970A0E">
        <w:t xml:space="preserve">increases in </w:t>
      </w:r>
      <w:r w:rsidR="00703A0C">
        <w:t>employee compensation (wages and benefits)</w:t>
      </w:r>
      <w:r w:rsidR="00970A0E">
        <w:t xml:space="preserve">, as </w:t>
      </w:r>
      <w:r w:rsidR="009B5138">
        <w:t>indicated</w:t>
      </w:r>
      <w:r w:rsidR="00970A0E">
        <w:t xml:space="preserve"> in the</w:t>
      </w:r>
      <w:r w:rsidRPr="00495D13" w:rsidR="00495D13">
        <w:t xml:space="preserve"> latest BLS data</w:t>
      </w:r>
      <w:r w:rsidR="006F16C0">
        <w:t>, which reflects an increase of 1</w:t>
      </w:r>
      <w:r w:rsidR="00D5566A">
        <w:t>0</w:t>
      </w:r>
      <w:r w:rsidR="006F16C0">
        <w:t xml:space="preserve">.5 percent from the previous </w:t>
      </w:r>
      <w:r w:rsidR="00112DA9">
        <w:t>Information Collection Request extension</w:t>
      </w:r>
      <w:r w:rsidR="00962819">
        <w:t xml:space="preserve"> in 2021</w:t>
      </w:r>
      <w:r w:rsidR="00192447">
        <w:t xml:space="preserve">. </w:t>
      </w:r>
      <w:r w:rsidRPr="00495D13" w:rsidR="00495D13">
        <w:t xml:space="preserve"> </w:t>
      </w:r>
    </w:p>
    <w:tbl>
      <w:tblPr>
        <w:tblW w:w="10350" w:type="dxa"/>
        <w:tblLayout w:type="fixed"/>
        <w:tblCellMar>
          <w:left w:w="115" w:type="dxa"/>
          <w:right w:w="115" w:type="dxa"/>
        </w:tblCellMar>
        <w:tblLook w:val="04A0"/>
      </w:tblPr>
      <w:tblGrid>
        <w:gridCol w:w="1872"/>
        <w:gridCol w:w="1368"/>
        <w:gridCol w:w="1530"/>
        <w:gridCol w:w="1260"/>
        <w:gridCol w:w="1440"/>
        <w:gridCol w:w="1440"/>
        <w:gridCol w:w="1440"/>
      </w:tblGrid>
      <w:tr w14:paraId="2DC62790" w14:textId="3D8539F5" w:rsidTr="00653842">
        <w:tblPrEx>
          <w:tblW w:w="10350" w:type="dxa"/>
          <w:tblLayout w:type="fixed"/>
          <w:tblCellMar>
            <w:left w:w="115" w:type="dxa"/>
            <w:right w:w="115" w:type="dxa"/>
          </w:tblCellMar>
          <w:tblLook w:val="04A0"/>
        </w:tblPrEx>
        <w:trPr>
          <w:trHeight w:val="360"/>
        </w:trPr>
        <w:tc>
          <w:tcPr>
            <w:tcW w:w="10350" w:type="dxa"/>
            <w:gridSpan w:val="7"/>
            <w:tcBorders>
              <w:top w:val="nil"/>
              <w:left w:val="nil"/>
              <w:bottom w:val="nil"/>
              <w:right w:val="nil"/>
            </w:tcBorders>
            <w:shd w:val="clear" w:color="auto" w:fill="auto"/>
            <w:noWrap/>
            <w:vAlign w:val="bottom"/>
            <w:hideMark/>
          </w:tcPr>
          <w:p w:rsidR="00C058F9" w:rsidRPr="00140E19" w:rsidP="001A1672" w14:paraId="3B0D2F4A" w14:textId="7E284371">
            <w:pPr>
              <w:spacing w:before="240" w:line="240" w:lineRule="auto"/>
              <w:jc w:val="center"/>
              <w:rPr>
                <w:rFonts w:cstheme="minorHAnsi"/>
              </w:rPr>
            </w:pPr>
            <w:r w:rsidRPr="00140E19">
              <w:rPr>
                <w:rFonts w:cstheme="minorHAnsi"/>
              </w:rPr>
              <w:br w:type="page"/>
            </w:r>
            <w:r w:rsidRPr="00140E19">
              <w:rPr>
                <w:rFonts w:eastAsia="Times New Roman" w:cstheme="minorHAnsi"/>
                <w:b/>
                <w:color w:val="0070C0"/>
                <w:sz w:val="28"/>
                <w:szCs w:val="28"/>
              </w:rPr>
              <w:t xml:space="preserve">Table A3. ICR </w:t>
            </w:r>
            <w:r>
              <w:rPr>
                <w:rFonts w:eastAsia="Times New Roman" w:cstheme="minorHAnsi"/>
                <w:b/>
                <w:color w:val="0070C0"/>
                <w:sz w:val="28"/>
                <w:szCs w:val="28"/>
              </w:rPr>
              <w:t>Detailed</w:t>
            </w:r>
            <w:r w:rsidRPr="00140E19">
              <w:rPr>
                <w:rFonts w:eastAsia="Times New Roman" w:cstheme="minorHAnsi"/>
                <w:b/>
                <w:color w:val="0070C0"/>
                <w:sz w:val="28"/>
                <w:szCs w:val="28"/>
              </w:rPr>
              <w:t xml:space="preserve"> Burden</w:t>
            </w:r>
            <w:r>
              <w:rPr>
                <w:rFonts w:eastAsia="Times New Roman" w:cstheme="minorHAnsi"/>
                <w:b/>
                <w:color w:val="0070C0"/>
                <w:sz w:val="28"/>
                <w:szCs w:val="28"/>
              </w:rPr>
              <w:t xml:space="preserve"> Changes</w:t>
            </w:r>
          </w:p>
        </w:tc>
      </w:tr>
      <w:tr w14:paraId="71C9D29F" w14:textId="2C4E0BCA" w:rsidTr="00C058F9">
        <w:tblPrEx>
          <w:tblW w:w="10350" w:type="dxa"/>
          <w:tblLayout w:type="fixed"/>
          <w:tblCellMar>
            <w:left w:w="115" w:type="dxa"/>
            <w:right w:w="115" w:type="dxa"/>
          </w:tblCellMar>
          <w:tblLook w:val="04A0"/>
        </w:tblPrEx>
        <w:trPr>
          <w:trHeight w:val="510"/>
        </w:trPr>
        <w:tc>
          <w:tcPr>
            <w:tcW w:w="1872"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38466B" w:rsidRPr="00C058F9" w:rsidP="001A1672" w14:paraId="25E898B4" w14:textId="5B270458">
            <w:pPr>
              <w:spacing w:after="0" w:line="240" w:lineRule="auto"/>
              <w:jc w:val="center"/>
              <w:rPr>
                <w:rFonts w:ascii="Calibri" w:eastAsia="Times New Roman" w:hAnsi="Calibri" w:cs="Arial"/>
                <w:b/>
                <w:bCs/>
                <w:color w:val="000000" w:themeColor="text1"/>
                <w:sz w:val="20"/>
                <w:szCs w:val="20"/>
              </w:rPr>
            </w:pPr>
            <w:r w:rsidRPr="00C058F9">
              <w:rPr>
                <w:rFonts w:ascii="Calibri" w:eastAsia="Times New Roman" w:hAnsi="Calibri" w:cs="Arial"/>
                <w:b/>
                <w:bCs/>
                <w:color w:val="000000" w:themeColor="text1"/>
                <w:sz w:val="20"/>
                <w:szCs w:val="20"/>
              </w:rPr>
              <w:t>Clause </w:t>
            </w:r>
          </w:p>
        </w:tc>
        <w:tc>
          <w:tcPr>
            <w:tcW w:w="1368" w:type="dxa"/>
            <w:tcBorders>
              <w:top w:val="single" w:sz="4" w:space="0" w:color="auto"/>
              <w:left w:val="nil"/>
              <w:bottom w:val="single" w:sz="4" w:space="0" w:color="auto"/>
              <w:right w:val="single" w:sz="4" w:space="0" w:color="auto"/>
            </w:tcBorders>
            <w:shd w:val="clear" w:color="000000" w:fill="00B0F0"/>
            <w:vAlign w:val="center"/>
          </w:tcPr>
          <w:p w:rsidR="0038466B" w:rsidRPr="00812C91" w:rsidP="001A1672" w14:paraId="6736FF9D" w14:textId="38AB4332">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Current Responses</w:t>
            </w:r>
          </w:p>
        </w:tc>
        <w:tc>
          <w:tcPr>
            <w:tcW w:w="1530" w:type="dxa"/>
            <w:tcBorders>
              <w:top w:val="single" w:sz="4" w:space="0" w:color="auto"/>
              <w:left w:val="nil"/>
              <w:bottom w:val="single" w:sz="4" w:space="0" w:color="auto"/>
              <w:right w:val="single" w:sz="4" w:space="0" w:color="auto"/>
            </w:tcBorders>
            <w:shd w:val="clear" w:color="000000" w:fill="00B0F0"/>
            <w:vAlign w:val="center"/>
          </w:tcPr>
          <w:p w:rsidR="0038466B" w:rsidRPr="00812C91" w:rsidP="001A1672" w14:paraId="43F91C27" w14:textId="39EF9103">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Proposed Responses</w:t>
            </w:r>
          </w:p>
        </w:tc>
        <w:tc>
          <w:tcPr>
            <w:tcW w:w="1260" w:type="dxa"/>
            <w:tcBorders>
              <w:top w:val="single" w:sz="4" w:space="0" w:color="auto"/>
              <w:left w:val="nil"/>
              <w:bottom w:val="single" w:sz="4" w:space="0" w:color="auto"/>
              <w:right w:val="single" w:sz="4" w:space="0" w:color="auto"/>
            </w:tcBorders>
            <w:shd w:val="clear" w:color="000000" w:fill="00B0F0"/>
            <w:vAlign w:val="center"/>
          </w:tcPr>
          <w:p w:rsidR="0038466B" w:rsidRPr="00812C91" w:rsidP="001A1672" w14:paraId="46B9D025" w14:textId="3631B89D">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Difference</w:t>
            </w:r>
          </w:p>
        </w:tc>
        <w:tc>
          <w:tcPr>
            <w:tcW w:w="1440" w:type="dxa"/>
            <w:tcBorders>
              <w:top w:val="single" w:sz="4" w:space="0" w:color="auto"/>
              <w:left w:val="nil"/>
              <w:bottom w:val="single" w:sz="4" w:space="0" w:color="auto"/>
              <w:right w:val="single" w:sz="4" w:space="0" w:color="auto"/>
            </w:tcBorders>
            <w:shd w:val="clear" w:color="000000" w:fill="00B0F0"/>
            <w:vAlign w:val="center"/>
          </w:tcPr>
          <w:p w:rsidR="0038466B" w:rsidRPr="00812C91" w:rsidP="001A1672" w14:paraId="6172FC52" w14:textId="7BBDEC38">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Current Burden Hours</w:t>
            </w:r>
          </w:p>
        </w:tc>
        <w:tc>
          <w:tcPr>
            <w:tcW w:w="1440" w:type="dxa"/>
            <w:tcBorders>
              <w:top w:val="single" w:sz="4" w:space="0" w:color="auto"/>
              <w:left w:val="nil"/>
              <w:bottom w:val="single" w:sz="4" w:space="0" w:color="auto"/>
              <w:right w:val="single" w:sz="4" w:space="0" w:color="auto"/>
            </w:tcBorders>
            <w:shd w:val="clear" w:color="000000" w:fill="00B0F0"/>
          </w:tcPr>
          <w:p w:rsidR="0038466B" w:rsidP="001A1672" w14:paraId="4D3643DB" w14:textId="14E51812">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Proposed Burden Hours</w:t>
            </w:r>
          </w:p>
        </w:tc>
        <w:tc>
          <w:tcPr>
            <w:tcW w:w="1440" w:type="dxa"/>
            <w:tcBorders>
              <w:top w:val="single" w:sz="4" w:space="0" w:color="auto"/>
              <w:left w:val="nil"/>
              <w:bottom w:val="single" w:sz="4" w:space="0" w:color="auto"/>
              <w:right w:val="single" w:sz="4" w:space="0" w:color="auto"/>
            </w:tcBorders>
            <w:shd w:val="clear" w:color="000000" w:fill="00B0F0"/>
          </w:tcPr>
          <w:p w:rsidR="0038466B" w:rsidP="001A1672" w14:paraId="492701F9" w14:textId="62F3F072">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Difference </w:t>
            </w:r>
          </w:p>
        </w:tc>
      </w:tr>
      <w:tr w14:paraId="597A170A" w14:textId="0D263E46" w:rsidTr="009B31B2">
        <w:tblPrEx>
          <w:tblW w:w="10350" w:type="dxa"/>
          <w:tblLayout w:type="fixed"/>
          <w:tblCellMar>
            <w:left w:w="115" w:type="dxa"/>
            <w:right w:w="115" w:type="dxa"/>
          </w:tblCellMar>
          <w:tblLook w:val="04A0"/>
        </w:tblPrEx>
        <w:trPr>
          <w:trHeight w:val="525"/>
        </w:trPr>
        <w:tc>
          <w:tcPr>
            <w:tcW w:w="1872" w:type="dxa"/>
            <w:tcBorders>
              <w:top w:val="nil"/>
              <w:left w:val="single" w:sz="4" w:space="0" w:color="auto"/>
              <w:bottom w:val="single" w:sz="4" w:space="0" w:color="auto"/>
              <w:right w:val="single" w:sz="4" w:space="0" w:color="auto"/>
            </w:tcBorders>
            <w:shd w:val="clear" w:color="auto" w:fill="auto"/>
            <w:vAlign w:val="center"/>
          </w:tcPr>
          <w:p w:rsidR="0038466B" w:rsidRPr="009B31B2" w:rsidP="001A1672" w14:paraId="1EC02C21" w14:textId="57383942">
            <w:pPr>
              <w:spacing w:after="0" w:line="240" w:lineRule="auto"/>
              <w:rPr>
                <w:rFonts w:ascii="Calibri" w:eastAsia="Times New Roman" w:hAnsi="Calibri" w:cs="Arial"/>
                <w:sz w:val="20"/>
                <w:szCs w:val="20"/>
              </w:rPr>
            </w:pPr>
            <w:r w:rsidRPr="009B31B2">
              <w:rPr>
                <w:sz w:val="20"/>
                <w:szCs w:val="20"/>
              </w:rPr>
              <w:t xml:space="preserve">952.223-71 </w:t>
            </w:r>
            <w:r w:rsidRPr="009B31B2">
              <w:rPr>
                <w:i/>
                <w:iCs/>
                <w:sz w:val="20"/>
                <w:szCs w:val="20"/>
              </w:rPr>
              <w:t>Integration of environment, safety, and health into work planning and execution</w:t>
            </w:r>
          </w:p>
        </w:tc>
        <w:tc>
          <w:tcPr>
            <w:tcW w:w="1368" w:type="dxa"/>
            <w:tcBorders>
              <w:top w:val="nil"/>
              <w:left w:val="nil"/>
              <w:bottom w:val="single" w:sz="4" w:space="0" w:color="auto"/>
              <w:right w:val="single" w:sz="4" w:space="0" w:color="auto"/>
            </w:tcBorders>
            <w:shd w:val="clear" w:color="auto" w:fill="auto"/>
            <w:vAlign w:val="center"/>
          </w:tcPr>
          <w:p w:rsidR="0038466B" w:rsidRPr="00C94481" w:rsidP="001A1672" w14:paraId="4D69B911" w14:textId="26D5062C">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530" w:type="dxa"/>
            <w:tcBorders>
              <w:top w:val="nil"/>
              <w:left w:val="nil"/>
              <w:bottom w:val="single" w:sz="4" w:space="0" w:color="auto"/>
              <w:right w:val="single" w:sz="4" w:space="0" w:color="auto"/>
            </w:tcBorders>
            <w:shd w:val="clear" w:color="auto" w:fill="auto"/>
            <w:vAlign w:val="center"/>
          </w:tcPr>
          <w:p w:rsidR="0038466B" w:rsidRPr="00C94481" w:rsidP="001A1672" w14:paraId="6BED9B2A" w14:textId="038CFFE6">
            <w:pPr>
              <w:spacing w:after="0" w:line="240" w:lineRule="auto"/>
              <w:jc w:val="right"/>
              <w:rPr>
                <w:rFonts w:ascii="Calibri" w:eastAsia="Times New Roman" w:hAnsi="Calibri" w:cs="Arial"/>
                <w:sz w:val="20"/>
                <w:szCs w:val="20"/>
              </w:rPr>
            </w:pPr>
            <w:r>
              <w:rPr>
                <w:rFonts w:ascii="Calibri" w:eastAsia="Times New Roman" w:hAnsi="Calibri" w:cs="Arial"/>
                <w:sz w:val="20"/>
                <w:szCs w:val="20"/>
              </w:rPr>
              <w:t>3</w:t>
            </w:r>
          </w:p>
        </w:tc>
        <w:tc>
          <w:tcPr>
            <w:tcW w:w="1260" w:type="dxa"/>
            <w:tcBorders>
              <w:top w:val="nil"/>
              <w:left w:val="nil"/>
              <w:bottom w:val="single" w:sz="4" w:space="0" w:color="auto"/>
              <w:right w:val="single" w:sz="4" w:space="0" w:color="auto"/>
            </w:tcBorders>
            <w:shd w:val="clear" w:color="auto" w:fill="auto"/>
            <w:vAlign w:val="center"/>
          </w:tcPr>
          <w:p w:rsidR="0038466B" w:rsidRPr="00C94481" w:rsidP="001A1672" w14:paraId="156679DF" w14:textId="3249489D">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6D7D13">
              <w:rPr>
                <w:rFonts w:ascii="Calibri" w:eastAsia="Times New Roman" w:hAnsi="Calibri" w:cs="Arial"/>
                <w:sz w:val="20"/>
                <w:szCs w:val="20"/>
              </w:rPr>
              <w:t>3</w:t>
            </w:r>
          </w:p>
        </w:tc>
        <w:tc>
          <w:tcPr>
            <w:tcW w:w="1440" w:type="dxa"/>
            <w:tcBorders>
              <w:top w:val="nil"/>
              <w:left w:val="nil"/>
              <w:bottom w:val="single" w:sz="4" w:space="0" w:color="auto"/>
              <w:right w:val="single" w:sz="4" w:space="0" w:color="auto"/>
            </w:tcBorders>
            <w:shd w:val="clear" w:color="auto" w:fill="auto"/>
            <w:vAlign w:val="center"/>
          </w:tcPr>
          <w:p w:rsidR="0038466B" w:rsidRPr="00C94481" w:rsidP="001A1672" w14:paraId="175E0ACC" w14:textId="38C04334">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nil"/>
              <w:left w:val="nil"/>
              <w:bottom w:val="single" w:sz="4" w:space="0" w:color="auto"/>
              <w:right w:val="single" w:sz="4" w:space="0" w:color="auto"/>
            </w:tcBorders>
            <w:vAlign w:val="center"/>
          </w:tcPr>
          <w:p w:rsidR="0038466B" w:rsidRPr="00C94481" w:rsidP="001A1672" w14:paraId="6FCED17D" w14:textId="7967B9CB">
            <w:pPr>
              <w:spacing w:after="0" w:line="240" w:lineRule="auto"/>
              <w:jc w:val="right"/>
              <w:rPr>
                <w:rFonts w:ascii="Calibri" w:eastAsia="Times New Roman" w:hAnsi="Calibri" w:cs="Arial"/>
                <w:sz w:val="20"/>
                <w:szCs w:val="20"/>
              </w:rPr>
            </w:pPr>
            <w:r>
              <w:rPr>
                <w:rFonts w:ascii="Calibri" w:eastAsia="Times New Roman" w:hAnsi="Calibri" w:cs="Arial"/>
                <w:sz w:val="20"/>
                <w:szCs w:val="20"/>
              </w:rPr>
              <w:t>735</w:t>
            </w:r>
          </w:p>
        </w:tc>
        <w:tc>
          <w:tcPr>
            <w:tcW w:w="1440" w:type="dxa"/>
            <w:tcBorders>
              <w:top w:val="nil"/>
              <w:left w:val="nil"/>
              <w:bottom w:val="single" w:sz="4" w:space="0" w:color="auto"/>
              <w:right w:val="single" w:sz="4" w:space="0" w:color="auto"/>
            </w:tcBorders>
            <w:vAlign w:val="center"/>
          </w:tcPr>
          <w:p w:rsidR="009B31B2" w:rsidRPr="00C94481" w:rsidP="009B31B2" w14:paraId="0F2FC020" w14:textId="3604B3BF">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2E6C02">
              <w:rPr>
                <w:rFonts w:ascii="Calibri" w:eastAsia="Times New Roman" w:hAnsi="Calibri" w:cs="Arial"/>
                <w:sz w:val="20"/>
                <w:szCs w:val="20"/>
              </w:rPr>
              <w:t>735</w:t>
            </w:r>
          </w:p>
        </w:tc>
      </w:tr>
      <w:tr w14:paraId="7106EFB0" w14:textId="1FE39713"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38466B" w:rsidRPr="00C94481" w:rsidP="001A1672" w14:paraId="267027B4" w14:textId="29CF5EA8">
            <w:pPr>
              <w:spacing w:after="0" w:line="240" w:lineRule="auto"/>
              <w:rPr>
                <w:rFonts w:ascii="Calibri" w:eastAsia="Times New Roman" w:hAnsi="Calibri" w:cs="Arial"/>
                <w:sz w:val="20"/>
                <w:szCs w:val="20"/>
              </w:rPr>
            </w:pPr>
            <w:r w:rsidRPr="00481D55">
              <w:rPr>
                <w:rFonts w:ascii="Calibri" w:eastAsia="Times New Roman" w:hAnsi="Calibri" w:cs="Arial"/>
                <w:sz w:val="20"/>
                <w:szCs w:val="20"/>
              </w:rPr>
              <w:t xml:space="preserve">952.223-78, </w:t>
            </w:r>
            <w:r w:rsidRPr="009C14DF">
              <w:rPr>
                <w:rFonts w:ascii="Calibri" w:eastAsia="Times New Roman" w:hAnsi="Calibri" w:cs="Arial"/>
                <w:i/>
                <w:iCs/>
                <w:sz w:val="20"/>
                <w:szCs w:val="20"/>
              </w:rPr>
              <w:t>Sustainable Acquisition Program</w:t>
            </w:r>
          </w:p>
        </w:tc>
        <w:tc>
          <w:tcPr>
            <w:tcW w:w="1368"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37AFED85" w14:textId="31727B30">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c>
          <w:tcPr>
            <w:tcW w:w="153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7337EBF1" w14:textId="3019D132">
            <w:pPr>
              <w:spacing w:after="0" w:line="240" w:lineRule="auto"/>
              <w:jc w:val="right"/>
              <w:rPr>
                <w:rFonts w:ascii="Calibri" w:eastAsia="Times New Roman" w:hAnsi="Calibri" w:cs="Arial"/>
                <w:sz w:val="20"/>
                <w:szCs w:val="20"/>
              </w:rPr>
            </w:pPr>
            <w:r>
              <w:rPr>
                <w:rFonts w:ascii="Calibri" w:eastAsia="Times New Roman" w:hAnsi="Calibri" w:cs="Arial"/>
                <w:sz w:val="20"/>
                <w:szCs w:val="20"/>
              </w:rPr>
              <w:t>32</w:t>
            </w:r>
          </w:p>
        </w:tc>
        <w:tc>
          <w:tcPr>
            <w:tcW w:w="126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43637A95" w14:textId="6C0D7107">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11635E">
              <w:rPr>
                <w:rFonts w:ascii="Calibri" w:eastAsia="Times New Roman" w:hAnsi="Calibri" w:cs="Arial"/>
                <w:sz w:val="20"/>
                <w:szCs w:val="20"/>
              </w:rPr>
              <w:t>22</w:t>
            </w:r>
          </w:p>
        </w:tc>
        <w:tc>
          <w:tcPr>
            <w:tcW w:w="144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5A626DAF" w14:textId="20E76866">
            <w:pPr>
              <w:spacing w:after="0" w:line="240" w:lineRule="auto"/>
              <w:jc w:val="right"/>
              <w:rPr>
                <w:rFonts w:ascii="Calibri" w:eastAsia="Times New Roman" w:hAnsi="Calibri" w:cs="Arial"/>
                <w:sz w:val="20"/>
                <w:szCs w:val="20"/>
              </w:rPr>
            </w:pPr>
            <w:r>
              <w:rPr>
                <w:rFonts w:ascii="Calibri" w:eastAsia="Times New Roman" w:hAnsi="Calibri" w:cs="Arial"/>
                <w:sz w:val="20"/>
                <w:szCs w:val="20"/>
              </w:rPr>
              <w:t>400</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5424D31E" w14:textId="6935BE83">
            <w:pPr>
              <w:spacing w:after="0" w:line="240" w:lineRule="auto"/>
              <w:jc w:val="right"/>
              <w:rPr>
                <w:rFonts w:ascii="Calibri" w:eastAsia="Times New Roman" w:hAnsi="Calibri" w:cs="Arial"/>
                <w:sz w:val="20"/>
                <w:szCs w:val="20"/>
              </w:rPr>
            </w:pPr>
            <w:r>
              <w:rPr>
                <w:rFonts w:ascii="Calibri" w:eastAsia="Times New Roman" w:hAnsi="Calibri" w:cs="Arial"/>
                <w:sz w:val="20"/>
                <w:szCs w:val="20"/>
              </w:rPr>
              <w:t>1</w:t>
            </w:r>
            <w:r w:rsidR="002E6C02">
              <w:rPr>
                <w:rFonts w:ascii="Calibri" w:eastAsia="Times New Roman" w:hAnsi="Calibri" w:cs="Arial"/>
                <w:sz w:val="20"/>
                <w:szCs w:val="20"/>
              </w:rPr>
              <w:t>,</w:t>
            </w:r>
            <w:r>
              <w:rPr>
                <w:rFonts w:ascii="Calibri" w:eastAsia="Times New Roman" w:hAnsi="Calibri" w:cs="Arial"/>
                <w:sz w:val="20"/>
                <w:szCs w:val="20"/>
              </w:rPr>
              <w:t>280</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79277490" w14:textId="6C62C63E">
            <w:pPr>
              <w:spacing w:after="0" w:line="240" w:lineRule="auto"/>
              <w:jc w:val="right"/>
              <w:rPr>
                <w:rFonts w:ascii="Calibri" w:eastAsia="Times New Roman" w:hAnsi="Calibri" w:cs="Arial"/>
                <w:sz w:val="20"/>
                <w:szCs w:val="20"/>
              </w:rPr>
            </w:pPr>
            <w:r>
              <w:rPr>
                <w:rFonts w:ascii="Calibri" w:eastAsia="Times New Roman" w:hAnsi="Calibri" w:cs="Arial"/>
                <w:sz w:val="20"/>
                <w:szCs w:val="20"/>
              </w:rPr>
              <w:t>+880</w:t>
            </w:r>
          </w:p>
        </w:tc>
      </w:tr>
      <w:tr w14:paraId="3B3D6E76" w14:textId="0225EC00"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38466B" w:rsidRPr="00C94481" w:rsidP="001A1672" w14:paraId="3C903145" w14:textId="61F1D209">
            <w:pPr>
              <w:spacing w:after="0" w:line="240" w:lineRule="auto"/>
              <w:rPr>
                <w:rFonts w:ascii="Calibri" w:eastAsia="Times New Roman" w:hAnsi="Calibri" w:cs="Arial"/>
                <w:sz w:val="20"/>
                <w:szCs w:val="20"/>
              </w:rPr>
            </w:pPr>
            <w:r w:rsidRPr="003A07A3">
              <w:rPr>
                <w:rFonts w:ascii="Calibri" w:eastAsia="Times New Roman" w:hAnsi="Calibri" w:cs="Arial"/>
                <w:sz w:val="20"/>
                <w:szCs w:val="20"/>
              </w:rPr>
              <w:t xml:space="preserve">970.5204-3, </w:t>
            </w:r>
            <w:r w:rsidRPr="009C14DF">
              <w:rPr>
                <w:rFonts w:ascii="Calibri" w:eastAsia="Times New Roman" w:hAnsi="Calibri" w:cs="Arial"/>
                <w:i/>
                <w:iCs/>
                <w:sz w:val="20"/>
                <w:szCs w:val="20"/>
              </w:rPr>
              <w:t>Access to and ownership of records</w:t>
            </w:r>
          </w:p>
        </w:tc>
        <w:tc>
          <w:tcPr>
            <w:tcW w:w="1368"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02BF09F9" w14:textId="0BE9D455">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w:t>
            </w:r>
          </w:p>
        </w:tc>
        <w:tc>
          <w:tcPr>
            <w:tcW w:w="153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75EE4A21" w14:textId="35EB4381">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w:t>
            </w:r>
          </w:p>
        </w:tc>
        <w:tc>
          <w:tcPr>
            <w:tcW w:w="126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519EC86E" w14:textId="3565961E">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537BF8DB" w14:textId="4C54C5FE">
            <w:pPr>
              <w:spacing w:after="0" w:line="240" w:lineRule="auto"/>
              <w:jc w:val="right"/>
              <w:rPr>
                <w:rFonts w:ascii="Calibri" w:eastAsia="Times New Roman" w:hAnsi="Calibri" w:cs="Arial"/>
                <w:sz w:val="20"/>
                <w:szCs w:val="20"/>
              </w:rPr>
            </w:pPr>
            <w:r>
              <w:rPr>
                <w:rFonts w:ascii="Calibri" w:eastAsia="Times New Roman" w:hAnsi="Calibri" w:cs="Arial"/>
                <w:sz w:val="20"/>
                <w:szCs w:val="20"/>
              </w:rPr>
              <w:t>175,938</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1C902E7F" w14:textId="26D933BC">
            <w:pPr>
              <w:spacing w:after="0" w:line="240" w:lineRule="auto"/>
              <w:jc w:val="right"/>
              <w:rPr>
                <w:rFonts w:ascii="Calibri" w:eastAsia="Times New Roman" w:hAnsi="Calibri" w:cs="Arial"/>
                <w:sz w:val="20"/>
                <w:szCs w:val="20"/>
              </w:rPr>
            </w:pPr>
            <w:r>
              <w:rPr>
                <w:rFonts w:ascii="Calibri" w:eastAsia="Times New Roman" w:hAnsi="Calibri" w:cs="Arial"/>
                <w:sz w:val="20"/>
                <w:szCs w:val="20"/>
              </w:rPr>
              <w:t>170,938</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03DB807D" w14:textId="79D325F9">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624EAA">
              <w:rPr>
                <w:rFonts w:ascii="Calibri" w:eastAsia="Times New Roman" w:hAnsi="Calibri" w:cs="Arial"/>
                <w:sz w:val="20"/>
                <w:szCs w:val="20"/>
              </w:rPr>
              <w:t>5000</w:t>
            </w:r>
          </w:p>
        </w:tc>
      </w:tr>
      <w:tr w14:paraId="2040DA1E" w14:textId="6238F355"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38466B" w:rsidRPr="00C94481" w:rsidP="001A1672" w14:paraId="35B0854C" w14:textId="08F9C4AF">
            <w:pPr>
              <w:spacing w:after="0" w:line="240" w:lineRule="auto"/>
              <w:rPr>
                <w:rFonts w:ascii="Calibri" w:eastAsia="Times New Roman" w:hAnsi="Calibri" w:cs="Arial"/>
                <w:sz w:val="20"/>
                <w:szCs w:val="20"/>
              </w:rPr>
            </w:pPr>
            <w:r w:rsidRPr="00E434CC">
              <w:rPr>
                <w:rFonts w:ascii="Calibri" w:eastAsia="Times New Roman" w:hAnsi="Calibri" w:cs="Arial"/>
                <w:sz w:val="20"/>
                <w:szCs w:val="20"/>
              </w:rPr>
              <w:t xml:space="preserve">970.5217-2 </w:t>
            </w:r>
            <w:r w:rsidRPr="009C14DF">
              <w:rPr>
                <w:rFonts w:ascii="Calibri" w:eastAsia="Times New Roman" w:hAnsi="Calibri" w:cs="Arial"/>
                <w:i/>
                <w:iCs/>
                <w:sz w:val="20"/>
                <w:szCs w:val="20"/>
              </w:rPr>
              <w:t>Agreements for commercializing technology.</w:t>
            </w:r>
          </w:p>
        </w:tc>
        <w:tc>
          <w:tcPr>
            <w:tcW w:w="1368"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4FF6738C" w14:textId="664C8F7C">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3CBBB1E1" w14:textId="7328D66E">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07A3CD6C" w14:textId="2BBF8361">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E434CC">
              <w:rPr>
                <w:rFonts w:ascii="Calibri" w:eastAsia="Times New Roman" w:hAnsi="Calibri" w:cs="Arial"/>
                <w:sz w:val="20"/>
                <w:szCs w:val="20"/>
              </w:rPr>
              <w:t>23</w:t>
            </w:r>
          </w:p>
        </w:tc>
        <w:tc>
          <w:tcPr>
            <w:tcW w:w="1440" w:type="dxa"/>
            <w:tcBorders>
              <w:top w:val="single" w:sz="4" w:space="0" w:color="auto"/>
              <w:left w:val="nil"/>
              <w:bottom w:val="single" w:sz="4" w:space="0" w:color="auto"/>
              <w:right w:val="single" w:sz="4" w:space="0" w:color="auto"/>
            </w:tcBorders>
            <w:shd w:val="clear" w:color="auto" w:fill="auto"/>
            <w:vAlign w:val="center"/>
          </w:tcPr>
          <w:p w:rsidR="0038466B" w:rsidRPr="00C94481" w:rsidP="001A1672" w14:paraId="320C630E" w14:textId="3AF5F07D">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53C8BC25" w14:textId="78B8FF60">
            <w:pPr>
              <w:spacing w:after="0" w:line="240" w:lineRule="auto"/>
              <w:jc w:val="right"/>
              <w:rPr>
                <w:rFonts w:ascii="Calibri" w:eastAsia="Times New Roman" w:hAnsi="Calibri" w:cs="Arial"/>
                <w:sz w:val="20"/>
                <w:szCs w:val="20"/>
              </w:rPr>
            </w:pPr>
            <w:r>
              <w:rPr>
                <w:rFonts w:ascii="Calibri" w:eastAsia="Times New Roman" w:hAnsi="Calibri" w:cs="Arial"/>
                <w:sz w:val="20"/>
                <w:szCs w:val="20"/>
              </w:rPr>
              <w:t>5,635</w:t>
            </w:r>
          </w:p>
        </w:tc>
        <w:tc>
          <w:tcPr>
            <w:tcW w:w="1440" w:type="dxa"/>
            <w:tcBorders>
              <w:top w:val="single" w:sz="4" w:space="0" w:color="auto"/>
              <w:left w:val="nil"/>
              <w:bottom w:val="single" w:sz="4" w:space="0" w:color="auto"/>
              <w:right w:val="single" w:sz="4" w:space="0" w:color="auto"/>
            </w:tcBorders>
            <w:vAlign w:val="center"/>
          </w:tcPr>
          <w:p w:rsidR="0038466B" w:rsidRPr="00C94481" w:rsidP="001A1672" w14:paraId="3DDBEB3E" w14:textId="29E6403B">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2B6B9D">
              <w:rPr>
                <w:rFonts w:ascii="Calibri" w:eastAsia="Times New Roman" w:hAnsi="Calibri" w:cs="Arial"/>
                <w:sz w:val="20"/>
                <w:szCs w:val="20"/>
              </w:rPr>
              <w:t>5,635</w:t>
            </w:r>
          </w:p>
        </w:tc>
      </w:tr>
      <w:tr w14:paraId="6A15D265" w14:textId="77777777"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7A6ECD" w:rsidRPr="00C94481" w:rsidP="001A1672" w14:paraId="19EFD1E8" w14:textId="1AA5E1A0">
            <w:pPr>
              <w:spacing w:after="0" w:line="240" w:lineRule="auto"/>
              <w:rPr>
                <w:rFonts w:ascii="Calibri" w:eastAsia="Times New Roman" w:hAnsi="Calibri" w:cs="Arial"/>
                <w:sz w:val="20"/>
                <w:szCs w:val="20"/>
              </w:rPr>
            </w:pPr>
            <w:r w:rsidRPr="00D54635">
              <w:rPr>
                <w:rFonts w:ascii="Calibri" w:eastAsia="Times New Roman" w:hAnsi="Calibri" w:cs="Arial"/>
                <w:sz w:val="20"/>
                <w:szCs w:val="20"/>
              </w:rPr>
              <w:t xml:space="preserve">970.5219 </w:t>
            </w:r>
            <w:r w:rsidRPr="009C14DF">
              <w:rPr>
                <w:rFonts w:ascii="Calibri" w:eastAsia="Times New Roman" w:hAnsi="Calibri" w:cs="Arial"/>
                <w:i/>
                <w:iCs/>
                <w:sz w:val="20"/>
                <w:szCs w:val="20"/>
              </w:rPr>
              <w:t>Small business subcontracting plan.</w:t>
            </w:r>
          </w:p>
        </w:tc>
        <w:tc>
          <w:tcPr>
            <w:tcW w:w="1368"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20545E9D" w14:textId="4802F1EC">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5FBE82C0" w14:textId="0B03F158">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252</w:t>
            </w:r>
          </w:p>
        </w:tc>
        <w:tc>
          <w:tcPr>
            <w:tcW w:w="126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2AAAF829" w14:textId="11E6669E">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+252</w:t>
            </w:r>
          </w:p>
        </w:tc>
        <w:tc>
          <w:tcPr>
            <w:tcW w:w="144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7BFF12C2" w14:textId="29F64F50">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037FA2D4" w14:textId="125E37A5">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252</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5296465A" w14:textId="05456BCA">
            <w:pPr>
              <w:spacing w:after="0" w:line="240" w:lineRule="auto"/>
              <w:jc w:val="right"/>
              <w:rPr>
                <w:rFonts w:ascii="Calibri" w:eastAsia="Times New Roman" w:hAnsi="Calibri" w:cs="Arial"/>
                <w:sz w:val="20"/>
                <w:szCs w:val="20"/>
              </w:rPr>
            </w:pPr>
            <w:r>
              <w:rPr>
                <w:rFonts w:ascii="Calibri" w:eastAsia="Times New Roman" w:hAnsi="Calibri" w:cs="Arial"/>
                <w:sz w:val="20"/>
                <w:szCs w:val="20"/>
              </w:rPr>
              <w:t>+252</w:t>
            </w:r>
          </w:p>
        </w:tc>
      </w:tr>
      <w:tr w14:paraId="6E708727" w14:textId="77777777"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7A6ECD" w:rsidRPr="00C94481" w:rsidP="001A1672" w14:paraId="1389E9A7" w14:textId="6CA3A848">
            <w:pPr>
              <w:spacing w:after="0" w:line="240" w:lineRule="auto"/>
              <w:rPr>
                <w:rFonts w:ascii="Calibri" w:eastAsia="Times New Roman" w:hAnsi="Calibri" w:cs="Arial"/>
                <w:sz w:val="20"/>
                <w:szCs w:val="20"/>
              </w:rPr>
            </w:pPr>
            <w:r w:rsidRPr="00750A81">
              <w:rPr>
                <w:rFonts w:ascii="Calibri" w:eastAsia="Times New Roman" w:hAnsi="Calibri" w:cs="Arial"/>
                <w:sz w:val="20"/>
                <w:szCs w:val="20"/>
              </w:rPr>
              <w:t xml:space="preserve">970.5222-4 </w:t>
            </w:r>
            <w:r w:rsidRPr="009C14DF">
              <w:rPr>
                <w:rFonts w:ascii="Calibri" w:eastAsia="Times New Roman" w:hAnsi="Calibri" w:cs="Arial"/>
                <w:i/>
                <w:iCs/>
                <w:sz w:val="20"/>
                <w:szCs w:val="20"/>
              </w:rPr>
              <w:t>Unemployment compensation.</w:t>
            </w:r>
          </w:p>
        </w:tc>
        <w:tc>
          <w:tcPr>
            <w:tcW w:w="1368"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2CD56777" w14:textId="45CF4ACA">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53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11EF0021" w14:textId="1A84CADD">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c>
          <w:tcPr>
            <w:tcW w:w="126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18E4AB03" w14:textId="6CB0618E">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c>
          <w:tcPr>
            <w:tcW w:w="144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17814E56" w14:textId="7F9CEA67">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56A6EE37" w14:textId="64CD8C17">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5D0D9DED" w14:textId="2690FEA5">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r>
      <w:tr w14:paraId="2F6171F1" w14:textId="77777777"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7A6ECD" w:rsidRPr="00C94481" w:rsidP="001A1672" w14:paraId="61B037FF" w14:textId="1B893291">
            <w:pPr>
              <w:spacing w:after="0" w:line="240" w:lineRule="auto"/>
              <w:rPr>
                <w:rFonts w:ascii="Calibri" w:eastAsia="Times New Roman" w:hAnsi="Calibri" w:cs="Arial"/>
                <w:sz w:val="20"/>
                <w:szCs w:val="20"/>
              </w:rPr>
            </w:pPr>
            <w:r w:rsidRPr="00AB5A16">
              <w:rPr>
                <w:rFonts w:ascii="Calibri" w:eastAsia="Times New Roman" w:hAnsi="Calibri" w:cs="Arial"/>
                <w:sz w:val="20"/>
                <w:szCs w:val="20"/>
              </w:rPr>
              <w:t xml:space="preserve">970.5223-1, </w:t>
            </w:r>
            <w:r w:rsidRPr="009C14DF">
              <w:rPr>
                <w:rFonts w:ascii="Calibri" w:eastAsia="Times New Roman" w:hAnsi="Calibri" w:cs="Arial"/>
                <w:i/>
                <w:iCs/>
                <w:sz w:val="20"/>
                <w:szCs w:val="20"/>
              </w:rPr>
              <w:t>Integration of environment, safety, and health into work planning and execution.</w:t>
            </w:r>
          </w:p>
        </w:tc>
        <w:tc>
          <w:tcPr>
            <w:tcW w:w="1368"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40612028" w14:textId="35016CCD">
            <w:pPr>
              <w:spacing w:after="0" w:line="240" w:lineRule="auto"/>
              <w:jc w:val="right"/>
              <w:rPr>
                <w:rFonts w:ascii="Calibri" w:eastAsia="Times New Roman" w:hAnsi="Calibri" w:cs="Arial"/>
                <w:sz w:val="20"/>
                <w:szCs w:val="20"/>
              </w:rPr>
            </w:pPr>
            <w:r>
              <w:rPr>
                <w:rFonts w:ascii="Calibri" w:eastAsia="Times New Roman" w:hAnsi="Calibri" w:cs="Arial"/>
                <w:sz w:val="20"/>
                <w:szCs w:val="20"/>
              </w:rPr>
              <w:t>10</w:t>
            </w:r>
          </w:p>
        </w:tc>
        <w:tc>
          <w:tcPr>
            <w:tcW w:w="153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691B754C" w14:textId="679D3F8E">
            <w:pPr>
              <w:spacing w:after="0" w:line="240" w:lineRule="auto"/>
              <w:jc w:val="right"/>
              <w:rPr>
                <w:rFonts w:ascii="Calibri" w:eastAsia="Times New Roman" w:hAnsi="Calibri" w:cs="Arial"/>
                <w:sz w:val="20"/>
                <w:szCs w:val="20"/>
              </w:rPr>
            </w:pPr>
            <w:r>
              <w:rPr>
                <w:rFonts w:ascii="Calibri" w:eastAsia="Times New Roman" w:hAnsi="Calibri" w:cs="Arial"/>
                <w:sz w:val="20"/>
                <w:szCs w:val="20"/>
              </w:rPr>
              <w:t>7</w:t>
            </w:r>
          </w:p>
        </w:tc>
        <w:tc>
          <w:tcPr>
            <w:tcW w:w="126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5D6FCB7C" w14:textId="6C667F17">
            <w:pPr>
              <w:spacing w:after="0" w:line="240" w:lineRule="auto"/>
              <w:jc w:val="right"/>
              <w:rPr>
                <w:rFonts w:ascii="Calibri" w:eastAsia="Times New Roman" w:hAnsi="Calibri" w:cs="Arial"/>
                <w:sz w:val="20"/>
                <w:szCs w:val="20"/>
              </w:rPr>
            </w:pPr>
            <w:r>
              <w:rPr>
                <w:rFonts w:ascii="Calibri" w:eastAsia="Times New Roman" w:hAnsi="Calibri" w:cs="Arial"/>
                <w:sz w:val="20"/>
                <w:szCs w:val="20"/>
              </w:rPr>
              <w:t>-3</w:t>
            </w:r>
          </w:p>
        </w:tc>
        <w:tc>
          <w:tcPr>
            <w:tcW w:w="1440" w:type="dxa"/>
            <w:tcBorders>
              <w:top w:val="single" w:sz="4" w:space="0" w:color="auto"/>
              <w:left w:val="nil"/>
              <w:bottom w:val="single" w:sz="4" w:space="0" w:color="auto"/>
              <w:right w:val="single" w:sz="4" w:space="0" w:color="auto"/>
            </w:tcBorders>
            <w:shd w:val="clear" w:color="auto" w:fill="auto"/>
            <w:vAlign w:val="center"/>
          </w:tcPr>
          <w:p w:rsidR="007A6ECD" w:rsidRPr="00C94481" w:rsidP="001A1672" w14:paraId="24DE3CF3" w14:textId="06FE3D06">
            <w:pPr>
              <w:spacing w:after="0" w:line="240" w:lineRule="auto"/>
              <w:jc w:val="right"/>
              <w:rPr>
                <w:rFonts w:ascii="Calibri" w:eastAsia="Times New Roman" w:hAnsi="Calibri" w:cs="Arial"/>
                <w:sz w:val="20"/>
                <w:szCs w:val="20"/>
              </w:rPr>
            </w:pPr>
            <w:r>
              <w:rPr>
                <w:rFonts w:ascii="Calibri" w:eastAsia="Times New Roman" w:hAnsi="Calibri" w:cs="Arial"/>
                <w:sz w:val="20"/>
                <w:szCs w:val="20"/>
              </w:rPr>
              <w:t>2,450</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7CD4F524" w14:textId="627D2630">
            <w:pPr>
              <w:spacing w:after="0" w:line="240" w:lineRule="auto"/>
              <w:jc w:val="right"/>
              <w:rPr>
                <w:rFonts w:ascii="Calibri" w:eastAsia="Times New Roman" w:hAnsi="Calibri" w:cs="Arial"/>
                <w:sz w:val="20"/>
                <w:szCs w:val="20"/>
              </w:rPr>
            </w:pPr>
            <w:r>
              <w:rPr>
                <w:rFonts w:ascii="Calibri" w:eastAsia="Times New Roman" w:hAnsi="Calibri" w:cs="Arial"/>
                <w:sz w:val="20"/>
                <w:szCs w:val="20"/>
              </w:rPr>
              <w:t>1,715</w:t>
            </w:r>
          </w:p>
        </w:tc>
        <w:tc>
          <w:tcPr>
            <w:tcW w:w="1440" w:type="dxa"/>
            <w:tcBorders>
              <w:top w:val="single" w:sz="4" w:space="0" w:color="auto"/>
              <w:left w:val="nil"/>
              <w:bottom w:val="single" w:sz="4" w:space="0" w:color="auto"/>
              <w:right w:val="single" w:sz="4" w:space="0" w:color="auto"/>
            </w:tcBorders>
            <w:vAlign w:val="center"/>
          </w:tcPr>
          <w:p w:rsidR="007A6ECD" w:rsidRPr="00C94481" w:rsidP="001A1672" w14:paraId="10CD4F21" w14:textId="1AFBBE39">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00794ACC">
              <w:rPr>
                <w:rFonts w:ascii="Calibri" w:eastAsia="Times New Roman" w:hAnsi="Calibri" w:cs="Arial"/>
                <w:sz w:val="20"/>
                <w:szCs w:val="20"/>
              </w:rPr>
              <w:t>735</w:t>
            </w:r>
          </w:p>
        </w:tc>
      </w:tr>
      <w:tr w14:paraId="5A39FF57" w14:textId="77777777"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AB5A16" w:rsidRPr="00C94481" w:rsidP="001A1672" w14:paraId="2C1910D1" w14:textId="57292474">
            <w:pPr>
              <w:spacing w:after="0" w:line="240" w:lineRule="auto"/>
              <w:rPr>
                <w:rFonts w:ascii="Calibri" w:eastAsia="Times New Roman" w:hAnsi="Calibri" w:cs="Arial"/>
                <w:sz w:val="20"/>
                <w:szCs w:val="20"/>
              </w:rPr>
            </w:pPr>
            <w:r>
              <w:rPr>
                <w:rFonts w:ascii="Calibri" w:eastAsia="Times New Roman" w:hAnsi="Calibri" w:cs="Arial"/>
                <w:sz w:val="20"/>
                <w:szCs w:val="20"/>
              </w:rPr>
              <w:t>970.5223-</w:t>
            </w:r>
            <w:r w:rsidR="00020A48">
              <w:rPr>
                <w:rFonts w:ascii="Calibri" w:eastAsia="Times New Roman" w:hAnsi="Calibri" w:cs="Arial"/>
                <w:sz w:val="20"/>
                <w:szCs w:val="20"/>
              </w:rPr>
              <w:t xml:space="preserve">7 </w:t>
            </w:r>
            <w:r w:rsidRPr="009C14DF" w:rsidR="00020A48">
              <w:rPr>
                <w:rFonts w:ascii="Calibri" w:eastAsia="Times New Roman" w:hAnsi="Calibri" w:cs="Arial"/>
                <w:i/>
                <w:iCs/>
                <w:sz w:val="20"/>
                <w:szCs w:val="20"/>
              </w:rPr>
              <w:t>Sustainable Acquisition Program (M&amp;O Contracts)</w:t>
            </w:r>
          </w:p>
        </w:tc>
        <w:tc>
          <w:tcPr>
            <w:tcW w:w="1368"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58A6ECB4" w14:textId="5BDEBF0E">
            <w:pPr>
              <w:spacing w:after="0" w:line="240" w:lineRule="auto"/>
              <w:jc w:val="right"/>
              <w:rPr>
                <w:rFonts w:ascii="Calibri" w:eastAsia="Times New Roman" w:hAnsi="Calibri" w:cs="Arial"/>
                <w:sz w:val="20"/>
                <w:szCs w:val="20"/>
              </w:rPr>
            </w:pPr>
            <w:r>
              <w:rPr>
                <w:rFonts w:ascii="Calibri" w:eastAsia="Times New Roman" w:hAnsi="Calibri" w:cs="Arial"/>
                <w:sz w:val="20"/>
                <w:szCs w:val="20"/>
              </w:rPr>
              <w:t>22</w:t>
            </w:r>
          </w:p>
        </w:tc>
        <w:tc>
          <w:tcPr>
            <w:tcW w:w="153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16D399DF" w14:textId="26816604">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26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4EC2C9BE" w14:textId="3205F7FF">
            <w:pPr>
              <w:spacing w:after="0" w:line="240" w:lineRule="auto"/>
              <w:jc w:val="right"/>
              <w:rPr>
                <w:rFonts w:ascii="Calibri" w:eastAsia="Times New Roman" w:hAnsi="Calibri" w:cs="Arial"/>
                <w:sz w:val="20"/>
                <w:szCs w:val="20"/>
              </w:rPr>
            </w:pPr>
            <w:r>
              <w:rPr>
                <w:rFonts w:ascii="Calibri" w:eastAsia="Times New Roman" w:hAnsi="Calibri" w:cs="Arial"/>
                <w:sz w:val="20"/>
                <w:szCs w:val="20"/>
              </w:rPr>
              <w:t>-22</w:t>
            </w:r>
          </w:p>
        </w:tc>
        <w:tc>
          <w:tcPr>
            <w:tcW w:w="144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21C24DAD" w14:textId="653EA509">
            <w:pPr>
              <w:spacing w:after="0" w:line="240" w:lineRule="auto"/>
              <w:jc w:val="right"/>
              <w:rPr>
                <w:rFonts w:ascii="Calibri" w:eastAsia="Times New Roman" w:hAnsi="Calibri" w:cs="Arial"/>
                <w:sz w:val="20"/>
                <w:szCs w:val="20"/>
              </w:rPr>
            </w:pPr>
            <w:r>
              <w:rPr>
                <w:rFonts w:ascii="Calibri" w:eastAsia="Times New Roman" w:hAnsi="Calibri" w:cs="Arial"/>
                <w:sz w:val="20"/>
                <w:szCs w:val="20"/>
              </w:rPr>
              <w:t>880</w:t>
            </w:r>
          </w:p>
        </w:tc>
        <w:tc>
          <w:tcPr>
            <w:tcW w:w="1440" w:type="dxa"/>
            <w:tcBorders>
              <w:top w:val="single" w:sz="4" w:space="0" w:color="auto"/>
              <w:left w:val="nil"/>
              <w:bottom w:val="single" w:sz="4" w:space="0" w:color="auto"/>
              <w:right w:val="single" w:sz="4" w:space="0" w:color="auto"/>
            </w:tcBorders>
            <w:vAlign w:val="center"/>
          </w:tcPr>
          <w:p w:rsidR="00AB5A16" w:rsidRPr="00C94481" w:rsidP="001A1672" w14:paraId="362A9C8C" w14:textId="48C39AA4">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vAlign w:val="center"/>
          </w:tcPr>
          <w:p w:rsidR="00EB5A08" w:rsidRPr="00C94481" w:rsidP="00EB5A08" w14:paraId="1BC47144" w14:textId="1309B4CE">
            <w:pPr>
              <w:spacing w:after="0" w:line="240" w:lineRule="auto"/>
              <w:jc w:val="right"/>
              <w:rPr>
                <w:rFonts w:ascii="Calibri" w:eastAsia="Times New Roman" w:hAnsi="Calibri" w:cs="Arial"/>
                <w:sz w:val="20"/>
                <w:szCs w:val="20"/>
              </w:rPr>
            </w:pPr>
            <w:r>
              <w:rPr>
                <w:rFonts w:ascii="Calibri" w:eastAsia="Times New Roman" w:hAnsi="Calibri" w:cs="Arial"/>
                <w:sz w:val="20"/>
                <w:szCs w:val="20"/>
              </w:rPr>
              <w:t>-880</w:t>
            </w:r>
          </w:p>
        </w:tc>
      </w:tr>
      <w:tr w14:paraId="78716FAB" w14:textId="77777777"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AB5A16" w:rsidRPr="00C94481" w:rsidP="001A1672" w14:paraId="0244839B" w14:textId="3D50AD62">
            <w:pPr>
              <w:spacing w:after="0" w:line="240" w:lineRule="auto"/>
              <w:rPr>
                <w:rFonts w:ascii="Calibri" w:eastAsia="Times New Roman" w:hAnsi="Calibri" w:cs="Arial"/>
                <w:sz w:val="20"/>
                <w:szCs w:val="20"/>
              </w:rPr>
            </w:pPr>
            <w:r w:rsidRPr="00B31112">
              <w:rPr>
                <w:rFonts w:ascii="Calibri" w:eastAsia="Times New Roman" w:hAnsi="Calibri" w:cs="Arial"/>
                <w:sz w:val="20"/>
                <w:szCs w:val="20"/>
              </w:rPr>
              <w:t xml:space="preserve">970.5227-1, </w:t>
            </w:r>
            <w:r w:rsidRPr="009C14DF">
              <w:rPr>
                <w:rFonts w:ascii="Calibri" w:eastAsia="Times New Roman" w:hAnsi="Calibri" w:cs="Arial"/>
                <w:i/>
                <w:iCs/>
                <w:sz w:val="20"/>
                <w:szCs w:val="20"/>
              </w:rPr>
              <w:t>Rights in data-facilities.</w:t>
            </w:r>
          </w:p>
        </w:tc>
        <w:tc>
          <w:tcPr>
            <w:tcW w:w="1368"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19798C6E" w14:textId="7F75F939">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53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670D1780" w14:textId="5CF8C37A">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7C4B7B8A" w14:textId="3D66391A">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76CF4881" w14:textId="28B4626E">
            <w:pPr>
              <w:spacing w:after="0" w:line="240" w:lineRule="auto"/>
              <w:jc w:val="right"/>
              <w:rPr>
                <w:rFonts w:ascii="Calibri" w:eastAsia="Times New Roman" w:hAnsi="Calibri" w:cs="Arial"/>
                <w:sz w:val="20"/>
                <w:szCs w:val="20"/>
              </w:rPr>
            </w:pPr>
            <w:r>
              <w:rPr>
                <w:rFonts w:ascii="Calibri" w:eastAsia="Times New Roman" w:hAnsi="Calibri" w:cs="Arial"/>
                <w:sz w:val="20"/>
                <w:szCs w:val="20"/>
              </w:rPr>
              <w:t>1,675</w:t>
            </w:r>
          </w:p>
        </w:tc>
        <w:tc>
          <w:tcPr>
            <w:tcW w:w="1440" w:type="dxa"/>
            <w:tcBorders>
              <w:top w:val="single" w:sz="4" w:space="0" w:color="auto"/>
              <w:left w:val="nil"/>
              <w:bottom w:val="single" w:sz="4" w:space="0" w:color="auto"/>
              <w:right w:val="single" w:sz="4" w:space="0" w:color="auto"/>
            </w:tcBorders>
            <w:vAlign w:val="center"/>
          </w:tcPr>
          <w:p w:rsidR="00AB5A16" w:rsidRPr="00C94481" w:rsidP="001A1672" w14:paraId="091D61F2" w14:textId="40695675">
            <w:pPr>
              <w:spacing w:after="0" w:line="240" w:lineRule="auto"/>
              <w:jc w:val="right"/>
              <w:rPr>
                <w:rFonts w:ascii="Calibri" w:eastAsia="Times New Roman" w:hAnsi="Calibri" w:cs="Arial"/>
                <w:sz w:val="20"/>
                <w:szCs w:val="20"/>
              </w:rPr>
            </w:pPr>
            <w:r>
              <w:rPr>
                <w:rFonts w:ascii="Calibri" w:eastAsia="Times New Roman" w:hAnsi="Calibri" w:cs="Arial"/>
                <w:sz w:val="20"/>
                <w:szCs w:val="20"/>
              </w:rPr>
              <w:t>1,721</w:t>
            </w:r>
          </w:p>
        </w:tc>
        <w:tc>
          <w:tcPr>
            <w:tcW w:w="1440" w:type="dxa"/>
            <w:tcBorders>
              <w:top w:val="single" w:sz="4" w:space="0" w:color="auto"/>
              <w:left w:val="nil"/>
              <w:bottom w:val="single" w:sz="4" w:space="0" w:color="auto"/>
              <w:right w:val="single" w:sz="4" w:space="0" w:color="auto"/>
            </w:tcBorders>
            <w:vAlign w:val="center"/>
          </w:tcPr>
          <w:p w:rsidR="00AB5A16" w:rsidRPr="00C94481" w:rsidP="001A1672" w14:paraId="474335BD" w14:textId="77E94351">
            <w:pPr>
              <w:spacing w:after="0" w:line="240" w:lineRule="auto"/>
              <w:jc w:val="right"/>
              <w:rPr>
                <w:rFonts w:ascii="Calibri" w:eastAsia="Times New Roman" w:hAnsi="Calibri" w:cs="Arial"/>
                <w:sz w:val="20"/>
                <w:szCs w:val="20"/>
              </w:rPr>
            </w:pPr>
            <w:r>
              <w:rPr>
                <w:rFonts w:ascii="Calibri" w:eastAsia="Times New Roman" w:hAnsi="Calibri" w:cs="Arial"/>
                <w:sz w:val="20"/>
                <w:szCs w:val="20"/>
              </w:rPr>
              <w:t>+46</w:t>
            </w:r>
          </w:p>
        </w:tc>
      </w:tr>
      <w:tr w14:paraId="35EC0622" w14:textId="77777777" w:rsidTr="00E50CF4">
        <w:tblPrEx>
          <w:tblW w:w="10350" w:type="dxa"/>
          <w:tblLayout w:type="fixed"/>
          <w:tblCellMar>
            <w:left w:w="115" w:type="dxa"/>
            <w:right w:w="115" w:type="dxa"/>
          </w:tblCellMar>
          <w:tblLook w:val="04A0"/>
        </w:tblPrEx>
        <w:trPr>
          <w:trHeight w:val="8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AB5A16" w:rsidRPr="00C94481" w:rsidP="001A1672" w14:paraId="5774F668" w14:textId="141D299E">
            <w:pPr>
              <w:spacing w:after="0" w:line="240" w:lineRule="auto"/>
              <w:rPr>
                <w:rFonts w:ascii="Calibri" w:eastAsia="Times New Roman" w:hAnsi="Calibri" w:cs="Arial"/>
                <w:sz w:val="20"/>
                <w:szCs w:val="20"/>
              </w:rPr>
            </w:pPr>
            <w:r w:rsidRPr="00581EDB">
              <w:rPr>
                <w:rFonts w:ascii="Calibri" w:eastAsia="Times New Roman" w:hAnsi="Calibri" w:cs="Arial"/>
                <w:sz w:val="20"/>
                <w:szCs w:val="20"/>
              </w:rPr>
              <w:t xml:space="preserve">970.5227-2, </w:t>
            </w:r>
            <w:r w:rsidRPr="00E50CF4">
              <w:rPr>
                <w:rFonts w:ascii="Calibri" w:eastAsia="Times New Roman" w:hAnsi="Calibri" w:cs="Arial"/>
                <w:i/>
                <w:iCs/>
                <w:sz w:val="20"/>
                <w:szCs w:val="20"/>
              </w:rPr>
              <w:t>Rights in data-technology transfer.</w:t>
            </w:r>
          </w:p>
        </w:tc>
        <w:tc>
          <w:tcPr>
            <w:tcW w:w="1368"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3D1DCA66" w14:textId="17294255">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53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3AEA83FF" w14:textId="65CBFABB">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51D6986A" w14:textId="0814756D">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AB5A16" w:rsidRPr="00C94481" w:rsidP="001A1672" w14:paraId="30A1FEFD" w14:textId="0E89EB08">
            <w:pPr>
              <w:spacing w:after="0" w:line="240" w:lineRule="auto"/>
              <w:jc w:val="right"/>
              <w:rPr>
                <w:rFonts w:ascii="Calibri" w:eastAsia="Times New Roman" w:hAnsi="Calibri" w:cs="Arial"/>
                <w:sz w:val="20"/>
                <w:szCs w:val="20"/>
              </w:rPr>
            </w:pPr>
            <w:r>
              <w:rPr>
                <w:rFonts w:ascii="Calibri" w:eastAsia="Times New Roman" w:hAnsi="Calibri" w:cs="Arial"/>
                <w:sz w:val="20"/>
                <w:szCs w:val="20"/>
              </w:rPr>
              <w:t>1,675</w:t>
            </w:r>
          </w:p>
        </w:tc>
        <w:tc>
          <w:tcPr>
            <w:tcW w:w="1440" w:type="dxa"/>
            <w:tcBorders>
              <w:top w:val="single" w:sz="4" w:space="0" w:color="auto"/>
              <w:left w:val="nil"/>
              <w:bottom w:val="single" w:sz="4" w:space="0" w:color="auto"/>
              <w:right w:val="single" w:sz="4" w:space="0" w:color="auto"/>
            </w:tcBorders>
            <w:vAlign w:val="center"/>
          </w:tcPr>
          <w:p w:rsidR="00AB5A16" w:rsidRPr="00C94481" w:rsidP="001A1672" w14:paraId="51BFF9A4" w14:textId="2DCC7A73">
            <w:pPr>
              <w:spacing w:after="0" w:line="240" w:lineRule="auto"/>
              <w:jc w:val="right"/>
              <w:rPr>
                <w:rFonts w:ascii="Calibri" w:eastAsia="Times New Roman" w:hAnsi="Calibri" w:cs="Arial"/>
                <w:sz w:val="20"/>
                <w:szCs w:val="20"/>
              </w:rPr>
            </w:pPr>
            <w:r w:rsidRPr="006E1B57">
              <w:rPr>
                <w:rFonts w:ascii="Calibri" w:eastAsia="Times New Roman" w:hAnsi="Calibri" w:cs="Arial"/>
                <w:sz w:val="20"/>
                <w:szCs w:val="20"/>
              </w:rPr>
              <w:t>1,679</w:t>
            </w:r>
          </w:p>
        </w:tc>
        <w:tc>
          <w:tcPr>
            <w:tcW w:w="1440" w:type="dxa"/>
            <w:tcBorders>
              <w:top w:val="single" w:sz="4" w:space="0" w:color="auto"/>
              <w:left w:val="nil"/>
              <w:bottom w:val="single" w:sz="4" w:space="0" w:color="auto"/>
              <w:right w:val="single" w:sz="4" w:space="0" w:color="auto"/>
            </w:tcBorders>
            <w:vAlign w:val="center"/>
          </w:tcPr>
          <w:p w:rsidR="00AB5A16" w:rsidRPr="00C94481" w:rsidP="001A1672" w14:paraId="4CD8D83A" w14:textId="718D7EBD">
            <w:pPr>
              <w:spacing w:after="0" w:line="240" w:lineRule="auto"/>
              <w:jc w:val="right"/>
              <w:rPr>
                <w:rFonts w:ascii="Calibri" w:eastAsia="Times New Roman" w:hAnsi="Calibri" w:cs="Arial"/>
                <w:sz w:val="20"/>
                <w:szCs w:val="20"/>
              </w:rPr>
            </w:pPr>
            <w:r>
              <w:rPr>
                <w:rFonts w:ascii="Calibri" w:eastAsia="Times New Roman" w:hAnsi="Calibri" w:cs="Arial"/>
                <w:sz w:val="20"/>
                <w:szCs w:val="20"/>
              </w:rPr>
              <w:t>+4</w:t>
            </w:r>
          </w:p>
        </w:tc>
      </w:tr>
      <w:tr w14:paraId="6A1410D7" w14:textId="77777777" w:rsidTr="00E50CF4">
        <w:tblPrEx>
          <w:tblW w:w="10350" w:type="dxa"/>
          <w:tblLayout w:type="fixed"/>
          <w:tblCellMar>
            <w:left w:w="115" w:type="dxa"/>
            <w:right w:w="115" w:type="dxa"/>
          </w:tblCellMar>
          <w:tblLook w:val="04A0"/>
        </w:tblPrEx>
        <w:trPr>
          <w:trHeight w:val="8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31112" w:rsidRPr="00C94481" w:rsidP="001A1672" w14:paraId="22F7E33A" w14:textId="29E532C6">
            <w:pPr>
              <w:spacing w:after="0" w:line="240" w:lineRule="auto"/>
              <w:rPr>
                <w:rFonts w:ascii="Calibri" w:eastAsia="Times New Roman" w:hAnsi="Calibri" w:cs="Arial"/>
                <w:sz w:val="20"/>
                <w:szCs w:val="20"/>
              </w:rPr>
            </w:pPr>
            <w:r w:rsidRPr="00B27DD7">
              <w:rPr>
                <w:rFonts w:ascii="Calibri" w:eastAsia="Times New Roman" w:hAnsi="Calibri" w:cs="Arial"/>
                <w:sz w:val="20"/>
                <w:szCs w:val="20"/>
              </w:rPr>
              <w:t xml:space="preserve">970.5227-3, </w:t>
            </w:r>
            <w:r w:rsidRPr="00E50CF4">
              <w:rPr>
                <w:rFonts w:ascii="Calibri" w:eastAsia="Times New Roman" w:hAnsi="Calibri" w:cs="Arial"/>
                <w:i/>
                <w:iCs/>
                <w:sz w:val="20"/>
                <w:szCs w:val="20"/>
              </w:rPr>
              <w:t>Technology transfer mission.</w:t>
            </w:r>
          </w:p>
        </w:tc>
        <w:tc>
          <w:tcPr>
            <w:tcW w:w="1368"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1AD4DF4C" w14:textId="5C6D3E80">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53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73871510" w14:textId="01D7818E">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203FF855" w14:textId="18ABC1AB">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51268F8C" w14:textId="30C62919">
            <w:pPr>
              <w:spacing w:after="0" w:line="240" w:lineRule="auto"/>
              <w:jc w:val="right"/>
              <w:rPr>
                <w:rFonts w:ascii="Calibri" w:eastAsia="Times New Roman" w:hAnsi="Calibri" w:cs="Arial"/>
                <w:sz w:val="20"/>
                <w:szCs w:val="20"/>
              </w:rPr>
            </w:pPr>
            <w:r>
              <w:rPr>
                <w:rFonts w:ascii="Calibri" w:eastAsia="Times New Roman" w:hAnsi="Calibri" w:cs="Arial"/>
                <w:sz w:val="20"/>
                <w:szCs w:val="20"/>
              </w:rPr>
              <w:t>1,675</w:t>
            </w:r>
          </w:p>
        </w:tc>
        <w:tc>
          <w:tcPr>
            <w:tcW w:w="1440" w:type="dxa"/>
            <w:tcBorders>
              <w:top w:val="single" w:sz="4" w:space="0" w:color="auto"/>
              <w:left w:val="nil"/>
              <w:bottom w:val="single" w:sz="4" w:space="0" w:color="auto"/>
              <w:right w:val="single" w:sz="4" w:space="0" w:color="auto"/>
            </w:tcBorders>
            <w:vAlign w:val="center"/>
          </w:tcPr>
          <w:p w:rsidR="00B31112" w:rsidRPr="00C94481" w:rsidP="001A1672" w14:paraId="4F5DD051" w14:textId="40342216">
            <w:pPr>
              <w:spacing w:after="0" w:line="240" w:lineRule="auto"/>
              <w:jc w:val="right"/>
              <w:rPr>
                <w:rFonts w:ascii="Calibri" w:eastAsia="Times New Roman" w:hAnsi="Calibri" w:cs="Arial"/>
                <w:sz w:val="20"/>
                <w:szCs w:val="20"/>
              </w:rPr>
            </w:pPr>
            <w:r w:rsidRPr="00825F8D">
              <w:rPr>
                <w:rFonts w:ascii="Calibri" w:eastAsia="Times New Roman" w:hAnsi="Calibri" w:cs="Arial"/>
                <w:sz w:val="20"/>
                <w:szCs w:val="20"/>
              </w:rPr>
              <w:t>1,652</w:t>
            </w:r>
          </w:p>
        </w:tc>
        <w:tc>
          <w:tcPr>
            <w:tcW w:w="1440" w:type="dxa"/>
            <w:tcBorders>
              <w:top w:val="single" w:sz="4" w:space="0" w:color="auto"/>
              <w:left w:val="nil"/>
              <w:bottom w:val="single" w:sz="4" w:space="0" w:color="auto"/>
              <w:right w:val="single" w:sz="4" w:space="0" w:color="auto"/>
            </w:tcBorders>
            <w:vAlign w:val="center"/>
          </w:tcPr>
          <w:p w:rsidR="00B31112" w:rsidRPr="00C94481" w:rsidP="001A1672" w14:paraId="5D0D80D3" w14:textId="48575634">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r>
      <w:tr w14:paraId="4FDCA0FF" w14:textId="77777777" w:rsidTr="00E50CF4">
        <w:tblPrEx>
          <w:tblW w:w="10350" w:type="dxa"/>
          <w:tblLayout w:type="fixed"/>
          <w:tblCellMar>
            <w:left w:w="115" w:type="dxa"/>
            <w:right w:w="115" w:type="dxa"/>
          </w:tblCellMar>
          <w:tblLook w:val="04A0"/>
        </w:tblPrEx>
        <w:trPr>
          <w:trHeight w:val="206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27DD7" w:rsidRPr="00B27DD7" w:rsidP="001A1672" w14:paraId="66883FC9" w14:textId="704CD415">
            <w:pPr>
              <w:spacing w:after="0" w:line="240" w:lineRule="auto"/>
              <w:rPr>
                <w:rFonts w:ascii="Calibri" w:eastAsia="Times New Roman" w:hAnsi="Calibri" w:cs="Arial"/>
                <w:sz w:val="20"/>
                <w:szCs w:val="20"/>
              </w:rPr>
            </w:pPr>
            <w:r w:rsidRPr="002460F7">
              <w:rPr>
                <w:rFonts w:ascii="Calibri" w:eastAsia="Times New Roman" w:hAnsi="Calibri" w:cs="Arial"/>
                <w:sz w:val="20"/>
                <w:szCs w:val="20"/>
              </w:rPr>
              <w:t xml:space="preserve">970.5227-10, </w:t>
            </w:r>
            <w:r w:rsidRPr="00E50CF4">
              <w:rPr>
                <w:rFonts w:ascii="Calibri" w:eastAsia="Times New Roman" w:hAnsi="Calibri" w:cs="Arial"/>
                <w:i/>
                <w:iCs/>
                <w:sz w:val="20"/>
                <w:szCs w:val="20"/>
              </w:rPr>
              <w:t>Patent rights-management and operating contracts, nonprofit organization or small business firm contractor.</w:t>
            </w:r>
          </w:p>
        </w:tc>
        <w:tc>
          <w:tcPr>
            <w:tcW w:w="1368" w:type="dxa"/>
            <w:tcBorders>
              <w:top w:val="single" w:sz="4" w:space="0" w:color="auto"/>
              <w:left w:val="nil"/>
              <w:bottom w:val="single" w:sz="4" w:space="0" w:color="auto"/>
              <w:right w:val="single" w:sz="4" w:space="0" w:color="auto"/>
            </w:tcBorders>
            <w:shd w:val="clear" w:color="auto" w:fill="auto"/>
            <w:vAlign w:val="center"/>
          </w:tcPr>
          <w:p w:rsidR="00B27DD7" w:rsidRPr="00C94481" w:rsidP="001A1672" w14:paraId="1403E3A7" w14:textId="2B459FA8">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530" w:type="dxa"/>
            <w:tcBorders>
              <w:top w:val="single" w:sz="4" w:space="0" w:color="auto"/>
              <w:left w:val="nil"/>
              <w:bottom w:val="single" w:sz="4" w:space="0" w:color="auto"/>
              <w:right w:val="single" w:sz="4" w:space="0" w:color="auto"/>
            </w:tcBorders>
            <w:shd w:val="clear" w:color="auto" w:fill="auto"/>
            <w:vAlign w:val="center"/>
          </w:tcPr>
          <w:p w:rsidR="00B27DD7" w:rsidRPr="00C94481" w:rsidP="001A1672" w14:paraId="74414B24" w14:textId="5733AAA0">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B27DD7" w:rsidRPr="00C94481" w:rsidP="001A1672" w14:paraId="07EC9D3E" w14:textId="7077EFE4">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B27DD7" w:rsidRPr="00C94481" w:rsidP="001A1672" w14:paraId="1B58FC10" w14:textId="08D523AC">
            <w:pPr>
              <w:spacing w:after="0" w:line="240" w:lineRule="auto"/>
              <w:jc w:val="right"/>
              <w:rPr>
                <w:rFonts w:ascii="Calibri" w:eastAsia="Times New Roman" w:hAnsi="Calibri" w:cs="Arial"/>
                <w:sz w:val="20"/>
                <w:szCs w:val="20"/>
              </w:rPr>
            </w:pPr>
            <w:r>
              <w:rPr>
                <w:rFonts w:ascii="Calibri" w:eastAsia="Times New Roman" w:hAnsi="Calibri" w:cs="Arial"/>
                <w:sz w:val="20"/>
                <w:szCs w:val="20"/>
              </w:rPr>
              <w:t>1,675</w:t>
            </w:r>
          </w:p>
        </w:tc>
        <w:tc>
          <w:tcPr>
            <w:tcW w:w="1440" w:type="dxa"/>
            <w:tcBorders>
              <w:top w:val="single" w:sz="4" w:space="0" w:color="auto"/>
              <w:left w:val="nil"/>
              <w:bottom w:val="single" w:sz="4" w:space="0" w:color="auto"/>
              <w:right w:val="single" w:sz="4" w:space="0" w:color="auto"/>
            </w:tcBorders>
            <w:vAlign w:val="center"/>
          </w:tcPr>
          <w:p w:rsidR="00B27DD7" w:rsidRPr="00C94481" w:rsidP="001A1672" w14:paraId="3FCAAF8E" w14:textId="29AB9ED6">
            <w:pPr>
              <w:spacing w:after="0" w:line="240" w:lineRule="auto"/>
              <w:jc w:val="right"/>
              <w:rPr>
                <w:rFonts w:ascii="Calibri" w:eastAsia="Times New Roman" w:hAnsi="Calibri" w:cs="Arial"/>
                <w:sz w:val="20"/>
                <w:szCs w:val="20"/>
              </w:rPr>
            </w:pPr>
            <w:r w:rsidRPr="00AE26AB">
              <w:rPr>
                <w:rFonts w:ascii="Calibri" w:eastAsia="Times New Roman" w:hAnsi="Calibri" w:cs="Arial"/>
                <w:sz w:val="20"/>
                <w:szCs w:val="20"/>
              </w:rPr>
              <w:t>1,721</w:t>
            </w:r>
          </w:p>
        </w:tc>
        <w:tc>
          <w:tcPr>
            <w:tcW w:w="1440" w:type="dxa"/>
            <w:tcBorders>
              <w:top w:val="single" w:sz="4" w:space="0" w:color="auto"/>
              <w:left w:val="nil"/>
              <w:bottom w:val="single" w:sz="4" w:space="0" w:color="auto"/>
              <w:right w:val="single" w:sz="4" w:space="0" w:color="auto"/>
            </w:tcBorders>
            <w:vAlign w:val="center"/>
          </w:tcPr>
          <w:p w:rsidR="00B27DD7" w:rsidRPr="00C94481" w:rsidP="001A1672" w14:paraId="5DBDA7D6" w14:textId="6B93A383">
            <w:pPr>
              <w:spacing w:after="0" w:line="240" w:lineRule="auto"/>
              <w:jc w:val="right"/>
              <w:rPr>
                <w:rFonts w:ascii="Calibri" w:eastAsia="Times New Roman" w:hAnsi="Calibri" w:cs="Arial"/>
                <w:sz w:val="20"/>
                <w:szCs w:val="20"/>
              </w:rPr>
            </w:pPr>
            <w:r>
              <w:rPr>
                <w:rFonts w:ascii="Calibri" w:eastAsia="Times New Roman" w:hAnsi="Calibri" w:cs="Arial"/>
                <w:sz w:val="20"/>
                <w:szCs w:val="20"/>
              </w:rPr>
              <w:t>+46</w:t>
            </w:r>
          </w:p>
        </w:tc>
      </w:tr>
      <w:tr w14:paraId="0AB5F64C" w14:textId="77777777" w:rsidTr="00E50CF4">
        <w:tblPrEx>
          <w:tblW w:w="10350" w:type="dxa"/>
          <w:tblLayout w:type="fixed"/>
          <w:tblCellMar>
            <w:left w:w="115" w:type="dxa"/>
            <w:right w:w="115" w:type="dxa"/>
          </w:tblCellMar>
          <w:tblLook w:val="04A0"/>
        </w:tblPrEx>
        <w:trPr>
          <w:trHeight w:val="179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B31112" w:rsidRPr="00C94481" w:rsidP="001A1672" w14:paraId="1D1DAA20" w14:textId="18F780C6">
            <w:pPr>
              <w:spacing w:after="0" w:line="240" w:lineRule="auto"/>
              <w:rPr>
                <w:rFonts w:ascii="Calibri" w:eastAsia="Times New Roman" w:hAnsi="Calibri" w:cs="Arial"/>
                <w:sz w:val="20"/>
                <w:szCs w:val="20"/>
              </w:rPr>
            </w:pPr>
            <w:r w:rsidRPr="00E50CF4">
              <w:rPr>
                <w:rFonts w:ascii="Calibri" w:eastAsia="Times New Roman" w:hAnsi="Calibri" w:cs="Arial"/>
                <w:sz w:val="20"/>
                <w:szCs w:val="20"/>
              </w:rPr>
              <w:t xml:space="preserve">970.5227-11, </w:t>
            </w:r>
            <w:r w:rsidRPr="00E50CF4">
              <w:rPr>
                <w:rFonts w:ascii="Calibri" w:eastAsia="Times New Roman" w:hAnsi="Calibri" w:cs="Arial"/>
                <w:i/>
                <w:iCs/>
                <w:sz w:val="20"/>
                <w:szCs w:val="20"/>
              </w:rPr>
              <w:t>Patent rights-management and operating contracts, for-profit contractor, non-technology transfer.</w:t>
            </w:r>
          </w:p>
        </w:tc>
        <w:tc>
          <w:tcPr>
            <w:tcW w:w="1368"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1614599B" w14:textId="10493C30">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53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25BE49D4" w14:textId="31A8976E">
            <w:pPr>
              <w:spacing w:after="0" w:line="240" w:lineRule="auto"/>
              <w:jc w:val="right"/>
              <w:rPr>
                <w:rFonts w:ascii="Calibri" w:eastAsia="Times New Roman" w:hAnsi="Calibri" w:cs="Arial"/>
                <w:sz w:val="20"/>
                <w:szCs w:val="20"/>
              </w:rPr>
            </w:pPr>
            <w:r>
              <w:rPr>
                <w:rFonts w:ascii="Calibri" w:eastAsia="Times New Roman" w:hAnsi="Calibri" w:cs="Arial"/>
                <w:sz w:val="20"/>
                <w:szCs w:val="20"/>
              </w:rPr>
              <w:t>23</w:t>
            </w:r>
          </w:p>
        </w:tc>
        <w:tc>
          <w:tcPr>
            <w:tcW w:w="126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10231E8A" w14:textId="44E29DDA">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1440" w:type="dxa"/>
            <w:tcBorders>
              <w:top w:val="single" w:sz="4" w:space="0" w:color="auto"/>
              <w:left w:val="nil"/>
              <w:bottom w:val="single" w:sz="4" w:space="0" w:color="auto"/>
              <w:right w:val="single" w:sz="4" w:space="0" w:color="auto"/>
            </w:tcBorders>
            <w:shd w:val="clear" w:color="auto" w:fill="auto"/>
            <w:vAlign w:val="center"/>
          </w:tcPr>
          <w:p w:rsidR="00B31112" w:rsidRPr="00C94481" w:rsidP="001A1672" w14:paraId="2E57436A" w14:textId="2DFAB6FB">
            <w:pPr>
              <w:spacing w:after="0" w:line="240" w:lineRule="auto"/>
              <w:jc w:val="right"/>
              <w:rPr>
                <w:rFonts w:ascii="Calibri" w:eastAsia="Times New Roman" w:hAnsi="Calibri" w:cs="Arial"/>
                <w:sz w:val="20"/>
                <w:szCs w:val="20"/>
              </w:rPr>
            </w:pPr>
            <w:r>
              <w:rPr>
                <w:rFonts w:ascii="Calibri" w:eastAsia="Times New Roman" w:hAnsi="Calibri" w:cs="Arial"/>
                <w:sz w:val="20"/>
                <w:szCs w:val="20"/>
              </w:rPr>
              <w:t>1,675</w:t>
            </w:r>
          </w:p>
        </w:tc>
        <w:tc>
          <w:tcPr>
            <w:tcW w:w="1440" w:type="dxa"/>
            <w:tcBorders>
              <w:top w:val="single" w:sz="4" w:space="0" w:color="auto"/>
              <w:left w:val="nil"/>
              <w:bottom w:val="single" w:sz="4" w:space="0" w:color="auto"/>
              <w:right w:val="single" w:sz="4" w:space="0" w:color="auto"/>
            </w:tcBorders>
            <w:vAlign w:val="center"/>
          </w:tcPr>
          <w:p w:rsidR="00B31112" w:rsidRPr="00C94481" w:rsidP="001A1672" w14:paraId="64C20496" w14:textId="6C9DB4DB">
            <w:pPr>
              <w:spacing w:after="0" w:line="240" w:lineRule="auto"/>
              <w:jc w:val="right"/>
              <w:rPr>
                <w:rFonts w:ascii="Calibri" w:eastAsia="Times New Roman" w:hAnsi="Calibri" w:cs="Arial"/>
                <w:sz w:val="20"/>
                <w:szCs w:val="20"/>
              </w:rPr>
            </w:pPr>
            <w:r w:rsidRPr="006833F4">
              <w:rPr>
                <w:rFonts w:ascii="Calibri" w:eastAsia="Times New Roman" w:hAnsi="Calibri" w:cs="Arial"/>
                <w:sz w:val="20"/>
                <w:szCs w:val="20"/>
              </w:rPr>
              <w:t>1,679</w:t>
            </w:r>
          </w:p>
        </w:tc>
        <w:tc>
          <w:tcPr>
            <w:tcW w:w="1440" w:type="dxa"/>
            <w:tcBorders>
              <w:top w:val="single" w:sz="4" w:space="0" w:color="auto"/>
              <w:left w:val="nil"/>
              <w:bottom w:val="single" w:sz="4" w:space="0" w:color="auto"/>
              <w:right w:val="single" w:sz="4" w:space="0" w:color="auto"/>
            </w:tcBorders>
            <w:vAlign w:val="center"/>
          </w:tcPr>
          <w:p w:rsidR="00B31112" w:rsidRPr="00C94481" w:rsidP="001A1672" w14:paraId="0236C87C" w14:textId="4E120B12">
            <w:pPr>
              <w:spacing w:after="0" w:line="240" w:lineRule="auto"/>
              <w:jc w:val="right"/>
              <w:rPr>
                <w:rFonts w:ascii="Calibri" w:eastAsia="Times New Roman" w:hAnsi="Calibri" w:cs="Arial"/>
                <w:sz w:val="20"/>
                <w:szCs w:val="20"/>
              </w:rPr>
            </w:pPr>
            <w:r>
              <w:rPr>
                <w:rFonts w:ascii="Calibri" w:eastAsia="Times New Roman" w:hAnsi="Calibri" w:cs="Arial"/>
                <w:sz w:val="20"/>
                <w:szCs w:val="20"/>
              </w:rPr>
              <w:t>+4</w:t>
            </w:r>
          </w:p>
        </w:tc>
      </w:tr>
      <w:tr w14:paraId="41C3FD73" w14:textId="0B83A7DA" w:rsidTr="009B31B2">
        <w:tblPrEx>
          <w:tblW w:w="10350" w:type="dxa"/>
          <w:tblLayout w:type="fixed"/>
          <w:tblCellMar>
            <w:left w:w="115" w:type="dxa"/>
            <w:right w:w="115" w:type="dxa"/>
          </w:tblCellMar>
          <w:tblLook w:val="04A0"/>
        </w:tblPrEx>
        <w:trPr>
          <w:trHeight w:val="5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38466B" w:rsidRPr="00C058F9" w:rsidP="001A1672" w14:paraId="0D94870D" w14:textId="2CE46E9C">
            <w:pPr>
              <w:spacing w:after="0" w:line="240" w:lineRule="auto"/>
              <w:rPr>
                <w:rFonts w:ascii="Calibri" w:eastAsia="Times New Roman" w:hAnsi="Calibri" w:cs="Arial"/>
                <w:b/>
                <w:bCs/>
                <w:sz w:val="20"/>
                <w:szCs w:val="20"/>
              </w:rPr>
            </w:pPr>
            <w:r w:rsidRPr="00C058F9">
              <w:rPr>
                <w:rFonts w:ascii="Calibri" w:eastAsia="Times New Roman" w:hAnsi="Calibri" w:cs="Arial"/>
                <w:b/>
                <w:bCs/>
                <w:sz w:val="20"/>
                <w:szCs w:val="20"/>
              </w:rPr>
              <w:t>Totals</w:t>
            </w:r>
          </w:p>
        </w:tc>
        <w:tc>
          <w:tcPr>
            <w:tcW w:w="1368" w:type="dxa"/>
            <w:tcBorders>
              <w:top w:val="single" w:sz="4" w:space="0" w:color="auto"/>
              <w:left w:val="nil"/>
              <w:bottom w:val="single" w:sz="4" w:space="0" w:color="auto"/>
              <w:right w:val="single" w:sz="4" w:space="0" w:color="auto"/>
            </w:tcBorders>
            <w:shd w:val="clear" w:color="auto" w:fill="auto"/>
            <w:vAlign w:val="center"/>
          </w:tcPr>
          <w:p w:rsidR="0038466B" w:rsidRPr="008C721D" w:rsidP="001A1672" w14:paraId="160DC728" w14:textId="65578A3B">
            <w:pPr>
              <w:spacing w:after="0" w:line="240" w:lineRule="auto"/>
              <w:jc w:val="right"/>
              <w:rPr>
                <w:rFonts w:ascii="Calibri" w:eastAsia="Times New Roman" w:hAnsi="Calibri" w:cs="Arial"/>
                <w:b/>
                <w:bCs/>
                <w:sz w:val="20"/>
                <w:szCs w:val="20"/>
              </w:rPr>
            </w:pPr>
            <w:r w:rsidRPr="008C721D">
              <w:rPr>
                <w:rFonts w:ascii="Calibri" w:eastAsia="Times New Roman" w:hAnsi="Calibri" w:cs="Arial"/>
                <w:b/>
                <w:bCs/>
                <w:sz w:val="20"/>
                <w:szCs w:val="20"/>
              </w:rPr>
              <w:t>182</w:t>
            </w:r>
          </w:p>
        </w:tc>
        <w:tc>
          <w:tcPr>
            <w:tcW w:w="1530" w:type="dxa"/>
            <w:tcBorders>
              <w:top w:val="single" w:sz="4" w:space="0" w:color="auto"/>
              <w:left w:val="nil"/>
              <w:bottom w:val="single" w:sz="4" w:space="0" w:color="auto"/>
              <w:right w:val="single" w:sz="4" w:space="0" w:color="auto"/>
            </w:tcBorders>
            <w:shd w:val="clear" w:color="auto" w:fill="auto"/>
            <w:vAlign w:val="center"/>
          </w:tcPr>
          <w:p w:rsidR="0038466B" w:rsidRPr="008C721D" w:rsidP="001A1672" w14:paraId="299DFD4F" w14:textId="4ECC43EB">
            <w:pPr>
              <w:spacing w:after="0" w:line="240" w:lineRule="auto"/>
              <w:jc w:val="right"/>
              <w:rPr>
                <w:rFonts w:ascii="Calibri" w:eastAsia="Times New Roman" w:hAnsi="Calibri" w:cs="Arial"/>
                <w:b/>
                <w:bCs/>
                <w:sz w:val="20"/>
                <w:szCs w:val="20"/>
              </w:rPr>
            </w:pPr>
            <w:r w:rsidRPr="008C721D">
              <w:rPr>
                <w:rFonts w:ascii="Calibri" w:eastAsia="Times New Roman" w:hAnsi="Calibri" w:cs="Arial"/>
                <w:b/>
                <w:bCs/>
                <w:sz w:val="20"/>
                <w:szCs w:val="20"/>
              </w:rPr>
              <w:t>467</w:t>
            </w:r>
          </w:p>
        </w:tc>
        <w:tc>
          <w:tcPr>
            <w:tcW w:w="1260" w:type="dxa"/>
            <w:tcBorders>
              <w:top w:val="single" w:sz="4" w:space="0" w:color="auto"/>
              <w:left w:val="nil"/>
              <w:bottom w:val="single" w:sz="4" w:space="0" w:color="auto"/>
              <w:right w:val="single" w:sz="4" w:space="0" w:color="auto"/>
            </w:tcBorders>
            <w:shd w:val="clear" w:color="auto" w:fill="auto"/>
            <w:vAlign w:val="center"/>
          </w:tcPr>
          <w:p w:rsidR="0038466B" w:rsidRPr="008C721D" w:rsidP="001A1672" w14:paraId="2D0B86E2" w14:textId="4F7010A3">
            <w:pPr>
              <w:spacing w:after="0" w:line="240" w:lineRule="auto"/>
              <w:jc w:val="right"/>
              <w:rPr>
                <w:rFonts w:ascii="Calibri" w:eastAsia="Times New Roman" w:hAnsi="Calibri" w:cs="Arial"/>
                <w:b/>
                <w:bCs/>
                <w:sz w:val="20"/>
                <w:szCs w:val="20"/>
              </w:rPr>
            </w:pPr>
            <w:r w:rsidRPr="008C721D">
              <w:rPr>
                <w:rFonts w:ascii="Calibri" w:eastAsia="Times New Roman" w:hAnsi="Calibri" w:cs="Arial"/>
                <w:b/>
                <w:bCs/>
                <w:sz w:val="20"/>
                <w:szCs w:val="20"/>
              </w:rPr>
              <w:t>285</w:t>
            </w:r>
          </w:p>
        </w:tc>
        <w:tc>
          <w:tcPr>
            <w:tcW w:w="1440" w:type="dxa"/>
            <w:tcBorders>
              <w:top w:val="single" w:sz="4" w:space="0" w:color="auto"/>
              <w:left w:val="nil"/>
              <w:bottom w:val="single" w:sz="4" w:space="0" w:color="auto"/>
              <w:right w:val="single" w:sz="4" w:space="0" w:color="auto"/>
            </w:tcBorders>
            <w:shd w:val="clear" w:color="auto" w:fill="auto"/>
            <w:vAlign w:val="center"/>
          </w:tcPr>
          <w:p w:rsidR="0038466B" w:rsidRPr="008C721D" w:rsidP="001A1672" w14:paraId="2E425502" w14:textId="381EA636">
            <w:pPr>
              <w:spacing w:after="0" w:line="240" w:lineRule="auto"/>
              <w:jc w:val="right"/>
              <w:rPr>
                <w:rFonts w:ascii="Calibri" w:eastAsia="Times New Roman" w:hAnsi="Calibri" w:cs="Arial"/>
                <w:b/>
                <w:bCs/>
                <w:sz w:val="20"/>
                <w:szCs w:val="20"/>
              </w:rPr>
            </w:pPr>
            <w:r>
              <w:rPr>
                <w:rFonts w:ascii="Calibri" w:eastAsia="Times New Roman" w:hAnsi="Calibri" w:cs="Arial"/>
                <w:b/>
                <w:bCs/>
                <w:sz w:val="20"/>
                <w:szCs w:val="20"/>
              </w:rPr>
              <w:t>188,043</w:t>
            </w:r>
          </w:p>
        </w:tc>
        <w:tc>
          <w:tcPr>
            <w:tcW w:w="1440" w:type="dxa"/>
            <w:tcBorders>
              <w:top w:val="single" w:sz="4" w:space="0" w:color="auto"/>
              <w:left w:val="nil"/>
              <w:bottom w:val="single" w:sz="4" w:space="0" w:color="auto"/>
              <w:right w:val="single" w:sz="4" w:space="0" w:color="auto"/>
            </w:tcBorders>
            <w:vAlign w:val="center"/>
          </w:tcPr>
          <w:p w:rsidR="0038466B" w:rsidRPr="008C721D" w:rsidP="001A1672" w14:paraId="2AE5BFE8" w14:textId="22F809AA">
            <w:pPr>
              <w:spacing w:after="0" w:line="240" w:lineRule="auto"/>
              <w:jc w:val="right"/>
              <w:rPr>
                <w:rFonts w:ascii="Calibri" w:eastAsia="Times New Roman" w:hAnsi="Calibri" w:cs="Arial"/>
                <w:b/>
                <w:bCs/>
                <w:sz w:val="20"/>
                <w:szCs w:val="20"/>
              </w:rPr>
            </w:pPr>
            <w:r>
              <w:rPr>
                <w:rFonts w:ascii="Calibri" w:eastAsia="Times New Roman" w:hAnsi="Calibri" w:cs="Arial"/>
                <w:b/>
                <w:bCs/>
                <w:sz w:val="20"/>
                <w:szCs w:val="20"/>
              </w:rPr>
              <w:t>189</w:t>
            </w:r>
            <w:r w:rsidR="001B0E98">
              <w:rPr>
                <w:rFonts w:ascii="Calibri" w:eastAsia="Times New Roman" w:hAnsi="Calibri" w:cs="Arial"/>
                <w:b/>
                <w:bCs/>
                <w:sz w:val="20"/>
                <w:szCs w:val="20"/>
              </w:rPr>
              <w:t>,017</w:t>
            </w:r>
          </w:p>
        </w:tc>
        <w:tc>
          <w:tcPr>
            <w:tcW w:w="1440" w:type="dxa"/>
            <w:tcBorders>
              <w:top w:val="single" w:sz="4" w:space="0" w:color="auto"/>
              <w:left w:val="nil"/>
              <w:bottom w:val="single" w:sz="4" w:space="0" w:color="auto"/>
              <w:right w:val="single" w:sz="4" w:space="0" w:color="auto"/>
            </w:tcBorders>
            <w:vAlign w:val="center"/>
          </w:tcPr>
          <w:p w:rsidR="0038466B" w:rsidRPr="008C721D" w:rsidP="001A1672" w14:paraId="54CB0C11" w14:textId="351ED719">
            <w:pPr>
              <w:spacing w:after="0" w:line="240" w:lineRule="auto"/>
              <w:jc w:val="right"/>
              <w:rPr>
                <w:rFonts w:ascii="Calibri" w:eastAsia="Times New Roman" w:hAnsi="Calibri" w:cs="Arial"/>
                <w:b/>
                <w:bCs/>
                <w:sz w:val="20"/>
                <w:szCs w:val="20"/>
              </w:rPr>
            </w:pPr>
            <w:r w:rsidRPr="008C721D">
              <w:rPr>
                <w:rFonts w:ascii="Calibri" w:eastAsia="Times New Roman" w:hAnsi="Calibri" w:cs="Arial"/>
                <w:b/>
                <w:bCs/>
                <w:sz w:val="20"/>
                <w:szCs w:val="20"/>
              </w:rPr>
              <w:t>974</w:t>
            </w:r>
          </w:p>
        </w:tc>
      </w:tr>
    </w:tbl>
    <w:p w:rsidR="00B36336" w:rsidRPr="00E21A2C" w:rsidP="00E21A2C" w14:paraId="2FC3A40E" w14:textId="670E1A5A">
      <w:pPr>
        <w:spacing w:before="240"/>
      </w:pPr>
      <w:r>
        <w:t xml:space="preserve">Table A4 shows a summary of </w:t>
      </w:r>
      <w:r w:rsidR="005C26DE">
        <w:t>burden changes associated with this collection.</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3183EDA4"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shd w:val="clear" w:color="auto" w:fill="auto"/>
            <w:noWrap/>
            <w:vAlign w:val="bottom"/>
            <w:hideMark/>
          </w:tcPr>
          <w:p w:rsidR="008A7E5F" w:rsidRPr="00140E19" w:rsidP="000E44D2" w14:paraId="06E24529" w14:textId="6411E209">
            <w:pPr>
              <w:spacing w:before="240" w:line="240" w:lineRule="auto"/>
              <w:jc w:val="center"/>
              <w:rPr>
                <w:rFonts w:eastAsia="Times New Roman" w:cstheme="minorHAnsi"/>
                <w:b/>
                <w:color w:val="0070C0"/>
                <w:sz w:val="28"/>
                <w:szCs w:val="28"/>
              </w:rPr>
            </w:pPr>
            <w:bookmarkStart w:id="21" w:name="_Hlk57385531"/>
            <w:r w:rsidRPr="00140E19">
              <w:rPr>
                <w:rFonts w:cstheme="minorHAnsi"/>
              </w:rPr>
              <w:br w:type="page"/>
            </w:r>
            <w:r w:rsidRPr="00140E19">
              <w:rPr>
                <w:rFonts w:eastAsia="Times New Roman" w:cstheme="minorHAnsi"/>
                <w:b/>
                <w:color w:val="0070C0"/>
                <w:sz w:val="28"/>
                <w:szCs w:val="28"/>
              </w:rPr>
              <w:t>Table A</w:t>
            </w:r>
            <w:r w:rsidR="006F6929">
              <w:rPr>
                <w:rFonts w:eastAsia="Times New Roman" w:cstheme="minorHAnsi"/>
                <w:b/>
                <w:color w:val="0070C0"/>
                <w:sz w:val="28"/>
                <w:szCs w:val="28"/>
              </w:rPr>
              <w:t>4</w:t>
            </w:r>
            <w:r w:rsidRPr="00140E19">
              <w:rPr>
                <w:rFonts w:eastAsia="Times New Roman" w:cstheme="minorHAnsi"/>
                <w:b/>
                <w:color w:val="0070C0"/>
                <w:sz w:val="28"/>
                <w:szCs w:val="28"/>
              </w:rPr>
              <w:t>. ICR Summary of Burden</w:t>
            </w:r>
          </w:p>
        </w:tc>
      </w:tr>
      <w:tr w14:paraId="094BCB55"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2D408BD0"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B42F17" w14:paraId="20407F3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B42F17" w14:paraId="655DDE03"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B42F17" w14:paraId="5D1B024A"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B42F17" w14:paraId="7033AB9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012B505E"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shd w:val="clear" w:color="auto" w:fill="auto"/>
            <w:vAlign w:val="center"/>
            <w:hideMark/>
          </w:tcPr>
          <w:p w:rsidR="008A7E5F" w:rsidRPr="00C94481" w:rsidP="008F16EC" w14:paraId="3BC423F7" w14:textId="77777777">
            <w:pPr>
              <w:spacing w:after="0" w:line="240" w:lineRule="auto"/>
              <w:rPr>
                <w:rFonts w:ascii="Calibri" w:eastAsia="Times New Roman" w:hAnsi="Calibri" w:cs="Arial"/>
                <w:sz w:val="20"/>
                <w:szCs w:val="20"/>
              </w:rPr>
            </w:pPr>
            <w:r w:rsidRPr="00C94481">
              <w:rPr>
                <w:rFonts w:ascii="Calibri" w:eastAsia="Times New Roman" w:hAnsi="Calibri" w:cs="Arial"/>
                <w:sz w:val="20"/>
                <w:szCs w:val="20"/>
              </w:rPr>
              <w:t xml:space="preserve">Total </w:t>
            </w:r>
            <w:r w:rsidRPr="00C94481">
              <w:rPr>
                <w:rFonts w:ascii="Calibri" w:eastAsia="Times New Roman" w:hAnsi="Calibri" w:cs="Arial"/>
                <w:sz w:val="20"/>
                <w:szCs w:val="20"/>
              </w:rPr>
              <w:t>Number of Responses</w:t>
            </w:r>
          </w:p>
        </w:tc>
        <w:tc>
          <w:tcPr>
            <w:tcW w:w="9360" w:type="dxa"/>
            <w:tcBorders>
              <w:top w:val="nil"/>
              <w:left w:val="nil"/>
              <w:bottom w:val="single" w:sz="4" w:space="0" w:color="auto"/>
              <w:right w:val="single" w:sz="4" w:space="0" w:color="auto"/>
            </w:tcBorders>
            <w:shd w:val="clear" w:color="auto" w:fill="auto"/>
            <w:vAlign w:val="center"/>
            <w:hideMark/>
          </w:tcPr>
          <w:p w:rsidR="008A7E5F" w:rsidRPr="00C94481" w:rsidP="00B42F17" w14:paraId="6EA49B63" w14:textId="529C9449">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7</w:t>
            </w:r>
            <w:r w:rsidRPr="00C94481" w:rsidR="000E5A13">
              <w:rPr>
                <w:rFonts w:ascii="Calibri" w:eastAsia="Times New Roman" w:hAnsi="Calibri" w:cs="Arial"/>
                <w:sz w:val="20"/>
                <w:szCs w:val="20"/>
              </w:rPr>
              <w:t>,</w:t>
            </w:r>
            <w:r w:rsidRPr="00C94481">
              <w:rPr>
                <w:rFonts w:ascii="Calibri" w:eastAsia="Times New Roman" w:hAnsi="Calibri" w:cs="Arial"/>
                <w:sz w:val="20"/>
                <w:szCs w:val="20"/>
              </w:rPr>
              <w:t>672</w:t>
            </w:r>
          </w:p>
        </w:tc>
        <w:tc>
          <w:tcPr>
            <w:tcW w:w="9360" w:type="dxa"/>
            <w:tcBorders>
              <w:top w:val="nil"/>
              <w:left w:val="nil"/>
              <w:bottom w:val="single" w:sz="4" w:space="0" w:color="auto"/>
              <w:right w:val="single" w:sz="4" w:space="0" w:color="auto"/>
            </w:tcBorders>
            <w:shd w:val="clear" w:color="auto" w:fill="auto"/>
            <w:vAlign w:val="center"/>
            <w:hideMark/>
          </w:tcPr>
          <w:p w:rsidR="008A7E5F" w:rsidRPr="00C94481" w:rsidP="00B42F17" w14:paraId="3BEA0AF1" w14:textId="4B1A4170">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Pr="00C94481" w:rsidR="002F781D">
              <w:rPr>
                <w:rFonts w:ascii="Calibri" w:eastAsia="Times New Roman" w:hAnsi="Calibri" w:cs="Arial"/>
                <w:sz w:val="20"/>
                <w:szCs w:val="20"/>
              </w:rPr>
              <w:t>285</w:t>
            </w:r>
          </w:p>
        </w:tc>
        <w:tc>
          <w:tcPr>
            <w:tcW w:w="9360" w:type="dxa"/>
            <w:tcBorders>
              <w:top w:val="nil"/>
              <w:left w:val="nil"/>
              <w:bottom w:val="single" w:sz="4" w:space="0" w:color="auto"/>
              <w:right w:val="single" w:sz="4" w:space="0" w:color="auto"/>
            </w:tcBorders>
            <w:shd w:val="clear" w:color="auto" w:fill="auto"/>
            <w:vAlign w:val="center"/>
            <w:hideMark/>
          </w:tcPr>
          <w:p w:rsidR="008A7E5F" w:rsidRPr="00C94481" w:rsidP="00B42F17" w14:paraId="1CB2A1A2" w14:textId="5F703441">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0</w:t>
            </w:r>
          </w:p>
        </w:tc>
        <w:tc>
          <w:tcPr>
            <w:tcW w:w="9360" w:type="dxa"/>
            <w:tcBorders>
              <w:top w:val="nil"/>
              <w:left w:val="nil"/>
              <w:bottom w:val="single" w:sz="4" w:space="0" w:color="auto"/>
              <w:right w:val="single" w:sz="4" w:space="0" w:color="auto"/>
            </w:tcBorders>
            <w:shd w:val="clear" w:color="auto" w:fill="auto"/>
            <w:vAlign w:val="center"/>
            <w:hideMark/>
          </w:tcPr>
          <w:p w:rsidR="008A7E5F" w:rsidRPr="00C94481" w:rsidP="00B42F17" w14:paraId="0BEF94C7" w14:textId="6E917CB9">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7,387</w:t>
            </w:r>
          </w:p>
        </w:tc>
      </w:tr>
      <w:tr w14:paraId="1464B5B9"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7E5F" w:rsidRPr="00C94481" w:rsidP="008F16EC" w14:paraId="75B6D0DB" w14:textId="77777777">
            <w:pPr>
              <w:spacing w:after="0" w:line="240" w:lineRule="auto"/>
              <w:rPr>
                <w:rFonts w:ascii="Calibri" w:eastAsia="Times New Roman" w:hAnsi="Calibri" w:cs="Arial"/>
                <w:sz w:val="20"/>
                <w:szCs w:val="20"/>
              </w:rPr>
            </w:pPr>
            <w:r w:rsidRPr="00C94481">
              <w:rPr>
                <w:rFonts w:ascii="Calibri" w:eastAsia="Times New Roman" w:hAnsi="Calibri" w:cs="Arial"/>
                <w:sz w:val="20"/>
                <w:szCs w:val="20"/>
              </w:rPr>
              <w:t>Tota</w:t>
            </w:r>
            <w:r w:rsidRPr="00C94481">
              <w:rPr>
                <w:rFonts w:ascii="Calibri" w:eastAsia="Times New Roman" w:hAnsi="Calibri" w:cs="Arial"/>
                <w:sz w:val="20"/>
                <w:szCs w:val="20"/>
              </w:rPr>
              <w:t>l Time Burden (Hr)</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C94481" w:rsidP="00B42F17" w14:paraId="01774FEF" w14:textId="5E6AC09D">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667,056</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C94481" w:rsidP="00B42F17" w14:paraId="594231E7" w14:textId="3105EBAD">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Pr="00C94481" w:rsidR="00DB13E8">
              <w:rPr>
                <w:rFonts w:ascii="Calibri" w:eastAsia="Times New Roman" w:hAnsi="Calibri" w:cs="Arial"/>
                <w:sz w:val="20"/>
                <w:szCs w:val="20"/>
              </w:rPr>
              <w:t>974</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C94481" w:rsidP="00B42F17" w14:paraId="5B815FF5" w14:textId="10277830">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hideMark/>
          </w:tcPr>
          <w:p w:rsidR="008A7E5F" w:rsidRPr="00C94481" w:rsidP="00B42F17" w14:paraId="0D4B14AC" w14:textId="553A7B90">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666,082</w:t>
            </w:r>
          </w:p>
        </w:tc>
      </w:tr>
      <w:tr w14:paraId="5D31347B"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shd w:val="clear" w:color="auto" w:fill="auto"/>
            <w:vAlign w:val="center"/>
          </w:tcPr>
          <w:p w:rsidR="00144760" w:rsidRPr="00C94481" w:rsidP="008F16EC" w14:paraId="769C2643" w14:textId="17FA480F">
            <w:pPr>
              <w:spacing w:after="0" w:line="240" w:lineRule="auto"/>
              <w:rPr>
                <w:rFonts w:ascii="Calibri" w:eastAsia="Times New Roman" w:hAnsi="Calibri" w:cs="Arial"/>
                <w:sz w:val="20"/>
                <w:szCs w:val="20"/>
              </w:rPr>
            </w:pPr>
            <w:r w:rsidRPr="00C94481">
              <w:rPr>
                <w:rFonts w:ascii="Calibri" w:eastAsia="Times New Roman" w:hAnsi="Calibri" w:cs="Arial"/>
                <w:sz w:val="20"/>
                <w:szCs w:val="20"/>
              </w:rPr>
              <w:t>Total Cost Burden</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C94481" w:rsidP="00B42F17" w14:paraId="5F74D10C" w14:textId="1E04DF9D">
            <w:pPr>
              <w:spacing w:after="0" w:line="240" w:lineRule="auto"/>
              <w:jc w:val="right"/>
              <w:rPr>
                <w:rFonts w:ascii="Calibri" w:eastAsia="Times New Roman" w:hAnsi="Calibri" w:cs="Arial"/>
                <w:sz w:val="20"/>
                <w:szCs w:val="20"/>
              </w:rPr>
            </w:pPr>
            <w:r w:rsidRPr="003E1905">
              <w:rPr>
                <w:rFonts w:ascii="Calibri" w:eastAsia="Times New Roman" w:hAnsi="Calibri" w:cs="Arial"/>
                <w:sz w:val="20"/>
                <w:szCs w:val="20"/>
              </w:rPr>
              <w:t>$70,844,015</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C94481" w:rsidP="00B42F17" w14:paraId="1F84AB2E" w14:textId="67D54559">
            <w:pPr>
              <w:spacing w:after="0" w:line="240" w:lineRule="auto"/>
              <w:jc w:val="right"/>
              <w:rPr>
                <w:rFonts w:ascii="Calibri" w:eastAsia="Times New Roman" w:hAnsi="Calibri" w:cs="Arial"/>
                <w:sz w:val="20"/>
                <w:szCs w:val="20"/>
              </w:rPr>
            </w:pPr>
            <w:r>
              <w:rPr>
                <w:rFonts w:ascii="Calibri" w:eastAsia="Times New Roman" w:hAnsi="Calibri" w:cs="Arial"/>
                <w:sz w:val="20"/>
                <w:szCs w:val="20"/>
              </w:rPr>
              <w:t>+</w:t>
            </w:r>
            <w:r w:rsidRPr="00837C73" w:rsidR="00837C73">
              <w:rPr>
                <w:rFonts w:ascii="Calibri" w:eastAsia="Times New Roman" w:hAnsi="Calibri" w:cs="Arial"/>
                <w:sz w:val="20"/>
                <w:szCs w:val="20"/>
              </w:rPr>
              <w:t>$12,308,729</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C94481" w:rsidP="00B42F17" w14:paraId="3FA7B3D1" w14:textId="7890A4EE">
            <w:pPr>
              <w:spacing w:after="0" w:line="240" w:lineRule="auto"/>
              <w:jc w:val="right"/>
              <w:rPr>
                <w:rFonts w:ascii="Calibri" w:eastAsia="Times New Roman" w:hAnsi="Calibri" w:cs="Arial"/>
                <w:sz w:val="20"/>
                <w:szCs w:val="20"/>
              </w:rPr>
            </w:pPr>
            <w:r>
              <w:rPr>
                <w:rFonts w:ascii="Calibri" w:eastAsia="Times New Roman" w:hAnsi="Calibri" w:cs="Arial"/>
                <w:sz w:val="20"/>
                <w:szCs w:val="20"/>
              </w:rPr>
              <w:t>0</w:t>
            </w:r>
          </w:p>
        </w:tc>
        <w:tc>
          <w:tcPr>
            <w:tcW w:w="9360" w:type="dxa"/>
            <w:tcBorders>
              <w:top w:val="single" w:sz="4" w:space="0" w:color="auto"/>
              <w:left w:val="nil"/>
              <w:bottom w:val="single" w:sz="4" w:space="0" w:color="auto"/>
              <w:right w:val="single" w:sz="4" w:space="0" w:color="auto"/>
            </w:tcBorders>
            <w:shd w:val="clear" w:color="auto" w:fill="auto"/>
            <w:vAlign w:val="center"/>
          </w:tcPr>
          <w:p w:rsidR="00144760" w:rsidRPr="00C94481" w:rsidP="00B42F17" w14:paraId="1FAA23EE" w14:textId="5BD4C3D8">
            <w:pPr>
              <w:spacing w:after="0" w:line="240" w:lineRule="auto"/>
              <w:jc w:val="right"/>
              <w:rPr>
                <w:rFonts w:ascii="Calibri" w:eastAsia="Times New Roman" w:hAnsi="Calibri" w:cs="Arial"/>
                <w:sz w:val="20"/>
                <w:szCs w:val="20"/>
              </w:rPr>
            </w:pPr>
            <w:r w:rsidRPr="00C94481">
              <w:rPr>
                <w:rFonts w:ascii="Calibri" w:eastAsia="Times New Roman" w:hAnsi="Calibri" w:cs="Arial"/>
                <w:sz w:val="20"/>
                <w:szCs w:val="20"/>
              </w:rPr>
              <w:t>$58,535,286</w:t>
            </w:r>
          </w:p>
        </w:tc>
      </w:tr>
    </w:tbl>
    <w:p w:rsidR="00F056C3" w:rsidP="00F056C3" w14:paraId="66AF5147" w14:textId="1387DDA0">
      <w:pPr>
        <w:pStyle w:val="Heading2"/>
      </w:pPr>
      <w:bookmarkStart w:id="22" w:name="_Toc16271335"/>
      <w:bookmarkEnd w:id="21"/>
      <w:r>
        <w:t>A.</w:t>
      </w:r>
      <w:r w:rsidRPr="00A41763" w:rsidR="00A41763">
        <w:t xml:space="preserve">16. </w:t>
      </w:r>
      <w:r w:rsidRPr="00F056C3">
        <w:t>Collection, Tabulation, and Publication Plans</w:t>
      </w:r>
      <w:bookmarkEnd w:id="22"/>
      <w:r w:rsidRPr="00F056C3">
        <w:t xml:space="preserve"> </w:t>
      </w:r>
    </w:p>
    <w:p w:rsidR="00A41763" w:rsidRPr="00A41763" w:rsidP="00A41763" w14:paraId="6ECE09A6" w14:textId="77777777">
      <w:bookmarkStart w:id="23" w:name="_Hlk57385487"/>
      <w:r w:rsidRPr="00A41763">
        <w:rPr>
          <w:b/>
          <w:bCs/>
        </w:rPr>
        <w:t xml:space="preserve">For collections whose results will be published, outline the plans for tabulation and publication. </w:t>
      </w:r>
    </w:p>
    <w:p w:rsidR="00F056C3" w:rsidP="00A41763" w14:paraId="6A789ECD" w14:textId="61F0F9B7">
      <w:bookmarkStart w:id="24" w:name="_Hlk200368015"/>
      <w:bookmarkEnd w:id="23"/>
      <w:r w:rsidRPr="007326EE">
        <w:t>No</w:t>
      </w:r>
      <w:bookmarkEnd w:id="24"/>
      <w:r w:rsidRPr="007326EE">
        <w:t xml:space="preserve">ne of the information collected is tabulated or published.  The information collected is only used for contract award and administration purposes.  </w:t>
      </w:r>
    </w:p>
    <w:p w:rsidR="00F056C3" w:rsidP="00F056C3" w14:paraId="307114C9" w14:textId="77777777">
      <w:pPr>
        <w:pStyle w:val="Heading2"/>
      </w:pPr>
      <w:bookmarkStart w:id="25" w:name="_Toc16271336"/>
      <w:r>
        <w:t>A.</w:t>
      </w:r>
      <w:r w:rsidRPr="00A41763" w:rsidR="00A41763">
        <w:t xml:space="preserve">17. </w:t>
      </w:r>
      <w:r w:rsidRPr="00F056C3">
        <w:t>OMB Number and Expiration Date</w:t>
      </w:r>
      <w:bookmarkEnd w:id="25"/>
      <w:r w:rsidRPr="00F056C3">
        <w:t xml:space="preserve"> </w:t>
      </w:r>
    </w:p>
    <w:p w:rsidR="00A41763" w:rsidRPr="00A41763" w:rsidP="00A41763" w14:paraId="7D373596" w14:textId="77777777">
      <w:bookmarkStart w:id="26" w:name="_Hlk57385506"/>
      <w:r w:rsidRPr="00A41763">
        <w:rPr>
          <w:b/>
          <w:bCs/>
        </w:rPr>
        <w:t xml:space="preserve">If seeking approval to not display the expiration date for OMB approval of the information collection, explain the reasons why display would be inappropriate. </w:t>
      </w:r>
    </w:p>
    <w:bookmarkEnd w:id="26"/>
    <w:p w:rsidR="00E45AA0" w:rsidP="00E45AA0" w14:paraId="2F232FDF" w14:textId="77777777">
      <w:pPr>
        <w:rPr>
          <w:b/>
          <w:bCs/>
        </w:rPr>
      </w:pPr>
      <w:r>
        <w:t>DOE will display the OMB Control number and expiration date upon OMB’s approval of the information collection.</w:t>
      </w:r>
    </w:p>
    <w:p w:rsidR="00F056C3" w:rsidP="00F056C3" w14:paraId="2939C81A" w14:textId="77777777">
      <w:pPr>
        <w:pStyle w:val="Heading2"/>
      </w:pPr>
      <w:bookmarkStart w:id="27" w:name="_Toc16271337"/>
      <w:r>
        <w:t>A.</w:t>
      </w:r>
      <w:r w:rsidRPr="00A41763" w:rsidR="00A41763">
        <w:t xml:space="preserve">18. </w:t>
      </w:r>
      <w:r w:rsidRPr="00F056C3">
        <w:t>Certification Statement</w:t>
      </w:r>
      <w:bookmarkEnd w:id="27"/>
      <w:r w:rsidRPr="00F056C3">
        <w:t xml:space="preserve"> </w:t>
      </w:r>
    </w:p>
    <w:p w:rsidR="00A41763" w:rsidRPr="00A41763" w:rsidP="00A41763" w14:paraId="28BE5168" w14:textId="77777777">
      <w:bookmarkStart w:id="28" w:name="_Hlk57385515"/>
      <w:r w:rsidRPr="00A41763">
        <w:rPr>
          <w:b/>
          <w:bCs/>
        </w:rPr>
        <w:t xml:space="preserve">Explain each exception to the certification statement identified in Item 19 of OMB Form 83-I. </w:t>
      </w:r>
    </w:p>
    <w:bookmarkEnd w:id="28"/>
    <w:p w:rsidR="00A41763" w:rsidRPr="00A41763" w:rsidP="00AB61C3" w14:paraId="2845D2F5" w14:textId="70B6256C">
      <w:r w:rsidRPr="003F74F2">
        <w:t>The Department is not requesting any exceptions to the Certification Statement.</w:t>
      </w:r>
    </w:p>
    <w:sectPr w:rsidSect="00933D5D">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2A6CDFFA" w14:textId="1ACF65AF">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0439AA">
          <w:t>Supporting Statement for Procurement Requirements</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035783FF"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4F6F7BC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56CEF768"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CF62AC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18230B7E" w14:textId="470430A9">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0439AA">
          <w:t>Supporting Statement for Procurement Requirements</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3394AB6F"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39E8331E"/>
    <w:multiLevelType w:val="hybridMultilevel"/>
    <w:tmpl w:val="9752CD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8">
    <w:nsid w:val="3BE74F2E"/>
    <w:multiLevelType w:val="hybridMultilevel"/>
    <w:tmpl w:val="C63EE3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57CA27D6"/>
    <w:multiLevelType w:val="hybridMultilevel"/>
    <w:tmpl w:val="F210D0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1">
    <w:nsid w:val="74715578"/>
    <w:multiLevelType w:val="hybridMultilevel"/>
    <w:tmpl w:val="3004589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017342010">
    <w:abstractNumId w:val="3"/>
  </w:num>
  <w:num w:numId="2" w16cid:durableId="1199003533">
    <w:abstractNumId w:val="6"/>
  </w:num>
  <w:num w:numId="3" w16cid:durableId="871040176">
    <w:abstractNumId w:val="5"/>
  </w:num>
  <w:num w:numId="4" w16cid:durableId="601844236">
    <w:abstractNumId w:val="4"/>
  </w:num>
  <w:num w:numId="5" w16cid:durableId="1244796483">
    <w:abstractNumId w:val="2"/>
  </w:num>
  <w:num w:numId="6" w16cid:durableId="2130660469">
    <w:abstractNumId w:val="1"/>
  </w:num>
  <w:num w:numId="7" w16cid:durableId="1791894495">
    <w:abstractNumId w:val="0"/>
  </w:num>
  <w:num w:numId="8" w16cid:durableId="551887880">
    <w:abstractNumId w:val="10"/>
  </w:num>
  <w:num w:numId="9" w16cid:durableId="1423184651">
    <w:abstractNumId w:val="9"/>
  </w:num>
  <w:num w:numId="10" w16cid:durableId="888414978">
    <w:abstractNumId w:val="11"/>
  </w:num>
  <w:num w:numId="11" w16cid:durableId="1762487375">
    <w:abstractNumId w:val="8"/>
  </w:num>
  <w:num w:numId="12" w16cid:durableId="79653451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4AF"/>
    <w:rsid w:val="00002473"/>
    <w:rsid w:val="000024FD"/>
    <w:rsid w:val="000028B7"/>
    <w:rsid w:val="0000364C"/>
    <w:rsid w:val="00004135"/>
    <w:rsid w:val="000041A1"/>
    <w:rsid w:val="00004B98"/>
    <w:rsid w:val="000053BB"/>
    <w:rsid w:val="00007894"/>
    <w:rsid w:val="00011A7A"/>
    <w:rsid w:val="00011B3F"/>
    <w:rsid w:val="00013373"/>
    <w:rsid w:val="00013AC6"/>
    <w:rsid w:val="000142E5"/>
    <w:rsid w:val="00014A44"/>
    <w:rsid w:val="00015DA7"/>
    <w:rsid w:val="00016B45"/>
    <w:rsid w:val="00020A48"/>
    <w:rsid w:val="000248CE"/>
    <w:rsid w:val="00024E1E"/>
    <w:rsid w:val="000310D5"/>
    <w:rsid w:val="000339A2"/>
    <w:rsid w:val="00034A4B"/>
    <w:rsid w:val="00036CA7"/>
    <w:rsid w:val="00040485"/>
    <w:rsid w:val="00041909"/>
    <w:rsid w:val="000439AA"/>
    <w:rsid w:val="000457E4"/>
    <w:rsid w:val="00046593"/>
    <w:rsid w:val="000478E3"/>
    <w:rsid w:val="00047C08"/>
    <w:rsid w:val="00047DD2"/>
    <w:rsid w:val="0005401F"/>
    <w:rsid w:val="00055769"/>
    <w:rsid w:val="00056EC3"/>
    <w:rsid w:val="0005721A"/>
    <w:rsid w:val="00062CFE"/>
    <w:rsid w:val="00066B45"/>
    <w:rsid w:val="00070FDD"/>
    <w:rsid w:val="0007129A"/>
    <w:rsid w:val="000724B0"/>
    <w:rsid w:val="00072582"/>
    <w:rsid w:val="00072661"/>
    <w:rsid w:val="00072971"/>
    <w:rsid w:val="00075AB4"/>
    <w:rsid w:val="00080BD7"/>
    <w:rsid w:val="000831C4"/>
    <w:rsid w:val="000844CA"/>
    <w:rsid w:val="00094C68"/>
    <w:rsid w:val="0009507D"/>
    <w:rsid w:val="00095AE6"/>
    <w:rsid w:val="000A5804"/>
    <w:rsid w:val="000A6F86"/>
    <w:rsid w:val="000A7DAE"/>
    <w:rsid w:val="000B3FBE"/>
    <w:rsid w:val="000B43BF"/>
    <w:rsid w:val="000C0448"/>
    <w:rsid w:val="000C28E1"/>
    <w:rsid w:val="000C2E8C"/>
    <w:rsid w:val="000C4542"/>
    <w:rsid w:val="000C5311"/>
    <w:rsid w:val="000D1B48"/>
    <w:rsid w:val="000D6DB5"/>
    <w:rsid w:val="000E14A0"/>
    <w:rsid w:val="000E4009"/>
    <w:rsid w:val="000E44D2"/>
    <w:rsid w:val="000E5A13"/>
    <w:rsid w:val="000F040A"/>
    <w:rsid w:val="000F236C"/>
    <w:rsid w:val="000F7623"/>
    <w:rsid w:val="000F7D3F"/>
    <w:rsid w:val="00100A8F"/>
    <w:rsid w:val="00102D8E"/>
    <w:rsid w:val="001034E8"/>
    <w:rsid w:val="0010677B"/>
    <w:rsid w:val="00110F4E"/>
    <w:rsid w:val="00112A69"/>
    <w:rsid w:val="00112DA9"/>
    <w:rsid w:val="00114CB4"/>
    <w:rsid w:val="0011541D"/>
    <w:rsid w:val="00115A32"/>
    <w:rsid w:val="0011635E"/>
    <w:rsid w:val="001179C5"/>
    <w:rsid w:val="00123D76"/>
    <w:rsid w:val="0013097C"/>
    <w:rsid w:val="00132F4A"/>
    <w:rsid w:val="00137591"/>
    <w:rsid w:val="00140E19"/>
    <w:rsid w:val="00142CC7"/>
    <w:rsid w:val="00144760"/>
    <w:rsid w:val="00145F63"/>
    <w:rsid w:val="00151DF6"/>
    <w:rsid w:val="00152634"/>
    <w:rsid w:val="001527D3"/>
    <w:rsid w:val="00153DF7"/>
    <w:rsid w:val="00154192"/>
    <w:rsid w:val="0015539E"/>
    <w:rsid w:val="00157F5A"/>
    <w:rsid w:val="00160676"/>
    <w:rsid w:val="00160BC8"/>
    <w:rsid w:val="0016473B"/>
    <w:rsid w:val="00167425"/>
    <w:rsid w:val="00174CA2"/>
    <w:rsid w:val="001807A3"/>
    <w:rsid w:val="00180CAF"/>
    <w:rsid w:val="001822B3"/>
    <w:rsid w:val="00184A76"/>
    <w:rsid w:val="001918BF"/>
    <w:rsid w:val="00192447"/>
    <w:rsid w:val="001947D5"/>
    <w:rsid w:val="00195220"/>
    <w:rsid w:val="0019693E"/>
    <w:rsid w:val="00196CA9"/>
    <w:rsid w:val="00197242"/>
    <w:rsid w:val="001975B7"/>
    <w:rsid w:val="00197EC4"/>
    <w:rsid w:val="001A15A5"/>
    <w:rsid w:val="001A1672"/>
    <w:rsid w:val="001A6E1E"/>
    <w:rsid w:val="001A6E9A"/>
    <w:rsid w:val="001B0E69"/>
    <w:rsid w:val="001B0E98"/>
    <w:rsid w:val="001B6530"/>
    <w:rsid w:val="001B6585"/>
    <w:rsid w:val="001B71E9"/>
    <w:rsid w:val="001D03A8"/>
    <w:rsid w:val="001D13C3"/>
    <w:rsid w:val="001D6230"/>
    <w:rsid w:val="001E1500"/>
    <w:rsid w:val="001E35E5"/>
    <w:rsid w:val="001E451E"/>
    <w:rsid w:val="001E49C1"/>
    <w:rsid w:val="001E6507"/>
    <w:rsid w:val="001F361A"/>
    <w:rsid w:val="001F3A8F"/>
    <w:rsid w:val="001F3B79"/>
    <w:rsid w:val="001F69AB"/>
    <w:rsid w:val="002008B4"/>
    <w:rsid w:val="00201F24"/>
    <w:rsid w:val="00204899"/>
    <w:rsid w:val="002067F7"/>
    <w:rsid w:val="0020791D"/>
    <w:rsid w:val="002127CE"/>
    <w:rsid w:val="00214ED8"/>
    <w:rsid w:val="00215842"/>
    <w:rsid w:val="0021596D"/>
    <w:rsid w:val="002164A1"/>
    <w:rsid w:val="00217B6F"/>
    <w:rsid w:val="002207DF"/>
    <w:rsid w:val="00221AC2"/>
    <w:rsid w:val="00227CCB"/>
    <w:rsid w:val="00227E4B"/>
    <w:rsid w:val="00230021"/>
    <w:rsid w:val="0023015A"/>
    <w:rsid w:val="00231A30"/>
    <w:rsid w:val="00232A67"/>
    <w:rsid w:val="0023415E"/>
    <w:rsid w:val="0023708A"/>
    <w:rsid w:val="002401B3"/>
    <w:rsid w:val="00240CA7"/>
    <w:rsid w:val="00241693"/>
    <w:rsid w:val="0024328A"/>
    <w:rsid w:val="002447B0"/>
    <w:rsid w:val="002460F7"/>
    <w:rsid w:val="0025022D"/>
    <w:rsid w:val="00252B03"/>
    <w:rsid w:val="002530BB"/>
    <w:rsid w:val="00253E41"/>
    <w:rsid w:val="002556F3"/>
    <w:rsid w:val="00257462"/>
    <w:rsid w:val="00257BFB"/>
    <w:rsid w:val="00260EDF"/>
    <w:rsid w:val="00262FDB"/>
    <w:rsid w:val="00264148"/>
    <w:rsid w:val="00264F7F"/>
    <w:rsid w:val="002722D9"/>
    <w:rsid w:val="00273E41"/>
    <w:rsid w:val="00274179"/>
    <w:rsid w:val="00275E21"/>
    <w:rsid w:val="00283C26"/>
    <w:rsid w:val="00283DF1"/>
    <w:rsid w:val="002846AA"/>
    <w:rsid w:val="002850F3"/>
    <w:rsid w:val="002902B7"/>
    <w:rsid w:val="0029153E"/>
    <w:rsid w:val="00292832"/>
    <w:rsid w:val="00292E86"/>
    <w:rsid w:val="00295573"/>
    <w:rsid w:val="0029726F"/>
    <w:rsid w:val="002A2159"/>
    <w:rsid w:val="002A407E"/>
    <w:rsid w:val="002A6357"/>
    <w:rsid w:val="002A7A7F"/>
    <w:rsid w:val="002B0FD2"/>
    <w:rsid w:val="002B6B9D"/>
    <w:rsid w:val="002B7D14"/>
    <w:rsid w:val="002C33A4"/>
    <w:rsid w:val="002C378C"/>
    <w:rsid w:val="002C51F3"/>
    <w:rsid w:val="002C5943"/>
    <w:rsid w:val="002D1B49"/>
    <w:rsid w:val="002D4270"/>
    <w:rsid w:val="002D442F"/>
    <w:rsid w:val="002D69F5"/>
    <w:rsid w:val="002D6B47"/>
    <w:rsid w:val="002E2A96"/>
    <w:rsid w:val="002E3FD5"/>
    <w:rsid w:val="002E4FAD"/>
    <w:rsid w:val="002E5240"/>
    <w:rsid w:val="002E6C02"/>
    <w:rsid w:val="002E77F8"/>
    <w:rsid w:val="002E7A38"/>
    <w:rsid w:val="002F5C34"/>
    <w:rsid w:val="002F781D"/>
    <w:rsid w:val="00304F47"/>
    <w:rsid w:val="00306516"/>
    <w:rsid w:val="00311584"/>
    <w:rsid w:val="003126F7"/>
    <w:rsid w:val="00316964"/>
    <w:rsid w:val="003201E4"/>
    <w:rsid w:val="00321388"/>
    <w:rsid w:val="00324979"/>
    <w:rsid w:val="00326BAF"/>
    <w:rsid w:val="0033010E"/>
    <w:rsid w:val="003328C9"/>
    <w:rsid w:val="0033486A"/>
    <w:rsid w:val="0033780B"/>
    <w:rsid w:val="00340723"/>
    <w:rsid w:val="00343C00"/>
    <w:rsid w:val="00343EBC"/>
    <w:rsid w:val="003469CB"/>
    <w:rsid w:val="00347A84"/>
    <w:rsid w:val="00350AA6"/>
    <w:rsid w:val="00350C8B"/>
    <w:rsid w:val="00351313"/>
    <w:rsid w:val="00351A73"/>
    <w:rsid w:val="0035350A"/>
    <w:rsid w:val="00363331"/>
    <w:rsid w:val="003638C4"/>
    <w:rsid w:val="00371E14"/>
    <w:rsid w:val="00373208"/>
    <w:rsid w:val="0037417F"/>
    <w:rsid w:val="00376A29"/>
    <w:rsid w:val="00382BAB"/>
    <w:rsid w:val="00383DB3"/>
    <w:rsid w:val="0038466B"/>
    <w:rsid w:val="003854B2"/>
    <w:rsid w:val="00385AE6"/>
    <w:rsid w:val="00387B1F"/>
    <w:rsid w:val="00387C8D"/>
    <w:rsid w:val="0039074A"/>
    <w:rsid w:val="00392DD0"/>
    <w:rsid w:val="00392F1E"/>
    <w:rsid w:val="00392F94"/>
    <w:rsid w:val="003936EA"/>
    <w:rsid w:val="00393EA7"/>
    <w:rsid w:val="00394C7D"/>
    <w:rsid w:val="00396981"/>
    <w:rsid w:val="00396BCB"/>
    <w:rsid w:val="00397825"/>
    <w:rsid w:val="003A07A3"/>
    <w:rsid w:val="003A1073"/>
    <w:rsid w:val="003A10F3"/>
    <w:rsid w:val="003A33F8"/>
    <w:rsid w:val="003A3906"/>
    <w:rsid w:val="003A3CAF"/>
    <w:rsid w:val="003A4366"/>
    <w:rsid w:val="003A4C6C"/>
    <w:rsid w:val="003A68B9"/>
    <w:rsid w:val="003B03A4"/>
    <w:rsid w:val="003B0DFC"/>
    <w:rsid w:val="003B7432"/>
    <w:rsid w:val="003C03EA"/>
    <w:rsid w:val="003C49CF"/>
    <w:rsid w:val="003C690C"/>
    <w:rsid w:val="003D0B73"/>
    <w:rsid w:val="003D1C47"/>
    <w:rsid w:val="003D6680"/>
    <w:rsid w:val="003D7215"/>
    <w:rsid w:val="003D7383"/>
    <w:rsid w:val="003D7678"/>
    <w:rsid w:val="003E1905"/>
    <w:rsid w:val="003E3B1F"/>
    <w:rsid w:val="003E40FA"/>
    <w:rsid w:val="003E78AF"/>
    <w:rsid w:val="003F24ED"/>
    <w:rsid w:val="003F4B69"/>
    <w:rsid w:val="003F529E"/>
    <w:rsid w:val="003F7361"/>
    <w:rsid w:val="003F74F2"/>
    <w:rsid w:val="004001A9"/>
    <w:rsid w:val="00407CCE"/>
    <w:rsid w:val="004108C9"/>
    <w:rsid w:val="00410FCE"/>
    <w:rsid w:val="004114E0"/>
    <w:rsid w:val="00426481"/>
    <w:rsid w:val="00430448"/>
    <w:rsid w:val="004312FA"/>
    <w:rsid w:val="00432966"/>
    <w:rsid w:val="004361DA"/>
    <w:rsid w:val="004364B5"/>
    <w:rsid w:val="004412FC"/>
    <w:rsid w:val="004413E5"/>
    <w:rsid w:val="004416B8"/>
    <w:rsid w:val="00447B0E"/>
    <w:rsid w:val="00450BD0"/>
    <w:rsid w:val="00454E5C"/>
    <w:rsid w:val="00454F96"/>
    <w:rsid w:val="0045608E"/>
    <w:rsid w:val="0045662F"/>
    <w:rsid w:val="00456B11"/>
    <w:rsid w:val="00462D36"/>
    <w:rsid w:val="004636F8"/>
    <w:rsid w:val="00464CCE"/>
    <w:rsid w:val="00466959"/>
    <w:rsid w:val="00474353"/>
    <w:rsid w:val="0047784B"/>
    <w:rsid w:val="00481D55"/>
    <w:rsid w:val="00491489"/>
    <w:rsid w:val="0049318A"/>
    <w:rsid w:val="00493BEC"/>
    <w:rsid w:val="004946F0"/>
    <w:rsid w:val="00495D13"/>
    <w:rsid w:val="00497C2A"/>
    <w:rsid w:val="004A1709"/>
    <w:rsid w:val="004A4062"/>
    <w:rsid w:val="004B1075"/>
    <w:rsid w:val="004B43D2"/>
    <w:rsid w:val="004C02E4"/>
    <w:rsid w:val="004C277B"/>
    <w:rsid w:val="004C33A4"/>
    <w:rsid w:val="004C5651"/>
    <w:rsid w:val="004C62C9"/>
    <w:rsid w:val="004C7BD7"/>
    <w:rsid w:val="004D05FB"/>
    <w:rsid w:val="004D29C7"/>
    <w:rsid w:val="004D2AB9"/>
    <w:rsid w:val="004D4273"/>
    <w:rsid w:val="004D5209"/>
    <w:rsid w:val="004D6FA5"/>
    <w:rsid w:val="004E4A16"/>
    <w:rsid w:val="004E5DFF"/>
    <w:rsid w:val="004F1503"/>
    <w:rsid w:val="004F176A"/>
    <w:rsid w:val="004F29FB"/>
    <w:rsid w:val="004F32B8"/>
    <w:rsid w:val="004F3A14"/>
    <w:rsid w:val="004F7BC8"/>
    <w:rsid w:val="00500A8B"/>
    <w:rsid w:val="00504119"/>
    <w:rsid w:val="005065CF"/>
    <w:rsid w:val="00506BB4"/>
    <w:rsid w:val="0050705F"/>
    <w:rsid w:val="00507937"/>
    <w:rsid w:val="00512AA1"/>
    <w:rsid w:val="00512B35"/>
    <w:rsid w:val="005146C5"/>
    <w:rsid w:val="005170D3"/>
    <w:rsid w:val="005243CA"/>
    <w:rsid w:val="0052493A"/>
    <w:rsid w:val="00526AA2"/>
    <w:rsid w:val="0052731C"/>
    <w:rsid w:val="0052783E"/>
    <w:rsid w:val="00535CAF"/>
    <w:rsid w:val="00536054"/>
    <w:rsid w:val="0053654B"/>
    <w:rsid w:val="00536CE1"/>
    <w:rsid w:val="005370EC"/>
    <w:rsid w:val="00537A91"/>
    <w:rsid w:val="00537F1C"/>
    <w:rsid w:val="0054180D"/>
    <w:rsid w:val="00541E8E"/>
    <w:rsid w:val="005436EE"/>
    <w:rsid w:val="00545C0F"/>
    <w:rsid w:val="00547B53"/>
    <w:rsid w:val="005504A0"/>
    <w:rsid w:val="005515CD"/>
    <w:rsid w:val="005570E7"/>
    <w:rsid w:val="00561362"/>
    <w:rsid w:val="00563C73"/>
    <w:rsid w:val="005653F9"/>
    <w:rsid w:val="00565D8F"/>
    <w:rsid w:val="00571D8F"/>
    <w:rsid w:val="00572807"/>
    <w:rsid w:val="0057367D"/>
    <w:rsid w:val="00581EDB"/>
    <w:rsid w:val="00585BE3"/>
    <w:rsid w:val="00590EC2"/>
    <w:rsid w:val="0059151F"/>
    <w:rsid w:val="00591719"/>
    <w:rsid w:val="0059212D"/>
    <w:rsid w:val="005978E4"/>
    <w:rsid w:val="00597D32"/>
    <w:rsid w:val="005A3D2B"/>
    <w:rsid w:val="005A4C76"/>
    <w:rsid w:val="005B1B48"/>
    <w:rsid w:val="005B21F9"/>
    <w:rsid w:val="005B2B58"/>
    <w:rsid w:val="005B5219"/>
    <w:rsid w:val="005C00FA"/>
    <w:rsid w:val="005C26DE"/>
    <w:rsid w:val="005C2D89"/>
    <w:rsid w:val="005C485B"/>
    <w:rsid w:val="005D101F"/>
    <w:rsid w:val="005D1419"/>
    <w:rsid w:val="005D36CE"/>
    <w:rsid w:val="005D39D7"/>
    <w:rsid w:val="005D5956"/>
    <w:rsid w:val="005D6F63"/>
    <w:rsid w:val="005E0463"/>
    <w:rsid w:val="005E454F"/>
    <w:rsid w:val="005E45FA"/>
    <w:rsid w:val="005E682A"/>
    <w:rsid w:val="005F030F"/>
    <w:rsid w:val="005F3F5E"/>
    <w:rsid w:val="005F4848"/>
    <w:rsid w:val="005F7B96"/>
    <w:rsid w:val="006047EC"/>
    <w:rsid w:val="0061130F"/>
    <w:rsid w:val="00616E46"/>
    <w:rsid w:val="00617920"/>
    <w:rsid w:val="00617C47"/>
    <w:rsid w:val="0062008C"/>
    <w:rsid w:val="00620797"/>
    <w:rsid w:val="00620FDA"/>
    <w:rsid w:val="00624EAA"/>
    <w:rsid w:val="006262CA"/>
    <w:rsid w:val="00626494"/>
    <w:rsid w:val="00627166"/>
    <w:rsid w:val="00627DF3"/>
    <w:rsid w:val="006307AE"/>
    <w:rsid w:val="006321A9"/>
    <w:rsid w:val="00633E76"/>
    <w:rsid w:val="0063754F"/>
    <w:rsid w:val="00640F47"/>
    <w:rsid w:val="00641DE2"/>
    <w:rsid w:val="00642572"/>
    <w:rsid w:val="00643384"/>
    <w:rsid w:val="00650815"/>
    <w:rsid w:val="0065406F"/>
    <w:rsid w:val="006556B3"/>
    <w:rsid w:val="00655B93"/>
    <w:rsid w:val="00655DB3"/>
    <w:rsid w:val="0065644E"/>
    <w:rsid w:val="00656934"/>
    <w:rsid w:val="00663EC4"/>
    <w:rsid w:val="00670B45"/>
    <w:rsid w:val="0067322F"/>
    <w:rsid w:val="0067352E"/>
    <w:rsid w:val="00677C5F"/>
    <w:rsid w:val="00677FA2"/>
    <w:rsid w:val="006833F4"/>
    <w:rsid w:val="00690108"/>
    <w:rsid w:val="0069159C"/>
    <w:rsid w:val="00692960"/>
    <w:rsid w:val="00693863"/>
    <w:rsid w:val="00693F61"/>
    <w:rsid w:val="00693F99"/>
    <w:rsid w:val="006946E2"/>
    <w:rsid w:val="00697AAB"/>
    <w:rsid w:val="006A0BC7"/>
    <w:rsid w:val="006A0E0E"/>
    <w:rsid w:val="006A2A18"/>
    <w:rsid w:val="006A3109"/>
    <w:rsid w:val="006A41B8"/>
    <w:rsid w:val="006A7E85"/>
    <w:rsid w:val="006B7E1D"/>
    <w:rsid w:val="006C0062"/>
    <w:rsid w:val="006C097E"/>
    <w:rsid w:val="006C2DC3"/>
    <w:rsid w:val="006D0439"/>
    <w:rsid w:val="006D42EC"/>
    <w:rsid w:val="006D6C05"/>
    <w:rsid w:val="006D7D13"/>
    <w:rsid w:val="006E1B57"/>
    <w:rsid w:val="006E4E3C"/>
    <w:rsid w:val="006E7206"/>
    <w:rsid w:val="006F0515"/>
    <w:rsid w:val="006F16C0"/>
    <w:rsid w:val="006F3C12"/>
    <w:rsid w:val="006F6929"/>
    <w:rsid w:val="00700492"/>
    <w:rsid w:val="00702327"/>
    <w:rsid w:val="007034DB"/>
    <w:rsid w:val="00703A0C"/>
    <w:rsid w:val="00704B7D"/>
    <w:rsid w:val="00711414"/>
    <w:rsid w:val="00714478"/>
    <w:rsid w:val="00714D6D"/>
    <w:rsid w:val="00716093"/>
    <w:rsid w:val="007175D4"/>
    <w:rsid w:val="00723796"/>
    <w:rsid w:val="00725453"/>
    <w:rsid w:val="00725E40"/>
    <w:rsid w:val="007262CB"/>
    <w:rsid w:val="00730DA0"/>
    <w:rsid w:val="007326EE"/>
    <w:rsid w:val="00733939"/>
    <w:rsid w:val="007346C4"/>
    <w:rsid w:val="00735965"/>
    <w:rsid w:val="00737591"/>
    <w:rsid w:val="007438F2"/>
    <w:rsid w:val="00743930"/>
    <w:rsid w:val="0074403E"/>
    <w:rsid w:val="00750029"/>
    <w:rsid w:val="00750A81"/>
    <w:rsid w:val="00750F42"/>
    <w:rsid w:val="00755C3D"/>
    <w:rsid w:val="007560F2"/>
    <w:rsid w:val="0075711A"/>
    <w:rsid w:val="007576EF"/>
    <w:rsid w:val="007601BE"/>
    <w:rsid w:val="00760677"/>
    <w:rsid w:val="00760CCA"/>
    <w:rsid w:val="007614B1"/>
    <w:rsid w:val="00761C12"/>
    <w:rsid w:val="007627D0"/>
    <w:rsid w:val="0076545D"/>
    <w:rsid w:val="007658BA"/>
    <w:rsid w:val="00776CF4"/>
    <w:rsid w:val="00777E63"/>
    <w:rsid w:val="0078060D"/>
    <w:rsid w:val="00780657"/>
    <w:rsid w:val="00781A77"/>
    <w:rsid w:val="00781E39"/>
    <w:rsid w:val="00783DF7"/>
    <w:rsid w:val="00784F89"/>
    <w:rsid w:val="00786336"/>
    <w:rsid w:val="00792293"/>
    <w:rsid w:val="00794ACC"/>
    <w:rsid w:val="007951D6"/>
    <w:rsid w:val="0079763F"/>
    <w:rsid w:val="00797DB2"/>
    <w:rsid w:val="007A0E7F"/>
    <w:rsid w:val="007A4378"/>
    <w:rsid w:val="007A6ECD"/>
    <w:rsid w:val="007B4101"/>
    <w:rsid w:val="007C1776"/>
    <w:rsid w:val="007C2A4C"/>
    <w:rsid w:val="007C5CE9"/>
    <w:rsid w:val="007D1DF8"/>
    <w:rsid w:val="007D3635"/>
    <w:rsid w:val="007D39CC"/>
    <w:rsid w:val="007D4199"/>
    <w:rsid w:val="007D6457"/>
    <w:rsid w:val="007D6AAF"/>
    <w:rsid w:val="007E29F8"/>
    <w:rsid w:val="007E5A11"/>
    <w:rsid w:val="007E73E6"/>
    <w:rsid w:val="007F07A9"/>
    <w:rsid w:val="007F130E"/>
    <w:rsid w:val="007F1954"/>
    <w:rsid w:val="007F21D7"/>
    <w:rsid w:val="007F2267"/>
    <w:rsid w:val="007F2F35"/>
    <w:rsid w:val="007F2FA7"/>
    <w:rsid w:val="007F341B"/>
    <w:rsid w:val="007F36F7"/>
    <w:rsid w:val="007F6747"/>
    <w:rsid w:val="00802179"/>
    <w:rsid w:val="0080300E"/>
    <w:rsid w:val="00803B10"/>
    <w:rsid w:val="008057F8"/>
    <w:rsid w:val="00810183"/>
    <w:rsid w:val="00811910"/>
    <w:rsid w:val="00812C91"/>
    <w:rsid w:val="00816BBF"/>
    <w:rsid w:val="008213F9"/>
    <w:rsid w:val="00825553"/>
    <w:rsid w:val="00825CAD"/>
    <w:rsid w:val="00825F8D"/>
    <w:rsid w:val="00830107"/>
    <w:rsid w:val="008307E1"/>
    <w:rsid w:val="00831D86"/>
    <w:rsid w:val="00833C35"/>
    <w:rsid w:val="00833EA7"/>
    <w:rsid w:val="00835AB6"/>
    <w:rsid w:val="008361AF"/>
    <w:rsid w:val="00836D62"/>
    <w:rsid w:val="00837C73"/>
    <w:rsid w:val="00840835"/>
    <w:rsid w:val="008444B6"/>
    <w:rsid w:val="00844524"/>
    <w:rsid w:val="008535C9"/>
    <w:rsid w:val="00862D11"/>
    <w:rsid w:val="00867160"/>
    <w:rsid w:val="0087099E"/>
    <w:rsid w:val="008719EC"/>
    <w:rsid w:val="0087205B"/>
    <w:rsid w:val="0087260D"/>
    <w:rsid w:val="00874FB8"/>
    <w:rsid w:val="00875BFC"/>
    <w:rsid w:val="008772B5"/>
    <w:rsid w:val="00877E7B"/>
    <w:rsid w:val="0088476C"/>
    <w:rsid w:val="00886590"/>
    <w:rsid w:val="008904E3"/>
    <w:rsid w:val="00890D83"/>
    <w:rsid w:val="00890DF5"/>
    <w:rsid w:val="00891106"/>
    <w:rsid w:val="00891C47"/>
    <w:rsid w:val="00893D80"/>
    <w:rsid w:val="00895669"/>
    <w:rsid w:val="00897946"/>
    <w:rsid w:val="008A1888"/>
    <w:rsid w:val="008A19F0"/>
    <w:rsid w:val="008A2FFC"/>
    <w:rsid w:val="008A3276"/>
    <w:rsid w:val="008A3447"/>
    <w:rsid w:val="008A4C35"/>
    <w:rsid w:val="008A5F25"/>
    <w:rsid w:val="008A73BC"/>
    <w:rsid w:val="008A7E5F"/>
    <w:rsid w:val="008B06AD"/>
    <w:rsid w:val="008B4B5E"/>
    <w:rsid w:val="008B5EF2"/>
    <w:rsid w:val="008C2ADE"/>
    <w:rsid w:val="008C32EA"/>
    <w:rsid w:val="008C359A"/>
    <w:rsid w:val="008C58FE"/>
    <w:rsid w:val="008C6EF1"/>
    <w:rsid w:val="008C721D"/>
    <w:rsid w:val="008C734C"/>
    <w:rsid w:val="008D2552"/>
    <w:rsid w:val="008D25A9"/>
    <w:rsid w:val="008D6A4E"/>
    <w:rsid w:val="008E38F6"/>
    <w:rsid w:val="008E3A18"/>
    <w:rsid w:val="008E4BF2"/>
    <w:rsid w:val="008F16EC"/>
    <w:rsid w:val="008F4CBD"/>
    <w:rsid w:val="008F63FB"/>
    <w:rsid w:val="008F7961"/>
    <w:rsid w:val="009017AD"/>
    <w:rsid w:val="00901BED"/>
    <w:rsid w:val="00902C69"/>
    <w:rsid w:val="00905735"/>
    <w:rsid w:val="009131B9"/>
    <w:rsid w:val="009132E3"/>
    <w:rsid w:val="0091409C"/>
    <w:rsid w:val="00914FB1"/>
    <w:rsid w:val="009165B5"/>
    <w:rsid w:val="009205FC"/>
    <w:rsid w:val="00922E07"/>
    <w:rsid w:val="0092565C"/>
    <w:rsid w:val="009262B3"/>
    <w:rsid w:val="009313FC"/>
    <w:rsid w:val="00932C7D"/>
    <w:rsid w:val="00933D5D"/>
    <w:rsid w:val="00935805"/>
    <w:rsid w:val="009368F3"/>
    <w:rsid w:val="0094061D"/>
    <w:rsid w:val="0094221E"/>
    <w:rsid w:val="00947C42"/>
    <w:rsid w:val="00950489"/>
    <w:rsid w:val="009528F8"/>
    <w:rsid w:val="009537A3"/>
    <w:rsid w:val="009537B1"/>
    <w:rsid w:val="00957275"/>
    <w:rsid w:val="00957DE9"/>
    <w:rsid w:val="00960690"/>
    <w:rsid w:val="009616F7"/>
    <w:rsid w:val="00962819"/>
    <w:rsid w:val="00965A44"/>
    <w:rsid w:val="00967D7C"/>
    <w:rsid w:val="00970A0E"/>
    <w:rsid w:val="00971C54"/>
    <w:rsid w:val="0097257C"/>
    <w:rsid w:val="0097299A"/>
    <w:rsid w:val="00974AE6"/>
    <w:rsid w:val="0097548D"/>
    <w:rsid w:val="009757AD"/>
    <w:rsid w:val="00980B6A"/>
    <w:rsid w:val="009818F9"/>
    <w:rsid w:val="00984C4B"/>
    <w:rsid w:val="0098618F"/>
    <w:rsid w:val="00987188"/>
    <w:rsid w:val="00987C32"/>
    <w:rsid w:val="00991127"/>
    <w:rsid w:val="00991646"/>
    <w:rsid w:val="0099217F"/>
    <w:rsid w:val="009921D3"/>
    <w:rsid w:val="0099448B"/>
    <w:rsid w:val="00997347"/>
    <w:rsid w:val="009A2CF4"/>
    <w:rsid w:val="009A31C1"/>
    <w:rsid w:val="009A5C4D"/>
    <w:rsid w:val="009B19CE"/>
    <w:rsid w:val="009B31B2"/>
    <w:rsid w:val="009B374D"/>
    <w:rsid w:val="009B5138"/>
    <w:rsid w:val="009B67B9"/>
    <w:rsid w:val="009C14DF"/>
    <w:rsid w:val="009C202F"/>
    <w:rsid w:val="009C2FCE"/>
    <w:rsid w:val="009C39CB"/>
    <w:rsid w:val="009C602B"/>
    <w:rsid w:val="009C77F7"/>
    <w:rsid w:val="009D628A"/>
    <w:rsid w:val="009D71AE"/>
    <w:rsid w:val="009E19E1"/>
    <w:rsid w:val="009E3327"/>
    <w:rsid w:val="009E3D9C"/>
    <w:rsid w:val="009E48F1"/>
    <w:rsid w:val="009E5ABC"/>
    <w:rsid w:val="009E5B9C"/>
    <w:rsid w:val="009E716A"/>
    <w:rsid w:val="009E75B6"/>
    <w:rsid w:val="009F4BDC"/>
    <w:rsid w:val="009F4ED1"/>
    <w:rsid w:val="00A002A6"/>
    <w:rsid w:val="00A00837"/>
    <w:rsid w:val="00A00D71"/>
    <w:rsid w:val="00A00EDF"/>
    <w:rsid w:val="00A06D35"/>
    <w:rsid w:val="00A10BE6"/>
    <w:rsid w:val="00A13BFE"/>
    <w:rsid w:val="00A15721"/>
    <w:rsid w:val="00A22D46"/>
    <w:rsid w:val="00A25880"/>
    <w:rsid w:val="00A26A17"/>
    <w:rsid w:val="00A271BA"/>
    <w:rsid w:val="00A30169"/>
    <w:rsid w:val="00A30800"/>
    <w:rsid w:val="00A312A3"/>
    <w:rsid w:val="00A32552"/>
    <w:rsid w:val="00A33D9F"/>
    <w:rsid w:val="00A36DA2"/>
    <w:rsid w:val="00A37229"/>
    <w:rsid w:val="00A41763"/>
    <w:rsid w:val="00A418C9"/>
    <w:rsid w:val="00A45C62"/>
    <w:rsid w:val="00A4666E"/>
    <w:rsid w:val="00A467DB"/>
    <w:rsid w:val="00A5595A"/>
    <w:rsid w:val="00A6009C"/>
    <w:rsid w:val="00A603C1"/>
    <w:rsid w:val="00A6047E"/>
    <w:rsid w:val="00A6162F"/>
    <w:rsid w:val="00A61FE7"/>
    <w:rsid w:val="00A62755"/>
    <w:rsid w:val="00A62778"/>
    <w:rsid w:val="00A66C81"/>
    <w:rsid w:val="00A71F0F"/>
    <w:rsid w:val="00A72AA8"/>
    <w:rsid w:val="00A742C2"/>
    <w:rsid w:val="00A74C9B"/>
    <w:rsid w:val="00A74D83"/>
    <w:rsid w:val="00A75ED6"/>
    <w:rsid w:val="00A808B4"/>
    <w:rsid w:val="00A861A8"/>
    <w:rsid w:val="00A86CD1"/>
    <w:rsid w:val="00A874E4"/>
    <w:rsid w:val="00A87AC1"/>
    <w:rsid w:val="00A90C57"/>
    <w:rsid w:val="00A93478"/>
    <w:rsid w:val="00A94CCF"/>
    <w:rsid w:val="00A9667E"/>
    <w:rsid w:val="00A97FE7"/>
    <w:rsid w:val="00AA0107"/>
    <w:rsid w:val="00AA3D91"/>
    <w:rsid w:val="00AA3FD0"/>
    <w:rsid w:val="00AA46CA"/>
    <w:rsid w:val="00AA6B02"/>
    <w:rsid w:val="00AA7EFA"/>
    <w:rsid w:val="00AB1A62"/>
    <w:rsid w:val="00AB5A16"/>
    <w:rsid w:val="00AB61B3"/>
    <w:rsid w:val="00AB61C3"/>
    <w:rsid w:val="00AB7111"/>
    <w:rsid w:val="00AC323A"/>
    <w:rsid w:val="00AC546E"/>
    <w:rsid w:val="00AC69E8"/>
    <w:rsid w:val="00AC6D3D"/>
    <w:rsid w:val="00AC78F2"/>
    <w:rsid w:val="00AD0750"/>
    <w:rsid w:val="00AD189A"/>
    <w:rsid w:val="00AD25CF"/>
    <w:rsid w:val="00AD4F00"/>
    <w:rsid w:val="00AD6357"/>
    <w:rsid w:val="00AD7F81"/>
    <w:rsid w:val="00AE26AB"/>
    <w:rsid w:val="00AE35F9"/>
    <w:rsid w:val="00AE4CA9"/>
    <w:rsid w:val="00AE5D82"/>
    <w:rsid w:val="00AE629A"/>
    <w:rsid w:val="00AE67D3"/>
    <w:rsid w:val="00AE6862"/>
    <w:rsid w:val="00AE776D"/>
    <w:rsid w:val="00AF07A2"/>
    <w:rsid w:val="00AF0A62"/>
    <w:rsid w:val="00AF367D"/>
    <w:rsid w:val="00AF45FD"/>
    <w:rsid w:val="00AF5625"/>
    <w:rsid w:val="00B00072"/>
    <w:rsid w:val="00B002EC"/>
    <w:rsid w:val="00B023FB"/>
    <w:rsid w:val="00B048D9"/>
    <w:rsid w:val="00B2386E"/>
    <w:rsid w:val="00B25343"/>
    <w:rsid w:val="00B2751A"/>
    <w:rsid w:val="00B27DD7"/>
    <w:rsid w:val="00B30C0E"/>
    <w:rsid w:val="00B31112"/>
    <w:rsid w:val="00B32D7C"/>
    <w:rsid w:val="00B3394F"/>
    <w:rsid w:val="00B35047"/>
    <w:rsid w:val="00B35E2A"/>
    <w:rsid w:val="00B36336"/>
    <w:rsid w:val="00B4263D"/>
    <w:rsid w:val="00B42F17"/>
    <w:rsid w:val="00B4384F"/>
    <w:rsid w:val="00B43B30"/>
    <w:rsid w:val="00B47990"/>
    <w:rsid w:val="00B5166B"/>
    <w:rsid w:val="00B56F49"/>
    <w:rsid w:val="00B64CA8"/>
    <w:rsid w:val="00B73FAF"/>
    <w:rsid w:val="00B7442A"/>
    <w:rsid w:val="00B80CF2"/>
    <w:rsid w:val="00B90333"/>
    <w:rsid w:val="00B90648"/>
    <w:rsid w:val="00B90F53"/>
    <w:rsid w:val="00B9337E"/>
    <w:rsid w:val="00B952B1"/>
    <w:rsid w:val="00B97002"/>
    <w:rsid w:val="00BA2402"/>
    <w:rsid w:val="00BA3D8E"/>
    <w:rsid w:val="00BA5710"/>
    <w:rsid w:val="00BB017B"/>
    <w:rsid w:val="00BB0427"/>
    <w:rsid w:val="00BB0C2E"/>
    <w:rsid w:val="00BB2F70"/>
    <w:rsid w:val="00BB6CF4"/>
    <w:rsid w:val="00BB7002"/>
    <w:rsid w:val="00BC14C3"/>
    <w:rsid w:val="00BC1ABE"/>
    <w:rsid w:val="00BC1FF0"/>
    <w:rsid w:val="00BC3697"/>
    <w:rsid w:val="00BC7152"/>
    <w:rsid w:val="00BC7FD9"/>
    <w:rsid w:val="00BD1730"/>
    <w:rsid w:val="00BD2F20"/>
    <w:rsid w:val="00BD4ADB"/>
    <w:rsid w:val="00BD4F62"/>
    <w:rsid w:val="00BE2CD7"/>
    <w:rsid w:val="00BE4AFD"/>
    <w:rsid w:val="00BE75B8"/>
    <w:rsid w:val="00BF1CD5"/>
    <w:rsid w:val="00BF2A17"/>
    <w:rsid w:val="00BF2E6E"/>
    <w:rsid w:val="00BF348B"/>
    <w:rsid w:val="00BF3C38"/>
    <w:rsid w:val="00BF3F5C"/>
    <w:rsid w:val="00BF4205"/>
    <w:rsid w:val="00C00590"/>
    <w:rsid w:val="00C04647"/>
    <w:rsid w:val="00C048FE"/>
    <w:rsid w:val="00C058CF"/>
    <w:rsid w:val="00C058F9"/>
    <w:rsid w:val="00C05F03"/>
    <w:rsid w:val="00C12551"/>
    <w:rsid w:val="00C12977"/>
    <w:rsid w:val="00C1390F"/>
    <w:rsid w:val="00C13AB4"/>
    <w:rsid w:val="00C211CD"/>
    <w:rsid w:val="00C23E3A"/>
    <w:rsid w:val="00C25328"/>
    <w:rsid w:val="00C271BF"/>
    <w:rsid w:val="00C329A2"/>
    <w:rsid w:val="00C33755"/>
    <w:rsid w:val="00C3744D"/>
    <w:rsid w:val="00C40D28"/>
    <w:rsid w:val="00C43A84"/>
    <w:rsid w:val="00C50C7D"/>
    <w:rsid w:val="00C50E90"/>
    <w:rsid w:val="00C618CE"/>
    <w:rsid w:val="00C64137"/>
    <w:rsid w:val="00C658E4"/>
    <w:rsid w:val="00C65B9C"/>
    <w:rsid w:val="00C6742C"/>
    <w:rsid w:val="00C674A3"/>
    <w:rsid w:val="00C711A2"/>
    <w:rsid w:val="00C7266E"/>
    <w:rsid w:val="00C74442"/>
    <w:rsid w:val="00C76C66"/>
    <w:rsid w:val="00C82053"/>
    <w:rsid w:val="00C82DF9"/>
    <w:rsid w:val="00C82F5F"/>
    <w:rsid w:val="00C86833"/>
    <w:rsid w:val="00C86C40"/>
    <w:rsid w:val="00C87190"/>
    <w:rsid w:val="00C94481"/>
    <w:rsid w:val="00CA0B36"/>
    <w:rsid w:val="00CA1564"/>
    <w:rsid w:val="00CA5210"/>
    <w:rsid w:val="00CA7C8A"/>
    <w:rsid w:val="00CB180D"/>
    <w:rsid w:val="00CB44E8"/>
    <w:rsid w:val="00CB7978"/>
    <w:rsid w:val="00CC1D12"/>
    <w:rsid w:val="00CC566A"/>
    <w:rsid w:val="00CC6900"/>
    <w:rsid w:val="00CD03ED"/>
    <w:rsid w:val="00CD0CCE"/>
    <w:rsid w:val="00CD32FD"/>
    <w:rsid w:val="00CD347E"/>
    <w:rsid w:val="00CD5C79"/>
    <w:rsid w:val="00CE42E9"/>
    <w:rsid w:val="00CE431B"/>
    <w:rsid w:val="00CF0664"/>
    <w:rsid w:val="00CF6146"/>
    <w:rsid w:val="00CF6A4E"/>
    <w:rsid w:val="00CF6F9C"/>
    <w:rsid w:val="00D001E4"/>
    <w:rsid w:val="00D00AA8"/>
    <w:rsid w:val="00D01BEA"/>
    <w:rsid w:val="00D02778"/>
    <w:rsid w:val="00D029FE"/>
    <w:rsid w:val="00D0575D"/>
    <w:rsid w:val="00D06B8B"/>
    <w:rsid w:val="00D06D9F"/>
    <w:rsid w:val="00D078F1"/>
    <w:rsid w:val="00D12EEB"/>
    <w:rsid w:val="00D13E84"/>
    <w:rsid w:val="00D15702"/>
    <w:rsid w:val="00D15F1D"/>
    <w:rsid w:val="00D17918"/>
    <w:rsid w:val="00D20421"/>
    <w:rsid w:val="00D20E0C"/>
    <w:rsid w:val="00D21FDB"/>
    <w:rsid w:val="00D26E11"/>
    <w:rsid w:val="00D300F4"/>
    <w:rsid w:val="00D3344B"/>
    <w:rsid w:val="00D40175"/>
    <w:rsid w:val="00D40864"/>
    <w:rsid w:val="00D414F0"/>
    <w:rsid w:val="00D42F35"/>
    <w:rsid w:val="00D43CC5"/>
    <w:rsid w:val="00D50FB3"/>
    <w:rsid w:val="00D54635"/>
    <w:rsid w:val="00D55243"/>
    <w:rsid w:val="00D5566A"/>
    <w:rsid w:val="00D55F61"/>
    <w:rsid w:val="00D56FFF"/>
    <w:rsid w:val="00D603A4"/>
    <w:rsid w:val="00D62A29"/>
    <w:rsid w:val="00D62F90"/>
    <w:rsid w:val="00D63E74"/>
    <w:rsid w:val="00D701F6"/>
    <w:rsid w:val="00D715C4"/>
    <w:rsid w:val="00D74972"/>
    <w:rsid w:val="00D76C6C"/>
    <w:rsid w:val="00D854D8"/>
    <w:rsid w:val="00D928FD"/>
    <w:rsid w:val="00D92CF3"/>
    <w:rsid w:val="00D94B05"/>
    <w:rsid w:val="00D95461"/>
    <w:rsid w:val="00D96B53"/>
    <w:rsid w:val="00DA40DC"/>
    <w:rsid w:val="00DA5308"/>
    <w:rsid w:val="00DB13E8"/>
    <w:rsid w:val="00DB382A"/>
    <w:rsid w:val="00DB6FBD"/>
    <w:rsid w:val="00DC0F18"/>
    <w:rsid w:val="00DC2D5B"/>
    <w:rsid w:val="00DC58A2"/>
    <w:rsid w:val="00DC79E3"/>
    <w:rsid w:val="00DD51E1"/>
    <w:rsid w:val="00DD562C"/>
    <w:rsid w:val="00DE2D54"/>
    <w:rsid w:val="00DE4AE0"/>
    <w:rsid w:val="00DE6EB6"/>
    <w:rsid w:val="00DF267B"/>
    <w:rsid w:val="00DF3DA2"/>
    <w:rsid w:val="00DF45C6"/>
    <w:rsid w:val="00DF4AF3"/>
    <w:rsid w:val="00DF736C"/>
    <w:rsid w:val="00E02BB0"/>
    <w:rsid w:val="00E03CE6"/>
    <w:rsid w:val="00E05C61"/>
    <w:rsid w:val="00E06481"/>
    <w:rsid w:val="00E06DB0"/>
    <w:rsid w:val="00E13716"/>
    <w:rsid w:val="00E152AE"/>
    <w:rsid w:val="00E21A2C"/>
    <w:rsid w:val="00E22B9E"/>
    <w:rsid w:val="00E22C6F"/>
    <w:rsid w:val="00E24414"/>
    <w:rsid w:val="00E264FD"/>
    <w:rsid w:val="00E266FF"/>
    <w:rsid w:val="00E27569"/>
    <w:rsid w:val="00E27661"/>
    <w:rsid w:val="00E33E0C"/>
    <w:rsid w:val="00E358B6"/>
    <w:rsid w:val="00E37EC4"/>
    <w:rsid w:val="00E434CC"/>
    <w:rsid w:val="00E45AA0"/>
    <w:rsid w:val="00E46847"/>
    <w:rsid w:val="00E469C1"/>
    <w:rsid w:val="00E47DB3"/>
    <w:rsid w:val="00E509A9"/>
    <w:rsid w:val="00E50A01"/>
    <w:rsid w:val="00E50CF4"/>
    <w:rsid w:val="00E51B75"/>
    <w:rsid w:val="00E51F8B"/>
    <w:rsid w:val="00E5242A"/>
    <w:rsid w:val="00E53398"/>
    <w:rsid w:val="00E53E27"/>
    <w:rsid w:val="00E573BC"/>
    <w:rsid w:val="00E602CE"/>
    <w:rsid w:val="00E6231C"/>
    <w:rsid w:val="00E63D45"/>
    <w:rsid w:val="00E65A9B"/>
    <w:rsid w:val="00E66AE2"/>
    <w:rsid w:val="00E70964"/>
    <w:rsid w:val="00E72715"/>
    <w:rsid w:val="00E740BE"/>
    <w:rsid w:val="00E74DA4"/>
    <w:rsid w:val="00E74E4C"/>
    <w:rsid w:val="00E81B89"/>
    <w:rsid w:val="00E837D3"/>
    <w:rsid w:val="00E91432"/>
    <w:rsid w:val="00E91B5A"/>
    <w:rsid w:val="00E94C61"/>
    <w:rsid w:val="00E94CB8"/>
    <w:rsid w:val="00EA1018"/>
    <w:rsid w:val="00EA3978"/>
    <w:rsid w:val="00EA4E31"/>
    <w:rsid w:val="00EA57F9"/>
    <w:rsid w:val="00EA633A"/>
    <w:rsid w:val="00EA75FE"/>
    <w:rsid w:val="00EB1F7F"/>
    <w:rsid w:val="00EB3651"/>
    <w:rsid w:val="00EB518F"/>
    <w:rsid w:val="00EB5A08"/>
    <w:rsid w:val="00EB75BD"/>
    <w:rsid w:val="00EB7BF6"/>
    <w:rsid w:val="00ED2653"/>
    <w:rsid w:val="00ED345E"/>
    <w:rsid w:val="00ED3647"/>
    <w:rsid w:val="00ED56EE"/>
    <w:rsid w:val="00ED6E45"/>
    <w:rsid w:val="00EE02F1"/>
    <w:rsid w:val="00EE0FC7"/>
    <w:rsid w:val="00EE2CAF"/>
    <w:rsid w:val="00EE43E4"/>
    <w:rsid w:val="00EE6661"/>
    <w:rsid w:val="00EE719C"/>
    <w:rsid w:val="00EE7FA4"/>
    <w:rsid w:val="00EF08FF"/>
    <w:rsid w:val="00EF3E50"/>
    <w:rsid w:val="00EF42ED"/>
    <w:rsid w:val="00F001EA"/>
    <w:rsid w:val="00F021C5"/>
    <w:rsid w:val="00F056C3"/>
    <w:rsid w:val="00F10F2C"/>
    <w:rsid w:val="00F147EC"/>
    <w:rsid w:val="00F15C75"/>
    <w:rsid w:val="00F16B90"/>
    <w:rsid w:val="00F237D5"/>
    <w:rsid w:val="00F23CD2"/>
    <w:rsid w:val="00F24241"/>
    <w:rsid w:val="00F26029"/>
    <w:rsid w:val="00F27ADA"/>
    <w:rsid w:val="00F301AE"/>
    <w:rsid w:val="00F331CC"/>
    <w:rsid w:val="00F34F19"/>
    <w:rsid w:val="00F35DE6"/>
    <w:rsid w:val="00F35F7D"/>
    <w:rsid w:val="00F447F4"/>
    <w:rsid w:val="00F44A21"/>
    <w:rsid w:val="00F54836"/>
    <w:rsid w:val="00F55B3D"/>
    <w:rsid w:val="00F575F0"/>
    <w:rsid w:val="00F61D3A"/>
    <w:rsid w:val="00F625E0"/>
    <w:rsid w:val="00F62DA8"/>
    <w:rsid w:val="00F63D9A"/>
    <w:rsid w:val="00F63FB3"/>
    <w:rsid w:val="00F6664C"/>
    <w:rsid w:val="00F71D47"/>
    <w:rsid w:val="00F71F88"/>
    <w:rsid w:val="00F73806"/>
    <w:rsid w:val="00F750E7"/>
    <w:rsid w:val="00F77E16"/>
    <w:rsid w:val="00F80AF1"/>
    <w:rsid w:val="00F8237F"/>
    <w:rsid w:val="00F824EC"/>
    <w:rsid w:val="00F8298C"/>
    <w:rsid w:val="00F83FA0"/>
    <w:rsid w:val="00F90245"/>
    <w:rsid w:val="00F920D9"/>
    <w:rsid w:val="00F921DF"/>
    <w:rsid w:val="00F92D48"/>
    <w:rsid w:val="00F94345"/>
    <w:rsid w:val="00F94781"/>
    <w:rsid w:val="00F957EB"/>
    <w:rsid w:val="00FA11F8"/>
    <w:rsid w:val="00FA2A9C"/>
    <w:rsid w:val="00FA5388"/>
    <w:rsid w:val="00FB08E3"/>
    <w:rsid w:val="00FB2DBF"/>
    <w:rsid w:val="00FB4312"/>
    <w:rsid w:val="00FB446E"/>
    <w:rsid w:val="00FB6BF3"/>
    <w:rsid w:val="00FC348A"/>
    <w:rsid w:val="00FC62C9"/>
    <w:rsid w:val="00FD043D"/>
    <w:rsid w:val="00FD397B"/>
    <w:rsid w:val="00FD4B01"/>
    <w:rsid w:val="00FD52F2"/>
    <w:rsid w:val="00FD7CDC"/>
    <w:rsid w:val="00FE1DFA"/>
    <w:rsid w:val="00FE2197"/>
    <w:rsid w:val="00FE276D"/>
    <w:rsid w:val="00FE2BCC"/>
    <w:rsid w:val="00FE58E0"/>
    <w:rsid w:val="00FE6748"/>
    <w:rsid w:val="00FE74D0"/>
    <w:rsid w:val="00FF1560"/>
    <w:rsid w:val="00FF589B"/>
    <w:rsid w:val="00FF7EEB"/>
    <w:rsid w:val="02B15C40"/>
    <w:rsid w:val="0913D8C0"/>
    <w:rsid w:val="45DF7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7B241F"/>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3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88476C"/>
    <w:rPr>
      <w:sz w:val="16"/>
      <w:szCs w:val="16"/>
    </w:rPr>
  </w:style>
  <w:style w:type="paragraph" w:styleId="CommentText">
    <w:name w:val="annotation text"/>
    <w:basedOn w:val="Normal"/>
    <w:link w:val="CommentTextChar"/>
    <w:uiPriority w:val="99"/>
    <w:unhideWhenUsed/>
    <w:locked/>
    <w:rsid w:val="0088476C"/>
    <w:pPr>
      <w:spacing w:line="240" w:lineRule="auto"/>
    </w:pPr>
    <w:rPr>
      <w:sz w:val="20"/>
      <w:szCs w:val="20"/>
    </w:rPr>
  </w:style>
  <w:style w:type="character" w:customStyle="1" w:styleId="CommentTextChar">
    <w:name w:val="Comment Text Char"/>
    <w:basedOn w:val="DefaultParagraphFont"/>
    <w:link w:val="CommentText"/>
    <w:uiPriority w:val="99"/>
    <w:rsid w:val="0088476C"/>
    <w:rPr>
      <w:sz w:val="20"/>
      <w:szCs w:val="20"/>
    </w:rPr>
  </w:style>
  <w:style w:type="paragraph" w:styleId="CommentSubject">
    <w:name w:val="annotation subject"/>
    <w:basedOn w:val="CommentText"/>
    <w:next w:val="CommentText"/>
    <w:link w:val="CommentSubjectChar"/>
    <w:uiPriority w:val="99"/>
    <w:semiHidden/>
    <w:unhideWhenUsed/>
    <w:locked/>
    <w:rsid w:val="0088476C"/>
    <w:rPr>
      <w:b/>
      <w:bCs/>
    </w:rPr>
  </w:style>
  <w:style w:type="character" w:customStyle="1" w:styleId="CommentSubjectChar">
    <w:name w:val="Comment Subject Char"/>
    <w:basedOn w:val="CommentTextChar"/>
    <w:link w:val="CommentSubject"/>
    <w:uiPriority w:val="99"/>
    <w:semiHidden/>
    <w:rsid w:val="0088476C"/>
    <w:rPr>
      <w:b/>
      <w:bCs/>
      <w:sz w:val="20"/>
      <w:szCs w:val="20"/>
    </w:rPr>
  </w:style>
  <w:style w:type="character" w:styleId="FollowedHyperlink">
    <w:name w:val="FollowedHyperlink"/>
    <w:basedOn w:val="DefaultParagraphFont"/>
    <w:uiPriority w:val="99"/>
    <w:semiHidden/>
    <w:unhideWhenUsed/>
    <w:locked/>
    <w:rsid w:val="00AC78F2"/>
    <w:rPr>
      <w:color w:val="5D9732" w:themeColor="followedHyperlink"/>
      <w:u w:val="single"/>
    </w:rPr>
  </w:style>
  <w:style w:type="paragraph" w:styleId="Revision">
    <w:name w:val="Revision"/>
    <w:hidden/>
    <w:uiPriority w:val="99"/>
    <w:semiHidden/>
    <w:rsid w:val="00C1390F"/>
    <w:pPr>
      <w:spacing w:after="0"/>
    </w:pPr>
  </w:style>
  <w:style w:type="character" w:styleId="UnresolvedMention">
    <w:name w:val="Unresolved Mention"/>
    <w:basedOn w:val="DefaultParagraphFont"/>
    <w:uiPriority w:val="99"/>
    <w:semiHidden/>
    <w:unhideWhenUsed/>
    <w:rsid w:val="007D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www.ecfr.gov/current/title-48/part-901" TargetMode="External" /><Relationship Id="rId15" Type="http://schemas.openxmlformats.org/officeDocument/2006/relationships/hyperlink" Target="https://www.ecfr.gov/current/title-48/part-952" TargetMode="External" /><Relationship Id="rId16" Type="http://schemas.openxmlformats.org/officeDocument/2006/relationships/hyperlink" Target="https://www.bls.gov/news.release/ecec.t02.htm" TargetMode="External" /><Relationship Id="rId17" Type="http://schemas.openxmlformats.org/officeDocument/2006/relationships/hyperlink" Target="https://www.opm.gov/policy-data-oversight/pay-leave/salaries-wages/2025/general-schedule/" TargetMode="External" /><Relationship Id="rId18" Type="http://schemas.openxmlformats.org/officeDocument/2006/relationships/footer" Target="footer4.xml" /><Relationship Id="rId19" Type="http://schemas.openxmlformats.org/officeDocument/2006/relationships/glossaryDocument" Target="glossary/document.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57E4"/>
    <w:rsid w:val="00045BEE"/>
    <w:rsid w:val="00056F5B"/>
    <w:rsid w:val="0009507D"/>
    <w:rsid w:val="0018542D"/>
    <w:rsid w:val="001D6230"/>
    <w:rsid w:val="00231A30"/>
    <w:rsid w:val="00272FFF"/>
    <w:rsid w:val="00447B0E"/>
    <w:rsid w:val="00474353"/>
    <w:rsid w:val="00556087"/>
    <w:rsid w:val="0056732F"/>
    <w:rsid w:val="005A4C76"/>
    <w:rsid w:val="005E45FA"/>
    <w:rsid w:val="0065501B"/>
    <w:rsid w:val="00655DB3"/>
    <w:rsid w:val="006C3E06"/>
    <w:rsid w:val="00735965"/>
    <w:rsid w:val="00777A4B"/>
    <w:rsid w:val="00792293"/>
    <w:rsid w:val="007C26A2"/>
    <w:rsid w:val="007C6778"/>
    <w:rsid w:val="007D1DF8"/>
    <w:rsid w:val="007F2361"/>
    <w:rsid w:val="00865311"/>
    <w:rsid w:val="008A73BC"/>
    <w:rsid w:val="0097548D"/>
    <w:rsid w:val="009E75B6"/>
    <w:rsid w:val="00A06D35"/>
    <w:rsid w:val="00BF1B2D"/>
    <w:rsid w:val="00C23E3A"/>
    <w:rsid w:val="00D13220"/>
    <w:rsid w:val="00D17918"/>
    <w:rsid w:val="00E07FDF"/>
    <w:rsid w:val="00E936E8"/>
    <w:rsid w:val="00E9746B"/>
    <w:rsid w:val="00F25AB4"/>
    <w:rsid w:val="00F71D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fd2e654f4a3d7f615b75912ceefc8a33">
  <xsd:schema xmlns:xsd="http://www.w3.org/2001/XMLSchema" xmlns:xs="http://www.w3.org/2001/XMLSchema" xmlns:p="http://schemas.microsoft.com/office/2006/metadata/properties" xmlns:ns2="0a20205c-0631-4ff0-81c6-46eee12fe7e9" targetNamespace="http://schemas.microsoft.com/office/2006/metadata/properties" ma:root="true" ma:fieldsID="f4676448daf43add9074127aac7fe14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default="2;#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EC8D8A-88B3-44F5-B51A-045CD29DA95A}">
  <ds:schemaRefs>
    <ds:schemaRef ds:uri="http://schemas.microsoft.com/sharepoint/v3/contenttype/forms"/>
  </ds:schemaRefs>
</ds:datastoreItem>
</file>

<file path=customXml/itemProps3.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4.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a20205c-0631-4ff0-81c6-46eee12fe7e9"/>
  </ds:schemaRefs>
</ds:datastoreItem>
</file>

<file path=customXml/itemProps5.xml><?xml version="1.0" encoding="utf-8"?>
<ds:datastoreItem xmlns:ds="http://schemas.openxmlformats.org/officeDocument/2006/customXml" ds:itemID="{B22C5A2F-6A3A-4C2D-A25B-1B69A1320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975379-ABE8-4B97-9540-EDDA56671B3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19</Pages>
  <Words>6986</Words>
  <Characters>39822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Supporting Statement for Procurement Requirements</vt:lpstr>
    </vt:vector>
  </TitlesOfParts>
  <Company/>
  <LinksUpToDate>false</LinksUpToDate>
  <CharactersWithSpaces>46715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Procurement Requirements</dc:title>
  <dc:subject>Improving the Quality and Scope of EIA Data</dc:subject>
  <dc:creator>Stroud, Lawrence</dc:creator>
  <cp:lastModifiedBy>Csoma, Attila</cp:lastModifiedBy>
  <cp:revision>204</cp:revision>
  <cp:lastPrinted>2011-12-12T20:42:00Z</cp:lastPrinted>
  <dcterms:created xsi:type="dcterms:W3CDTF">2025-06-05T21:18:00Z</dcterms:created>
  <dcterms:modified xsi:type="dcterms:W3CDTF">2025-06-17T16:18:00Z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