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41D4" w:rsidP="009D41D4" w14:paraId="09BA1AAB" w14:textId="7D2634C5">
      <w:pPr>
        <w:pStyle w:val="Heading2"/>
        <w:tabs>
          <w:tab w:val="left" w:pos="900"/>
        </w:tabs>
        <w:ind w:right="-180"/>
        <w:rPr>
          <w:rFonts w:ascii="Times New Roman" w:hAnsi="Times New Roman" w:cs="Times New Roman"/>
          <w:b/>
          <w:sz w:val="24"/>
          <w:szCs w:val="24"/>
        </w:rPr>
      </w:pPr>
      <w:r w:rsidRPr="00EE5735">
        <w:rPr>
          <w:rFonts w:ascii="Times New Roman" w:hAnsi="Times New Roman" w:cs="Times New Roman"/>
          <w:sz w:val="24"/>
          <w:szCs w:val="24"/>
        </w:rPr>
        <w:t>Request for Approval under the “Generic Clearance for Questionnaire Testing and Research” (OMB Control Number: 1905-0186)</w:t>
      </w:r>
    </w:p>
    <w:p w:rsidR="006F7FA6" w:rsidRPr="006F7FA6" w:rsidP="006F7FA6" w14:paraId="0AE61187" w14:textId="77777777"/>
    <w:p w:rsidR="009D41D4" w:rsidRPr="00EE5735" w:rsidP="009D41D4" w14:paraId="439DBD21" w14:textId="77777777">
      <w:pPr>
        <w:pStyle w:val="Heading2"/>
        <w:tabs>
          <w:tab w:val="left" w:pos="900"/>
        </w:tabs>
        <w:ind w:right="-180"/>
        <w:rPr>
          <w:rFonts w:ascii="Times New Roman" w:hAnsi="Times New Roman" w:cs="Times New Roman"/>
          <w:sz w:val="24"/>
          <w:szCs w:val="24"/>
        </w:rPr>
      </w:pPr>
      <w:r w:rsidRPr="00EE5735">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10556749"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E5735">
        <w:rPr>
          <w:rFonts w:ascii="Times New Roman" w:hAnsi="Times New Roman" w:cs="Times New Roman"/>
          <w:sz w:val="24"/>
          <w:szCs w:val="24"/>
        </w:rPr>
        <w:t xml:space="preserve">TITLE OF INFORMATION COLLECTION:  </w:t>
      </w:r>
    </w:p>
    <w:p w:rsidR="009D41D4" w:rsidRPr="007E6415" w:rsidP="133E7019" w14:paraId="7F0D38AC" w14:textId="3CA1E451">
      <w:pPr>
        <w:rPr>
          <w:rFonts w:eastAsiaTheme="majorEastAsia"/>
          <w:b/>
          <w:bCs/>
          <w:color w:val="0F4761" w:themeColor="accent1" w:themeShade="BF"/>
        </w:rPr>
      </w:pPr>
      <w:r w:rsidRPr="133E7019">
        <w:rPr>
          <w:rFonts w:eastAsiaTheme="majorEastAsia"/>
          <w:b/>
          <w:bCs/>
          <w:color w:val="0F4761" w:themeColor="accent1" w:themeShade="BF"/>
        </w:rPr>
        <w:t>Three Field Studies (Cognitive Testing) to Evaluate the Feasibility of Collecting Data on</w:t>
      </w:r>
      <w:r w:rsidRPr="133E7019" w:rsidR="2E5A2217">
        <w:rPr>
          <w:rFonts w:eastAsiaTheme="majorEastAsia"/>
          <w:b/>
          <w:bCs/>
          <w:color w:val="0F4761" w:themeColor="accent1" w:themeShade="BF"/>
        </w:rPr>
        <w:t xml:space="preserve"> Certain Minerals</w:t>
      </w:r>
      <w:r w:rsidRPr="133E7019">
        <w:rPr>
          <w:rFonts w:eastAsiaTheme="majorEastAsia"/>
          <w:b/>
          <w:bCs/>
          <w:color w:val="0F4761" w:themeColor="accent1" w:themeShade="BF"/>
        </w:rPr>
        <w:t xml:space="preserve"> </w:t>
      </w:r>
      <w:r w:rsidRPr="133E7019" w:rsidR="779840CF">
        <w:rPr>
          <w:rFonts w:eastAsiaTheme="majorEastAsia"/>
          <w:b/>
          <w:bCs/>
          <w:color w:val="0F4761" w:themeColor="accent1" w:themeShade="BF"/>
        </w:rPr>
        <w:t>Used in the Energy Sector</w:t>
      </w:r>
    </w:p>
    <w:p w:rsidR="133E7019" w:rsidP="133E7019" w14:paraId="0CCAA970" w14:textId="6B78393F">
      <w:pPr>
        <w:rPr>
          <w:b/>
          <w:bCs/>
        </w:rPr>
      </w:pPr>
    </w:p>
    <w:p w:rsidR="009D41D4" w:rsidRPr="00517343" w:rsidP="009D41D4" w14:paraId="16D5C263" w14:textId="2D4C9332">
      <w:pPr>
        <w:rPr>
          <w:b/>
        </w:rPr>
      </w:pPr>
      <w:r w:rsidRPr="007E6415">
        <w:rPr>
          <w:b/>
        </w:rPr>
        <w:t xml:space="preserve">PURPOSE:  </w:t>
      </w:r>
      <w:r w:rsidRPr="009D41D4">
        <w:t> </w:t>
      </w:r>
    </w:p>
    <w:p w:rsidR="009D41D4" w:rsidRPr="00EE5735" w:rsidP="00EE5735" w14:paraId="02C6BEEB" w14:textId="563E1187">
      <w:r>
        <w:t>Critical minerals are vital for energy technologies, but most critical minerals markets are less transparent than mature energy markets, such as crude oil or coal. Like other energy markets, many supply-side and demand-side factors influence pricing for these energy-relevant critical minerals, but critical minerals supply chains contain numerous data gaps. The lack of transparency in both supply and demand data compounds throughout the supply chains of energy-relevant critical minerals, muting price discovery and complicating in-depth analysis and forecasting. Supply-side factors include timely reserves and production data, price benchmarks</w:t>
      </w:r>
      <w:r w:rsidR="758832A4">
        <w:t>, production cost differences, long project development timelines, byproduct mineral data gaps, and uncertain recycling production. Demand-side factors include inventories and consumption data opacity, product variability,</w:t>
      </w:r>
      <w:r w:rsidR="534D9227">
        <w:t xml:space="preserve"> and</w:t>
      </w:r>
      <w:r w:rsidR="758832A4">
        <w:t xml:space="preserve"> rapid technological innovation</w:t>
      </w:r>
      <w:r w:rsidR="7444205E">
        <w:t>, among others</w:t>
      </w:r>
      <w:r w:rsidR="377B87AD">
        <w:t>.</w:t>
      </w:r>
    </w:p>
    <w:p w:rsidR="009D41D4" w:rsidRPr="00EE5735" w:rsidP="00EE5735" w14:paraId="196A503D" w14:textId="5B6B8CC3"/>
    <w:p w:rsidR="009D41D4" w:rsidRPr="00EE5735" w:rsidP="133E7019" w14:paraId="715788EB" w14:textId="647F9794">
      <w:r>
        <w:t xml:space="preserve">To rectify these data gaps, the </w:t>
      </w:r>
      <w:r w:rsidR="011EC7A9">
        <w:t xml:space="preserve">U.S. </w:t>
      </w:r>
      <w:r>
        <w:t xml:space="preserve">Energy Information Administration </w:t>
      </w:r>
      <w:r w:rsidR="1B519814">
        <w:t xml:space="preserve">(EIA) </w:t>
      </w:r>
      <w:r>
        <w:t xml:space="preserve">requests approval to initiate </w:t>
      </w:r>
      <w:r w:rsidR="710814E9">
        <w:t>field studies</w:t>
      </w:r>
      <w:r w:rsidR="72233B35">
        <w:t xml:space="preserve"> in the United States</w:t>
      </w:r>
      <w:r w:rsidR="710814E9">
        <w:t xml:space="preserve"> on three minerals: graphite, which is used in batteries and advanced manufacturing; vanadium, </w:t>
      </w:r>
      <w:r w:rsidR="0CB5099C">
        <w:t xml:space="preserve">which is extracted in petroleum refining; and zirconium, which is used </w:t>
      </w:r>
      <w:r w:rsidR="403C3A82">
        <w:t>for nuclear fuel cladding.</w:t>
      </w:r>
      <w:r w:rsidR="20E0400C">
        <w:t xml:space="preserve"> </w:t>
      </w:r>
      <w:r w:rsidR="62C03A82">
        <w:t>The proposed field studies, consisting of cognitive interviews and unmoderated interviews, will be used to evaluate the feasibility of collecting data on these three minerals. EIA could modify existing surveys to include questions about such minerals: the Manufacturing Energy Consumption Survey (</w:t>
      </w:r>
      <w:r w:rsidR="62C03A82">
        <w:t>MECS</w:t>
      </w:r>
      <w:r w:rsidR="62C03A82">
        <w:t xml:space="preserve">) for graphite, the Monthly Refinery Report (EIA-810) for vanadium, and the Uranium Marketing Annual Survey (EIA-858) for zirconium. </w:t>
      </w:r>
      <w:r w:rsidR="20E0400C">
        <w:t xml:space="preserve">Successful field studies could </w:t>
      </w:r>
      <w:r w:rsidR="0C6A9032">
        <w:t xml:space="preserve">also </w:t>
      </w:r>
      <w:r w:rsidR="20E0400C">
        <w:t xml:space="preserve">provide the groundwork for </w:t>
      </w:r>
      <w:r w:rsidR="48497D81">
        <w:t xml:space="preserve">future </w:t>
      </w:r>
      <w:r w:rsidR="20E0400C">
        <w:t xml:space="preserve">studies </w:t>
      </w:r>
      <w:r w:rsidR="35752A68">
        <w:t xml:space="preserve">and data collection </w:t>
      </w:r>
      <w:r w:rsidR="20E0400C">
        <w:t>of additional minerals.</w:t>
      </w:r>
      <w:r>
        <w:t> </w:t>
      </w:r>
    </w:p>
    <w:p w:rsidR="133E7019" w:rsidP="133E7019" w14:paraId="1C6A72F4" w14:textId="756EB299">
      <w:pPr>
        <w:pStyle w:val="Header"/>
        <w:tabs>
          <w:tab w:val="clear" w:pos="4320"/>
          <w:tab w:val="clear" w:pos="8640"/>
        </w:tabs>
        <w:rPr>
          <w:b/>
          <w:bCs/>
        </w:rPr>
      </w:pPr>
    </w:p>
    <w:p w:rsidR="009D41D4" w:rsidRPr="007E6415" w:rsidP="009D41D4" w14:paraId="462C9C5A" w14:textId="77777777">
      <w:pPr>
        <w:pStyle w:val="Header"/>
        <w:tabs>
          <w:tab w:val="clear" w:pos="4320"/>
          <w:tab w:val="clear" w:pos="8640"/>
        </w:tabs>
        <w:rPr>
          <w:i/>
          <w:snapToGrid/>
        </w:rPr>
      </w:pPr>
      <w:r w:rsidRPr="007E6415">
        <w:rPr>
          <w:b/>
        </w:rPr>
        <w:t>DESCRIPTION OF RESPONDENTS</w:t>
      </w:r>
      <w:r w:rsidRPr="007E6415">
        <w:t xml:space="preserve">: </w:t>
      </w:r>
    </w:p>
    <w:p w:rsidR="009D41D4" w:rsidP="009D41D4" w14:paraId="387701A3" w14:textId="21CC787B">
      <w:r>
        <w:t>Respondents from the</w:t>
      </w:r>
      <w:r w:rsidR="007A43B1">
        <w:t xml:space="preserve"> EIA-810 frame will be used to recruit participants for the cognitive interviews and unmoderated interviews focusing on </w:t>
      </w:r>
      <w:r w:rsidR="007A43B1">
        <w:t>vanadium</w:t>
      </w:r>
      <w:r w:rsidR="007A43B1">
        <w:t xml:space="preserve">. </w:t>
      </w:r>
    </w:p>
    <w:p w:rsidR="007A43B1" w:rsidP="009D41D4" w14:paraId="388AA7B4" w14:textId="77777777"/>
    <w:p w:rsidR="007A43B1" w:rsidP="009D41D4" w14:paraId="39EB32EE" w14:textId="5C0FFE84">
      <w:r>
        <w:t xml:space="preserve">Fuel fabricators identified in the Uranium frame for </w:t>
      </w:r>
      <w:r w:rsidR="0055710C">
        <w:t xml:space="preserve">the </w:t>
      </w:r>
      <w:r>
        <w:t xml:space="preserve">EIA-858 will be used to recruit participants for the cognitive interviews and unmoderated interviews focusing on zirconium. </w:t>
      </w:r>
    </w:p>
    <w:p w:rsidR="007A43B1" w:rsidP="009D41D4" w14:paraId="2C609D85" w14:textId="77777777"/>
    <w:p w:rsidR="007A43B1" w:rsidRPr="00D0619C" w:rsidP="25E79419" w14:paraId="216A28F9" w14:textId="32D7C5FE">
      <w:r>
        <w:t xml:space="preserve">A frame for graphite consumers </w:t>
      </w:r>
      <w:r w:rsidR="00D0619C">
        <w:t>was developed</w:t>
      </w:r>
      <w:r>
        <w:t xml:space="preserve"> using</w:t>
      </w:r>
      <w:r w:rsidR="00C40A62">
        <w:t xml:space="preserve"> the </w:t>
      </w:r>
      <w:hyperlink r:id="rId7">
        <w:r w:rsidRPr="25E79419" w:rsidR="00C40A62">
          <w:rPr>
            <w:rStyle w:val="Hyperlink"/>
          </w:rPr>
          <w:t>NAATBatt</w:t>
        </w:r>
        <w:r w:rsidRPr="25E79419" w:rsidR="00C40A62">
          <w:rPr>
            <w:rStyle w:val="Hyperlink"/>
          </w:rPr>
          <w:t xml:space="preserve"> Lithium-Ion Battery Supply Chain Database</w:t>
        </w:r>
      </w:hyperlink>
      <w:r w:rsidR="00C40A62">
        <w:t xml:space="preserve"> produced and maintained by the National Laboratory of the Rockies</w:t>
      </w:r>
      <w:r w:rsidR="00D0619C">
        <w:t xml:space="preserve"> </w:t>
      </w:r>
      <w:r>
        <w:t xml:space="preserve">to recruit participants for the cognitive interviews and unmoderated interviews focusing on graphite. </w:t>
      </w:r>
    </w:p>
    <w:p w:rsidR="009D41D4" w:rsidRPr="007E6415" w:rsidP="009D41D4" w14:paraId="6E0EB8C0" w14:textId="77777777">
      <w:pPr>
        <w:rPr>
          <w:b/>
        </w:rPr>
      </w:pPr>
    </w:p>
    <w:p w:rsidR="009D41D4" w:rsidRPr="007E6415" w:rsidP="009D41D4" w14:paraId="45D28DD8" w14:textId="77777777">
      <w:pPr>
        <w:rPr>
          <w:b/>
        </w:rPr>
      </w:pPr>
      <w:r w:rsidRPr="007E6415">
        <w:rPr>
          <w:b/>
        </w:rPr>
        <w:t>TYPE OF COLLECTION:</w:t>
      </w:r>
      <w:r w:rsidRPr="007E6415">
        <w:t xml:space="preserve"> (Check one)</w:t>
      </w:r>
    </w:p>
    <w:p w:rsidR="009D41D4" w:rsidRPr="007E6415" w:rsidP="009D41D4" w14:paraId="3998671E" w14:textId="77777777">
      <w:pPr>
        <w:pStyle w:val="BodyTextIndent"/>
        <w:tabs>
          <w:tab w:val="left" w:pos="360"/>
        </w:tabs>
        <w:ind w:left="0"/>
        <w:rPr>
          <w:bCs/>
          <w:sz w:val="16"/>
          <w:szCs w:val="16"/>
        </w:rPr>
      </w:pPr>
    </w:p>
    <w:p w:rsidR="009D41D4" w:rsidRPr="007E6415" w:rsidP="009D41D4" w14:paraId="26B8C6F6" w14:textId="5CC5CD46">
      <w:pPr>
        <w:pStyle w:val="BodyTextIndent"/>
        <w:tabs>
          <w:tab w:val="left" w:pos="360"/>
        </w:tabs>
        <w:ind w:left="0"/>
        <w:rPr>
          <w:bCs/>
          <w:sz w:val="24"/>
        </w:rPr>
      </w:pPr>
      <w:r w:rsidRPr="007E6415">
        <w:rPr>
          <w:bCs/>
          <w:sz w:val="24"/>
        </w:rPr>
        <w:t xml:space="preserve">[ ] </w:t>
      </w:r>
      <w:r>
        <w:rPr>
          <w:bCs/>
          <w:sz w:val="24"/>
        </w:rPr>
        <w:t>Field Testing</w:t>
      </w:r>
      <w:r w:rsidRPr="007E6415">
        <w:rPr>
          <w:bCs/>
          <w:sz w:val="24"/>
        </w:rPr>
        <w:t xml:space="preserve"> </w:t>
      </w:r>
      <w:r w:rsidRPr="007E6415">
        <w:rPr>
          <w:bCs/>
          <w:sz w:val="24"/>
        </w:rPr>
        <w:tab/>
      </w:r>
      <w:r>
        <w:rPr>
          <w:bCs/>
          <w:sz w:val="24"/>
        </w:rPr>
        <w:tab/>
      </w:r>
      <w:r>
        <w:rPr>
          <w:bCs/>
          <w:sz w:val="24"/>
        </w:rPr>
        <w:tab/>
      </w:r>
      <w:r>
        <w:rPr>
          <w:bCs/>
          <w:sz w:val="24"/>
        </w:rPr>
        <w:tab/>
      </w:r>
      <w:r>
        <w:rPr>
          <w:bCs/>
          <w:sz w:val="24"/>
        </w:rPr>
        <w:tab/>
      </w:r>
      <w:r w:rsidRPr="007E6415">
        <w:rPr>
          <w:bCs/>
          <w:sz w:val="24"/>
        </w:rPr>
        <w:t>[</w:t>
      </w:r>
      <w:r>
        <w:rPr>
          <w:bCs/>
          <w:sz w:val="24"/>
        </w:rPr>
        <w:t>x</w:t>
      </w:r>
      <w:r w:rsidRPr="007E6415">
        <w:rPr>
          <w:bCs/>
          <w:sz w:val="24"/>
        </w:rPr>
        <w:t>] C</w:t>
      </w:r>
      <w:r>
        <w:rPr>
          <w:bCs/>
          <w:sz w:val="24"/>
        </w:rPr>
        <w:t>ognitive Interviews</w:t>
      </w:r>
      <w:r w:rsidRPr="007E6415">
        <w:rPr>
          <w:bCs/>
          <w:sz w:val="24"/>
        </w:rPr>
        <w:t xml:space="preserve">   </w:t>
      </w:r>
    </w:p>
    <w:p w:rsidR="009D41D4" w:rsidRPr="007E6415" w:rsidP="009D41D4" w14:paraId="19B595C6" w14:textId="1697E8AC">
      <w:pPr>
        <w:pStyle w:val="BodyTextIndent"/>
        <w:tabs>
          <w:tab w:val="left" w:pos="360"/>
        </w:tabs>
        <w:ind w:left="0"/>
        <w:rPr>
          <w:bCs/>
          <w:sz w:val="24"/>
        </w:rPr>
      </w:pPr>
      <w:r w:rsidRPr="00A930ED">
        <w:rPr>
          <w:bCs/>
          <w:sz w:val="24"/>
        </w:rPr>
        <w:t>[</w:t>
      </w:r>
      <w:r w:rsidR="009142CE">
        <w:rPr>
          <w:bCs/>
          <w:sz w:val="24"/>
        </w:rPr>
        <w:t xml:space="preserve"> </w:t>
      </w:r>
      <w:r w:rsidRPr="00A930ED">
        <w:rPr>
          <w:bCs/>
          <w:sz w:val="24"/>
        </w:rPr>
        <w:t xml:space="preserve">] Usability Testing </w:t>
      </w:r>
      <w:r>
        <w:rPr>
          <w:bCs/>
          <w:sz w:val="24"/>
        </w:rPr>
        <w:tab/>
      </w:r>
      <w:r>
        <w:rPr>
          <w:bCs/>
          <w:sz w:val="24"/>
        </w:rPr>
        <w:tab/>
      </w:r>
      <w:r>
        <w:rPr>
          <w:bCs/>
          <w:sz w:val="24"/>
        </w:rPr>
        <w:tab/>
      </w:r>
      <w:r>
        <w:rPr>
          <w:bCs/>
          <w:sz w:val="24"/>
        </w:rPr>
        <w:tab/>
      </w:r>
      <w:r w:rsidRPr="007E6415">
        <w:rPr>
          <w:bCs/>
          <w:sz w:val="24"/>
        </w:rPr>
        <w:tab/>
        <w:t xml:space="preserve">[ ] </w:t>
      </w:r>
      <w:r>
        <w:rPr>
          <w:bCs/>
          <w:sz w:val="24"/>
        </w:rPr>
        <w:t>Focus Groups</w:t>
      </w:r>
    </w:p>
    <w:p w:rsidR="009D41D4" w:rsidRPr="007E6415" w:rsidP="009D41D4" w14:paraId="663F8E91" w14:textId="1DA38860">
      <w:pPr>
        <w:pStyle w:val="BodyTextIndent"/>
        <w:tabs>
          <w:tab w:val="left" w:pos="360"/>
        </w:tabs>
        <w:ind w:left="0"/>
        <w:rPr>
          <w:sz w:val="24"/>
          <w:szCs w:val="24"/>
        </w:rPr>
      </w:pPr>
      <w:r w:rsidRPr="41944502">
        <w:rPr>
          <w:sz w:val="24"/>
          <w:szCs w:val="24"/>
        </w:rPr>
        <w:t xml:space="preserve">[ ] Pilot Surveys  </w:t>
      </w:r>
      <w:r>
        <w:tab/>
      </w:r>
      <w:r>
        <w:tab/>
      </w:r>
      <w:r>
        <w:tab/>
      </w:r>
      <w:r>
        <w:tab/>
      </w:r>
      <w:r>
        <w:tab/>
      </w:r>
      <w:r w:rsidRPr="41944502">
        <w:rPr>
          <w:sz w:val="24"/>
          <w:szCs w:val="24"/>
        </w:rPr>
        <w:t>[ ] Other:</w:t>
      </w:r>
    </w:p>
    <w:p w:rsidR="009D41D4" w:rsidRPr="007E6415" w:rsidP="009D41D4" w14:paraId="2F4D2F03" w14:textId="77777777">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9D41D4" w:rsidP="009D41D4" w14:paraId="3F1153DE" w14:textId="77777777">
      <w:pPr>
        <w:rPr>
          <w:b/>
        </w:rPr>
      </w:pPr>
    </w:p>
    <w:p w:rsidR="009D41D4" w:rsidRPr="007E6415" w:rsidP="009D41D4" w14:paraId="16CB33F5" w14:textId="77777777">
      <w:pPr>
        <w:rPr>
          <w:b/>
        </w:rPr>
      </w:pPr>
      <w:r w:rsidRPr="007E6415">
        <w:rPr>
          <w:b/>
        </w:rPr>
        <w:t>CERTIFICATION:</w:t>
      </w:r>
    </w:p>
    <w:p w:rsidR="009D41D4" w:rsidRPr="007E6415" w:rsidP="009D41D4" w14:paraId="0C94FC59" w14:textId="77777777">
      <w:pPr>
        <w:rPr>
          <w:sz w:val="16"/>
          <w:szCs w:val="16"/>
        </w:rPr>
      </w:pPr>
    </w:p>
    <w:p w:rsidR="009D41D4" w:rsidRPr="007E6415" w:rsidP="009D41D4" w14:paraId="4AA19A9A" w14:textId="77777777">
      <w:r w:rsidRPr="007E6415">
        <w:t>I certify the following to be true</w:t>
      </w:r>
      <w:r>
        <w:t xml:space="preserve"> </w:t>
      </w:r>
      <w:r w:rsidRPr="005F1172">
        <w:t>regarding the proposed collection of information:</w:t>
      </w:r>
      <w:r w:rsidRPr="007E6415">
        <w:t xml:space="preserve"> </w:t>
      </w:r>
    </w:p>
    <w:p w:rsidR="009D41D4" w:rsidP="009D41D4" w14:paraId="34B4EF98" w14:textId="77777777">
      <w:pPr>
        <w:pStyle w:val="Default"/>
        <w:numPr>
          <w:ilvl w:val="0"/>
          <w:numId w:val="1"/>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9D41D4" w:rsidP="009D41D4" w14:paraId="1C587868" w14:textId="77777777">
      <w:pPr>
        <w:pStyle w:val="Default"/>
        <w:numPr>
          <w:ilvl w:val="0"/>
          <w:numId w:val="1"/>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9D41D4" w:rsidP="009D41D4" w14:paraId="090FEDA0" w14:textId="77777777">
      <w:pPr>
        <w:pStyle w:val="Default"/>
        <w:numPr>
          <w:ilvl w:val="0"/>
          <w:numId w:val="1"/>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9D41D4" w:rsidP="009D41D4" w14:paraId="431BBD4F" w14:textId="77777777">
      <w:pPr>
        <w:pStyle w:val="Default"/>
        <w:numPr>
          <w:ilvl w:val="0"/>
          <w:numId w:val="1"/>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9D41D4" w:rsidP="009D41D4" w14:paraId="1A3A63A8" w14:textId="77777777">
      <w:pPr>
        <w:pStyle w:val="Default"/>
        <w:numPr>
          <w:ilvl w:val="0"/>
          <w:numId w:val="1"/>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9D41D4" w:rsidP="009D41D4" w14:paraId="4D0DE358" w14:textId="77777777">
      <w:pPr>
        <w:pStyle w:val="Default"/>
        <w:numPr>
          <w:ilvl w:val="0"/>
          <w:numId w:val="1"/>
        </w:numPr>
        <w:rPr>
          <w:rFonts w:ascii="Times New Roman" w:hAnsi="Times New Roman" w:cs="Times New Roman"/>
        </w:rPr>
      </w:pPr>
      <w:r w:rsidRPr="005F1172">
        <w:rPr>
          <w:rFonts w:ascii="Times New Roman" w:hAnsi="Times New Roman" w:cs="Times New Roman"/>
        </w:rPr>
        <w:t>It indicates the retention periods for recordkeeping requirements</w:t>
      </w:r>
      <w:r>
        <w:rPr>
          <w:rFonts w:ascii="Times New Roman" w:hAnsi="Times New Roman" w:cs="Times New Roman"/>
        </w:rPr>
        <w:t>.</w:t>
      </w:r>
    </w:p>
    <w:p w:rsidR="009D41D4" w:rsidP="009D41D4" w14:paraId="28D79377" w14:textId="77777777">
      <w:pPr>
        <w:pStyle w:val="Default"/>
        <w:numPr>
          <w:ilvl w:val="0"/>
          <w:numId w:val="1"/>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9D41D4" w:rsidP="009D41D4" w14:paraId="714116AB" w14:textId="77777777">
      <w:pPr>
        <w:pStyle w:val="Default"/>
        <w:numPr>
          <w:ilvl w:val="1"/>
          <w:numId w:val="1"/>
        </w:numPr>
        <w:rPr>
          <w:rFonts w:ascii="Times New Roman" w:hAnsi="Times New Roman" w:cs="Times New Roman"/>
        </w:rPr>
      </w:pPr>
      <w:r w:rsidRPr="005F1172">
        <w:rPr>
          <w:rFonts w:ascii="Times New Roman" w:hAnsi="Times New Roman" w:cs="Times New Roman"/>
        </w:rPr>
        <w:t xml:space="preserve">Why the information is being </w:t>
      </w:r>
      <w:r w:rsidRPr="005F1172">
        <w:rPr>
          <w:rFonts w:ascii="Times New Roman" w:hAnsi="Times New Roman" w:cs="Times New Roman"/>
        </w:rPr>
        <w:t>collected;</w:t>
      </w:r>
    </w:p>
    <w:p w:rsidR="009D41D4" w:rsidP="009D41D4" w14:paraId="690F812D" w14:textId="77777777">
      <w:pPr>
        <w:pStyle w:val="Default"/>
        <w:numPr>
          <w:ilvl w:val="1"/>
          <w:numId w:val="1"/>
        </w:numPr>
        <w:rPr>
          <w:rFonts w:ascii="Times New Roman" w:hAnsi="Times New Roman" w:cs="Times New Roman"/>
        </w:rPr>
      </w:pPr>
      <w:r w:rsidRPr="005F1172">
        <w:rPr>
          <w:rFonts w:ascii="Times New Roman" w:hAnsi="Times New Roman" w:cs="Times New Roman"/>
        </w:rPr>
        <w:t xml:space="preserve">Use of </w:t>
      </w:r>
      <w:r w:rsidRPr="005F1172">
        <w:rPr>
          <w:rFonts w:ascii="Times New Roman" w:hAnsi="Times New Roman" w:cs="Times New Roman"/>
        </w:rPr>
        <w:t>information;</w:t>
      </w:r>
    </w:p>
    <w:p w:rsidR="009D41D4" w:rsidP="009D41D4" w14:paraId="12DB7A49" w14:textId="77777777">
      <w:pPr>
        <w:pStyle w:val="Default"/>
        <w:numPr>
          <w:ilvl w:val="1"/>
          <w:numId w:val="1"/>
        </w:numPr>
        <w:rPr>
          <w:rFonts w:ascii="Times New Roman" w:hAnsi="Times New Roman" w:cs="Times New Roman"/>
        </w:rPr>
      </w:pPr>
      <w:r w:rsidRPr="005F1172">
        <w:rPr>
          <w:rFonts w:ascii="Times New Roman" w:hAnsi="Times New Roman" w:cs="Times New Roman"/>
        </w:rPr>
        <w:t xml:space="preserve">Burden </w:t>
      </w:r>
      <w:r w:rsidRPr="005F1172">
        <w:rPr>
          <w:rFonts w:ascii="Times New Roman" w:hAnsi="Times New Roman" w:cs="Times New Roman"/>
        </w:rPr>
        <w:t>estimate;</w:t>
      </w:r>
    </w:p>
    <w:p w:rsidR="009D41D4" w:rsidRPr="007B6AEF" w:rsidP="009D41D4" w14:paraId="08EEFB52" w14:textId="77777777">
      <w:pPr>
        <w:pStyle w:val="Default"/>
        <w:numPr>
          <w:ilvl w:val="1"/>
          <w:numId w:val="1"/>
        </w:numPr>
        <w:rPr>
          <w:rFonts w:ascii="Times New Roman" w:hAnsi="Times New Roman" w:cs="Times New Roman"/>
        </w:rPr>
      </w:pPr>
      <w:r w:rsidRPr="007B6AEF">
        <w:rPr>
          <w:rFonts w:ascii="Times New Roman" w:hAnsi="Times New Roman" w:cs="Times New Roman"/>
        </w:rPr>
        <w:t>Nature of response (voluntary, required for a benefit, or mandatory</w:t>
      </w:r>
      <w:r w:rsidRPr="007B6AEF">
        <w:rPr>
          <w:rFonts w:ascii="Times New Roman" w:hAnsi="Times New Roman" w:cs="Times New Roman"/>
        </w:rPr>
        <w:t>);</w:t>
      </w:r>
    </w:p>
    <w:p w:rsidR="009D41D4" w:rsidP="009D41D4" w14:paraId="532C2020" w14:textId="77777777">
      <w:pPr>
        <w:pStyle w:val="Default"/>
        <w:numPr>
          <w:ilvl w:val="1"/>
          <w:numId w:val="1"/>
        </w:numPr>
        <w:rPr>
          <w:rFonts w:ascii="Times New Roman" w:hAnsi="Times New Roman" w:cs="Times New Roman"/>
        </w:rPr>
      </w:pPr>
      <w:r w:rsidRPr="005F1172">
        <w:rPr>
          <w:rFonts w:ascii="Times New Roman" w:hAnsi="Times New Roman" w:cs="Times New Roman"/>
        </w:rPr>
        <w:t>Nature and extent of confidentiality; and</w:t>
      </w:r>
    </w:p>
    <w:p w:rsidR="009D41D4" w:rsidP="009D41D4" w14:paraId="5ED95353" w14:textId="77777777">
      <w:pPr>
        <w:pStyle w:val="Default"/>
        <w:numPr>
          <w:ilvl w:val="1"/>
          <w:numId w:val="1"/>
        </w:numPr>
        <w:rPr>
          <w:rFonts w:ascii="Times New Roman" w:hAnsi="Times New Roman" w:cs="Times New Roman"/>
        </w:rPr>
      </w:pPr>
      <w:r w:rsidRPr="005F1172">
        <w:rPr>
          <w:rFonts w:ascii="Times New Roman" w:hAnsi="Times New Roman" w:cs="Times New Roman"/>
        </w:rPr>
        <w:t>Need to display currently valid OMB control number</w:t>
      </w:r>
    </w:p>
    <w:p w:rsidR="009D41D4" w:rsidP="009D41D4" w14:paraId="525E7FFA" w14:textId="77777777">
      <w:pPr>
        <w:pStyle w:val="Default"/>
        <w:numPr>
          <w:ilvl w:val="0"/>
          <w:numId w:val="1"/>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9D41D4" w:rsidP="009D41D4" w14:paraId="0E607815" w14:textId="77777777">
      <w:pPr>
        <w:pStyle w:val="Default"/>
        <w:numPr>
          <w:ilvl w:val="0"/>
          <w:numId w:val="1"/>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9D41D4" w:rsidRPr="005F1172" w:rsidP="009D41D4" w14:paraId="25EB8470" w14:textId="77777777">
      <w:pPr>
        <w:pStyle w:val="Default"/>
        <w:numPr>
          <w:ilvl w:val="0"/>
          <w:numId w:val="1"/>
        </w:numPr>
        <w:rPr>
          <w:rFonts w:ascii="Times New Roman" w:hAnsi="Times New Roman" w:cs="Times New Roman"/>
        </w:rPr>
      </w:pPr>
      <w:r w:rsidRPr="005F1172">
        <w:rPr>
          <w:rFonts w:ascii="Times New Roman" w:hAnsi="Times New Roman" w:cs="Times New Roman"/>
        </w:rPr>
        <w:t>It makes appropriat</w:t>
      </w:r>
      <w:r>
        <w:rPr>
          <w:rFonts w:ascii="Times New Roman" w:hAnsi="Times New Roman" w:cs="Times New Roman"/>
        </w:rPr>
        <w:t>e use of information technology.</w:t>
      </w:r>
    </w:p>
    <w:p w:rsidR="009D41D4" w:rsidRPr="007E6415" w:rsidP="009D41D4" w14:paraId="5744891D" w14:textId="77777777"/>
    <w:p w:rsidR="009D41D4" w:rsidRPr="007E6415" w:rsidP="009D41D4" w14:paraId="7B4D01DC" w14:textId="5B64C300">
      <w:pPr>
        <w:rPr>
          <w:u w:val="single"/>
        </w:rPr>
      </w:pPr>
      <w:r w:rsidRPr="007E6415">
        <w:t xml:space="preserve">Name: </w:t>
      </w:r>
      <w:r>
        <w:rPr>
          <w:u w:val="single"/>
        </w:rPr>
        <w:t>Kenneth Pick</w:t>
      </w:r>
    </w:p>
    <w:p w:rsidR="009D41D4" w:rsidRPr="007E6415" w:rsidP="009D41D4" w14:paraId="544D5D71" w14:textId="77777777">
      <w:pPr>
        <w:pStyle w:val="ListParagraph"/>
        <w:ind w:left="360"/>
      </w:pPr>
    </w:p>
    <w:p w:rsidR="009D41D4" w:rsidP="009D41D4" w14:paraId="37069018" w14:textId="77777777">
      <w:r w:rsidRPr="007E6415">
        <w:t xml:space="preserve">To </w:t>
      </w:r>
      <w:r w:rsidRPr="007E6415">
        <w:t>assist</w:t>
      </w:r>
      <w:r w:rsidRPr="007E6415">
        <w:t xml:space="preserve"> review, please provide answers to the following question</w:t>
      </w:r>
      <w:r>
        <w:t>s</w:t>
      </w:r>
      <w:r w:rsidRPr="007E6415">
        <w:t>:</w:t>
      </w:r>
    </w:p>
    <w:p w:rsidR="009D41D4" w:rsidRPr="007E6415" w:rsidP="009D41D4" w14:paraId="11D2AC9B" w14:textId="77777777">
      <w:pPr>
        <w:rPr>
          <w:b/>
        </w:rPr>
      </w:pPr>
      <w:r w:rsidRPr="007E6415">
        <w:rPr>
          <w:b/>
        </w:rPr>
        <w:t>Personally Identifiable Information:</w:t>
      </w:r>
    </w:p>
    <w:p w:rsidR="009D41D4" w:rsidRPr="00B40F03" w:rsidP="009D41D4" w14:paraId="5A347F83" w14:textId="77777777">
      <w:pPr>
        <w:pStyle w:val="ListParagraph"/>
        <w:numPr>
          <w:ilvl w:val="0"/>
          <w:numId w:val="4"/>
        </w:numPr>
      </w:pPr>
      <w:r w:rsidRPr="00B40F03">
        <w:t xml:space="preserve">Is personally identifiable information (PII) collected?  [ ] </w:t>
      </w:r>
      <w:r w:rsidRPr="00B40F03">
        <w:t>Yes</w:t>
      </w:r>
      <w:r w:rsidRPr="00B40F03">
        <w:t xml:space="preserve">  [ </w:t>
      </w:r>
      <w:r>
        <w:t>x</w:t>
      </w:r>
      <w:r w:rsidRPr="00B40F03">
        <w:t xml:space="preserve">]  No </w:t>
      </w:r>
    </w:p>
    <w:p w:rsidR="009D41D4" w:rsidRPr="007E6415" w:rsidP="009D41D4" w14:paraId="2B0CB030" w14:textId="77777777">
      <w:pPr>
        <w:pStyle w:val="ListParagraph"/>
        <w:numPr>
          <w:ilvl w:val="0"/>
          <w:numId w:val="4"/>
        </w:numPr>
      </w:pPr>
      <w:r w:rsidRPr="007E6415">
        <w:t xml:space="preserve">If </w:t>
      </w:r>
      <w:r w:rsidRPr="007E6415">
        <w:t>Yes</w:t>
      </w:r>
      <w:r w:rsidRPr="007E6415">
        <w:t xml:space="preserve">, will any information that is collected be included in records that are subject to the Privacy Act of 1974?   [ ] Yes [ ] No   </w:t>
      </w:r>
    </w:p>
    <w:p w:rsidR="009D41D4" w:rsidRPr="007E6415" w:rsidP="009D41D4" w14:paraId="20CFF4FC" w14:textId="77777777">
      <w:pPr>
        <w:pStyle w:val="ListParagraph"/>
        <w:numPr>
          <w:ilvl w:val="0"/>
          <w:numId w:val="4"/>
        </w:numPr>
      </w:pPr>
      <w:r w:rsidRPr="007E6415">
        <w:t xml:space="preserve">If </w:t>
      </w:r>
      <w:r w:rsidRPr="007E6415">
        <w:t>Yes</w:t>
      </w:r>
      <w:r w:rsidRPr="007E6415">
        <w:t>, has an up-to-date System of Records Notice (SORN) been published?  [ ] Yes  [ ] No</w:t>
      </w:r>
    </w:p>
    <w:p w:rsidR="009D41D4" w:rsidRPr="007E6415" w:rsidP="009D41D4" w14:paraId="64F62F54" w14:textId="77777777">
      <w:pPr>
        <w:pStyle w:val="ListParagraph"/>
        <w:ind w:left="0"/>
        <w:rPr>
          <w:b/>
        </w:rPr>
      </w:pPr>
    </w:p>
    <w:p w:rsidR="009D41D4" w:rsidRPr="007E6415" w:rsidP="009D41D4" w14:paraId="538283CE" w14:textId="77777777">
      <w:pPr>
        <w:pStyle w:val="ListParagraph"/>
        <w:ind w:left="0"/>
        <w:rPr>
          <w:b/>
        </w:rPr>
      </w:pPr>
      <w:r w:rsidRPr="007E6415">
        <w:rPr>
          <w:b/>
        </w:rPr>
        <w:t>Gifts or Payments:</w:t>
      </w:r>
    </w:p>
    <w:p w:rsidR="009D41D4" w:rsidRPr="007E6415" w:rsidP="009D41D4" w14:paraId="51074AF4" w14:textId="77777777">
      <w:pPr>
        <w:rPr>
          <w:b/>
        </w:rPr>
      </w:pPr>
      <w:r w:rsidRPr="007E6415">
        <w:t>Is an incentive (e.g., money or reimbursement of expenses, token of appreciation) provided to participants?  [ ] Y</w:t>
      </w:r>
      <w:r>
        <w:t xml:space="preserve"> </w:t>
      </w:r>
      <w:r w:rsidRPr="007E6415">
        <w:t>[</w:t>
      </w:r>
      <w:r>
        <w:t xml:space="preserve"> x</w:t>
      </w:r>
      <w:r w:rsidRPr="007E6415">
        <w:t>] No</w:t>
      </w:r>
    </w:p>
    <w:p w:rsidR="009D41D4" w:rsidRPr="007E6415" w:rsidP="009D41D4" w14:paraId="1FD359AB" w14:textId="77777777">
      <w:pPr>
        <w:rPr>
          <w:b/>
        </w:rPr>
      </w:pPr>
    </w:p>
    <w:p w:rsidR="009D41D4" w:rsidP="009D41D4" w14:paraId="0A23C599" w14:textId="77777777">
      <w:r w:rsidRPr="007E6415">
        <w:rPr>
          <w:b/>
        </w:rPr>
        <w:t>BURDEN HOURS</w:t>
      </w:r>
      <w:r w:rsidRPr="007E6415">
        <w:t xml:space="preserve"> </w:t>
      </w:r>
    </w:p>
    <w:p w:rsidR="00CA2FD4" w:rsidP="009D41D4" w14:paraId="3761E6C0" w14:textId="77777777"/>
    <w:p w:rsidR="00CA2FD4" w:rsidP="009D41D4" w14:paraId="7F717A99" w14:textId="77777777"/>
    <w:tbl>
      <w:tblPr>
        <w:tblStyle w:val="TableGrid"/>
        <w:tblW w:w="9350" w:type="dxa"/>
        <w:tblLook w:val="04A0"/>
      </w:tblPr>
      <w:tblGrid>
        <w:gridCol w:w="1863"/>
        <w:gridCol w:w="1865"/>
        <w:gridCol w:w="2422"/>
        <w:gridCol w:w="1339"/>
        <w:gridCol w:w="1861"/>
      </w:tblGrid>
      <w:tr w14:paraId="2FE13127" w14:textId="77777777" w:rsidTr="6327C474">
        <w:tblPrEx>
          <w:tblW w:w="9350" w:type="dxa"/>
          <w:tblLook w:val="04A0"/>
        </w:tblPrEx>
        <w:tc>
          <w:tcPr>
            <w:tcW w:w="1870" w:type="dxa"/>
          </w:tcPr>
          <w:p w:rsidR="00CA2FD4" w:rsidP="00CA2FD4" w14:paraId="3A5DE8B6" w14:textId="4C9E993C">
            <w:pPr>
              <w:rPr>
                <w:i/>
              </w:rPr>
            </w:pPr>
            <w:r w:rsidRPr="007E6415">
              <w:rPr>
                <w:b/>
              </w:rPr>
              <w:t>Category of Respondent</w:t>
            </w:r>
          </w:p>
        </w:tc>
        <w:tc>
          <w:tcPr>
            <w:tcW w:w="1870" w:type="dxa"/>
          </w:tcPr>
          <w:p w:rsidR="00CA2FD4" w:rsidRPr="00CA2FD4" w:rsidP="00CA2FD4" w14:paraId="3FB54E42" w14:textId="61621301">
            <w:pPr>
              <w:rPr>
                <w:b/>
                <w:bCs/>
                <w:iCs/>
              </w:rPr>
            </w:pPr>
            <w:r w:rsidRPr="00CA2FD4">
              <w:rPr>
                <w:b/>
                <w:bCs/>
                <w:iCs/>
              </w:rPr>
              <w:t>Method</w:t>
            </w:r>
          </w:p>
        </w:tc>
        <w:tc>
          <w:tcPr>
            <w:tcW w:w="2430" w:type="dxa"/>
          </w:tcPr>
          <w:p w:rsidR="00CA2FD4" w:rsidP="00CA2FD4" w14:paraId="29880009" w14:textId="384714FD">
            <w:pPr>
              <w:rPr>
                <w:i/>
              </w:rPr>
            </w:pPr>
            <w:r w:rsidRPr="007E6415">
              <w:rPr>
                <w:b/>
              </w:rPr>
              <w:t>No. of Respondents</w:t>
            </w:r>
          </w:p>
        </w:tc>
        <w:tc>
          <w:tcPr>
            <w:tcW w:w="1310" w:type="dxa"/>
          </w:tcPr>
          <w:p w:rsidR="00CA2FD4" w:rsidP="00CA2FD4" w14:paraId="61762CBD" w14:textId="19FD06B4">
            <w:pPr>
              <w:rPr>
                <w:i/>
              </w:rPr>
            </w:pPr>
            <w:r w:rsidRPr="007E6415">
              <w:rPr>
                <w:b/>
              </w:rPr>
              <w:t>Participation Time</w:t>
            </w:r>
          </w:p>
        </w:tc>
        <w:tc>
          <w:tcPr>
            <w:tcW w:w="1870" w:type="dxa"/>
          </w:tcPr>
          <w:p w:rsidR="00CA2FD4" w:rsidP="00CA2FD4" w14:paraId="0D9F35D7" w14:textId="1AF6E43C">
            <w:pPr>
              <w:rPr>
                <w:i/>
              </w:rPr>
            </w:pPr>
            <w:r w:rsidRPr="007E6415">
              <w:rPr>
                <w:b/>
              </w:rPr>
              <w:t>Burden</w:t>
            </w:r>
          </w:p>
        </w:tc>
      </w:tr>
      <w:tr w14:paraId="0CFCDCA1" w14:textId="77777777" w:rsidTr="6327C474">
        <w:tblPrEx>
          <w:tblW w:w="9350" w:type="dxa"/>
          <w:tblLook w:val="04A0"/>
        </w:tblPrEx>
        <w:tc>
          <w:tcPr>
            <w:tcW w:w="1870" w:type="dxa"/>
            <w:vMerge w:val="restart"/>
            <w:vAlign w:val="center"/>
          </w:tcPr>
          <w:p w:rsidR="00CA2FD4" w:rsidRPr="00CA2FD4" w:rsidP="00CA2FD4" w14:paraId="6D2779E9" w14:textId="39F66A0E">
            <w:pPr>
              <w:jc w:val="center"/>
              <w:rPr>
                <w:iCs/>
              </w:rPr>
            </w:pPr>
            <w:r w:rsidRPr="00CA2FD4">
              <w:rPr>
                <w:iCs/>
              </w:rPr>
              <w:t>Graphite</w:t>
            </w:r>
          </w:p>
        </w:tc>
        <w:tc>
          <w:tcPr>
            <w:tcW w:w="1870" w:type="dxa"/>
          </w:tcPr>
          <w:p w:rsidR="00CA2FD4" w:rsidRPr="00CA2FD4" w:rsidP="009D41D4" w14:paraId="1E7CCA32" w14:textId="2B0C92AB">
            <w:pPr>
              <w:rPr>
                <w:iCs/>
              </w:rPr>
            </w:pPr>
            <w:r w:rsidRPr="00CA2FD4">
              <w:rPr>
                <w:iCs/>
              </w:rPr>
              <w:t>Unmoderated Cognitive Testing</w:t>
            </w:r>
          </w:p>
        </w:tc>
        <w:tc>
          <w:tcPr>
            <w:tcW w:w="2430" w:type="dxa"/>
          </w:tcPr>
          <w:p w:rsidR="00CA2FD4" w:rsidRPr="00CA2FD4" w:rsidP="009D41D4" w14:paraId="34659F08" w14:textId="0E64B736">
            <w:r>
              <w:t>1</w:t>
            </w:r>
            <w:r w:rsidR="16CB8779">
              <w:t>10</w:t>
            </w:r>
            <w:r>
              <w:t xml:space="preserve"> </w:t>
            </w:r>
            <w:r>
              <w:t>Respondents</w:t>
            </w:r>
          </w:p>
        </w:tc>
        <w:tc>
          <w:tcPr>
            <w:tcW w:w="1310" w:type="dxa"/>
          </w:tcPr>
          <w:p w:rsidR="00CA2FD4" w:rsidRPr="00CA2FD4" w:rsidP="009D41D4" w14:paraId="3992B898" w14:textId="5D596F3A">
            <w:pPr>
              <w:rPr>
                <w:iCs/>
              </w:rPr>
            </w:pPr>
            <w:r w:rsidRPr="00CA2FD4">
              <w:rPr>
                <w:iCs/>
              </w:rPr>
              <w:t>15 minutes</w:t>
            </w:r>
          </w:p>
        </w:tc>
        <w:tc>
          <w:tcPr>
            <w:tcW w:w="1870" w:type="dxa"/>
          </w:tcPr>
          <w:p w:rsidR="00CA2FD4" w:rsidP="1EF71C4C" w14:paraId="4CC06C05" w14:textId="0276877F">
            <w:r>
              <w:t>27.50</w:t>
            </w:r>
          </w:p>
        </w:tc>
      </w:tr>
      <w:tr w14:paraId="440F80ED" w14:textId="77777777" w:rsidTr="6327C474">
        <w:tblPrEx>
          <w:tblW w:w="9350" w:type="dxa"/>
          <w:tblLook w:val="04A0"/>
        </w:tblPrEx>
        <w:trPr>
          <w:trHeight w:val="300"/>
        </w:trPr>
        <w:tc>
          <w:tcPr>
            <w:tcW w:w="1870" w:type="dxa"/>
            <w:vMerge/>
            <w:vAlign w:val="center"/>
          </w:tcPr>
          <w:p w:rsidR="28501401" w:rsidP="28501401" w14:paraId="20A17F1C" w14:textId="09F007DB">
            <w:pPr>
              <w:jc w:val="center"/>
            </w:pPr>
          </w:p>
        </w:tc>
        <w:tc>
          <w:tcPr>
            <w:tcW w:w="1870" w:type="dxa"/>
          </w:tcPr>
          <w:p w:rsidR="46E44D04" w14:paraId="21307C44" w14:textId="1CF6D32D">
            <w:r>
              <w:t>Moderated Cognitive Testing</w:t>
            </w:r>
          </w:p>
          <w:p w:rsidR="28501401" w:rsidP="28501401" w14:paraId="0ECEB407" w14:textId="0DB8C176"/>
        </w:tc>
        <w:tc>
          <w:tcPr>
            <w:tcW w:w="2430" w:type="dxa"/>
          </w:tcPr>
          <w:p w:rsidR="46E44D04" w14:paraId="1A399FFB" w14:textId="3649FB26">
            <w:r>
              <w:t>10 Respondents</w:t>
            </w:r>
          </w:p>
          <w:p w:rsidR="28501401" w:rsidP="28501401" w14:paraId="6B9C8326" w14:textId="06EAED8D"/>
        </w:tc>
        <w:tc>
          <w:tcPr>
            <w:tcW w:w="1310" w:type="dxa"/>
          </w:tcPr>
          <w:p w:rsidR="46E44D04" w14:paraId="5EE1E93F" w14:textId="4FA6567E">
            <w:r>
              <w:t>1 hour</w:t>
            </w:r>
          </w:p>
          <w:p w:rsidR="28501401" w:rsidP="28501401" w14:paraId="4A4DAFF8" w14:textId="3E64E2D0"/>
        </w:tc>
        <w:tc>
          <w:tcPr>
            <w:tcW w:w="1870" w:type="dxa"/>
          </w:tcPr>
          <w:p w:rsidR="28501401" w:rsidP="1252F465" w14:paraId="6422A0A0" w14:textId="510613AB">
            <w:r w:rsidRPr="1252F465">
              <w:t>10</w:t>
            </w:r>
          </w:p>
        </w:tc>
      </w:tr>
      <w:tr w14:paraId="4F32BEA5" w14:textId="77777777" w:rsidTr="6327C474">
        <w:tblPrEx>
          <w:tblW w:w="9350" w:type="dxa"/>
          <w:tblLook w:val="04A0"/>
        </w:tblPrEx>
        <w:trPr>
          <w:trHeight w:val="300"/>
        </w:trPr>
        <w:tc>
          <w:tcPr>
            <w:tcW w:w="1870" w:type="dxa"/>
            <w:vMerge/>
            <w:vAlign w:val="center"/>
          </w:tcPr>
          <w:p w:rsidR="28501401" w:rsidP="28501401" w14:paraId="20D4FA0F" w14:textId="14E84BF6">
            <w:pPr>
              <w:jc w:val="center"/>
            </w:pPr>
          </w:p>
        </w:tc>
        <w:tc>
          <w:tcPr>
            <w:tcW w:w="1870" w:type="dxa"/>
          </w:tcPr>
          <w:p w:rsidR="28501401" w:rsidP="28501401" w14:paraId="3DD0A676" w14:textId="23726A1B"/>
        </w:tc>
        <w:tc>
          <w:tcPr>
            <w:tcW w:w="2430" w:type="dxa"/>
          </w:tcPr>
          <w:p w:rsidR="28501401" w:rsidP="28501401" w14:paraId="15D035FD" w14:textId="3B752BF4">
            <w:r>
              <w:t>99</w:t>
            </w:r>
            <w:r w:rsidR="1B52D4F3">
              <w:t xml:space="preserve"> </w:t>
            </w:r>
            <w:r w:rsidR="46E44D04">
              <w:t>Nonrespondents</w:t>
            </w:r>
          </w:p>
        </w:tc>
        <w:tc>
          <w:tcPr>
            <w:tcW w:w="1310" w:type="dxa"/>
          </w:tcPr>
          <w:p w:rsidR="28501401" w:rsidP="28501401" w14:paraId="3774AC5A" w14:textId="7764533D">
            <w:r>
              <w:t>5 minutes</w:t>
            </w:r>
          </w:p>
        </w:tc>
        <w:tc>
          <w:tcPr>
            <w:tcW w:w="1870" w:type="dxa"/>
          </w:tcPr>
          <w:p w:rsidR="28501401" w:rsidP="6F1BDFAB" w14:paraId="6AF2B5FB" w14:textId="306F2219">
            <w:r>
              <w:t>8.25</w:t>
            </w:r>
          </w:p>
        </w:tc>
      </w:tr>
      <w:tr w14:paraId="49638772" w14:textId="77777777" w:rsidTr="6327C474">
        <w:tblPrEx>
          <w:tblW w:w="9350" w:type="dxa"/>
          <w:tblLook w:val="04A0"/>
        </w:tblPrEx>
        <w:tc>
          <w:tcPr>
            <w:tcW w:w="1870" w:type="dxa"/>
            <w:vMerge w:val="restart"/>
            <w:vAlign w:val="center"/>
          </w:tcPr>
          <w:p w:rsidR="00CA2FD4" w:rsidRPr="00CA2FD4" w:rsidP="00CA2FD4" w14:paraId="0AC2B10E" w14:textId="31F980B5">
            <w:pPr>
              <w:jc w:val="center"/>
              <w:rPr>
                <w:iCs/>
              </w:rPr>
            </w:pPr>
            <w:r w:rsidRPr="00CA2FD4">
              <w:rPr>
                <w:iCs/>
              </w:rPr>
              <w:t>Vanadium</w:t>
            </w:r>
          </w:p>
        </w:tc>
        <w:tc>
          <w:tcPr>
            <w:tcW w:w="1870" w:type="dxa"/>
          </w:tcPr>
          <w:p w:rsidR="00CA2FD4" w:rsidP="00CA2FD4" w14:paraId="6A0F23C0" w14:textId="0A98E33E">
            <w:pPr>
              <w:rPr>
                <w:i/>
              </w:rPr>
            </w:pPr>
            <w:r w:rsidRPr="00CA2FD4">
              <w:rPr>
                <w:iCs/>
              </w:rPr>
              <w:t>Unmoderated Cognitive Testing</w:t>
            </w:r>
          </w:p>
        </w:tc>
        <w:tc>
          <w:tcPr>
            <w:tcW w:w="2430" w:type="dxa"/>
          </w:tcPr>
          <w:p w:rsidR="00CA2FD4" w:rsidP="1252F465" w14:paraId="61DB6965" w14:textId="1419654F">
            <w:pPr>
              <w:rPr>
                <w:i/>
                <w:iCs/>
              </w:rPr>
            </w:pPr>
            <w:r>
              <w:t xml:space="preserve">52 </w:t>
            </w:r>
            <w:r>
              <w:t>Respondents</w:t>
            </w:r>
          </w:p>
        </w:tc>
        <w:tc>
          <w:tcPr>
            <w:tcW w:w="1310" w:type="dxa"/>
          </w:tcPr>
          <w:p w:rsidR="00CA2FD4" w:rsidP="00CA2FD4" w14:paraId="39673011" w14:textId="0552F891">
            <w:pPr>
              <w:rPr>
                <w:i/>
              </w:rPr>
            </w:pPr>
            <w:r w:rsidRPr="00CA2FD4">
              <w:rPr>
                <w:iCs/>
              </w:rPr>
              <w:t>15 minutes</w:t>
            </w:r>
          </w:p>
        </w:tc>
        <w:tc>
          <w:tcPr>
            <w:tcW w:w="1870" w:type="dxa"/>
          </w:tcPr>
          <w:p w:rsidR="00CA2FD4" w:rsidP="1252F465" w14:paraId="46ABD6FD" w14:textId="274F8640">
            <w:r w:rsidRPr="1252F465">
              <w:t>13</w:t>
            </w:r>
          </w:p>
        </w:tc>
      </w:tr>
      <w:tr w14:paraId="33E5319E" w14:textId="77777777" w:rsidTr="6327C474">
        <w:tblPrEx>
          <w:tblW w:w="9350" w:type="dxa"/>
          <w:tblLook w:val="04A0"/>
        </w:tblPrEx>
        <w:trPr>
          <w:trHeight w:val="765"/>
        </w:trPr>
        <w:tc>
          <w:tcPr>
            <w:tcW w:w="1870" w:type="dxa"/>
            <w:vMerge/>
          </w:tcPr>
          <w:p w:rsidR="00CA2FD4" w:rsidP="00CA2FD4" w14:paraId="62B2C7C7" w14:textId="77777777">
            <w:pPr>
              <w:rPr>
                <w:i/>
              </w:rPr>
            </w:pPr>
          </w:p>
        </w:tc>
        <w:tc>
          <w:tcPr>
            <w:tcW w:w="1870" w:type="dxa"/>
          </w:tcPr>
          <w:p w:rsidR="00CA2FD4" w:rsidP="00CA2FD4" w14:paraId="7FA6FE79" w14:textId="354B079B">
            <w:pPr>
              <w:rPr>
                <w:i/>
              </w:rPr>
            </w:pPr>
            <w:r w:rsidRPr="00CA2FD4">
              <w:rPr>
                <w:iCs/>
              </w:rPr>
              <w:t>Moderated Cognitive Testing</w:t>
            </w:r>
          </w:p>
        </w:tc>
        <w:tc>
          <w:tcPr>
            <w:tcW w:w="2430" w:type="dxa"/>
          </w:tcPr>
          <w:p w:rsidR="00CA2FD4" w:rsidP="1252F465" w14:paraId="447D5859" w14:textId="16173D77">
            <w:pPr>
              <w:rPr>
                <w:i/>
                <w:iCs/>
              </w:rPr>
            </w:pPr>
            <w:r>
              <w:t xml:space="preserve">10 </w:t>
            </w:r>
            <w:r>
              <w:t>Respondents</w:t>
            </w:r>
          </w:p>
        </w:tc>
        <w:tc>
          <w:tcPr>
            <w:tcW w:w="1310" w:type="dxa"/>
          </w:tcPr>
          <w:p w:rsidR="00CA2FD4" w:rsidP="00CA2FD4" w14:paraId="17B339DB" w14:textId="26EB4237">
            <w:pPr>
              <w:rPr>
                <w:i/>
              </w:rPr>
            </w:pPr>
            <w:r w:rsidRPr="00CA2FD4">
              <w:rPr>
                <w:iCs/>
              </w:rPr>
              <w:t>1 hour</w:t>
            </w:r>
          </w:p>
        </w:tc>
        <w:tc>
          <w:tcPr>
            <w:tcW w:w="1870" w:type="dxa"/>
          </w:tcPr>
          <w:p w:rsidR="00CA2FD4" w:rsidP="1252F465" w14:paraId="51BF5322" w14:textId="1508E0E7">
            <w:r w:rsidRPr="1252F465">
              <w:t>10</w:t>
            </w:r>
          </w:p>
        </w:tc>
      </w:tr>
      <w:tr w14:paraId="05C61289" w14:textId="77777777" w:rsidTr="6327C474">
        <w:tblPrEx>
          <w:tblW w:w="9350" w:type="dxa"/>
          <w:tblLook w:val="04A0"/>
        </w:tblPrEx>
        <w:trPr>
          <w:trHeight w:val="300"/>
        </w:trPr>
        <w:tc>
          <w:tcPr>
            <w:tcW w:w="1870" w:type="dxa"/>
            <w:vMerge/>
            <w:vAlign w:val="center"/>
          </w:tcPr>
          <w:p w:rsidR="00DB46EF" w14:paraId="5E80DC14" w14:textId="77777777"/>
        </w:tc>
        <w:tc>
          <w:tcPr>
            <w:tcW w:w="1870" w:type="dxa"/>
          </w:tcPr>
          <w:p w:rsidR="1252F465" w:rsidP="1252F465" w14:paraId="0D520FA0" w14:textId="2B831109"/>
        </w:tc>
        <w:tc>
          <w:tcPr>
            <w:tcW w:w="2430" w:type="dxa"/>
          </w:tcPr>
          <w:p w:rsidR="66EF4EB2" w14:paraId="04F09FD8" w14:textId="2570764F">
            <w:r>
              <w:t xml:space="preserve">43 </w:t>
            </w:r>
            <w:r w:rsidR="7E7A276F">
              <w:t>Nonrespondents</w:t>
            </w:r>
          </w:p>
          <w:p w:rsidR="1252F465" w:rsidP="1252F465" w14:paraId="13349B20" w14:textId="6A8CB18B"/>
        </w:tc>
        <w:tc>
          <w:tcPr>
            <w:tcW w:w="1310" w:type="dxa"/>
          </w:tcPr>
          <w:p w:rsidR="7E7A276F" w:rsidP="1252F465" w14:paraId="3872BF31" w14:textId="766F40C3">
            <w:r>
              <w:t>5 minutes</w:t>
            </w:r>
          </w:p>
        </w:tc>
        <w:tc>
          <w:tcPr>
            <w:tcW w:w="1870" w:type="dxa"/>
          </w:tcPr>
          <w:p w:rsidR="3FA41907" w:rsidP="1252F465" w14:paraId="5BAD183D" w14:textId="274975F4">
            <w:r w:rsidRPr="1252F465">
              <w:t>3.58</w:t>
            </w:r>
          </w:p>
        </w:tc>
      </w:tr>
      <w:tr w14:paraId="79CA8906" w14:textId="77777777" w:rsidTr="6327C474">
        <w:tblPrEx>
          <w:tblW w:w="9350" w:type="dxa"/>
          <w:tblLook w:val="04A0"/>
        </w:tblPrEx>
        <w:tc>
          <w:tcPr>
            <w:tcW w:w="1870" w:type="dxa"/>
            <w:vMerge w:val="restart"/>
            <w:vAlign w:val="center"/>
          </w:tcPr>
          <w:p w:rsidR="00CA2FD4" w:rsidRPr="00CA2FD4" w:rsidP="00CA2FD4" w14:paraId="3727BA76" w14:textId="4B21CA42">
            <w:pPr>
              <w:jc w:val="center"/>
              <w:rPr>
                <w:iCs/>
              </w:rPr>
            </w:pPr>
            <w:r w:rsidRPr="00CA2FD4">
              <w:rPr>
                <w:iCs/>
              </w:rPr>
              <w:t>Zirconium</w:t>
            </w:r>
          </w:p>
        </w:tc>
        <w:tc>
          <w:tcPr>
            <w:tcW w:w="1870" w:type="dxa"/>
          </w:tcPr>
          <w:p w:rsidR="00CA2FD4" w:rsidP="00CA2FD4" w14:paraId="0A290A60" w14:textId="07B201D6">
            <w:pPr>
              <w:rPr>
                <w:i/>
              </w:rPr>
            </w:pPr>
            <w:r w:rsidRPr="00CA2FD4">
              <w:rPr>
                <w:iCs/>
              </w:rPr>
              <w:t>Unmoderated Cognitive Testing</w:t>
            </w:r>
          </w:p>
        </w:tc>
        <w:tc>
          <w:tcPr>
            <w:tcW w:w="2430" w:type="dxa"/>
          </w:tcPr>
          <w:p w:rsidR="00CA2FD4" w:rsidP="6327C474" w14:paraId="637FBF9E" w14:textId="5ACDF312">
            <w:pPr>
              <w:rPr>
                <w:i/>
                <w:iCs/>
              </w:rPr>
            </w:pPr>
            <w:r>
              <w:t>1</w:t>
            </w:r>
            <w:r w:rsidR="2BC79F9D">
              <w:t>4</w:t>
            </w:r>
            <w:r>
              <w:t xml:space="preserve"> </w:t>
            </w:r>
            <w:r>
              <w:t>Respondents</w:t>
            </w:r>
          </w:p>
        </w:tc>
        <w:tc>
          <w:tcPr>
            <w:tcW w:w="1310" w:type="dxa"/>
          </w:tcPr>
          <w:p w:rsidR="00CA2FD4" w:rsidP="00CA2FD4" w14:paraId="36E6F9D3" w14:textId="0C3D0B1B">
            <w:pPr>
              <w:rPr>
                <w:i/>
              </w:rPr>
            </w:pPr>
            <w:r w:rsidRPr="00CA2FD4">
              <w:rPr>
                <w:iCs/>
              </w:rPr>
              <w:t>15 minutes</w:t>
            </w:r>
          </w:p>
        </w:tc>
        <w:tc>
          <w:tcPr>
            <w:tcW w:w="1870" w:type="dxa"/>
          </w:tcPr>
          <w:p w:rsidR="00CA2FD4" w:rsidP="6327C474" w14:paraId="560ADCEE" w14:textId="5CD39904">
            <w:r>
              <w:t>3.5</w:t>
            </w:r>
          </w:p>
        </w:tc>
      </w:tr>
      <w:tr w14:paraId="2336EDE8" w14:textId="77777777" w:rsidTr="6327C474">
        <w:tblPrEx>
          <w:tblW w:w="9350" w:type="dxa"/>
          <w:tblLook w:val="04A0"/>
        </w:tblPrEx>
        <w:trPr>
          <w:trHeight w:val="251"/>
        </w:trPr>
        <w:tc>
          <w:tcPr>
            <w:tcW w:w="1870" w:type="dxa"/>
            <w:vMerge/>
          </w:tcPr>
          <w:p w:rsidR="00CA2FD4" w:rsidP="00CA2FD4" w14:paraId="29262838" w14:textId="77777777">
            <w:pPr>
              <w:rPr>
                <w:i/>
              </w:rPr>
            </w:pPr>
          </w:p>
        </w:tc>
        <w:tc>
          <w:tcPr>
            <w:tcW w:w="1870" w:type="dxa"/>
          </w:tcPr>
          <w:p w:rsidR="00CA2FD4" w:rsidP="00CA2FD4" w14:paraId="37E1A2D1" w14:textId="19B6AEFF">
            <w:pPr>
              <w:rPr>
                <w:i/>
              </w:rPr>
            </w:pPr>
            <w:r w:rsidRPr="00CA2FD4">
              <w:rPr>
                <w:iCs/>
              </w:rPr>
              <w:t>Moderated Cognitive Testing</w:t>
            </w:r>
          </w:p>
        </w:tc>
        <w:tc>
          <w:tcPr>
            <w:tcW w:w="2430" w:type="dxa"/>
          </w:tcPr>
          <w:p w:rsidR="00CA2FD4" w:rsidP="1252F465" w14:paraId="663007C9" w14:textId="39D4FFB8">
            <w:pPr>
              <w:rPr>
                <w:i/>
                <w:iCs/>
              </w:rPr>
            </w:pPr>
            <w:r>
              <w:t xml:space="preserve">10 </w:t>
            </w:r>
            <w:r>
              <w:t>Respondents</w:t>
            </w:r>
          </w:p>
        </w:tc>
        <w:tc>
          <w:tcPr>
            <w:tcW w:w="1310" w:type="dxa"/>
          </w:tcPr>
          <w:p w:rsidR="00CA2FD4" w:rsidP="00CA2FD4" w14:paraId="5BA79E62" w14:textId="1383CC19">
            <w:pPr>
              <w:rPr>
                <w:i/>
              </w:rPr>
            </w:pPr>
            <w:r w:rsidRPr="00CA2FD4">
              <w:rPr>
                <w:iCs/>
              </w:rPr>
              <w:t>1 hour</w:t>
            </w:r>
          </w:p>
        </w:tc>
        <w:tc>
          <w:tcPr>
            <w:tcW w:w="1870" w:type="dxa"/>
          </w:tcPr>
          <w:p w:rsidR="00CA2FD4" w:rsidP="1252F465" w14:paraId="4873F2D0" w14:textId="1CC05D17">
            <w:r w:rsidRPr="1252F465">
              <w:t>10</w:t>
            </w:r>
          </w:p>
        </w:tc>
      </w:tr>
      <w:tr w14:paraId="14847C89" w14:textId="77777777" w:rsidTr="6327C474">
        <w:tblPrEx>
          <w:tblW w:w="9350" w:type="dxa"/>
          <w:tblLook w:val="04A0"/>
        </w:tblPrEx>
        <w:trPr>
          <w:trHeight w:val="251"/>
        </w:trPr>
        <w:tc>
          <w:tcPr>
            <w:tcW w:w="1870" w:type="dxa"/>
            <w:vMerge/>
            <w:vAlign w:val="center"/>
          </w:tcPr>
          <w:p w:rsidR="00DB46EF" w14:paraId="58A8807E" w14:textId="77777777"/>
        </w:tc>
        <w:tc>
          <w:tcPr>
            <w:tcW w:w="1870" w:type="dxa"/>
          </w:tcPr>
          <w:p w:rsidR="1252F465" w:rsidP="1252F465" w14:paraId="7DA63677" w14:textId="44F0D6DE"/>
        </w:tc>
        <w:tc>
          <w:tcPr>
            <w:tcW w:w="2430" w:type="dxa"/>
          </w:tcPr>
          <w:p w:rsidR="4D099367" w14:paraId="240EDA09" w14:textId="367D83A8">
            <w:r>
              <w:t>0</w:t>
            </w:r>
            <w:r w:rsidR="078D7391">
              <w:t xml:space="preserve"> </w:t>
            </w:r>
            <w:r w:rsidR="4C634660">
              <w:t>Nonrespondents</w:t>
            </w:r>
          </w:p>
          <w:p w:rsidR="1252F465" w:rsidP="1252F465" w14:paraId="5FEFF8EC" w14:textId="05EAA125"/>
        </w:tc>
        <w:tc>
          <w:tcPr>
            <w:tcW w:w="1310" w:type="dxa"/>
          </w:tcPr>
          <w:p w:rsidR="6688CF54" w:rsidP="1252F465" w14:paraId="1CE95B46" w14:textId="1C6D683C">
            <w:r>
              <w:t xml:space="preserve">0 </w:t>
            </w:r>
            <w:r w:rsidR="4C634660">
              <w:t>minutes</w:t>
            </w:r>
          </w:p>
        </w:tc>
        <w:tc>
          <w:tcPr>
            <w:tcW w:w="1870" w:type="dxa"/>
          </w:tcPr>
          <w:p w:rsidR="01FCB36F" w:rsidP="1252F465" w14:paraId="7EF03AAA" w14:textId="7F0C9492">
            <w:r>
              <w:t>0</w:t>
            </w:r>
          </w:p>
        </w:tc>
      </w:tr>
      <w:tr w14:paraId="035218C3" w14:textId="77777777" w:rsidTr="6327C474">
        <w:tblPrEx>
          <w:tblW w:w="9350" w:type="dxa"/>
          <w:tblLook w:val="04A0"/>
        </w:tblPrEx>
        <w:trPr>
          <w:trHeight w:val="251"/>
        </w:trPr>
        <w:tc>
          <w:tcPr>
            <w:tcW w:w="1870" w:type="dxa"/>
          </w:tcPr>
          <w:p w:rsidR="00CA2FD4" w:rsidRPr="00CA2FD4" w:rsidP="00CA2FD4" w14:paraId="2D7ED8E9" w14:textId="47C4776E">
            <w:pPr>
              <w:rPr>
                <w:b/>
                <w:bCs/>
                <w:iCs/>
              </w:rPr>
            </w:pPr>
            <w:r w:rsidRPr="00CA2FD4">
              <w:rPr>
                <w:b/>
                <w:bCs/>
                <w:iCs/>
              </w:rPr>
              <w:t>Totals</w:t>
            </w:r>
          </w:p>
        </w:tc>
        <w:tc>
          <w:tcPr>
            <w:tcW w:w="1870" w:type="dxa"/>
          </w:tcPr>
          <w:p w:rsidR="00CA2FD4" w:rsidP="00CA2FD4" w14:paraId="76541FA2" w14:textId="77777777">
            <w:pPr>
              <w:rPr>
                <w:i/>
              </w:rPr>
            </w:pPr>
          </w:p>
        </w:tc>
        <w:tc>
          <w:tcPr>
            <w:tcW w:w="2430" w:type="dxa"/>
          </w:tcPr>
          <w:p w:rsidR="00CA2FD4" w:rsidRPr="00CA2FD4" w:rsidP="00CA2FD4" w14:paraId="144E8483" w14:textId="0C459F10">
            <w:pPr>
              <w:rPr>
                <w:b/>
                <w:bCs/>
                <w:iCs/>
              </w:rPr>
            </w:pPr>
            <w:r w:rsidRPr="00CA2FD4">
              <w:rPr>
                <w:b/>
                <w:bCs/>
                <w:iCs/>
              </w:rPr>
              <w:t>Respondents</w:t>
            </w:r>
          </w:p>
        </w:tc>
        <w:tc>
          <w:tcPr>
            <w:tcW w:w="1310" w:type="dxa"/>
          </w:tcPr>
          <w:p w:rsidR="00CA2FD4" w:rsidRPr="00CA2FD4" w:rsidP="00CA2FD4" w14:paraId="233E5668" w14:textId="57E3AE37">
            <w:pPr>
              <w:rPr>
                <w:iCs/>
              </w:rPr>
            </w:pPr>
            <w:r>
              <w:rPr>
                <w:iCs/>
              </w:rPr>
              <w:t>--</w:t>
            </w:r>
          </w:p>
        </w:tc>
        <w:tc>
          <w:tcPr>
            <w:tcW w:w="1870" w:type="dxa"/>
          </w:tcPr>
          <w:p w:rsidR="00CA2FD4" w:rsidRPr="00CA2FD4" w:rsidP="1252F465" w14:paraId="29858BD4" w14:textId="0C8F20B3">
            <w:pPr>
              <w:rPr>
                <w:b/>
                <w:bCs/>
              </w:rPr>
            </w:pPr>
            <w:r w:rsidRPr="6327C474">
              <w:rPr>
                <w:b/>
                <w:bCs/>
              </w:rPr>
              <w:t>8</w:t>
            </w:r>
            <w:r w:rsidRPr="6327C474" w:rsidR="185BEC07">
              <w:rPr>
                <w:b/>
                <w:bCs/>
              </w:rPr>
              <w:t>5</w:t>
            </w:r>
            <w:r w:rsidRPr="6327C474">
              <w:rPr>
                <w:b/>
                <w:bCs/>
              </w:rPr>
              <w:t>.8</w:t>
            </w:r>
            <w:r w:rsidRPr="6327C474" w:rsidR="1368B19C">
              <w:rPr>
                <w:b/>
                <w:bCs/>
              </w:rPr>
              <w:t>3</w:t>
            </w:r>
            <w:r w:rsidRPr="6327C474" w:rsidR="185BEC07">
              <w:rPr>
                <w:b/>
                <w:bCs/>
              </w:rPr>
              <w:t xml:space="preserve"> </w:t>
            </w:r>
            <w:r w:rsidRPr="6327C474">
              <w:rPr>
                <w:b/>
                <w:bCs/>
              </w:rPr>
              <w:t>hours</w:t>
            </w:r>
          </w:p>
        </w:tc>
      </w:tr>
    </w:tbl>
    <w:p w:rsidR="00CA2FD4" w:rsidRPr="007E6415" w:rsidP="009D41D4" w14:paraId="2A150DD2" w14:textId="77777777">
      <w:pPr>
        <w:rPr>
          <w:i/>
        </w:rPr>
      </w:pPr>
    </w:p>
    <w:p w:rsidR="009D41D4" w:rsidRPr="007E6415" w:rsidP="009D41D4" w14:paraId="19603535" w14:textId="77777777">
      <w:pPr>
        <w:keepNext/>
        <w:keepLines/>
        <w:rPr>
          <w:b/>
        </w:rPr>
      </w:pPr>
    </w:p>
    <w:p w:rsidR="009D41D4" w:rsidRPr="007E6415" w:rsidP="009D41D4" w14:paraId="521CD3EC" w14:textId="77777777"/>
    <w:p w:rsidR="009D41D4" w:rsidRPr="00C25A19" w:rsidP="009D41D4" w14:paraId="36FAF833" w14:textId="31DAFEDD">
      <w:r w:rsidRPr="6327C474">
        <w:rPr>
          <w:b/>
          <w:bCs/>
        </w:rPr>
        <w:t>ESTIMATE OF RESPONDENT BURDEN HOURS AND COST</w:t>
      </w:r>
      <w:r>
        <w:t xml:space="preserve"> – The burden to respondents is </w:t>
      </w:r>
      <w:r w:rsidR="5D8B664B">
        <w:t>85.</w:t>
      </w:r>
      <w:r w:rsidR="57CBB28A">
        <w:t>83</w:t>
      </w:r>
      <w:r>
        <w:t xml:space="preserve"> hours and the cost to the respondents is estimated to be ($94.99</w:t>
      </w:r>
      <w:r w:rsidR="00DB3AB5">
        <w:t xml:space="preserve"> </w:t>
      </w:r>
      <w:r w:rsidR="000B07A5">
        <w:t xml:space="preserve">(FTE hourly pay rate) </w:t>
      </w:r>
      <w:r>
        <w:t>*</w:t>
      </w:r>
      <w:r w:rsidR="00DB3AB5">
        <w:t xml:space="preserve"> </w:t>
      </w:r>
      <w:r w:rsidR="3BC49614">
        <w:t>8</w:t>
      </w:r>
      <w:r w:rsidR="1E8096FF">
        <w:t>5</w:t>
      </w:r>
      <w:r w:rsidR="3BC49614">
        <w:t>.8</w:t>
      </w:r>
      <w:r w:rsidR="6A05ABC9">
        <w:t>3</w:t>
      </w:r>
      <w:r>
        <w:t xml:space="preserve"> </w:t>
      </w:r>
      <w:r w:rsidR="00DB3AB5">
        <w:t>hours</w:t>
      </w:r>
      <w:r w:rsidR="000B07A5">
        <w:t>)</w:t>
      </w:r>
      <w:r w:rsidR="00DB3AB5">
        <w:t xml:space="preserve"> </w:t>
      </w:r>
      <w:r>
        <w:t>= $</w:t>
      </w:r>
      <w:r w:rsidR="0271217D">
        <w:t>8,</w:t>
      </w:r>
      <w:r w:rsidR="5C45424B">
        <w:t>152</w:t>
      </w:r>
      <w:r w:rsidR="0271217D">
        <w:t>.</w:t>
      </w:r>
      <w:r w:rsidR="666A3FBA">
        <w:t>99</w:t>
      </w:r>
    </w:p>
    <w:p w:rsidR="009D41D4" w:rsidP="009D41D4" w14:paraId="551092D8" w14:textId="77777777">
      <w:pPr>
        <w:rPr>
          <w:b/>
        </w:rPr>
      </w:pPr>
    </w:p>
    <w:p w:rsidR="009D41D4" w:rsidP="009D41D4" w14:paraId="77DE4BE5" w14:textId="77777777">
      <w:r w:rsidRPr="007E6415">
        <w:rPr>
          <w:b/>
        </w:rPr>
        <w:t xml:space="preserve">FEDERAL COST:  </w:t>
      </w:r>
      <w:r w:rsidRPr="007E6415">
        <w:t>The estimated annual cost to the Federal government is</w:t>
      </w:r>
      <w:r>
        <w:t>:</w:t>
      </w:r>
    </w:p>
    <w:p w:rsidR="009D41D4" w:rsidP="009D41D4" w14:paraId="261291D2" w14:textId="77777777"/>
    <w:tbl>
      <w:tblPr>
        <w:tblStyle w:val="TableGrid"/>
        <w:tblW w:w="0" w:type="auto"/>
        <w:tblLook w:val="04A0"/>
      </w:tblPr>
      <w:tblGrid>
        <w:gridCol w:w="3775"/>
        <w:gridCol w:w="1530"/>
      </w:tblGrid>
      <w:tr w14:paraId="6FCEBD34" w14:textId="77777777" w:rsidTr="1252F465">
        <w:tblPrEx>
          <w:tblW w:w="0" w:type="auto"/>
          <w:tblLook w:val="04A0"/>
        </w:tblPrEx>
        <w:tc>
          <w:tcPr>
            <w:tcW w:w="3775" w:type="dxa"/>
          </w:tcPr>
          <w:p w:rsidR="009D41D4" w:rsidRPr="000B07A5" w:rsidP="005B2440" w14:paraId="3170E20F" w14:textId="77777777">
            <w:pPr>
              <w:rPr>
                <w:b/>
                <w:sz w:val="24"/>
                <w:szCs w:val="24"/>
              </w:rPr>
            </w:pPr>
            <w:r w:rsidRPr="000B07A5">
              <w:rPr>
                <w:b/>
                <w:sz w:val="24"/>
                <w:szCs w:val="24"/>
              </w:rPr>
              <w:t xml:space="preserve">Activity </w:t>
            </w:r>
          </w:p>
        </w:tc>
        <w:tc>
          <w:tcPr>
            <w:tcW w:w="1530" w:type="dxa"/>
          </w:tcPr>
          <w:p w:rsidR="009D41D4" w:rsidRPr="000B07A5" w:rsidP="005B2440" w14:paraId="529D18D6" w14:textId="77777777">
            <w:pPr>
              <w:rPr>
                <w:b/>
                <w:sz w:val="24"/>
                <w:szCs w:val="24"/>
              </w:rPr>
            </w:pPr>
            <w:r w:rsidRPr="000B07A5">
              <w:rPr>
                <w:b/>
                <w:sz w:val="24"/>
                <w:szCs w:val="24"/>
              </w:rPr>
              <w:t>Hours</w:t>
            </w:r>
          </w:p>
        </w:tc>
      </w:tr>
      <w:tr w14:paraId="2CC4FADC" w14:textId="77777777" w:rsidTr="1252F465">
        <w:tblPrEx>
          <w:tblW w:w="0" w:type="auto"/>
          <w:tblLook w:val="04A0"/>
        </w:tblPrEx>
        <w:tc>
          <w:tcPr>
            <w:tcW w:w="3775" w:type="dxa"/>
          </w:tcPr>
          <w:p w:rsidR="009D41D4" w:rsidRPr="000B07A5" w:rsidP="005B2440" w14:paraId="693D7092" w14:textId="77777777">
            <w:pPr>
              <w:rPr>
                <w:sz w:val="24"/>
                <w:szCs w:val="24"/>
              </w:rPr>
            </w:pPr>
            <w:r w:rsidRPr="000B07A5">
              <w:rPr>
                <w:sz w:val="24"/>
                <w:szCs w:val="24"/>
              </w:rPr>
              <w:t xml:space="preserve">Drafting Protocol </w:t>
            </w:r>
          </w:p>
        </w:tc>
        <w:tc>
          <w:tcPr>
            <w:tcW w:w="1530" w:type="dxa"/>
          </w:tcPr>
          <w:p w:rsidR="009D41D4" w:rsidRPr="000B07A5" w:rsidP="005B2440" w14:paraId="75147477" w14:textId="52E51A4D">
            <w:pPr>
              <w:rPr>
                <w:sz w:val="24"/>
                <w:szCs w:val="24"/>
              </w:rPr>
            </w:pPr>
            <w:r w:rsidRPr="000B07A5">
              <w:rPr>
                <w:sz w:val="24"/>
                <w:szCs w:val="24"/>
              </w:rPr>
              <w:t>8</w:t>
            </w:r>
            <w:r w:rsidRPr="000B07A5">
              <w:rPr>
                <w:sz w:val="24"/>
                <w:szCs w:val="24"/>
              </w:rPr>
              <w:t>0 hours</w:t>
            </w:r>
          </w:p>
        </w:tc>
      </w:tr>
      <w:tr w14:paraId="7E989A66" w14:textId="77777777" w:rsidTr="1252F465">
        <w:tblPrEx>
          <w:tblW w:w="0" w:type="auto"/>
          <w:tblLook w:val="04A0"/>
        </w:tblPrEx>
        <w:tc>
          <w:tcPr>
            <w:tcW w:w="3775" w:type="dxa"/>
          </w:tcPr>
          <w:p w:rsidR="009D41D4" w:rsidRPr="000B07A5" w:rsidP="005B2440" w14:paraId="1BD886B1" w14:textId="43850DDB">
            <w:pPr>
              <w:rPr>
                <w:sz w:val="24"/>
                <w:szCs w:val="24"/>
              </w:rPr>
            </w:pPr>
            <w:r w:rsidRPr="000B07A5">
              <w:rPr>
                <w:sz w:val="24"/>
                <w:szCs w:val="24"/>
              </w:rPr>
              <w:t xml:space="preserve">Conducting unmoderated cognitive interviews </w:t>
            </w:r>
          </w:p>
        </w:tc>
        <w:tc>
          <w:tcPr>
            <w:tcW w:w="1530" w:type="dxa"/>
          </w:tcPr>
          <w:p w:rsidR="009D41D4" w:rsidRPr="000B07A5" w:rsidP="005B2440" w14:paraId="5CB3F3B0" w14:textId="6FE1311E">
            <w:pPr>
              <w:rPr>
                <w:sz w:val="24"/>
                <w:szCs w:val="24"/>
              </w:rPr>
            </w:pPr>
            <w:r w:rsidRPr="000B07A5">
              <w:rPr>
                <w:sz w:val="24"/>
                <w:szCs w:val="24"/>
              </w:rPr>
              <w:t xml:space="preserve"> </w:t>
            </w:r>
            <w:r w:rsidRPr="000B07A5" w:rsidR="49B29BE8">
              <w:rPr>
                <w:sz w:val="24"/>
                <w:szCs w:val="24"/>
              </w:rPr>
              <w:t xml:space="preserve"> </w:t>
            </w:r>
            <w:r w:rsidRPr="000B07A5" w:rsidR="5EEC13BA">
              <w:rPr>
                <w:sz w:val="24"/>
                <w:szCs w:val="24"/>
              </w:rPr>
              <w:t xml:space="preserve">1 </w:t>
            </w:r>
            <w:r w:rsidRPr="000B07A5">
              <w:rPr>
                <w:sz w:val="24"/>
                <w:szCs w:val="24"/>
              </w:rPr>
              <w:t>hour</w:t>
            </w:r>
          </w:p>
        </w:tc>
      </w:tr>
      <w:tr w14:paraId="6CBABB6D" w14:textId="77777777" w:rsidTr="1252F465">
        <w:tblPrEx>
          <w:tblW w:w="0" w:type="auto"/>
          <w:tblLook w:val="04A0"/>
        </w:tblPrEx>
        <w:trPr>
          <w:trHeight w:val="300"/>
        </w:trPr>
        <w:tc>
          <w:tcPr>
            <w:tcW w:w="3775" w:type="dxa"/>
          </w:tcPr>
          <w:p w:rsidR="208B248D" w:rsidRPr="000B07A5" w:rsidP="1252F465" w14:paraId="02510378" w14:textId="78F9F652">
            <w:pPr>
              <w:rPr>
                <w:sz w:val="24"/>
                <w:szCs w:val="24"/>
              </w:rPr>
            </w:pPr>
            <w:r w:rsidRPr="000B07A5">
              <w:rPr>
                <w:sz w:val="24"/>
                <w:szCs w:val="24"/>
              </w:rPr>
              <w:t xml:space="preserve">Nonresponse </w:t>
            </w:r>
            <w:r w:rsidRPr="000B07A5" w:rsidR="00874F36">
              <w:rPr>
                <w:sz w:val="24"/>
                <w:szCs w:val="24"/>
              </w:rPr>
              <w:t>follow-u</w:t>
            </w:r>
            <w:r w:rsidRPr="000B07A5" w:rsidR="00874F36">
              <w:t>p</w:t>
            </w:r>
          </w:p>
        </w:tc>
        <w:tc>
          <w:tcPr>
            <w:tcW w:w="1530" w:type="dxa"/>
          </w:tcPr>
          <w:p w:rsidR="08B74385" w:rsidRPr="000B07A5" w:rsidP="1252F465" w14:paraId="01D3EDD4" w14:textId="74A92740">
            <w:pPr>
              <w:rPr>
                <w:sz w:val="24"/>
                <w:szCs w:val="24"/>
              </w:rPr>
            </w:pPr>
            <w:r w:rsidRPr="000B07A5">
              <w:rPr>
                <w:sz w:val="24"/>
                <w:szCs w:val="24"/>
              </w:rPr>
              <w:t xml:space="preserve">  </w:t>
            </w:r>
            <w:r w:rsidRPr="000B07A5" w:rsidR="64BCA3CC">
              <w:rPr>
                <w:sz w:val="24"/>
                <w:szCs w:val="24"/>
              </w:rPr>
              <w:t>5 hours</w:t>
            </w:r>
          </w:p>
        </w:tc>
      </w:tr>
      <w:tr w14:paraId="678FFDE9" w14:textId="77777777" w:rsidTr="1252F465">
        <w:tblPrEx>
          <w:tblW w:w="0" w:type="auto"/>
          <w:tblLook w:val="04A0"/>
        </w:tblPrEx>
        <w:tc>
          <w:tcPr>
            <w:tcW w:w="3775" w:type="dxa"/>
          </w:tcPr>
          <w:p w:rsidR="009D41D4" w:rsidRPr="000B07A5" w:rsidP="005B2440" w14:paraId="5134E111" w14:textId="692B8C82">
            <w:pPr>
              <w:rPr>
                <w:sz w:val="24"/>
                <w:szCs w:val="24"/>
              </w:rPr>
            </w:pPr>
            <w:r w:rsidRPr="000B07A5">
              <w:rPr>
                <w:sz w:val="24"/>
                <w:szCs w:val="24"/>
              </w:rPr>
              <w:t>Recruiting and conducting moderated interviews</w:t>
            </w:r>
          </w:p>
        </w:tc>
        <w:tc>
          <w:tcPr>
            <w:tcW w:w="1530" w:type="dxa"/>
          </w:tcPr>
          <w:p w:rsidR="009D41D4" w:rsidRPr="000B07A5" w:rsidP="005B2440" w14:paraId="74AB37FE" w14:textId="459A05EE">
            <w:pPr>
              <w:rPr>
                <w:sz w:val="24"/>
                <w:szCs w:val="24"/>
              </w:rPr>
            </w:pPr>
            <w:r w:rsidRPr="000B07A5">
              <w:rPr>
                <w:sz w:val="24"/>
                <w:szCs w:val="24"/>
              </w:rPr>
              <w:t xml:space="preserve">30 </w:t>
            </w:r>
            <w:r w:rsidRPr="000B07A5" w:rsidR="3B123570">
              <w:rPr>
                <w:sz w:val="24"/>
                <w:szCs w:val="24"/>
              </w:rPr>
              <w:t>hours</w:t>
            </w:r>
          </w:p>
        </w:tc>
      </w:tr>
      <w:tr w14:paraId="53BB5CD5" w14:textId="77777777" w:rsidTr="1252F465">
        <w:tblPrEx>
          <w:tblW w:w="0" w:type="auto"/>
          <w:tblLook w:val="04A0"/>
        </w:tblPrEx>
        <w:tc>
          <w:tcPr>
            <w:tcW w:w="3775" w:type="dxa"/>
          </w:tcPr>
          <w:p w:rsidR="009D41D4" w:rsidRPr="000B07A5" w:rsidP="005B2440" w14:paraId="3F6837BC" w14:textId="77777777">
            <w:pPr>
              <w:rPr>
                <w:sz w:val="24"/>
                <w:szCs w:val="24"/>
              </w:rPr>
            </w:pPr>
            <w:r w:rsidRPr="000B07A5">
              <w:rPr>
                <w:sz w:val="24"/>
                <w:szCs w:val="24"/>
              </w:rPr>
              <w:t>Analyzing Results / Report Writing</w:t>
            </w:r>
          </w:p>
        </w:tc>
        <w:tc>
          <w:tcPr>
            <w:tcW w:w="1530" w:type="dxa"/>
          </w:tcPr>
          <w:p w:rsidR="009D41D4" w:rsidRPr="000B07A5" w:rsidP="005B2440" w14:paraId="1C2F0ABB" w14:textId="12BB1B86">
            <w:pPr>
              <w:rPr>
                <w:sz w:val="24"/>
                <w:szCs w:val="24"/>
              </w:rPr>
            </w:pPr>
            <w:r w:rsidRPr="000B07A5">
              <w:rPr>
                <w:sz w:val="24"/>
                <w:szCs w:val="24"/>
              </w:rPr>
              <w:t>16</w:t>
            </w:r>
            <w:r w:rsidRPr="000B07A5" w:rsidR="00CA2FD4">
              <w:rPr>
                <w:sz w:val="24"/>
                <w:szCs w:val="24"/>
              </w:rPr>
              <w:t xml:space="preserve">0 </w:t>
            </w:r>
            <w:r w:rsidRPr="000B07A5">
              <w:rPr>
                <w:sz w:val="24"/>
                <w:szCs w:val="24"/>
              </w:rPr>
              <w:t>hours</w:t>
            </w:r>
          </w:p>
        </w:tc>
      </w:tr>
    </w:tbl>
    <w:p w:rsidR="009D41D4" w:rsidRPr="00177253" w:rsidP="009D41D4" w14:paraId="55E53A5C" w14:textId="77777777"/>
    <w:p w:rsidR="009D41D4" w:rsidRPr="00177253" w:rsidP="009D41D4" w14:paraId="55FCB33D" w14:textId="6BB6A987">
      <w:r>
        <w:t>276</w:t>
      </w:r>
      <w:r>
        <w:t xml:space="preserve"> hours * $94.99 (FTE hourly pay rate) = $</w:t>
      </w:r>
      <w:r w:rsidR="113EC51D">
        <w:t>26,217.24</w:t>
      </w:r>
    </w:p>
    <w:p w:rsidR="009D41D4" w:rsidP="009D41D4" w14:paraId="5A750081" w14:textId="77777777"/>
    <w:p w:rsidR="009D41D4" w:rsidP="009D41D4" w14:paraId="55A12A6E" w14:textId="77777777"/>
    <w:p w:rsidR="009D41D4" w:rsidRPr="007E6415" w:rsidP="009D41D4" w14:paraId="22E5A870" w14:textId="77777777">
      <w:pPr>
        <w:rPr>
          <w:b/>
        </w:rPr>
      </w:pPr>
      <w:r w:rsidRPr="007E6415">
        <w:rPr>
          <w:b/>
          <w:bCs/>
          <w:u w:val="single"/>
        </w:rPr>
        <w:t>If you are conducting a focus group, survey, or plan to employ statistical methods, please provide answers to the following questions:</w:t>
      </w:r>
    </w:p>
    <w:p w:rsidR="009D41D4" w:rsidRPr="007E6415" w:rsidP="009D41D4" w14:paraId="5F7B886F" w14:textId="77777777">
      <w:pPr>
        <w:rPr>
          <w:b/>
        </w:rPr>
      </w:pPr>
    </w:p>
    <w:p w:rsidR="009D41D4" w:rsidRPr="007E6415" w:rsidP="009D41D4" w14:paraId="212DE98F" w14:textId="77777777">
      <w:pPr>
        <w:rPr>
          <w:b/>
        </w:rPr>
      </w:pPr>
      <w:r w:rsidRPr="007E6415">
        <w:rPr>
          <w:b/>
        </w:rPr>
        <w:t>The selection of your targeted respondents</w:t>
      </w:r>
    </w:p>
    <w:p w:rsidR="009D41D4" w:rsidRPr="007E6415" w:rsidP="009D41D4" w14:paraId="7965E79D" w14:textId="77777777">
      <w:pPr>
        <w:pStyle w:val="ListParagraph"/>
        <w:numPr>
          <w:ilvl w:val="0"/>
          <w:numId w:val="2"/>
        </w:numPr>
      </w:pPr>
      <w:r w:rsidRPr="007E6415">
        <w:t>Do you have a customer list or something similar that defines the universe of potential respondents and do you have a sampling plan for selecting from this universe?</w:t>
      </w:r>
      <w:r w:rsidRPr="007E6415">
        <w:tab/>
      </w:r>
      <w:r w:rsidRPr="007E6415">
        <w:tab/>
      </w:r>
      <w:r w:rsidRPr="007E6415">
        <w:tab/>
      </w:r>
      <w:r w:rsidRPr="007E6415">
        <w:tab/>
      </w:r>
      <w:r w:rsidRPr="007E6415">
        <w:tab/>
      </w:r>
      <w:r w:rsidRPr="007E6415">
        <w:tab/>
      </w:r>
      <w:r w:rsidRPr="007E6415">
        <w:tab/>
      </w:r>
      <w:r w:rsidRPr="007E6415">
        <w:tab/>
      </w:r>
      <w:r w:rsidRPr="007E6415">
        <w:tab/>
      </w:r>
      <w:r w:rsidRPr="007E6415">
        <w:tab/>
      </w:r>
      <w:r w:rsidRPr="007E6415">
        <w:tab/>
        <w:t>[</w:t>
      </w:r>
      <w:r>
        <w:t xml:space="preserve"> x</w:t>
      </w:r>
      <w:r w:rsidRPr="007E6415">
        <w:t>] Yes</w:t>
      </w:r>
      <w:r w:rsidRPr="007E6415">
        <w:tab/>
        <w:t>[ ] No</w:t>
      </w:r>
    </w:p>
    <w:p w:rsidR="009D41D4" w:rsidRPr="007E6415" w:rsidP="009D41D4" w14:paraId="55737BFA" w14:textId="77777777">
      <w:pPr>
        <w:pStyle w:val="ListParagraph"/>
      </w:pPr>
    </w:p>
    <w:p w:rsidR="009D41D4" w:rsidP="009D41D4" w14:paraId="4A680F18" w14:textId="77777777">
      <w:r w:rsidRPr="007E6415">
        <w:t xml:space="preserve">If the answer is yes, please provide a description of both below (or attach the sampling plan)?   If the answer is no, please provide a description of how you plan to identify your potential group of respondents and how you will select </w:t>
      </w:r>
      <w:r w:rsidRPr="007E6415">
        <w:t>them?</w:t>
      </w:r>
    </w:p>
    <w:p w:rsidR="009D41D4" w:rsidP="009D41D4" w14:paraId="1517ED6E" w14:textId="77777777"/>
    <w:p w:rsidR="00AE40EB" w:rsidP="1252F465" w14:paraId="2ACF512D" w14:textId="652F42A9">
      <w:r>
        <w:t>For vanadium, c</w:t>
      </w:r>
      <w:r w:rsidR="009D41D4">
        <w:t>ontact information for participants will be from the existing EIA-</w:t>
      </w:r>
      <w:r>
        <w:t>810</w:t>
      </w:r>
      <w:r w:rsidR="009D41D4">
        <w:t xml:space="preserve"> </w:t>
      </w:r>
      <w:r w:rsidR="63904556">
        <w:t>frame</w:t>
      </w:r>
      <w:r w:rsidR="009D41D4">
        <w:t xml:space="preserve"> There is a total of </w:t>
      </w:r>
      <w:r w:rsidR="778616A3">
        <w:t xml:space="preserve">132 refineries with 105 unique respondent emails </w:t>
      </w:r>
      <w:r w:rsidR="009D41D4">
        <w:t>in the frame. EIA will send email invitations to</w:t>
      </w:r>
      <w:r w:rsidR="36E359FF">
        <w:t xml:space="preserve"> the 105 unique respondents</w:t>
      </w:r>
      <w:r w:rsidR="009D41D4">
        <w:t xml:space="preserve">. The email invitation will ask respondents if they would be willing </w:t>
      </w:r>
      <w:r>
        <w:t xml:space="preserve">to complete a brief survey (unmoderated cognitive interviews). Nonrespondents will be sent two additional emails and then EIA will call respondents to remind them to complete the survey. During this call, respondents will be given the option to participate in a </w:t>
      </w:r>
      <w:r w:rsidR="005137FC">
        <w:t>moderate</w:t>
      </w:r>
      <w:r w:rsidR="00E94AFA">
        <w:t>d</w:t>
      </w:r>
      <w:r>
        <w:t xml:space="preserve"> cognitive interview. EIA will interview up to </w:t>
      </w:r>
      <w:r w:rsidR="65393FEF">
        <w:t xml:space="preserve">10 </w:t>
      </w:r>
      <w:r>
        <w:t xml:space="preserve">respondents. </w:t>
      </w:r>
      <w:r w:rsidR="5F6FF340">
        <w:t xml:space="preserve">If respondents wish, they can also provide responses to the survey questions over the phone. </w:t>
      </w:r>
    </w:p>
    <w:p w:rsidR="00236A04" w:rsidP="009D41D4" w14:paraId="7AAE9A20" w14:textId="77777777">
      <w:pPr>
        <w:rPr>
          <w:highlight w:val="yellow"/>
        </w:rPr>
      </w:pPr>
    </w:p>
    <w:p w:rsidR="00236A04" w:rsidP="2DA33590" w14:paraId="3251217D" w14:textId="02ECBE7A">
      <w:r>
        <w:t>For zirconium, contact information for participants will be from the existing EIA-</w:t>
      </w:r>
      <w:r w:rsidR="008765A5">
        <w:t>858</w:t>
      </w:r>
      <w:r>
        <w:t xml:space="preserve"> </w:t>
      </w:r>
      <w:r w:rsidR="343E9507">
        <w:t>fram</w:t>
      </w:r>
      <w:r>
        <w:t>e. There is a total of</w:t>
      </w:r>
      <w:r w:rsidR="41FFB600">
        <w:t xml:space="preserve"> 6</w:t>
      </w:r>
      <w:r>
        <w:t xml:space="preserve"> entities</w:t>
      </w:r>
      <w:r w:rsidR="008765A5">
        <w:t xml:space="preserve"> that are </w:t>
      </w:r>
      <w:r w:rsidR="349FAA98">
        <w:t xml:space="preserve">nuclear </w:t>
      </w:r>
      <w:r w:rsidR="008765A5">
        <w:t>fuel fabricators</w:t>
      </w:r>
      <w:r>
        <w:t xml:space="preserve"> </w:t>
      </w:r>
      <w:r w:rsidR="6049B36A">
        <w:t>and 1</w:t>
      </w:r>
      <w:r w:rsidR="31D68D7E">
        <w:t>9</w:t>
      </w:r>
      <w:r w:rsidR="6049B36A">
        <w:t xml:space="preserve"> tube manufacturers and alloy suppliers </w:t>
      </w:r>
      <w:r>
        <w:t>in the frame for the EIA-858.</w:t>
      </w:r>
      <w:r w:rsidR="00AE40EB">
        <w:t xml:space="preserve"> EIA will send email invitations to </w:t>
      </w:r>
      <w:r w:rsidR="3853EDAF">
        <w:t xml:space="preserve">all </w:t>
      </w:r>
      <w:r w:rsidR="006F7036">
        <w:t>2</w:t>
      </w:r>
      <w:r w:rsidR="006F7036">
        <w:t>4</w:t>
      </w:r>
      <w:r w:rsidR="006F7036">
        <w:t xml:space="preserve"> </w:t>
      </w:r>
      <w:r w:rsidR="3853EDAF">
        <w:t>entities</w:t>
      </w:r>
      <w:r w:rsidR="00AE40EB">
        <w:t xml:space="preserve">. The email invitation will ask respondents if they would be willing to complete a brief survey (unmoderated cognitive interviews). Nonrespondents will be sent two additional emails and then EIA will call respondents to remind them to complete the survey. During this call, respondents will be given the option to participate in a </w:t>
      </w:r>
      <w:r w:rsidR="00E94AFA">
        <w:t>moderated</w:t>
      </w:r>
      <w:r w:rsidR="00AE40EB">
        <w:t xml:space="preserve"> cognitive interview. EIA will interview</w:t>
      </w:r>
      <w:r w:rsidR="29E459C8">
        <w:t xml:space="preserve"> respondents from</w:t>
      </w:r>
      <w:r w:rsidR="00AE40EB">
        <w:t xml:space="preserve"> up to </w:t>
      </w:r>
      <w:r w:rsidR="51056A54">
        <w:t>10 entities</w:t>
      </w:r>
      <w:r w:rsidR="00AE40EB">
        <w:t>.</w:t>
      </w:r>
      <w:r w:rsidR="21F2F673">
        <w:t xml:space="preserve"> If respondents wish, they can also provide responses to the survey questions over the phone.</w:t>
      </w:r>
    </w:p>
    <w:p w:rsidR="00236A04" w:rsidP="009D41D4" w14:paraId="3429CFCD" w14:textId="77777777">
      <w:pPr>
        <w:rPr>
          <w:highlight w:val="yellow"/>
        </w:rPr>
      </w:pPr>
    </w:p>
    <w:p w:rsidR="008765A5" w:rsidP="2DA33590" w14:paraId="6FDCDE26" w14:textId="73939FC8">
      <w:r>
        <w:t xml:space="preserve">For graphite, </w:t>
      </w:r>
      <w:r w:rsidR="41786614">
        <w:t xml:space="preserve">EIA </w:t>
      </w:r>
      <w:r w:rsidR="500CAC7F">
        <w:t xml:space="preserve">developed a list of </w:t>
      </w:r>
      <w:r w:rsidR="41786614">
        <w:t>battery supply chain entities</w:t>
      </w:r>
      <w:r w:rsidR="530B7F77">
        <w:t xml:space="preserve">. The list contains </w:t>
      </w:r>
      <w:r w:rsidR="5D6A979D">
        <w:t>219</w:t>
      </w:r>
      <w:r w:rsidR="530B7F77">
        <w:t xml:space="preserve"> entities. </w:t>
      </w:r>
      <w:r w:rsidR="00AE40EB">
        <w:t xml:space="preserve">EIA will send email invitations to </w:t>
      </w:r>
      <w:r w:rsidR="75473981">
        <w:t xml:space="preserve">all </w:t>
      </w:r>
      <w:r w:rsidR="25678D26">
        <w:t>219</w:t>
      </w:r>
      <w:r w:rsidR="75473981">
        <w:t xml:space="preserve"> entities and invite them to complete</w:t>
      </w:r>
      <w:r w:rsidR="00AE40EB">
        <w:t xml:space="preserve"> a brief survey (unmoderated cognitive interviews). Nonrespondents will be sent two additional emails and then EIA will call respondents to remind them to complete the survey. During this call, respondents will be given the option to participate in a moderated cognitive interview. EIA will interview up to</w:t>
      </w:r>
      <w:r w:rsidR="714FB750">
        <w:t xml:space="preserve"> 10 entities. </w:t>
      </w:r>
      <w:r w:rsidR="2B8E5160">
        <w:t>If respondents wish, they can also provide responses to the survey questions over the phone.</w:t>
      </w:r>
    </w:p>
    <w:p w:rsidR="009D41D4" w:rsidP="009D41D4" w14:paraId="55A4CBAB" w14:textId="77777777"/>
    <w:p w:rsidR="009D41D4" w:rsidRPr="007E6415" w:rsidP="009D41D4" w14:paraId="2E2654AF" w14:textId="77777777">
      <w:pPr>
        <w:rPr>
          <w:b/>
        </w:rPr>
      </w:pPr>
      <w:r w:rsidRPr="007E6415">
        <w:rPr>
          <w:b/>
        </w:rPr>
        <w:t>Administration of the Instrument</w:t>
      </w:r>
    </w:p>
    <w:p w:rsidR="009D41D4" w:rsidRPr="007E6415" w:rsidP="009D41D4" w14:paraId="0F8B9731" w14:textId="77777777">
      <w:pPr>
        <w:pStyle w:val="ListParagraph"/>
        <w:numPr>
          <w:ilvl w:val="0"/>
          <w:numId w:val="3"/>
        </w:numPr>
      </w:pPr>
      <w:r w:rsidRPr="007E6415">
        <w:t>How will you collect the information? (Check all that apply)</w:t>
      </w:r>
    </w:p>
    <w:p w:rsidR="009D41D4" w:rsidRPr="007E6415" w:rsidP="009D41D4" w14:paraId="7933EF91" w14:textId="6413178A">
      <w:pPr>
        <w:ind w:left="720"/>
      </w:pPr>
      <w:r w:rsidRPr="007E6415">
        <w:t>[</w:t>
      </w:r>
      <w:r>
        <w:t>x</w:t>
      </w:r>
      <w:r w:rsidRPr="007E6415">
        <w:t xml:space="preserve">] Web-based or other forms of </w:t>
      </w:r>
      <w:r w:rsidRPr="007E6415">
        <w:t>Social Media</w:t>
      </w:r>
      <w:r w:rsidRPr="007E6415">
        <w:t xml:space="preserve"> </w:t>
      </w:r>
    </w:p>
    <w:p w:rsidR="009D41D4" w:rsidRPr="007E6415" w:rsidP="009D41D4" w14:paraId="587A736D" w14:textId="3638108C">
      <w:pPr>
        <w:ind w:left="720"/>
      </w:pPr>
      <w:r>
        <w:t xml:space="preserve">[ </w:t>
      </w:r>
      <w:r w:rsidR="6C7DFBDD">
        <w:t>x</w:t>
      </w:r>
      <w:r>
        <w:t>] Telephone</w:t>
      </w:r>
      <w:r>
        <w:tab/>
      </w:r>
    </w:p>
    <w:p w:rsidR="009D41D4" w:rsidRPr="007E6415" w:rsidP="009D41D4" w14:paraId="6CAB1036" w14:textId="77777777">
      <w:pPr>
        <w:ind w:left="720"/>
      </w:pPr>
      <w:r w:rsidRPr="007E6415">
        <w:t>[</w:t>
      </w:r>
      <w:r>
        <w:t xml:space="preserve"> </w:t>
      </w:r>
      <w:r w:rsidRPr="007E6415">
        <w:t>] In-person</w:t>
      </w:r>
      <w:r w:rsidRPr="007E6415">
        <w:tab/>
      </w:r>
    </w:p>
    <w:p w:rsidR="009D41D4" w:rsidRPr="007E6415" w:rsidP="009D41D4" w14:paraId="7999CBDE" w14:textId="77777777">
      <w:pPr>
        <w:ind w:left="720"/>
      </w:pPr>
      <w:r w:rsidRPr="007E6415">
        <w:t xml:space="preserve">[ ] Mail </w:t>
      </w:r>
    </w:p>
    <w:p w:rsidR="009D41D4" w:rsidRPr="007E6415" w:rsidP="009D41D4" w14:paraId="1C2F055A" w14:textId="6A1F3BAB">
      <w:pPr>
        <w:ind w:left="720"/>
      </w:pPr>
      <w:r w:rsidRPr="007E6415">
        <w:t>[</w:t>
      </w:r>
      <w:r>
        <w:t>x</w:t>
      </w:r>
      <w:r w:rsidRPr="007E6415">
        <w:t>] Other, Explain</w:t>
      </w:r>
      <w:r>
        <w:t>: Video Conferencing</w:t>
      </w:r>
    </w:p>
    <w:p w:rsidR="009D41D4" w:rsidRPr="007E6415" w:rsidP="009D41D4" w14:paraId="52ED115B" w14:textId="77777777">
      <w:pPr>
        <w:pStyle w:val="ListParagraph"/>
        <w:numPr>
          <w:ilvl w:val="0"/>
          <w:numId w:val="3"/>
        </w:numPr>
      </w:pPr>
      <w:r w:rsidRPr="007E6415">
        <w:t xml:space="preserve">Will interviewers or facilitators be used?  [ </w:t>
      </w:r>
      <w:r>
        <w:t>x</w:t>
      </w:r>
      <w:r w:rsidRPr="007E6415">
        <w:t>] Yes [ ] No</w:t>
      </w:r>
    </w:p>
    <w:p w:rsidR="009D41D4" w:rsidRPr="007E6415" w:rsidP="009D41D4" w14:paraId="6BBFAAB8" w14:textId="77777777">
      <w:pPr>
        <w:pStyle w:val="ListParagraph"/>
        <w:ind w:left="360"/>
      </w:pPr>
      <w:r w:rsidRPr="007E6415">
        <w:t xml:space="preserve"> </w:t>
      </w:r>
    </w:p>
    <w:p w:rsidR="009D41D4" w:rsidP="009D41D4" w14:paraId="33054CCE" w14:textId="77777777">
      <w:pPr>
        <w:rPr>
          <w:b/>
        </w:rPr>
      </w:pPr>
      <w:r w:rsidRPr="007E6415">
        <w:rPr>
          <w:b/>
        </w:rPr>
        <w:t xml:space="preserve">Please make sure that all instruments, instructions, and scripts are submitted </w:t>
      </w:r>
      <w:r w:rsidRPr="007E6415">
        <w:rPr>
          <w:b/>
        </w:rPr>
        <w:t>with</w:t>
      </w:r>
      <w:r w:rsidRPr="007E6415">
        <w:rPr>
          <w:b/>
        </w:rPr>
        <w:t xml:space="preserve"> the request.</w:t>
      </w:r>
    </w:p>
    <w:p w:rsidR="009D41D4" w:rsidRPr="006F7FA6" w:rsidP="009D41D4" w14:paraId="6D604D54" w14:textId="77777777">
      <w:pPr>
        <w:jc w:val="center"/>
      </w:pPr>
      <w:r>
        <w:rPr>
          <w:b/>
        </w:rPr>
        <w:br w:type="page"/>
      </w:r>
      <w:r w:rsidRPr="006F7FA6">
        <w:t xml:space="preserve">Instructions for completing Request for Approval under the </w:t>
      </w:r>
    </w:p>
    <w:p w:rsidR="009D41D4" w:rsidRPr="006F7FA6" w:rsidP="009D41D4" w14:paraId="22838F32" w14:textId="77777777">
      <w:pPr>
        <w:jc w:val="center"/>
      </w:pPr>
      <w:r w:rsidRPr="006F7FA6">
        <w:t>“Generic Clearance for Questionnaire Testing and Research”</w:t>
      </w:r>
    </w:p>
    <w:p w:rsidR="009D41D4" w:rsidRPr="006F7FA6" w:rsidP="006F7FA6" w14:paraId="2C19386C" w14:textId="77777777">
      <w:pPr>
        <w:pStyle w:val="Heading2"/>
        <w:tabs>
          <w:tab w:val="left" w:pos="900"/>
        </w:tabs>
        <w:ind w:right="-180"/>
        <w:jc w:val="center"/>
        <w:rPr>
          <w:rFonts w:ascii="Times New Roman" w:hAnsi="Times New Roman" w:cs="Times New Roman"/>
          <w:sz w:val="24"/>
          <w:szCs w:val="24"/>
        </w:rPr>
      </w:pPr>
      <w:r w:rsidRPr="006F7FA6">
        <w:rPr>
          <w:rFonts w:ascii="Times New Roman" w:hAnsi="Times New Roman" w:cs="Times New Roman"/>
          <w:sz w:val="24"/>
          <w:szCs w:val="24"/>
        </w:rPr>
        <w:t>(OMB Control Number: 1905-0186)</w:t>
      </w:r>
    </w:p>
    <w:p w:rsidR="009D41D4" w:rsidRPr="006F7FA6" w:rsidP="009D41D4" w14:paraId="5E96571B" w14:textId="77777777">
      <w:pPr>
        <w:rPr>
          <w:b/>
        </w:rPr>
      </w:pPr>
      <w:r w:rsidRPr="006F7FA6">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61983537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9D41D4" w:rsidRPr="006F7FA6" w:rsidP="009D41D4" w14:paraId="489898C6" w14:textId="77777777">
      <w:pPr>
        <w:rPr>
          <w:b/>
        </w:rPr>
      </w:pPr>
      <w:r w:rsidRPr="006F7FA6">
        <w:rPr>
          <w:b/>
        </w:rPr>
        <w:t>TITLE OF INFORMATION COLLECTION:</w:t>
      </w:r>
      <w:r w:rsidRPr="006F7FA6">
        <w:t xml:space="preserve">  Provide the name of the collection that is the subject of the request. (e.g.  Comment card for soliciting feedback on </w:t>
      </w:r>
      <w:r w:rsidRPr="006F7FA6">
        <w:t>xxxx</w:t>
      </w:r>
      <w:r w:rsidRPr="006F7FA6">
        <w:t>)</w:t>
      </w:r>
    </w:p>
    <w:p w:rsidR="009D41D4" w:rsidRPr="006F7FA6" w:rsidP="009D41D4" w14:paraId="2129C856" w14:textId="77777777"/>
    <w:p w:rsidR="009D41D4" w:rsidRPr="007E6415" w:rsidP="009D41D4" w14:paraId="5AF74E01" w14:textId="77777777">
      <w:pPr>
        <w:rPr>
          <w:b/>
        </w:rPr>
      </w:pPr>
      <w:r w:rsidRPr="006F7FA6">
        <w:rPr>
          <w:b/>
        </w:rPr>
        <w:t xml:space="preserve">PURPOSE:  </w:t>
      </w:r>
      <w:r w:rsidRPr="006F7FA6">
        <w:t xml:space="preserve">Provide a brief description of the purpose of this collection and how it will be used.  If this is part of a larger study or effort, please include this </w:t>
      </w:r>
      <w:r w:rsidRPr="007E6415">
        <w:t>in your explanation.</w:t>
      </w:r>
    </w:p>
    <w:p w:rsidR="009D41D4" w:rsidRPr="007E6415" w:rsidP="009D41D4" w14:paraId="5C785022" w14:textId="77777777">
      <w:pPr>
        <w:pStyle w:val="Header"/>
        <w:tabs>
          <w:tab w:val="clear" w:pos="4320"/>
          <w:tab w:val="clear" w:pos="8640"/>
        </w:tabs>
        <w:rPr>
          <w:b/>
        </w:rPr>
      </w:pPr>
    </w:p>
    <w:p w:rsidR="009D41D4" w:rsidRPr="007E6415" w:rsidP="009D41D4" w14:paraId="0EA7050B" w14:textId="77777777">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9D41D4" w:rsidRPr="007E6415" w:rsidP="009D41D4" w14:paraId="38791E8F" w14:textId="77777777">
      <w:pPr>
        <w:rPr>
          <w:b/>
          <w:sz w:val="20"/>
          <w:szCs w:val="20"/>
        </w:rPr>
      </w:pPr>
    </w:p>
    <w:p w:rsidR="009D41D4" w:rsidRPr="007E6415" w:rsidP="009D41D4" w14:paraId="19962A32" w14:textId="77777777">
      <w:pPr>
        <w:rPr>
          <w:b/>
        </w:rPr>
      </w:pPr>
      <w:r w:rsidRPr="007E6415">
        <w:rPr>
          <w:b/>
        </w:rPr>
        <w:t>TYPE OF COLLECTION:</w:t>
      </w:r>
      <w:r w:rsidRPr="007E6415">
        <w:t xml:space="preserve"> Check one box.  If you are requesting approval of other instruments under the generic, you must complete a form for each instrument.</w:t>
      </w:r>
    </w:p>
    <w:p w:rsidR="009D41D4" w:rsidRPr="007E6415" w:rsidP="009D41D4" w14:paraId="30DD7643" w14:textId="77777777">
      <w:pPr>
        <w:pStyle w:val="BodyTextIndent"/>
        <w:tabs>
          <w:tab w:val="left" w:pos="360"/>
        </w:tabs>
        <w:ind w:left="0"/>
        <w:rPr>
          <w:bCs/>
        </w:rPr>
      </w:pPr>
    </w:p>
    <w:p w:rsidR="009D41D4" w:rsidRPr="007E6415" w:rsidP="009D41D4" w14:paraId="3B0EC7B9" w14:textId="77777777">
      <w:r w:rsidRPr="007E6415">
        <w:rPr>
          <w:b/>
        </w:rPr>
        <w:t xml:space="preserve">CERTIFICATION:  </w:t>
      </w:r>
      <w:r w:rsidRPr="007E6415">
        <w:t>Please read the certification carefully.  If you incorrectly certify, the collection will be returned as improperly submitted or it will be disapproved.</w:t>
      </w:r>
    </w:p>
    <w:p w:rsidR="009D41D4" w:rsidRPr="007E6415" w:rsidP="009D41D4" w14:paraId="4110E6D0" w14:textId="77777777">
      <w:pPr>
        <w:rPr>
          <w:sz w:val="16"/>
          <w:szCs w:val="16"/>
        </w:rPr>
      </w:pPr>
    </w:p>
    <w:p w:rsidR="009D41D4" w:rsidRPr="007E6415" w:rsidP="009D41D4" w14:paraId="407394E6" w14:textId="77777777">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rsidR="009D41D4" w:rsidRPr="007E6415" w:rsidP="009D41D4" w14:paraId="2D242581" w14:textId="77777777">
      <w:pPr>
        <w:rPr>
          <w:sz w:val="20"/>
          <w:szCs w:val="20"/>
        </w:rPr>
      </w:pPr>
    </w:p>
    <w:p w:rsidR="009D41D4" w:rsidRPr="007E6415" w:rsidP="009D41D4" w14:paraId="5EBF998E" w14:textId="77777777">
      <w:pPr>
        <w:pStyle w:val="ListParagraph"/>
        <w:ind w:left="0"/>
        <w:rPr>
          <w:b/>
        </w:rPr>
      </w:pPr>
      <w:r w:rsidRPr="007E6415">
        <w:rPr>
          <w:b/>
        </w:rPr>
        <w:t xml:space="preserve">Gifts or Payments:  </w:t>
      </w:r>
      <w:r w:rsidRPr="007E6415">
        <w:t>If you answer yes to the question, please describe the incentive and provide a justification for the amount.</w:t>
      </w:r>
    </w:p>
    <w:p w:rsidR="009D41D4" w:rsidRPr="007E6415" w:rsidP="009D41D4" w14:paraId="7772D8AA" w14:textId="77777777">
      <w:pPr>
        <w:rPr>
          <w:b/>
        </w:rPr>
      </w:pPr>
    </w:p>
    <w:p w:rsidR="009D41D4" w:rsidRPr="007E6415" w:rsidP="009D41D4" w14:paraId="0BEEEA2C" w14:textId="77777777">
      <w:pPr>
        <w:rPr>
          <w:b/>
        </w:rPr>
      </w:pPr>
      <w:r w:rsidRPr="007E6415">
        <w:rPr>
          <w:b/>
        </w:rPr>
        <w:t>BURDEN HOURS:</w:t>
      </w:r>
    </w:p>
    <w:p w:rsidR="009D41D4" w:rsidRPr="007E6415" w:rsidP="009D41D4" w14:paraId="679A4990" w14:textId="77777777">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rsidR="009D41D4" w:rsidRPr="007E6415" w:rsidP="009D41D4" w14:paraId="25050044" w14:textId="77777777">
      <w:r w:rsidRPr="007E6415">
        <w:rPr>
          <w:b/>
        </w:rPr>
        <w:t>No. of Respondents:</w:t>
      </w:r>
      <w:r w:rsidRPr="007E6415">
        <w:t xml:space="preserve">  Provide an estimate of the Number of respondents.</w:t>
      </w:r>
    </w:p>
    <w:p w:rsidR="009D41D4" w:rsidRPr="007E6415" w:rsidP="009D41D4" w14:paraId="4BE7FA35" w14:textId="77777777">
      <w:r w:rsidRPr="007E6415">
        <w:rPr>
          <w:b/>
        </w:rPr>
        <w:t xml:space="preserve">Participation Time:  </w:t>
      </w:r>
      <w:r w:rsidRPr="007E6415">
        <w:t>Provide an estimate of the amount of time required for a respondent to participate (e.g. fill out a survey or participate in a focus group)</w:t>
      </w:r>
    </w:p>
    <w:p w:rsidR="009D41D4" w:rsidRPr="007E6415" w:rsidP="009D41D4" w14:paraId="1D76A45D" w14:textId="77777777">
      <w:r w:rsidRPr="007E6415">
        <w:rPr>
          <w:b/>
        </w:rPr>
        <w:t>Burden:</w:t>
      </w:r>
      <w:r w:rsidRPr="007E6415">
        <w:t xml:space="preserve">  Provide the Annual burden hours:  Multiply the Number of responses and the participation time and divide by 60.</w:t>
      </w:r>
    </w:p>
    <w:p w:rsidR="009D41D4" w:rsidRPr="007E6415" w:rsidP="009D41D4" w14:paraId="6B8C46D8" w14:textId="77777777">
      <w:pPr>
        <w:keepNext/>
        <w:keepLines/>
        <w:rPr>
          <w:b/>
        </w:rPr>
      </w:pPr>
    </w:p>
    <w:p w:rsidR="009D41D4" w:rsidRPr="007E6415" w:rsidP="009D41D4" w14:paraId="7F86BC1C" w14:textId="77777777">
      <w:pPr>
        <w:rPr>
          <w:b/>
        </w:rPr>
      </w:pPr>
      <w:r w:rsidRPr="007E6415">
        <w:rPr>
          <w:b/>
        </w:rPr>
        <w:t xml:space="preserve">FEDERAL COST: </w:t>
      </w:r>
      <w:r w:rsidRPr="007E6415">
        <w:t>Provide an estimate of the annual cost to the Federal government.</w:t>
      </w:r>
    </w:p>
    <w:p w:rsidR="009D41D4" w:rsidRPr="007E6415" w:rsidP="009D41D4" w14:paraId="6EEB70E2" w14:textId="77777777">
      <w:pPr>
        <w:rPr>
          <w:b/>
          <w:bCs/>
          <w:sz w:val="20"/>
          <w:szCs w:val="20"/>
          <w:u w:val="single"/>
        </w:rPr>
      </w:pPr>
    </w:p>
    <w:p w:rsidR="009D41D4" w:rsidRPr="007E6415" w:rsidP="009D41D4" w14:paraId="595691E6" w14:textId="77777777">
      <w:pPr>
        <w:rPr>
          <w:b/>
        </w:rPr>
      </w:pPr>
      <w:r w:rsidRPr="007E6415">
        <w:rPr>
          <w:b/>
          <w:bCs/>
          <w:u w:val="single"/>
        </w:rPr>
        <w:t>If you are conducting a focus group, survey, or plan to employ statistical methods, please provide answers to the following questions:</w:t>
      </w:r>
    </w:p>
    <w:p w:rsidR="009D41D4" w:rsidRPr="007E6415" w:rsidP="009D41D4" w14:paraId="692811DF" w14:textId="77777777">
      <w:pPr>
        <w:rPr>
          <w:b/>
          <w:sz w:val="20"/>
          <w:szCs w:val="20"/>
        </w:rPr>
      </w:pPr>
    </w:p>
    <w:p w:rsidR="009D41D4" w:rsidRPr="007E6415" w:rsidP="009D41D4" w14:paraId="414298BD" w14:textId="77777777">
      <w:r w:rsidRPr="007E6415">
        <w:rPr>
          <w:b/>
        </w:rPr>
        <w:t>The selection of your targeted respondents.</w:t>
      </w:r>
      <w:r w:rsidRPr="007E6415">
        <w:t xml:space="preserve">  Please provide a description of how you plan to identify your potential group of respondents and how </w:t>
      </w:r>
      <w:r w:rsidRPr="007E6415">
        <w:t>you will</w:t>
      </w:r>
      <w:r w:rsidRPr="007E6415">
        <w:t xml:space="preserve"> select them.  If the answer is yes, to the first question, you may provide the sampling plan in an attachment.</w:t>
      </w:r>
    </w:p>
    <w:p w:rsidR="009D41D4" w:rsidRPr="007E6415" w:rsidP="009D41D4" w14:paraId="32EA66C0" w14:textId="77777777">
      <w:pPr>
        <w:rPr>
          <w:b/>
          <w:sz w:val="20"/>
          <w:szCs w:val="20"/>
        </w:rPr>
      </w:pPr>
    </w:p>
    <w:p w:rsidR="009D41D4" w:rsidRPr="007E6415" w:rsidP="009D41D4" w14:paraId="6574904A" w14:textId="77777777">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rsidR="009D41D4" w:rsidRPr="007E6415" w:rsidP="009D41D4" w14:paraId="43D05E18" w14:textId="77777777">
      <w:pPr>
        <w:pStyle w:val="ListParagraph"/>
        <w:ind w:left="360"/>
      </w:pPr>
    </w:p>
    <w:p w:rsidR="00FE31EB" w:rsidRPr="009D41D4" w14:paraId="19989417" w14:textId="7EC153E7">
      <w:pPr>
        <w:rPr>
          <w:b/>
          <w:bCs/>
        </w:rPr>
      </w:pPr>
      <w:r w:rsidRPr="042F7183">
        <w:rPr>
          <w:b/>
          <w:bCs/>
        </w:rPr>
        <w:t>Submit all instruments, instructions, and scripts are submitted with the request.</w:t>
      </w:r>
    </w:p>
    <w:sectPr w:rsidSect="009D41D4">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1D4" w14:paraId="03A5C6BC"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1</w:t>
    </w:r>
    <w:r>
      <w:rPr>
        <w:rStyle w:val="PageNumber"/>
        <w:rFonts w:eastAsiaTheme="majorEastAsia"/>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F27403E"/>
    <w:multiLevelType w:val="multilevel"/>
    <w:tmpl w:val="ACF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E25EC7"/>
    <w:multiLevelType w:val="multilevel"/>
    <w:tmpl w:val="7FF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7B131EC"/>
    <w:multiLevelType w:val="multilevel"/>
    <w:tmpl w:val="C64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06653B"/>
    <w:multiLevelType w:val="multilevel"/>
    <w:tmpl w:val="8C9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6221AE"/>
    <w:multiLevelType w:val="hybridMultilevel"/>
    <w:tmpl w:val="C66E2338"/>
    <w:lvl w:ilvl="0">
      <w:start w:val="1"/>
      <w:numFmt w:val="decimal"/>
      <w:lvlText w:val="%1."/>
      <w:lvlJc w:val="left"/>
      <w:pPr>
        <w:ind w:left="36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479101">
    <w:abstractNumId w:val="7"/>
  </w:num>
  <w:num w:numId="2" w16cid:durableId="729771030">
    <w:abstractNumId w:val="4"/>
  </w:num>
  <w:num w:numId="3" w16cid:durableId="697580666">
    <w:abstractNumId w:val="0"/>
  </w:num>
  <w:num w:numId="4" w16cid:durableId="1973825233">
    <w:abstractNumId w:val="1"/>
  </w:num>
  <w:num w:numId="5" w16cid:durableId="599263042">
    <w:abstractNumId w:val="5"/>
  </w:num>
  <w:num w:numId="6" w16cid:durableId="1747649117">
    <w:abstractNumId w:val="3"/>
  </w:num>
  <w:num w:numId="7" w16cid:durableId="1857957891">
    <w:abstractNumId w:val="6"/>
  </w:num>
  <w:num w:numId="8" w16cid:durableId="131645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D4"/>
    <w:rsid w:val="000B07A5"/>
    <w:rsid w:val="00177253"/>
    <w:rsid w:val="001E5FA1"/>
    <w:rsid w:val="00236A04"/>
    <w:rsid w:val="00352756"/>
    <w:rsid w:val="004477D5"/>
    <w:rsid w:val="005137FC"/>
    <w:rsid w:val="00517343"/>
    <w:rsid w:val="0055710C"/>
    <w:rsid w:val="005B2440"/>
    <w:rsid w:val="005D0226"/>
    <w:rsid w:val="005E070E"/>
    <w:rsid w:val="005F1172"/>
    <w:rsid w:val="00617E0D"/>
    <w:rsid w:val="006F7036"/>
    <w:rsid w:val="006F7FA6"/>
    <w:rsid w:val="007A43B1"/>
    <w:rsid w:val="007B6AEF"/>
    <w:rsid w:val="007E6415"/>
    <w:rsid w:val="00874F36"/>
    <w:rsid w:val="008765A5"/>
    <w:rsid w:val="009142CE"/>
    <w:rsid w:val="00980DDD"/>
    <w:rsid w:val="009D017B"/>
    <w:rsid w:val="009D41D4"/>
    <w:rsid w:val="00A930ED"/>
    <w:rsid w:val="00AA0F3B"/>
    <w:rsid w:val="00AE40EB"/>
    <w:rsid w:val="00B04DC6"/>
    <w:rsid w:val="00B10A40"/>
    <w:rsid w:val="00B40F03"/>
    <w:rsid w:val="00C25A19"/>
    <w:rsid w:val="00C40A62"/>
    <w:rsid w:val="00CA2FD4"/>
    <w:rsid w:val="00CF5DF1"/>
    <w:rsid w:val="00D0619C"/>
    <w:rsid w:val="00D7404E"/>
    <w:rsid w:val="00DB3AB5"/>
    <w:rsid w:val="00DB46EF"/>
    <w:rsid w:val="00E94AFA"/>
    <w:rsid w:val="00EE5735"/>
    <w:rsid w:val="00F47321"/>
    <w:rsid w:val="00F735CF"/>
    <w:rsid w:val="00F86A2C"/>
    <w:rsid w:val="00FE31EB"/>
    <w:rsid w:val="011EC7A9"/>
    <w:rsid w:val="01F6EE93"/>
    <w:rsid w:val="01FCB36F"/>
    <w:rsid w:val="0271217D"/>
    <w:rsid w:val="02B5AE7B"/>
    <w:rsid w:val="02E94353"/>
    <w:rsid w:val="042F7183"/>
    <w:rsid w:val="0456925D"/>
    <w:rsid w:val="04E6502F"/>
    <w:rsid w:val="062ABAC4"/>
    <w:rsid w:val="06883FED"/>
    <w:rsid w:val="06971359"/>
    <w:rsid w:val="06E77586"/>
    <w:rsid w:val="078D7391"/>
    <w:rsid w:val="07B9A909"/>
    <w:rsid w:val="089551A2"/>
    <w:rsid w:val="08AAFA27"/>
    <w:rsid w:val="08B74385"/>
    <w:rsid w:val="08D2D444"/>
    <w:rsid w:val="0948C285"/>
    <w:rsid w:val="0B3D1DE8"/>
    <w:rsid w:val="0BD1EA6F"/>
    <w:rsid w:val="0C6A9032"/>
    <w:rsid w:val="0CB5099C"/>
    <w:rsid w:val="0E97D200"/>
    <w:rsid w:val="0F9E49DA"/>
    <w:rsid w:val="11229437"/>
    <w:rsid w:val="113EC51D"/>
    <w:rsid w:val="12131374"/>
    <w:rsid w:val="1252F465"/>
    <w:rsid w:val="12B3C834"/>
    <w:rsid w:val="12BB4E99"/>
    <w:rsid w:val="133E7019"/>
    <w:rsid w:val="1368B19C"/>
    <w:rsid w:val="16CB8779"/>
    <w:rsid w:val="17A9DC6B"/>
    <w:rsid w:val="185BEC07"/>
    <w:rsid w:val="1A0F7138"/>
    <w:rsid w:val="1B062AC4"/>
    <w:rsid w:val="1B4FC6A8"/>
    <w:rsid w:val="1B519814"/>
    <w:rsid w:val="1B52D4F3"/>
    <w:rsid w:val="1C4C9541"/>
    <w:rsid w:val="1C7720CA"/>
    <w:rsid w:val="1C9868C0"/>
    <w:rsid w:val="1DE1BF93"/>
    <w:rsid w:val="1E41EE18"/>
    <w:rsid w:val="1E8096FF"/>
    <w:rsid w:val="1E80AD2F"/>
    <w:rsid w:val="1EF71C4C"/>
    <w:rsid w:val="200859B3"/>
    <w:rsid w:val="208B248D"/>
    <w:rsid w:val="20C04116"/>
    <w:rsid w:val="20E0400C"/>
    <w:rsid w:val="20E7EE31"/>
    <w:rsid w:val="216259AC"/>
    <w:rsid w:val="21F2F673"/>
    <w:rsid w:val="25678D26"/>
    <w:rsid w:val="25E79419"/>
    <w:rsid w:val="27BAD3DC"/>
    <w:rsid w:val="28501401"/>
    <w:rsid w:val="29E459C8"/>
    <w:rsid w:val="29F4913D"/>
    <w:rsid w:val="2A79C654"/>
    <w:rsid w:val="2A802FD5"/>
    <w:rsid w:val="2B8E5160"/>
    <w:rsid w:val="2BC79F9D"/>
    <w:rsid w:val="2CB517AC"/>
    <w:rsid w:val="2DA33590"/>
    <w:rsid w:val="2DB41044"/>
    <w:rsid w:val="2DEB363E"/>
    <w:rsid w:val="2E0A6DD4"/>
    <w:rsid w:val="2E5A2217"/>
    <w:rsid w:val="3174F12A"/>
    <w:rsid w:val="31D68D7E"/>
    <w:rsid w:val="343E9507"/>
    <w:rsid w:val="3497F091"/>
    <w:rsid w:val="349FAA98"/>
    <w:rsid w:val="35752A68"/>
    <w:rsid w:val="357EEF83"/>
    <w:rsid w:val="365D7377"/>
    <w:rsid w:val="36E359FF"/>
    <w:rsid w:val="377B87AD"/>
    <w:rsid w:val="37C4D167"/>
    <w:rsid w:val="3853EDAF"/>
    <w:rsid w:val="39D7A68A"/>
    <w:rsid w:val="3B123570"/>
    <w:rsid w:val="3BC49614"/>
    <w:rsid w:val="3C3F751B"/>
    <w:rsid w:val="3C4F98B6"/>
    <w:rsid w:val="3CDBE285"/>
    <w:rsid w:val="3CF1F932"/>
    <w:rsid w:val="3F5335BA"/>
    <w:rsid w:val="3FA41907"/>
    <w:rsid w:val="401ED0CF"/>
    <w:rsid w:val="403C3A82"/>
    <w:rsid w:val="41786614"/>
    <w:rsid w:val="41944502"/>
    <w:rsid w:val="41FA3A75"/>
    <w:rsid w:val="41FFB600"/>
    <w:rsid w:val="432A4D9F"/>
    <w:rsid w:val="43E8430B"/>
    <w:rsid w:val="441F6CE1"/>
    <w:rsid w:val="445A3F5E"/>
    <w:rsid w:val="44B22358"/>
    <w:rsid w:val="44B709BA"/>
    <w:rsid w:val="46074674"/>
    <w:rsid w:val="46194862"/>
    <w:rsid w:val="46C8D55B"/>
    <w:rsid w:val="46E44D04"/>
    <w:rsid w:val="48497D81"/>
    <w:rsid w:val="495C5D37"/>
    <w:rsid w:val="49B29BE8"/>
    <w:rsid w:val="4B04D545"/>
    <w:rsid w:val="4BA7314F"/>
    <w:rsid w:val="4C634660"/>
    <w:rsid w:val="4CE31CAB"/>
    <w:rsid w:val="4D099367"/>
    <w:rsid w:val="4DA66476"/>
    <w:rsid w:val="4E83D76A"/>
    <w:rsid w:val="4F38C366"/>
    <w:rsid w:val="5007BCFF"/>
    <w:rsid w:val="500CAC7F"/>
    <w:rsid w:val="505F18B2"/>
    <w:rsid w:val="51056A54"/>
    <w:rsid w:val="513A5AB8"/>
    <w:rsid w:val="530B7F77"/>
    <w:rsid w:val="534D9227"/>
    <w:rsid w:val="54B0028B"/>
    <w:rsid w:val="54DB92C0"/>
    <w:rsid w:val="54DFC624"/>
    <w:rsid w:val="5785A404"/>
    <w:rsid w:val="57C4B274"/>
    <w:rsid w:val="57CBB28A"/>
    <w:rsid w:val="581B57AB"/>
    <w:rsid w:val="596DC533"/>
    <w:rsid w:val="597F891D"/>
    <w:rsid w:val="59AF8475"/>
    <w:rsid w:val="5A20F836"/>
    <w:rsid w:val="5A51D048"/>
    <w:rsid w:val="5AB270BA"/>
    <w:rsid w:val="5B80A70F"/>
    <w:rsid w:val="5C20F78F"/>
    <w:rsid w:val="5C45424B"/>
    <w:rsid w:val="5D232957"/>
    <w:rsid w:val="5D6A979D"/>
    <w:rsid w:val="5D8B664B"/>
    <w:rsid w:val="5DD3F6A5"/>
    <w:rsid w:val="5DF8A9D5"/>
    <w:rsid w:val="5EEC13BA"/>
    <w:rsid w:val="5F1386AD"/>
    <w:rsid w:val="5F6FF340"/>
    <w:rsid w:val="5F964AAE"/>
    <w:rsid w:val="6049B36A"/>
    <w:rsid w:val="6120A837"/>
    <w:rsid w:val="61D5FA6C"/>
    <w:rsid w:val="62C03A82"/>
    <w:rsid w:val="6327C474"/>
    <w:rsid w:val="638DE760"/>
    <w:rsid w:val="63904556"/>
    <w:rsid w:val="646ECAF9"/>
    <w:rsid w:val="64BCA3CC"/>
    <w:rsid w:val="64E9C207"/>
    <w:rsid w:val="65393FEF"/>
    <w:rsid w:val="6588182D"/>
    <w:rsid w:val="659B08C0"/>
    <w:rsid w:val="666A3FBA"/>
    <w:rsid w:val="6674D5D4"/>
    <w:rsid w:val="6688CF54"/>
    <w:rsid w:val="66EF4EB2"/>
    <w:rsid w:val="67836AAC"/>
    <w:rsid w:val="6A05ABC9"/>
    <w:rsid w:val="6ABF9B20"/>
    <w:rsid w:val="6AF8192D"/>
    <w:rsid w:val="6C7DFBDD"/>
    <w:rsid w:val="6CE43D44"/>
    <w:rsid w:val="6F1BDFAB"/>
    <w:rsid w:val="7079FC96"/>
    <w:rsid w:val="710814E9"/>
    <w:rsid w:val="714FB750"/>
    <w:rsid w:val="718B4FE0"/>
    <w:rsid w:val="72233B35"/>
    <w:rsid w:val="72EC187D"/>
    <w:rsid w:val="73750A55"/>
    <w:rsid w:val="7444205E"/>
    <w:rsid w:val="75473981"/>
    <w:rsid w:val="758832A4"/>
    <w:rsid w:val="76CB549F"/>
    <w:rsid w:val="76DF0B85"/>
    <w:rsid w:val="771F364F"/>
    <w:rsid w:val="778616A3"/>
    <w:rsid w:val="779840CF"/>
    <w:rsid w:val="794BFD24"/>
    <w:rsid w:val="7D6A7BE6"/>
    <w:rsid w:val="7E3EAABA"/>
    <w:rsid w:val="7E7A276F"/>
    <w:rsid w:val="7E90E19A"/>
    <w:rsid w:val="7EC3B5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2C09FB"/>
  <w15:chartTrackingRefBased/>
  <w15:docId w15:val="{91A7900F-0BBE-4216-84E5-82D46E20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1D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D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1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1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1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1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1D4"/>
    <w:rPr>
      <w:rFonts w:eastAsiaTheme="majorEastAsia" w:cstheme="majorBidi"/>
      <w:color w:val="272727" w:themeColor="text1" w:themeTint="D8"/>
    </w:rPr>
  </w:style>
  <w:style w:type="paragraph" w:styleId="Title">
    <w:name w:val="Title"/>
    <w:basedOn w:val="Normal"/>
    <w:next w:val="Normal"/>
    <w:link w:val="TitleChar"/>
    <w:uiPriority w:val="10"/>
    <w:qFormat/>
    <w:rsid w:val="009D4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1D4"/>
    <w:pPr>
      <w:spacing w:before="160"/>
      <w:jc w:val="center"/>
    </w:pPr>
    <w:rPr>
      <w:i/>
      <w:iCs/>
      <w:color w:val="404040" w:themeColor="text1" w:themeTint="BF"/>
    </w:rPr>
  </w:style>
  <w:style w:type="character" w:customStyle="1" w:styleId="QuoteChar">
    <w:name w:val="Quote Char"/>
    <w:basedOn w:val="DefaultParagraphFont"/>
    <w:link w:val="Quote"/>
    <w:uiPriority w:val="29"/>
    <w:rsid w:val="009D41D4"/>
    <w:rPr>
      <w:i/>
      <w:iCs/>
      <w:color w:val="404040" w:themeColor="text1" w:themeTint="BF"/>
    </w:rPr>
  </w:style>
  <w:style w:type="paragraph" w:styleId="ListParagraph">
    <w:name w:val="List Paragraph"/>
    <w:basedOn w:val="Normal"/>
    <w:uiPriority w:val="34"/>
    <w:qFormat/>
    <w:rsid w:val="009D41D4"/>
    <w:pPr>
      <w:ind w:left="720"/>
      <w:contextualSpacing/>
    </w:pPr>
  </w:style>
  <w:style w:type="character" w:styleId="IntenseEmphasis">
    <w:name w:val="Intense Emphasis"/>
    <w:basedOn w:val="DefaultParagraphFont"/>
    <w:uiPriority w:val="21"/>
    <w:qFormat/>
    <w:rsid w:val="009D41D4"/>
    <w:rPr>
      <w:i/>
      <w:iCs/>
      <w:color w:val="0F4761" w:themeColor="accent1" w:themeShade="BF"/>
    </w:rPr>
  </w:style>
  <w:style w:type="paragraph" w:styleId="IntenseQuote">
    <w:name w:val="Intense Quote"/>
    <w:basedOn w:val="Normal"/>
    <w:next w:val="Normal"/>
    <w:link w:val="IntenseQuoteChar"/>
    <w:uiPriority w:val="30"/>
    <w:qFormat/>
    <w:rsid w:val="009D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1D4"/>
    <w:rPr>
      <w:i/>
      <w:iCs/>
      <w:color w:val="0F4761" w:themeColor="accent1" w:themeShade="BF"/>
    </w:rPr>
  </w:style>
  <w:style w:type="character" w:styleId="IntenseReference">
    <w:name w:val="Intense Reference"/>
    <w:basedOn w:val="DefaultParagraphFont"/>
    <w:uiPriority w:val="32"/>
    <w:qFormat/>
    <w:rsid w:val="009D41D4"/>
    <w:rPr>
      <w:b/>
      <w:bCs/>
      <w:smallCaps/>
      <w:color w:val="0F4761" w:themeColor="accent1" w:themeShade="BF"/>
      <w:spacing w:val="5"/>
    </w:rPr>
  </w:style>
  <w:style w:type="paragraph" w:styleId="Header">
    <w:name w:val="header"/>
    <w:basedOn w:val="Normal"/>
    <w:link w:val="HeaderChar"/>
    <w:rsid w:val="009D41D4"/>
    <w:pPr>
      <w:widowControl w:val="0"/>
      <w:tabs>
        <w:tab w:val="center" w:pos="4320"/>
        <w:tab w:val="right" w:pos="8640"/>
      </w:tabs>
    </w:pPr>
    <w:rPr>
      <w:snapToGrid w:val="0"/>
    </w:rPr>
  </w:style>
  <w:style w:type="character" w:customStyle="1" w:styleId="HeaderChar">
    <w:name w:val="Header Char"/>
    <w:basedOn w:val="DefaultParagraphFont"/>
    <w:link w:val="Header"/>
    <w:rsid w:val="009D41D4"/>
    <w:rPr>
      <w:rFonts w:ascii="Times New Roman" w:eastAsia="Times New Roman" w:hAnsi="Times New Roman" w:cs="Times New Roman"/>
      <w:snapToGrid w:val="0"/>
      <w:kern w:val="0"/>
      <w14:ligatures w14:val="none"/>
    </w:rPr>
  </w:style>
  <w:style w:type="paragraph" w:styleId="Footer">
    <w:name w:val="footer"/>
    <w:basedOn w:val="Normal"/>
    <w:link w:val="FooterChar"/>
    <w:rsid w:val="009D41D4"/>
    <w:pPr>
      <w:tabs>
        <w:tab w:val="center" w:pos="4320"/>
        <w:tab w:val="right" w:pos="8640"/>
      </w:tabs>
    </w:pPr>
  </w:style>
  <w:style w:type="character" w:customStyle="1" w:styleId="FooterChar">
    <w:name w:val="Footer Char"/>
    <w:basedOn w:val="DefaultParagraphFont"/>
    <w:link w:val="Footer"/>
    <w:rsid w:val="009D41D4"/>
    <w:rPr>
      <w:rFonts w:ascii="Times New Roman" w:eastAsia="Times New Roman" w:hAnsi="Times New Roman" w:cs="Times New Roman"/>
      <w:kern w:val="0"/>
      <w14:ligatures w14:val="none"/>
    </w:rPr>
  </w:style>
  <w:style w:type="character" w:styleId="PageNumber">
    <w:name w:val="page number"/>
    <w:basedOn w:val="DefaultParagraphFont"/>
    <w:rsid w:val="009D41D4"/>
  </w:style>
  <w:style w:type="paragraph" w:styleId="BodyTextIndent">
    <w:name w:val="Body Text Indent"/>
    <w:basedOn w:val="Normal"/>
    <w:link w:val="BodyTextIndentChar"/>
    <w:rsid w:val="009D41D4"/>
    <w:pPr>
      <w:ind w:left="288"/>
    </w:pPr>
    <w:rPr>
      <w:sz w:val="20"/>
      <w:szCs w:val="20"/>
      <w:lang w:eastAsia="zh-CN"/>
    </w:rPr>
  </w:style>
  <w:style w:type="character" w:customStyle="1" w:styleId="BodyTextIndentChar">
    <w:name w:val="Body Text Indent Char"/>
    <w:basedOn w:val="DefaultParagraphFont"/>
    <w:link w:val="BodyTextIndent"/>
    <w:rsid w:val="009D41D4"/>
    <w:rPr>
      <w:rFonts w:ascii="Times New Roman" w:eastAsia="Times New Roman" w:hAnsi="Times New Roman" w:cs="Times New Roman"/>
      <w:kern w:val="0"/>
      <w:sz w:val="20"/>
      <w:szCs w:val="20"/>
      <w:lang w:eastAsia="zh-CN"/>
      <w14:ligatures w14:val="none"/>
    </w:rPr>
  </w:style>
  <w:style w:type="table" w:styleId="TableGrid">
    <w:name w:val="Table Grid"/>
    <w:basedOn w:val="TableNormal"/>
    <w:rsid w:val="009D41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41D4"/>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character" w:styleId="CommentReference">
    <w:name w:val="annotation reference"/>
    <w:basedOn w:val="DefaultParagraphFont"/>
    <w:uiPriority w:val="99"/>
    <w:semiHidden/>
    <w:unhideWhenUsed/>
    <w:rsid w:val="00DB3AB5"/>
    <w:rPr>
      <w:sz w:val="16"/>
      <w:szCs w:val="16"/>
    </w:rPr>
  </w:style>
  <w:style w:type="paragraph" w:styleId="CommentText">
    <w:name w:val="annotation text"/>
    <w:basedOn w:val="Normal"/>
    <w:link w:val="CommentTextChar"/>
    <w:uiPriority w:val="99"/>
    <w:unhideWhenUsed/>
    <w:rsid w:val="00DB3AB5"/>
    <w:rPr>
      <w:sz w:val="20"/>
      <w:szCs w:val="20"/>
    </w:rPr>
  </w:style>
  <w:style w:type="character" w:customStyle="1" w:styleId="CommentTextChar">
    <w:name w:val="Comment Text Char"/>
    <w:basedOn w:val="DefaultParagraphFont"/>
    <w:link w:val="CommentText"/>
    <w:uiPriority w:val="99"/>
    <w:rsid w:val="00DB3AB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3AB5"/>
    <w:rPr>
      <w:b/>
      <w:bCs/>
    </w:rPr>
  </w:style>
  <w:style w:type="character" w:customStyle="1" w:styleId="CommentSubjectChar">
    <w:name w:val="Comment Subject Char"/>
    <w:basedOn w:val="CommentTextChar"/>
    <w:link w:val="CommentSubject"/>
    <w:uiPriority w:val="99"/>
    <w:semiHidden/>
    <w:rsid w:val="00DB3AB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4477D5"/>
    <w:rPr>
      <w:color w:val="467886" w:themeColor="hyperlink"/>
      <w:u w:val="single"/>
    </w:rPr>
  </w:style>
  <w:style w:type="character" w:styleId="UnresolvedMention">
    <w:name w:val="Unresolved Mention"/>
    <w:basedOn w:val="DefaultParagraphFont"/>
    <w:uiPriority w:val="99"/>
    <w:semiHidden/>
    <w:unhideWhenUsed/>
    <w:rsid w:val="004477D5"/>
    <w:rPr>
      <w:color w:val="605E5C"/>
      <w:shd w:val="clear" w:color="auto" w:fill="E1DFDD"/>
    </w:rPr>
  </w:style>
  <w:style w:type="paragraph" w:styleId="Revision">
    <w:name w:val="Revision"/>
    <w:hidden/>
    <w:uiPriority w:val="99"/>
    <w:semiHidden/>
    <w:rsid w:val="006F703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rel.gov/transportation/li-ion-battery-supply-chain-database"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A80D9-F724-434A-A164-25472E79F38E}">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0ecc70da-eab6-411d-8058-deb5dffcc27c"/>
    <ds:schemaRef ds:uri="http://schemas.microsoft.com/office/2006/metadata/properties"/>
    <ds:schemaRef ds:uri="f600328b-9bc1-49f4-ac38-a13ae9074617"/>
    <ds:schemaRef ds:uri="779d0104-d36d-4488-bcc8-556f173f86dc"/>
    <ds:schemaRef ds:uri="http://purl.org/dc/dcmitype/"/>
  </ds:schemaRefs>
</ds:datastoreItem>
</file>

<file path=customXml/itemProps2.xml><?xml version="1.0" encoding="utf-8"?>
<ds:datastoreItem xmlns:ds="http://schemas.openxmlformats.org/officeDocument/2006/customXml" ds:itemID="{54402A60-6FA2-4780-B6FC-62FB5FD884ED}">
  <ds:schemaRefs>
    <ds:schemaRef ds:uri="http://schemas.microsoft.com/sharepoint/v3/contenttype/forms"/>
  </ds:schemaRefs>
</ds:datastoreItem>
</file>

<file path=customXml/itemProps3.xml><?xml version="1.0" encoding="utf-8"?>
<ds:datastoreItem xmlns:ds="http://schemas.openxmlformats.org/officeDocument/2006/customXml" ds:itemID="{78761BF2-8CD2-4F62-B315-A2A1200DA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9867</Characters>
  <Application>Microsoft Office Word</Application>
  <DocSecurity>0</DocSecurity>
  <Lines>282</Lines>
  <Paragraphs>138</Paragraphs>
  <ScaleCrop>false</ScaleCrop>
  <Company>U.S. Energy Information Administration</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33</cp:revision>
  <dcterms:created xsi:type="dcterms:W3CDTF">2025-12-10T15:52:00Z</dcterms:created>
  <dcterms:modified xsi:type="dcterms:W3CDTF">2026-01-23T14:08:00Z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