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77D4" w:rsidRPr="00E66249" w:rsidP="00E66249" w14:paraId="639ED3F5" w14:textId="723514FF">
      <w:pPr>
        <w:jc w:val="center"/>
        <w:rPr>
          <w:rFonts w:ascii="Times New Roman" w:hAnsi="Times New Roman"/>
          <w:b/>
          <w:bCs/>
        </w:rPr>
      </w:pPr>
      <w:bookmarkStart w:id="0" w:name="QuickMark"/>
      <w:bookmarkEnd w:id="0"/>
      <w:r w:rsidRPr="00E66249">
        <w:rPr>
          <w:rFonts w:ascii="Times New Roman" w:hAnsi="Times New Roman"/>
          <w:b/>
          <w:bCs/>
        </w:rPr>
        <w:t>SUPPORTING STATEMENT FOR PAPERWORK REDUCTION ACT OF 1995:</w:t>
      </w:r>
    </w:p>
    <w:p w:rsidR="00E66249" w:rsidRPr="00E66249" w:rsidP="00E66249" w14:paraId="471A5568" w14:textId="7973815B">
      <w:pPr>
        <w:jc w:val="center"/>
        <w:rPr>
          <w:rFonts w:ascii="Times New Roman" w:hAnsi="Times New Roman"/>
          <w:b/>
          <w:bCs/>
        </w:rPr>
      </w:pPr>
      <w:r w:rsidRPr="00E66249">
        <w:rPr>
          <w:rFonts w:ascii="Times New Roman" w:hAnsi="Times New Roman"/>
          <w:b/>
          <w:bCs/>
        </w:rPr>
        <w:t>PROHIBITED TRANSACTION CLASS EXEMPTION 77-4 CERTAIN TRANSACTIONS BETWEEN INVESTMENT COMPANIES AND EMPLOYEE BENEFIT PLANS</w:t>
      </w:r>
    </w:p>
    <w:p w:rsidR="006731CA" w14:paraId="68A7B679" w14:textId="05102A83">
      <w:pPr>
        <w:rPr>
          <w:rFonts w:ascii="Times New Roman" w:hAnsi="Times New Roman"/>
        </w:rPr>
      </w:pPr>
    </w:p>
    <w:p w:rsidR="0005775D" w:rsidRPr="0005775D" w:rsidP="0005775D" w14:paraId="51F8196D" w14:textId="77777777">
      <w:pPr>
        <w:rPr>
          <w:rFonts w:ascii="Times New Roman" w:hAnsi="Times New Roman"/>
          <w:b/>
          <w:bCs/>
        </w:rPr>
      </w:pPr>
      <w:r w:rsidRPr="0005775D">
        <w:rPr>
          <w:rFonts w:ascii="Times New Roman" w:hAnsi="Times New Roman"/>
          <w:b/>
          <w:bCs/>
        </w:rPr>
        <w:t>This information collection request (ICR) seeks approval for an extension without change of an existing control number.</w:t>
      </w:r>
    </w:p>
    <w:p w:rsidR="002D77D4" w:rsidP="00E66249" w14:paraId="5F3658E2" w14:textId="77777777">
      <w:pPr>
        <w:rPr>
          <w:rFonts w:ascii="Times New Roman" w:hAnsi="Times New Roman"/>
        </w:rPr>
      </w:pPr>
    </w:p>
    <w:p w:rsidR="002D77D4" w:rsidRPr="00250AC4" w:rsidP="00250AC4" w14:paraId="42FCD21C" w14:textId="4AE713B9">
      <w:pPr>
        <w:pStyle w:val="ListParagraph"/>
        <w:widowControl/>
        <w:numPr>
          <w:ilvl w:val="0"/>
          <w:numId w:val="5"/>
        </w:numPr>
        <w:ind w:hanging="720"/>
        <w:rPr>
          <w:rFonts w:ascii="Times New Roman" w:hAnsi="Times New Roman"/>
        </w:rPr>
      </w:pPr>
      <w:r w:rsidRPr="00250AC4">
        <w:rPr>
          <w:rFonts w:ascii="Times New Roman" w:hAnsi="Times New Roman"/>
          <w:b/>
          <w:bCs/>
        </w:rPr>
        <w:t>JUSTIFICATION</w:t>
      </w:r>
    </w:p>
    <w:p w:rsidR="002D77D4" w:rsidRPr="00B8639F" w:rsidP="00250AC4" w14:paraId="7815473F" w14:textId="77777777">
      <w:pPr>
        <w:widowControl/>
        <w:ind w:left="720"/>
        <w:rPr>
          <w:rFonts w:ascii="Times New Roman" w:hAnsi="Times New Roman"/>
        </w:rPr>
      </w:pPr>
    </w:p>
    <w:p w:rsidR="002D77D4" w:rsidRPr="00E66249" w:rsidP="00250AC4" w14:paraId="635B3C3D" w14:textId="3CC9BB2B">
      <w:pPr>
        <w:pStyle w:val="Quick1"/>
        <w:widowControl/>
        <w:numPr>
          <w:ilvl w:val="0"/>
          <w:numId w:val="1"/>
        </w:numPr>
        <w:tabs>
          <w:tab w:val="left" w:pos="-1440"/>
          <w:tab w:val="num" w:pos="720"/>
        </w:tabs>
        <w:rPr>
          <w:rFonts w:ascii="Times New Roman" w:hAnsi="Times New Roman"/>
          <w:b/>
          <w:bCs/>
        </w:rPr>
      </w:pPr>
      <w:r w:rsidRPr="00E66249">
        <w:rPr>
          <w:rFonts w:ascii="Times New Roman" w:hAnsi="Times New Roman"/>
          <w:b/>
          <w:bCs/>
        </w:rPr>
        <w:t>Explain the circumstances that make the collection of information necessary.</w:t>
      </w:r>
      <w:r w:rsidRPr="00E66249" w:rsidR="00515768">
        <w:rPr>
          <w:rFonts w:ascii="Times New Roman" w:hAnsi="Times New Roman"/>
          <w:b/>
          <w:bCs/>
        </w:rPr>
        <w:t xml:space="preserve"> </w:t>
      </w:r>
      <w:r w:rsidRPr="00E66249">
        <w:rPr>
          <w:rFonts w:ascii="Times New Roman" w:hAnsi="Times New Roman"/>
          <w:b/>
          <w:bCs/>
        </w:rPr>
        <w:t>Identify any legal or administrative requirements that necessitate the collection.</w:t>
      </w:r>
      <w:r w:rsidRPr="00E66249" w:rsidR="00515768">
        <w:rPr>
          <w:rFonts w:ascii="Times New Roman" w:hAnsi="Times New Roman"/>
          <w:b/>
          <w:bCs/>
        </w:rPr>
        <w:t xml:space="preserve"> </w:t>
      </w:r>
      <w:r w:rsidRPr="00E66249">
        <w:rPr>
          <w:rFonts w:ascii="Times New Roman" w:hAnsi="Times New Roman"/>
          <w:b/>
          <w:bCs/>
        </w:rPr>
        <w:t>Attach a copy of the appropriate section of each statute and regulation mandating or authorizing the collection of information.</w:t>
      </w:r>
    </w:p>
    <w:p w:rsidR="002D77D4" w:rsidRPr="00B8639F" w:rsidP="00751922" w14:paraId="3E22CFD8" w14:textId="77777777">
      <w:pPr>
        <w:widowControl/>
        <w:ind w:left="720"/>
        <w:rPr>
          <w:rFonts w:ascii="Times New Roman" w:hAnsi="Times New Roman"/>
        </w:rPr>
      </w:pPr>
    </w:p>
    <w:p w:rsidR="00E61729" w:rsidRPr="00755438" w:rsidP="00E61729" w14:paraId="10BD63E5" w14:textId="77777777">
      <w:pPr>
        <w:widowControl/>
        <w:ind w:left="720"/>
        <w:rPr>
          <w:rFonts w:ascii="Times New Roman" w:hAnsi="Times New Roman"/>
        </w:rPr>
      </w:pPr>
      <w:r w:rsidRPr="008F2DEB">
        <w:rPr>
          <w:rFonts w:ascii="Times New Roman" w:hAnsi="Times New Roman"/>
        </w:rPr>
        <w:t>Section 408(a) of ERISA authorizes the Secretary of Labor “to grant a conditional or unconditional exemption of any fiduciary or class of fiduciaries or transactions, from all or part of the restrictions imposed by section 406 and 407(a).” In order to grant such exemptions under 408(a), however, the Department must determine that the exemption is administratively feasible, in the interest of the plan and its participants and beneficiaries, and protective of the rights of participants and beneficiaries. </w:t>
      </w:r>
      <w:r w:rsidRPr="00755438">
        <w:rPr>
          <w:rFonts w:ascii="Times New Roman" w:hAnsi="Times New Roman"/>
        </w:rPr>
        <w:t> </w:t>
      </w:r>
    </w:p>
    <w:p w:rsidR="00E61729" w:rsidRPr="00755438" w:rsidP="00E61729" w14:paraId="4CAE0E40" w14:textId="77777777">
      <w:pPr>
        <w:widowControl/>
        <w:ind w:left="720"/>
        <w:rPr>
          <w:rFonts w:ascii="Times New Roman" w:hAnsi="Times New Roman"/>
        </w:rPr>
      </w:pPr>
      <w:r w:rsidRPr="00755438">
        <w:rPr>
          <w:rFonts w:ascii="Times New Roman" w:hAnsi="Times New Roman"/>
        </w:rPr>
        <w:t> </w:t>
      </w:r>
    </w:p>
    <w:p w:rsidR="00E61729" w:rsidRPr="00E61729" w:rsidP="00755438" w14:paraId="469B9980" w14:textId="1FDA9C48">
      <w:pPr>
        <w:widowControl/>
        <w:ind w:left="720"/>
        <w:rPr>
          <w:rFonts w:ascii="Times New Roman" w:hAnsi="Times New Roman"/>
        </w:rPr>
      </w:pPr>
      <w:r w:rsidRPr="00755438">
        <w:rPr>
          <w:rFonts w:ascii="Times New Roman" w:hAnsi="Times New Roman"/>
        </w:rPr>
        <w:t>Reorganization Plan No. 4 of 1978 (43 FR 47713, October 17, 1978, effective on December 31, 1978) transferred the authority of the Secretary of the Treasury to issue exemptions under section 4975 of the Internal Revenue Code (the Code),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 </w:t>
      </w:r>
    </w:p>
    <w:p w:rsidR="002D77D4" w:rsidRPr="00B8639F" w:rsidP="00751922" w14:paraId="1DBB6A59" w14:textId="77777777">
      <w:pPr>
        <w:widowControl/>
        <w:ind w:left="720"/>
        <w:rPr>
          <w:rFonts w:ascii="Times New Roman" w:hAnsi="Times New Roman"/>
        </w:rPr>
      </w:pPr>
    </w:p>
    <w:p w:rsidR="002D77D4" w:rsidP="00751922" w14:paraId="39EB9D6B" w14:textId="7E610286">
      <w:pPr>
        <w:widowControl/>
        <w:ind w:left="720"/>
        <w:rPr>
          <w:rFonts w:ascii="Times New Roman" w:hAnsi="Times New Roman"/>
        </w:rPr>
      </w:pPr>
      <w:r w:rsidRPr="7FE15546">
        <w:rPr>
          <w:rFonts w:ascii="Times New Roman" w:hAnsi="Times New Roman"/>
        </w:rPr>
        <w:t>PTE 77-4</w:t>
      </w:r>
      <w:r w:rsidRPr="7FE15546" w:rsidR="00166219">
        <w:rPr>
          <w:rFonts w:ascii="Times New Roman" w:hAnsi="Times New Roman"/>
        </w:rPr>
        <w:t>,</w:t>
      </w:r>
      <w:r w:rsidRPr="7FE15546">
        <w:rPr>
          <w:rFonts w:ascii="Times New Roman" w:hAnsi="Times New Roman"/>
        </w:rPr>
        <w:t xml:space="preserve"> which was </w:t>
      </w:r>
      <w:r w:rsidRPr="7FE15546" w:rsidR="00B72987">
        <w:rPr>
          <w:rFonts w:ascii="Times New Roman" w:hAnsi="Times New Roman"/>
        </w:rPr>
        <w:t xml:space="preserve">originally </w:t>
      </w:r>
      <w:r w:rsidRPr="7FE15546">
        <w:rPr>
          <w:rFonts w:ascii="Times New Roman" w:hAnsi="Times New Roman"/>
        </w:rPr>
        <w:t xml:space="preserve">granted on </w:t>
      </w:r>
      <w:r w:rsidRPr="7FE15546" w:rsidR="00420B0F">
        <w:rPr>
          <w:rFonts w:ascii="Times New Roman" w:hAnsi="Times New Roman"/>
        </w:rPr>
        <w:t>April 8,</w:t>
      </w:r>
      <w:r w:rsidRPr="7FE15546" w:rsidR="00D94C03">
        <w:rPr>
          <w:rFonts w:ascii="Times New Roman" w:hAnsi="Times New Roman"/>
        </w:rPr>
        <w:t xml:space="preserve"> </w:t>
      </w:r>
      <w:r w:rsidRPr="7FE15546" w:rsidR="00420B0F">
        <w:rPr>
          <w:rFonts w:ascii="Times New Roman" w:hAnsi="Times New Roman"/>
        </w:rPr>
        <w:t>1977</w:t>
      </w:r>
      <w:r w:rsidRPr="7FE15546">
        <w:rPr>
          <w:rFonts w:ascii="Times New Roman" w:hAnsi="Times New Roman"/>
        </w:rPr>
        <w:t xml:space="preserve">, exempts from the prohibited transaction restrictions the purchase and sale by an employee benefit plan of shares from a registered, open-end investment company (mutual fund) </w:t>
      </w:r>
      <w:r w:rsidRPr="7FE15546">
        <w:rPr>
          <w:rFonts w:ascii="Times New Roman" w:hAnsi="Times New Roman"/>
        </w:rPr>
        <w:t>when</w:t>
      </w:r>
      <w:r w:rsidRPr="7FE15546" w:rsidR="00E61729">
        <w:rPr>
          <w:rFonts w:ascii="Times New Roman" w:hAnsi="Times New Roman"/>
        </w:rPr>
        <w:t xml:space="preserve"> the investment advisor for the mutual fund is also </w:t>
      </w:r>
      <w:r w:rsidRPr="7FE15546">
        <w:rPr>
          <w:rFonts w:ascii="Times New Roman" w:hAnsi="Times New Roman"/>
        </w:rPr>
        <w:t xml:space="preserve">a fiduciary </w:t>
      </w:r>
      <w:r w:rsidRPr="7FE15546" w:rsidR="00C33315">
        <w:rPr>
          <w:rFonts w:ascii="Times New Roman" w:hAnsi="Times New Roman"/>
        </w:rPr>
        <w:t>of</w:t>
      </w:r>
      <w:r w:rsidRPr="7FE15546">
        <w:rPr>
          <w:rFonts w:ascii="Times New Roman" w:hAnsi="Times New Roman"/>
        </w:rPr>
        <w:t xml:space="preserve"> the plan</w:t>
      </w:r>
      <w:r w:rsidRPr="7FE15546" w:rsidR="00E61729">
        <w:rPr>
          <w:rFonts w:ascii="Times New Roman" w:hAnsi="Times New Roman"/>
        </w:rPr>
        <w:t xml:space="preserve"> </w:t>
      </w:r>
      <w:r w:rsidRPr="7FE15546" w:rsidR="00071971">
        <w:rPr>
          <w:rFonts w:ascii="Times New Roman" w:hAnsi="Times New Roman"/>
        </w:rPr>
        <w:t>a</w:t>
      </w:r>
      <w:r w:rsidRPr="7FE15546" w:rsidR="00E61729">
        <w:rPr>
          <w:rFonts w:ascii="Times New Roman" w:hAnsi="Times New Roman"/>
        </w:rPr>
        <w:t xml:space="preserve">nd is not an employer of employees covered by the plan. </w:t>
      </w:r>
      <w:r w:rsidRPr="7FE15546" w:rsidR="00515768">
        <w:rPr>
          <w:rFonts w:ascii="Times New Roman" w:hAnsi="Times New Roman"/>
        </w:rPr>
        <w:t xml:space="preserve"> </w:t>
      </w:r>
    </w:p>
    <w:p w:rsidR="00755438" w:rsidP="00F3380B" w14:paraId="7B3D566D" w14:textId="77777777">
      <w:pPr>
        <w:pStyle w:val="Quick1"/>
        <w:widowControl/>
        <w:numPr>
          <w:ilvl w:val="0"/>
          <w:numId w:val="0"/>
        </w:numPr>
        <w:tabs>
          <w:tab w:val="left" w:pos="-1440"/>
        </w:tabs>
        <w:ind w:left="720" w:hanging="720"/>
        <w:rPr>
          <w:rFonts w:ascii="Times New Roman" w:hAnsi="Times New Roman"/>
          <w:b/>
          <w:bCs/>
        </w:rPr>
      </w:pPr>
    </w:p>
    <w:p w:rsidR="002D77D4" w:rsidRPr="00E66249" w:rsidP="00F3380B" w14:paraId="7B298962" w14:textId="410ACF68">
      <w:pPr>
        <w:pStyle w:val="Quick1"/>
        <w:widowControl/>
        <w:numPr>
          <w:ilvl w:val="0"/>
          <w:numId w:val="0"/>
        </w:numPr>
        <w:tabs>
          <w:tab w:val="left" w:pos="-1440"/>
        </w:tabs>
        <w:ind w:left="720" w:hanging="720"/>
        <w:rPr>
          <w:rFonts w:ascii="Times New Roman" w:hAnsi="Times New Roman"/>
          <w:b/>
          <w:bCs/>
        </w:rPr>
      </w:pPr>
      <w:r w:rsidRPr="00E66249">
        <w:rPr>
          <w:rFonts w:ascii="Times New Roman" w:hAnsi="Times New Roman"/>
          <w:b/>
          <w:bCs/>
        </w:rPr>
        <w:t>2.</w:t>
      </w:r>
      <w:r w:rsidRPr="00E66249">
        <w:rPr>
          <w:rFonts w:ascii="Times New Roman" w:hAnsi="Times New Roman"/>
          <w:b/>
          <w:bCs/>
        </w:rPr>
        <w:tab/>
        <w:t>Indicate how, by whom, and for what purpose the information is to be used. Except for a new collection, indicate the actual use the agency has made of the information received from the current collection.</w:t>
      </w:r>
    </w:p>
    <w:p w:rsidR="002D77D4" w:rsidRPr="00B8639F" w:rsidP="00F3380B" w14:paraId="03886320" w14:textId="77777777">
      <w:pPr>
        <w:widowControl/>
        <w:ind w:left="720"/>
        <w:rPr>
          <w:rFonts w:ascii="Times New Roman" w:hAnsi="Times New Roman"/>
        </w:rPr>
      </w:pPr>
    </w:p>
    <w:p w:rsidR="002D77D4" w:rsidRPr="00B8639F" w:rsidP="00F3380B" w14:paraId="224F731B" w14:textId="00F24BB4">
      <w:pPr>
        <w:widowControl/>
        <w:ind w:left="720"/>
        <w:rPr>
          <w:rFonts w:ascii="Times New Roman" w:hAnsi="Times New Roman"/>
        </w:rPr>
      </w:pPr>
      <w:r w:rsidRPr="00B8639F">
        <w:rPr>
          <w:rFonts w:ascii="Times New Roman" w:hAnsi="Times New Roman"/>
        </w:rPr>
        <w:t>There are three disclosure requirements incorporated within the class exemption.</w:t>
      </w:r>
      <w:r w:rsidR="00515768">
        <w:rPr>
          <w:rFonts w:ascii="Times New Roman" w:hAnsi="Times New Roman"/>
        </w:rPr>
        <w:t xml:space="preserve"> </w:t>
      </w:r>
      <w:r w:rsidRPr="00B8639F">
        <w:rPr>
          <w:rFonts w:ascii="Times New Roman" w:hAnsi="Times New Roman"/>
        </w:rPr>
        <w:t xml:space="preserve">The first requirement is intended to put the plan on notice of possible fees associated with the redemption of open-end mutual fund shares. It requires disclosure of any redemption fees in the </w:t>
      </w:r>
      <w:r w:rsidR="00E61729">
        <w:rPr>
          <w:rFonts w:ascii="Times New Roman" w:hAnsi="Times New Roman"/>
        </w:rPr>
        <w:t>investment company</w:t>
      </w:r>
      <w:r w:rsidRPr="00B8639F" w:rsidR="00E61729">
        <w:rPr>
          <w:rFonts w:ascii="Times New Roman" w:hAnsi="Times New Roman"/>
        </w:rPr>
        <w:t xml:space="preserve"> </w:t>
      </w:r>
      <w:r w:rsidRPr="00B8639F">
        <w:rPr>
          <w:rFonts w:ascii="Times New Roman" w:hAnsi="Times New Roman"/>
        </w:rPr>
        <w:t xml:space="preserve">prospectus </w:t>
      </w:r>
      <w:r w:rsidR="00E61729">
        <w:rPr>
          <w:rFonts w:ascii="Times New Roman" w:hAnsi="Times New Roman"/>
        </w:rPr>
        <w:t xml:space="preserve">in effect both at the time of purchase of such shares and at the time of such sale. </w:t>
      </w:r>
      <w:r w:rsidRPr="00B8639F">
        <w:rPr>
          <w:rFonts w:ascii="Times New Roman" w:hAnsi="Times New Roman"/>
        </w:rPr>
        <w:t>The class exemption permits a plan to pay a redemption fee on the sale, by redemption, of open-end mutual fund shares only if the fee is paid to the open-end mutual company and the above noted disclosure is made.</w:t>
      </w:r>
    </w:p>
    <w:p w:rsidR="002D77D4" w:rsidRPr="00B8639F" w:rsidP="00F3380B" w14:paraId="5CFF9A4A" w14:textId="77777777">
      <w:pPr>
        <w:widowControl/>
        <w:ind w:left="720"/>
        <w:rPr>
          <w:rFonts w:ascii="Times New Roman" w:hAnsi="Times New Roman"/>
        </w:rPr>
      </w:pPr>
    </w:p>
    <w:p w:rsidR="002D77D4" w:rsidRPr="00B8639F" w:rsidP="00F3380B" w14:paraId="54CEEDA9" w14:textId="15ED332F">
      <w:pPr>
        <w:widowControl/>
        <w:ind w:left="720"/>
        <w:rPr>
          <w:rFonts w:ascii="Times New Roman" w:hAnsi="Times New Roman"/>
        </w:rPr>
      </w:pPr>
      <w:r w:rsidRPr="00B8639F">
        <w:rPr>
          <w:rFonts w:ascii="Times New Roman" w:hAnsi="Times New Roman"/>
        </w:rPr>
        <w:t>The second requirement is that</w:t>
      </w:r>
      <w:r w:rsidRPr="00B8639F" w:rsidR="00C33315">
        <w:rPr>
          <w:rFonts w:ascii="Times New Roman" w:hAnsi="Times New Roman"/>
        </w:rPr>
        <w:t>,</w:t>
      </w:r>
      <w:r w:rsidRPr="00B8639F">
        <w:rPr>
          <w:rFonts w:ascii="Times New Roman" w:hAnsi="Times New Roman"/>
        </w:rPr>
        <w:t xml:space="preserve"> at the time of the </w:t>
      </w:r>
      <w:r w:rsidR="00E61729">
        <w:rPr>
          <w:rFonts w:ascii="Times New Roman" w:hAnsi="Times New Roman"/>
        </w:rPr>
        <w:t>covered transaction</w:t>
      </w:r>
      <w:r w:rsidRPr="00B8639F" w:rsidR="00C33315">
        <w:rPr>
          <w:rFonts w:ascii="Times New Roman" w:hAnsi="Times New Roman"/>
        </w:rPr>
        <w:t>,</w:t>
      </w:r>
      <w:r w:rsidRPr="00B8639F">
        <w:rPr>
          <w:rFonts w:ascii="Times New Roman" w:hAnsi="Times New Roman"/>
        </w:rPr>
        <w:t xml:space="preserve"> an independent fiduciary receive a copy of the current prospectus issued by the </w:t>
      </w:r>
      <w:r w:rsidR="00575509">
        <w:rPr>
          <w:rFonts w:ascii="Times New Roman" w:hAnsi="Times New Roman"/>
        </w:rPr>
        <w:t>investment company</w:t>
      </w:r>
      <w:r w:rsidRPr="00B8639F">
        <w:rPr>
          <w:rFonts w:ascii="Times New Roman" w:hAnsi="Times New Roman"/>
        </w:rPr>
        <w:t xml:space="preserve"> and full</w:t>
      </w:r>
      <w:r w:rsidR="00575509">
        <w:rPr>
          <w:rFonts w:ascii="Times New Roman" w:hAnsi="Times New Roman"/>
        </w:rPr>
        <w:t xml:space="preserve"> and detailed</w:t>
      </w:r>
      <w:r w:rsidRPr="00B8639F">
        <w:rPr>
          <w:rFonts w:ascii="Times New Roman" w:hAnsi="Times New Roman"/>
        </w:rPr>
        <w:t xml:space="preserve"> written disclosure of the investment advisory fees </w:t>
      </w:r>
      <w:r w:rsidR="00575509">
        <w:rPr>
          <w:rFonts w:ascii="Times New Roman" w:hAnsi="Times New Roman"/>
        </w:rPr>
        <w:t xml:space="preserve">and other fees </w:t>
      </w:r>
      <w:r w:rsidRPr="00B8639F">
        <w:rPr>
          <w:rFonts w:ascii="Times New Roman" w:hAnsi="Times New Roman"/>
        </w:rPr>
        <w:t xml:space="preserve">charged to or paid by the plan and the </w:t>
      </w:r>
      <w:r w:rsidR="00575509">
        <w:rPr>
          <w:rFonts w:ascii="Times New Roman" w:hAnsi="Times New Roman"/>
        </w:rPr>
        <w:t>investment company, including the nature and extent of any differential between the rates of such fees, the reasons why the fiduciary/investment adviser may consider such purchases to be appropriate for the plan, and whether there are any limitations on the fiduciary/investment adviser with respect to which plan assets may be invested in shares of the investment company and, if so, the nature of such limitations</w:t>
      </w:r>
      <w:r w:rsidRPr="00B8639F">
        <w:rPr>
          <w:rFonts w:ascii="Times New Roman" w:hAnsi="Times New Roman"/>
        </w:rPr>
        <w:t>.</w:t>
      </w:r>
      <w:r w:rsidRPr="00B8639F" w:rsidR="00FA00D1">
        <w:rPr>
          <w:rFonts w:ascii="Times New Roman" w:hAnsi="Times New Roman"/>
        </w:rPr>
        <w:t xml:space="preserve"> </w:t>
      </w:r>
      <w:r w:rsidR="00575509">
        <w:rPr>
          <w:rFonts w:ascii="Times New Roman" w:hAnsi="Times New Roman"/>
        </w:rPr>
        <w:t>In</w:t>
      </w:r>
      <w:r w:rsidRPr="00B8639F" w:rsidR="008A4C1E">
        <w:rPr>
          <w:rFonts w:ascii="Times New Roman" w:hAnsi="Times New Roman"/>
        </w:rPr>
        <w:t xml:space="preserve"> advisory opinion </w:t>
      </w:r>
      <w:r w:rsidR="001533AB">
        <w:rPr>
          <w:rFonts w:ascii="Times New Roman" w:hAnsi="Times New Roman"/>
        </w:rPr>
        <w:t>2013-04A</w:t>
      </w:r>
      <w:r w:rsidRPr="00B8639F" w:rsidR="008A4C1E">
        <w:rPr>
          <w:rFonts w:ascii="Times New Roman" w:hAnsi="Times New Roman"/>
        </w:rPr>
        <w:t>,</w:t>
      </w:r>
      <w:r w:rsidR="001533AB">
        <w:rPr>
          <w:rFonts w:ascii="Times New Roman" w:hAnsi="Times New Roman"/>
        </w:rPr>
        <w:t xml:space="preserve"> </w:t>
      </w:r>
      <w:r w:rsidRPr="00B8639F" w:rsidR="008A4C1E">
        <w:rPr>
          <w:rFonts w:ascii="Times New Roman" w:hAnsi="Times New Roman"/>
        </w:rPr>
        <w:t>t</w:t>
      </w:r>
      <w:r w:rsidRPr="00B8639F" w:rsidR="00FA00D1">
        <w:rPr>
          <w:rFonts w:ascii="Times New Roman" w:hAnsi="Times New Roman"/>
        </w:rPr>
        <w:t xml:space="preserve">he Department </w:t>
      </w:r>
      <w:r w:rsidR="00575509">
        <w:rPr>
          <w:rFonts w:ascii="Times New Roman" w:hAnsi="Times New Roman"/>
        </w:rPr>
        <w:t xml:space="preserve"> determined that, under </w:t>
      </w:r>
      <w:r w:rsidRPr="00B8639F" w:rsidR="00FA00D1">
        <w:rPr>
          <w:rFonts w:ascii="Times New Roman" w:hAnsi="Times New Roman"/>
        </w:rPr>
        <w:t xml:space="preserve">the Securities and Exchange Commission’s </w:t>
      </w:r>
      <w:r w:rsidR="00575509">
        <w:rPr>
          <w:rFonts w:ascii="Times New Roman" w:hAnsi="Times New Roman"/>
        </w:rPr>
        <w:t xml:space="preserve">2009 </w:t>
      </w:r>
      <w:r w:rsidRPr="00B8639F" w:rsidR="00FA00D1">
        <w:rPr>
          <w:rFonts w:ascii="Times New Roman" w:hAnsi="Times New Roman"/>
        </w:rPr>
        <w:t>revised disclosure provisions for mutual funds</w:t>
      </w:r>
      <w:r w:rsidR="00575509">
        <w:rPr>
          <w:rFonts w:ascii="Times New Roman" w:hAnsi="Times New Roman"/>
        </w:rPr>
        <w:t>,</w:t>
      </w:r>
      <w:r>
        <w:rPr>
          <w:rStyle w:val="FootnoteReference"/>
          <w:rFonts w:ascii="Times New Roman" w:hAnsi="Times New Roman"/>
          <w:vertAlign w:val="superscript"/>
        </w:rPr>
        <w:footnoteReference w:id="2"/>
      </w:r>
      <w:r w:rsidR="00575509">
        <w:rPr>
          <w:rFonts w:ascii="Times New Roman" w:hAnsi="Times New Roman"/>
        </w:rPr>
        <w:t xml:space="preserve"> delivery of a summary prospectus to an independent fiduciary satisfies the prospectus distribution requirement solely for purposes of section II(d) of PTE 77-4.</w:t>
      </w:r>
      <w:r w:rsidRPr="00B8639F" w:rsidR="001202ED">
        <w:rPr>
          <w:rFonts w:ascii="Times New Roman" w:hAnsi="Times New Roman"/>
        </w:rPr>
        <w:t xml:space="preserve"> </w:t>
      </w:r>
    </w:p>
    <w:p w:rsidR="002D77D4" w:rsidRPr="00B8639F" w:rsidP="00F3380B" w14:paraId="21805200" w14:textId="77777777">
      <w:pPr>
        <w:widowControl/>
        <w:ind w:left="720"/>
        <w:rPr>
          <w:rFonts w:ascii="Times New Roman" w:hAnsi="Times New Roman"/>
        </w:rPr>
      </w:pPr>
    </w:p>
    <w:p w:rsidR="002D77D4" w:rsidRPr="00B8639F" w:rsidP="00F3380B" w14:paraId="52D6892A" w14:textId="05A4C7F3">
      <w:pPr>
        <w:widowControl/>
        <w:ind w:left="720"/>
        <w:rPr>
          <w:rFonts w:ascii="Times New Roman" w:hAnsi="Times New Roman"/>
        </w:rPr>
      </w:pPr>
      <w:r w:rsidRPr="00B8639F">
        <w:rPr>
          <w:rFonts w:ascii="Times New Roman" w:hAnsi="Times New Roman"/>
        </w:rPr>
        <w:t xml:space="preserve">The third requirement is that the independent fiduciary </w:t>
      </w:r>
      <w:r w:rsidRPr="00B8639F" w:rsidR="00C93D18">
        <w:rPr>
          <w:rFonts w:ascii="Times New Roman" w:hAnsi="Times New Roman"/>
        </w:rPr>
        <w:t>be</w:t>
      </w:r>
      <w:r w:rsidRPr="00B8639F">
        <w:rPr>
          <w:rFonts w:ascii="Times New Roman" w:hAnsi="Times New Roman"/>
        </w:rPr>
        <w:t xml:space="preserve"> notified of any changes in the fees and approves in writing </w:t>
      </w:r>
      <w:r w:rsidRPr="00B8639F" w:rsidR="00C33315">
        <w:rPr>
          <w:rFonts w:ascii="Times New Roman" w:hAnsi="Times New Roman"/>
        </w:rPr>
        <w:t xml:space="preserve">the </w:t>
      </w:r>
      <w:r w:rsidR="00575509">
        <w:rPr>
          <w:rFonts w:ascii="Times New Roman" w:hAnsi="Times New Roman"/>
        </w:rPr>
        <w:t xml:space="preserve">continuation of the </w:t>
      </w:r>
      <w:r w:rsidRPr="00B8639F" w:rsidR="00C33315">
        <w:rPr>
          <w:rFonts w:ascii="Times New Roman" w:hAnsi="Times New Roman"/>
        </w:rPr>
        <w:t>plan’s purchase</w:t>
      </w:r>
      <w:r w:rsidR="00575509">
        <w:rPr>
          <w:rFonts w:ascii="Times New Roman" w:hAnsi="Times New Roman"/>
        </w:rPr>
        <w:t>s</w:t>
      </w:r>
      <w:r w:rsidRPr="00B8639F" w:rsidR="00C33315">
        <w:rPr>
          <w:rFonts w:ascii="Times New Roman" w:hAnsi="Times New Roman"/>
        </w:rPr>
        <w:t xml:space="preserve"> or sale</w:t>
      </w:r>
      <w:r w:rsidR="00575509">
        <w:rPr>
          <w:rFonts w:ascii="Times New Roman" w:hAnsi="Times New Roman"/>
        </w:rPr>
        <w:t>s and the continued holding of any investment company shares acquired by the plan prior to the fee change and still held by the plan.</w:t>
      </w:r>
      <w:r w:rsidRPr="00B8639F" w:rsidR="00C33315">
        <w:rPr>
          <w:rFonts w:ascii="Times New Roman" w:hAnsi="Times New Roman"/>
        </w:rPr>
        <w:t xml:space="preserve"> </w:t>
      </w:r>
    </w:p>
    <w:p w:rsidR="002D77D4" w:rsidRPr="00B8639F" w:rsidP="00F3380B" w14:paraId="0B58EED2" w14:textId="77777777">
      <w:pPr>
        <w:widowControl/>
        <w:ind w:left="720"/>
        <w:rPr>
          <w:rFonts w:ascii="Times New Roman" w:hAnsi="Times New Roman"/>
        </w:rPr>
      </w:pPr>
    </w:p>
    <w:p w:rsidR="002D77D4" w:rsidRPr="00B8639F" w:rsidP="00F3380B" w14:paraId="6DCEAA9B" w14:textId="695DFDC2">
      <w:pPr>
        <w:widowControl/>
        <w:ind w:left="720"/>
        <w:rPr>
          <w:rFonts w:ascii="Times New Roman" w:hAnsi="Times New Roman"/>
        </w:rPr>
      </w:pPr>
      <w:r w:rsidRPr="74F8CD1D">
        <w:rPr>
          <w:rFonts w:ascii="Times New Roman" w:hAnsi="Times New Roman"/>
        </w:rPr>
        <w:t>Without the class exemption a</w:t>
      </w:r>
      <w:r w:rsidRPr="74F8CD1D" w:rsidR="56D5F79C">
        <w:rPr>
          <w:rFonts w:ascii="Times New Roman" w:hAnsi="Times New Roman"/>
        </w:rPr>
        <w:t xml:space="preserve"> plan </w:t>
      </w:r>
      <w:r w:rsidRPr="74F8CD1D">
        <w:rPr>
          <w:rFonts w:ascii="Times New Roman" w:hAnsi="Times New Roman"/>
        </w:rPr>
        <w:t xml:space="preserve">could not </w:t>
      </w:r>
      <w:r w:rsidRPr="74F8CD1D" w:rsidR="5BB12B8C">
        <w:rPr>
          <w:rFonts w:ascii="Times New Roman" w:hAnsi="Times New Roman"/>
        </w:rPr>
        <w:t>purchase or sell shares of a</w:t>
      </w:r>
      <w:r w:rsidRPr="74F8CD1D" w:rsidR="4FAD0656">
        <w:rPr>
          <w:rFonts w:ascii="Times New Roman" w:hAnsi="Times New Roman"/>
        </w:rPr>
        <w:t>n open end mutual fund,</w:t>
      </w:r>
      <w:r w:rsidRPr="74F8CD1D">
        <w:rPr>
          <w:rFonts w:ascii="Times New Roman" w:hAnsi="Times New Roman"/>
        </w:rPr>
        <w:t xml:space="preserve"> when the</w:t>
      </w:r>
      <w:r w:rsidRPr="74F8CD1D" w:rsidR="4FAD0656">
        <w:rPr>
          <w:rFonts w:ascii="Times New Roman" w:hAnsi="Times New Roman"/>
        </w:rPr>
        <w:t xml:space="preserve"> investment </w:t>
      </w:r>
      <w:r w:rsidRPr="74F8CD1D" w:rsidR="0EEE6D5D">
        <w:rPr>
          <w:rFonts w:ascii="Times New Roman" w:hAnsi="Times New Roman"/>
        </w:rPr>
        <w:t>advisor to the fund is also a</w:t>
      </w:r>
      <w:r w:rsidRPr="74F8CD1D">
        <w:rPr>
          <w:rFonts w:ascii="Times New Roman" w:hAnsi="Times New Roman"/>
        </w:rPr>
        <w:t xml:space="preserve"> fiduciary with respect to the plan</w:t>
      </w:r>
      <w:r w:rsidRPr="74F8CD1D" w:rsidR="0EEE6D5D">
        <w:rPr>
          <w:rFonts w:ascii="Times New Roman" w:hAnsi="Times New Roman"/>
        </w:rPr>
        <w:t>.</w:t>
      </w:r>
      <w:r w:rsidRPr="74F8CD1D">
        <w:rPr>
          <w:rFonts w:ascii="Times New Roman" w:hAnsi="Times New Roman"/>
        </w:rPr>
        <w:t xml:space="preserve"> Such purchases and sales may serve the interest of both the plans and the industry, provided that procedures designed to protect the interests of participants and beneficiaries from potential abuse are built into the transactions.</w:t>
      </w:r>
      <w:r w:rsidRPr="74F8CD1D" w:rsidR="00515768">
        <w:rPr>
          <w:rFonts w:ascii="Times New Roman" w:hAnsi="Times New Roman"/>
        </w:rPr>
        <w:t xml:space="preserve"> </w:t>
      </w:r>
      <w:r w:rsidRPr="74F8CD1D">
        <w:rPr>
          <w:rFonts w:ascii="Times New Roman" w:hAnsi="Times New Roman"/>
        </w:rPr>
        <w:t>Therefore, the exemption requires disclosure of any redemption fees in the current prospectus and approval of the advisory fees by a</w:t>
      </w:r>
      <w:r w:rsidRPr="74F8CD1D" w:rsidR="66444F0E">
        <w:rPr>
          <w:rFonts w:ascii="Times New Roman" w:hAnsi="Times New Roman"/>
        </w:rPr>
        <w:t>n independent</w:t>
      </w:r>
      <w:r w:rsidRPr="74F8CD1D">
        <w:rPr>
          <w:rFonts w:ascii="Times New Roman" w:hAnsi="Times New Roman"/>
        </w:rPr>
        <w:t xml:space="preserve"> fiduciary so that the fiduciary can make informed judgments with respect to the pr</w:t>
      </w:r>
      <w:r w:rsidRPr="74F8CD1D" w:rsidR="0F414B97">
        <w:rPr>
          <w:rFonts w:ascii="Times New Roman" w:hAnsi="Times New Roman"/>
        </w:rPr>
        <w:t>udence of the transactions.</w:t>
      </w:r>
    </w:p>
    <w:p w:rsidR="00FA00D1" w:rsidRPr="00B8639F" w:rsidP="00F3380B" w14:paraId="2C73DE9E" w14:textId="77777777">
      <w:pPr>
        <w:widowControl/>
        <w:ind w:left="720"/>
        <w:rPr>
          <w:rFonts w:ascii="Times New Roman" w:hAnsi="Times New Roman"/>
        </w:rPr>
      </w:pPr>
    </w:p>
    <w:p w:rsidR="002D77D4" w:rsidRPr="00E66249" w:rsidP="00F3380B" w14:paraId="743012DC" w14:textId="4660F153">
      <w:pPr>
        <w:widowControl/>
        <w:tabs>
          <w:tab w:val="left" w:pos="-1440"/>
        </w:tabs>
        <w:ind w:left="720" w:hanging="720"/>
        <w:rPr>
          <w:rFonts w:ascii="Times New Roman" w:hAnsi="Times New Roman"/>
          <w:b/>
          <w:bCs/>
          <w:iCs/>
        </w:rPr>
      </w:pPr>
      <w:r w:rsidRPr="00E66249">
        <w:rPr>
          <w:rFonts w:ascii="Times New Roman" w:hAnsi="Times New Roman"/>
          <w:b/>
          <w:bCs/>
          <w:iCs/>
        </w:rPr>
        <w:t>3.</w:t>
      </w:r>
      <w:r w:rsidRPr="00E66249">
        <w:rPr>
          <w:rFonts w:ascii="Times New Roman" w:hAnsi="Times New Roman"/>
          <w:b/>
          <w:bCs/>
          <w:iCs/>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E66249">
        <w:rPr>
          <w:rFonts w:ascii="Times New Roman" w:hAnsi="Times New Roman"/>
          <w:b/>
          <w:bCs/>
          <w:iCs/>
        </w:rPr>
        <w:t>responses, and the basis for the decision for adopting this means of collection. Also, describe any consideration for using information technology to reduce burden.</w:t>
      </w:r>
    </w:p>
    <w:p w:rsidR="002D77D4" w:rsidRPr="00B8639F" w:rsidP="00F3380B" w14:paraId="73507C5A" w14:textId="77777777">
      <w:pPr>
        <w:widowControl/>
        <w:ind w:left="720"/>
        <w:rPr>
          <w:rFonts w:ascii="Times New Roman" w:hAnsi="Times New Roman"/>
        </w:rPr>
      </w:pPr>
    </w:p>
    <w:p w:rsidR="00CD3912" w:rsidRPr="00FB462A" w:rsidP="00FB462A" w14:paraId="23DA17DA" w14:textId="66E4C939">
      <w:pPr>
        <w:pStyle w:val="BodyTextIndent"/>
        <w:widowControl/>
        <w:tabs>
          <w:tab w:val="clear" w:pos="-1440"/>
        </w:tabs>
      </w:pPr>
      <w:r w:rsidRPr="00CB39F4">
        <w:t>N</w:t>
      </w:r>
      <w:r w:rsidRPr="00CD3912">
        <w:t>othing in this</w:t>
      </w:r>
      <w:r>
        <w:t xml:space="preserve"> PTE</w:t>
      </w:r>
      <w:r w:rsidRPr="00CD3912">
        <w:t xml:space="preserve"> requires that disclosures be made through distribution methods that would preclude use of electronic technology.</w:t>
      </w:r>
      <w:r w:rsidR="00324542">
        <w:t xml:space="preserve"> </w:t>
      </w:r>
      <w:r w:rsidR="00842C76">
        <w:t>Fiduciaries</w:t>
      </w:r>
      <w:r>
        <w:t xml:space="preserve"> and mutual funds</w:t>
      </w:r>
      <w:r w:rsidRPr="00CD3912">
        <w:t xml:space="preserve"> are part of financially sophisticated organizations.</w:t>
      </w:r>
      <w:r w:rsidR="00324542">
        <w:t xml:space="preserve"> </w:t>
      </w:r>
      <w:r w:rsidRPr="00CD3912">
        <w:t>Consequently, the Department has assumed that more routine interactions between parties will be carried out electronically</w:t>
      </w:r>
      <w:r>
        <w:t>.</w:t>
      </w:r>
      <w:r w:rsidRPr="00CD3912">
        <w:t xml:space="preserve"> </w:t>
      </w:r>
      <w:r w:rsidR="00842C76">
        <w:t>The Department assumes that 100% of the information collection activities will be completed electronically.</w:t>
      </w:r>
    </w:p>
    <w:p w:rsidR="002D77D4" w:rsidRPr="00E66249" w:rsidP="00861A2E" w14:paraId="73EA8D93" w14:textId="77777777">
      <w:pPr>
        <w:widowControl/>
        <w:rPr>
          <w:rFonts w:ascii="Times New Roman" w:hAnsi="Times New Roman"/>
          <w:b/>
          <w:bCs/>
          <w:iCs/>
        </w:rPr>
      </w:pPr>
    </w:p>
    <w:p w:rsidR="002D77D4" w:rsidRPr="00E66249" w:rsidP="00F3380B" w14:paraId="084635AB" w14:textId="4C0F1645">
      <w:pPr>
        <w:widowControl/>
        <w:tabs>
          <w:tab w:val="left" w:pos="-1440"/>
        </w:tabs>
        <w:ind w:left="720" w:hanging="720"/>
        <w:rPr>
          <w:rFonts w:ascii="Times New Roman" w:hAnsi="Times New Roman"/>
          <w:b/>
          <w:bCs/>
          <w:iCs/>
        </w:rPr>
      </w:pPr>
      <w:r w:rsidRPr="00E66249">
        <w:rPr>
          <w:rFonts w:ascii="Times New Roman" w:hAnsi="Times New Roman"/>
          <w:b/>
          <w:bCs/>
          <w:iCs/>
        </w:rPr>
        <w:t>4.</w:t>
      </w:r>
      <w:r w:rsidRPr="00E66249">
        <w:rPr>
          <w:rFonts w:ascii="Times New Roman" w:hAnsi="Times New Roman"/>
          <w:b/>
          <w:bCs/>
          <w:iCs/>
        </w:rPr>
        <w:tab/>
        <w:t>Describe efforts to identify duplication. Show specifically why any similar information already available cannot be used or modified for use for the purposes described in Item 2 above.</w:t>
      </w:r>
    </w:p>
    <w:p w:rsidR="002D77D4" w:rsidRPr="00B8639F" w:rsidP="00F3380B" w14:paraId="08859EF1" w14:textId="77777777">
      <w:pPr>
        <w:widowControl/>
        <w:ind w:left="720"/>
        <w:rPr>
          <w:rFonts w:ascii="Times New Roman" w:hAnsi="Times New Roman"/>
        </w:rPr>
      </w:pPr>
    </w:p>
    <w:p w:rsidR="002D77D4" w:rsidP="00F3380B" w14:paraId="092F3169" w14:textId="155534CC">
      <w:pPr>
        <w:widowControl/>
        <w:ind w:left="720"/>
        <w:rPr>
          <w:rFonts w:ascii="Times New Roman" w:hAnsi="Times New Roman"/>
        </w:rPr>
      </w:pPr>
      <w:r w:rsidRPr="00B8639F">
        <w:rPr>
          <w:rFonts w:ascii="Times New Roman" w:hAnsi="Times New Roman"/>
        </w:rPr>
        <w:t>The Department of Labor and the Department of the Treasury collectively issued this class exemption in order to eliminate duplicative disclosure requirements.</w:t>
      </w:r>
    </w:p>
    <w:p w:rsidR="008849CB" w:rsidP="00F3380B" w14:paraId="00D722FF" w14:textId="3A17B0FF">
      <w:pPr>
        <w:widowControl/>
        <w:ind w:left="720"/>
        <w:rPr>
          <w:rFonts w:ascii="Times New Roman" w:hAnsi="Times New Roman"/>
        </w:rPr>
      </w:pPr>
    </w:p>
    <w:p w:rsidR="008849CB" w:rsidRPr="00B8639F" w:rsidP="00F3380B" w14:paraId="39EE069F" w14:textId="221FE406">
      <w:pPr>
        <w:widowControl/>
        <w:ind w:left="720"/>
        <w:rPr>
          <w:rFonts w:ascii="Times New Roman" w:hAnsi="Times New Roman"/>
        </w:rPr>
      </w:pPr>
      <w:r>
        <w:rPr>
          <w:rFonts w:ascii="Times New Roman" w:hAnsi="Times New Roman"/>
        </w:rPr>
        <w:t xml:space="preserve">Documents required by other agencies can be used to satisfy the requirement. </w:t>
      </w:r>
      <w:r w:rsidRPr="00B8639F">
        <w:rPr>
          <w:rFonts w:ascii="Times New Roman" w:hAnsi="Times New Roman"/>
        </w:rPr>
        <w:t>Open-end mutual funds are required by SEC rules to incorporate in the prospectus a statement of any fees charged for the redemption of shares</w:t>
      </w:r>
      <w:r>
        <w:rPr>
          <w:rFonts w:ascii="Times New Roman" w:hAnsi="Times New Roman"/>
        </w:rPr>
        <w:t>, and the provision of the summary prospectus fulfills one of the requirements.</w:t>
      </w:r>
    </w:p>
    <w:p w:rsidR="002D77D4" w:rsidRPr="00B8639F" w:rsidP="00F3380B" w14:paraId="728742E9" w14:textId="77777777">
      <w:pPr>
        <w:widowControl/>
        <w:ind w:left="720"/>
        <w:rPr>
          <w:rFonts w:ascii="Times New Roman" w:hAnsi="Times New Roman"/>
        </w:rPr>
      </w:pPr>
    </w:p>
    <w:p w:rsidR="002D77D4" w:rsidRPr="00E66249" w:rsidP="001878F3" w14:paraId="4A1EE692" w14:textId="77777777">
      <w:pPr>
        <w:widowControl/>
        <w:tabs>
          <w:tab w:val="left" w:pos="-1440"/>
        </w:tabs>
        <w:ind w:left="720" w:hanging="720"/>
        <w:rPr>
          <w:rFonts w:ascii="Times New Roman" w:hAnsi="Times New Roman"/>
          <w:b/>
          <w:bCs/>
          <w:iCs/>
        </w:rPr>
      </w:pPr>
      <w:r w:rsidRPr="00E66249">
        <w:rPr>
          <w:rFonts w:ascii="Times New Roman" w:hAnsi="Times New Roman"/>
          <w:b/>
          <w:bCs/>
          <w:iCs/>
        </w:rPr>
        <w:t>5.</w:t>
      </w:r>
      <w:r w:rsidRPr="00E66249">
        <w:rPr>
          <w:rFonts w:ascii="Times New Roman" w:hAnsi="Times New Roman"/>
          <w:b/>
          <w:bCs/>
          <w:iCs/>
        </w:rPr>
        <w:tab/>
        <w:t>If the collection of information impacts small businesses or other small entities describe any methods used to minimize burden.</w:t>
      </w:r>
    </w:p>
    <w:p w:rsidR="002D77D4" w:rsidRPr="00B8639F" w:rsidP="001878F3" w14:paraId="1E8047AE" w14:textId="77777777">
      <w:pPr>
        <w:widowControl/>
        <w:ind w:left="720"/>
        <w:rPr>
          <w:rFonts w:ascii="Times New Roman" w:hAnsi="Times New Roman"/>
        </w:rPr>
      </w:pPr>
    </w:p>
    <w:p w:rsidR="002D77D4" w:rsidRPr="00B8639F" w:rsidP="001878F3" w14:paraId="3A4AB37B" w14:textId="26AA64C9">
      <w:pPr>
        <w:widowControl/>
        <w:ind w:left="720"/>
        <w:rPr>
          <w:rFonts w:ascii="Times New Roman" w:hAnsi="Times New Roman"/>
        </w:rPr>
      </w:pPr>
      <w:r w:rsidRPr="00B8639F">
        <w:rPr>
          <w:rFonts w:ascii="Times New Roman" w:hAnsi="Times New Roman"/>
        </w:rPr>
        <w:t xml:space="preserve">The disclosure requirements included in the class exemption ensure that the transactions involving the open-end mutual </w:t>
      </w:r>
      <w:r w:rsidRPr="00B8639F" w:rsidR="00166219">
        <w:rPr>
          <w:rFonts w:ascii="Times New Roman" w:hAnsi="Times New Roman"/>
        </w:rPr>
        <w:t xml:space="preserve">fund </w:t>
      </w:r>
      <w:r w:rsidRPr="00B8639F" w:rsidR="00C93D18">
        <w:rPr>
          <w:rFonts w:ascii="Times New Roman" w:hAnsi="Times New Roman"/>
        </w:rPr>
        <w:t>allow</w:t>
      </w:r>
      <w:r w:rsidRPr="00B8639F">
        <w:rPr>
          <w:rFonts w:ascii="Times New Roman" w:hAnsi="Times New Roman"/>
        </w:rPr>
        <w:t xml:space="preserve"> existing business practices to continue.</w:t>
      </w:r>
      <w:r w:rsidR="00515768">
        <w:rPr>
          <w:rFonts w:ascii="Times New Roman" w:hAnsi="Times New Roman"/>
        </w:rPr>
        <w:t xml:space="preserve"> </w:t>
      </w:r>
      <w:r w:rsidRPr="00B8639F">
        <w:rPr>
          <w:rFonts w:ascii="Times New Roman" w:hAnsi="Times New Roman"/>
        </w:rPr>
        <w:t xml:space="preserve">Because of the nature of the potential conflict of interest for individuals who manage these open-end mutual funds, </w:t>
      </w:r>
      <w:r w:rsidRPr="00B8639F" w:rsidR="00C93D18">
        <w:rPr>
          <w:rFonts w:ascii="Times New Roman" w:hAnsi="Times New Roman"/>
        </w:rPr>
        <w:t>the disclosure requirements make no distin</w:t>
      </w:r>
      <w:r w:rsidRPr="00B8639F">
        <w:rPr>
          <w:rFonts w:ascii="Times New Roman" w:hAnsi="Times New Roman"/>
        </w:rPr>
        <w:t xml:space="preserve">ction </w:t>
      </w:r>
      <w:r w:rsidRPr="00B8639F" w:rsidR="00C93D18">
        <w:rPr>
          <w:rFonts w:ascii="Times New Roman" w:hAnsi="Times New Roman"/>
        </w:rPr>
        <w:t>between</w:t>
      </w:r>
      <w:r w:rsidRPr="00B8639F">
        <w:rPr>
          <w:rFonts w:ascii="Times New Roman" w:hAnsi="Times New Roman"/>
        </w:rPr>
        <w:t xml:space="preserve"> small and large mutual fund companies. In addition, mutual fund companies are managed by very large fund complexes</w:t>
      </w:r>
      <w:r w:rsidR="001878F3">
        <w:rPr>
          <w:rFonts w:ascii="Times New Roman" w:hAnsi="Times New Roman"/>
        </w:rPr>
        <w:t xml:space="preserve"> which are not small entities.</w:t>
      </w:r>
    </w:p>
    <w:p w:rsidR="002D77D4" w:rsidRPr="00E66249" w:rsidP="001878F3" w14:paraId="5ED44448" w14:textId="77777777">
      <w:pPr>
        <w:widowControl/>
        <w:ind w:left="720"/>
        <w:rPr>
          <w:rFonts w:ascii="Times New Roman" w:hAnsi="Times New Roman"/>
          <w:b/>
          <w:bCs/>
          <w:iCs/>
        </w:rPr>
      </w:pPr>
    </w:p>
    <w:p w:rsidR="002D77D4" w:rsidRPr="00E66249" w:rsidP="001878F3" w14:paraId="104C6CC1" w14:textId="77777777">
      <w:pPr>
        <w:widowControl/>
        <w:tabs>
          <w:tab w:val="left" w:pos="-1440"/>
        </w:tabs>
        <w:ind w:left="720" w:hanging="720"/>
        <w:rPr>
          <w:rFonts w:ascii="Times New Roman" w:hAnsi="Times New Roman"/>
          <w:b/>
          <w:bCs/>
          <w:iCs/>
        </w:rPr>
      </w:pPr>
      <w:r w:rsidRPr="00E66249">
        <w:rPr>
          <w:rFonts w:ascii="Times New Roman" w:hAnsi="Times New Roman"/>
          <w:b/>
          <w:bCs/>
          <w:iCs/>
        </w:rPr>
        <w:t>6.</w:t>
      </w:r>
      <w:r w:rsidRPr="00E66249">
        <w:rPr>
          <w:rFonts w:ascii="Times New Roman" w:hAnsi="Times New Roman"/>
          <w:b/>
          <w:bCs/>
          <w:iCs/>
        </w:rPr>
        <w:tab/>
        <w:t>Describe the consequence to Federal program or policy activities if the collection is not conducted or is conducted less frequently, as well as any technical or legal obstacles to reducing burden.</w:t>
      </w:r>
    </w:p>
    <w:p w:rsidR="002D77D4" w:rsidRPr="00B8639F" w:rsidP="001878F3" w14:paraId="5EF4DF7C" w14:textId="77777777">
      <w:pPr>
        <w:widowControl/>
        <w:ind w:left="720"/>
        <w:rPr>
          <w:rFonts w:ascii="Times New Roman" w:hAnsi="Times New Roman"/>
        </w:rPr>
      </w:pPr>
    </w:p>
    <w:p w:rsidR="002D77D4" w:rsidRPr="00B8639F" w:rsidP="001878F3" w14:paraId="732E7ACD" w14:textId="02A992B9">
      <w:pPr>
        <w:widowControl/>
        <w:ind w:left="720"/>
        <w:rPr>
          <w:rFonts w:ascii="Times New Roman" w:hAnsi="Times New Roman"/>
        </w:rPr>
      </w:pPr>
      <w:r w:rsidRPr="00B8639F">
        <w:rPr>
          <w:rFonts w:ascii="Times New Roman" w:hAnsi="Times New Roman"/>
        </w:rPr>
        <w:t xml:space="preserve">The disclosure requirements of the class exemption are only </w:t>
      </w:r>
      <w:r w:rsidR="00842C76">
        <w:rPr>
          <w:rFonts w:ascii="Times New Roman" w:hAnsi="Times New Roman"/>
        </w:rPr>
        <w:t>required</w:t>
      </w:r>
      <w:r w:rsidRPr="00B8639F" w:rsidR="00842C76">
        <w:rPr>
          <w:rFonts w:ascii="Times New Roman" w:hAnsi="Times New Roman"/>
        </w:rPr>
        <w:t xml:space="preserve"> </w:t>
      </w:r>
      <w:r w:rsidRPr="00B8639F">
        <w:rPr>
          <w:rFonts w:ascii="Times New Roman" w:hAnsi="Times New Roman"/>
        </w:rPr>
        <w:t>if open-end mutual funds sell their shares to or purchase their shares from plans when the investment advisor for the open-end mutual fund</w:t>
      </w:r>
      <w:r w:rsidR="0066330E">
        <w:rPr>
          <w:rFonts w:ascii="Times New Roman" w:hAnsi="Times New Roman"/>
        </w:rPr>
        <w:t xml:space="preserve"> is also a fiduciary </w:t>
      </w:r>
      <w:r w:rsidR="00686C89">
        <w:rPr>
          <w:rFonts w:ascii="Times New Roman" w:hAnsi="Times New Roman"/>
        </w:rPr>
        <w:t>of</w:t>
      </w:r>
      <w:r w:rsidR="0066330E">
        <w:rPr>
          <w:rFonts w:ascii="Times New Roman" w:hAnsi="Times New Roman"/>
        </w:rPr>
        <w:t xml:space="preserve"> the plan</w:t>
      </w:r>
      <w:r w:rsidRPr="00B8639F">
        <w:rPr>
          <w:rFonts w:ascii="Times New Roman" w:hAnsi="Times New Roman"/>
        </w:rPr>
        <w:t>. The frequency is dependent on the occurrence of</w:t>
      </w:r>
      <w:r w:rsidR="00D5132B">
        <w:rPr>
          <w:rFonts w:ascii="Times New Roman" w:hAnsi="Times New Roman"/>
        </w:rPr>
        <w:t xml:space="preserve"> certain expressly identified events</w:t>
      </w:r>
      <w:r w:rsidRPr="00B8639F">
        <w:rPr>
          <w:rFonts w:ascii="Times New Roman" w:hAnsi="Times New Roman"/>
        </w:rPr>
        <w:t>, not on a predetermined time period.</w:t>
      </w:r>
    </w:p>
    <w:p w:rsidR="002D77D4" w:rsidRPr="00B8639F" w:rsidP="001878F3" w14:paraId="5929F3BF" w14:textId="77777777">
      <w:pPr>
        <w:widowControl/>
        <w:ind w:left="720"/>
        <w:rPr>
          <w:rFonts w:ascii="Times New Roman" w:hAnsi="Times New Roman"/>
        </w:rPr>
      </w:pPr>
    </w:p>
    <w:p w:rsidR="006B4D48" w:rsidRPr="00B8639F" w:rsidP="001878F3" w14:paraId="3978C82B" w14:textId="35534341">
      <w:pPr>
        <w:widowControl/>
        <w:ind w:left="720"/>
        <w:rPr>
          <w:rFonts w:ascii="Times New Roman" w:hAnsi="Times New Roman"/>
        </w:rPr>
      </w:pPr>
      <w:r w:rsidRPr="00B8639F">
        <w:rPr>
          <w:rFonts w:ascii="Times New Roman" w:hAnsi="Times New Roman"/>
        </w:rPr>
        <w:t xml:space="preserve">Pursuant to </w:t>
      </w:r>
      <w:r w:rsidR="00842C76">
        <w:rPr>
          <w:rFonts w:ascii="Times New Roman" w:hAnsi="Times New Roman"/>
        </w:rPr>
        <w:t xml:space="preserve">DOL </w:t>
      </w:r>
      <w:r w:rsidR="00B72987">
        <w:rPr>
          <w:rFonts w:ascii="Times New Roman" w:hAnsi="Times New Roman"/>
        </w:rPr>
        <w:t>A</w:t>
      </w:r>
      <w:r w:rsidR="00842C76">
        <w:rPr>
          <w:rFonts w:ascii="Times New Roman" w:hAnsi="Times New Roman"/>
        </w:rPr>
        <w:t xml:space="preserve">dvisory </w:t>
      </w:r>
      <w:r w:rsidR="00B72987">
        <w:rPr>
          <w:rFonts w:ascii="Times New Roman" w:hAnsi="Times New Roman"/>
        </w:rPr>
        <w:t>O</w:t>
      </w:r>
      <w:r w:rsidR="00842C76">
        <w:rPr>
          <w:rFonts w:ascii="Times New Roman" w:hAnsi="Times New Roman"/>
        </w:rPr>
        <w:t>pinion</w:t>
      </w:r>
      <w:r w:rsidR="00B72987">
        <w:rPr>
          <w:rFonts w:ascii="Times New Roman" w:hAnsi="Times New Roman"/>
        </w:rPr>
        <w:t xml:space="preserve"> 2013-04A</w:t>
      </w:r>
      <w:r w:rsidR="006731CA">
        <w:rPr>
          <w:rFonts w:ascii="Times New Roman" w:hAnsi="Times New Roman"/>
        </w:rPr>
        <w:t>,</w:t>
      </w:r>
      <w:r w:rsidRPr="00B8639F">
        <w:rPr>
          <w:rFonts w:ascii="Times New Roman" w:hAnsi="Times New Roman"/>
        </w:rPr>
        <w:t xml:space="preserve"> </w:t>
      </w:r>
      <w:r w:rsidRPr="00B8639F" w:rsidR="00804BB4">
        <w:rPr>
          <w:rFonts w:ascii="Times New Roman" w:hAnsi="Times New Roman"/>
        </w:rPr>
        <w:t>th</w:t>
      </w:r>
      <w:r w:rsidRPr="00B8639F">
        <w:rPr>
          <w:rFonts w:ascii="Times New Roman" w:hAnsi="Times New Roman"/>
        </w:rPr>
        <w:t>e</w:t>
      </w:r>
      <w:r w:rsidRPr="00B8639F" w:rsidR="00804BB4">
        <w:rPr>
          <w:rFonts w:ascii="Times New Roman" w:hAnsi="Times New Roman"/>
        </w:rPr>
        <w:t xml:space="preserve"> </w:t>
      </w:r>
      <w:r w:rsidRPr="00B8639F">
        <w:rPr>
          <w:rFonts w:ascii="Times New Roman" w:hAnsi="Times New Roman"/>
        </w:rPr>
        <w:t xml:space="preserve">Department is </w:t>
      </w:r>
      <w:r w:rsidRPr="00B8639F" w:rsidR="00804BB4">
        <w:rPr>
          <w:rFonts w:ascii="Times New Roman" w:hAnsi="Times New Roman"/>
        </w:rPr>
        <w:t>interpret</w:t>
      </w:r>
      <w:r w:rsidR="00F46651">
        <w:rPr>
          <w:rFonts w:ascii="Times New Roman" w:hAnsi="Times New Roman"/>
        </w:rPr>
        <w:t>ing</w:t>
      </w:r>
      <w:r w:rsidRPr="00B8639F" w:rsidR="00804BB4">
        <w:rPr>
          <w:rFonts w:ascii="Times New Roman" w:hAnsi="Times New Roman"/>
        </w:rPr>
        <w:t xml:space="preserve"> the term “prospectus” in PTE 77-4 to include </w:t>
      </w:r>
      <w:r w:rsidRPr="00B8639F" w:rsidR="00FA00D1">
        <w:rPr>
          <w:rFonts w:ascii="Times New Roman" w:hAnsi="Times New Roman"/>
        </w:rPr>
        <w:t xml:space="preserve">a “summary prospectus” if certain conditions </w:t>
      </w:r>
      <w:r w:rsidRPr="00B8639F" w:rsidR="006A44BA">
        <w:rPr>
          <w:rFonts w:ascii="Times New Roman" w:hAnsi="Times New Roman"/>
        </w:rPr>
        <w:t xml:space="preserve">are met </w:t>
      </w:r>
      <w:r w:rsidRPr="00B8639F" w:rsidR="00FA00D1">
        <w:rPr>
          <w:rFonts w:ascii="Times New Roman" w:hAnsi="Times New Roman"/>
        </w:rPr>
        <w:t xml:space="preserve">that are discussed in Item </w:t>
      </w:r>
      <w:r w:rsidRPr="00B8639F" w:rsidR="006A44BA">
        <w:rPr>
          <w:rFonts w:ascii="Times New Roman" w:hAnsi="Times New Roman"/>
        </w:rPr>
        <w:t>2</w:t>
      </w:r>
      <w:r w:rsidRPr="00B8639F" w:rsidR="00FA00D1">
        <w:rPr>
          <w:rFonts w:ascii="Times New Roman" w:hAnsi="Times New Roman"/>
        </w:rPr>
        <w:t>, above.</w:t>
      </w:r>
    </w:p>
    <w:p w:rsidR="002D77D4" w:rsidRPr="00B8639F" w:rsidP="001878F3" w14:paraId="69A3F508" w14:textId="77777777">
      <w:pPr>
        <w:widowControl/>
        <w:ind w:left="720"/>
        <w:rPr>
          <w:rFonts w:ascii="Times New Roman" w:hAnsi="Times New Roman"/>
        </w:rPr>
      </w:pPr>
    </w:p>
    <w:p w:rsidR="002D77D4" w:rsidRPr="00E66249" w:rsidP="00D6037A" w14:paraId="51FC24D3" w14:textId="77777777">
      <w:pPr>
        <w:pStyle w:val="Quick1"/>
        <w:widowControl/>
        <w:numPr>
          <w:ilvl w:val="0"/>
          <w:numId w:val="2"/>
        </w:numPr>
        <w:tabs>
          <w:tab w:val="left" w:pos="-1440"/>
          <w:tab w:val="num" w:pos="720"/>
        </w:tabs>
        <w:rPr>
          <w:rFonts w:ascii="Times New Roman" w:hAnsi="Times New Roman"/>
          <w:b/>
          <w:bCs/>
          <w:iCs/>
        </w:rPr>
      </w:pPr>
      <w:r w:rsidRPr="00E66249">
        <w:rPr>
          <w:rFonts w:ascii="Times New Roman" w:hAnsi="Times New Roman"/>
          <w:b/>
          <w:bCs/>
          <w:iCs/>
        </w:rPr>
        <w:t>Explain any special circumstances that would cause an information collection to be conducted in a manner:</w:t>
      </w:r>
    </w:p>
    <w:p w:rsidR="002D77D4" w:rsidRPr="00E66249" w:rsidP="00AC3E2C" w14:paraId="511D823A" w14:textId="77777777">
      <w:pPr>
        <w:widowControl/>
        <w:tabs>
          <w:tab w:val="left" w:pos="-1440"/>
        </w:tabs>
        <w:ind w:left="1440" w:hanging="360"/>
        <w:rPr>
          <w:rFonts w:ascii="Times New Roman" w:hAnsi="Times New Roman"/>
          <w:b/>
          <w:bCs/>
          <w:iCs/>
        </w:rPr>
      </w:pPr>
      <w:r w:rsidRPr="00E66249">
        <w:rPr>
          <w:rFonts w:ascii="Times New Roman" w:hAnsi="Times New Roman"/>
          <w:b/>
          <w:bCs/>
          <w:iCs/>
        </w:rPr>
        <w:t>•</w:t>
      </w:r>
      <w:r w:rsidRPr="00E66249">
        <w:rPr>
          <w:rFonts w:ascii="Times New Roman" w:hAnsi="Times New Roman"/>
          <w:b/>
          <w:bCs/>
          <w:iCs/>
        </w:rPr>
        <w:tab/>
        <w:t>requiring respondents to report information to the agency more often than quarterly;</w:t>
      </w:r>
    </w:p>
    <w:p w:rsidR="002D77D4" w:rsidRPr="00E66249" w:rsidP="00AC3E2C" w14:paraId="7419C129" w14:textId="77777777">
      <w:pPr>
        <w:widowControl/>
        <w:tabs>
          <w:tab w:val="left" w:pos="-1440"/>
        </w:tabs>
        <w:ind w:left="1440" w:hanging="360"/>
        <w:rPr>
          <w:rFonts w:ascii="Times New Roman" w:hAnsi="Times New Roman"/>
          <w:b/>
          <w:bCs/>
          <w:iCs/>
        </w:rPr>
      </w:pPr>
      <w:r w:rsidRPr="00E66249">
        <w:rPr>
          <w:rFonts w:ascii="Times New Roman" w:hAnsi="Times New Roman"/>
          <w:b/>
          <w:bCs/>
          <w:iCs/>
        </w:rPr>
        <w:t>•</w:t>
      </w:r>
      <w:r w:rsidRPr="00E66249">
        <w:rPr>
          <w:rFonts w:ascii="Times New Roman" w:hAnsi="Times New Roman"/>
          <w:b/>
          <w:bCs/>
          <w:iCs/>
        </w:rPr>
        <w:tab/>
        <w:t>requiring respondents to prepare a written response to a collection of information in fewer than 30 days after receipt of it;</w:t>
      </w:r>
    </w:p>
    <w:p w:rsidR="002D77D4" w:rsidRPr="00E66249" w:rsidP="00AC3E2C" w14:paraId="1B1436C9" w14:textId="77777777">
      <w:pPr>
        <w:widowControl/>
        <w:tabs>
          <w:tab w:val="left" w:pos="-1440"/>
        </w:tabs>
        <w:ind w:left="1440" w:hanging="360"/>
        <w:rPr>
          <w:rFonts w:ascii="Times New Roman" w:hAnsi="Times New Roman"/>
          <w:b/>
          <w:bCs/>
          <w:iCs/>
        </w:rPr>
      </w:pPr>
      <w:r w:rsidRPr="00E66249">
        <w:rPr>
          <w:rFonts w:ascii="Times New Roman" w:hAnsi="Times New Roman"/>
          <w:b/>
          <w:bCs/>
          <w:iCs/>
        </w:rPr>
        <w:t>•</w:t>
      </w:r>
      <w:r w:rsidRPr="00E66249">
        <w:rPr>
          <w:rFonts w:ascii="Times New Roman" w:hAnsi="Times New Roman"/>
          <w:b/>
          <w:bCs/>
          <w:iCs/>
        </w:rPr>
        <w:tab/>
        <w:t>requiring respondents to submit more than an original and two copies of any document;</w:t>
      </w:r>
    </w:p>
    <w:p w:rsidR="002D77D4" w:rsidRPr="00E66249" w:rsidP="00AC3E2C" w14:paraId="71867E48" w14:textId="77777777">
      <w:pPr>
        <w:widowControl/>
        <w:tabs>
          <w:tab w:val="left" w:pos="-1440"/>
        </w:tabs>
        <w:ind w:left="1440" w:hanging="360"/>
        <w:rPr>
          <w:rFonts w:ascii="Times New Roman" w:hAnsi="Times New Roman"/>
          <w:b/>
          <w:bCs/>
          <w:iCs/>
        </w:rPr>
      </w:pPr>
      <w:r w:rsidRPr="00E66249">
        <w:rPr>
          <w:rFonts w:ascii="Times New Roman" w:hAnsi="Times New Roman"/>
          <w:b/>
          <w:bCs/>
          <w:iCs/>
        </w:rPr>
        <w:t>•</w:t>
      </w:r>
      <w:r w:rsidRPr="00E66249">
        <w:rPr>
          <w:rFonts w:ascii="Times New Roman" w:hAnsi="Times New Roman"/>
          <w:b/>
          <w:bCs/>
          <w:iCs/>
        </w:rPr>
        <w:tab/>
        <w:t>requiring respondents to retain records, other than health, medical, government contract, grant-in-aid, or tax records for more than three years;</w:t>
      </w:r>
    </w:p>
    <w:p w:rsidR="002D77D4" w:rsidRPr="00E66249" w:rsidP="00AC3E2C" w14:paraId="4FA77203" w14:textId="77777777">
      <w:pPr>
        <w:widowControl/>
        <w:tabs>
          <w:tab w:val="left" w:pos="-1440"/>
        </w:tabs>
        <w:ind w:left="1440" w:hanging="360"/>
        <w:rPr>
          <w:rFonts w:ascii="Times New Roman" w:hAnsi="Times New Roman"/>
          <w:b/>
          <w:bCs/>
          <w:iCs/>
        </w:rPr>
      </w:pPr>
      <w:r w:rsidRPr="00E66249">
        <w:rPr>
          <w:rFonts w:ascii="Times New Roman" w:hAnsi="Times New Roman"/>
          <w:b/>
          <w:bCs/>
          <w:iCs/>
        </w:rPr>
        <w:t>•</w:t>
      </w:r>
      <w:r w:rsidRPr="00E66249">
        <w:rPr>
          <w:rFonts w:ascii="Times New Roman" w:hAnsi="Times New Roman"/>
          <w:b/>
          <w:bCs/>
          <w:iCs/>
        </w:rPr>
        <w:tab/>
        <w:t>in connection with a statistical survey, that is not designed to produce valid and reliable results that can be generalized to the universe of study;</w:t>
      </w:r>
    </w:p>
    <w:p w:rsidR="002D77D4" w:rsidRPr="00E66249" w:rsidP="00AC3E2C" w14:paraId="65CDBF9E" w14:textId="77777777">
      <w:pPr>
        <w:widowControl/>
        <w:tabs>
          <w:tab w:val="left" w:pos="-1440"/>
        </w:tabs>
        <w:ind w:left="1440" w:hanging="360"/>
        <w:rPr>
          <w:rFonts w:ascii="Times New Roman" w:hAnsi="Times New Roman"/>
          <w:b/>
          <w:bCs/>
          <w:iCs/>
        </w:rPr>
      </w:pPr>
      <w:r w:rsidRPr="00E66249">
        <w:rPr>
          <w:rFonts w:ascii="Times New Roman" w:hAnsi="Times New Roman"/>
          <w:b/>
          <w:bCs/>
          <w:iCs/>
        </w:rPr>
        <w:t>•</w:t>
      </w:r>
      <w:r w:rsidRPr="00E66249">
        <w:rPr>
          <w:rFonts w:ascii="Times New Roman" w:hAnsi="Times New Roman"/>
          <w:b/>
          <w:bCs/>
          <w:iCs/>
        </w:rPr>
        <w:tab/>
        <w:t>requiring the use of a statistical data classification that has not been reviewed and approved by OMB;</w:t>
      </w:r>
    </w:p>
    <w:p w:rsidR="002D77D4" w:rsidRPr="00E66249" w:rsidP="00AC3E2C" w14:paraId="213D0B22" w14:textId="77777777">
      <w:pPr>
        <w:widowControl/>
        <w:tabs>
          <w:tab w:val="left" w:pos="-1440"/>
        </w:tabs>
        <w:ind w:left="1440" w:hanging="360"/>
        <w:rPr>
          <w:rFonts w:ascii="Times New Roman" w:hAnsi="Times New Roman"/>
          <w:b/>
          <w:bCs/>
          <w:iCs/>
        </w:rPr>
      </w:pPr>
      <w:r w:rsidRPr="00E66249">
        <w:rPr>
          <w:rFonts w:ascii="Times New Roman" w:hAnsi="Times New Roman"/>
          <w:b/>
          <w:bCs/>
          <w:iCs/>
        </w:rPr>
        <w:t>•</w:t>
      </w:r>
      <w:r w:rsidRPr="00E66249">
        <w:rPr>
          <w:rFonts w:ascii="Times New Roman" w:hAnsi="Times New Roman"/>
          <w:b/>
          <w:bCs/>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D77D4" w:rsidRPr="00E66249" w:rsidP="00AC3E2C" w14:paraId="3DE0DF0F" w14:textId="77777777">
      <w:pPr>
        <w:pStyle w:val="Quick1"/>
        <w:widowControl/>
        <w:numPr>
          <w:ilvl w:val="0"/>
          <w:numId w:val="0"/>
        </w:numPr>
        <w:tabs>
          <w:tab w:val="left" w:pos="-1440"/>
        </w:tabs>
        <w:ind w:left="1440" w:hanging="360"/>
        <w:rPr>
          <w:rFonts w:ascii="Times New Roman" w:hAnsi="Times New Roman"/>
          <w:b/>
          <w:bCs/>
          <w:iCs/>
        </w:rPr>
      </w:pPr>
      <w:r w:rsidRPr="00E66249">
        <w:rPr>
          <w:rFonts w:ascii="Times New Roman" w:hAnsi="Times New Roman"/>
          <w:b/>
          <w:bCs/>
          <w:iCs/>
        </w:rPr>
        <w:t>•</w:t>
      </w:r>
      <w:r w:rsidRPr="00E66249">
        <w:rPr>
          <w:rFonts w:ascii="Times New Roman" w:hAnsi="Times New Roman"/>
          <w:b/>
          <w:bCs/>
          <w:iCs/>
        </w:rPr>
        <w:tab/>
        <w:t>requiring respondents to submit proprietary trade secret, or other confidential information unless the agency can demonstrate that it has instituted procedures to protect the information's confidentiality to the extent permitted by law.</w:t>
      </w:r>
    </w:p>
    <w:p w:rsidR="002D77D4" w:rsidRPr="00E66249" w:rsidP="00D6037A" w14:paraId="76DA15C4" w14:textId="77777777">
      <w:pPr>
        <w:widowControl/>
        <w:ind w:left="720"/>
        <w:rPr>
          <w:rFonts w:ascii="Times New Roman" w:hAnsi="Times New Roman"/>
          <w:b/>
          <w:bCs/>
          <w:iCs/>
        </w:rPr>
      </w:pPr>
    </w:p>
    <w:p w:rsidR="006731CA" w:rsidRPr="00262D2E" w:rsidP="006731CA" w14:paraId="70268E36" w14:textId="77777777">
      <w:pPr>
        <w:ind w:left="720"/>
        <w:rPr>
          <w:rFonts w:ascii="Times New Roman" w:hAnsi="Times New Roman"/>
        </w:rPr>
      </w:pPr>
      <w:r w:rsidRPr="00262D2E">
        <w:rPr>
          <w:rFonts w:ascii="Times New Roman" w:hAnsi="Times New Roman"/>
        </w:rPr>
        <w:t>There are no special circumstances that require the collection to be conducted in a manner inconsistent with the guidelines in 5 CFR 1320.5.</w:t>
      </w:r>
    </w:p>
    <w:p w:rsidR="002D77D4" w:rsidRPr="00B8639F" w:rsidP="00D6037A" w14:paraId="413F6890" w14:textId="77777777">
      <w:pPr>
        <w:widowControl/>
        <w:ind w:left="720"/>
        <w:rPr>
          <w:rFonts w:ascii="Times New Roman" w:hAnsi="Times New Roman"/>
        </w:rPr>
      </w:pPr>
    </w:p>
    <w:p w:rsidR="002D77D4" w:rsidRPr="00E66249" w:rsidP="00D6037A" w14:paraId="389B3747" w14:textId="39FB3F30">
      <w:pPr>
        <w:widowControl/>
        <w:tabs>
          <w:tab w:val="left" w:pos="-1440"/>
        </w:tabs>
        <w:ind w:left="720" w:hanging="720"/>
        <w:rPr>
          <w:rFonts w:ascii="Times New Roman" w:hAnsi="Times New Roman"/>
          <w:b/>
          <w:bCs/>
          <w:iCs/>
        </w:rPr>
      </w:pPr>
      <w:r w:rsidRPr="00E66249">
        <w:rPr>
          <w:rFonts w:ascii="Times New Roman" w:hAnsi="Times New Roman"/>
          <w:b/>
          <w:bCs/>
          <w:iCs/>
        </w:rPr>
        <w:t>8.</w:t>
      </w:r>
      <w:r w:rsidRPr="00E66249">
        <w:rPr>
          <w:rFonts w:ascii="Times New Roman" w:hAnsi="Times New Roman"/>
          <w:b/>
          <w:bCs/>
          <w:iCs/>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D77D4" w:rsidRPr="00E66249" w:rsidP="00D6037A" w14:paraId="35A465E7" w14:textId="77777777">
      <w:pPr>
        <w:widowControl/>
        <w:ind w:left="720"/>
        <w:rPr>
          <w:rFonts w:ascii="Times New Roman" w:hAnsi="Times New Roman"/>
          <w:b/>
          <w:bCs/>
          <w:iCs/>
        </w:rPr>
      </w:pPr>
    </w:p>
    <w:p w:rsidR="002D77D4" w:rsidRPr="00E66249" w:rsidP="00D6037A" w14:paraId="7EE610DA" w14:textId="77777777">
      <w:pPr>
        <w:widowControl/>
        <w:ind w:left="720"/>
        <w:rPr>
          <w:rFonts w:ascii="Times New Roman" w:hAnsi="Times New Roman"/>
          <w:b/>
          <w:bCs/>
          <w:iCs/>
        </w:rPr>
      </w:pPr>
      <w:r w:rsidRPr="00E66249">
        <w:rPr>
          <w:rFonts w:ascii="Times New Roman" w:hAnsi="Times New Roman"/>
          <w:b/>
          <w:bCs/>
          <w:iCs/>
        </w:rPr>
        <w:t xml:space="preserve">Describe efforts to consult with persons outside the agency to obtain their views on the availability of data, frequency of collection, the clarity of instructions and </w:t>
      </w:r>
      <w:r w:rsidRPr="00E66249">
        <w:rPr>
          <w:rFonts w:ascii="Times New Roman" w:hAnsi="Times New Roman"/>
          <w:b/>
          <w:bCs/>
          <w:iCs/>
        </w:rPr>
        <w:t>recordkeeping, disclosure, or reporting format (if any), and on the data elements to be recorded, disclosed, or reported.</w:t>
      </w:r>
    </w:p>
    <w:p w:rsidR="002D77D4" w:rsidRPr="00E66249" w:rsidP="00D6037A" w14:paraId="5B217567" w14:textId="77777777">
      <w:pPr>
        <w:widowControl/>
        <w:ind w:left="720"/>
        <w:rPr>
          <w:rFonts w:ascii="Times New Roman" w:hAnsi="Times New Roman"/>
          <w:b/>
          <w:bCs/>
          <w:iCs/>
        </w:rPr>
      </w:pPr>
    </w:p>
    <w:p w:rsidR="002D77D4" w:rsidRPr="00E66249" w:rsidP="00D6037A" w14:paraId="2DA1D426" w14:textId="70A081C3">
      <w:pPr>
        <w:widowControl/>
        <w:ind w:left="720"/>
        <w:rPr>
          <w:rFonts w:ascii="Times New Roman" w:hAnsi="Times New Roman"/>
          <w:b/>
          <w:bCs/>
          <w:iCs/>
        </w:rPr>
      </w:pPr>
      <w:r w:rsidRPr="00E66249">
        <w:rPr>
          <w:rFonts w:ascii="Times New Roman" w:hAnsi="Times New Roman"/>
          <w:b/>
          <w:bCs/>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D77D4" w:rsidRPr="00B8639F" w:rsidP="00D6037A" w14:paraId="34548694" w14:textId="77777777">
      <w:pPr>
        <w:widowControl/>
        <w:ind w:left="720"/>
        <w:rPr>
          <w:rFonts w:ascii="Times New Roman" w:hAnsi="Times New Roman"/>
        </w:rPr>
      </w:pPr>
    </w:p>
    <w:p w:rsidR="002D77D4" w:rsidRPr="00B8639F" w:rsidP="00D6037A" w14:paraId="29BBAE43" w14:textId="66FC86EA">
      <w:pPr>
        <w:widowControl/>
        <w:ind w:left="720"/>
        <w:rPr>
          <w:rFonts w:ascii="Times New Roman" w:hAnsi="Times New Roman"/>
        </w:rPr>
      </w:pPr>
      <w:r w:rsidRPr="00B8639F">
        <w:rPr>
          <w:rFonts w:ascii="Times New Roman" w:hAnsi="Times New Roman"/>
        </w:rPr>
        <w:t>T</w:t>
      </w:r>
      <w:r w:rsidRPr="00B8639F">
        <w:rPr>
          <w:rFonts w:ascii="Times New Roman" w:hAnsi="Times New Roman"/>
        </w:rPr>
        <w:t>he Department’s notice</w:t>
      </w:r>
      <w:r w:rsidRPr="00B8639F" w:rsidR="00166219">
        <w:rPr>
          <w:rFonts w:ascii="Times New Roman" w:hAnsi="Times New Roman"/>
        </w:rPr>
        <w:t>,</w:t>
      </w:r>
      <w:r w:rsidRPr="00B8639F">
        <w:rPr>
          <w:rFonts w:ascii="Times New Roman" w:hAnsi="Times New Roman"/>
        </w:rPr>
        <w:t xml:space="preserve"> required by 5 CFR 1320.8(d), </w:t>
      </w:r>
      <w:r w:rsidRPr="00B8639F">
        <w:rPr>
          <w:rFonts w:ascii="Times New Roman" w:hAnsi="Times New Roman"/>
        </w:rPr>
        <w:t>which provided the public with 60 days to comment on</w:t>
      </w:r>
      <w:r w:rsidRPr="00B8639F">
        <w:rPr>
          <w:rFonts w:ascii="Times New Roman" w:hAnsi="Times New Roman"/>
        </w:rPr>
        <w:t xml:space="preserve"> the information collection</w:t>
      </w:r>
      <w:r w:rsidRPr="00B8639F">
        <w:rPr>
          <w:rFonts w:ascii="Times New Roman" w:hAnsi="Times New Roman"/>
        </w:rPr>
        <w:t xml:space="preserve">, was </w:t>
      </w:r>
      <w:r w:rsidRPr="00B8639F">
        <w:rPr>
          <w:rFonts w:ascii="Times New Roman" w:hAnsi="Times New Roman"/>
        </w:rPr>
        <w:t xml:space="preserve">published in the </w:t>
      </w:r>
      <w:r w:rsidRPr="00B8639F">
        <w:rPr>
          <w:rFonts w:ascii="Times New Roman" w:hAnsi="Times New Roman"/>
          <w:u w:val="single"/>
        </w:rPr>
        <w:t>Federal Register</w:t>
      </w:r>
      <w:r w:rsidRPr="00B8639F">
        <w:rPr>
          <w:rFonts w:ascii="Times New Roman" w:hAnsi="Times New Roman"/>
        </w:rPr>
        <w:t xml:space="preserve"> </w:t>
      </w:r>
      <w:r w:rsidRPr="00B8639F">
        <w:rPr>
          <w:rFonts w:ascii="Times New Roman" w:hAnsi="Times New Roman"/>
        </w:rPr>
        <w:t>on</w:t>
      </w:r>
      <w:r w:rsidR="00B72987">
        <w:rPr>
          <w:rFonts w:ascii="Times New Roman" w:hAnsi="Times New Roman"/>
        </w:rPr>
        <w:t xml:space="preserve"> </w:t>
      </w:r>
      <w:r w:rsidR="001A01A5">
        <w:rPr>
          <w:rFonts w:ascii="Times New Roman" w:hAnsi="Times New Roman"/>
        </w:rPr>
        <w:t xml:space="preserve">July </w:t>
      </w:r>
      <w:r w:rsidR="008C4809">
        <w:rPr>
          <w:rFonts w:ascii="Times New Roman" w:hAnsi="Times New Roman"/>
        </w:rPr>
        <w:t>11</w:t>
      </w:r>
      <w:r w:rsidR="006731CA">
        <w:rPr>
          <w:rFonts w:ascii="Times New Roman" w:hAnsi="Times New Roman"/>
        </w:rPr>
        <w:t xml:space="preserve">, </w:t>
      </w:r>
      <w:r w:rsidR="00AC3E2C">
        <w:rPr>
          <w:rFonts w:ascii="Times New Roman" w:hAnsi="Times New Roman"/>
        </w:rPr>
        <w:t xml:space="preserve">2025 </w:t>
      </w:r>
      <w:r w:rsidRPr="00B8639F" w:rsidR="006C36FB">
        <w:rPr>
          <w:rFonts w:ascii="Times New Roman" w:hAnsi="Times New Roman"/>
        </w:rPr>
        <w:t>(</w:t>
      </w:r>
      <w:bookmarkStart w:id="1" w:name="OLE_LINK3"/>
      <w:r w:rsidR="008C4809">
        <w:rPr>
          <w:rFonts w:ascii="Times New Roman" w:hAnsi="Times New Roman"/>
        </w:rPr>
        <w:t>90</w:t>
      </w:r>
      <w:r w:rsidRPr="006F09F6" w:rsidR="006F09F6">
        <w:rPr>
          <w:rFonts w:ascii="Times New Roman" w:hAnsi="Times New Roman"/>
        </w:rPr>
        <w:t xml:space="preserve"> FR </w:t>
      </w:r>
      <w:r w:rsidR="008C4809">
        <w:rPr>
          <w:rFonts w:ascii="Times New Roman" w:hAnsi="Times New Roman"/>
        </w:rPr>
        <w:t>30984</w:t>
      </w:r>
      <w:bookmarkEnd w:id="1"/>
      <w:r w:rsidRPr="00B8639F" w:rsidR="006C36FB">
        <w:rPr>
          <w:rFonts w:ascii="Times New Roman" w:hAnsi="Times New Roman"/>
        </w:rPr>
        <w:t>)</w:t>
      </w:r>
      <w:r w:rsidRPr="00B8639F">
        <w:rPr>
          <w:rFonts w:ascii="Times New Roman" w:hAnsi="Times New Roman"/>
        </w:rPr>
        <w:t xml:space="preserve">. </w:t>
      </w:r>
      <w:r w:rsidRPr="00B8639F" w:rsidR="00A65835">
        <w:rPr>
          <w:rFonts w:ascii="Times New Roman" w:hAnsi="Times New Roman"/>
        </w:rPr>
        <w:t>No comments were received</w:t>
      </w:r>
      <w:r w:rsidR="008B7EED">
        <w:rPr>
          <w:rFonts w:ascii="Times New Roman" w:hAnsi="Times New Roman"/>
        </w:rPr>
        <w:t xml:space="preserve"> on this ICR</w:t>
      </w:r>
      <w:r w:rsidRPr="00B8639F" w:rsidR="00A65835">
        <w:rPr>
          <w:rFonts w:ascii="Times New Roman" w:hAnsi="Times New Roman"/>
        </w:rPr>
        <w:t>.</w:t>
      </w:r>
    </w:p>
    <w:p w:rsidR="00C93D18" w:rsidRPr="00B8639F" w:rsidP="00D6037A" w14:paraId="201919A8" w14:textId="77777777">
      <w:pPr>
        <w:widowControl/>
        <w:ind w:left="720"/>
        <w:rPr>
          <w:rFonts w:ascii="Times New Roman" w:hAnsi="Times New Roman"/>
        </w:rPr>
      </w:pPr>
    </w:p>
    <w:p w:rsidR="002D77D4" w:rsidRPr="00E66249" w:rsidP="00D6037A" w14:paraId="7DFA0949" w14:textId="77777777">
      <w:pPr>
        <w:widowControl/>
        <w:ind w:left="720" w:hanging="720"/>
        <w:rPr>
          <w:rFonts w:ascii="Times New Roman" w:hAnsi="Times New Roman"/>
          <w:b/>
          <w:bCs/>
          <w:iCs/>
        </w:rPr>
      </w:pPr>
      <w:r w:rsidRPr="00E66249">
        <w:rPr>
          <w:rFonts w:ascii="Times New Roman" w:hAnsi="Times New Roman"/>
          <w:b/>
          <w:bCs/>
          <w:iCs/>
        </w:rPr>
        <w:t>9.</w:t>
      </w:r>
      <w:r w:rsidRPr="00E66249">
        <w:rPr>
          <w:rFonts w:ascii="Times New Roman" w:hAnsi="Times New Roman"/>
          <w:b/>
          <w:bCs/>
          <w:iCs/>
        </w:rPr>
        <w:tab/>
      </w:r>
      <w:r w:rsidRPr="00E66249">
        <w:rPr>
          <w:rFonts w:ascii="Times New Roman" w:hAnsi="Times New Roman"/>
          <w:b/>
          <w:bCs/>
          <w:iCs/>
        </w:rPr>
        <w:t>Explain any decision to provide any payment or gift to respondents, other than remuneration of contractors or grantees.</w:t>
      </w:r>
    </w:p>
    <w:p w:rsidR="002D77D4" w:rsidRPr="00B8639F" w:rsidP="00D6037A" w14:paraId="7C432BC1" w14:textId="77777777">
      <w:pPr>
        <w:widowControl/>
        <w:ind w:left="720"/>
        <w:rPr>
          <w:rFonts w:ascii="Times New Roman" w:hAnsi="Times New Roman"/>
        </w:rPr>
      </w:pPr>
    </w:p>
    <w:p w:rsidR="002D77D4" w:rsidRPr="00B8639F" w:rsidP="00D6037A" w14:paraId="37F27D3B" w14:textId="77777777">
      <w:pPr>
        <w:widowControl/>
        <w:ind w:left="720"/>
        <w:rPr>
          <w:rFonts w:ascii="Times New Roman" w:hAnsi="Times New Roman"/>
        </w:rPr>
      </w:pPr>
      <w:r w:rsidRPr="00B8639F">
        <w:rPr>
          <w:rFonts w:ascii="Times New Roman" w:hAnsi="Times New Roman"/>
        </w:rPr>
        <w:t>No payments or gifts are provided to respondents.</w:t>
      </w:r>
    </w:p>
    <w:p w:rsidR="002D77D4" w:rsidRPr="00B8639F" w:rsidP="00D6037A" w14:paraId="6CBB0C7C" w14:textId="77777777">
      <w:pPr>
        <w:widowControl/>
        <w:ind w:left="720"/>
        <w:rPr>
          <w:rFonts w:ascii="Times New Roman" w:hAnsi="Times New Roman"/>
        </w:rPr>
      </w:pPr>
    </w:p>
    <w:p w:rsidR="002D77D4" w:rsidRPr="00E66249" w:rsidP="00D6037A" w14:paraId="5EDAD8E5" w14:textId="77777777">
      <w:pPr>
        <w:widowControl/>
        <w:tabs>
          <w:tab w:val="left" w:pos="-1440"/>
        </w:tabs>
        <w:ind w:left="720" w:hanging="720"/>
        <w:rPr>
          <w:rFonts w:ascii="Times New Roman" w:hAnsi="Times New Roman"/>
          <w:b/>
          <w:bCs/>
          <w:iCs/>
        </w:rPr>
      </w:pPr>
      <w:r w:rsidRPr="00E66249">
        <w:rPr>
          <w:rFonts w:ascii="Times New Roman" w:hAnsi="Times New Roman"/>
          <w:b/>
          <w:bCs/>
          <w:iCs/>
        </w:rPr>
        <w:t>10.</w:t>
      </w:r>
      <w:r w:rsidRPr="00E66249">
        <w:rPr>
          <w:rFonts w:ascii="Times New Roman" w:hAnsi="Times New Roman"/>
          <w:b/>
          <w:bCs/>
          <w:iCs/>
        </w:rPr>
        <w:tab/>
        <w:t>Describe any assurance of confidentiality provided to respondents and the basis for the assurance in statute, regulation, or agency policy.</w:t>
      </w:r>
    </w:p>
    <w:p w:rsidR="002D77D4" w:rsidRPr="00B8639F" w:rsidP="00D6037A" w14:paraId="0CBFC01B" w14:textId="77777777">
      <w:pPr>
        <w:widowControl/>
        <w:ind w:left="720"/>
        <w:rPr>
          <w:rFonts w:ascii="Times New Roman" w:hAnsi="Times New Roman"/>
        </w:rPr>
      </w:pPr>
    </w:p>
    <w:p w:rsidR="002D77D4" w:rsidRPr="00B8639F" w:rsidP="00D6037A" w14:paraId="33398967" w14:textId="69BBBA23">
      <w:pPr>
        <w:widowControl/>
        <w:ind w:left="720"/>
        <w:rPr>
          <w:rFonts w:ascii="Times New Roman" w:hAnsi="Times New Roman"/>
        </w:rPr>
      </w:pPr>
      <w:r w:rsidRPr="00B8639F">
        <w:rPr>
          <w:rFonts w:ascii="Times New Roman" w:hAnsi="Times New Roman"/>
        </w:rPr>
        <w:t>There is no promise of confidentiality of the information. The class exemption requires that the information concerning the possible payment of redemption fees be included in the open-end mutual fund’s prospectus and, therefore, available to t</w:t>
      </w:r>
      <w:r w:rsidR="00D6037A">
        <w:rPr>
          <w:rFonts w:ascii="Times New Roman" w:hAnsi="Times New Roman"/>
        </w:rPr>
        <w:t>he plan and interested parties.</w:t>
      </w:r>
    </w:p>
    <w:p w:rsidR="002D77D4" w:rsidRPr="00B8639F" w:rsidP="00D6037A" w14:paraId="4158F3BC" w14:textId="77777777">
      <w:pPr>
        <w:widowControl/>
        <w:ind w:left="720"/>
        <w:rPr>
          <w:rFonts w:ascii="Times New Roman" w:hAnsi="Times New Roman"/>
        </w:rPr>
      </w:pPr>
    </w:p>
    <w:p w:rsidR="002D77D4" w:rsidRPr="003A717D" w:rsidP="00D6037A" w14:paraId="0C8B396F" w14:textId="2CBC6BF2">
      <w:pPr>
        <w:widowControl/>
        <w:tabs>
          <w:tab w:val="left" w:pos="-1440"/>
        </w:tabs>
        <w:ind w:left="720" w:hanging="720"/>
        <w:rPr>
          <w:rFonts w:ascii="Times New Roman" w:hAnsi="Times New Roman"/>
          <w:b/>
          <w:bCs/>
          <w:iCs/>
        </w:rPr>
      </w:pPr>
      <w:r w:rsidRPr="003A717D">
        <w:rPr>
          <w:rFonts w:ascii="Times New Roman" w:hAnsi="Times New Roman"/>
          <w:b/>
          <w:bCs/>
          <w:iCs/>
        </w:rPr>
        <w:t>11.</w:t>
      </w:r>
      <w:r w:rsidRPr="003A717D">
        <w:rPr>
          <w:rFonts w:ascii="Times New Roman" w:hAnsi="Times New Roman"/>
          <w:b/>
          <w:bCs/>
          <w:i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D77D4" w:rsidRPr="00B8639F" w:rsidP="00D6037A" w14:paraId="54270B66" w14:textId="77777777">
      <w:pPr>
        <w:widowControl/>
        <w:ind w:left="720"/>
        <w:rPr>
          <w:rFonts w:ascii="Times New Roman" w:hAnsi="Times New Roman"/>
          <w:i/>
          <w:iCs/>
        </w:rPr>
      </w:pPr>
    </w:p>
    <w:p w:rsidR="002D77D4" w:rsidRPr="00B8639F" w:rsidP="00D6037A" w14:paraId="78ED2B1B" w14:textId="61E0CA19">
      <w:pPr>
        <w:widowControl/>
        <w:ind w:left="720"/>
        <w:rPr>
          <w:rFonts w:ascii="Times New Roman" w:hAnsi="Times New Roman"/>
        </w:rPr>
      </w:pPr>
      <w:r w:rsidRPr="00B8639F">
        <w:rPr>
          <w:rFonts w:ascii="Times New Roman" w:hAnsi="Times New Roman"/>
        </w:rPr>
        <w:t>There are no questions of a sensitive nature pertaining to sexual behavior and attitudes, religious beliefs, or other matters that are commonly considered private. Therefore, this is not applicable to the requirements of this class exemption.</w:t>
      </w:r>
    </w:p>
    <w:p w:rsidR="002D77D4" w:rsidRPr="00B8639F" w:rsidP="00D6037A" w14:paraId="3D9BAFF5" w14:textId="77777777">
      <w:pPr>
        <w:widowControl/>
        <w:ind w:left="720"/>
        <w:rPr>
          <w:rFonts w:ascii="Times New Roman" w:hAnsi="Times New Roman"/>
        </w:rPr>
      </w:pPr>
    </w:p>
    <w:p w:rsidR="0005775D" w:rsidRPr="0005775D" w:rsidP="0005775D" w14:paraId="50B69F98" w14:textId="60A33DBB">
      <w:pPr>
        <w:widowControl/>
        <w:tabs>
          <w:tab w:val="left" w:pos="-1440"/>
        </w:tabs>
        <w:ind w:left="720" w:hanging="720"/>
        <w:rPr>
          <w:rFonts w:ascii="Times New Roman" w:hAnsi="Times New Roman"/>
          <w:b/>
          <w:bCs/>
        </w:rPr>
      </w:pPr>
      <w:r w:rsidRPr="0005775D">
        <w:rPr>
          <w:rFonts w:ascii="Times New Roman" w:hAnsi="Times New Roman"/>
          <w:b/>
          <w:bCs/>
          <w:iCs/>
        </w:rPr>
        <w:t>12.</w:t>
      </w:r>
      <w:r w:rsidRPr="00B8639F">
        <w:rPr>
          <w:rFonts w:ascii="Times New Roman" w:hAnsi="Times New Roman"/>
          <w:i/>
        </w:rPr>
        <w:tab/>
      </w:r>
      <w:r w:rsidRPr="0005775D">
        <w:rPr>
          <w:rFonts w:ascii="Times New Roman" w:hAnsi="Times New Roman"/>
          <w:b/>
          <w:bCs/>
        </w:rPr>
        <w:t>Provide estimates of the hour burden of the collection of information.</w:t>
      </w:r>
      <w:r w:rsidR="00324542">
        <w:rPr>
          <w:rFonts w:ascii="Times New Roman" w:hAnsi="Times New Roman"/>
          <w:b/>
          <w:bCs/>
        </w:rPr>
        <w:t xml:space="preserve"> </w:t>
      </w:r>
      <w:r w:rsidRPr="0005775D">
        <w:rPr>
          <w:rFonts w:ascii="Times New Roman" w:hAnsi="Times New Roman"/>
          <w:b/>
          <w:bCs/>
        </w:rPr>
        <w:t>The statement should:</w:t>
      </w:r>
      <w:r w:rsidR="00324542">
        <w:rPr>
          <w:rFonts w:ascii="Times New Roman" w:hAnsi="Times New Roman"/>
          <w:b/>
          <w:bCs/>
        </w:rPr>
        <w:t xml:space="preserve"> </w:t>
      </w:r>
    </w:p>
    <w:p w:rsidR="0005775D" w:rsidRPr="0005775D" w:rsidP="0005775D" w14:paraId="09155B98" w14:textId="6D3F6217">
      <w:pPr>
        <w:widowControl/>
        <w:numPr>
          <w:ilvl w:val="0"/>
          <w:numId w:val="7"/>
        </w:numPr>
        <w:tabs>
          <w:tab w:val="left" w:pos="-1440"/>
          <w:tab w:val="left" w:pos="720"/>
        </w:tabs>
        <w:ind w:left="1440"/>
        <w:rPr>
          <w:rFonts w:ascii="Times New Roman" w:hAnsi="Times New Roman"/>
          <w:b/>
          <w:bCs/>
        </w:rPr>
      </w:pPr>
      <w:r w:rsidRPr="0005775D">
        <w:rPr>
          <w:rFonts w:ascii="Times New Roman" w:hAnsi="Times New Roman"/>
          <w:b/>
          <w:bCs/>
        </w:rPr>
        <w:t>Indicate the number of respondents, frequency of response, annual hour burden, and an explanation of how the burden was estimated.</w:t>
      </w:r>
      <w:r w:rsidR="00324542">
        <w:rPr>
          <w:rFonts w:ascii="Times New Roman" w:hAnsi="Times New Roman"/>
          <w:b/>
          <w:bCs/>
        </w:rPr>
        <w:t xml:space="preserve"> </w:t>
      </w:r>
      <w:r w:rsidRPr="0005775D">
        <w:rPr>
          <w:rFonts w:ascii="Times New Roman" w:hAnsi="Times New Roman"/>
          <w:b/>
          <w:bCs/>
        </w:rPr>
        <w:t xml:space="preserve">Unless </w:t>
      </w:r>
      <w:r w:rsidRPr="0005775D">
        <w:rPr>
          <w:rFonts w:ascii="Times New Roman" w:hAnsi="Times New Roman"/>
          <w:b/>
          <w:bCs/>
        </w:rPr>
        <w:t>directed to do so, agencies should not conduct special surveys to obtain information on which to base hour burden estimates.</w:t>
      </w:r>
      <w:r w:rsidR="00324542">
        <w:rPr>
          <w:rFonts w:ascii="Times New Roman" w:hAnsi="Times New Roman"/>
          <w:b/>
          <w:bCs/>
        </w:rPr>
        <w:t xml:space="preserve"> </w:t>
      </w:r>
      <w:r w:rsidRPr="0005775D">
        <w:rPr>
          <w:rFonts w:ascii="Times New Roman" w:hAnsi="Times New Roman"/>
          <w:b/>
          <w:bCs/>
        </w:rPr>
        <w:t>Consultation with a sample (fewer than 10) of potential respondents is desirable.</w:t>
      </w:r>
      <w:r w:rsidR="00324542">
        <w:rPr>
          <w:rFonts w:ascii="Times New Roman" w:hAnsi="Times New Roman"/>
          <w:b/>
          <w:bCs/>
        </w:rPr>
        <w:t xml:space="preserve"> </w:t>
      </w:r>
      <w:r w:rsidRPr="0005775D">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00324542">
        <w:rPr>
          <w:rFonts w:ascii="Times New Roman" w:hAnsi="Times New Roman"/>
          <w:b/>
          <w:bCs/>
        </w:rPr>
        <w:t xml:space="preserve"> </w:t>
      </w:r>
      <w:r w:rsidRPr="0005775D">
        <w:rPr>
          <w:rFonts w:ascii="Times New Roman" w:hAnsi="Times New Roman"/>
          <w:b/>
          <w:bCs/>
        </w:rPr>
        <w:t>General, estimates should not include burden hours for customary and usual business practices. </w:t>
      </w:r>
    </w:p>
    <w:p w:rsidR="0005775D" w:rsidRPr="0005775D" w:rsidP="0005775D" w14:paraId="136793BD" w14:textId="77777777">
      <w:pPr>
        <w:widowControl/>
        <w:numPr>
          <w:ilvl w:val="0"/>
          <w:numId w:val="8"/>
        </w:numPr>
        <w:tabs>
          <w:tab w:val="left" w:pos="-1440"/>
          <w:tab w:val="left" w:pos="720"/>
        </w:tabs>
        <w:ind w:left="1440"/>
        <w:rPr>
          <w:rFonts w:ascii="Times New Roman" w:hAnsi="Times New Roman"/>
          <w:b/>
          <w:bCs/>
        </w:rPr>
      </w:pPr>
      <w:r w:rsidRPr="0005775D">
        <w:rPr>
          <w:rFonts w:ascii="Times New Roman" w:hAnsi="Times New Roman"/>
          <w:b/>
          <w:bCs/>
        </w:rPr>
        <w:t>If this request for approval covers more than one form, provide separate hour burden estimates for each form. </w:t>
      </w:r>
    </w:p>
    <w:p w:rsidR="0005775D" w:rsidRPr="0005775D" w:rsidP="0005775D" w14:paraId="079B7203" w14:textId="5222311B">
      <w:pPr>
        <w:widowControl/>
        <w:numPr>
          <w:ilvl w:val="0"/>
          <w:numId w:val="9"/>
        </w:numPr>
        <w:tabs>
          <w:tab w:val="left" w:pos="-1440"/>
          <w:tab w:val="left" w:pos="720"/>
        </w:tabs>
        <w:ind w:left="1440"/>
        <w:rPr>
          <w:rFonts w:ascii="Times New Roman" w:hAnsi="Times New Roman"/>
          <w:b/>
          <w:bCs/>
        </w:rPr>
      </w:pPr>
      <w:r w:rsidRPr="0005775D">
        <w:rPr>
          <w:rFonts w:ascii="Times New Roman" w:hAnsi="Times New Roman"/>
          <w:b/>
          <w:bCs/>
        </w:rPr>
        <w:t>Provide estimates of annualized cost to respondents for the hour burdens for collections of information, identifying and using appropriate wage rate categories.</w:t>
      </w:r>
      <w:r w:rsidR="00324542">
        <w:rPr>
          <w:rFonts w:ascii="Times New Roman" w:hAnsi="Times New Roman"/>
          <w:b/>
          <w:bCs/>
        </w:rPr>
        <w:t xml:space="preserve"> </w:t>
      </w:r>
      <w:r w:rsidRPr="0005775D">
        <w:rPr>
          <w:rFonts w:ascii="Times New Roman" w:hAnsi="Times New Roman"/>
          <w:b/>
          <w:bCs/>
        </w:rPr>
        <w:t>The cost of contracting out or paying outside parties for information collection activities should not be included here.</w:t>
      </w:r>
      <w:r w:rsidR="00324542">
        <w:rPr>
          <w:rFonts w:ascii="Times New Roman" w:hAnsi="Times New Roman"/>
          <w:b/>
          <w:bCs/>
        </w:rPr>
        <w:t xml:space="preserve"> </w:t>
      </w:r>
      <w:r w:rsidRPr="0005775D">
        <w:rPr>
          <w:rFonts w:ascii="Times New Roman" w:hAnsi="Times New Roman"/>
          <w:b/>
          <w:bCs/>
        </w:rPr>
        <w:t>Instead, this cost should be included in Item 14. </w:t>
      </w:r>
    </w:p>
    <w:p w:rsidR="002D77D4" w:rsidRPr="00B8639F" w:rsidP="0005775D" w14:paraId="681791F9" w14:textId="717180FA">
      <w:pPr>
        <w:widowControl/>
        <w:tabs>
          <w:tab w:val="left" w:pos="-1440"/>
        </w:tabs>
        <w:ind w:left="720" w:hanging="720"/>
        <w:rPr>
          <w:rFonts w:ascii="Times New Roman" w:hAnsi="Times New Roman"/>
        </w:rPr>
      </w:pPr>
    </w:p>
    <w:p w:rsidR="002D77D4" w:rsidRPr="00B8639F" w:rsidP="0012184D" w14:paraId="6B47F8B6" w14:textId="4C259CBE">
      <w:pPr>
        <w:widowControl/>
        <w:ind w:left="720"/>
        <w:rPr>
          <w:rFonts w:ascii="Times New Roman" w:hAnsi="Times New Roman"/>
        </w:rPr>
      </w:pPr>
      <w:r>
        <w:rPr>
          <w:rFonts w:ascii="Times New Roman" w:hAnsi="Times New Roman"/>
        </w:rPr>
        <w:t>As described above, t</w:t>
      </w:r>
      <w:r w:rsidRPr="00B8639F">
        <w:rPr>
          <w:rFonts w:ascii="Times New Roman" w:hAnsi="Times New Roman"/>
        </w:rPr>
        <w:t>he class exemption has three basic disclosure requirements..</w:t>
      </w:r>
      <w:r w:rsidRPr="00B8639F" w:rsidR="006A44BA">
        <w:rPr>
          <w:rFonts w:ascii="Times New Roman" w:hAnsi="Times New Roman"/>
        </w:rPr>
        <w:t xml:space="preserve"> As discussed in Item 2 above, the Department </w:t>
      </w:r>
      <w:r w:rsidR="00F93C1E">
        <w:rPr>
          <w:rFonts w:ascii="Times New Roman" w:hAnsi="Times New Roman"/>
        </w:rPr>
        <w:t>has</w:t>
      </w:r>
      <w:r w:rsidRPr="00B8639F" w:rsidR="00804BB4">
        <w:rPr>
          <w:rFonts w:ascii="Times New Roman" w:hAnsi="Times New Roman"/>
        </w:rPr>
        <w:t xml:space="preserve"> </w:t>
      </w:r>
      <w:r w:rsidR="00E95480">
        <w:rPr>
          <w:rFonts w:ascii="Times New Roman" w:hAnsi="Times New Roman"/>
        </w:rPr>
        <w:t xml:space="preserve">determined that </w:t>
      </w:r>
      <w:r w:rsidRPr="00B8639F" w:rsidR="00804BB4">
        <w:rPr>
          <w:rFonts w:ascii="Times New Roman" w:hAnsi="Times New Roman"/>
        </w:rPr>
        <w:t>the term prospectus in PTE 77-4 to include a “</w:t>
      </w:r>
      <w:r w:rsidRPr="00B8639F" w:rsidR="006A44BA">
        <w:rPr>
          <w:rFonts w:ascii="Times New Roman" w:hAnsi="Times New Roman"/>
        </w:rPr>
        <w:t>summary prospectus” if certain conditions are met. For purposes of this PRA analysis, the Department assumes that all mutual funds using the exemption will send the summary prospectus.</w:t>
      </w:r>
    </w:p>
    <w:p w:rsidR="002D77D4" w:rsidRPr="00B8639F" w:rsidP="0012184D" w14:paraId="431D569A" w14:textId="77777777">
      <w:pPr>
        <w:widowControl/>
        <w:ind w:left="720"/>
        <w:rPr>
          <w:rFonts w:ascii="Times New Roman" w:hAnsi="Times New Roman"/>
        </w:rPr>
      </w:pPr>
    </w:p>
    <w:p w:rsidR="002D77D4" w:rsidRPr="00B8639F" w:rsidP="0012184D" w14:paraId="57902EC8" w14:textId="1AABD833">
      <w:pPr>
        <w:widowControl/>
        <w:ind w:left="720"/>
        <w:rPr>
          <w:rFonts w:ascii="Times New Roman" w:hAnsi="Times New Roman"/>
        </w:rPr>
      </w:pPr>
      <w:r w:rsidRPr="00B8639F">
        <w:rPr>
          <w:rFonts w:ascii="Times New Roman" w:hAnsi="Times New Roman"/>
        </w:rPr>
        <w:t xml:space="preserve">Open-end mutual funds are required by the SEC to provide a current </w:t>
      </w:r>
      <w:r w:rsidRPr="00B8639F" w:rsidR="006B4D48">
        <w:rPr>
          <w:rFonts w:ascii="Times New Roman" w:hAnsi="Times New Roman"/>
        </w:rPr>
        <w:t xml:space="preserve">summary </w:t>
      </w:r>
      <w:r w:rsidRPr="00B8639F">
        <w:rPr>
          <w:rFonts w:ascii="Times New Roman" w:hAnsi="Times New Roman"/>
        </w:rPr>
        <w:t>prospectus (every prospectus must be updated at least every 16 months) to present and prospective shareholders, and they must update their prospectus after their annual audit and whenever substantial changes occur. Open-end mutual funds are required by SEC rules to incorporate in the prospectus a statement of any fees charged for the redemption of shares. Since the funds are required by the SEC to prepare a prospectus, this requirement of the class exemp</w:t>
      </w:r>
      <w:r w:rsidR="0012184D">
        <w:rPr>
          <w:rFonts w:ascii="Times New Roman" w:hAnsi="Times New Roman"/>
        </w:rPr>
        <w:t>tion adds no paperwork burden.</w:t>
      </w:r>
    </w:p>
    <w:p w:rsidR="00C70BFA" w:rsidRPr="00B8639F" w:rsidP="0012184D" w14:paraId="515F8A85" w14:textId="77777777">
      <w:pPr>
        <w:widowControl/>
        <w:ind w:left="720"/>
        <w:rPr>
          <w:rFonts w:ascii="Times New Roman" w:hAnsi="Times New Roman"/>
        </w:rPr>
      </w:pPr>
    </w:p>
    <w:p w:rsidR="002D77D4" w:rsidRPr="00B8639F" w:rsidP="0012184D" w14:paraId="5951DE51" w14:textId="741DCA3C">
      <w:pPr>
        <w:widowControl/>
        <w:ind w:left="720"/>
        <w:rPr>
          <w:rFonts w:ascii="Times New Roman" w:hAnsi="Times New Roman"/>
        </w:rPr>
      </w:pPr>
      <w:r w:rsidRPr="00B8639F">
        <w:rPr>
          <w:rFonts w:ascii="Times New Roman" w:hAnsi="Times New Roman"/>
        </w:rPr>
        <w:t xml:space="preserve">There is some paperwork burden associated with the </w:t>
      </w:r>
      <w:r w:rsidRPr="00B8639F" w:rsidR="00C70BFA">
        <w:rPr>
          <w:rFonts w:ascii="Times New Roman" w:hAnsi="Times New Roman"/>
        </w:rPr>
        <w:t>provision of</w:t>
      </w:r>
      <w:r w:rsidRPr="00B8639F">
        <w:rPr>
          <w:rFonts w:ascii="Times New Roman" w:hAnsi="Times New Roman"/>
        </w:rPr>
        <w:t xml:space="preserve"> information regarding the investment advisory fees. The investment advisor normally accomplishes this disclosure by preparing a one or two page written document; the advisor then reproduces and mails this document to each independent fiduciary. The Department estimates that it would take an average </w:t>
      </w:r>
      <w:r w:rsidRPr="0027056B">
        <w:rPr>
          <w:rFonts w:ascii="Times New Roman" w:hAnsi="Times New Roman"/>
        </w:rPr>
        <w:t>of 30</w:t>
      </w:r>
      <w:r w:rsidRPr="00B8639F">
        <w:rPr>
          <w:rFonts w:ascii="Times New Roman" w:hAnsi="Times New Roman"/>
        </w:rPr>
        <w:t xml:space="preserve"> minutes annually per mutual fund complex to prepare or update the disclosure since each investment advisor can prepare one fee schedule for all of the plans it provides investment management services to and then reproduce and send a copy to the independent fiduciary of each plan. The independent fiduciary also must receive a copy of the already prepared prospectus. Since this can be mailed with the fee information, it imposes no separate burden.</w:t>
      </w:r>
      <w:r w:rsidRPr="00B8639F" w:rsidR="00420B0F">
        <w:rPr>
          <w:rFonts w:ascii="Times New Roman" w:hAnsi="Times New Roman"/>
        </w:rPr>
        <w:t xml:space="preserve"> </w:t>
      </w:r>
      <w:r w:rsidRPr="00B8639F">
        <w:rPr>
          <w:rFonts w:ascii="Times New Roman" w:hAnsi="Times New Roman"/>
        </w:rPr>
        <w:t>The notification of changes in fee rates would not add paperwork burden because it would be a standard business practice.</w:t>
      </w:r>
    </w:p>
    <w:p w:rsidR="002D77D4" w:rsidRPr="00B8639F" w:rsidP="0012184D" w14:paraId="34CAA6A3" w14:textId="77777777">
      <w:pPr>
        <w:widowControl/>
        <w:ind w:left="720"/>
        <w:rPr>
          <w:rFonts w:ascii="Times New Roman" w:hAnsi="Times New Roman"/>
        </w:rPr>
      </w:pPr>
    </w:p>
    <w:p w:rsidR="00E662CA" w:rsidRPr="00B8639F" w:rsidP="0012184D" w14:paraId="5D67938E" w14:textId="2164073E">
      <w:pPr>
        <w:widowControl/>
        <w:ind w:left="720"/>
        <w:rPr>
          <w:rFonts w:ascii="Times New Roman" w:hAnsi="Times New Roman"/>
        </w:rPr>
      </w:pPr>
      <w:r w:rsidRPr="00B8639F">
        <w:rPr>
          <w:rFonts w:ascii="Times New Roman" w:hAnsi="Times New Roman"/>
        </w:rPr>
        <w:t>According to</w:t>
      </w:r>
      <w:r w:rsidRPr="00B8639F" w:rsidR="00F663E5">
        <w:rPr>
          <w:rFonts w:ascii="Times New Roman" w:hAnsi="Times New Roman"/>
        </w:rPr>
        <w:t xml:space="preserve"> the Investment Company Institute (ICI)</w:t>
      </w:r>
      <w:r w:rsidRPr="00B8639F">
        <w:rPr>
          <w:rFonts w:ascii="Times New Roman" w:hAnsi="Times New Roman"/>
        </w:rPr>
        <w:t xml:space="preserve">, </w:t>
      </w:r>
      <w:r w:rsidR="00851BE8">
        <w:rPr>
          <w:rFonts w:ascii="Times New Roman" w:hAnsi="Times New Roman"/>
        </w:rPr>
        <w:t>785</w:t>
      </w:r>
      <w:r w:rsidRPr="00B8639F" w:rsidR="00851BE8">
        <w:rPr>
          <w:rFonts w:ascii="Times New Roman" w:hAnsi="Times New Roman"/>
        </w:rPr>
        <w:t xml:space="preserve"> </w:t>
      </w:r>
      <w:r w:rsidRPr="00B8639F">
        <w:rPr>
          <w:rFonts w:ascii="Times New Roman" w:hAnsi="Times New Roman"/>
        </w:rPr>
        <w:t xml:space="preserve">complexes managed and distributed mutual funds in </w:t>
      </w:r>
      <w:r w:rsidR="0027056B">
        <w:rPr>
          <w:rFonts w:ascii="Times New Roman" w:hAnsi="Times New Roman"/>
        </w:rPr>
        <w:t>20</w:t>
      </w:r>
      <w:r w:rsidR="006F09F6">
        <w:rPr>
          <w:rFonts w:ascii="Times New Roman" w:hAnsi="Times New Roman"/>
        </w:rPr>
        <w:t>2</w:t>
      </w:r>
      <w:r w:rsidR="00851BE8">
        <w:rPr>
          <w:rFonts w:ascii="Times New Roman" w:hAnsi="Times New Roman"/>
        </w:rPr>
        <w:t>5</w:t>
      </w:r>
      <w:r w:rsidRPr="00B8639F" w:rsidR="006C36FB">
        <w:rPr>
          <w:rFonts w:ascii="Times New Roman" w:hAnsi="Times New Roman"/>
        </w:rPr>
        <w:t>.</w:t>
      </w:r>
      <w:r>
        <w:rPr>
          <w:rStyle w:val="FootnoteReference"/>
          <w:rFonts w:ascii="Times New Roman" w:hAnsi="Times New Roman"/>
          <w:vertAlign w:val="superscript"/>
        </w:rPr>
        <w:footnoteReference w:id="3"/>
      </w:r>
      <w:r w:rsidRPr="00B8639F" w:rsidR="00E20242">
        <w:rPr>
          <w:rFonts w:ascii="Times New Roman" w:hAnsi="Times New Roman"/>
        </w:rPr>
        <w:t xml:space="preserve"> </w:t>
      </w:r>
      <w:r w:rsidRPr="00B8639F" w:rsidR="000702A2">
        <w:rPr>
          <w:rFonts w:ascii="Times New Roman" w:hAnsi="Times New Roman"/>
        </w:rPr>
        <w:t xml:space="preserve">The Department </w:t>
      </w:r>
      <w:r w:rsidRPr="00B8639F" w:rsidR="00E20242">
        <w:rPr>
          <w:rFonts w:ascii="Times New Roman" w:hAnsi="Times New Roman"/>
        </w:rPr>
        <w:t>assume</w:t>
      </w:r>
      <w:r w:rsidRPr="00B8639F" w:rsidR="000702A2">
        <w:rPr>
          <w:rFonts w:ascii="Times New Roman" w:hAnsi="Times New Roman"/>
        </w:rPr>
        <w:t>s</w:t>
      </w:r>
      <w:r w:rsidRPr="00B8639F" w:rsidR="00E20242">
        <w:rPr>
          <w:rFonts w:ascii="Times New Roman" w:hAnsi="Times New Roman"/>
        </w:rPr>
        <w:t xml:space="preserve"> that all of these complexes also offer investment management services to pension plans</w:t>
      </w:r>
      <w:r w:rsidRPr="00B8639F" w:rsidR="00420B0F">
        <w:rPr>
          <w:rFonts w:ascii="Times New Roman" w:hAnsi="Times New Roman"/>
        </w:rPr>
        <w:t>.</w:t>
      </w:r>
      <w:r w:rsidRPr="00B8639F" w:rsidR="00E20242">
        <w:rPr>
          <w:rFonts w:ascii="Times New Roman" w:hAnsi="Times New Roman"/>
        </w:rPr>
        <w:t xml:space="preserve"> </w:t>
      </w:r>
      <w:r w:rsidR="00BC399F">
        <w:rPr>
          <w:rFonts w:ascii="Times New Roman" w:hAnsi="Times New Roman"/>
        </w:rPr>
        <w:t>A</w:t>
      </w:r>
      <w:r w:rsidRPr="00B8639F" w:rsidR="00E20242">
        <w:rPr>
          <w:rFonts w:ascii="Times New Roman" w:hAnsi="Times New Roman"/>
        </w:rPr>
        <w:t xml:space="preserve"> 20</w:t>
      </w:r>
      <w:r w:rsidR="00BC399F">
        <w:rPr>
          <w:rFonts w:ascii="Times New Roman" w:hAnsi="Times New Roman"/>
        </w:rPr>
        <w:t>13</w:t>
      </w:r>
      <w:r w:rsidRPr="00B8639F" w:rsidR="00E20242">
        <w:rPr>
          <w:rFonts w:ascii="Times New Roman" w:hAnsi="Times New Roman"/>
        </w:rPr>
        <w:t xml:space="preserve"> Deloitte/ICI survey finds that </w:t>
      </w:r>
      <w:r w:rsidRPr="00515768" w:rsidR="00BC399F">
        <w:rPr>
          <w:rFonts w:ascii="Times New Roman" w:hAnsi="Times New Roman"/>
        </w:rPr>
        <w:t>37</w:t>
      </w:r>
      <w:r w:rsidRPr="00B8639F" w:rsidR="00E20242">
        <w:rPr>
          <w:rFonts w:ascii="Times New Roman" w:hAnsi="Times New Roman"/>
        </w:rPr>
        <w:t xml:space="preserve"> percent of 401(k)</w:t>
      </w:r>
      <w:r w:rsidR="005E3608">
        <w:rPr>
          <w:rFonts w:ascii="Times New Roman" w:hAnsi="Times New Roman"/>
        </w:rPr>
        <w:t xml:space="preserve"> plan</w:t>
      </w:r>
      <w:r w:rsidRPr="00B8639F" w:rsidR="00E20242">
        <w:rPr>
          <w:rFonts w:ascii="Times New Roman" w:hAnsi="Times New Roman"/>
        </w:rPr>
        <w:t>s have a mutual fund company as their service provider.</w:t>
      </w:r>
      <w:r>
        <w:rPr>
          <w:rStyle w:val="FootnoteReference"/>
          <w:rFonts w:ascii="Times New Roman" w:hAnsi="Times New Roman"/>
          <w:vertAlign w:val="superscript"/>
        </w:rPr>
        <w:footnoteReference w:id="4"/>
      </w:r>
      <w:r w:rsidRPr="00B8639F" w:rsidR="00E20242">
        <w:rPr>
          <w:rFonts w:ascii="Times New Roman" w:hAnsi="Times New Roman"/>
        </w:rPr>
        <w:t xml:space="preserve"> </w:t>
      </w:r>
      <w:r w:rsidRPr="00B8639F" w:rsidR="00CC3CED">
        <w:rPr>
          <w:rFonts w:ascii="Times New Roman" w:hAnsi="Times New Roman"/>
        </w:rPr>
        <w:t xml:space="preserve">Based upon ICI analyses and Form 5500 data that examines the </w:t>
      </w:r>
      <w:r w:rsidRPr="00B8639F" w:rsidR="000702A2">
        <w:rPr>
          <w:rFonts w:ascii="Times New Roman" w:hAnsi="Times New Roman"/>
        </w:rPr>
        <w:t xml:space="preserve">percentage </w:t>
      </w:r>
      <w:r w:rsidRPr="00B8639F" w:rsidR="00CC3CED">
        <w:rPr>
          <w:rFonts w:ascii="Times New Roman" w:hAnsi="Times New Roman"/>
        </w:rPr>
        <w:t xml:space="preserve">of plans that are invested in registered investment companies, the Department estimates that </w:t>
      </w:r>
      <w:r w:rsidRPr="00515768" w:rsidR="00702B55">
        <w:rPr>
          <w:rFonts w:ascii="Times New Roman" w:hAnsi="Times New Roman"/>
        </w:rPr>
        <w:t>24.7</w:t>
      </w:r>
      <w:r w:rsidRPr="00B8639F" w:rsidR="00CC3CED">
        <w:rPr>
          <w:rFonts w:ascii="Times New Roman" w:hAnsi="Times New Roman"/>
        </w:rPr>
        <w:t xml:space="preserve"> percent of </w:t>
      </w:r>
      <w:r w:rsidRPr="00B8639F" w:rsidR="00420B0F">
        <w:rPr>
          <w:rFonts w:ascii="Times New Roman" w:hAnsi="Times New Roman"/>
        </w:rPr>
        <w:t>d</w:t>
      </w:r>
      <w:r w:rsidRPr="00B8639F" w:rsidR="00CC3CED">
        <w:rPr>
          <w:rFonts w:ascii="Times New Roman" w:hAnsi="Times New Roman"/>
        </w:rPr>
        <w:t>efined</w:t>
      </w:r>
      <w:r w:rsidRPr="00B8639F" w:rsidR="00420B0F">
        <w:rPr>
          <w:rFonts w:ascii="Times New Roman" w:hAnsi="Times New Roman"/>
        </w:rPr>
        <w:t xml:space="preserve"> b</w:t>
      </w:r>
      <w:r w:rsidRPr="00B8639F" w:rsidR="00CC3CED">
        <w:rPr>
          <w:rFonts w:ascii="Times New Roman" w:hAnsi="Times New Roman"/>
        </w:rPr>
        <w:t>enefit plans have mutual fund companies as money managers.</w:t>
      </w:r>
      <w:r>
        <w:rPr>
          <w:rStyle w:val="FootnoteReference"/>
          <w:rFonts w:ascii="Times New Roman" w:hAnsi="Times New Roman"/>
          <w:vertAlign w:val="superscript"/>
        </w:rPr>
        <w:footnoteReference w:id="5"/>
      </w:r>
      <w:r w:rsidR="00515768">
        <w:rPr>
          <w:rFonts w:ascii="Times New Roman" w:hAnsi="Times New Roman"/>
          <w:vertAlign w:val="superscript"/>
        </w:rPr>
        <w:t xml:space="preserve"> </w:t>
      </w:r>
      <w:r w:rsidRPr="00B8639F">
        <w:rPr>
          <w:rFonts w:ascii="Times New Roman" w:hAnsi="Times New Roman"/>
        </w:rPr>
        <w:t xml:space="preserve">Applying these percentages to the universe of pension plans </w:t>
      </w:r>
      <w:r w:rsidR="00507908">
        <w:rPr>
          <w:rFonts w:ascii="Times New Roman" w:hAnsi="Times New Roman"/>
        </w:rPr>
        <w:t xml:space="preserve">that filed a Form 5500 </w:t>
      </w:r>
      <w:r w:rsidRPr="00B8639F">
        <w:rPr>
          <w:rFonts w:ascii="Times New Roman" w:hAnsi="Times New Roman"/>
        </w:rPr>
        <w:t xml:space="preserve">in </w:t>
      </w:r>
      <w:r w:rsidR="0027056B">
        <w:rPr>
          <w:rFonts w:ascii="Times New Roman" w:hAnsi="Times New Roman"/>
        </w:rPr>
        <w:t>20</w:t>
      </w:r>
      <w:r w:rsidR="006F09F6">
        <w:rPr>
          <w:rFonts w:ascii="Times New Roman" w:hAnsi="Times New Roman"/>
        </w:rPr>
        <w:t>2</w:t>
      </w:r>
      <w:r w:rsidR="00851BE8">
        <w:rPr>
          <w:rFonts w:ascii="Times New Roman" w:hAnsi="Times New Roman"/>
        </w:rPr>
        <w:t xml:space="preserve">2 </w:t>
      </w:r>
      <w:r w:rsidRPr="00B8639F">
        <w:rPr>
          <w:rFonts w:ascii="Times New Roman" w:hAnsi="Times New Roman"/>
        </w:rPr>
        <w:t>yields a total of a</w:t>
      </w:r>
      <w:r w:rsidRPr="00B8639F" w:rsidR="000702A2">
        <w:rPr>
          <w:rFonts w:ascii="Times New Roman" w:hAnsi="Times New Roman"/>
        </w:rPr>
        <w:t xml:space="preserve">pproximately </w:t>
      </w:r>
      <w:r w:rsidR="00851BE8">
        <w:rPr>
          <w:rFonts w:ascii="Times New Roman" w:hAnsi="Times New Roman"/>
        </w:rPr>
        <w:t>290,771</w:t>
      </w:r>
      <w:r w:rsidRPr="0027056B">
        <w:rPr>
          <w:rFonts w:ascii="Times New Roman" w:hAnsi="Times New Roman"/>
        </w:rPr>
        <w:t xml:space="preserve"> plans (</w:t>
      </w:r>
      <w:r w:rsidR="00851BE8">
        <w:rPr>
          <w:rFonts w:ascii="Times New Roman" w:hAnsi="Times New Roman"/>
        </w:rPr>
        <w:t>279,299</w:t>
      </w:r>
      <w:r w:rsidRPr="0027056B">
        <w:rPr>
          <w:rFonts w:ascii="Times New Roman" w:hAnsi="Times New Roman"/>
        </w:rPr>
        <w:t xml:space="preserve"> defined contribution and </w:t>
      </w:r>
      <w:r w:rsidR="0027056B">
        <w:rPr>
          <w:rFonts w:ascii="Times New Roman" w:hAnsi="Times New Roman"/>
        </w:rPr>
        <w:t>11,</w:t>
      </w:r>
      <w:r w:rsidR="00851BE8">
        <w:rPr>
          <w:rFonts w:ascii="Times New Roman" w:hAnsi="Times New Roman"/>
        </w:rPr>
        <w:t>472</w:t>
      </w:r>
      <w:r w:rsidRPr="0027056B" w:rsidR="00851BE8">
        <w:rPr>
          <w:rFonts w:ascii="Times New Roman" w:hAnsi="Times New Roman"/>
        </w:rPr>
        <w:t xml:space="preserve"> </w:t>
      </w:r>
      <w:r w:rsidRPr="0027056B">
        <w:rPr>
          <w:rFonts w:ascii="Times New Roman" w:hAnsi="Times New Roman"/>
        </w:rPr>
        <w:t>defined benefit plans)</w:t>
      </w:r>
      <w:r w:rsidR="00507908">
        <w:rPr>
          <w:rFonts w:ascii="Times New Roman" w:hAnsi="Times New Roman"/>
        </w:rPr>
        <w:t xml:space="preserve"> with service provider relationships with mutual fund companies</w:t>
      </w:r>
      <w:r w:rsidRPr="00B8639F">
        <w:rPr>
          <w:rFonts w:ascii="Times New Roman" w:hAnsi="Times New Roman"/>
        </w:rPr>
        <w:t>.</w:t>
      </w:r>
      <w:r>
        <w:rPr>
          <w:rStyle w:val="FootnoteReference"/>
          <w:rFonts w:ascii="Times New Roman" w:hAnsi="Times New Roman"/>
          <w:vertAlign w:val="superscript"/>
        </w:rPr>
        <w:footnoteReference w:id="6"/>
      </w:r>
      <w:r w:rsidRPr="00B8639F">
        <w:rPr>
          <w:rFonts w:ascii="Times New Roman" w:hAnsi="Times New Roman"/>
          <w:vertAlign w:val="superscript"/>
        </w:rPr>
        <w:t xml:space="preserve"> </w:t>
      </w:r>
    </w:p>
    <w:p w:rsidR="00E662CA" w:rsidRPr="00B8639F" w:rsidP="0012184D" w14:paraId="69948E58" w14:textId="77777777">
      <w:pPr>
        <w:widowControl/>
        <w:ind w:left="720"/>
        <w:rPr>
          <w:rFonts w:ascii="Times New Roman" w:hAnsi="Times New Roman"/>
        </w:rPr>
      </w:pPr>
    </w:p>
    <w:p w:rsidR="00E662CA" w:rsidRPr="00B8639F" w:rsidP="0012184D" w14:paraId="5639D0D1" w14:textId="799F95B4">
      <w:pPr>
        <w:widowControl/>
        <w:ind w:left="720"/>
        <w:rPr>
          <w:rFonts w:ascii="Times New Roman" w:hAnsi="Times New Roman"/>
        </w:rPr>
      </w:pPr>
      <w:r w:rsidRPr="00B8639F">
        <w:rPr>
          <w:rFonts w:ascii="Times New Roman" w:hAnsi="Times New Roman"/>
        </w:rPr>
        <w:t xml:space="preserve">The Department assumes that every mutual fund complex will make use of the class exemption for all their client plans. Each plan would have one independent fiduciary, required under the class exemption to receive the disclosure material. </w:t>
      </w:r>
      <w:r w:rsidRPr="00B8639F" w:rsidR="00804BB4">
        <w:rPr>
          <w:rFonts w:ascii="Times New Roman" w:hAnsi="Times New Roman"/>
        </w:rPr>
        <w:t>The Department also estimates that t</w:t>
      </w:r>
      <w:r w:rsidRPr="00B8639F" w:rsidR="00AC3ED6">
        <w:rPr>
          <w:rFonts w:ascii="Times New Roman" w:hAnsi="Times New Roman"/>
        </w:rPr>
        <w:t>en percent of plans will then request</w:t>
      </w:r>
      <w:r w:rsidRPr="00B8639F" w:rsidR="00804BB4">
        <w:rPr>
          <w:rFonts w:ascii="Times New Roman" w:hAnsi="Times New Roman"/>
        </w:rPr>
        <w:t xml:space="preserve"> </w:t>
      </w:r>
      <w:r w:rsidRPr="00B8639F" w:rsidR="00AC3ED6">
        <w:rPr>
          <w:rFonts w:ascii="Times New Roman" w:hAnsi="Times New Roman"/>
        </w:rPr>
        <w:t>a full prospectus.</w:t>
      </w:r>
      <w:r w:rsidR="00515768">
        <w:rPr>
          <w:rFonts w:ascii="Times New Roman" w:hAnsi="Times New Roman"/>
        </w:rPr>
        <w:t xml:space="preserve"> </w:t>
      </w:r>
      <w:r w:rsidRPr="00B8639F">
        <w:rPr>
          <w:rFonts w:ascii="Times New Roman" w:hAnsi="Times New Roman"/>
        </w:rPr>
        <w:t xml:space="preserve">The Department estimates that it will take no more than </w:t>
      </w:r>
      <w:r w:rsidRPr="0027056B">
        <w:rPr>
          <w:rFonts w:ascii="Times New Roman" w:hAnsi="Times New Roman"/>
        </w:rPr>
        <w:t>5</w:t>
      </w:r>
      <w:r w:rsidRPr="00B8639F">
        <w:rPr>
          <w:rFonts w:ascii="Times New Roman" w:hAnsi="Times New Roman"/>
        </w:rPr>
        <w:t xml:space="preserve"> minutes (1/12 of an hour) to distribute the materials to each plan. </w:t>
      </w:r>
    </w:p>
    <w:p w:rsidR="00E662CA" w:rsidRPr="00B8639F" w:rsidP="00D60A65" w14:paraId="268604F8" w14:textId="77777777">
      <w:pPr>
        <w:widowControl/>
        <w:rPr>
          <w:rFonts w:ascii="Times New Roman" w:hAnsi="Times New Roman"/>
        </w:rPr>
      </w:pPr>
    </w:p>
    <w:p w:rsidR="00436A4E" w:rsidRPr="00851BE8" w:rsidP="00851BE8" w14:paraId="6735A085" w14:textId="4B9915FE">
      <w:pPr>
        <w:widowControl/>
        <w:ind w:left="720"/>
        <w:rPr>
          <w:rFonts w:ascii="Times New Roman" w:hAnsi="Times New Roman"/>
        </w:rPr>
      </w:pPr>
      <w:r w:rsidRPr="00B8639F">
        <w:rPr>
          <w:rFonts w:ascii="Times New Roman" w:hAnsi="Times New Roman"/>
        </w:rPr>
        <w:t>Mutual fund complexes</w:t>
      </w:r>
      <w:r w:rsidRPr="00B8639F" w:rsidR="006C36FB">
        <w:rPr>
          <w:rFonts w:ascii="Times New Roman" w:hAnsi="Times New Roman"/>
        </w:rPr>
        <w:t>,</w:t>
      </w:r>
      <w:r w:rsidRPr="00B8639F">
        <w:rPr>
          <w:rFonts w:ascii="Times New Roman" w:hAnsi="Times New Roman"/>
        </w:rPr>
        <w:t xml:space="preserve"> rather than the plans they provide services to</w:t>
      </w:r>
      <w:r w:rsidRPr="00B8639F" w:rsidR="006C36FB">
        <w:rPr>
          <w:rFonts w:ascii="Times New Roman" w:hAnsi="Times New Roman"/>
        </w:rPr>
        <w:t>,</w:t>
      </w:r>
      <w:r w:rsidRPr="00B8639F">
        <w:rPr>
          <w:rFonts w:ascii="Times New Roman" w:hAnsi="Times New Roman"/>
        </w:rPr>
        <w:t xml:space="preserve"> would </w:t>
      </w:r>
      <w:r w:rsidRPr="00B8639F" w:rsidR="00166219">
        <w:rPr>
          <w:rFonts w:ascii="Times New Roman" w:hAnsi="Times New Roman"/>
        </w:rPr>
        <w:t>bear</w:t>
      </w:r>
      <w:r w:rsidRPr="00B8639F">
        <w:rPr>
          <w:rFonts w:ascii="Times New Roman" w:hAnsi="Times New Roman"/>
        </w:rPr>
        <w:t xml:space="preserve"> the burden and are expected to perform the services in-house. The mutual fund complexes are estimated to incur costs of $</w:t>
      </w:r>
      <w:r w:rsidR="00851BE8">
        <w:rPr>
          <w:rFonts w:ascii="Times New Roman" w:hAnsi="Times New Roman"/>
        </w:rPr>
        <w:t>198.94</w:t>
      </w:r>
      <w:r w:rsidRPr="00B8639F">
        <w:rPr>
          <w:rFonts w:ascii="Times New Roman" w:hAnsi="Times New Roman"/>
        </w:rPr>
        <w:t xml:space="preserve"> per hour for</w:t>
      </w:r>
      <w:r w:rsidRPr="00B8639F" w:rsidR="00122840">
        <w:rPr>
          <w:rFonts w:ascii="Times New Roman" w:hAnsi="Times New Roman"/>
        </w:rPr>
        <w:t xml:space="preserve"> financial</w:t>
      </w:r>
      <w:r w:rsidRPr="00B8639F">
        <w:rPr>
          <w:rFonts w:ascii="Times New Roman" w:hAnsi="Times New Roman"/>
        </w:rPr>
        <w:t xml:space="preserve"> professional staff time to prepare the disclosure material.</w:t>
      </w:r>
      <w:r>
        <w:rPr>
          <w:rStyle w:val="FootnoteReference"/>
          <w:rFonts w:ascii="Times New Roman" w:hAnsi="Times New Roman"/>
          <w:vertAlign w:val="superscript"/>
        </w:rPr>
        <w:footnoteReference w:id="7"/>
      </w:r>
      <w:r w:rsidRPr="00B8639F">
        <w:rPr>
          <w:rFonts w:ascii="Times New Roman" w:hAnsi="Times New Roman"/>
        </w:rPr>
        <w:t xml:space="preserve"> </w:t>
      </w:r>
      <w:r w:rsidR="00851BE8">
        <w:rPr>
          <w:rFonts w:ascii="Times New Roman" w:hAnsi="Times New Roman"/>
        </w:rPr>
        <w:t xml:space="preserve">Please see table below for calculations and burden totals. </w:t>
      </w:r>
    </w:p>
    <w:p w:rsidR="00436A4E" w:rsidP="003239E2" w14:paraId="299187EC" w14:textId="64CA4DAA">
      <w:pPr>
        <w:ind w:left="720"/>
        <w:jc w:val="center"/>
        <w:rPr>
          <w:rFonts w:ascii="Times New Roman" w:hAnsi="Times New Roman"/>
          <w:b/>
        </w:rPr>
      </w:pPr>
    </w:p>
    <w:p w:rsidR="003239E2" w:rsidP="003239E2" w14:paraId="44F95CCF" w14:textId="784D7898">
      <w:pPr>
        <w:ind w:left="720"/>
        <w:jc w:val="center"/>
        <w:rPr>
          <w:rFonts w:ascii="Times New Roman" w:hAnsi="Times New Roman"/>
          <w:b/>
        </w:rPr>
      </w:pPr>
      <w:r w:rsidRPr="002C3806">
        <w:rPr>
          <w:rFonts w:ascii="Times New Roman" w:hAnsi="Times New Roman"/>
          <w:b/>
        </w:rPr>
        <w:t>Estimated Annual</w:t>
      </w:r>
      <w:r w:rsidR="008F7209">
        <w:rPr>
          <w:rFonts w:ascii="Times New Roman" w:hAnsi="Times New Roman"/>
          <w:b/>
        </w:rPr>
        <w:t xml:space="preserve"> </w:t>
      </w:r>
      <w:r w:rsidRPr="002C3806">
        <w:rPr>
          <w:rFonts w:ascii="Times New Roman" w:hAnsi="Times New Roman"/>
          <w:b/>
        </w:rPr>
        <w:t>Respondent Hour Burden</w:t>
      </w:r>
      <w:r>
        <w:rPr>
          <w:rFonts w:ascii="Times New Roman" w:hAnsi="Times New Roman"/>
          <w:b/>
        </w:rPr>
        <w:t xml:space="preserve"> and Hour Equivalent Cost </w:t>
      </w:r>
    </w:p>
    <w:p w:rsidR="003239E2" w:rsidP="003239E2" w14:paraId="2D6A3F80" w14:textId="77777777">
      <w:pPr>
        <w:ind w:left="720"/>
        <w:rPr>
          <w:rFonts w:ascii="Times New Roman" w:hAnsi="Times New Roman"/>
          <w:b/>
        </w:rPr>
      </w:pPr>
    </w:p>
    <w:tbl>
      <w:tblPr>
        <w:tblW w:w="117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440"/>
        <w:gridCol w:w="1530"/>
        <w:gridCol w:w="1584"/>
        <w:gridCol w:w="1080"/>
        <w:gridCol w:w="1116"/>
        <w:gridCol w:w="1440"/>
        <w:gridCol w:w="1350"/>
      </w:tblGrid>
      <w:tr w14:paraId="39A431B1" w14:textId="77777777" w:rsidTr="00D60A65">
        <w:tblPrEx>
          <w:tblW w:w="117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3"/>
        </w:trPr>
        <w:tc>
          <w:tcPr>
            <w:tcW w:w="2160" w:type="dxa"/>
            <w:shd w:val="clear" w:color="auto" w:fill="8DB3E2" w:themeFill="text2" w:themeFillTint="66"/>
            <w:vAlign w:val="center"/>
            <w:hideMark/>
          </w:tcPr>
          <w:p w:rsidR="003239E2" w:rsidRPr="00D60A65" w:rsidP="00AC3E2C" w14:paraId="6012E438" w14:textId="589A9F04">
            <w:pPr>
              <w:widowControl/>
              <w:autoSpaceDE/>
              <w:autoSpaceDN/>
              <w:adjustRightInd/>
              <w:jc w:val="center"/>
              <w:rPr>
                <w:rFonts w:ascii="Times New Roman" w:hAnsi="Times New Roman"/>
                <w:b/>
                <w:bCs/>
                <w:color w:val="000000"/>
                <w:szCs w:val="32"/>
              </w:rPr>
            </w:pPr>
            <w:r w:rsidRPr="00D60A65">
              <w:rPr>
                <w:rFonts w:ascii="Times New Roman" w:hAnsi="Times New Roman"/>
                <w:b/>
                <w:bCs/>
                <w:color w:val="000000"/>
                <w:szCs w:val="32"/>
              </w:rPr>
              <w:t>Activity</w:t>
            </w:r>
          </w:p>
        </w:tc>
        <w:tc>
          <w:tcPr>
            <w:tcW w:w="1440" w:type="dxa"/>
            <w:shd w:val="clear" w:color="auto" w:fill="8DB3E2" w:themeFill="text2" w:themeFillTint="66"/>
            <w:vAlign w:val="center"/>
            <w:hideMark/>
          </w:tcPr>
          <w:p w:rsidR="003239E2" w:rsidRPr="00D60A65" w:rsidP="00AC3E2C" w14:paraId="4FCA2690" w14:textId="03E01399">
            <w:pPr>
              <w:widowControl/>
              <w:autoSpaceDE/>
              <w:autoSpaceDN/>
              <w:adjustRightInd/>
              <w:jc w:val="center"/>
              <w:rPr>
                <w:rFonts w:ascii="Times New Roman" w:hAnsi="Times New Roman"/>
                <w:b/>
                <w:bCs/>
                <w:color w:val="000000"/>
                <w:szCs w:val="32"/>
              </w:rPr>
            </w:pPr>
            <w:r w:rsidRPr="00D60A65">
              <w:rPr>
                <w:rFonts w:ascii="Times New Roman" w:hAnsi="Times New Roman"/>
                <w:b/>
                <w:bCs/>
                <w:color w:val="000000"/>
                <w:szCs w:val="32"/>
              </w:rPr>
              <w:t>N</w:t>
            </w:r>
            <w:r w:rsidRPr="00D60A65" w:rsidR="00AC3E2C">
              <w:rPr>
                <w:rFonts w:ascii="Times New Roman" w:hAnsi="Times New Roman"/>
                <w:b/>
                <w:bCs/>
                <w:color w:val="000000"/>
                <w:szCs w:val="32"/>
              </w:rPr>
              <w:t>umber</w:t>
            </w:r>
            <w:r w:rsidRPr="00D60A65">
              <w:rPr>
                <w:rFonts w:ascii="Times New Roman" w:hAnsi="Times New Roman"/>
                <w:b/>
                <w:bCs/>
                <w:color w:val="000000"/>
                <w:szCs w:val="32"/>
              </w:rPr>
              <w:t> of Respondents</w:t>
            </w:r>
          </w:p>
        </w:tc>
        <w:tc>
          <w:tcPr>
            <w:tcW w:w="1530" w:type="dxa"/>
            <w:shd w:val="clear" w:color="auto" w:fill="8DB3E2" w:themeFill="text2" w:themeFillTint="66"/>
            <w:vAlign w:val="center"/>
            <w:hideMark/>
          </w:tcPr>
          <w:p w:rsidR="003239E2" w:rsidRPr="00D60A65" w:rsidP="00AC3E2C" w14:paraId="19364392" w14:textId="62A86CA3">
            <w:pPr>
              <w:widowControl/>
              <w:autoSpaceDE/>
              <w:autoSpaceDN/>
              <w:adjustRightInd/>
              <w:jc w:val="center"/>
              <w:rPr>
                <w:rFonts w:ascii="Times New Roman" w:hAnsi="Times New Roman"/>
                <w:b/>
                <w:bCs/>
                <w:color w:val="000000"/>
                <w:szCs w:val="32"/>
              </w:rPr>
            </w:pPr>
            <w:r w:rsidRPr="00D60A65">
              <w:rPr>
                <w:rFonts w:ascii="Times New Roman" w:hAnsi="Times New Roman"/>
                <w:b/>
                <w:bCs/>
                <w:color w:val="000000"/>
                <w:szCs w:val="32"/>
              </w:rPr>
              <w:t>N</w:t>
            </w:r>
            <w:r w:rsidRPr="00D60A65" w:rsidR="00AC3E2C">
              <w:rPr>
                <w:rFonts w:ascii="Times New Roman" w:hAnsi="Times New Roman"/>
                <w:b/>
                <w:bCs/>
                <w:color w:val="000000"/>
                <w:szCs w:val="32"/>
              </w:rPr>
              <w:t>umber</w:t>
            </w:r>
            <w:r w:rsidRPr="00D60A65">
              <w:rPr>
                <w:rFonts w:ascii="Times New Roman" w:hAnsi="Times New Roman"/>
                <w:b/>
                <w:bCs/>
                <w:color w:val="000000"/>
                <w:szCs w:val="32"/>
              </w:rPr>
              <w:t xml:space="preserve"> of Responses per Respondent</w:t>
            </w:r>
          </w:p>
        </w:tc>
        <w:tc>
          <w:tcPr>
            <w:tcW w:w="1584" w:type="dxa"/>
            <w:shd w:val="clear" w:color="auto" w:fill="8DB3E2" w:themeFill="text2" w:themeFillTint="66"/>
            <w:vAlign w:val="center"/>
            <w:hideMark/>
          </w:tcPr>
          <w:p w:rsidR="003239E2" w:rsidRPr="00D60A65" w:rsidP="00AC3E2C" w14:paraId="51CB0909" w14:textId="77777777">
            <w:pPr>
              <w:widowControl/>
              <w:autoSpaceDE/>
              <w:autoSpaceDN/>
              <w:adjustRightInd/>
              <w:jc w:val="center"/>
              <w:rPr>
                <w:rFonts w:ascii="Times New Roman" w:hAnsi="Times New Roman"/>
                <w:b/>
                <w:bCs/>
                <w:color w:val="000000"/>
                <w:szCs w:val="32"/>
              </w:rPr>
            </w:pPr>
            <w:r w:rsidRPr="00D60A65">
              <w:rPr>
                <w:rFonts w:ascii="Times New Roman" w:hAnsi="Times New Roman"/>
                <w:b/>
                <w:bCs/>
                <w:color w:val="000000"/>
                <w:szCs w:val="32"/>
              </w:rPr>
              <w:t>Total Responses</w:t>
            </w:r>
          </w:p>
        </w:tc>
        <w:tc>
          <w:tcPr>
            <w:tcW w:w="1080" w:type="dxa"/>
            <w:shd w:val="clear" w:color="auto" w:fill="8DB3E2" w:themeFill="text2" w:themeFillTint="66"/>
            <w:vAlign w:val="center"/>
            <w:hideMark/>
          </w:tcPr>
          <w:p w:rsidR="003239E2" w:rsidRPr="00D60A65" w:rsidP="00AC3E2C" w14:paraId="752685AB" w14:textId="3ED3352B">
            <w:pPr>
              <w:widowControl/>
              <w:autoSpaceDE/>
              <w:autoSpaceDN/>
              <w:adjustRightInd/>
              <w:jc w:val="center"/>
              <w:rPr>
                <w:rFonts w:ascii="Times New Roman" w:hAnsi="Times New Roman"/>
                <w:b/>
                <w:bCs/>
                <w:color w:val="000000"/>
                <w:szCs w:val="32"/>
              </w:rPr>
            </w:pPr>
            <w:r w:rsidRPr="00D60A65">
              <w:rPr>
                <w:rFonts w:ascii="Times New Roman" w:hAnsi="Times New Roman"/>
                <w:b/>
                <w:bCs/>
                <w:color w:val="000000"/>
                <w:szCs w:val="32"/>
              </w:rPr>
              <w:t>Average Burden (Hours)</w:t>
            </w:r>
          </w:p>
        </w:tc>
        <w:tc>
          <w:tcPr>
            <w:tcW w:w="1116" w:type="dxa"/>
            <w:shd w:val="clear" w:color="auto" w:fill="8DB3E2" w:themeFill="text2" w:themeFillTint="66"/>
            <w:vAlign w:val="center"/>
          </w:tcPr>
          <w:p w:rsidR="003239E2" w:rsidRPr="00D60A65" w:rsidP="00AC3E2C" w14:paraId="61E2E46F" w14:textId="77777777">
            <w:pPr>
              <w:widowControl/>
              <w:autoSpaceDE/>
              <w:autoSpaceDN/>
              <w:adjustRightInd/>
              <w:jc w:val="center"/>
              <w:rPr>
                <w:rFonts w:ascii="Times New Roman" w:hAnsi="Times New Roman"/>
                <w:b/>
                <w:bCs/>
                <w:color w:val="000000"/>
                <w:szCs w:val="32"/>
              </w:rPr>
            </w:pPr>
            <w:r w:rsidRPr="00D60A65">
              <w:rPr>
                <w:rFonts w:ascii="Times New Roman" w:hAnsi="Times New Roman"/>
                <w:b/>
                <w:bCs/>
                <w:color w:val="000000"/>
                <w:szCs w:val="32"/>
              </w:rPr>
              <w:t>Total</w:t>
            </w:r>
          </w:p>
          <w:p w:rsidR="003239E2" w:rsidRPr="00D60A65" w:rsidP="00AC3E2C" w14:paraId="58626524" w14:textId="77777777">
            <w:pPr>
              <w:widowControl/>
              <w:autoSpaceDE/>
              <w:autoSpaceDN/>
              <w:adjustRightInd/>
              <w:jc w:val="center"/>
              <w:rPr>
                <w:rFonts w:ascii="Times New Roman" w:hAnsi="Times New Roman"/>
                <w:b/>
                <w:bCs/>
                <w:color w:val="000000"/>
                <w:szCs w:val="32"/>
              </w:rPr>
            </w:pPr>
            <w:r w:rsidRPr="00D60A65">
              <w:rPr>
                <w:rFonts w:ascii="Times New Roman" w:hAnsi="Times New Roman"/>
                <w:b/>
                <w:bCs/>
                <w:color w:val="000000"/>
                <w:szCs w:val="32"/>
              </w:rPr>
              <w:t>Burden (Hours)</w:t>
            </w:r>
          </w:p>
        </w:tc>
        <w:tc>
          <w:tcPr>
            <w:tcW w:w="1440" w:type="dxa"/>
            <w:shd w:val="clear" w:color="auto" w:fill="8DB3E2" w:themeFill="text2" w:themeFillTint="66"/>
            <w:vAlign w:val="center"/>
          </w:tcPr>
          <w:p w:rsidR="003239E2" w:rsidRPr="00D60A65" w:rsidP="00AC3E2C" w14:paraId="51CF08B8" w14:textId="77777777">
            <w:pPr>
              <w:widowControl/>
              <w:autoSpaceDE/>
              <w:autoSpaceDN/>
              <w:adjustRightInd/>
              <w:jc w:val="center"/>
              <w:rPr>
                <w:rFonts w:ascii="Times New Roman" w:hAnsi="Times New Roman"/>
                <w:b/>
                <w:bCs/>
                <w:color w:val="000000"/>
                <w:szCs w:val="32"/>
              </w:rPr>
            </w:pPr>
            <w:r w:rsidRPr="00D60A65">
              <w:rPr>
                <w:rFonts w:ascii="Times New Roman" w:hAnsi="Times New Roman"/>
                <w:b/>
                <w:bCs/>
                <w:color w:val="000000"/>
                <w:szCs w:val="32"/>
              </w:rPr>
              <w:t>Wage Rates</w:t>
            </w:r>
          </w:p>
        </w:tc>
        <w:tc>
          <w:tcPr>
            <w:tcW w:w="1350" w:type="dxa"/>
            <w:shd w:val="clear" w:color="auto" w:fill="8DB3E2" w:themeFill="text2" w:themeFillTint="66"/>
          </w:tcPr>
          <w:p w:rsidR="003239E2" w:rsidRPr="00D60A65" w:rsidP="00AC3E2C" w14:paraId="0E8E513D" w14:textId="77777777">
            <w:pPr>
              <w:widowControl/>
              <w:autoSpaceDE/>
              <w:autoSpaceDN/>
              <w:adjustRightInd/>
              <w:jc w:val="center"/>
              <w:rPr>
                <w:rFonts w:ascii="Times New Roman" w:hAnsi="Times New Roman"/>
                <w:b/>
                <w:bCs/>
                <w:color w:val="000000"/>
                <w:szCs w:val="32"/>
              </w:rPr>
            </w:pPr>
          </w:p>
          <w:p w:rsidR="003239E2" w:rsidRPr="00D60A65" w:rsidP="00AC3E2C" w14:paraId="04CF5533" w14:textId="77777777">
            <w:pPr>
              <w:widowControl/>
              <w:autoSpaceDE/>
              <w:autoSpaceDN/>
              <w:adjustRightInd/>
              <w:jc w:val="center"/>
              <w:rPr>
                <w:rFonts w:ascii="Times New Roman" w:hAnsi="Times New Roman"/>
                <w:b/>
                <w:bCs/>
                <w:color w:val="000000"/>
                <w:szCs w:val="32"/>
              </w:rPr>
            </w:pPr>
          </w:p>
          <w:p w:rsidR="003239E2" w:rsidRPr="00D60A65" w:rsidP="00AC3E2C" w14:paraId="2104364F" w14:textId="77777777">
            <w:pPr>
              <w:widowControl/>
              <w:autoSpaceDE/>
              <w:autoSpaceDN/>
              <w:adjustRightInd/>
              <w:jc w:val="center"/>
              <w:rPr>
                <w:rFonts w:ascii="Times New Roman" w:hAnsi="Times New Roman"/>
                <w:b/>
                <w:bCs/>
                <w:color w:val="000000"/>
                <w:szCs w:val="32"/>
              </w:rPr>
            </w:pPr>
            <w:r w:rsidRPr="00D60A65">
              <w:rPr>
                <w:rFonts w:ascii="Times New Roman" w:hAnsi="Times New Roman"/>
                <w:b/>
                <w:bCs/>
                <w:color w:val="000000"/>
                <w:szCs w:val="32"/>
              </w:rPr>
              <w:t>Equivalent Cost</w:t>
            </w:r>
          </w:p>
        </w:tc>
      </w:tr>
      <w:tr w14:paraId="75DCFAE5" w14:textId="77777777" w:rsidTr="00D60A65">
        <w:tblPrEx>
          <w:tblW w:w="11700" w:type="dxa"/>
          <w:tblInd w:w="-1085" w:type="dxa"/>
          <w:tblLayout w:type="fixed"/>
          <w:tblLook w:val="04A0"/>
        </w:tblPrEx>
        <w:trPr>
          <w:trHeight w:val="71"/>
        </w:trPr>
        <w:tc>
          <w:tcPr>
            <w:tcW w:w="2160" w:type="dxa"/>
            <w:vAlign w:val="center"/>
          </w:tcPr>
          <w:p w:rsidR="007E608D" w:rsidRPr="00D60A65" w:rsidP="007E608D" w14:paraId="6B132798" w14:textId="1645FE40">
            <w:pPr>
              <w:widowControl/>
              <w:autoSpaceDE/>
              <w:autoSpaceDN/>
              <w:adjustRightInd/>
              <w:contextualSpacing/>
              <w:rPr>
                <w:rFonts w:ascii="Times New Roman" w:hAnsi="Times New Roman"/>
                <w:color w:val="000000"/>
                <w:szCs w:val="32"/>
              </w:rPr>
            </w:pPr>
            <w:r w:rsidRPr="00D60A65">
              <w:rPr>
                <w:rFonts w:ascii="Times New Roman" w:hAnsi="Times New Roman"/>
                <w:szCs w:val="32"/>
              </w:rPr>
              <w:t>Financial Professionals preparing and updating the disclosures for the summary prospectuses</w:t>
            </w:r>
          </w:p>
        </w:tc>
        <w:tc>
          <w:tcPr>
            <w:tcW w:w="1440" w:type="dxa"/>
            <w:tcBorders>
              <w:top w:val="single" w:sz="4" w:space="0" w:color="auto"/>
              <w:left w:val="single" w:sz="4" w:space="0" w:color="auto"/>
              <w:bottom w:val="single" w:sz="4" w:space="0" w:color="auto"/>
              <w:right w:val="single" w:sz="4" w:space="0" w:color="auto"/>
            </w:tcBorders>
            <w:vAlign w:val="center"/>
          </w:tcPr>
          <w:p w:rsidR="007E608D" w:rsidRPr="00D60A65" w:rsidP="007E608D" w14:paraId="58E2D952" w14:textId="71CDF054">
            <w:pPr>
              <w:widowControl/>
              <w:autoSpaceDE/>
              <w:autoSpaceDN/>
              <w:adjustRightInd/>
              <w:jc w:val="center"/>
              <w:rPr>
                <w:rFonts w:ascii="Times New Roman" w:hAnsi="Times New Roman"/>
                <w:color w:val="000000"/>
                <w:szCs w:val="32"/>
              </w:rPr>
            </w:pPr>
            <w:r w:rsidRPr="00D60A65">
              <w:rPr>
                <w:rFonts w:ascii="Times New Roman" w:hAnsi="Times New Roman"/>
                <w:szCs w:val="32"/>
              </w:rPr>
              <w:t>785</w:t>
            </w:r>
          </w:p>
        </w:tc>
        <w:tc>
          <w:tcPr>
            <w:tcW w:w="1530" w:type="dxa"/>
            <w:tcBorders>
              <w:top w:val="single" w:sz="4" w:space="0" w:color="auto"/>
              <w:left w:val="nil"/>
              <w:bottom w:val="single" w:sz="4" w:space="0" w:color="auto"/>
              <w:right w:val="single" w:sz="4" w:space="0" w:color="auto"/>
            </w:tcBorders>
            <w:vAlign w:val="center"/>
          </w:tcPr>
          <w:p w:rsidR="007E608D" w:rsidRPr="00D60A65" w:rsidP="007E608D" w14:paraId="11B7F63C" w14:textId="319F94F0">
            <w:pPr>
              <w:widowControl/>
              <w:autoSpaceDE/>
              <w:autoSpaceDN/>
              <w:adjustRightInd/>
              <w:jc w:val="center"/>
              <w:rPr>
                <w:rFonts w:ascii="Times New Roman" w:hAnsi="Times New Roman"/>
                <w:color w:val="000000"/>
                <w:szCs w:val="32"/>
              </w:rPr>
            </w:pPr>
            <w:r w:rsidRPr="00D60A65">
              <w:rPr>
                <w:rFonts w:ascii="Times New Roman" w:hAnsi="Times New Roman"/>
                <w:szCs w:val="32"/>
              </w:rPr>
              <w:t>1</w:t>
            </w:r>
          </w:p>
        </w:tc>
        <w:tc>
          <w:tcPr>
            <w:tcW w:w="1584" w:type="dxa"/>
            <w:tcBorders>
              <w:top w:val="single" w:sz="4" w:space="0" w:color="auto"/>
              <w:left w:val="nil"/>
              <w:bottom w:val="single" w:sz="4" w:space="0" w:color="auto"/>
              <w:right w:val="single" w:sz="4" w:space="0" w:color="auto"/>
            </w:tcBorders>
            <w:vAlign w:val="center"/>
          </w:tcPr>
          <w:p w:rsidR="007E608D" w:rsidRPr="00D60A65" w:rsidP="007E608D" w14:paraId="596E0E4C" w14:textId="6C53AB3D">
            <w:pPr>
              <w:widowControl/>
              <w:autoSpaceDE/>
              <w:autoSpaceDN/>
              <w:adjustRightInd/>
              <w:jc w:val="center"/>
              <w:rPr>
                <w:rFonts w:ascii="Times New Roman" w:hAnsi="Times New Roman"/>
                <w:color w:val="000000"/>
                <w:szCs w:val="32"/>
              </w:rPr>
            </w:pPr>
            <w:r w:rsidRPr="00D60A65">
              <w:rPr>
                <w:rFonts w:ascii="Times New Roman" w:hAnsi="Times New Roman"/>
                <w:szCs w:val="32"/>
              </w:rPr>
              <w:t>785</w:t>
            </w:r>
          </w:p>
        </w:tc>
        <w:tc>
          <w:tcPr>
            <w:tcW w:w="1080" w:type="dxa"/>
            <w:tcBorders>
              <w:top w:val="single" w:sz="4" w:space="0" w:color="auto"/>
              <w:left w:val="nil"/>
              <w:bottom w:val="single" w:sz="4" w:space="0" w:color="auto"/>
              <w:right w:val="single" w:sz="4" w:space="0" w:color="auto"/>
            </w:tcBorders>
            <w:vAlign w:val="center"/>
          </w:tcPr>
          <w:p w:rsidR="007E608D" w:rsidRPr="00D60A65" w:rsidP="007E608D" w14:paraId="6E2763C8" w14:textId="234E79E2">
            <w:pPr>
              <w:widowControl/>
              <w:autoSpaceDE/>
              <w:autoSpaceDN/>
              <w:adjustRightInd/>
              <w:jc w:val="center"/>
              <w:rPr>
                <w:rFonts w:ascii="Times New Roman" w:hAnsi="Times New Roman"/>
                <w:color w:val="000000"/>
                <w:szCs w:val="32"/>
              </w:rPr>
            </w:pPr>
            <w:r w:rsidRPr="00D60A65">
              <w:rPr>
                <w:rFonts w:ascii="Times New Roman" w:hAnsi="Times New Roman"/>
                <w:szCs w:val="32"/>
              </w:rPr>
              <w:t>30/60</w:t>
            </w:r>
          </w:p>
        </w:tc>
        <w:tc>
          <w:tcPr>
            <w:tcW w:w="1116" w:type="dxa"/>
            <w:tcBorders>
              <w:top w:val="single" w:sz="4" w:space="0" w:color="auto"/>
              <w:left w:val="nil"/>
              <w:bottom w:val="single" w:sz="4" w:space="0" w:color="auto"/>
              <w:right w:val="single" w:sz="4" w:space="0" w:color="auto"/>
            </w:tcBorders>
            <w:vAlign w:val="center"/>
          </w:tcPr>
          <w:p w:rsidR="007E608D" w:rsidRPr="00D60A65" w:rsidP="007E608D" w14:paraId="782BD841" w14:textId="547FC22F">
            <w:pPr>
              <w:widowControl/>
              <w:autoSpaceDE/>
              <w:autoSpaceDN/>
              <w:adjustRightInd/>
              <w:jc w:val="center"/>
              <w:rPr>
                <w:rFonts w:ascii="Times New Roman" w:hAnsi="Times New Roman"/>
                <w:color w:val="000000"/>
                <w:szCs w:val="32"/>
              </w:rPr>
            </w:pPr>
            <w:r w:rsidRPr="00D60A65">
              <w:rPr>
                <w:rFonts w:ascii="Times New Roman" w:hAnsi="Times New Roman"/>
                <w:szCs w:val="32"/>
              </w:rPr>
              <w:t>393</w:t>
            </w:r>
          </w:p>
        </w:tc>
        <w:tc>
          <w:tcPr>
            <w:tcW w:w="1440" w:type="dxa"/>
            <w:tcBorders>
              <w:top w:val="single" w:sz="4" w:space="0" w:color="auto"/>
              <w:left w:val="nil"/>
              <w:bottom w:val="single" w:sz="4" w:space="0" w:color="auto"/>
              <w:right w:val="single" w:sz="4" w:space="0" w:color="auto"/>
            </w:tcBorders>
            <w:vAlign w:val="center"/>
          </w:tcPr>
          <w:p w:rsidR="007E608D" w:rsidRPr="00D60A65" w:rsidP="007E608D" w14:paraId="45142555" w14:textId="517CBE21">
            <w:pPr>
              <w:widowControl/>
              <w:autoSpaceDE/>
              <w:autoSpaceDN/>
              <w:adjustRightInd/>
              <w:jc w:val="center"/>
              <w:rPr>
                <w:rFonts w:ascii="Times New Roman" w:hAnsi="Times New Roman"/>
                <w:color w:val="000000"/>
                <w:szCs w:val="32"/>
              </w:rPr>
            </w:pPr>
            <w:r w:rsidRPr="00D60A65">
              <w:rPr>
                <w:rFonts w:ascii="Times New Roman" w:hAnsi="Times New Roman"/>
                <w:szCs w:val="32"/>
              </w:rPr>
              <w:t>$198.94</w:t>
            </w:r>
          </w:p>
        </w:tc>
        <w:tc>
          <w:tcPr>
            <w:tcW w:w="1350" w:type="dxa"/>
            <w:tcBorders>
              <w:top w:val="single" w:sz="4" w:space="0" w:color="auto"/>
              <w:left w:val="nil"/>
              <w:bottom w:val="single" w:sz="4" w:space="0" w:color="auto"/>
              <w:right w:val="single" w:sz="4" w:space="0" w:color="auto"/>
            </w:tcBorders>
            <w:vAlign w:val="center"/>
          </w:tcPr>
          <w:p w:rsidR="007E608D" w:rsidRPr="00D60A65" w:rsidP="007E608D" w14:paraId="30E90120" w14:textId="6DB3F8E1">
            <w:pPr>
              <w:widowControl/>
              <w:autoSpaceDE/>
              <w:autoSpaceDN/>
              <w:adjustRightInd/>
              <w:jc w:val="center"/>
              <w:rPr>
                <w:rFonts w:ascii="Times New Roman" w:hAnsi="Times New Roman"/>
                <w:color w:val="000000"/>
                <w:szCs w:val="32"/>
              </w:rPr>
            </w:pPr>
            <w:r w:rsidRPr="00D60A65">
              <w:rPr>
                <w:rFonts w:ascii="Times New Roman" w:hAnsi="Times New Roman"/>
                <w:szCs w:val="32"/>
              </w:rPr>
              <w:t>$78,084</w:t>
            </w:r>
          </w:p>
        </w:tc>
      </w:tr>
      <w:tr w14:paraId="0D3431B1" w14:textId="59E513F3" w:rsidTr="00D60A65">
        <w:tblPrEx>
          <w:tblW w:w="11700" w:type="dxa"/>
          <w:tblInd w:w="-1085" w:type="dxa"/>
          <w:tblLayout w:type="fixed"/>
          <w:tblLook w:val="04A0"/>
        </w:tblPrEx>
        <w:trPr>
          <w:trHeight w:val="313"/>
        </w:trPr>
        <w:tc>
          <w:tcPr>
            <w:tcW w:w="2160" w:type="dxa"/>
          </w:tcPr>
          <w:p w:rsidR="007E608D" w:rsidRPr="00D60A65" w:rsidP="007E608D" w14:paraId="39920DF7" w14:textId="7198A35C">
            <w:pPr>
              <w:widowControl/>
              <w:autoSpaceDE/>
              <w:autoSpaceDN/>
              <w:adjustRightInd/>
              <w:contextualSpacing/>
              <w:rPr>
                <w:rFonts w:ascii="Times New Roman" w:hAnsi="Times New Roman"/>
                <w:color w:val="000000"/>
                <w:szCs w:val="32"/>
              </w:rPr>
            </w:pPr>
            <w:r w:rsidRPr="00D60A65">
              <w:rPr>
                <w:rFonts w:ascii="Times New Roman" w:hAnsi="Times New Roman"/>
                <w:szCs w:val="32"/>
              </w:rPr>
              <w:t>Clerical professionals distributing the summary prospectus</w:t>
            </w:r>
          </w:p>
        </w:tc>
        <w:tc>
          <w:tcPr>
            <w:tcW w:w="1440" w:type="dxa"/>
            <w:tcBorders>
              <w:top w:val="nil"/>
              <w:left w:val="single" w:sz="4" w:space="0" w:color="auto"/>
              <w:bottom w:val="single" w:sz="4" w:space="0" w:color="auto"/>
              <w:right w:val="single" w:sz="4" w:space="0" w:color="auto"/>
            </w:tcBorders>
            <w:vAlign w:val="center"/>
          </w:tcPr>
          <w:p w:rsidR="007E608D" w:rsidRPr="00D60A65" w:rsidP="007E608D" w14:paraId="332E906D" w14:textId="6F74A7DB">
            <w:pPr>
              <w:widowControl/>
              <w:autoSpaceDE/>
              <w:autoSpaceDN/>
              <w:adjustRightInd/>
              <w:jc w:val="center"/>
              <w:rPr>
                <w:rFonts w:ascii="Times New Roman" w:hAnsi="Times New Roman"/>
                <w:color w:val="000000"/>
                <w:szCs w:val="32"/>
              </w:rPr>
            </w:pPr>
            <w:r w:rsidRPr="00D60A65">
              <w:rPr>
                <w:rFonts w:ascii="Times New Roman" w:hAnsi="Times New Roman"/>
                <w:szCs w:val="32"/>
              </w:rPr>
              <w:t>785</w:t>
            </w:r>
          </w:p>
        </w:tc>
        <w:tc>
          <w:tcPr>
            <w:tcW w:w="1530" w:type="dxa"/>
            <w:tcBorders>
              <w:top w:val="nil"/>
              <w:left w:val="nil"/>
              <w:bottom w:val="single" w:sz="4" w:space="0" w:color="auto"/>
              <w:right w:val="single" w:sz="4" w:space="0" w:color="auto"/>
            </w:tcBorders>
            <w:vAlign w:val="center"/>
          </w:tcPr>
          <w:p w:rsidR="007E608D" w:rsidRPr="00D60A65" w:rsidP="007E608D" w14:paraId="1C677B51" w14:textId="69585FE9">
            <w:pPr>
              <w:widowControl/>
              <w:autoSpaceDE/>
              <w:autoSpaceDN/>
              <w:adjustRightInd/>
              <w:jc w:val="center"/>
              <w:rPr>
                <w:rFonts w:ascii="Times New Roman" w:hAnsi="Times New Roman"/>
                <w:color w:val="000000"/>
                <w:szCs w:val="32"/>
              </w:rPr>
            </w:pPr>
            <w:r w:rsidRPr="00D60A65">
              <w:rPr>
                <w:rFonts w:ascii="Times New Roman" w:hAnsi="Times New Roman"/>
                <w:szCs w:val="32"/>
              </w:rPr>
              <w:t>370</w:t>
            </w:r>
          </w:p>
        </w:tc>
        <w:tc>
          <w:tcPr>
            <w:tcW w:w="1584" w:type="dxa"/>
            <w:tcBorders>
              <w:top w:val="nil"/>
              <w:left w:val="nil"/>
              <w:bottom w:val="single" w:sz="4" w:space="0" w:color="auto"/>
              <w:right w:val="single" w:sz="4" w:space="0" w:color="auto"/>
            </w:tcBorders>
            <w:vAlign w:val="center"/>
          </w:tcPr>
          <w:p w:rsidR="007E608D" w:rsidRPr="00D60A65" w:rsidP="007E608D" w14:paraId="48F2A479" w14:textId="6D07F8D0">
            <w:pPr>
              <w:widowControl/>
              <w:autoSpaceDE/>
              <w:autoSpaceDN/>
              <w:adjustRightInd/>
              <w:jc w:val="center"/>
              <w:rPr>
                <w:rFonts w:ascii="Times New Roman" w:hAnsi="Times New Roman"/>
                <w:color w:val="000000"/>
                <w:szCs w:val="32"/>
              </w:rPr>
            </w:pPr>
            <w:r w:rsidRPr="00D60A65">
              <w:rPr>
                <w:rFonts w:ascii="Times New Roman" w:hAnsi="Times New Roman"/>
                <w:szCs w:val="32"/>
              </w:rPr>
              <w:t>290,771</w:t>
            </w:r>
          </w:p>
        </w:tc>
        <w:tc>
          <w:tcPr>
            <w:tcW w:w="1080" w:type="dxa"/>
            <w:tcBorders>
              <w:top w:val="nil"/>
              <w:left w:val="nil"/>
              <w:bottom w:val="single" w:sz="4" w:space="0" w:color="auto"/>
              <w:right w:val="single" w:sz="4" w:space="0" w:color="auto"/>
            </w:tcBorders>
            <w:vAlign w:val="center"/>
          </w:tcPr>
          <w:p w:rsidR="007E608D" w:rsidRPr="00D60A65" w:rsidP="007E608D" w14:paraId="1F9C8BD4" w14:textId="0C5F1A0F">
            <w:pPr>
              <w:widowControl/>
              <w:autoSpaceDE/>
              <w:autoSpaceDN/>
              <w:adjustRightInd/>
              <w:jc w:val="center"/>
              <w:rPr>
                <w:rFonts w:ascii="Times New Roman" w:hAnsi="Times New Roman"/>
                <w:color w:val="000000"/>
                <w:szCs w:val="32"/>
              </w:rPr>
            </w:pPr>
            <w:r w:rsidRPr="00D60A65">
              <w:rPr>
                <w:rFonts w:ascii="Times New Roman" w:hAnsi="Times New Roman"/>
                <w:szCs w:val="32"/>
              </w:rPr>
              <w:t>5/60</w:t>
            </w:r>
          </w:p>
        </w:tc>
        <w:tc>
          <w:tcPr>
            <w:tcW w:w="1116" w:type="dxa"/>
            <w:tcBorders>
              <w:top w:val="nil"/>
              <w:left w:val="nil"/>
              <w:bottom w:val="single" w:sz="4" w:space="0" w:color="auto"/>
              <w:right w:val="single" w:sz="4" w:space="0" w:color="auto"/>
            </w:tcBorders>
            <w:vAlign w:val="center"/>
          </w:tcPr>
          <w:p w:rsidR="007E608D" w:rsidRPr="00D60A65" w:rsidP="007E608D" w14:paraId="53ACFDA2" w14:textId="7B9B3BEE">
            <w:pPr>
              <w:widowControl/>
              <w:autoSpaceDE/>
              <w:autoSpaceDN/>
              <w:adjustRightInd/>
              <w:jc w:val="center"/>
              <w:rPr>
                <w:rFonts w:ascii="Times New Roman" w:hAnsi="Times New Roman"/>
                <w:color w:val="000000"/>
                <w:szCs w:val="32"/>
              </w:rPr>
            </w:pPr>
            <w:r w:rsidRPr="00D60A65">
              <w:rPr>
                <w:rFonts w:ascii="Times New Roman" w:hAnsi="Times New Roman"/>
                <w:szCs w:val="32"/>
              </w:rPr>
              <w:t>24,231</w:t>
            </w:r>
          </w:p>
        </w:tc>
        <w:tc>
          <w:tcPr>
            <w:tcW w:w="1440" w:type="dxa"/>
            <w:tcBorders>
              <w:top w:val="nil"/>
              <w:left w:val="nil"/>
              <w:bottom w:val="single" w:sz="4" w:space="0" w:color="auto"/>
              <w:right w:val="single" w:sz="4" w:space="0" w:color="auto"/>
            </w:tcBorders>
            <w:vAlign w:val="center"/>
          </w:tcPr>
          <w:p w:rsidR="007E608D" w:rsidRPr="00D60A65" w:rsidP="007E608D" w14:paraId="2E8B23D8" w14:textId="5E97E1EC">
            <w:pPr>
              <w:widowControl/>
              <w:autoSpaceDE/>
              <w:autoSpaceDN/>
              <w:adjustRightInd/>
              <w:jc w:val="center"/>
              <w:rPr>
                <w:rFonts w:ascii="Times New Roman" w:hAnsi="Times New Roman"/>
                <w:color w:val="000000"/>
                <w:szCs w:val="32"/>
              </w:rPr>
            </w:pPr>
            <w:r w:rsidRPr="00D60A65">
              <w:rPr>
                <w:rFonts w:ascii="Times New Roman" w:hAnsi="Times New Roman"/>
                <w:szCs w:val="32"/>
              </w:rPr>
              <w:t>$70.29</w:t>
            </w:r>
          </w:p>
        </w:tc>
        <w:tc>
          <w:tcPr>
            <w:tcW w:w="1350" w:type="dxa"/>
            <w:tcBorders>
              <w:top w:val="nil"/>
              <w:left w:val="nil"/>
              <w:bottom w:val="single" w:sz="4" w:space="0" w:color="auto"/>
              <w:right w:val="single" w:sz="4" w:space="0" w:color="auto"/>
            </w:tcBorders>
            <w:vAlign w:val="center"/>
          </w:tcPr>
          <w:p w:rsidR="007E608D" w:rsidRPr="00D60A65" w:rsidP="007E608D" w14:paraId="2AEACFD7" w14:textId="6DD66767">
            <w:pPr>
              <w:widowControl/>
              <w:autoSpaceDE/>
              <w:autoSpaceDN/>
              <w:adjustRightInd/>
              <w:jc w:val="center"/>
              <w:rPr>
                <w:rFonts w:ascii="Times New Roman" w:hAnsi="Times New Roman"/>
                <w:color w:val="000000"/>
                <w:szCs w:val="32"/>
              </w:rPr>
            </w:pPr>
            <w:r w:rsidRPr="00D60A65">
              <w:rPr>
                <w:rFonts w:ascii="Times New Roman" w:hAnsi="Times New Roman"/>
                <w:szCs w:val="32"/>
              </w:rPr>
              <w:t>$1,703,191</w:t>
            </w:r>
          </w:p>
        </w:tc>
      </w:tr>
      <w:tr w14:paraId="37D168CF" w14:textId="09D6F393" w:rsidTr="00D60A65">
        <w:tblPrEx>
          <w:tblW w:w="11700" w:type="dxa"/>
          <w:tblInd w:w="-1085" w:type="dxa"/>
          <w:tblLayout w:type="fixed"/>
          <w:tblLook w:val="04A0"/>
        </w:tblPrEx>
        <w:trPr>
          <w:trHeight w:val="50"/>
        </w:trPr>
        <w:tc>
          <w:tcPr>
            <w:tcW w:w="2160" w:type="dxa"/>
            <w:tcBorders>
              <w:right w:val="single" w:sz="4" w:space="0" w:color="auto"/>
            </w:tcBorders>
          </w:tcPr>
          <w:p w:rsidR="007E608D" w:rsidRPr="00D60A65" w:rsidP="007E608D" w14:paraId="26630AD3" w14:textId="5D02CCA5">
            <w:pPr>
              <w:widowControl/>
              <w:autoSpaceDE/>
              <w:autoSpaceDN/>
              <w:adjustRightInd/>
              <w:contextualSpacing/>
              <w:rPr>
                <w:rFonts w:ascii="Times New Roman" w:hAnsi="Times New Roman"/>
                <w:color w:val="000000"/>
                <w:szCs w:val="32"/>
              </w:rPr>
            </w:pPr>
            <w:r w:rsidRPr="00D60A65">
              <w:rPr>
                <w:rFonts w:ascii="Times New Roman" w:hAnsi="Times New Roman"/>
                <w:szCs w:val="32"/>
              </w:rPr>
              <w:t>Clerical professionals distributing the full prospectus</w:t>
            </w:r>
          </w:p>
        </w:tc>
        <w:tc>
          <w:tcPr>
            <w:tcW w:w="1440" w:type="dxa"/>
            <w:tcBorders>
              <w:top w:val="single" w:sz="4" w:space="0" w:color="auto"/>
              <w:left w:val="single" w:sz="4" w:space="0" w:color="auto"/>
              <w:bottom w:val="single" w:sz="4" w:space="0" w:color="auto"/>
              <w:right w:val="single" w:sz="4" w:space="0" w:color="auto"/>
            </w:tcBorders>
            <w:vAlign w:val="center"/>
          </w:tcPr>
          <w:p w:rsidR="007E608D" w:rsidRPr="00D60A65" w:rsidP="007E608D" w14:paraId="40A30AFB" w14:textId="09EDDE9F">
            <w:pPr>
              <w:widowControl/>
              <w:autoSpaceDE/>
              <w:autoSpaceDN/>
              <w:adjustRightInd/>
              <w:jc w:val="center"/>
              <w:rPr>
                <w:rFonts w:ascii="Times New Roman" w:hAnsi="Times New Roman"/>
                <w:color w:val="000000"/>
                <w:szCs w:val="32"/>
              </w:rPr>
            </w:pPr>
            <w:r w:rsidRPr="00D60A65">
              <w:rPr>
                <w:rFonts w:ascii="Times New Roman" w:hAnsi="Times New Roman"/>
                <w:szCs w:val="32"/>
              </w:rPr>
              <w:t>785</w:t>
            </w:r>
          </w:p>
        </w:tc>
        <w:tc>
          <w:tcPr>
            <w:tcW w:w="1530" w:type="dxa"/>
            <w:tcBorders>
              <w:top w:val="single" w:sz="4" w:space="0" w:color="auto"/>
              <w:left w:val="single" w:sz="4" w:space="0" w:color="auto"/>
              <w:bottom w:val="single" w:sz="4" w:space="0" w:color="auto"/>
              <w:right w:val="single" w:sz="4" w:space="0" w:color="auto"/>
            </w:tcBorders>
            <w:vAlign w:val="center"/>
          </w:tcPr>
          <w:p w:rsidR="007E608D" w:rsidRPr="00D60A65" w:rsidP="007E608D" w14:paraId="49E92037" w14:textId="7124CB44">
            <w:pPr>
              <w:widowControl/>
              <w:autoSpaceDE/>
              <w:autoSpaceDN/>
              <w:adjustRightInd/>
              <w:jc w:val="center"/>
              <w:rPr>
                <w:rFonts w:ascii="Times New Roman" w:hAnsi="Times New Roman"/>
                <w:color w:val="000000"/>
                <w:szCs w:val="32"/>
              </w:rPr>
            </w:pPr>
            <w:r w:rsidRPr="00D60A65">
              <w:rPr>
                <w:rFonts w:ascii="Times New Roman" w:hAnsi="Times New Roman"/>
                <w:szCs w:val="32"/>
              </w:rPr>
              <w:t>37</w:t>
            </w:r>
          </w:p>
        </w:tc>
        <w:tc>
          <w:tcPr>
            <w:tcW w:w="1584" w:type="dxa"/>
            <w:tcBorders>
              <w:top w:val="single" w:sz="4" w:space="0" w:color="auto"/>
              <w:left w:val="single" w:sz="4" w:space="0" w:color="auto"/>
              <w:bottom w:val="single" w:sz="4" w:space="0" w:color="auto"/>
              <w:right w:val="single" w:sz="4" w:space="0" w:color="auto"/>
            </w:tcBorders>
            <w:vAlign w:val="center"/>
          </w:tcPr>
          <w:p w:rsidR="007E608D" w:rsidRPr="00D60A65" w:rsidP="007E608D" w14:paraId="0F85C071" w14:textId="5550ED8D">
            <w:pPr>
              <w:widowControl/>
              <w:autoSpaceDE/>
              <w:autoSpaceDN/>
              <w:adjustRightInd/>
              <w:jc w:val="center"/>
              <w:rPr>
                <w:rFonts w:ascii="Times New Roman" w:hAnsi="Times New Roman"/>
                <w:color w:val="000000"/>
                <w:szCs w:val="32"/>
              </w:rPr>
            </w:pPr>
            <w:r w:rsidRPr="00D60A65">
              <w:rPr>
                <w:rFonts w:ascii="Times New Roman" w:hAnsi="Times New Roman"/>
                <w:szCs w:val="32"/>
              </w:rPr>
              <w:t>29,077</w:t>
            </w:r>
          </w:p>
        </w:tc>
        <w:tc>
          <w:tcPr>
            <w:tcW w:w="1080" w:type="dxa"/>
            <w:tcBorders>
              <w:top w:val="single" w:sz="4" w:space="0" w:color="auto"/>
              <w:left w:val="single" w:sz="4" w:space="0" w:color="auto"/>
              <w:bottom w:val="single" w:sz="4" w:space="0" w:color="auto"/>
              <w:right w:val="single" w:sz="4" w:space="0" w:color="auto"/>
            </w:tcBorders>
            <w:vAlign w:val="center"/>
          </w:tcPr>
          <w:p w:rsidR="007E608D" w:rsidRPr="00D60A65" w:rsidP="007E608D" w14:paraId="19345617" w14:textId="126881C0">
            <w:pPr>
              <w:widowControl/>
              <w:autoSpaceDE/>
              <w:autoSpaceDN/>
              <w:adjustRightInd/>
              <w:jc w:val="center"/>
              <w:rPr>
                <w:rFonts w:ascii="Times New Roman" w:hAnsi="Times New Roman"/>
                <w:color w:val="000000"/>
                <w:szCs w:val="32"/>
              </w:rPr>
            </w:pPr>
            <w:r w:rsidRPr="00D60A65">
              <w:rPr>
                <w:rFonts w:ascii="Times New Roman" w:hAnsi="Times New Roman"/>
                <w:szCs w:val="32"/>
              </w:rPr>
              <w:t>5/60</w:t>
            </w:r>
          </w:p>
        </w:tc>
        <w:tc>
          <w:tcPr>
            <w:tcW w:w="1116" w:type="dxa"/>
            <w:tcBorders>
              <w:top w:val="single" w:sz="4" w:space="0" w:color="auto"/>
              <w:left w:val="single" w:sz="4" w:space="0" w:color="auto"/>
              <w:bottom w:val="single" w:sz="4" w:space="0" w:color="auto"/>
              <w:right w:val="single" w:sz="4" w:space="0" w:color="auto"/>
            </w:tcBorders>
            <w:vAlign w:val="center"/>
          </w:tcPr>
          <w:p w:rsidR="007E608D" w:rsidRPr="00D60A65" w:rsidP="007E608D" w14:paraId="07D77C30" w14:textId="7EEA7842">
            <w:pPr>
              <w:widowControl/>
              <w:autoSpaceDE/>
              <w:autoSpaceDN/>
              <w:adjustRightInd/>
              <w:jc w:val="center"/>
              <w:rPr>
                <w:rFonts w:ascii="Times New Roman" w:hAnsi="Times New Roman"/>
                <w:color w:val="000000"/>
                <w:szCs w:val="32"/>
              </w:rPr>
            </w:pPr>
            <w:r w:rsidRPr="00D60A65">
              <w:rPr>
                <w:rFonts w:ascii="Times New Roman" w:hAnsi="Times New Roman"/>
                <w:szCs w:val="32"/>
              </w:rPr>
              <w:t>2,423</w:t>
            </w:r>
          </w:p>
        </w:tc>
        <w:tc>
          <w:tcPr>
            <w:tcW w:w="1440" w:type="dxa"/>
            <w:tcBorders>
              <w:top w:val="single" w:sz="4" w:space="0" w:color="auto"/>
              <w:left w:val="single" w:sz="4" w:space="0" w:color="auto"/>
              <w:bottom w:val="single" w:sz="4" w:space="0" w:color="auto"/>
              <w:right w:val="single" w:sz="4" w:space="0" w:color="auto"/>
            </w:tcBorders>
            <w:vAlign w:val="center"/>
          </w:tcPr>
          <w:p w:rsidR="007E608D" w:rsidRPr="00D60A65" w:rsidP="007E608D" w14:paraId="70C3EA04" w14:textId="23064A5A">
            <w:pPr>
              <w:widowControl/>
              <w:autoSpaceDE/>
              <w:autoSpaceDN/>
              <w:adjustRightInd/>
              <w:jc w:val="center"/>
              <w:rPr>
                <w:rFonts w:ascii="Times New Roman" w:hAnsi="Times New Roman"/>
                <w:color w:val="000000"/>
                <w:szCs w:val="32"/>
              </w:rPr>
            </w:pPr>
            <w:r w:rsidRPr="00D60A65">
              <w:rPr>
                <w:rFonts w:ascii="Times New Roman" w:hAnsi="Times New Roman"/>
                <w:szCs w:val="32"/>
              </w:rPr>
              <w:t>$70.29</w:t>
            </w:r>
          </w:p>
        </w:tc>
        <w:tc>
          <w:tcPr>
            <w:tcW w:w="1350" w:type="dxa"/>
            <w:tcBorders>
              <w:top w:val="single" w:sz="4" w:space="0" w:color="auto"/>
              <w:left w:val="single" w:sz="4" w:space="0" w:color="auto"/>
              <w:bottom w:val="single" w:sz="4" w:space="0" w:color="auto"/>
              <w:right w:val="single" w:sz="4" w:space="0" w:color="auto"/>
            </w:tcBorders>
            <w:vAlign w:val="center"/>
          </w:tcPr>
          <w:p w:rsidR="007E608D" w:rsidRPr="00D60A65" w:rsidP="007E608D" w14:paraId="26F59E94" w14:textId="32CD0233">
            <w:pPr>
              <w:widowControl/>
              <w:autoSpaceDE/>
              <w:autoSpaceDN/>
              <w:adjustRightInd/>
              <w:jc w:val="center"/>
              <w:rPr>
                <w:rFonts w:ascii="Times New Roman" w:hAnsi="Times New Roman"/>
                <w:color w:val="000000"/>
                <w:szCs w:val="32"/>
              </w:rPr>
            </w:pPr>
            <w:r w:rsidRPr="00D60A65">
              <w:rPr>
                <w:rFonts w:ascii="Times New Roman" w:hAnsi="Times New Roman"/>
                <w:szCs w:val="32"/>
              </w:rPr>
              <w:t>$170,319</w:t>
            </w:r>
          </w:p>
        </w:tc>
      </w:tr>
      <w:tr w14:paraId="2C61C95F" w14:textId="77777777" w:rsidTr="00D60A65">
        <w:tblPrEx>
          <w:tblW w:w="11700" w:type="dxa"/>
          <w:tblInd w:w="-1085" w:type="dxa"/>
          <w:tblLayout w:type="fixed"/>
          <w:tblLook w:val="04A0"/>
        </w:tblPrEx>
        <w:trPr>
          <w:trHeight w:val="503"/>
        </w:trPr>
        <w:tc>
          <w:tcPr>
            <w:tcW w:w="2160" w:type="dxa"/>
            <w:tcBorders>
              <w:right w:val="single" w:sz="4" w:space="0" w:color="auto"/>
            </w:tcBorders>
            <w:vAlign w:val="center"/>
            <w:hideMark/>
          </w:tcPr>
          <w:p w:rsidR="007E608D" w:rsidRPr="00D60A65" w:rsidP="007E608D" w14:paraId="77AEAD41" w14:textId="66528944">
            <w:pPr>
              <w:widowControl/>
              <w:autoSpaceDE/>
              <w:autoSpaceDN/>
              <w:adjustRightInd/>
              <w:rPr>
                <w:rFonts w:ascii="Times New Roman" w:hAnsi="Times New Roman"/>
                <w:b/>
                <w:bCs/>
                <w:color w:val="000000"/>
                <w:szCs w:val="32"/>
              </w:rPr>
            </w:pPr>
            <w:r w:rsidRPr="00D60A65">
              <w:rPr>
                <w:rFonts w:ascii="Times New Roman" w:hAnsi="Times New Roman"/>
                <w:b/>
                <w:bCs/>
                <w:color w:val="000000"/>
                <w:szCs w:val="32"/>
              </w:rPr>
              <w:t>Total</w:t>
            </w:r>
            <w:r>
              <w:rPr>
                <w:rStyle w:val="FootnoteReference"/>
                <w:rFonts w:ascii="Times New Roman" w:hAnsi="Times New Roman"/>
                <w:b/>
                <w:bCs/>
                <w:color w:val="000000"/>
                <w:szCs w:val="32"/>
                <w:vertAlign w:val="superscript"/>
              </w:rPr>
              <w:footnoteReference w:id="8"/>
            </w:r>
            <w:r w:rsidRPr="00D60A65">
              <w:rPr>
                <w:rFonts w:ascii="Times New Roman" w:hAnsi="Times New Roman"/>
                <w:b/>
                <w:bCs/>
                <w:color w:val="000000"/>
                <w:szCs w:val="32"/>
                <w:vertAlign w:val="superscript"/>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7E608D" w:rsidRPr="00D60A65" w:rsidP="007E608D" w14:paraId="03399193" w14:textId="7DDA24A8">
            <w:pPr>
              <w:widowControl/>
              <w:autoSpaceDE/>
              <w:autoSpaceDN/>
              <w:adjustRightInd/>
              <w:jc w:val="center"/>
              <w:rPr>
                <w:rFonts w:ascii="Times New Roman" w:hAnsi="Times New Roman"/>
                <w:color w:val="000000"/>
                <w:szCs w:val="32"/>
              </w:rPr>
            </w:pPr>
            <w:r w:rsidRPr="00D60A65">
              <w:rPr>
                <w:rFonts w:ascii="Times New Roman" w:hAnsi="Times New Roman"/>
                <w:b/>
                <w:bCs/>
                <w:szCs w:val="32"/>
              </w:rPr>
              <w:t>785</w:t>
            </w:r>
          </w:p>
        </w:tc>
        <w:tc>
          <w:tcPr>
            <w:tcW w:w="1530" w:type="dxa"/>
            <w:tcBorders>
              <w:top w:val="single" w:sz="4" w:space="0" w:color="auto"/>
              <w:left w:val="single" w:sz="4" w:space="0" w:color="auto"/>
              <w:bottom w:val="single" w:sz="4" w:space="0" w:color="auto"/>
              <w:right w:val="single" w:sz="4" w:space="0" w:color="auto"/>
            </w:tcBorders>
            <w:vAlign w:val="center"/>
          </w:tcPr>
          <w:p w:rsidR="007E608D" w:rsidRPr="00D60A65" w:rsidP="007E608D" w14:paraId="52926AB9" w14:textId="5B936B82">
            <w:pPr>
              <w:widowControl/>
              <w:autoSpaceDE/>
              <w:autoSpaceDN/>
              <w:adjustRightInd/>
              <w:jc w:val="center"/>
              <w:rPr>
                <w:rFonts w:ascii="Times New Roman" w:hAnsi="Times New Roman"/>
                <w:color w:val="000000"/>
                <w:szCs w:val="32"/>
              </w:rPr>
            </w:pPr>
            <w:r w:rsidRPr="00D60A65">
              <w:rPr>
                <w:rFonts w:ascii="Times New Roman" w:hAnsi="Times New Roman"/>
                <w:b/>
                <w:bCs/>
                <w:szCs w:val="32"/>
              </w:rPr>
              <w:t>-</w:t>
            </w:r>
          </w:p>
        </w:tc>
        <w:tc>
          <w:tcPr>
            <w:tcW w:w="1584" w:type="dxa"/>
            <w:tcBorders>
              <w:top w:val="single" w:sz="4" w:space="0" w:color="auto"/>
              <w:left w:val="single" w:sz="4" w:space="0" w:color="auto"/>
              <w:bottom w:val="single" w:sz="4" w:space="0" w:color="auto"/>
              <w:right w:val="single" w:sz="4" w:space="0" w:color="auto"/>
            </w:tcBorders>
            <w:vAlign w:val="center"/>
          </w:tcPr>
          <w:p w:rsidR="007E608D" w:rsidRPr="00D60A65" w:rsidP="007E608D" w14:paraId="56152F7F" w14:textId="50ABD7D1">
            <w:pPr>
              <w:widowControl/>
              <w:autoSpaceDE/>
              <w:autoSpaceDN/>
              <w:adjustRightInd/>
              <w:jc w:val="center"/>
              <w:rPr>
                <w:rFonts w:ascii="Times New Roman" w:hAnsi="Times New Roman"/>
                <w:color w:val="000000"/>
                <w:szCs w:val="32"/>
              </w:rPr>
            </w:pPr>
            <w:r w:rsidRPr="00D60A65">
              <w:rPr>
                <w:rFonts w:ascii="Times New Roman" w:hAnsi="Times New Roman"/>
                <w:b/>
                <w:bCs/>
                <w:szCs w:val="32"/>
              </w:rPr>
              <w:t>319,848</w:t>
            </w:r>
          </w:p>
        </w:tc>
        <w:tc>
          <w:tcPr>
            <w:tcW w:w="1080" w:type="dxa"/>
            <w:tcBorders>
              <w:top w:val="single" w:sz="4" w:space="0" w:color="auto"/>
              <w:left w:val="single" w:sz="4" w:space="0" w:color="auto"/>
              <w:bottom w:val="single" w:sz="4" w:space="0" w:color="auto"/>
              <w:right w:val="single" w:sz="4" w:space="0" w:color="auto"/>
            </w:tcBorders>
            <w:vAlign w:val="center"/>
          </w:tcPr>
          <w:p w:rsidR="007E608D" w:rsidRPr="00D60A65" w:rsidP="007E608D" w14:paraId="05CC0863" w14:textId="0914582D">
            <w:pPr>
              <w:widowControl/>
              <w:autoSpaceDE/>
              <w:autoSpaceDN/>
              <w:adjustRightInd/>
              <w:jc w:val="center"/>
              <w:rPr>
                <w:rFonts w:ascii="Times New Roman" w:hAnsi="Times New Roman"/>
                <w:color w:val="000000"/>
                <w:szCs w:val="32"/>
              </w:rPr>
            </w:pPr>
            <w:r w:rsidRPr="00D60A65">
              <w:rPr>
                <w:rFonts w:ascii="Times New Roman" w:hAnsi="Times New Roman"/>
                <w:b/>
                <w:bCs/>
                <w:szCs w:val="32"/>
              </w:rPr>
              <w:t>-</w:t>
            </w:r>
          </w:p>
        </w:tc>
        <w:tc>
          <w:tcPr>
            <w:tcW w:w="1116" w:type="dxa"/>
            <w:tcBorders>
              <w:top w:val="single" w:sz="4" w:space="0" w:color="auto"/>
              <w:left w:val="single" w:sz="4" w:space="0" w:color="auto"/>
              <w:bottom w:val="single" w:sz="4" w:space="0" w:color="auto"/>
              <w:right w:val="single" w:sz="4" w:space="0" w:color="auto"/>
            </w:tcBorders>
            <w:vAlign w:val="center"/>
          </w:tcPr>
          <w:p w:rsidR="007E608D" w:rsidRPr="00D60A65" w:rsidP="007E608D" w14:paraId="7F6A6AFE" w14:textId="6D8CDAB5">
            <w:pPr>
              <w:widowControl/>
              <w:autoSpaceDE/>
              <w:autoSpaceDN/>
              <w:adjustRightInd/>
              <w:jc w:val="center"/>
              <w:rPr>
                <w:rFonts w:ascii="Times New Roman" w:hAnsi="Times New Roman"/>
                <w:color w:val="000000"/>
                <w:szCs w:val="32"/>
              </w:rPr>
            </w:pPr>
            <w:r w:rsidRPr="00D60A65">
              <w:rPr>
                <w:rFonts w:ascii="Times New Roman" w:hAnsi="Times New Roman"/>
                <w:b/>
                <w:bCs/>
                <w:szCs w:val="32"/>
              </w:rPr>
              <w:t>27,04</w:t>
            </w:r>
            <w:r w:rsidRPr="00D60A65" w:rsidR="002900F4">
              <w:rPr>
                <w:rFonts w:ascii="Times New Roman" w:hAnsi="Times New Roman"/>
                <w:b/>
                <w:bCs/>
                <w:szCs w:val="32"/>
              </w:rPr>
              <w:t>6</w:t>
            </w:r>
          </w:p>
        </w:tc>
        <w:tc>
          <w:tcPr>
            <w:tcW w:w="1440" w:type="dxa"/>
            <w:tcBorders>
              <w:top w:val="single" w:sz="4" w:space="0" w:color="auto"/>
              <w:left w:val="single" w:sz="4" w:space="0" w:color="auto"/>
              <w:bottom w:val="single" w:sz="4" w:space="0" w:color="auto"/>
              <w:right w:val="single" w:sz="4" w:space="0" w:color="auto"/>
            </w:tcBorders>
            <w:vAlign w:val="center"/>
          </w:tcPr>
          <w:p w:rsidR="007E608D" w:rsidRPr="00D60A65" w:rsidP="007E608D" w14:paraId="309798D9" w14:textId="1E642885">
            <w:pPr>
              <w:widowControl/>
              <w:autoSpaceDE/>
              <w:autoSpaceDN/>
              <w:adjustRightInd/>
              <w:jc w:val="center"/>
              <w:rPr>
                <w:rFonts w:ascii="Times New Roman" w:hAnsi="Times New Roman"/>
                <w:color w:val="000000"/>
                <w:szCs w:val="32"/>
              </w:rPr>
            </w:pPr>
            <w:r w:rsidRPr="00D60A65">
              <w:rPr>
                <w:rFonts w:ascii="Times New Roman" w:hAnsi="Times New Roman"/>
                <w:b/>
                <w:bCs/>
                <w:szCs w:val="32"/>
              </w:rPr>
              <w:t>-</w:t>
            </w:r>
          </w:p>
        </w:tc>
        <w:tc>
          <w:tcPr>
            <w:tcW w:w="1350" w:type="dxa"/>
            <w:tcBorders>
              <w:top w:val="single" w:sz="4" w:space="0" w:color="auto"/>
              <w:left w:val="single" w:sz="4" w:space="0" w:color="auto"/>
              <w:bottom w:val="single" w:sz="4" w:space="0" w:color="auto"/>
              <w:right w:val="single" w:sz="4" w:space="0" w:color="auto"/>
            </w:tcBorders>
            <w:vAlign w:val="center"/>
          </w:tcPr>
          <w:p w:rsidR="007E608D" w:rsidRPr="00D60A65" w:rsidP="007E608D" w14:paraId="42CF7900" w14:textId="776FBBE0">
            <w:pPr>
              <w:widowControl/>
              <w:autoSpaceDE/>
              <w:autoSpaceDN/>
              <w:adjustRightInd/>
              <w:jc w:val="center"/>
              <w:rPr>
                <w:rFonts w:ascii="Times New Roman" w:hAnsi="Times New Roman"/>
                <w:color w:val="000000"/>
                <w:szCs w:val="32"/>
              </w:rPr>
            </w:pPr>
            <w:r w:rsidRPr="00D60A65">
              <w:rPr>
                <w:rFonts w:ascii="Times New Roman" w:hAnsi="Times New Roman"/>
                <w:b/>
                <w:bCs/>
                <w:szCs w:val="32"/>
              </w:rPr>
              <w:t>$1,951,594</w:t>
            </w:r>
          </w:p>
        </w:tc>
      </w:tr>
    </w:tbl>
    <w:p w:rsidR="00363A7F" w:rsidRPr="007E608D" w:rsidP="00363A7F" w14:paraId="64D6A973" w14:textId="47FFB276">
      <w:pPr>
        <w:widowControl/>
        <w:rPr>
          <w:rFonts w:ascii="Times New Roman" w:hAnsi="Times New Roman"/>
          <w:sz w:val="22"/>
          <w:szCs w:val="22"/>
        </w:rPr>
      </w:pPr>
      <w:r w:rsidRPr="007E608D">
        <w:rPr>
          <w:rFonts w:ascii="Times New Roman" w:hAnsi="Times New Roman"/>
          <w:sz w:val="22"/>
          <w:szCs w:val="22"/>
        </w:rPr>
        <w:t xml:space="preserve">Note: In ROCIS, the burden listed in the first two rows are accounted in the “Summary Prospectus to Everyone Affected” information collection. The burden listed in the last row is accounted for in the “Full Prospectus on Demand” information collection. </w:t>
      </w:r>
    </w:p>
    <w:p w:rsidR="0091722D" w:rsidRPr="00B8639F" w:rsidP="003239E2" w14:paraId="54D427D2" w14:textId="77777777">
      <w:pPr>
        <w:widowControl/>
        <w:rPr>
          <w:rFonts w:ascii="Times New Roman" w:hAnsi="Times New Roman"/>
          <w:i/>
          <w:iCs/>
        </w:rPr>
      </w:pPr>
    </w:p>
    <w:p w:rsidR="009551F3" w:rsidRPr="009551F3" w:rsidP="009551F3" w14:paraId="4216E699" w14:textId="3BFEBF78">
      <w:pPr>
        <w:widowControl/>
        <w:rPr>
          <w:rFonts w:ascii="Times New Roman" w:hAnsi="Times New Roman"/>
          <w:b/>
          <w:bCs/>
        </w:rPr>
      </w:pPr>
      <w:r w:rsidRPr="009551F3">
        <w:rPr>
          <w:rFonts w:ascii="Times New Roman" w:hAnsi="Times New Roman"/>
          <w:b/>
          <w:bCs/>
        </w:rPr>
        <w:t>13.</w:t>
      </w:r>
      <w:r w:rsidR="00324542">
        <w:rPr>
          <w:rFonts w:ascii="Times New Roman" w:hAnsi="Times New Roman"/>
          <w:b/>
          <w:bCs/>
        </w:rPr>
        <w:t xml:space="preserve"> </w:t>
      </w:r>
      <w:r w:rsidRPr="009551F3">
        <w:rPr>
          <w:rFonts w:ascii="Times New Roman" w:hAnsi="Times New Roman"/>
          <w:b/>
          <w:bCs/>
        </w:rPr>
        <w:tab/>
      </w:r>
      <w:bookmarkStart w:id="4" w:name="_Hlk115711821"/>
      <w:r w:rsidRPr="009551F3">
        <w:rPr>
          <w:rFonts w:ascii="Times New Roman" w:hAnsi="Times New Roman"/>
          <w:b/>
          <w:bCs/>
        </w:rPr>
        <w:t xml:space="preserve">Provide an estimate of the total annual cost burden to respondents or recordkeepers </w:t>
      </w:r>
    </w:p>
    <w:p w:rsidR="009551F3" w:rsidRPr="009551F3" w:rsidP="009551F3" w14:paraId="03996682" w14:textId="30D83236">
      <w:pPr>
        <w:widowControl/>
        <w:ind w:left="720"/>
        <w:rPr>
          <w:rFonts w:ascii="Times New Roman" w:hAnsi="Times New Roman"/>
          <w:b/>
          <w:bCs/>
        </w:rPr>
      </w:pPr>
      <w:r w:rsidRPr="009551F3">
        <w:rPr>
          <w:rFonts w:ascii="Times New Roman" w:hAnsi="Times New Roman"/>
          <w:b/>
          <w:bCs/>
        </w:rPr>
        <w:t>resulting from the collection of information.</w:t>
      </w:r>
      <w:r w:rsidR="00324542">
        <w:rPr>
          <w:rFonts w:ascii="Times New Roman" w:hAnsi="Times New Roman"/>
          <w:b/>
          <w:bCs/>
        </w:rPr>
        <w:t xml:space="preserve"> </w:t>
      </w:r>
      <w:r w:rsidRPr="009551F3">
        <w:rPr>
          <w:rFonts w:ascii="Times New Roman" w:hAnsi="Times New Roman"/>
          <w:b/>
          <w:bCs/>
        </w:rPr>
        <w:t>(Do not include the cost of any hour burden shown in Items 12 and 14).</w:t>
      </w:r>
      <w:r w:rsidR="00324542">
        <w:rPr>
          <w:rFonts w:ascii="Times New Roman" w:hAnsi="Times New Roman"/>
          <w:b/>
          <w:bCs/>
        </w:rPr>
        <w:t xml:space="preserve"> </w:t>
      </w:r>
    </w:p>
    <w:p w:rsidR="009551F3" w:rsidRPr="009551F3" w:rsidP="009551F3" w14:paraId="2EFE446C" w14:textId="77777777">
      <w:pPr>
        <w:widowControl/>
        <w:numPr>
          <w:ilvl w:val="0"/>
          <w:numId w:val="10"/>
        </w:numPr>
        <w:tabs>
          <w:tab w:val="clear" w:pos="720"/>
          <w:tab w:val="num" w:pos="1440"/>
        </w:tabs>
        <w:ind w:left="1440"/>
        <w:rPr>
          <w:rFonts w:ascii="Times New Roman" w:hAnsi="Times New Roman"/>
          <w:b/>
          <w:bCs/>
        </w:rPr>
      </w:pPr>
      <w:r w:rsidRPr="009551F3">
        <w:rPr>
          <w:rFonts w:ascii="Times New Roman" w:hAnsi="Times New Roman"/>
          <w:b/>
          <w:bCs/>
        </w:rPr>
        <w:t>The cost estimate should be split into two components: (a) a total capital </w:t>
      </w:r>
    </w:p>
    <w:p w:rsidR="009551F3" w:rsidRPr="009551F3" w:rsidP="009551F3" w14:paraId="6B93A9BD" w14:textId="2320CA3A">
      <w:pPr>
        <w:widowControl/>
        <w:ind w:left="1440"/>
        <w:rPr>
          <w:rFonts w:ascii="Times New Roman" w:hAnsi="Times New Roman"/>
          <w:b/>
          <w:bCs/>
        </w:rPr>
      </w:pPr>
      <w:r w:rsidRPr="009551F3">
        <w:rPr>
          <w:rFonts w:ascii="Times New Roman" w:hAnsi="Times New Roman"/>
          <w:b/>
          <w:bCs/>
        </w:rPr>
        <w:t>and start up cost component (annualized over its expected useful life); and (b) a total operation and maintenance and purchase of service component.</w:t>
      </w:r>
      <w:r w:rsidR="00324542">
        <w:rPr>
          <w:rFonts w:ascii="Times New Roman" w:hAnsi="Times New Roman"/>
          <w:b/>
          <w:bCs/>
        </w:rPr>
        <w:t xml:space="preserve"> </w:t>
      </w:r>
    </w:p>
    <w:p w:rsidR="009551F3" w:rsidRPr="009551F3" w:rsidP="009551F3" w14:paraId="1AE3B4F1" w14:textId="72B86EC3">
      <w:pPr>
        <w:widowControl/>
        <w:ind w:left="1440"/>
        <w:rPr>
          <w:rFonts w:ascii="Times New Roman" w:hAnsi="Times New Roman"/>
          <w:b/>
          <w:bCs/>
        </w:rPr>
      </w:pPr>
      <w:r w:rsidRPr="009551F3">
        <w:rPr>
          <w:rFonts w:ascii="Times New Roman" w:hAnsi="Times New Roman"/>
          <w:b/>
          <w:bCs/>
        </w:rPr>
        <w:t>The estimates should take into account costs associated with generating,</w:t>
      </w:r>
      <w:r w:rsidR="00324542">
        <w:rPr>
          <w:rFonts w:ascii="Times New Roman" w:hAnsi="Times New Roman"/>
          <w:b/>
          <w:bCs/>
        </w:rPr>
        <w:t xml:space="preserve"> </w:t>
      </w:r>
    </w:p>
    <w:p w:rsidR="009551F3" w:rsidRPr="009551F3" w:rsidP="009551F3" w14:paraId="2CA15001" w14:textId="00459A1C">
      <w:pPr>
        <w:widowControl/>
        <w:ind w:left="1440"/>
        <w:rPr>
          <w:rFonts w:ascii="Times New Roman" w:hAnsi="Times New Roman"/>
          <w:b/>
          <w:bCs/>
        </w:rPr>
      </w:pPr>
      <w:r w:rsidRPr="009551F3">
        <w:rPr>
          <w:rFonts w:ascii="Times New Roman" w:hAnsi="Times New Roman"/>
          <w:b/>
          <w:bCs/>
        </w:rPr>
        <w:t>maintaining, and disclosing or providing the information.</w:t>
      </w:r>
      <w:r w:rsidR="00324542">
        <w:rPr>
          <w:rFonts w:ascii="Times New Roman" w:hAnsi="Times New Roman"/>
          <w:b/>
          <w:bCs/>
        </w:rPr>
        <w:t xml:space="preserve"> </w:t>
      </w:r>
      <w:r w:rsidRPr="009551F3">
        <w:rPr>
          <w:rFonts w:ascii="Times New Roman" w:hAnsi="Times New Roman"/>
          <w:b/>
          <w:bCs/>
        </w:rPr>
        <w:t xml:space="preserve">Include descriptions of methods used to estimate major cost factors including system and technology acquisition, expected useful life of capital equipment, the </w:t>
      </w:r>
      <w:r w:rsidRPr="009551F3">
        <w:rPr>
          <w:rFonts w:ascii="Times New Roman" w:hAnsi="Times New Roman"/>
          <w:b/>
          <w:bCs/>
        </w:rPr>
        <w:t>discount rate(s), and the time period over which costs will be incurred.</w:t>
      </w:r>
      <w:r w:rsidR="00324542">
        <w:rPr>
          <w:rFonts w:ascii="Times New Roman" w:hAnsi="Times New Roman"/>
          <w:b/>
          <w:bCs/>
        </w:rPr>
        <w:t xml:space="preserve"> </w:t>
      </w:r>
      <w:r w:rsidRPr="009551F3">
        <w:rPr>
          <w:rFonts w:ascii="Times New Roman" w:hAnsi="Times New Roman"/>
          <w:b/>
          <w:bCs/>
        </w:rPr>
        <w:t>Capital and start-up costs include, among other items, preparations for collecting information such as purchasing computers and software; monitoring, sampling, drilling and testing equipment; and record storage facilities. </w:t>
      </w:r>
    </w:p>
    <w:p w:rsidR="009551F3" w:rsidRPr="009551F3" w:rsidP="009551F3" w14:paraId="4386F0A8" w14:textId="7EF34197">
      <w:pPr>
        <w:widowControl/>
        <w:numPr>
          <w:ilvl w:val="0"/>
          <w:numId w:val="11"/>
        </w:numPr>
        <w:tabs>
          <w:tab w:val="clear" w:pos="720"/>
          <w:tab w:val="num" w:pos="1440"/>
        </w:tabs>
        <w:ind w:left="1440"/>
        <w:rPr>
          <w:rFonts w:ascii="Times New Roman" w:hAnsi="Times New Roman"/>
          <w:b/>
          <w:bCs/>
        </w:rPr>
      </w:pPr>
      <w:r w:rsidRPr="009551F3">
        <w:rPr>
          <w:rFonts w:ascii="Times New Roman" w:hAnsi="Times New Roman"/>
          <w:b/>
          <w:bCs/>
        </w:rPr>
        <w:t>If cost estimates are expected to vary widely, agencies should present ranges of cost burdens and explain the reasons for the variance.</w:t>
      </w:r>
      <w:r w:rsidR="00324542">
        <w:rPr>
          <w:rFonts w:ascii="Times New Roman" w:hAnsi="Times New Roman"/>
          <w:b/>
          <w:bCs/>
        </w:rPr>
        <w:t xml:space="preserve"> </w:t>
      </w:r>
      <w:r w:rsidRPr="009551F3">
        <w:rPr>
          <w:rFonts w:ascii="Times New Roman" w:hAnsi="Times New Roman"/>
          <w:b/>
          <w:bCs/>
        </w:rPr>
        <w:t>The cost of purchasing or contracting out information collection services should be a part of this cost burden estimate.</w:t>
      </w:r>
      <w:r w:rsidR="00324542">
        <w:rPr>
          <w:rFonts w:ascii="Times New Roman" w:hAnsi="Times New Roman"/>
          <w:b/>
          <w:bCs/>
        </w:rPr>
        <w:t xml:space="preserve"> </w:t>
      </w:r>
      <w:r w:rsidRPr="009551F3">
        <w:rPr>
          <w:rFonts w:ascii="Times New Roman" w:hAnsi="Times New Roman"/>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00324542">
        <w:rPr>
          <w:rFonts w:ascii="Times New Roman" w:hAnsi="Times New Roman"/>
          <w:b/>
          <w:bCs/>
        </w:rPr>
        <w:t xml:space="preserve"> </w:t>
      </w:r>
    </w:p>
    <w:p w:rsidR="009551F3" w:rsidRPr="009551F3" w:rsidP="009551F3" w14:paraId="2ACB4303" w14:textId="77777777">
      <w:pPr>
        <w:widowControl/>
        <w:numPr>
          <w:ilvl w:val="0"/>
          <w:numId w:val="12"/>
        </w:numPr>
        <w:tabs>
          <w:tab w:val="clear" w:pos="720"/>
          <w:tab w:val="num" w:pos="1440"/>
        </w:tabs>
        <w:ind w:left="1440"/>
        <w:rPr>
          <w:rFonts w:ascii="Times New Roman" w:hAnsi="Times New Roman"/>
          <w:b/>
          <w:bCs/>
        </w:rPr>
      </w:pPr>
      <w:r w:rsidRPr="009551F3">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bookmarkEnd w:id="4"/>
    <w:p w:rsidR="002D77D4" w:rsidRPr="00B8639F" w:rsidP="008675AE" w14:paraId="1F3298D0" w14:textId="77777777">
      <w:pPr>
        <w:widowControl/>
        <w:ind w:left="720"/>
        <w:rPr>
          <w:rFonts w:ascii="Times New Roman" w:hAnsi="Times New Roman"/>
        </w:rPr>
      </w:pPr>
    </w:p>
    <w:p w:rsidR="00E662CA" w:rsidRPr="00B8639F" w:rsidP="008675AE" w14:paraId="4876FC74" w14:textId="58BD043C">
      <w:pPr>
        <w:widowControl/>
        <w:ind w:left="720"/>
        <w:rPr>
          <w:rFonts w:ascii="Times New Roman" w:hAnsi="Times New Roman"/>
        </w:rPr>
      </w:pPr>
      <w:r w:rsidRPr="00B8639F">
        <w:rPr>
          <w:rFonts w:ascii="Times New Roman" w:hAnsi="Times New Roman"/>
        </w:rPr>
        <w:t>The information under this class exemption must be provided by mutual fund complexes to their client pension plans.</w:t>
      </w:r>
      <w:r w:rsidR="00515768">
        <w:rPr>
          <w:rFonts w:ascii="Times New Roman" w:hAnsi="Times New Roman"/>
        </w:rPr>
        <w:t xml:space="preserve"> </w:t>
      </w:r>
      <w:r w:rsidRPr="00B8639F">
        <w:rPr>
          <w:rFonts w:ascii="Times New Roman" w:hAnsi="Times New Roman"/>
        </w:rPr>
        <w:t>The Department assumes that the disclosure material will be prepared by in-house staff of the mutual fund complexes; therefore, the only cost burden will be for materials and postage.</w:t>
      </w:r>
      <w:r w:rsidR="00515768">
        <w:rPr>
          <w:rFonts w:ascii="Times New Roman" w:hAnsi="Times New Roman"/>
        </w:rPr>
        <w:t xml:space="preserve"> </w:t>
      </w:r>
      <w:r w:rsidRPr="00B8639F" w:rsidR="00E831AB">
        <w:rPr>
          <w:rFonts w:ascii="Times New Roman" w:hAnsi="Times New Roman"/>
        </w:rPr>
        <w:t xml:space="preserve">The Department estimates that </w:t>
      </w:r>
      <w:r w:rsidR="00C57D83">
        <w:rPr>
          <w:rFonts w:ascii="Times New Roman" w:hAnsi="Times New Roman"/>
        </w:rPr>
        <w:t>100</w:t>
      </w:r>
      <w:r w:rsidRPr="00B8639F" w:rsidR="00E831AB">
        <w:rPr>
          <w:rFonts w:ascii="Times New Roman" w:hAnsi="Times New Roman"/>
        </w:rPr>
        <w:t xml:space="preserve"> percent of the disclosures will </w:t>
      </w:r>
      <w:r w:rsidRPr="00B8639F" w:rsidR="000702A2">
        <w:rPr>
          <w:rFonts w:ascii="Times New Roman" w:hAnsi="Times New Roman"/>
        </w:rPr>
        <w:t xml:space="preserve">be distributed </w:t>
      </w:r>
      <w:r w:rsidRPr="00B8639F" w:rsidR="00E831AB">
        <w:rPr>
          <w:rFonts w:ascii="Times New Roman" w:hAnsi="Times New Roman"/>
        </w:rPr>
        <w:t>electronically</w:t>
      </w:r>
      <w:r w:rsidR="00D65A2B">
        <w:rPr>
          <w:rFonts w:ascii="Times New Roman" w:hAnsi="Times New Roman"/>
        </w:rPr>
        <w:t xml:space="preserve"> at no additional cost</w:t>
      </w:r>
      <w:r w:rsidRPr="00B8639F" w:rsidR="00E831AB">
        <w:rPr>
          <w:rFonts w:ascii="Times New Roman" w:hAnsi="Times New Roman"/>
        </w:rPr>
        <w:t>.</w:t>
      </w:r>
      <w:r w:rsidR="00515768">
        <w:rPr>
          <w:rFonts w:ascii="Times New Roman" w:hAnsi="Times New Roman"/>
        </w:rPr>
        <w:t xml:space="preserve"> </w:t>
      </w:r>
      <w:r w:rsidRPr="00B8639F" w:rsidR="00851A07">
        <w:rPr>
          <w:rFonts w:ascii="Times New Roman" w:hAnsi="Times New Roman"/>
        </w:rPr>
        <w:t xml:space="preserve">The Department estimates that </w:t>
      </w:r>
      <w:r w:rsidRPr="006110E7" w:rsidR="00851A07">
        <w:rPr>
          <w:rFonts w:ascii="Times New Roman" w:hAnsi="Times New Roman"/>
        </w:rPr>
        <w:t>t</w:t>
      </w:r>
      <w:r w:rsidRPr="006110E7" w:rsidR="0059445E">
        <w:rPr>
          <w:rFonts w:ascii="Times New Roman" w:hAnsi="Times New Roman"/>
        </w:rPr>
        <w:t>en</w:t>
      </w:r>
      <w:r w:rsidRPr="00B8639F" w:rsidR="0059445E">
        <w:rPr>
          <w:rFonts w:ascii="Times New Roman" w:hAnsi="Times New Roman"/>
        </w:rPr>
        <w:t xml:space="preserve"> percent of plan</w:t>
      </w:r>
      <w:r w:rsidRPr="00B8639F" w:rsidR="00851A07">
        <w:rPr>
          <w:rFonts w:ascii="Times New Roman" w:hAnsi="Times New Roman"/>
        </w:rPr>
        <w:t>s</w:t>
      </w:r>
      <w:r w:rsidRPr="00B8639F" w:rsidR="0059445E">
        <w:rPr>
          <w:rFonts w:ascii="Times New Roman" w:hAnsi="Times New Roman"/>
        </w:rPr>
        <w:t xml:space="preserve"> will request a full prospectus</w:t>
      </w:r>
      <w:r w:rsidRPr="00B8639F" w:rsidR="00851A07">
        <w:rPr>
          <w:rFonts w:ascii="Times New Roman" w:hAnsi="Times New Roman"/>
        </w:rPr>
        <w:t xml:space="preserve"> and that </w:t>
      </w:r>
      <w:r w:rsidR="00C57D83">
        <w:rPr>
          <w:rFonts w:ascii="Times New Roman" w:hAnsi="Times New Roman"/>
        </w:rPr>
        <w:t>100</w:t>
      </w:r>
      <w:r w:rsidR="00D2341C">
        <w:rPr>
          <w:rFonts w:ascii="Times New Roman" w:hAnsi="Times New Roman"/>
        </w:rPr>
        <w:t xml:space="preserve"> percent</w:t>
      </w:r>
      <w:r w:rsidRPr="00B8639F" w:rsidR="00851A07">
        <w:rPr>
          <w:rFonts w:ascii="Times New Roman" w:hAnsi="Times New Roman"/>
        </w:rPr>
        <w:t xml:space="preserve"> will be sent electronically</w:t>
      </w:r>
      <w:r w:rsidRPr="00B8639F" w:rsidR="00A65835">
        <w:rPr>
          <w:rFonts w:ascii="Times New Roman" w:hAnsi="Times New Roman"/>
        </w:rPr>
        <w:t xml:space="preserve"> at </w:t>
      </w:r>
      <w:r w:rsidR="00D2341C">
        <w:rPr>
          <w:rFonts w:ascii="Times New Roman" w:hAnsi="Times New Roman"/>
        </w:rPr>
        <w:t>no additional cost</w:t>
      </w:r>
      <w:r w:rsidRPr="00B8639F" w:rsidR="00851A07">
        <w:rPr>
          <w:rFonts w:ascii="Times New Roman" w:hAnsi="Times New Roman"/>
        </w:rPr>
        <w:t xml:space="preserve">. </w:t>
      </w:r>
    </w:p>
    <w:p w:rsidR="002D77D4" w:rsidRPr="00B8639F" w:rsidP="008675AE" w14:paraId="17BFDA31" w14:textId="77777777">
      <w:pPr>
        <w:widowControl/>
        <w:ind w:left="720"/>
        <w:rPr>
          <w:rFonts w:ascii="Times New Roman" w:hAnsi="Times New Roman"/>
        </w:rPr>
      </w:pPr>
    </w:p>
    <w:p w:rsidR="002D77D4" w:rsidRPr="00FB462A" w:rsidP="00FB462A" w14:paraId="36223A6E" w14:textId="49A754E7">
      <w:pPr>
        <w:pStyle w:val="Quick1"/>
        <w:widowControl/>
        <w:numPr>
          <w:ilvl w:val="0"/>
          <w:numId w:val="0"/>
        </w:numPr>
        <w:tabs>
          <w:tab w:val="left" w:pos="-1440"/>
        </w:tabs>
        <w:ind w:left="720" w:hanging="720"/>
        <w:rPr>
          <w:rFonts w:ascii="Times New Roman" w:hAnsi="Times New Roman"/>
          <w:b/>
          <w:bCs/>
        </w:rPr>
      </w:pPr>
      <w:r w:rsidRPr="000F1383">
        <w:rPr>
          <w:rFonts w:ascii="Times New Roman" w:hAnsi="Times New Roman"/>
          <w:b/>
          <w:bCs/>
        </w:rPr>
        <w:t>14.</w:t>
      </w:r>
      <w:r>
        <w:rPr>
          <w:rFonts w:ascii="Times New Roman" w:hAnsi="Times New Roman"/>
          <w:b/>
          <w:bCs/>
        </w:rPr>
        <w:t xml:space="preserve"> </w:t>
      </w:r>
      <w:r>
        <w:rPr>
          <w:rFonts w:ascii="Times New Roman" w:hAnsi="Times New Roman"/>
          <w:b/>
          <w:bCs/>
        </w:rPr>
        <w:tab/>
      </w:r>
      <w:r w:rsidRPr="00FB462A">
        <w:rPr>
          <w:rFonts w:ascii="Times New Roman" w:hAnsi="Times New Roman"/>
          <w:b/>
          <w:bCs/>
        </w:rPr>
        <w:t>Provide estimates of annualized cost to the Federal government.</w:t>
      </w:r>
      <w:r w:rsidRPr="00FB462A" w:rsidR="00515768">
        <w:rPr>
          <w:rFonts w:ascii="Times New Roman" w:hAnsi="Times New Roman"/>
          <w:b/>
          <w:bCs/>
        </w:rPr>
        <w:t xml:space="preserve"> </w:t>
      </w:r>
      <w:r w:rsidRPr="00FB462A">
        <w:rPr>
          <w:rFonts w:ascii="Times New Roman" w:hAnsi="Times New Roman"/>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FB462A" w:rsidR="00515768">
        <w:rPr>
          <w:rFonts w:ascii="Times New Roman" w:hAnsi="Times New Roman"/>
          <w:b/>
          <w:bCs/>
        </w:rPr>
        <w:t xml:space="preserve"> </w:t>
      </w:r>
      <w:r w:rsidRPr="00FB462A">
        <w:rPr>
          <w:rFonts w:ascii="Times New Roman" w:hAnsi="Times New Roman"/>
          <w:b/>
          <w:bCs/>
        </w:rPr>
        <w:t>Agencies also may aggregate cost estimates from Items 12, 13, and 14 in a single table.</w:t>
      </w:r>
    </w:p>
    <w:p w:rsidR="002D77D4" w:rsidRPr="00B8639F" w:rsidP="008675AE" w14:paraId="5A286361" w14:textId="77777777">
      <w:pPr>
        <w:widowControl/>
        <w:ind w:left="720"/>
        <w:rPr>
          <w:rFonts w:ascii="Times New Roman" w:hAnsi="Times New Roman"/>
        </w:rPr>
      </w:pPr>
    </w:p>
    <w:p w:rsidR="002D77D4" w:rsidRPr="00B8639F" w:rsidP="008675AE" w14:paraId="5A795CC6" w14:textId="0D9C201F">
      <w:pPr>
        <w:widowControl/>
        <w:ind w:left="720"/>
        <w:rPr>
          <w:rFonts w:ascii="Times New Roman" w:hAnsi="Times New Roman"/>
        </w:rPr>
      </w:pPr>
      <w:r w:rsidRPr="00B8639F">
        <w:rPr>
          <w:rFonts w:ascii="Times New Roman" w:hAnsi="Times New Roman"/>
        </w:rPr>
        <w:t>There is no cost to the Federal government.</w:t>
      </w:r>
      <w:r w:rsidR="00515768">
        <w:rPr>
          <w:rFonts w:ascii="Times New Roman" w:hAnsi="Times New Roman"/>
        </w:rPr>
        <w:t xml:space="preserve"> </w:t>
      </w:r>
      <w:r w:rsidRPr="00B8639F">
        <w:rPr>
          <w:rFonts w:ascii="Times New Roman" w:hAnsi="Times New Roman"/>
        </w:rPr>
        <w:t>This class exemption does not result in any information being filed with or reported to the Federal government.</w:t>
      </w:r>
    </w:p>
    <w:p w:rsidR="002D77D4" w:rsidRPr="00B8639F" w:rsidP="008675AE" w14:paraId="7CE8FE47" w14:textId="77777777">
      <w:pPr>
        <w:widowControl/>
        <w:ind w:left="720"/>
        <w:rPr>
          <w:rFonts w:ascii="Times New Roman" w:hAnsi="Times New Roman"/>
        </w:rPr>
      </w:pPr>
    </w:p>
    <w:p w:rsidR="002D77D4" w:rsidRPr="003A717D" w:rsidP="008675AE" w14:paraId="116FEEA5" w14:textId="77777777">
      <w:pPr>
        <w:widowControl/>
        <w:tabs>
          <w:tab w:val="left" w:pos="-1440"/>
        </w:tabs>
        <w:ind w:left="720" w:hanging="720"/>
        <w:rPr>
          <w:rFonts w:ascii="Times New Roman" w:hAnsi="Times New Roman"/>
          <w:b/>
          <w:bCs/>
          <w:iCs/>
        </w:rPr>
      </w:pPr>
      <w:r w:rsidRPr="003A717D">
        <w:rPr>
          <w:rFonts w:ascii="Times New Roman" w:hAnsi="Times New Roman"/>
          <w:b/>
          <w:bCs/>
          <w:iCs/>
        </w:rPr>
        <w:t>15.</w:t>
      </w:r>
      <w:r w:rsidRPr="003A717D">
        <w:rPr>
          <w:rFonts w:ascii="Times New Roman" w:hAnsi="Times New Roman"/>
          <w:b/>
          <w:bCs/>
          <w:iCs/>
        </w:rPr>
        <w:tab/>
        <w:t>Explain the reasons for any program changes or adjustments reported in Items 13 or 14.</w:t>
      </w:r>
    </w:p>
    <w:p w:rsidR="002D77D4" w:rsidRPr="00B8639F" w:rsidP="008675AE" w14:paraId="0E22E55E" w14:textId="77777777">
      <w:pPr>
        <w:widowControl/>
        <w:ind w:left="720"/>
        <w:rPr>
          <w:rFonts w:ascii="Times New Roman" w:hAnsi="Times New Roman"/>
          <w:i/>
          <w:iCs/>
        </w:rPr>
      </w:pPr>
    </w:p>
    <w:p w:rsidR="00ED383A" w:rsidP="00B6628C" w14:paraId="6BC60E2E" w14:textId="6AC0CF29">
      <w:pPr>
        <w:widowControl/>
        <w:ind w:left="720"/>
        <w:rPr>
          <w:rFonts w:ascii="Times New Roman" w:hAnsi="Times New Roman"/>
        </w:rPr>
      </w:pPr>
      <w:r w:rsidRPr="00C57D83">
        <w:rPr>
          <w:rFonts w:ascii="Times New Roman" w:hAnsi="Times New Roman"/>
        </w:rPr>
        <w:t xml:space="preserve">There are no program changes for this submission. </w:t>
      </w:r>
      <w:r w:rsidR="003C6F50">
        <w:rPr>
          <w:rFonts w:ascii="Times New Roman" w:hAnsi="Times New Roman"/>
        </w:rPr>
        <w:t>The Department has updated the</w:t>
      </w:r>
      <w:r w:rsidRPr="00C57D83">
        <w:rPr>
          <w:rFonts w:ascii="Times New Roman" w:hAnsi="Times New Roman"/>
        </w:rPr>
        <w:t xml:space="preserve"> </w:t>
      </w:r>
      <w:r w:rsidR="003C6F50">
        <w:rPr>
          <w:rFonts w:ascii="Times New Roman" w:hAnsi="Times New Roman"/>
        </w:rPr>
        <w:t>wage rates, the number of pension plans</w:t>
      </w:r>
      <w:r w:rsidR="00B862B1">
        <w:rPr>
          <w:rFonts w:ascii="Times New Roman" w:hAnsi="Times New Roman"/>
        </w:rPr>
        <w:t>, and the</w:t>
      </w:r>
      <w:r w:rsidR="003C6F50">
        <w:rPr>
          <w:rFonts w:ascii="Times New Roman" w:hAnsi="Times New Roman"/>
        </w:rPr>
        <w:t xml:space="preserve"> number of mutual fund complexes</w:t>
      </w:r>
      <w:r w:rsidRPr="00C57D83">
        <w:rPr>
          <w:rFonts w:ascii="Times New Roman" w:hAnsi="Times New Roman"/>
        </w:rPr>
        <w:t xml:space="preserve">. As a result, the number of responses has </w:t>
      </w:r>
      <w:r w:rsidR="000729AA">
        <w:rPr>
          <w:rFonts w:ascii="Times New Roman" w:hAnsi="Times New Roman"/>
        </w:rPr>
        <w:t>increased</w:t>
      </w:r>
      <w:r w:rsidRPr="00C57D83">
        <w:rPr>
          <w:rFonts w:ascii="Times New Roman" w:hAnsi="Times New Roman"/>
        </w:rPr>
        <w:t xml:space="preserve"> by </w:t>
      </w:r>
      <w:r w:rsidR="004B4A4A">
        <w:rPr>
          <w:rFonts w:ascii="Times New Roman" w:hAnsi="Times New Roman"/>
        </w:rPr>
        <w:t>22,296</w:t>
      </w:r>
      <w:r w:rsidR="00AC3E2C">
        <w:rPr>
          <w:rFonts w:ascii="Times New Roman" w:hAnsi="Times New Roman"/>
        </w:rPr>
        <w:t xml:space="preserve"> </w:t>
      </w:r>
      <w:r w:rsidRPr="00C57D83">
        <w:rPr>
          <w:rFonts w:ascii="Times New Roman" w:hAnsi="Times New Roman"/>
        </w:rPr>
        <w:t xml:space="preserve">responses. Furthermore, the hour burden has </w:t>
      </w:r>
      <w:r w:rsidR="000729AA">
        <w:rPr>
          <w:rFonts w:ascii="Times New Roman" w:hAnsi="Times New Roman"/>
        </w:rPr>
        <w:t>increased</w:t>
      </w:r>
      <w:r w:rsidRPr="00C57D83">
        <w:rPr>
          <w:rFonts w:ascii="Times New Roman" w:hAnsi="Times New Roman"/>
        </w:rPr>
        <w:t xml:space="preserve"> by </w:t>
      </w:r>
      <w:r w:rsidR="004B4A4A">
        <w:rPr>
          <w:rFonts w:ascii="Times New Roman" w:hAnsi="Times New Roman"/>
        </w:rPr>
        <w:t xml:space="preserve">1,838 </w:t>
      </w:r>
      <w:r w:rsidRPr="00C57D83">
        <w:rPr>
          <w:rFonts w:ascii="Times New Roman" w:hAnsi="Times New Roman"/>
        </w:rPr>
        <w:t xml:space="preserve">hours. </w:t>
      </w:r>
    </w:p>
    <w:p w:rsidR="002D77D4" w:rsidRPr="00B8639F" w:rsidP="00B6628C" w14:paraId="281ADC0B" w14:textId="77777777">
      <w:pPr>
        <w:widowControl/>
        <w:ind w:left="720"/>
        <w:rPr>
          <w:rFonts w:ascii="Times New Roman" w:hAnsi="Times New Roman"/>
        </w:rPr>
      </w:pPr>
    </w:p>
    <w:p w:rsidR="002D77D4" w:rsidRPr="003A717D" w:rsidP="008675AE" w14:paraId="29786A0A" w14:textId="015D0E25">
      <w:pPr>
        <w:widowControl/>
        <w:tabs>
          <w:tab w:val="left" w:pos="-1440"/>
        </w:tabs>
        <w:ind w:left="720" w:hanging="720"/>
        <w:rPr>
          <w:rFonts w:ascii="Times New Roman" w:hAnsi="Times New Roman"/>
          <w:b/>
          <w:bCs/>
          <w:iCs/>
        </w:rPr>
      </w:pPr>
      <w:r w:rsidRPr="003A717D">
        <w:rPr>
          <w:rFonts w:ascii="Times New Roman" w:hAnsi="Times New Roman"/>
          <w:b/>
          <w:bCs/>
          <w:iCs/>
        </w:rPr>
        <w:t>16.</w:t>
      </w:r>
      <w:r w:rsidRPr="003A717D">
        <w:rPr>
          <w:rFonts w:ascii="Times New Roman" w:hAnsi="Times New Roman"/>
          <w:b/>
          <w:bCs/>
          <w:iCs/>
        </w:rPr>
        <w:tab/>
        <w:t>For collections of information whose results will be published, outline plans for tabulation, and publication.</w:t>
      </w:r>
      <w:r w:rsidRPr="003A717D" w:rsidR="00515768">
        <w:rPr>
          <w:rFonts w:ascii="Times New Roman" w:hAnsi="Times New Roman"/>
          <w:b/>
          <w:bCs/>
          <w:iCs/>
        </w:rPr>
        <w:t xml:space="preserve"> </w:t>
      </w:r>
      <w:r w:rsidRPr="003A717D">
        <w:rPr>
          <w:rFonts w:ascii="Times New Roman" w:hAnsi="Times New Roman"/>
          <w:b/>
          <w:bCs/>
          <w:iCs/>
        </w:rPr>
        <w:t>Address any complex analytical techniques that will be used.</w:t>
      </w:r>
      <w:r w:rsidRPr="003A717D" w:rsidR="00515768">
        <w:rPr>
          <w:rFonts w:ascii="Times New Roman" w:hAnsi="Times New Roman"/>
          <w:b/>
          <w:bCs/>
          <w:iCs/>
        </w:rPr>
        <w:t xml:space="preserve"> </w:t>
      </w:r>
      <w:r w:rsidRPr="003A717D">
        <w:rPr>
          <w:rFonts w:ascii="Times New Roman" w:hAnsi="Times New Roman"/>
          <w:b/>
          <w:bCs/>
          <w:iCs/>
        </w:rPr>
        <w:t>Provide the time schedule for the entire project, including beginning and ending dates of the collection of information, completion of report, publication dates, and other actions.</w:t>
      </w:r>
    </w:p>
    <w:p w:rsidR="002D77D4" w:rsidRPr="003A717D" w:rsidP="008675AE" w14:paraId="0B88C585" w14:textId="77777777">
      <w:pPr>
        <w:widowControl/>
        <w:ind w:left="720"/>
        <w:rPr>
          <w:rFonts w:ascii="Times New Roman" w:hAnsi="Times New Roman"/>
          <w:b/>
          <w:bCs/>
          <w:iCs/>
        </w:rPr>
      </w:pPr>
    </w:p>
    <w:p w:rsidR="002D77D4" w:rsidRPr="003A717D" w:rsidP="008675AE" w14:paraId="190E4886" w14:textId="77777777">
      <w:pPr>
        <w:widowControl/>
        <w:ind w:left="720"/>
        <w:rPr>
          <w:rFonts w:ascii="Times New Roman" w:hAnsi="Times New Roman"/>
          <w:iCs/>
        </w:rPr>
      </w:pPr>
      <w:r w:rsidRPr="003A717D">
        <w:rPr>
          <w:rFonts w:ascii="Times New Roman" w:hAnsi="Times New Roman"/>
          <w:iCs/>
        </w:rPr>
        <w:t>This is not a collection of information for statistical use, and there are no plans to publish the results of this collection.</w:t>
      </w:r>
    </w:p>
    <w:p w:rsidR="002D77D4" w:rsidRPr="00B8639F" w:rsidP="008675AE" w14:paraId="540101EA" w14:textId="77777777">
      <w:pPr>
        <w:widowControl/>
        <w:ind w:left="720"/>
        <w:rPr>
          <w:rFonts w:ascii="Times New Roman" w:hAnsi="Times New Roman"/>
        </w:rPr>
      </w:pPr>
    </w:p>
    <w:p w:rsidR="002D77D4" w:rsidRPr="003A717D" w:rsidP="008675AE" w14:paraId="45B3418E" w14:textId="77777777">
      <w:pPr>
        <w:widowControl/>
        <w:tabs>
          <w:tab w:val="left" w:pos="-1440"/>
        </w:tabs>
        <w:ind w:left="720" w:hanging="720"/>
        <w:rPr>
          <w:rFonts w:ascii="Times New Roman" w:hAnsi="Times New Roman"/>
          <w:b/>
          <w:bCs/>
          <w:iCs/>
        </w:rPr>
      </w:pPr>
      <w:r w:rsidRPr="003A717D">
        <w:rPr>
          <w:rFonts w:ascii="Times New Roman" w:hAnsi="Times New Roman"/>
          <w:b/>
          <w:bCs/>
          <w:iCs/>
        </w:rPr>
        <w:t>17.</w:t>
      </w:r>
      <w:r w:rsidRPr="003A717D">
        <w:rPr>
          <w:rFonts w:ascii="Times New Roman" w:hAnsi="Times New Roman"/>
          <w:b/>
          <w:bCs/>
          <w:iCs/>
        </w:rPr>
        <w:tab/>
        <w:t>If seeking approval to not display the expiration date for OMB approval of the information collection, explain the reasons that display would be inappropriate.</w:t>
      </w:r>
    </w:p>
    <w:p w:rsidR="002D77D4" w:rsidRPr="00B8639F" w:rsidP="008675AE" w14:paraId="08E6AC5F" w14:textId="77777777">
      <w:pPr>
        <w:widowControl/>
        <w:ind w:left="720"/>
        <w:rPr>
          <w:rFonts w:ascii="Times New Roman" w:hAnsi="Times New Roman"/>
        </w:rPr>
      </w:pPr>
    </w:p>
    <w:p w:rsidR="002D77D4" w:rsidRPr="00B8639F" w:rsidP="008675AE" w14:paraId="146F6C71" w14:textId="5F2C6898">
      <w:pPr>
        <w:widowControl/>
        <w:ind w:left="720"/>
        <w:rPr>
          <w:rFonts w:ascii="Times New Roman" w:hAnsi="Times New Roman"/>
        </w:rPr>
      </w:pPr>
      <w:r>
        <w:rPr>
          <w:rFonts w:ascii="Times New Roman" w:hAnsi="Times New Roman"/>
        </w:rPr>
        <w:t>Not applicable.</w:t>
      </w:r>
    </w:p>
    <w:p w:rsidR="002D77D4" w:rsidRPr="00B8639F" w:rsidP="008675AE" w14:paraId="119FD9CF" w14:textId="77777777">
      <w:pPr>
        <w:widowControl/>
        <w:ind w:left="720"/>
        <w:rPr>
          <w:rFonts w:ascii="Times New Roman" w:hAnsi="Times New Roman"/>
        </w:rPr>
      </w:pPr>
    </w:p>
    <w:p w:rsidR="002D77D4" w:rsidRPr="003A717D" w:rsidP="003A717D" w14:paraId="3A08E0C2" w14:textId="065C9CD5">
      <w:pPr>
        <w:widowControl/>
        <w:tabs>
          <w:tab w:val="left" w:pos="-1440"/>
        </w:tabs>
        <w:ind w:left="720" w:hanging="720"/>
        <w:rPr>
          <w:rFonts w:ascii="Times New Roman" w:hAnsi="Times New Roman"/>
          <w:b/>
          <w:bCs/>
          <w:iCs/>
        </w:rPr>
      </w:pPr>
      <w:r w:rsidRPr="003A717D">
        <w:rPr>
          <w:rFonts w:ascii="Times New Roman" w:hAnsi="Times New Roman"/>
          <w:b/>
          <w:bCs/>
          <w:iCs/>
        </w:rPr>
        <w:t>18.</w:t>
      </w:r>
      <w:r w:rsidRPr="003A717D">
        <w:rPr>
          <w:rFonts w:ascii="Times New Roman" w:hAnsi="Times New Roman"/>
          <w:b/>
          <w:bCs/>
          <w:iCs/>
        </w:rPr>
        <w:tab/>
      </w:r>
      <w:r w:rsidRPr="00E67D70" w:rsidR="00E67D70">
        <w:rPr>
          <w:rFonts w:ascii="Times New Roman" w:hAnsi="Times New Roman"/>
          <w:b/>
          <w:bCs/>
          <w:iCs/>
        </w:rPr>
        <w:t>Explain each exception to the topics of the certification statement identified in “Certification for Paperwork Reduction Act Submissions</w:t>
      </w:r>
      <w:r w:rsidR="00E67D70">
        <w:rPr>
          <w:rFonts w:ascii="Times New Roman" w:hAnsi="Times New Roman"/>
          <w:b/>
          <w:bCs/>
          <w:iCs/>
        </w:rPr>
        <w:t>.”</w:t>
      </w:r>
    </w:p>
    <w:p w:rsidR="003A717D" w:rsidP="008675AE" w14:paraId="7B84751D" w14:textId="77777777">
      <w:pPr>
        <w:widowControl/>
        <w:ind w:left="720"/>
        <w:rPr>
          <w:rFonts w:ascii="Times New Roman" w:hAnsi="Times New Roman"/>
        </w:rPr>
      </w:pPr>
    </w:p>
    <w:p w:rsidR="002D77D4" w:rsidRPr="00B8639F" w:rsidP="008675AE" w14:paraId="01A34F77" w14:textId="28270200">
      <w:pPr>
        <w:widowControl/>
        <w:ind w:left="720"/>
        <w:rPr>
          <w:rFonts w:ascii="Times New Roman" w:hAnsi="Times New Roman"/>
        </w:rPr>
      </w:pPr>
      <w:r w:rsidRPr="00B8639F">
        <w:rPr>
          <w:rFonts w:ascii="Times New Roman" w:hAnsi="Times New Roman"/>
        </w:rPr>
        <w:t>Not applicable.</w:t>
      </w:r>
    </w:p>
    <w:p w:rsidR="007A6AB7" w:rsidRPr="00B8639F" w:rsidP="008675AE" w14:paraId="712C4BAA" w14:textId="77777777">
      <w:pPr>
        <w:widowControl/>
        <w:ind w:left="720"/>
        <w:rPr>
          <w:rFonts w:ascii="Times New Roman" w:hAnsi="Times New Roman"/>
        </w:rPr>
      </w:pPr>
    </w:p>
    <w:p w:rsidR="007A6AB7" w:rsidRPr="00B8639F" w:rsidP="008675AE" w14:paraId="4B5FA4E1" w14:textId="15B5C483">
      <w:pPr>
        <w:widowControl/>
        <w:tabs>
          <w:tab w:val="left" w:pos="-1440"/>
        </w:tabs>
        <w:ind w:left="720" w:hanging="720"/>
        <w:outlineLvl w:val="0"/>
        <w:rPr>
          <w:rFonts w:ascii="Times New Roman" w:hAnsi="Times New Roman"/>
        </w:rPr>
      </w:pPr>
      <w:r w:rsidRPr="00B8639F">
        <w:rPr>
          <w:rFonts w:ascii="Times New Roman" w:hAnsi="Times New Roman"/>
          <w:b/>
          <w:bCs/>
        </w:rPr>
        <w:t>B.</w:t>
      </w:r>
      <w:r w:rsidRPr="00B8639F">
        <w:rPr>
          <w:rFonts w:ascii="Times New Roman" w:hAnsi="Times New Roman"/>
          <w:b/>
          <w:bCs/>
        </w:rPr>
        <w:tab/>
      </w:r>
      <w:r w:rsidRPr="00B8639F" w:rsidR="003A717D">
        <w:rPr>
          <w:rFonts w:ascii="Times New Roman" w:hAnsi="Times New Roman"/>
          <w:b/>
          <w:bCs/>
        </w:rPr>
        <w:t>COLLECTIONS OF INFORMATION EMPLOYING STATISTICAL METHODS</w:t>
      </w:r>
    </w:p>
    <w:p w:rsidR="007A6AB7" w:rsidRPr="00B8639F" w:rsidP="008675AE" w14:paraId="2F453550" w14:textId="77777777">
      <w:pPr>
        <w:widowControl/>
        <w:ind w:left="720"/>
        <w:rPr>
          <w:rFonts w:ascii="Times New Roman" w:hAnsi="Times New Roman"/>
        </w:rPr>
      </w:pPr>
    </w:p>
    <w:p w:rsidR="002D77D4" w:rsidRPr="00B8639F" w:rsidP="008675AE" w14:paraId="0D1B1548" w14:textId="69F44E9F">
      <w:pPr>
        <w:widowControl/>
        <w:ind w:left="720"/>
        <w:rPr>
          <w:rFonts w:ascii="Times New Roman" w:hAnsi="Times New Roman"/>
        </w:rPr>
      </w:pPr>
      <w:r w:rsidRPr="00B8639F">
        <w:rPr>
          <w:rFonts w:ascii="Times New Roman" w:hAnsi="Times New Roman"/>
        </w:rPr>
        <w:t>Not applicable.</w:t>
      </w:r>
      <w:r w:rsidR="00515768">
        <w:rPr>
          <w:rFonts w:ascii="Times New Roman" w:hAnsi="Times New Roman"/>
        </w:rPr>
        <w:t xml:space="preserve"> </w:t>
      </w:r>
      <w:r w:rsidRPr="00B8639F">
        <w:rPr>
          <w:rFonts w:ascii="Times New Roman" w:hAnsi="Times New Roman"/>
        </w:rPr>
        <w:t>The use of statistical methods is not relevant to this collection of information</w:t>
      </w:r>
    </w:p>
    <w:sectPr>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F73" w14:paraId="705DB6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1349777"/>
      <w:docPartObj>
        <w:docPartGallery w:val="Page Numbers (Bottom of Page)"/>
        <w:docPartUnique/>
      </w:docPartObj>
    </w:sdtPr>
    <w:sdtEndPr>
      <w:rPr>
        <w:rFonts w:ascii="Times New Roman" w:hAnsi="Times New Roman"/>
        <w:noProof/>
      </w:rPr>
    </w:sdtEndPr>
    <w:sdtContent>
      <w:p w:rsidR="008849CB" w:rsidRPr="00861A2E" w14:paraId="752B0702" w14:textId="56C786A2">
        <w:pPr>
          <w:pStyle w:val="Footer"/>
          <w:jc w:val="center"/>
          <w:rPr>
            <w:rFonts w:ascii="Times New Roman" w:hAnsi="Times New Roman"/>
          </w:rPr>
        </w:pPr>
        <w:r w:rsidRPr="00861A2E">
          <w:rPr>
            <w:rFonts w:ascii="Times New Roman" w:hAnsi="Times New Roman"/>
          </w:rPr>
          <w:fldChar w:fldCharType="begin"/>
        </w:r>
        <w:r w:rsidRPr="00861A2E">
          <w:rPr>
            <w:rFonts w:ascii="Times New Roman" w:hAnsi="Times New Roman"/>
          </w:rPr>
          <w:instrText xml:space="preserve"> PAGE   \* MERGEFORMAT </w:instrText>
        </w:r>
        <w:r w:rsidRPr="00861A2E">
          <w:rPr>
            <w:rFonts w:ascii="Times New Roman" w:hAnsi="Times New Roman"/>
          </w:rPr>
          <w:fldChar w:fldCharType="separate"/>
        </w:r>
        <w:r w:rsidRPr="00861A2E">
          <w:rPr>
            <w:rFonts w:ascii="Times New Roman" w:hAnsi="Times New Roman"/>
            <w:noProof/>
          </w:rPr>
          <w:t>2</w:t>
        </w:r>
        <w:r w:rsidRPr="00861A2E">
          <w:rPr>
            <w:rFonts w:ascii="Times New Roman" w:hAnsi="Times New Roman"/>
            <w:noProof/>
          </w:rPr>
          <w:fldChar w:fldCharType="end"/>
        </w:r>
      </w:p>
    </w:sdtContent>
  </w:sdt>
  <w:p w:rsidR="008849CB" w14:paraId="681017E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F73" w14:paraId="42FC0E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2CFF" w14:paraId="77C54924" w14:textId="77777777">
      <w:r>
        <w:separator/>
      </w:r>
    </w:p>
  </w:footnote>
  <w:footnote w:type="continuationSeparator" w:id="1">
    <w:p w:rsidR="00682CFF" w14:paraId="50F4BBE8" w14:textId="77777777">
      <w:r>
        <w:continuationSeparator/>
      </w:r>
    </w:p>
  </w:footnote>
  <w:footnote w:id="2">
    <w:p w:rsidR="00575509" w:rsidRPr="00755438" w14:paraId="3B2D9EF3" w14:textId="7B31D443">
      <w:pPr>
        <w:pStyle w:val="FootnoteText"/>
        <w:rPr>
          <w:rFonts w:ascii="Times New Roman" w:hAnsi="Times New Roman"/>
        </w:rPr>
      </w:pPr>
      <w:r w:rsidRPr="00755438">
        <w:rPr>
          <w:rStyle w:val="FootnoteReference"/>
          <w:rFonts w:ascii="Times New Roman" w:hAnsi="Times New Roman"/>
        </w:rPr>
        <w:footnoteRef/>
      </w:r>
      <w:r w:rsidRPr="00755438">
        <w:rPr>
          <w:rFonts w:ascii="Times New Roman" w:hAnsi="Times New Roman"/>
        </w:rPr>
        <w:t xml:space="preserve"> </w:t>
      </w:r>
      <w:r w:rsidRPr="00755438">
        <w:rPr>
          <w:rFonts w:ascii="Times New Roman" w:hAnsi="Times New Roman"/>
          <w:i/>
          <w:iCs/>
        </w:rPr>
        <w:t>See</w:t>
      </w:r>
      <w:r w:rsidRPr="00755438">
        <w:rPr>
          <w:rFonts w:ascii="Times New Roman" w:hAnsi="Times New Roman"/>
        </w:rPr>
        <w:t xml:space="preserve"> 74 FR </w:t>
      </w:r>
      <w:r>
        <w:rPr>
          <w:rFonts w:ascii="Times New Roman" w:hAnsi="Times New Roman"/>
        </w:rPr>
        <w:t xml:space="preserve">§ </w:t>
      </w:r>
      <w:r w:rsidRPr="00755438">
        <w:rPr>
          <w:rFonts w:ascii="Times New Roman" w:hAnsi="Times New Roman"/>
        </w:rPr>
        <w:t xml:space="preserve">4546 (Jan. 26, 2009). </w:t>
      </w:r>
    </w:p>
  </w:footnote>
  <w:footnote w:id="3">
    <w:p w:rsidR="00AB4C20" w:rsidRPr="00B14C9B" w:rsidP="00B14C9B" w14:paraId="4BDEE9DD" w14:textId="149FF8FD">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w:t>
      </w:r>
      <w:r w:rsidRPr="00F663E5">
        <w:rPr>
          <w:rFonts w:ascii="Times New Roman" w:hAnsi="Times New Roman"/>
          <w:i/>
        </w:rPr>
        <w:t>20</w:t>
      </w:r>
      <w:r w:rsidR="006F09F6">
        <w:rPr>
          <w:rFonts w:ascii="Times New Roman" w:hAnsi="Times New Roman"/>
          <w:i/>
        </w:rPr>
        <w:t>2</w:t>
      </w:r>
      <w:r w:rsidR="00181274">
        <w:rPr>
          <w:rFonts w:ascii="Times New Roman" w:hAnsi="Times New Roman"/>
          <w:i/>
        </w:rPr>
        <w:t>5</w:t>
      </w:r>
      <w:r w:rsidRPr="00F663E5">
        <w:rPr>
          <w:rFonts w:ascii="Times New Roman" w:hAnsi="Times New Roman"/>
          <w:i/>
        </w:rPr>
        <w:t xml:space="preserve"> Investment Company Fact Book</w:t>
      </w:r>
      <w:r>
        <w:rPr>
          <w:rFonts w:ascii="Times New Roman" w:hAnsi="Times New Roman"/>
        </w:rPr>
        <w:t>, Investment Company Institute</w:t>
      </w:r>
      <w:r w:rsidR="00181274">
        <w:rPr>
          <w:rFonts w:ascii="Times New Roman" w:hAnsi="Times New Roman"/>
        </w:rPr>
        <w:t>,</w:t>
      </w:r>
      <w:r>
        <w:rPr>
          <w:rFonts w:ascii="Times New Roman" w:hAnsi="Times New Roman"/>
        </w:rPr>
        <w:t xml:space="preserve"> </w:t>
      </w:r>
      <w:r w:rsidR="00181274">
        <w:rPr>
          <w:rFonts w:ascii="Times New Roman" w:hAnsi="Times New Roman"/>
        </w:rPr>
        <w:t>(</w:t>
      </w:r>
      <w:r>
        <w:rPr>
          <w:rFonts w:ascii="Times New Roman" w:hAnsi="Times New Roman"/>
        </w:rPr>
        <w:t>20</w:t>
      </w:r>
      <w:r w:rsidR="006F09F6">
        <w:rPr>
          <w:rFonts w:ascii="Times New Roman" w:hAnsi="Times New Roman"/>
        </w:rPr>
        <w:t>2</w:t>
      </w:r>
      <w:r w:rsidR="00181274">
        <w:rPr>
          <w:rFonts w:ascii="Times New Roman" w:hAnsi="Times New Roman"/>
        </w:rPr>
        <w:t>5)</w:t>
      </w:r>
      <w:r>
        <w:rPr>
          <w:rFonts w:ascii="Times New Roman" w:hAnsi="Times New Roman"/>
        </w:rPr>
        <w:t xml:space="preserve">, </w:t>
      </w:r>
      <w:hyperlink r:id="rId1" w:history="1">
        <w:r w:rsidRPr="00A27319">
          <w:rPr>
            <w:rStyle w:val="Hyperlink"/>
            <w:rFonts w:ascii="Times New Roman" w:hAnsi="Times New Roman"/>
          </w:rPr>
          <w:t>https://www.ici.org/system/files/2025-05/2025-factbook.pdf</w:t>
        </w:r>
      </w:hyperlink>
      <w:r>
        <w:rPr>
          <w:rFonts w:ascii="Times New Roman" w:hAnsi="Times New Roman"/>
        </w:rPr>
        <w:t>.</w:t>
      </w:r>
    </w:p>
  </w:footnote>
  <w:footnote w:id="4">
    <w:p w:rsidR="00A65835" w:rsidRPr="00E20242" w14:paraId="7880730F" w14:textId="3EBD9A37">
      <w:pPr>
        <w:pStyle w:val="FootnoteText"/>
        <w:rPr>
          <w:rFonts w:ascii="Times New Roman" w:hAnsi="Times New Roman"/>
        </w:rPr>
      </w:pPr>
      <w:r w:rsidRPr="00E20242">
        <w:rPr>
          <w:rStyle w:val="FootnoteReference"/>
          <w:rFonts w:ascii="Times New Roman" w:hAnsi="Times New Roman"/>
          <w:vertAlign w:val="superscript"/>
        </w:rPr>
        <w:footnoteRef/>
      </w:r>
      <w:r w:rsidRPr="00E20242">
        <w:rPr>
          <w:rFonts w:ascii="Times New Roman" w:hAnsi="Times New Roman"/>
          <w:vertAlign w:val="superscript"/>
        </w:rPr>
        <w:t xml:space="preserve"> </w:t>
      </w:r>
      <w:r>
        <w:rPr>
          <w:rFonts w:ascii="Times New Roman" w:hAnsi="Times New Roman"/>
        </w:rPr>
        <w:t>Deloitte</w:t>
      </w:r>
      <w:r w:rsidR="00AB4C20">
        <w:rPr>
          <w:rFonts w:ascii="Times New Roman" w:hAnsi="Times New Roman"/>
        </w:rPr>
        <w:t xml:space="preserve">, </w:t>
      </w:r>
      <w:bookmarkStart w:id="2" w:name="OLE_LINK1"/>
      <w:bookmarkStart w:id="3" w:name="OLE_LINK2"/>
      <w:r w:rsidRPr="00E20242">
        <w:rPr>
          <w:rFonts w:ascii="Times New Roman" w:hAnsi="Times New Roman"/>
          <w:i/>
        </w:rPr>
        <w:t>Defined Contribution/401(k) Fee Study</w:t>
      </w:r>
      <w:bookmarkEnd w:id="2"/>
      <w:bookmarkEnd w:id="3"/>
      <w:r w:rsidR="00181274">
        <w:rPr>
          <w:rFonts w:ascii="Times New Roman" w:hAnsi="Times New Roman"/>
        </w:rPr>
        <w:t xml:space="preserve">, </w:t>
      </w:r>
      <w:r w:rsidRPr="00E20242">
        <w:rPr>
          <w:rFonts w:ascii="Times New Roman" w:hAnsi="Times New Roman"/>
        </w:rPr>
        <w:t>Investment Company Institute</w:t>
      </w:r>
      <w:r w:rsidR="00181274">
        <w:rPr>
          <w:rFonts w:ascii="Times New Roman" w:hAnsi="Times New Roman"/>
        </w:rPr>
        <w:t>, (</w:t>
      </w:r>
      <w:r w:rsidR="00BC399F">
        <w:rPr>
          <w:rFonts w:ascii="Times New Roman" w:hAnsi="Times New Roman"/>
        </w:rPr>
        <w:t>August 2014</w:t>
      </w:r>
      <w:r w:rsidR="00181274">
        <w:rPr>
          <w:rFonts w:ascii="Times New Roman" w:hAnsi="Times New Roman"/>
        </w:rPr>
        <w:t>)</w:t>
      </w:r>
      <w:r>
        <w:rPr>
          <w:rFonts w:ascii="Times New Roman" w:hAnsi="Times New Roman"/>
        </w:rPr>
        <w:t>.</w:t>
      </w:r>
    </w:p>
  </w:footnote>
  <w:footnote w:id="5">
    <w:p w:rsidR="00A65835" w14:paraId="6FE53C58" w14:textId="4DF7A091">
      <w:pPr>
        <w:pStyle w:val="FootnoteText"/>
      </w:pPr>
      <w:r w:rsidRPr="00F51CC7">
        <w:rPr>
          <w:rStyle w:val="FootnoteReference"/>
          <w:rFonts w:ascii="Times New Roman" w:hAnsi="Times New Roman"/>
          <w:vertAlign w:val="superscript"/>
        </w:rPr>
        <w:footnoteRef/>
      </w:r>
      <w:r w:rsidRPr="00F51CC7">
        <w:rPr>
          <w:rFonts w:ascii="Times New Roman" w:hAnsi="Times New Roman"/>
          <w:vertAlign w:val="superscript"/>
        </w:rPr>
        <w:t xml:space="preserve"> </w:t>
      </w:r>
      <w:r>
        <w:rPr>
          <w:rFonts w:ascii="Times New Roman" w:hAnsi="Times New Roman"/>
        </w:rPr>
        <w:t xml:space="preserve">Based on Form 5500 </w:t>
      </w:r>
      <w:r w:rsidRPr="00F51CC7">
        <w:rPr>
          <w:rFonts w:ascii="Times New Roman" w:hAnsi="Times New Roman"/>
        </w:rPr>
        <w:t>Data 2000-20</w:t>
      </w:r>
      <w:r>
        <w:rPr>
          <w:rFonts w:ascii="Times New Roman" w:hAnsi="Times New Roman"/>
        </w:rPr>
        <w:t xml:space="preserve">10, defined benefit plans are </w:t>
      </w:r>
      <w:r w:rsidRPr="00515768">
        <w:rPr>
          <w:rFonts w:ascii="Times New Roman" w:hAnsi="Times New Roman"/>
        </w:rPr>
        <w:t>approximately 33</w:t>
      </w:r>
      <w:r>
        <w:rPr>
          <w:rFonts w:ascii="Times New Roman" w:hAnsi="Times New Roman"/>
        </w:rPr>
        <w:t xml:space="preserve"> percent less likely than defined contribution plans to be invested in a registered investment company.</w:t>
      </w:r>
      <w:r w:rsidR="00515768">
        <w:rPr>
          <w:rFonts w:ascii="Times New Roman" w:hAnsi="Times New Roman"/>
        </w:rPr>
        <w:t xml:space="preserve"> </w:t>
      </w:r>
      <w:r w:rsidRPr="005B2727">
        <w:rPr>
          <w:rFonts w:ascii="Times New Roman" w:hAnsi="Times New Roman"/>
          <w:i/>
        </w:rPr>
        <w:t>Also see</w:t>
      </w:r>
      <w:r w:rsidRPr="00F51CC7">
        <w:rPr>
          <w:rFonts w:ascii="Times New Roman" w:hAnsi="Times New Roman"/>
        </w:rPr>
        <w:t xml:space="preserve"> </w:t>
      </w:r>
      <w:r w:rsidR="00181274">
        <w:rPr>
          <w:rFonts w:ascii="Times New Roman" w:hAnsi="Times New Roman"/>
        </w:rPr>
        <w:t xml:space="preserve">Sarah </w:t>
      </w:r>
      <w:r w:rsidRPr="00F51CC7">
        <w:rPr>
          <w:rFonts w:ascii="Times New Roman" w:hAnsi="Times New Roman"/>
        </w:rPr>
        <w:t>Holden</w:t>
      </w:r>
      <w:r w:rsidR="00181274">
        <w:rPr>
          <w:rFonts w:ascii="Times New Roman" w:hAnsi="Times New Roman"/>
        </w:rPr>
        <w:t xml:space="preserve">, </w:t>
      </w:r>
      <w:r w:rsidRPr="00D60A65">
        <w:rPr>
          <w:rFonts w:ascii="Times New Roman" w:hAnsi="Times New Roman"/>
          <w:i/>
          <w:iCs/>
        </w:rPr>
        <w:t>The Economics of Providing 401(k) Plans: Services, Fees, and Expenses</w:t>
      </w:r>
      <w:r w:rsidR="00181274">
        <w:rPr>
          <w:rFonts w:ascii="Times New Roman" w:hAnsi="Times New Roman"/>
        </w:rPr>
        <w:t xml:space="preserve">, </w:t>
      </w:r>
      <w:r w:rsidRPr="00F51CC7">
        <w:rPr>
          <w:rFonts w:ascii="Times New Roman" w:hAnsi="Times New Roman"/>
          <w:i/>
        </w:rPr>
        <w:t>Investment Company Institute</w:t>
      </w:r>
      <w:r w:rsidRPr="00F51CC7">
        <w:rPr>
          <w:rFonts w:ascii="Times New Roman" w:hAnsi="Times New Roman"/>
        </w:rPr>
        <w:t xml:space="preserve">, </w:t>
      </w:r>
      <w:r w:rsidR="00181274">
        <w:rPr>
          <w:rFonts w:ascii="Times New Roman" w:hAnsi="Times New Roman"/>
        </w:rPr>
        <w:t>(</w:t>
      </w:r>
      <w:r w:rsidRPr="00F51CC7">
        <w:rPr>
          <w:rFonts w:ascii="Times New Roman" w:hAnsi="Times New Roman"/>
        </w:rPr>
        <w:t>September 2010</w:t>
      </w:r>
      <w:r w:rsidR="00181274">
        <w:rPr>
          <w:rFonts w:ascii="Times New Roman" w:hAnsi="Times New Roman"/>
        </w:rPr>
        <w:t>)</w:t>
      </w:r>
      <w:r w:rsidRPr="00F51CC7">
        <w:rPr>
          <w:rFonts w:ascii="Times New Roman" w:hAnsi="Times New Roman"/>
        </w:rPr>
        <w:t>.</w:t>
      </w:r>
    </w:p>
  </w:footnote>
  <w:footnote w:id="6">
    <w:p w:rsidR="00AB4C20" w:rsidRPr="00F24D32" w:rsidP="00E662CA" w14:paraId="0A256700" w14:textId="35C5519E">
      <w:pPr>
        <w:pStyle w:val="FootnoteText"/>
        <w:rPr>
          <w:rFonts w:ascii="Times New Roman" w:hAnsi="Times New Roman"/>
        </w:rPr>
      </w:pPr>
      <w:r w:rsidRPr="00F24D32">
        <w:rPr>
          <w:rStyle w:val="FootnoteReference"/>
          <w:rFonts w:ascii="Times New Roman" w:hAnsi="Times New Roman"/>
          <w:vertAlign w:val="superscript"/>
        </w:rPr>
        <w:footnoteRef/>
      </w:r>
      <w:r>
        <w:rPr>
          <w:rFonts w:ascii="Times New Roman" w:hAnsi="Times New Roman"/>
        </w:rPr>
        <w:t xml:space="preserve"> </w:t>
      </w:r>
      <w:r>
        <w:rPr>
          <w:rFonts w:ascii="Times New Roman" w:hAnsi="Times New Roman"/>
        </w:rPr>
        <w:t xml:space="preserve">Employee Benefits Security Administration, </w:t>
      </w:r>
      <w:r w:rsidRPr="00D60A65">
        <w:rPr>
          <w:rFonts w:ascii="Times New Roman" w:hAnsi="Times New Roman"/>
          <w:i/>
          <w:iCs/>
        </w:rPr>
        <w:t>Abstract of 202</w:t>
      </w:r>
      <w:r>
        <w:rPr>
          <w:rFonts w:ascii="Times New Roman" w:hAnsi="Times New Roman"/>
          <w:i/>
          <w:iCs/>
        </w:rPr>
        <w:t>2</w:t>
      </w:r>
      <w:r w:rsidRPr="00D60A65">
        <w:rPr>
          <w:rFonts w:ascii="Times New Roman" w:hAnsi="Times New Roman"/>
          <w:i/>
          <w:iCs/>
        </w:rPr>
        <w:t xml:space="preserve"> Form 5500 Annual Reports</w:t>
      </w:r>
      <w:r>
        <w:rPr>
          <w:rFonts w:ascii="Times New Roman" w:hAnsi="Times New Roman"/>
        </w:rPr>
        <w:t xml:space="preserve">, </w:t>
      </w:r>
      <w:r>
        <w:rPr>
          <w:rFonts w:ascii="Times New Roman" w:hAnsi="Times New Roman"/>
        </w:rPr>
        <w:t>Table A1</w:t>
      </w:r>
      <w:r>
        <w:rPr>
          <w:rFonts w:ascii="Times New Roman" w:hAnsi="Times New Roman"/>
        </w:rPr>
        <w:t xml:space="preserve"> </w:t>
      </w:r>
      <w:r>
        <w:rPr>
          <w:rFonts w:ascii="Times New Roman" w:hAnsi="Times New Roman"/>
        </w:rPr>
        <w:t xml:space="preserve">of the Private Pension Plan Bulletin, </w:t>
      </w:r>
      <w:r>
        <w:rPr>
          <w:rFonts w:ascii="Times New Roman" w:hAnsi="Times New Roman"/>
        </w:rPr>
        <w:t xml:space="preserve">(September 2024), </w:t>
      </w:r>
      <w:hyperlink r:id="rId2" w:history="1">
        <w:r w:rsidRPr="002044BB">
          <w:rPr>
            <w:rStyle w:val="Hyperlink"/>
            <w:rFonts w:ascii="Times New Roman" w:hAnsi="Times New Roman"/>
          </w:rPr>
          <w:t>https://www.dol.gov/sites/dolgov/files/EBSA/researchers/statistics/retirement-bulletins/private-pension-plan-bulletins-abstract-2022.pdf</w:t>
        </w:r>
      </w:hyperlink>
      <w:r>
        <w:rPr>
          <w:rFonts w:ascii="Times New Roman" w:hAnsi="Times New Roman"/>
        </w:rPr>
        <w:t>.</w:t>
      </w:r>
      <w:r w:rsidRPr="00AB4C20">
        <w:rPr>
          <w:rFonts w:ascii="Times New Roman" w:hAnsi="Times New Roman"/>
        </w:rPr>
        <w:t xml:space="preserve"> </w:t>
      </w:r>
    </w:p>
  </w:footnote>
  <w:footnote w:id="7">
    <w:p w:rsidR="00413705" w:rsidRPr="00FB462A" w14:paraId="302A9653" w14:textId="0838ADF0">
      <w:pPr>
        <w:pStyle w:val="FootnoteText"/>
        <w:rPr>
          <w:rFonts w:ascii="Times New Roman" w:hAnsi="Times New Roman"/>
        </w:rPr>
      </w:pPr>
      <w:r w:rsidRPr="008568A5">
        <w:rPr>
          <w:rStyle w:val="FootnoteReference"/>
          <w:rFonts w:ascii="Times New Roman" w:hAnsi="Times New Roman"/>
          <w:vertAlign w:val="superscript"/>
        </w:rPr>
        <w:footnoteRef/>
      </w:r>
      <w:r w:rsidRPr="008568A5">
        <w:rPr>
          <w:rFonts w:ascii="Times New Roman" w:hAnsi="Times New Roman"/>
        </w:rPr>
        <w:t xml:space="preserve"> </w:t>
      </w:r>
      <w:r w:rsidRPr="00FB462A" w:rsidR="008568A5">
        <w:rPr>
          <w:rFonts w:ascii="Times New Roman" w:hAnsi="Times New Roman"/>
        </w:rPr>
        <w:t>Internal DOL calculation based on 202</w:t>
      </w:r>
      <w:r w:rsidR="00AB4C20">
        <w:rPr>
          <w:rFonts w:ascii="Times New Roman" w:hAnsi="Times New Roman"/>
        </w:rPr>
        <w:t>5</w:t>
      </w:r>
      <w:r w:rsidRPr="00FB462A" w:rsidR="008568A5">
        <w:rPr>
          <w:rFonts w:ascii="Times New Roman" w:hAnsi="Times New Roman"/>
        </w:rPr>
        <w:t xml:space="preserve"> labor cost data.</w:t>
      </w:r>
      <w:r w:rsidR="00324542">
        <w:rPr>
          <w:rFonts w:ascii="Times New Roman" w:hAnsi="Times New Roman"/>
        </w:rPr>
        <w:t xml:space="preserve"> </w:t>
      </w:r>
      <w:r w:rsidRPr="00FB462A" w:rsidR="008568A5">
        <w:rPr>
          <w:rFonts w:ascii="Times New Roman" w:hAnsi="Times New Roman"/>
        </w:rPr>
        <w:t xml:space="preserve">For a description of the Department’s methodology for calculating wage rates, see </w:t>
      </w:r>
      <w:hyperlink r:id="rId3" w:history="1">
        <w:r w:rsidRPr="00FB462A" w:rsidR="008568A5">
          <w:rPr>
            <w:rStyle w:val="Hyperlink"/>
            <w:rFonts w:ascii="Times New Roman" w:hAnsi="Times New Roman"/>
          </w:rPr>
          <w:t>https://www.dol.gov/sites/dolgov/files/EBSA/laws-and-regulations/rules-and-regulations/technical-appendices/labor-cost-inputs-used-in-ebsa-opr-ria-and-pra-burden-calculations-june-2019.pdf</w:t>
        </w:r>
      </w:hyperlink>
    </w:p>
  </w:footnote>
  <w:footnote w:id="8">
    <w:p w:rsidR="007E608D" w14:paraId="0768ED84" w14:textId="7BB53792">
      <w:pPr>
        <w:pStyle w:val="FootnoteText"/>
        <w:rPr>
          <w:rFonts w:ascii="Times New Roman" w:hAnsi="Times New Roman"/>
        </w:rPr>
      </w:pPr>
      <w:r w:rsidRPr="00190DD6">
        <w:rPr>
          <w:rStyle w:val="FootnoteReference"/>
          <w:rFonts w:ascii="Times New Roman" w:hAnsi="Times New Roman"/>
          <w:vertAlign w:val="superscript"/>
        </w:rPr>
        <w:footnoteRef/>
      </w:r>
      <w:r w:rsidRPr="00190DD6">
        <w:rPr>
          <w:rFonts w:ascii="Times New Roman" w:hAnsi="Times New Roman"/>
        </w:rPr>
        <w:t xml:space="preserve"> The sum of these burdens may be slightly different to the values in this row because of rounding difference</w:t>
      </w:r>
      <w:r>
        <w:rPr>
          <w:rFonts w:ascii="Times New Roman" w:hAnsi="Times New Roman"/>
        </w:rPr>
        <w:t xml:space="preserve">s. </w:t>
      </w:r>
    </w:p>
    <w:p w:rsidR="007E608D" w:rsidRPr="00190DD6" w14:paraId="7221C742" w14:textId="77777777">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F73" w14:paraId="7404EB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835" w:rsidP="00AC3E2C" w14:paraId="637048BD" w14:textId="4AE89353">
    <w:pPr>
      <w:rPr>
        <w:rFonts w:ascii="CG Times" w:hAnsi="CG Times"/>
        <w:b/>
        <w:bCs/>
        <w:sz w:val="20"/>
        <w:szCs w:val="20"/>
      </w:rPr>
    </w:pPr>
    <w:r>
      <w:rPr>
        <w:rFonts w:ascii="CG Times" w:hAnsi="CG Times"/>
        <w:b/>
        <w:bCs/>
        <w:sz w:val="20"/>
        <w:szCs w:val="20"/>
      </w:rPr>
      <w:t xml:space="preserve">Prohibited Transaction Class Exemption 77-4 </w:t>
    </w:r>
  </w:p>
  <w:p w:rsidR="00A65835" w:rsidP="00AC3E2C" w14:paraId="65A368A7" w14:textId="0FB1B8E0">
    <w:pPr>
      <w:rPr>
        <w:rFonts w:ascii="CG Times" w:hAnsi="CG Times"/>
        <w:b/>
        <w:bCs/>
        <w:sz w:val="20"/>
        <w:szCs w:val="20"/>
      </w:rPr>
    </w:pPr>
    <w:r>
      <w:rPr>
        <w:rFonts w:ascii="CG Times" w:hAnsi="CG Times"/>
        <w:b/>
        <w:bCs/>
        <w:sz w:val="20"/>
        <w:szCs w:val="20"/>
      </w:rPr>
      <w:t xml:space="preserve">Certain Transactions Between Investment Companies and Employee Benefit Plans </w:t>
    </w:r>
  </w:p>
  <w:p w:rsidR="00A65835" w:rsidP="00AC3E2C" w14:paraId="48F2C162" w14:textId="70C75091">
    <w:pPr>
      <w:rPr>
        <w:rFonts w:ascii="CG Times" w:hAnsi="CG Times"/>
        <w:b/>
        <w:bCs/>
        <w:sz w:val="20"/>
        <w:szCs w:val="20"/>
      </w:rPr>
    </w:pPr>
    <w:r>
      <w:rPr>
        <w:rFonts w:ascii="CG Times" w:hAnsi="CG Times"/>
        <w:b/>
        <w:bCs/>
        <w:sz w:val="20"/>
        <w:szCs w:val="20"/>
      </w:rPr>
      <w:t>OMB Number 1210-0049</w:t>
    </w:r>
  </w:p>
  <w:p w:rsidR="00694479" w:rsidP="00AC3E2C" w14:paraId="296AD020" w14:textId="2BC5030B">
    <w:pPr>
      <w:rPr>
        <w:rFonts w:ascii="CG Times" w:hAnsi="CG Times"/>
        <w:b/>
        <w:bCs/>
        <w:sz w:val="20"/>
        <w:szCs w:val="20"/>
      </w:rPr>
    </w:pPr>
    <w:r>
      <w:rPr>
        <w:rFonts w:ascii="CG Times" w:hAnsi="CG Times"/>
        <w:b/>
        <w:bCs/>
        <w:sz w:val="20"/>
        <w:szCs w:val="20"/>
      </w:rPr>
      <w:t>Expiration Date: 02/2</w:t>
    </w:r>
    <w:r w:rsidR="00100484">
      <w:rPr>
        <w:rFonts w:ascii="CG Times" w:hAnsi="CG Times"/>
        <w:b/>
        <w:bCs/>
        <w:sz w:val="20"/>
        <w:szCs w:val="20"/>
      </w:rPr>
      <w:t>9</w:t>
    </w:r>
    <w:r>
      <w:rPr>
        <w:rFonts w:ascii="CG Times" w:hAnsi="CG Times"/>
        <w:b/>
        <w:bCs/>
        <w:sz w:val="20"/>
        <w:szCs w:val="20"/>
      </w:rPr>
      <w:t>/202</w:t>
    </w:r>
    <w:r w:rsidR="00100484">
      <w:rPr>
        <w:rFonts w:ascii="CG Times" w:hAnsi="CG Times"/>
        <w:b/>
        <w:bCs/>
        <w:sz w:val="20"/>
        <w:szCs w:val="20"/>
      </w:rPr>
      <w:t>6</w:t>
    </w:r>
  </w:p>
  <w:p w:rsidR="00A65835" w:rsidP="00316117" w14:paraId="091228A6" w14:textId="77777777">
    <w:pPr>
      <w:jc w:val="right"/>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F73" w14:paraId="596832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3F5AD12E"/>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BC78F2"/>
    <w:multiLevelType w:val="multilevel"/>
    <w:tmpl w:val="65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313B35"/>
    <w:multiLevelType w:val="multilevel"/>
    <w:tmpl w:val="4C8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F44EFF"/>
    <w:multiLevelType w:val="multilevel"/>
    <w:tmpl w:val="7F4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2A59CC"/>
    <w:multiLevelType w:val="hybridMultilevel"/>
    <w:tmpl w:val="A3741C0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7E4855B5"/>
    <w:multiLevelType w:val="hybridMultilevel"/>
    <w:tmpl w:val="3E7A61C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6977007">
    <w:abstractNumId w:val="0"/>
    <w:lvlOverride w:ilvl="0">
      <w:startOverride w:val="1"/>
      <w:lvl w:ilvl="0">
        <w:start w:val="1"/>
        <w:numFmt w:val="decimal"/>
        <w:pStyle w:val="Quick1"/>
        <w:lvlText w:val="%1."/>
        <w:lvlJc w:val="left"/>
        <w:rPr>
          <w:i w:val="0"/>
          <w:iCs/>
        </w:rPr>
      </w:lvl>
    </w:lvlOverride>
  </w:num>
  <w:num w:numId="2" w16cid:durableId="1388411221">
    <w:abstractNumId w:val="0"/>
    <w:lvlOverride w:ilvl="0">
      <w:startOverride w:val="7"/>
      <w:lvl w:ilvl="0">
        <w:start w:val="7"/>
        <w:numFmt w:val="decimal"/>
        <w:pStyle w:val="Quick1"/>
        <w:lvlText w:val="%1."/>
        <w:lvlJc w:val="left"/>
        <w:rPr>
          <w:i w:val="0"/>
          <w:iCs w:val="0"/>
        </w:rPr>
      </w:lvl>
    </w:lvlOverride>
  </w:num>
  <w:num w:numId="3" w16cid:durableId="1082143289">
    <w:abstractNumId w:val="0"/>
    <w:lvlOverride w:ilvl="0">
      <w:startOverride w:val="9"/>
      <w:lvl w:ilvl="0">
        <w:start w:val="9"/>
        <w:numFmt w:val="decimal"/>
        <w:pStyle w:val="Quick1"/>
        <w:lvlText w:val="%1."/>
        <w:lvlJc w:val="left"/>
      </w:lvl>
    </w:lvlOverride>
  </w:num>
  <w:num w:numId="4" w16cid:durableId="483544385">
    <w:abstractNumId w:val="0"/>
    <w:lvlOverride w:ilvl="0">
      <w:startOverride w:val="13"/>
      <w:lvl w:ilvl="0">
        <w:start w:val="13"/>
        <w:numFmt w:val="decimal"/>
        <w:pStyle w:val="Quick1"/>
        <w:lvlText w:val="%1."/>
        <w:lvlJc w:val="left"/>
      </w:lvl>
    </w:lvlOverride>
  </w:num>
  <w:num w:numId="5" w16cid:durableId="1237090235">
    <w:abstractNumId w:val="8"/>
  </w:num>
  <w:num w:numId="6" w16cid:durableId="2101096046">
    <w:abstractNumId w:val="7"/>
  </w:num>
  <w:num w:numId="7" w16cid:durableId="1224682702">
    <w:abstractNumId w:val="6"/>
  </w:num>
  <w:num w:numId="8" w16cid:durableId="469977446">
    <w:abstractNumId w:val="2"/>
  </w:num>
  <w:num w:numId="9" w16cid:durableId="395932491">
    <w:abstractNumId w:val="4"/>
  </w:num>
  <w:num w:numId="10" w16cid:durableId="165439025">
    <w:abstractNumId w:val="1"/>
  </w:num>
  <w:num w:numId="11" w16cid:durableId="547838965">
    <w:abstractNumId w:val="3"/>
  </w:num>
  <w:num w:numId="12" w16cid:durableId="352461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15"/>
    <w:rsid w:val="000018D7"/>
    <w:rsid w:val="00004317"/>
    <w:rsid w:val="00014B7C"/>
    <w:rsid w:val="0002035C"/>
    <w:rsid w:val="0002524C"/>
    <w:rsid w:val="00030064"/>
    <w:rsid w:val="0005775D"/>
    <w:rsid w:val="00060AE1"/>
    <w:rsid w:val="000623A8"/>
    <w:rsid w:val="000625A6"/>
    <w:rsid w:val="00063FAA"/>
    <w:rsid w:val="000641E0"/>
    <w:rsid w:val="000702A2"/>
    <w:rsid w:val="00071971"/>
    <w:rsid w:val="000729AA"/>
    <w:rsid w:val="000B1ADE"/>
    <w:rsid w:val="000D08FC"/>
    <w:rsid w:val="000E4E68"/>
    <w:rsid w:val="000F0E30"/>
    <w:rsid w:val="000F0E7A"/>
    <w:rsid w:val="000F1383"/>
    <w:rsid w:val="000F37BC"/>
    <w:rsid w:val="00100484"/>
    <w:rsid w:val="001148CF"/>
    <w:rsid w:val="001202ED"/>
    <w:rsid w:val="00121312"/>
    <w:rsid w:val="0012184D"/>
    <w:rsid w:val="00122840"/>
    <w:rsid w:val="0013025D"/>
    <w:rsid w:val="00141B8B"/>
    <w:rsid w:val="0014443E"/>
    <w:rsid w:val="00152133"/>
    <w:rsid w:val="001533AB"/>
    <w:rsid w:val="001603BC"/>
    <w:rsid w:val="00166219"/>
    <w:rsid w:val="00170549"/>
    <w:rsid w:val="00174CC1"/>
    <w:rsid w:val="00175AD9"/>
    <w:rsid w:val="00175F0E"/>
    <w:rsid w:val="00181274"/>
    <w:rsid w:val="00186F2A"/>
    <w:rsid w:val="001873E1"/>
    <w:rsid w:val="001878F3"/>
    <w:rsid w:val="00190DD6"/>
    <w:rsid w:val="001933A9"/>
    <w:rsid w:val="00193BD7"/>
    <w:rsid w:val="001A01A5"/>
    <w:rsid w:val="001A0208"/>
    <w:rsid w:val="001A124C"/>
    <w:rsid w:val="001B76CE"/>
    <w:rsid w:val="001F1F27"/>
    <w:rsid w:val="0020297D"/>
    <w:rsid w:val="002044BB"/>
    <w:rsid w:val="002239DD"/>
    <w:rsid w:val="002259F1"/>
    <w:rsid w:val="00241BF5"/>
    <w:rsid w:val="00250AC4"/>
    <w:rsid w:val="00251940"/>
    <w:rsid w:val="00262D2E"/>
    <w:rsid w:val="0027056B"/>
    <w:rsid w:val="002829D1"/>
    <w:rsid w:val="002900F4"/>
    <w:rsid w:val="00295144"/>
    <w:rsid w:val="00296B04"/>
    <w:rsid w:val="0029704F"/>
    <w:rsid w:val="00297795"/>
    <w:rsid w:val="002A32CB"/>
    <w:rsid w:val="002A425B"/>
    <w:rsid w:val="002B572C"/>
    <w:rsid w:val="002B72B4"/>
    <w:rsid w:val="002C3806"/>
    <w:rsid w:val="002D77D4"/>
    <w:rsid w:val="002E5CE9"/>
    <w:rsid w:val="00313357"/>
    <w:rsid w:val="00316117"/>
    <w:rsid w:val="00321EA5"/>
    <w:rsid w:val="003239E2"/>
    <w:rsid w:val="00324542"/>
    <w:rsid w:val="00346385"/>
    <w:rsid w:val="00350474"/>
    <w:rsid w:val="00350D33"/>
    <w:rsid w:val="00363A7F"/>
    <w:rsid w:val="00366F65"/>
    <w:rsid w:val="00387CCD"/>
    <w:rsid w:val="0039454D"/>
    <w:rsid w:val="003A717D"/>
    <w:rsid w:val="003B0A46"/>
    <w:rsid w:val="003C320F"/>
    <w:rsid w:val="003C6F50"/>
    <w:rsid w:val="003D4221"/>
    <w:rsid w:val="003E0AB9"/>
    <w:rsid w:val="003E13D2"/>
    <w:rsid w:val="003F7D36"/>
    <w:rsid w:val="00413705"/>
    <w:rsid w:val="0041664B"/>
    <w:rsid w:val="00420B0F"/>
    <w:rsid w:val="00436A4E"/>
    <w:rsid w:val="0045080B"/>
    <w:rsid w:val="00467F7F"/>
    <w:rsid w:val="0047342F"/>
    <w:rsid w:val="00482B5F"/>
    <w:rsid w:val="0048401F"/>
    <w:rsid w:val="00487A1A"/>
    <w:rsid w:val="0049021E"/>
    <w:rsid w:val="00493A2E"/>
    <w:rsid w:val="004A62D7"/>
    <w:rsid w:val="004B4A4A"/>
    <w:rsid w:val="004D71E5"/>
    <w:rsid w:val="004E0582"/>
    <w:rsid w:val="004F3718"/>
    <w:rsid w:val="0050740E"/>
    <w:rsid w:val="00507908"/>
    <w:rsid w:val="005128DE"/>
    <w:rsid w:val="00515768"/>
    <w:rsid w:val="00517549"/>
    <w:rsid w:val="00556B18"/>
    <w:rsid w:val="0056029D"/>
    <w:rsid w:val="0056278B"/>
    <w:rsid w:val="00563512"/>
    <w:rsid w:val="00574EB0"/>
    <w:rsid w:val="00575509"/>
    <w:rsid w:val="00575A51"/>
    <w:rsid w:val="00582CED"/>
    <w:rsid w:val="00583FB3"/>
    <w:rsid w:val="0059298A"/>
    <w:rsid w:val="0059445E"/>
    <w:rsid w:val="005A271F"/>
    <w:rsid w:val="005B022B"/>
    <w:rsid w:val="005B2727"/>
    <w:rsid w:val="005C344D"/>
    <w:rsid w:val="005E3608"/>
    <w:rsid w:val="005E368A"/>
    <w:rsid w:val="005F61F5"/>
    <w:rsid w:val="00601EC2"/>
    <w:rsid w:val="00603839"/>
    <w:rsid w:val="006110E7"/>
    <w:rsid w:val="006115C9"/>
    <w:rsid w:val="00616F05"/>
    <w:rsid w:val="00622E77"/>
    <w:rsid w:val="006233C0"/>
    <w:rsid w:val="00650FBA"/>
    <w:rsid w:val="00660104"/>
    <w:rsid w:val="006611F0"/>
    <w:rsid w:val="0066330E"/>
    <w:rsid w:val="006636B9"/>
    <w:rsid w:val="00665227"/>
    <w:rsid w:val="00667D0E"/>
    <w:rsid w:val="006731CA"/>
    <w:rsid w:val="00682CFF"/>
    <w:rsid w:val="00682E5E"/>
    <w:rsid w:val="00686B9B"/>
    <w:rsid w:val="00686C89"/>
    <w:rsid w:val="00694479"/>
    <w:rsid w:val="00697C1E"/>
    <w:rsid w:val="006A44BA"/>
    <w:rsid w:val="006B4D48"/>
    <w:rsid w:val="006C2E35"/>
    <w:rsid w:val="006C36FB"/>
    <w:rsid w:val="006E067A"/>
    <w:rsid w:val="006E297E"/>
    <w:rsid w:val="006F09F6"/>
    <w:rsid w:val="006F0EF4"/>
    <w:rsid w:val="006F2EAC"/>
    <w:rsid w:val="006F6AF6"/>
    <w:rsid w:val="006F7FB6"/>
    <w:rsid w:val="0070121F"/>
    <w:rsid w:val="00702B55"/>
    <w:rsid w:val="00717204"/>
    <w:rsid w:val="007248AC"/>
    <w:rsid w:val="00727E60"/>
    <w:rsid w:val="00733A74"/>
    <w:rsid w:val="00751922"/>
    <w:rsid w:val="00755438"/>
    <w:rsid w:val="00770BEE"/>
    <w:rsid w:val="00784638"/>
    <w:rsid w:val="00793F94"/>
    <w:rsid w:val="007A6AB7"/>
    <w:rsid w:val="007B3784"/>
    <w:rsid w:val="007B3C66"/>
    <w:rsid w:val="007C5733"/>
    <w:rsid w:val="007C63DC"/>
    <w:rsid w:val="007E608D"/>
    <w:rsid w:val="007F4BE7"/>
    <w:rsid w:val="007F5632"/>
    <w:rsid w:val="008008E0"/>
    <w:rsid w:val="00804BB4"/>
    <w:rsid w:val="00814C62"/>
    <w:rsid w:val="00825B64"/>
    <w:rsid w:val="00826894"/>
    <w:rsid w:val="00834030"/>
    <w:rsid w:val="00842C76"/>
    <w:rsid w:val="00845EBE"/>
    <w:rsid w:val="00847F3A"/>
    <w:rsid w:val="00851A07"/>
    <w:rsid w:val="00851BE8"/>
    <w:rsid w:val="008568A5"/>
    <w:rsid w:val="00861A2E"/>
    <w:rsid w:val="008675AE"/>
    <w:rsid w:val="00880FB9"/>
    <w:rsid w:val="008849CB"/>
    <w:rsid w:val="008926FF"/>
    <w:rsid w:val="00893C11"/>
    <w:rsid w:val="008A4C1E"/>
    <w:rsid w:val="008B2F73"/>
    <w:rsid w:val="008B4907"/>
    <w:rsid w:val="008B7EED"/>
    <w:rsid w:val="008C1313"/>
    <w:rsid w:val="008C4809"/>
    <w:rsid w:val="008E2799"/>
    <w:rsid w:val="008F2929"/>
    <w:rsid w:val="008F2DEB"/>
    <w:rsid w:val="008F7209"/>
    <w:rsid w:val="00900901"/>
    <w:rsid w:val="009106BE"/>
    <w:rsid w:val="00911FDA"/>
    <w:rsid w:val="00912BFA"/>
    <w:rsid w:val="0091722D"/>
    <w:rsid w:val="00920599"/>
    <w:rsid w:val="0092534D"/>
    <w:rsid w:val="009379D9"/>
    <w:rsid w:val="00944191"/>
    <w:rsid w:val="009551F3"/>
    <w:rsid w:val="0095567D"/>
    <w:rsid w:val="00956B2F"/>
    <w:rsid w:val="009617D0"/>
    <w:rsid w:val="00965E6D"/>
    <w:rsid w:val="00984C15"/>
    <w:rsid w:val="009878DF"/>
    <w:rsid w:val="009A7807"/>
    <w:rsid w:val="009D16C4"/>
    <w:rsid w:val="009D434E"/>
    <w:rsid w:val="009D761B"/>
    <w:rsid w:val="009F3B26"/>
    <w:rsid w:val="00A04FC0"/>
    <w:rsid w:val="00A27319"/>
    <w:rsid w:val="00A35375"/>
    <w:rsid w:val="00A413F6"/>
    <w:rsid w:val="00A424CE"/>
    <w:rsid w:val="00A54B6E"/>
    <w:rsid w:val="00A605A5"/>
    <w:rsid w:val="00A61723"/>
    <w:rsid w:val="00A65835"/>
    <w:rsid w:val="00A66880"/>
    <w:rsid w:val="00A73C8D"/>
    <w:rsid w:val="00A831AA"/>
    <w:rsid w:val="00A8356D"/>
    <w:rsid w:val="00A842C6"/>
    <w:rsid w:val="00A9391B"/>
    <w:rsid w:val="00A97BD5"/>
    <w:rsid w:val="00AA03D1"/>
    <w:rsid w:val="00AA3903"/>
    <w:rsid w:val="00AB0D04"/>
    <w:rsid w:val="00AB4C20"/>
    <w:rsid w:val="00AC3DBC"/>
    <w:rsid w:val="00AC3E2C"/>
    <w:rsid w:val="00AC3ED6"/>
    <w:rsid w:val="00AD2FC0"/>
    <w:rsid w:val="00AD300B"/>
    <w:rsid w:val="00AD59B9"/>
    <w:rsid w:val="00AE3C46"/>
    <w:rsid w:val="00AF0AA6"/>
    <w:rsid w:val="00B05BDC"/>
    <w:rsid w:val="00B06D6E"/>
    <w:rsid w:val="00B134DA"/>
    <w:rsid w:val="00B14C9B"/>
    <w:rsid w:val="00B25909"/>
    <w:rsid w:val="00B26E79"/>
    <w:rsid w:val="00B504A0"/>
    <w:rsid w:val="00B549FF"/>
    <w:rsid w:val="00B62474"/>
    <w:rsid w:val="00B64108"/>
    <w:rsid w:val="00B6628C"/>
    <w:rsid w:val="00B72987"/>
    <w:rsid w:val="00B862B1"/>
    <w:rsid w:val="00B8639F"/>
    <w:rsid w:val="00B86EA3"/>
    <w:rsid w:val="00B9239F"/>
    <w:rsid w:val="00B9294F"/>
    <w:rsid w:val="00BA294C"/>
    <w:rsid w:val="00BA62BD"/>
    <w:rsid w:val="00BA7A20"/>
    <w:rsid w:val="00BA7E37"/>
    <w:rsid w:val="00BB1AF5"/>
    <w:rsid w:val="00BC399F"/>
    <w:rsid w:val="00BC796F"/>
    <w:rsid w:val="00BE61E6"/>
    <w:rsid w:val="00BF1668"/>
    <w:rsid w:val="00BF201E"/>
    <w:rsid w:val="00C0029A"/>
    <w:rsid w:val="00C33315"/>
    <w:rsid w:val="00C343B8"/>
    <w:rsid w:val="00C45739"/>
    <w:rsid w:val="00C53D30"/>
    <w:rsid w:val="00C57D83"/>
    <w:rsid w:val="00C70BFA"/>
    <w:rsid w:val="00C74329"/>
    <w:rsid w:val="00C8345A"/>
    <w:rsid w:val="00C83F10"/>
    <w:rsid w:val="00C84E3C"/>
    <w:rsid w:val="00C93D18"/>
    <w:rsid w:val="00C9416D"/>
    <w:rsid w:val="00CA352F"/>
    <w:rsid w:val="00CB39F4"/>
    <w:rsid w:val="00CC2106"/>
    <w:rsid w:val="00CC3CED"/>
    <w:rsid w:val="00CD3912"/>
    <w:rsid w:val="00CD7073"/>
    <w:rsid w:val="00CE2B2F"/>
    <w:rsid w:val="00CE5109"/>
    <w:rsid w:val="00CF557A"/>
    <w:rsid w:val="00D025E1"/>
    <w:rsid w:val="00D0373F"/>
    <w:rsid w:val="00D2341C"/>
    <w:rsid w:val="00D25428"/>
    <w:rsid w:val="00D266FF"/>
    <w:rsid w:val="00D32A7A"/>
    <w:rsid w:val="00D5132B"/>
    <w:rsid w:val="00D51F8D"/>
    <w:rsid w:val="00D6037A"/>
    <w:rsid w:val="00D60A65"/>
    <w:rsid w:val="00D65A2B"/>
    <w:rsid w:val="00D702CE"/>
    <w:rsid w:val="00D83AEF"/>
    <w:rsid w:val="00D83BF5"/>
    <w:rsid w:val="00D84C3A"/>
    <w:rsid w:val="00D94C03"/>
    <w:rsid w:val="00D974D0"/>
    <w:rsid w:val="00DA4E35"/>
    <w:rsid w:val="00DA7A44"/>
    <w:rsid w:val="00DC16CC"/>
    <w:rsid w:val="00DC20B7"/>
    <w:rsid w:val="00DC6DD9"/>
    <w:rsid w:val="00DE026D"/>
    <w:rsid w:val="00E00715"/>
    <w:rsid w:val="00E15C3B"/>
    <w:rsid w:val="00E20242"/>
    <w:rsid w:val="00E2170A"/>
    <w:rsid w:val="00E22470"/>
    <w:rsid w:val="00E341A6"/>
    <w:rsid w:val="00E3483A"/>
    <w:rsid w:val="00E53EF4"/>
    <w:rsid w:val="00E5584E"/>
    <w:rsid w:val="00E61729"/>
    <w:rsid w:val="00E66249"/>
    <w:rsid w:val="00E662CA"/>
    <w:rsid w:val="00E67D70"/>
    <w:rsid w:val="00E8166A"/>
    <w:rsid w:val="00E831AB"/>
    <w:rsid w:val="00E843ED"/>
    <w:rsid w:val="00E87804"/>
    <w:rsid w:val="00E9477E"/>
    <w:rsid w:val="00E95480"/>
    <w:rsid w:val="00E955D1"/>
    <w:rsid w:val="00EB4A4C"/>
    <w:rsid w:val="00EC7655"/>
    <w:rsid w:val="00ED383A"/>
    <w:rsid w:val="00ED7A6B"/>
    <w:rsid w:val="00EE0C4C"/>
    <w:rsid w:val="00EE3C7A"/>
    <w:rsid w:val="00EE52BF"/>
    <w:rsid w:val="00F06F39"/>
    <w:rsid w:val="00F14E6A"/>
    <w:rsid w:val="00F16079"/>
    <w:rsid w:val="00F24D32"/>
    <w:rsid w:val="00F3380B"/>
    <w:rsid w:val="00F40663"/>
    <w:rsid w:val="00F46651"/>
    <w:rsid w:val="00F51CC7"/>
    <w:rsid w:val="00F663E5"/>
    <w:rsid w:val="00F77BC2"/>
    <w:rsid w:val="00F86652"/>
    <w:rsid w:val="00F93C1E"/>
    <w:rsid w:val="00F93D0D"/>
    <w:rsid w:val="00FA00D1"/>
    <w:rsid w:val="00FA2031"/>
    <w:rsid w:val="00FA4AE4"/>
    <w:rsid w:val="00FB462A"/>
    <w:rsid w:val="00FC4878"/>
    <w:rsid w:val="03EAC30A"/>
    <w:rsid w:val="0EEE6D5D"/>
    <w:rsid w:val="0F414B97"/>
    <w:rsid w:val="1FCD9822"/>
    <w:rsid w:val="292E9794"/>
    <w:rsid w:val="35D12C0C"/>
    <w:rsid w:val="3DFD6A5E"/>
    <w:rsid w:val="4128DE14"/>
    <w:rsid w:val="438CBA8D"/>
    <w:rsid w:val="4B0E0170"/>
    <w:rsid w:val="4FAD0656"/>
    <w:rsid w:val="56D5F79C"/>
    <w:rsid w:val="584A5E47"/>
    <w:rsid w:val="5BB12B8C"/>
    <w:rsid w:val="66444F0E"/>
    <w:rsid w:val="74F8CD1D"/>
    <w:rsid w:val="7FE155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C57710"/>
  <w15:docId w15:val="{62FFA119-998F-481A-BB1D-C4CB893F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rPr>
      <w:sz w:val="20"/>
      <w:szCs w:val="20"/>
    </w:rPr>
  </w:style>
  <w:style w:type="character" w:styleId="Hyperlink">
    <w:name w:val="Hyperlink"/>
    <w:basedOn w:val="DefaultParagraphFont"/>
    <w:rsid w:val="00E662CA"/>
    <w:rPr>
      <w:color w:val="0000FF"/>
      <w:u w:val="single"/>
    </w:rPr>
  </w:style>
  <w:style w:type="paragraph" w:styleId="BalloonText">
    <w:name w:val="Balloon Text"/>
    <w:basedOn w:val="Normal"/>
    <w:semiHidden/>
    <w:rsid w:val="00F16079"/>
    <w:rPr>
      <w:rFonts w:ascii="Tahoma" w:hAnsi="Tahoma" w:cs="Tahoma"/>
      <w:sz w:val="16"/>
      <w:szCs w:val="16"/>
    </w:rPr>
  </w:style>
  <w:style w:type="character" w:styleId="CommentReference">
    <w:name w:val="annotation reference"/>
    <w:basedOn w:val="DefaultParagraphFont"/>
    <w:rsid w:val="006B4D48"/>
    <w:rPr>
      <w:sz w:val="16"/>
      <w:szCs w:val="16"/>
    </w:rPr>
  </w:style>
  <w:style w:type="paragraph" w:styleId="CommentText">
    <w:name w:val="annotation text"/>
    <w:basedOn w:val="Normal"/>
    <w:link w:val="CommentTextChar"/>
    <w:rsid w:val="006B4D48"/>
    <w:rPr>
      <w:sz w:val="20"/>
      <w:szCs w:val="20"/>
    </w:rPr>
  </w:style>
  <w:style w:type="character" w:customStyle="1" w:styleId="CommentTextChar">
    <w:name w:val="Comment Text Char"/>
    <w:basedOn w:val="DefaultParagraphFont"/>
    <w:link w:val="CommentText"/>
    <w:rsid w:val="006B4D48"/>
    <w:rPr>
      <w:rFonts w:ascii="Courier" w:hAnsi="Courier"/>
    </w:rPr>
  </w:style>
  <w:style w:type="paragraph" w:styleId="CommentSubject">
    <w:name w:val="annotation subject"/>
    <w:basedOn w:val="CommentText"/>
    <w:next w:val="CommentText"/>
    <w:link w:val="CommentSubjectChar"/>
    <w:rsid w:val="006B4D48"/>
    <w:rPr>
      <w:b/>
      <w:bCs/>
    </w:rPr>
  </w:style>
  <w:style w:type="character" w:customStyle="1" w:styleId="CommentSubjectChar">
    <w:name w:val="Comment Subject Char"/>
    <w:basedOn w:val="CommentTextChar"/>
    <w:link w:val="CommentSubject"/>
    <w:rsid w:val="006B4D48"/>
    <w:rPr>
      <w:rFonts w:ascii="Courier" w:hAnsi="Courier"/>
      <w:b/>
      <w:bCs/>
    </w:rPr>
  </w:style>
  <w:style w:type="character" w:customStyle="1" w:styleId="FootnoteTextChar">
    <w:name w:val="Footnote Text Char"/>
    <w:link w:val="FootnoteText"/>
    <w:rsid w:val="00FA00D1"/>
    <w:rPr>
      <w:rFonts w:ascii="Courier" w:hAnsi="Courier"/>
    </w:rPr>
  </w:style>
  <w:style w:type="paragraph" w:styleId="ListParagraph">
    <w:name w:val="List Paragraph"/>
    <w:basedOn w:val="Normal"/>
    <w:uiPriority w:val="34"/>
    <w:qFormat/>
    <w:rsid w:val="00250AC4"/>
    <w:pPr>
      <w:ind w:left="720"/>
      <w:contextualSpacing/>
    </w:pPr>
  </w:style>
  <w:style w:type="table" w:styleId="TableGrid">
    <w:name w:val="Table Grid"/>
    <w:basedOn w:val="TableNormal"/>
    <w:rsid w:val="00A66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09F6"/>
    <w:rPr>
      <w:rFonts w:ascii="Courier" w:hAnsi="Courier"/>
      <w:sz w:val="24"/>
      <w:szCs w:val="24"/>
    </w:rPr>
  </w:style>
  <w:style w:type="character" w:customStyle="1" w:styleId="FooterChar">
    <w:name w:val="Footer Char"/>
    <w:basedOn w:val="DefaultParagraphFont"/>
    <w:link w:val="Footer"/>
    <w:uiPriority w:val="99"/>
    <w:rsid w:val="008849CB"/>
    <w:rPr>
      <w:rFonts w:ascii="Courier" w:hAnsi="Courier"/>
      <w:sz w:val="24"/>
      <w:szCs w:val="24"/>
    </w:rPr>
  </w:style>
  <w:style w:type="paragraph" w:styleId="BodyText">
    <w:name w:val="Body Text"/>
    <w:basedOn w:val="Normal"/>
    <w:link w:val="BodyTextChar"/>
    <w:semiHidden/>
    <w:unhideWhenUsed/>
    <w:rsid w:val="00CD3912"/>
    <w:pPr>
      <w:spacing w:after="120"/>
    </w:pPr>
  </w:style>
  <w:style w:type="character" w:customStyle="1" w:styleId="BodyTextChar">
    <w:name w:val="Body Text Char"/>
    <w:basedOn w:val="DefaultParagraphFont"/>
    <w:link w:val="BodyText"/>
    <w:semiHidden/>
    <w:rsid w:val="00CD3912"/>
    <w:rPr>
      <w:rFonts w:ascii="Courier" w:hAnsi="Courier"/>
      <w:sz w:val="24"/>
      <w:szCs w:val="24"/>
    </w:rPr>
  </w:style>
  <w:style w:type="character" w:styleId="UnresolvedMention">
    <w:name w:val="Unresolved Mention"/>
    <w:basedOn w:val="DefaultParagraphFont"/>
    <w:uiPriority w:val="99"/>
    <w:semiHidden/>
    <w:unhideWhenUsed/>
    <w:rsid w:val="00AB4C20"/>
    <w:rPr>
      <w:color w:val="605E5C"/>
      <w:shd w:val="clear" w:color="auto" w:fill="E1DFDD"/>
    </w:rPr>
  </w:style>
  <w:style w:type="character" w:styleId="Mention">
    <w:name w:val="Mention"/>
    <w:basedOn w:val="DefaultParagraphFont"/>
    <w:uiPriority w:val="99"/>
    <w:unhideWhenUsed/>
    <w:rsid w:val="00F40663"/>
    <w:rPr>
      <w:color w:val="2B579A"/>
      <w:shd w:val="clear" w:color="auto" w:fill="E1DFDD"/>
    </w:rPr>
  </w:style>
  <w:style w:type="character" w:styleId="FollowedHyperlink">
    <w:name w:val="FollowedHyperlink"/>
    <w:basedOn w:val="DefaultParagraphFont"/>
    <w:semiHidden/>
    <w:unhideWhenUsed/>
    <w:rsid w:val="00965E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ici.org/system/files/2025-05/2025-factbook.pdf" TargetMode="External" /><Relationship Id="rId2" Type="http://schemas.openxmlformats.org/officeDocument/2006/relationships/hyperlink" Target="https://www.dol.gov/sites/dolgov/files/EBSA/researchers/statistics/retirement-bulletins/private-pension-plan-bulletins-abstract-2022.pdf" TargetMode="External" /><Relationship Id="rId3"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1A9EDEE98894D812C78A3E5E19715" ma:contentTypeVersion="12" ma:contentTypeDescription="Create a new document." ma:contentTypeScope="" ma:versionID="468428ee6002db919f3ad079b0858119">
  <xsd:schema xmlns:xsd="http://www.w3.org/2001/XMLSchema" xmlns:xs="http://www.w3.org/2001/XMLSchema" xmlns:p="http://schemas.microsoft.com/office/2006/metadata/properties" xmlns:ns2="1d25cef4-c62f-417b-a8ca-8556976750da" xmlns:ns3="3a742f95-76cb-405f-b03c-113bc3809428" xmlns:ns4="bee3cffc-2f53-4e00-a92a-7337a39469a7" targetNamespace="http://schemas.microsoft.com/office/2006/metadata/properties" ma:root="true" ma:fieldsID="60070b3f7dc20ee1eba3f7559e247c15" ns2:_="" ns3:_="" ns4:_="">
    <xsd:import namespace="1d25cef4-c62f-417b-a8ca-8556976750da"/>
    <xsd:import namespace="3a742f95-76cb-405f-b03c-113bc3809428"/>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cef4-c62f-417b-a8ca-85569767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42f95-76cb-405f-b03c-113bc3809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5cef4-c62f-417b-a8ca-8556976750da">
      <Terms xmlns="http://schemas.microsoft.com/office/infopath/2007/PartnerControls"/>
    </lcf76f155ced4ddcb4097134ff3c332f>
    <TaxCatchAll xmlns="bee3cffc-2f53-4e00-a92a-7337a39469a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7067C-3D9A-4385-BCF4-F199B25EBE38}">
  <ds:schemaRefs>
    <ds:schemaRef ds:uri="http://schemas.microsoft.com/sharepoint/v3/contenttype/forms"/>
  </ds:schemaRefs>
</ds:datastoreItem>
</file>

<file path=customXml/itemProps2.xml><?xml version="1.0" encoding="utf-8"?>
<ds:datastoreItem xmlns:ds="http://schemas.openxmlformats.org/officeDocument/2006/customXml" ds:itemID="{2504EA78-7676-4794-8283-CFAC876AE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cef4-c62f-417b-a8ca-8556976750da"/>
    <ds:schemaRef ds:uri="3a742f95-76cb-405f-b03c-113bc3809428"/>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5A3D7-127D-48C5-AC8D-6812765AE6AB}">
  <ds:schemaRefs>
    <ds:schemaRef ds:uri="http://purl.org/dc/dcmitype/"/>
    <ds:schemaRef ds:uri="http://purl.org/dc/terms/"/>
    <ds:schemaRef ds:uri="1d25cef4-c62f-417b-a8ca-8556976750da"/>
    <ds:schemaRef ds:uri="http://schemas.microsoft.com/office/2006/documentManagement/types"/>
    <ds:schemaRef ds:uri="http://schemas.openxmlformats.org/package/2006/metadata/core-properties"/>
    <ds:schemaRef ds:uri="http://schemas.microsoft.com/office/2006/metadata/properties"/>
    <ds:schemaRef ds:uri="3a742f95-76cb-405f-b03c-113bc3809428"/>
    <ds:schemaRef ds:uri="http://purl.org/dc/elements/1.1/"/>
    <ds:schemaRef ds:uri="http://schemas.microsoft.com/office/infopath/2007/PartnerControls"/>
    <ds:schemaRef ds:uri="bee3cffc-2f53-4e00-a92a-7337a39469a7"/>
    <ds:schemaRef ds:uri="http://www.w3.org/XML/1998/namespace"/>
  </ds:schemaRefs>
</ds:datastoreItem>
</file>

<file path=customXml/itemProps4.xml><?xml version="1.0" encoding="utf-8"?>
<ds:datastoreItem xmlns:ds="http://schemas.openxmlformats.org/officeDocument/2006/customXml" ds:itemID="{B5A664CB-6136-4AAA-901C-EE4C1E7D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3371</Words>
  <Characters>18695</Characters>
  <Application>Microsoft Office Word</Application>
  <DocSecurity>0</DocSecurity>
  <Lines>155</Lines>
  <Paragraphs>44</Paragraphs>
  <ScaleCrop>false</ScaleCrop>
  <Company>US Department of Labor</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EBSA</cp:lastModifiedBy>
  <cp:revision>4</cp:revision>
  <cp:lastPrinted>2016-07-13T11:28:00Z</cp:lastPrinted>
  <dcterms:created xsi:type="dcterms:W3CDTF">2025-11-18T18:28:00Z</dcterms:created>
  <dcterms:modified xsi:type="dcterms:W3CDTF">2025-12-12T15:16:00Z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0x0101002E71A9EDEE98894D812C78A3E5E19715</vt:lpwstr>
  </property>
  <property fmtid="{D5CDD505-2E9C-101B-9397-08002B2CF9AE}" pid="3" name="MediaServiceImageTags">
    <vt:lpwstr/>
  </property>
</Properties>
</file>