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5667" w:rsidP="002B60A7" w14:paraId="0C397CFF" w14:textId="48B5B456">
      <w:pPr>
        <w:pStyle w:val="Salutation"/>
        <w:spacing w:after="120"/>
      </w:pPr>
      <w:r w:rsidRPr="005D36EF">
        <w:rPr>
          <w:b/>
        </w:rPr>
        <w:t>To</w:t>
      </w:r>
      <w:r>
        <w:t>:</w:t>
      </w:r>
      <w:r>
        <w:tab/>
      </w:r>
      <w:bookmarkStart w:id="0" w:name="ToList"/>
      <w:bookmarkEnd w:id="0"/>
      <w:r w:rsidR="00FD4297">
        <w:t xml:space="preserve">Office of Information and Regulatory Affairs (OIRA), Office of Management and Budget (OMB) </w:t>
      </w:r>
    </w:p>
    <w:p w:rsidR="005D36EF" w:rsidP="002B60A7" w14:paraId="147CF298" w14:textId="3543EA8F">
      <w:pPr>
        <w:pStyle w:val="Salutation"/>
        <w:spacing w:after="120"/>
      </w:pPr>
      <w:r w:rsidRPr="005D36EF">
        <w:rPr>
          <w:b/>
        </w:rPr>
        <w:t>From</w:t>
      </w:r>
      <w:r>
        <w:t>:</w:t>
      </w:r>
      <w:r>
        <w:tab/>
      </w:r>
      <w:bookmarkStart w:id="1" w:name="From"/>
      <w:bookmarkEnd w:id="1"/>
      <w:r w:rsidR="00FD4297">
        <w:t>Marie Lawrence, Administration for Children and Families (ACF)</w:t>
      </w:r>
      <w:r w:rsidR="00D95767">
        <w:t>, Department of Health and Human Services (HHS)</w:t>
      </w:r>
    </w:p>
    <w:p w:rsidR="005D36EF" w:rsidP="002B60A7" w14:paraId="18736E4A" w14:textId="22AB66BB">
      <w:pPr>
        <w:pStyle w:val="Salutation"/>
        <w:spacing w:after="120"/>
      </w:pPr>
      <w:r w:rsidRPr="005D36EF">
        <w:rPr>
          <w:b/>
        </w:rPr>
        <w:t>Date</w:t>
      </w:r>
      <w:r>
        <w:t>:</w:t>
      </w:r>
      <w:r>
        <w:tab/>
      </w:r>
      <w:bookmarkStart w:id="2" w:name="DateMark"/>
      <w:bookmarkEnd w:id="2"/>
      <w:r w:rsidR="008D47FC">
        <w:t>6/</w:t>
      </w:r>
      <w:r w:rsidR="00063D35">
        <w:t>9</w:t>
      </w:r>
      <w:r w:rsidR="00261EEF">
        <w:t>/2025</w:t>
      </w:r>
    </w:p>
    <w:p w:rsidR="005D36EF" w:rsidP="002B60A7" w14:paraId="1F5AC1C9" w14:textId="0CAB41BF">
      <w:pPr>
        <w:pStyle w:val="Salutation"/>
        <w:spacing w:after="120"/>
      </w:pPr>
      <w:r w:rsidRPr="005D36EF">
        <w:rPr>
          <w:b/>
        </w:rPr>
        <w:t>Subject</w:t>
      </w:r>
      <w:r>
        <w:t>:</w:t>
      </w:r>
      <w:r>
        <w:tab/>
      </w:r>
      <w:bookmarkStart w:id="3" w:name="Subject"/>
      <w:bookmarkEnd w:id="3"/>
      <w:r w:rsidR="00485130">
        <w:t xml:space="preserve">NextGen </w:t>
      </w:r>
      <w:r w:rsidR="00092FB7">
        <w:t>Follow-up Survey Gift Card Experiment</w:t>
      </w:r>
    </w:p>
    <w:p w:rsidR="005D36EF" w:rsidP="005D36EF" w14:paraId="77C8F8A2" w14:textId="77777777">
      <w:pPr>
        <w:pStyle w:val="FootnoteSep"/>
      </w:pPr>
    </w:p>
    <w:p w:rsidR="00004207" w:rsidP="00DF0A58" w14:paraId="31A0B809" w14:textId="66607DB6">
      <w:pPr>
        <w:pStyle w:val="Paragraph"/>
      </w:pPr>
      <w:bookmarkStart w:id="4" w:name="StartingPoint"/>
      <w:bookmarkEnd w:id="4"/>
      <w:r>
        <w:t>The</w:t>
      </w:r>
      <w:r w:rsidR="00091476">
        <w:t xml:space="preserve"> Mathematica</w:t>
      </w:r>
      <w:r>
        <w:t xml:space="preserve"> </w:t>
      </w:r>
      <w:r w:rsidR="00D85BDE">
        <w:t xml:space="preserve">study </w:t>
      </w:r>
      <w:r w:rsidR="005F4B27">
        <w:t>team conducting the Next Generation of Enhanced Employment Strategies (</w:t>
      </w:r>
      <w:r>
        <w:t>NextGen</w:t>
      </w:r>
      <w:r w:rsidR="005F4B27">
        <w:t>)</w:t>
      </w:r>
      <w:r>
        <w:t xml:space="preserve"> Project</w:t>
      </w:r>
      <w:r w:rsidR="00091476">
        <w:t>, under contract to the Office of Planning, Research, and Evaluation (OPRE) within the Administration for Children and Families (ACF),</w:t>
      </w:r>
      <w:r>
        <w:t xml:space="preserve"> is continuing to </w:t>
      </w:r>
      <w:r w:rsidR="00052C65">
        <w:t>identify strategies to boost response rates</w:t>
      </w:r>
      <w:r w:rsidR="005F4B27">
        <w:t xml:space="preserve"> on follow-up surveys of study participants</w:t>
      </w:r>
      <w:r w:rsidR="00052C65">
        <w:t xml:space="preserve">. </w:t>
      </w:r>
      <w:r w:rsidR="007279A0">
        <w:t xml:space="preserve">Starting in </w:t>
      </w:r>
      <w:r w:rsidR="00AD7AE2">
        <w:t>June 2022</w:t>
      </w:r>
      <w:r w:rsidR="00190A98">
        <w:t xml:space="preserve">, </w:t>
      </w:r>
      <w:r w:rsidR="005F4B27">
        <w:t>the</w:t>
      </w:r>
      <w:r w:rsidR="00FC633F">
        <w:t xml:space="preserve"> </w:t>
      </w:r>
      <w:r w:rsidR="009B2BF9">
        <w:t>study</w:t>
      </w:r>
      <w:r w:rsidR="005F4B27">
        <w:t xml:space="preserve"> team</w:t>
      </w:r>
      <w:r w:rsidR="001B71F2">
        <w:t xml:space="preserve"> provided</w:t>
      </w:r>
      <w:r w:rsidR="00FC633F">
        <w:t xml:space="preserve"> </w:t>
      </w:r>
      <w:r w:rsidR="00647879">
        <w:t xml:space="preserve">a </w:t>
      </w:r>
      <w:r w:rsidR="001B71F2">
        <w:t xml:space="preserve">$5 prepaid </w:t>
      </w:r>
      <w:r w:rsidR="00AB7ED1">
        <w:t xml:space="preserve">cash </w:t>
      </w:r>
      <w:r w:rsidR="00635047">
        <w:t>token of appreciation</w:t>
      </w:r>
      <w:r w:rsidR="00647879">
        <w:t xml:space="preserve"> </w:t>
      </w:r>
      <w:r w:rsidR="001B71F2">
        <w:t>to some participants</w:t>
      </w:r>
      <w:r w:rsidR="005F4B27">
        <w:t xml:space="preserve"> </w:t>
      </w:r>
      <w:r w:rsidRPr="005F4B27" w:rsidR="005F4B27">
        <w:t xml:space="preserve">before </w:t>
      </w:r>
      <w:r w:rsidR="005F4B27">
        <w:t>they responded to the follow-up survey</w:t>
      </w:r>
      <w:r w:rsidR="001B71F2">
        <w:t xml:space="preserve"> as part of an experimental test to improve </w:t>
      </w:r>
      <w:r w:rsidR="005F4B27">
        <w:t>the response rate</w:t>
      </w:r>
      <w:r w:rsidR="001B71F2">
        <w:t>.</w:t>
      </w:r>
      <w:r w:rsidR="00190A98">
        <w:t xml:space="preserve"> </w:t>
      </w:r>
      <w:r w:rsidR="005F4B27">
        <w:t>We</w:t>
      </w:r>
      <w:r w:rsidR="001B71F2">
        <w:t xml:space="preserve"> have</w:t>
      </w:r>
      <w:r w:rsidR="005F4B27">
        <w:t xml:space="preserve"> now</w:t>
      </w:r>
      <w:r w:rsidR="001B71F2">
        <w:t xml:space="preserve"> analyzed the findings and </w:t>
      </w:r>
      <w:r w:rsidR="006A4868">
        <w:t xml:space="preserve">would like to provide an </w:t>
      </w:r>
      <w:r>
        <w:t xml:space="preserve">update on the </w:t>
      </w:r>
      <w:r w:rsidR="00B74AB9">
        <w:t>f</w:t>
      </w:r>
      <w:r>
        <w:t xml:space="preserve">ollow-up </w:t>
      </w:r>
      <w:r w:rsidR="00B74AB9">
        <w:t>s</w:t>
      </w:r>
      <w:r>
        <w:t xml:space="preserve">urvey </w:t>
      </w:r>
      <w:r w:rsidR="00AB7ED1">
        <w:t>prepay</w:t>
      </w:r>
      <w:r>
        <w:t xml:space="preserve"> </w:t>
      </w:r>
      <w:r w:rsidR="00B74AB9">
        <w:t>e</w:t>
      </w:r>
      <w:r>
        <w:t>xperiment</w:t>
      </w:r>
      <w:r w:rsidR="00B74AB9">
        <w:t xml:space="preserve">, </w:t>
      </w:r>
      <w:r w:rsidR="006A4868">
        <w:t xml:space="preserve">along with recommendations for next steps. </w:t>
      </w:r>
      <w:r w:rsidRPr="00EC3280" w:rsidR="001B71F2">
        <w:rPr>
          <w:b/>
          <w:bCs/>
        </w:rPr>
        <w:t xml:space="preserve">Our findings indicate that the $5 </w:t>
      </w:r>
      <w:r w:rsidRPr="04CF2CE3" w:rsidR="436F3338">
        <w:rPr>
          <w:b/>
          <w:bCs/>
        </w:rPr>
        <w:t xml:space="preserve">pre-paid </w:t>
      </w:r>
      <w:r w:rsidR="00AB7ED1">
        <w:rPr>
          <w:b/>
          <w:bCs/>
        </w:rPr>
        <w:t>cash</w:t>
      </w:r>
      <w:r w:rsidRPr="00EC3280" w:rsidR="001B71F2">
        <w:rPr>
          <w:b/>
          <w:bCs/>
        </w:rPr>
        <w:t xml:space="preserve"> did not have an impact on overall response rates.</w:t>
      </w:r>
      <w:r w:rsidR="001B71F2">
        <w:t xml:space="preserve"> </w:t>
      </w:r>
      <w:r w:rsidR="00B8618E">
        <w:t xml:space="preserve">This memo presents </w:t>
      </w:r>
      <w:r w:rsidR="00BB6A59">
        <w:t>background on the experiment</w:t>
      </w:r>
      <w:r w:rsidR="000B2588">
        <w:t xml:space="preserve"> and its implementation</w:t>
      </w:r>
      <w:r w:rsidR="00BB6A59">
        <w:t xml:space="preserve">, </w:t>
      </w:r>
      <w:r w:rsidR="00B8618E">
        <w:t xml:space="preserve">findings from </w:t>
      </w:r>
      <w:r w:rsidR="001B71F2">
        <w:t xml:space="preserve">the </w:t>
      </w:r>
      <w:r w:rsidR="00BB6A59">
        <w:t>analysis</w:t>
      </w:r>
      <w:r w:rsidR="00B8618E">
        <w:t xml:space="preserve">, </w:t>
      </w:r>
      <w:r w:rsidR="00F12C0B">
        <w:t>a discussion of the findings</w:t>
      </w:r>
      <w:r w:rsidR="00FC4792">
        <w:t>,</w:t>
      </w:r>
      <w:r w:rsidR="00BB6A59">
        <w:t xml:space="preserve"> </w:t>
      </w:r>
      <w:r w:rsidR="00F12C0B">
        <w:t xml:space="preserve">and </w:t>
      </w:r>
      <w:r w:rsidR="01B521FC">
        <w:t xml:space="preserve">a </w:t>
      </w:r>
      <w:r w:rsidR="00F12C0B">
        <w:t xml:space="preserve">list of </w:t>
      </w:r>
      <w:r w:rsidR="00EC3280">
        <w:t>recommended</w:t>
      </w:r>
      <w:r w:rsidR="00F12C0B">
        <w:t xml:space="preserve"> next steps. </w:t>
      </w:r>
    </w:p>
    <w:p w:rsidR="00485130" w:rsidP="00261EEF" w14:paraId="0026B1CE" w14:textId="51A586F7">
      <w:pPr>
        <w:pStyle w:val="H2"/>
        <w:numPr>
          <w:ilvl w:val="0"/>
          <w:numId w:val="29"/>
        </w:numPr>
        <w:spacing w:before="0" w:after="160"/>
        <w:ind w:left="360"/>
        <w:rPr>
          <w:rFonts w:eastAsia="Times New Roman"/>
        </w:rPr>
      </w:pPr>
      <w:r>
        <w:rPr>
          <w:rFonts w:eastAsia="Times New Roman"/>
        </w:rPr>
        <w:t>M</w:t>
      </w:r>
      <w:r w:rsidR="006773AC">
        <w:rPr>
          <w:rFonts w:eastAsia="Times New Roman"/>
        </w:rPr>
        <w:t>otivation for conducting an experiment with the follow-up survey gift cards</w:t>
      </w:r>
    </w:p>
    <w:p w:rsidR="005F4B27" w:rsidP="00DF0A58" w14:paraId="67199E86" w14:textId="1EC3AB5A">
      <w:pPr>
        <w:pStyle w:val="Paragraph"/>
      </w:pPr>
      <w:r>
        <w:t xml:space="preserve">The purpose of the NextGen </w:t>
      </w:r>
      <w:r w:rsidR="009B2BF9">
        <w:t>P</w:t>
      </w:r>
      <w:r>
        <w:t xml:space="preserve">roject is to </w:t>
      </w:r>
      <w:r w:rsidRPr="005F4B27">
        <w:t>test</w:t>
      </w:r>
      <w:r>
        <w:t xml:space="preserve"> the effectiveness of</w:t>
      </w:r>
      <w:r w:rsidRPr="005F4B27">
        <w:t xml:space="preserve"> innovative, promising employment interventions designed to help individuals </w:t>
      </w:r>
      <w:r w:rsidR="00DD5168">
        <w:t xml:space="preserve">with low incomes </w:t>
      </w:r>
      <w:r w:rsidRPr="005F4B27">
        <w:t>facing complex challenges secure a pathway toward economic independence.</w:t>
      </w:r>
      <w:r>
        <w:t xml:space="preserve"> </w:t>
      </w:r>
      <w:r w:rsidR="00FC633F">
        <w:t>The project is conducting four</w:t>
      </w:r>
      <w:r>
        <w:t xml:space="preserve"> randomized controlled trials, and data to measure the interventions’ effects on employment, earnings, and other outcomes of interest are collected, in part, through follow-up survey</w:t>
      </w:r>
      <w:r w:rsidR="00E36C6A">
        <w:t>s</w:t>
      </w:r>
      <w:r>
        <w:t xml:space="preserve"> </w:t>
      </w:r>
      <w:r w:rsidR="00E36C6A">
        <w:t>with</w:t>
      </w:r>
      <w:r>
        <w:t xml:space="preserve"> </w:t>
      </w:r>
      <w:r w:rsidR="00E36C6A">
        <w:t xml:space="preserve">study </w:t>
      </w:r>
      <w:r>
        <w:t>participants.</w:t>
      </w:r>
    </w:p>
    <w:p w:rsidR="007364D4" w:rsidP="00DF0A58" w14:paraId="749985EC" w14:textId="7827D058">
      <w:pPr>
        <w:pStyle w:val="Paragraph"/>
      </w:pPr>
      <w:r>
        <w:t xml:space="preserve">Individuals participating in the </w:t>
      </w:r>
      <w:r w:rsidR="00F47F44">
        <w:t xml:space="preserve">NextGen </w:t>
      </w:r>
      <w:r>
        <w:t xml:space="preserve">Project </w:t>
      </w:r>
      <w:r w:rsidR="00D90622">
        <w:t xml:space="preserve">are members of groups </w:t>
      </w:r>
      <w:r>
        <w:t xml:space="preserve">that are traditionally considered “hard-to-reach.” These </w:t>
      </w:r>
      <w:r w:rsidR="00F51695">
        <w:t xml:space="preserve">populations </w:t>
      </w:r>
      <w:r>
        <w:t xml:space="preserve">include people with mental illness, young adults with disabilities, individuals </w:t>
      </w:r>
      <w:r w:rsidR="00D90622">
        <w:t>who have been recently incarcerated</w:t>
      </w:r>
      <w:r>
        <w:t>, those with very low</w:t>
      </w:r>
      <w:r w:rsidR="00D90622">
        <w:t xml:space="preserve"> </w:t>
      </w:r>
      <w:r>
        <w:t>income</w:t>
      </w:r>
      <w:r w:rsidR="00D90622">
        <w:t>s</w:t>
      </w:r>
      <w:r w:rsidR="005C056B">
        <w:t>, and those with combinations of these factors</w:t>
      </w:r>
      <w:r>
        <w:t>. T</w:t>
      </w:r>
      <w:r w:rsidRPr="0031655C" w:rsidR="0031655C">
        <w:t>he risk of biased impact estimates increases with lower overall survey response rates or larger differences in survey response rates between key research groups (What Works Clearinghouse 20</w:t>
      </w:r>
      <w:r w:rsidR="007445A3">
        <w:t>22</w:t>
      </w:r>
      <w:r w:rsidRPr="0031655C" w:rsidR="0031655C">
        <w:t>)</w:t>
      </w:r>
      <w:r w:rsidR="0031655C">
        <w:t xml:space="preserve">. </w:t>
      </w:r>
      <w:r w:rsidRPr="00AD6A09" w:rsidR="00AD6A09">
        <w:t>Continued high rates of participation in the study, through the second follow-up</w:t>
      </w:r>
      <w:r w:rsidR="005F4B27">
        <w:t xml:space="preserve"> survey</w:t>
      </w:r>
      <w:r w:rsidRPr="00AD6A09" w:rsidR="00AD6A09">
        <w:t>, are necessary to produce unbiased estimates of the program impacts and maximize the utility of survey data in this multipart study</w:t>
      </w:r>
      <w:r w:rsidR="00AD6A09">
        <w:t xml:space="preserve">. </w:t>
      </w:r>
    </w:p>
    <w:p w:rsidR="00734E6A" w:rsidP="00DF0A58" w14:paraId="45FBD486" w14:textId="165C42C8">
      <w:pPr>
        <w:pStyle w:val="Paragraph"/>
      </w:pPr>
      <w:r>
        <w:t>Tokens</w:t>
      </w:r>
      <w:r w:rsidR="00635047">
        <w:t xml:space="preserve"> of appreciation</w:t>
      </w:r>
      <w:r>
        <w:t>, such as gift cards, are a long-established, effective method of increasing survey participation</w:t>
      </w:r>
      <w:r w:rsidR="00332269">
        <w:t xml:space="preserve"> and support retention </w:t>
      </w:r>
      <w:r w:rsidR="00715651">
        <w:t>over</w:t>
      </w:r>
      <w:r w:rsidR="00332269">
        <w:t xml:space="preserve"> the course of a </w:t>
      </w:r>
      <w:r w:rsidRPr="007B6948">
        <w:t>longitudinal data collection</w:t>
      </w:r>
      <w:r w:rsidR="00332269">
        <w:t xml:space="preserve">. </w:t>
      </w:r>
      <w:r w:rsidRPr="004C31CC" w:rsidR="004C31CC">
        <w:t xml:space="preserve">In the early stages of the project, the study team was concerned about response rates </w:t>
      </w:r>
      <w:r w:rsidR="00FD51C6">
        <w:t xml:space="preserve">given the hard-to-reach populations </w:t>
      </w:r>
      <w:r w:rsidRPr="004C31CC" w:rsidR="004C31CC">
        <w:t xml:space="preserve">and </w:t>
      </w:r>
      <w:r w:rsidR="00D90622">
        <w:t>was</w:t>
      </w:r>
      <w:r w:rsidRPr="004C31CC" w:rsidR="004C31CC">
        <w:t xml:space="preserve"> looking for token of appreciation designs that could mitigate some of th</w:t>
      </w:r>
      <w:r w:rsidR="004C31CC">
        <w:t xml:space="preserve">e anticipated </w:t>
      </w:r>
      <w:r w:rsidRPr="004C31CC" w:rsidR="004C31CC">
        <w:t xml:space="preserve">challenges. </w:t>
      </w:r>
      <w:r w:rsidR="003B2A53">
        <w:t>A</w:t>
      </w:r>
      <w:r w:rsidR="00E20BAD">
        <w:t xml:space="preserve"> p</w:t>
      </w:r>
      <w:r w:rsidR="002E4941">
        <w:t xml:space="preserve">repay token </w:t>
      </w:r>
      <w:r w:rsidR="003B2A53">
        <w:t xml:space="preserve">design is </w:t>
      </w:r>
      <w:r w:rsidR="00EC72E6">
        <w:t>one</w:t>
      </w:r>
      <w:r w:rsidR="003B2A53">
        <w:t xml:space="preserve"> promising way </w:t>
      </w:r>
      <w:r w:rsidR="002E4941">
        <w:t xml:space="preserve">to overcome the challenges, </w:t>
      </w:r>
      <w:r w:rsidR="00EC72E6">
        <w:t>given their success with general populations</w:t>
      </w:r>
      <w:r w:rsidR="00D90622">
        <w:t>,</w:t>
      </w:r>
      <w:r w:rsidR="00EC72E6">
        <w:t xml:space="preserve"> as discussed below. </w:t>
      </w:r>
      <w:r w:rsidR="001F53EE">
        <w:t>As described in the project’s Office of Management and Budget (OMB) clearance requests</w:t>
      </w:r>
      <w:r w:rsidR="00423D51">
        <w:t xml:space="preserve"> (OMB Number </w:t>
      </w:r>
      <w:r w:rsidRPr="00423D51" w:rsidR="00423D51">
        <w:t>0970-0545</w:t>
      </w:r>
      <w:r w:rsidR="00423D51">
        <w:t>)</w:t>
      </w:r>
      <w:r w:rsidR="001F53EE">
        <w:t>, the</w:t>
      </w:r>
      <w:r w:rsidR="00BB6A59">
        <w:t xml:space="preserve"> NextGen P</w:t>
      </w:r>
      <w:r w:rsidR="00EA41D3">
        <w:t xml:space="preserve">roject </w:t>
      </w:r>
      <w:r w:rsidR="00037DAE">
        <w:t xml:space="preserve">team decided to </w:t>
      </w:r>
      <w:r w:rsidR="00EC56E8">
        <w:t>conduct</w:t>
      </w:r>
      <w:r w:rsidR="00EA41D3">
        <w:t xml:space="preserve"> an experimental test of a </w:t>
      </w:r>
      <w:r w:rsidRPr="001B652C" w:rsidR="001B652C">
        <w:t xml:space="preserve">$5 prepaid </w:t>
      </w:r>
      <w:r w:rsidR="00F65834">
        <w:t>cash</w:t>
      </w:r>
      <w:r w:rsidR="00EA41D3">
        <w:t xml:space="preserve"> </w:t>
      </w:r>
      <w:r w:rsidR="00635047">
        <w:t>token of appreciation</w:t>
      </w:r>
      <w:r w:rsidR="00647879">
        <w:t xml:space="preserve"> </w:t>
      </w:r>
      <w:r w:rsidRPr="001B652C" w:rsidR="001B652C">
        <w:t xml:space="preserve">offered before </w:t>
      </w:r>
      <w:r w:rsidR="001D19EE">
        <w:t xml:space="preserve">a </w:t>
      </w:r>
      <w:r w:rsidRPr="001B652C" w:rsidR="001B652C">
        <w:t xml:space="preserve">sample member </w:t>
      </w:r>
      <w:r w:rsidR="00EA41D3">
        <w:t>responds to the first follow-up survey.</w:t>
      </w:r>
      <w:r w:rsidR="00822187">
        <w:t xml:space="preserve"> </w:t>
      </w:r>
      <w:r w:rsidR="008B509E">
        <w:t xml:space="preserve">This experiment </w:t>
      </w:r>
      <w:r w:rsidR="00EC56E8">
        <w:t xml:space="preserve">allowed </w:t>
      </w:r>
      <w:r w:rsidR="00EA41D3">
        <w:t xml:space="preserve">Mathematica to </w:t>
      </w:r>
      <w:r w:rsidR="006B1249">
        <w:t>test the effectiveness of</w:t>
      </w:r>
      <w:r w:rsidR="009E3276">
        <w:t xml:space="preserve"> one </w:t>
      </w:r>
      <w:r w:rsidR="006B1249">
        <w:t xml:space="preserve">approach </w:t>
      </w:r>
      <w:r w:rsidR="006B1249">
        <w:t>for</w:t>
      </w:r>
      <w:r w:rsidR="009E3276">
        <w:t xml:space="preserve"> increas</w:t>
      </w:r>
      <w:r w:rsidR="006B1249">
        <w:t>ing</w:t>
      </w:r>
      <w:r w:rsidR="009E3276">
        <w:t xml:space="preserve"> the response rates.</w:t>
      </w:r>
      <w:r w:rsidR="000C699D">
        <w:t xml:space="preserve"> </w:t>
      </w:r>
      <w:r w:rsidRPr="00F55E89" w:rsidR="00F55E89">
        <w:t xml:space="preserve">Prepaid tokens of appreciation may be effective because they lend credibility to </w:t>
      </w:r>
      <w:r w:rsidR="000C699D">
        <w:t>a</w:t>
      </w:r>
      <w:r w:rsidRPr="00F55E89" w:rsidR="00F55E89">
        <w:t xml:space="preserve"> postpaid token and to the project more generally. In addition, </w:t>
      </w:r>
      <w:r w:rsidR="005F4B27">
        <w:t>they</w:t>
      </w:r>
      <w:r w:rsidRPr="00F55E89" w:rsidR="00F55E89">
        <w:t xml:space="preserve"> </w:t>
      </w:r>
      <w:r w:rsidR="00EC56E8">
        <w:t xml:space="preserve">can </w:t>
      </w:r>
      <w:r w:rsidRPr="00F55E89" w:rsidR="00F55E89">
        <w:t>create a sense of reciprocity. Behavioral science literature suggests that the norm of reciprocity requires that we repay in kind what another has done for us; in this context, giving a potential survey respondent five dollars should increase their desire to reciprocate by completing the survey (Falk 2007; Gneezy and List 2006; Cialdini 2007).</w:t>
      </w:r>
    </w:p>
    <w:p w:rsidR="00734E6A" w:rsidP="00DF0A58" w14:paraId="76AF0374" w14:textId="3B047857">
      <w:pPr>
        <w:pStyle w:val="Paragraph"/>
      </w:pPr>
      <w:r w:rsidRPr="00C01B61">
        <w:t xml:space="preserve">Studies </w:t>
      </w:r>
      <w:r w:rsidR="005C056B">
        <w:t xml:space="preserve">across general populations </w:t>
      </w:r>
      <w:r w:rsidRPr="00C01B61">
        <w:t>show prepaid tokens of appreciation to be more effective than postpaid ones, and the combination of prepaid and postpaid is more effective than prepaid</w:t>
      </w:r>
      <w:r w:rsidR="005F4B27">
        <w:t xml:space="preserve"> alone</w:t>
      </w:r>
      <w:r w:rsidRPr="00C01B61">
        <w:t xml:space="preserve"> (for example, </w:t>
      </w:r>
      <w:r w:rsidR="001F4CB3">
        <w:t xml:space="preserve">the systematic review </w:t>
      </w:r>
      <w:r w:rsidR="00D90622">
        <w:t xml:space="preserve">in </w:t>
      </w:r>
      <w:r w:rsidRPr="00C01B61">
        <w:t>Singer and Ye 2013</w:t>
      </w:r>
      <w:r w:rsidR="00CA0EAC">
        <w:t xml:space="preserve"> and the meta-analysis of household surveys in </w:t>
      </w:r>
      <w:r w:rsidRPr="00C01B61">
        <w:t>Mercer et al. 2015). In a meta-analysis of 39 experimental studies, Singer et al. 1999 showed that a prepaid token can yield a higher response rate compared to a postpaid scheme for interviewer-administered surveys. Cantor et al. (2008) found that prepaid tokens of appreciation between $1 and $5 increase response rates from 2 to 12 percent compared to no prepaid or postpaid tokens of appreciation</w:t>
      </w:r>
      <w:r w:rsidR="00121EB9">
        <w:t xml:space="preserve"> for random digit dial telephone surveys</w:t>
      </w:r>
      <w:r w:rsidRPr="00C01B61">
        <w:t xml:space="preserve">. Mercer et al. (2015) conducted a meta-analysis of published and unpublished experiments since 1987 and found that prepaid tokens of appreciation are more effective than postpaid ones. Jäckle and Lynn (2008) found that prepaid tokens of appreciation significantly reduced attrition in follow-up waves under a longitudinal design. Hock et al. (2015) found that a $5 prepaid token of appreciation for a hard-to-reach population </w:t>
      </w:r>
      <w:r w:rsidR="00243A5E">
        <w:t>(unemployed</w:t>
      </w:r>
      <w:r w:rsidR="002B165A">
        <w:t xml:space="preserve"> adults</w:t>
      </w:r>
      <w:r w:rsidR="00522A03">
        <w:t>)</w:t>
      </w:r>
      <w:r w:rsidRPr="00C01B61">
        <w:t xml:space="preserve"> yielded a higher response rate for online mode in a phone and web administered survey.</w:t>
      </w:r>
    </w:p>
    <w:p w:rsidR="00485130" w:rsidP="00DF0A58" w14:paraId="2522EE3B" w14:textId="746EABCF">
      <w:pPr>
        <w:pStyle w:val="Paragraph"/>
      </w:pPr>
      <w:r w:rsidRPr="00FD4C6A">
        <w:t>Although the survey and behavioral science literature shows strong support for the effectiveness of prepaid tokens of appreciation at increasing overall response rates</w:t>
      </w:r>
      <w:r w:rsidR="005C056B">
        <w:t xml:space="preserve"> with general populations</w:t>
      </w:r>
      <w:r w:rsidRPr="00FD4C6A">
        <w:t xml:space="preserve">, less is known about their usefulness specifically in surveys of populations </w:t>
      </w:r>
      <w:r w:rsidR="00B402EE">
        <w:t>with low incomes</w:t>
      </w:r>
      <w:r w:rsidR="005C056B">
        <w:t xml:space="preserve">, or those considered “hard-to-reach,” </w:t>
      </w:r>
      <w:r w:rsidRPr="00FD4C6A">
        <w:t xml:space="preserve">participating in randomized control trials of employment programs. </w:t>
      </w:r>
      <w:r w:rsidR="00992413">
        <w:t xml:space="preserve">We designed the </w:t>
      </w:r>
      <w:r w:rsidR="00EE3EDA">
        <w:t xml:space="preserve">NextGen experiment </w:t>
      </w:r>
      <w:r w:rsidR="00992413">
        <w:t>to</w:t>
      </w:r>
      <w:r w:rsidR="00EE3EDA">
        <w:t xml:space="preserve"> </w:t>
      </w:r>
      <w:r w:rsidRPr="00FD4C6A">
        <w:t>address this knowledge gap</w:t>
      </w:r>
      <w:r w:rsidR="00EE3EDA">
        <w:t xml:space="preserve">. </w:t>
      </w:r>
      <w:r w:rsidR="000C699D">
        <w:t xml:space="preserve">In addition, we </w:t>
      </w:r>
      <w:r w:rsidR="00D57AE8">
        <w:t>use</w:t>
      </w:r>
      <w:r w:rsidR="00D85C73">
        <w:t>d</w:t>
      </w:r>
      <w:r w:rsidR="00D57AE8">
        <w:t xml:space="preserve"> the experiment as an opportunity to test if a prepa</w:t>
      </w:r>
      <w:r w:rsidR="00EB1295">
        <w:t>id</w:t>
      </w:r>
      <w:r w:rsidR="00D57AE8">
        <w:t xml:space="preserve"> token has any impact on the study’s program and comparison response rate differential. </w:t>
      </w:r>
      <w:r w:rsidRPr="00597FE5" w:rsidR="00597FE5">
        <w:t xml:space="preserve">For the experiment, one research group (treatment) </w:t>
      </w:r>
      <w:r w:rsidR="001C5D99">
        <w:t>was</w:t>
      </w:r>
      <w:r w:rsidRPr="00597FE5" w:rsidR="00597FE5">
        <w:t xml:space="preserve"> offered a $5 prepaid token and a $50 postpaid </w:t>
      </w:r>
      <w:r w:rsidR="33738730">
        <w:t>token,</w:t>
      </w:r>
      <w:r w:rsidRPr="00597FE5" w:rsidR="00597FE5">
        <w:t xml:space="preserve"> and the other research group (co</w:t>
      </w:r>
      <w:r w:rsidR="00597FE5">
        <w:t>ntrol</w:t>
      </w:r>
      <w:r w:rsidRPr="00597FE5" w:rsidR="00597FE5">
        <w:t xml:space="preserve">) </w:t>
      </w:r>
      <w:r w:rsidR="001C5D99">
        <w:t>was</w:t>
      </w:r>
      <w:r w:rsidRPr="00597FE5" w:rsidR="00597FE5">
        <w:t xml:space="preserve"> offered no prepaid token of appreciation but offered a $55 postpaid token of appreciation. </w:t>
      </w:r>
      <w:r w:rsidRPr="00627AA0" w:rsidR="00EC0CDA">
        <w:t xml:space="preserve"> </w:t>
      </w:r>
    </w:p>
    <w:p w:rsidR="00545743" w:rsidP="00DF0A58" w14:paraId="5D0451AC" w14:textId="54EE3D9E">
      <w:pPr>
        <w:pStyle w:val="Paragraph"/>
      </w:pPr>
      <w:r>
        <w:t>The main questions we intend</w:t>
      </w:r>
      <w:r w:rsidR="00D85C73">
        <w:t>ed</w:t>
      </w:r>
      <w:r>
        <w:t xml:space="preserve"> to answer with this </w:t>
      </w:r>
      <w:r w:rsidR="00992413">
        <w:t xml:space="preserve">experiment </w:t>
      </w:r>
      <w:r w:rsidR="00D85C73">
        <w:t>were</w:t>
      </w:r>
      <w:r>
        <w:t xml:space="preserve">: </w:t>
      </w:r>
    </w:p>
    <w:p w:rsidR="00545743" w:rsidP="00261EEF" w14:paraId="5C3CED5F" w14:textId="3985735E">
      <w:pPr>
        <w:pStyle w:val="Paragraph"/>
        <w:numPr>
          <w:ilvl w:val="0"/>
          <w:numId w:val="30"/>
        </w:numPr>
      </w:pPr>
      <w:r>
        <w:t xml:space="preserve">Does a prepaid token of appreciation, combined with a postpaid one at survey completion, increase response rates compared to only the postpaid one?   </w:t>
      </w:r>
    </w:p>
    <w:p w:rsidR="00545743" w:rsidP="00261EEF" w14:paraId="4880B59F" w14:textId="6F85C0B1">
      <w:pPr>
        <w:pStyle w:val="Paragraph"/>
        <w:numPr>
          <w:ilvl w:val="0"/>
          <w:numId w:val="30"/>
        </w:numPr>
      </w:pPr>
      <w:r>
        <w:t>Does a prepaid token of appreciation, combined with a postpaid one at survey completion, decrease response rate differentials across study groups, relative to only the postpaid one?</w:t>
      </w:r>
    </w:p>
    <w:p w:rsidR="00485130" w:rsidP="00261EEF" w14:paraId="65C0814E" w14:textId="49B828AB">
      <w:pPr>
        <w:pStyle w:val="H2"/>
        <w:numPr>
          <w:ilvl w:val="0"/>
          <w:numId w:val="29"/>
        </w:numPr>
        <w:spacing w:before="0" w:after="160"/>
        <w:ind w:left="360"/>
        <w:rPr>
          <w:rFonts w:eastAsia="Times New Roman"/>
        </w:rPr>
      </w:pPr>
      <w:r>
        <w:rPr>
          <w:rFonts w:eastAsia="Times New Roman"/>
        </w:rPr>
        <w:t>Implementation of the experiment</w:t>
      </w:r>
      <w:r>
        <w:rPr>
          <w:rFonts w:eastAsia="Times New Roman"/>
        </w:rPr>
        <w:t xml:space="preserve"> </w:t>
      </w:r>
    </w:p>
    <w:p w:rsidR="002F365B" w:rsidRPr="00875674" w:rsidP="00DF0A58" w14:paraId="2F43E930" w14:textId="12590A5E">
      <w:pPr>
        <w:rPr>
          <w:rFonts w:ascii="Times New Roman" w:eastAsia="Times New Roman" w:hAnsi="Times New Roman" w:cs="Times New Roman"/>
        </w:rPr>
      </w:pPr>
      <w:r w:rsidRPr="00875674">
        <w:rPr>
          <w:rFonts w:ascii="Times New Roman" w:eastAsia="Times New Roman" w:hAnsi="Times New Roman" w:cs="Times New Roman"/>
        </w:rPr>
        <w:t xml:space="preserve">The experiment </w:t>
      </w:r>
      <w:r w:rsidRPr="04CF2CE3">
        <w:rPr>
          <w:rFonts w:ascii="Times New Roman" w:eastAsia="Times New Roman" w:hAnsi="Times New Roman" w:cs="Times New Roman"/>
        </w:rPr>
        <w:t>randomize</w:t>
      </w:r>
      <w:r w:rsidRPr="04CF2CE3" w:rsidR="00D85C73">
        <w:rPr>
          <w:rFonts w:ascii="Times New Roman" w:eastAsia="Times New Roman" w:hAnsi="Times New Roman" w:cs="Times New Roman"/>
        </w:rPr>
        <w:t>d</w:t>
      </w:r>
      <w:r w:rsidRPr="00875674">
        <w:rPr>
          <w:rFonts w:ascii="Times New Roman" w:eastAsia="Times New Roman" w:hAnsi="Times New Roman" w:cs="Times New Roman"/>
        </w:rPr>
        <w:t xml:space="preserve"> all NextGen Project participants into two groups for the</w:t>
      </w:r>
      <w:r w:rsidRPr="00875674" w:rsidR="005927B6">
        <w:rPr>
          <w:rFonts w:ascii="Times New Roman" w:eastAsia="Times New Roman" w:hAnsi="Times New Roman" w:cs="Times New Roman"/>
        </w:rPr>
        <w:t xml:space="preserve"> prepaid token experiment:</w:t>
      </w:r>
      <w:r w:rsidR="00905010">
        <w:rPr>
          <w:rFonts w:ascii="Times New Roman" w:eastAsia="Times New Roman" w:hAnsi="Times New Roman" w:cs="Times New Roman"/>
        </w:rPr>
        <w:t xml:space="preserve"> </w:t>
      </w:r>
      <w:r w:rsidR="00835630">
        <w:rPr>
          <w:rFonts w:ascii="Times New Roman" w:eastAsia="Times New Roman" w:hAnsi="Times New Roman" w:cs="Times New Roman"/>
        </w:rPr>
        <w:t>p</w:t>
      </w:r>
      <w:r w:rsidR="00905010">
        <w:rPr>
          <w:rFonts w:ascii="Times New Roman" w:eastAsia="Times New Roman" w:hAnsi="Times New Roman" w:cs="Times New Roman"/>
        </w:rPr>
        <w:t>repay</w:t>
      </w:r>
      <w:r w:rsidR="005F12AD">
        <w:rPr>
          <w:rFonts w:ascii="Times New Roman" w:eastAsia="Times New Roman" w:hAnsi="Times New Roman" w:cs="Times New Roman"/>
        </w:rPr>
        <w:t xml:space="preserve"> </w:t>
      </w:r>
      <w:r w:rsidR="00905010">
        <w:rPr>
          <w:rFonts w:ascii="Times New Roman" w:eastAsia="Times New Roman" w:hAnsi="Times New Roman" w:cs="Times New Roman"/>
        </w:rPr>
        <w:t>(</w:t>
      </w:r>
      <w:r w:rsidRPr="00875674">
        <w:rPr>
          <w:rFonts w:ascii="Times New Roman" w:eastAsia="Times New Roman" w:hAnsi="Times New Roman" w:cs="Times New Roman"/>
        </w:rPr>
        <w:t>treatment</w:t>
      </w:r>
      <w:r w:rsidR="00905010">
        <w:rPr>
          <w:rFonts w:ascii="Times New Roman" w:eastAsia="Times New Roman" w:hAnsi="Times New Roman" w:cs="Times New Roman"/>
        </w:rPr>
        <w:t>) group</w:t>
      </w:r>
      <w:r w:rsidRPr="00875674">
        <w:rPr>
          <w:rFonts w:ascii="Times New Roman" w:eastAsia="Times New Roman" w:hAnsi="Times New Roman" w:cs="Times New Roman"/>
        </w:rPr>
        <w:t xml:space="preserve"> and</w:t>
      </w:r>
      <w:r w:rsidR="00905010">
        <w:rPr>
          <w:rFonts w:ascii="Times New Roman" w:eastAsia="Times New Roman" w:hAnsi="Times New Roman" w:cs="Times New Roman"/>
        </w:rPr>
        <w:t xml:space="preserve"> no</w:t>
      </w:r>
      <w:r w:rsidR="00B53A30">
        <w:rPr>
          <w:rFonts w:ascii="Times New Roman" w:eastAsia="Times New Roman" w:hAnsi="Times New Roman" w:cs="Times New Roman"/>
        </w:rPr>
        <w:t xml:space="preserve"> prepay (</w:t>
      </w:r>
      <w:r w:rsidRPr="00875674">
        <w:rPr>
          <w:rFonts w:ascii="Times New Roman" w:eastAsia="Times New Roman" w:hAnsi="Times New Roman" w:cs="Times New Roman"/>
        </w:rPr>
        <w:t>control</w:t>
      </w:r>
      <w:r w:rsidR="00B53A30">
        <w:rPr>
          <w:rFonts w:ascii="Times New Roman" w:eastAsia="Times New Roman" w:hAnsi="Times New Roman" w:cs="Times New Roman"/>
        </w:rPr>
        <w:t>) group</w:t>
      </w:r>
      <w:r w:rsidRPr="00875674" w:rsidR="005927B6">
        <w:rPr>
          <w:rFonts w:ascii="Times New Roman" w:eastAsia="Times New Roman" w:hAnsi="Times New Roman" w:cs="Times New Roman"/>
        </w:rPr>
        <w:t xml:space="preserve">. </w:t>
      </w:r>
      <w:r w:rsidRPr="00875674" w:rsidR="00864FBB">
        <w:rPr>
          <w:rFonts w:ascii="Times New Roman" w:eastAsia="Times New Roman" w:hAnsi="Times New Roman" w:cs="Times New Roman"/>
        </w:rPr>
        <w:t xml:space="preserve">We </w:t>
      </w:r>
      <w:r w:rsidRPr="04CF2CE3" w:rsidR="00864FBB">
        <w:rPr>
          <w:rFonts w:ascii="Times New Roman" w:eastAsia="Times New Roman" w:hAnsi="Times New Roman" w:cs="Times New Roman"/>
        </w:rPr>
        <w:t>use</w:t>
      </w:r>
      <w:r w:rsidRPr="04CF2CE3" w:rsidR="00D85C73">
        <w:rPr>
          <w:rFonts w:ascii="Times New Roman" w:eastAsia="Times New Roman" w:hAnsi="Times New Roman" w:cs="Times New Roman"/>
        </w:rPr>
        <w:t>d</w:t>
      </w:r>
      <w:r w:rsidRPr="00875674" w:rsidR="00864FBB">
        <w:rPr>
          <w:rFonts w:ascii="Times New Roman" w:eastAsia="Times New Roman" w:hAnsi="Times New Roman" w:cs="Times New Roman"/>
        </w:rPr>
        <w:t xml:space="preserve"> a </w:t>
      </w:r>
      <w:r w:rsidRPr="00875674" w:rsidR="005927B6">
        <w:rPr>
          <w:rFonts w:ascii="Times New Roman" w:eastAsia="Times New Roman" w:hAnsi="Times New Roman" w:cs="Times New Roman"/>
        </w:rPr>
        <w:t xml:space="preserve">simple </w:t>
      </w:r>
      <w:r w:rsidRPr="00875674" w:rsidR="00D0430C">
        <w:rPr>
          <w:rFonts w:ascii="Times New Roman" w:eastAsia="Times New Roman" w:hAnsi="Times New Roman" w:cs="Times New Roman"/>
        </w:rPr>
        <w:t>randomization scheme</w:t>
      </w:r>
      <w:r w:rsidRPr="00875674" w:rsidR="00864FBB">
        <w:rPr>
          <w:rFonts w:ascii="Times New Roman" w:eastAsia="Times New Roman" w:hAnsi="Times New Roman" w:cs="Times New Roman"/>
        </w:rPr>
        <w:t xml:space="preserve"> that </w:t>
      </w:r>
      <w:r w:rsidRPr="04CF2CE3" w:rsidR="552D7B74">
        <w:rPr>
          <w:rFonts w:ascii="Times New Roman" w:eastAsia="Times New Roman" w:hAnsi="Times New Roman" w:cs="Times New Roman"/>
        </w:rPr>
        <w:t>targeted</w:t>
      </w:r>
      <w:r w:rsidRPr="00875674" w:rsidR="00864FBB">
        <w:rPr>
          <w:rFonts w:ascii="Times New Roman" w:eastAsia="Times New Roman" w:hAnsi="Times New Roman" w:cs="Times New Roman"/>
        </w:rPr>
        <w:t xml:space="preserve"> a 50-50 split, conducted </w:t>
      </w:r>
      <w:r w:rsidRPr="00875674" w:rsidR="00D0430C">
        <w:rPr>
          <w:rFonts w:ascii="Times New Roman" w:eastAsia="Times New Roman" w:hAnsi="Times New Roman" w:cs="Times New Roman"/>
        </w:rPr>
        <w:t xml:space="preserve">just prior to the launch of the survey effort </w:t>
      </w:r>
      <w:r w:rsidRPr="00875674" w:rsidR="00864FBB">
        <w:rPr>
          <w:rFonts w:ascii="Times New Roman" w:eastAsia="Times New Roman" w:hAnsi="Times New Roman" w:cs="Times New Roman"/>
        </w:rPr>
        <w:t xml:space="preserve">within </w:t>
      </w:r>
      <w:r w:rsidRPr="00875674" w:rsidR="00D0430C">
        <w:rPr>
          <w:rFonts w:ascii="Times New Roman" w:eastAsia="Times New Roman" w:hAnsi="Times New Roman" w:cs="Times New Roman"/>
        </w:rPr>
        <w:t xml:space="preserve">each survey cohort. </w:t>
      </w:r>
      <w:r w:rsidRPr="00875674" w:rsidR="005927B6">
        <w:rPr>
          <w:rFonts w:ascii="Times New Roman" w:eastAsia="Times New Roman" w:hAnsi="Times New Roman" w:cs="Times New Roman"/>
        </w:rPr>
        <w:t xml:space="preserve">Both </w:t>
      </w:r>
      <w:r w:rsidRPr="00875674">
        <w:rPr>
          <w:rFonts w:ascii="Times New Roman" w:eastAsia="Times New Roman" w:hAnsi="Times New Roman" w:cs="Times New Roman"/>
        </w:rPr>
        <w:t xml:space="preserve">groups </w:t>
      </w:r>
      <w:r w:rsidRPr="04CF2CE3" w:rsidR="005927B6">
        <w:rPr>
          <w:rFonts w:ascii="Times New Roman" w:eastAsia="Times New Roman" w:hAnsi="Times New Roman" w:cs="Times New Roman"/>
        </w:rPr>
        <w:t>receive</w:t>
      </w:r>
      <w:r w:rsidRPr="04CF2CE3" w:rsidR="00D85C73">
        <w:rPr>
          <w:rFonts w:ascii="Times New Roman" w:eastAsia="Times New Roman" w:hAnsi="Times New Roman" w:cs="Times New Roman"/>
        </w:rPr>
        <w:t>d</w:t>
      </w:r>
      <w:r w:rsidRPr="00875674" w:rsidR="005927B6">
        <w:rPr>
          <w:rFonts w:ascii="Times New Roman" w:eastAsia="Times New Roman" w:hAnsi="Times New Roman" w:cs="Times New Roman"/>
        </w:rPr>
        <w:t xml:space="preserve"> the same total dollar amount</w:t>
      </w:r>
      <w:r w:rsidRPr="00875674" w:rsidR="00D0430C">
        <w:rPr>
          <w:rFonts w:ascii="Times New Roman" w:eastAsia="Times New Roman" w:hAnsi="Times New Roman" w:cs="Times New Roman"/>
        </w:rPr>
        <w:t xml:space="preserve">, </w:t>
      </w:r>
      <w:r w:rsidRPr="00875674" w:rsidR="005927B6">
        <w:rPr>
          <w:rFonts w:ascii="Times New Roman" w:eastAsia="Times New Roman" w:hAnsi="Times New Roman" w:cs="Times New Roman"/>
        </w:rPr>
        <w:t xml:space="preserve">$55. </w:t>
      </w:r>
      <w:r w:rsidRPr="00875674">
        <w:rPr>
          <w:rFonts w:ascii="Times New Roman" w:eastAsia="Times New Roman" w:hAnsi="Times New Roman" w:cs="Times New Roman"/>
        </w:rPr>
        <w:t xml:space="preserve">The </w:t>
      </w:r>
      <w:r w:rsidR="00301B8E">
        <w:rPr>
          <w:rFonts w:ascii="Times New Roman" w:eastAsia="Times New Roman" w:hAnsi="Times New Roman" w:cs="Times New Roman"/>
        </w:rPr>
        <w:t>prepay</w:t>
      </w:r>
      <w:r w:rsidRPr="00875674" w:rsidR="005927B6">
        <w:rPr>
          <w:rFonts w:ascii="Times New Roman" w:eastAsia="Times New Roman" w:hAnsi="Times New Roman" w:cs="Times New Roman"/>
        </w:rPr>
        <w:t xml:space="preserve"> </w:t>
      </w:r>
      <w:r w:rsidRPr="00875674">
        <w:rPr>
          <w:rFonts w:ascii="Times New Roman" w:eastAsia="Times New Roman" w:hAnsi="Times New Roman" w:cs="Times New Roman"/>
        </w:rPr>
        <w:t xml:space="preserve">group </w:t>
      </w:r>
      <w:r w:rsidRPr="04CF2CE3">
        <w:rPr>
          <w:rFonts w:ascii="Times New Roman" w:eastAsia="Times New Roman" w:hAnsi="Times New Roman" w:cs="Times New Roman"/>
        </w:rPr>
        <w:t>receive</w:t>
      </w:r>
      <w:r w:rsidRPr="04CF2CE3" w:rsidR="00D85C73">
        <w:rPr>
          <w:rFonts w:ascii="Times New Roman" w:eastAsia="Times New Roman" w:hAnsi="Times New Roman" w:cs="Times New Roman"/>
        </w:rPr>
        <w:t>d</w:t>
      </w:r>
      <w:r w:rsidRPr="00875674">
        <w:rPr>
          <w:rFonts w:ascii="Times New Roman" w:eastAsia="Times New Roman" w:hAnsi="Times New Roman" w:cs="Times New Roman"/>
        </w:rPr>
        <w:t xml:space="preserve"> a $5 </w:t>
      </w:r>
      <w:r w:rsidRPr="00875674">
        <w:rPr>
          <w:rFonts w:ascii="Times New Roman" w:eastAsia="Times New Roman" w:hAnsi="Times New Roman" w:cs="Times New Roman"/>
        </w:rPr>
        <w:t xml:space="preserve">bill attached to the </w:t>
      </w:r>
      <w:r w:rsidRPr="00875674" w:rsidR="00D0430C">
        <w:rPr>
          <w:rFonts w:ascii="Times New Roman" w:eastAsia="Times New Roman" w:hAnsi="Times New Roman" w:cs="Times New Roman"/>
        </w:rPr>
        <w:t xml:space="preserve">survey’s </w:t>
      </w:r>
      <w:r w:rsidRPr="00875674">
        <w:rPr>
          <w:rFonts w:ascii="Times New Roman" w:eastAsia="Times New Roman" w:hAnsi="Times New Roman" w:cs="Times New Roman"/>
        </w:rPr>
        <w:t xml:space="preserve">advance letter and </w:t>
      </w:r>
      <w:r w:rsidRPr="04CF2CE3">
        <w:rPr>
          <w:rFonts w:ascii="Times New Roman" w:eastAsia="Times New Roman" w:hAnsi="Times New Roman" w:cs="Times New Roman"/>
        </w:rPr>
        <w:t>receive</w:t>
      </w:r>
      <w:r w:rsidRPr="04CF2CE3" w:rsidR="00D85C73">
        <w:rPr>
          <w:rFonts w:ascii="Times New Roman" w:eastAsia="Times New Roman" w:hAnsi="Times New Roman" w:cs="Times New Roman"/>
        </w:rPr>
        <w:t>d</w:t>
      </w:r>
      <w:r w:rsidRPr="00875674">
        <w:rPr>
          <w:rFonts w:ascii="Times New Roman" w:eastAsia="Times New Roman" w:hAnsi="Times New Roman" w:cs="Times New Roman"/>
        </w:rPr>
        <w:t xml:space="preserve"> a $50 gift card upon completion of the </w:t>
      </w:r>
      <w:r w:rsidRPr="00875674" w:rsidR="00D0430C">
        <w:rPr>
          <w:rFonts w:ascii="Times New Roman" w:eastAsia="Times New Roman" w:hAnsi="Times New Roman" w:cs="Times New Roman"/>
        </w:rPr>
        <w:t>s</w:t>
      </w:r>
      <w:r w:rsidRPr="00875674">
        <w:rPr>
          <w:rFonts w:ascii="Times New Roman" w:eastAsia="Times New Roman" w:hAnsi="Times New Roman" w:cs="Times New Roman"/>
        </w:rPr>
        <w:t xml:space="preserve">urvey. The </w:t>
      </w:r>
      <w:r w:rsidR="004D7D97">
        <w:rPr>
          <w:rFonts w:ascii="Times New Roman" w:eastAsia="Times New Roman" w:hAnsi="Times New Roman" w:cs="Times New Roman"/>
        </w:rPr>
        <w:t>no prepay</w:t>
      </w:r>
      <w:r w:rsidRPr="00875674" w:rsidR="00D0430C">
        <w:rPr>
          <w:rFonts w:ascii="Times New Roman" w:eastAsia="Times New Roman" w:hAnsi="Times New Roman" w:cs="Times New Roman"/>
        </w:rPr>
        <w:t xml:space="preserve"> </w:t>
      </w:r>
      <w:r w:rsidRPr="00875674">
        <w:rPr>
          <w:rFonts w:ascii="Times New Roman" w:eastAsia="Times New Roman" w:hAnsi="Times New Roman" w:cs="Times New Roman"/>
        </w:rPr>
        <w:t xml:space="preserve">group only </w:t>
      </w:r>
      <w:r w:rsidRPr="04CF2CE3">
        <w:rPr>
          <w:rFonts w:ascii="Times New Roman" w:eastAsia="Times New Roman" w:hAnsi="Times New Roman" w:cs="Times New Roman"/>
        </w:rPr>
        <w:t>receive</w:t>
      </w:r>
      <w:r w:rsidRPr="04CF2CE3" w:rsidR="7A2D0EE5">
        <w:rPr>
          <w:rFonts w:ascii="Times New Roman" w:eastAsia="Times New Roman" w:hAnsi="Times New Roman" w:cs="Times New Roman"/>
        </w:rPr>
        <w:t>d</w:t>
      </w:r>
      <w:r w:rsidRPr="04CF2CE3">
        <w:rPr>
          <w:rFonts w:ascii="Times New Roman" w:eastAsia="Times New Roman" w:hAnsi="Times New Roman" w:cs="Times New Roman"/>
        </w:rPr>
        <w:t xml:space="preserve"> </w:t>
      </w:r>
      <w:r w:rsidRPr="00875674">
        <w:rPr>
          <w:rFonts w:ascii="Times New Roman" w:eastAsia="Times New Roman" w:hAnsi="Times New Roman" w:cs="Times New Roman"/>
        </w:rPr>
        <w:t>a $55 gift card upon survey completion.</w:t>
      </w:r>
    </w:p>
    <w:p w:rsidR="005C67C4" w:rsidRPr="00875674" w:rsidP="00DF0A58" w14:paraId="705896F3" w14:textId="06825C00">
      <w:pPr>
        <w:rPr>
          <w:rFonts w:ascii="Times New Roman" w:eastAsia="Times New Roman" w:hAnsi="Times New Roman" w:cs="Times New Roman"/>
        </w:rPr>
      </w:pPr>
      <w:r w:rsidRPr="00875674">
        <w:rPr>
          <w:rFonts w:ascii="Times New Roman" w:eastAsia="Times New Roman" w:hAnsi="Times New Roman" w:cs="Times New Roman"/>
        </w:rPr>
        <w:t xml:space="preserve">The randomization for the experiment </w:t>
      </w:r>
      <w:r w:rsidRPr="00875674" w:rsidR="002E6B8B">
        <w:rPr>
          <w:rFonts w:ascii="Times New Roman" w:eastAsia="Times New Roman" w:hAnsi="Times New Roman" w:cs="Times New Roman"/>
        </w:rPr>
        <w:t xml:space="preserve">began </w:t>
      </w:r>
      <w:r w:rsidRPr="00875674">
        <w:rPr>
          <w:rFonts w:ascii="Times New Roman" w:eastAsia="Times New Roman" w:hAnsi="Times New Roman" w:cs="Times New Roman"/>
        </w:rPr>
        <w:t>in June 2022</w:t>
      </w:r>
      <w:r w:rsidRPr="00875674" w:rsidR="002E6B8B">
        <w:rPr>
          <w:rFonts w:ascii="Times New Roman" w:eastAsia="Times New Roman" w:hAnsi="Times New Roman" w:cs="Times New Roman"/>
        </w:rPr>
        <w:t xml:space="preserve"> when </w:t>
      </w:r>
      <w:r w:rsidRPr="00875674" w:rsidR="00864FBB">
        <w:rPr>
          <w:rFonts w:ascii="Times New Roman" w:eastAsia="Times New Roman" w:hAnsi="Times New Roman" w:cs="Times New Roman"/>
        </w:rPr>
        <w:t>we invited th</w:t>
      </w:r>
      <w:r w:rsidRPr="00875674" w:rsidR="002E6B8B">
        <w:rPr>
          <w:rFonts w:ascii="Times New Roman" w:eastAsia="Times New Roman" w:hAnsi="Times New Roman" w:cs="Times New Roman"/>
        </w:rPr>
        <w:t xml:space="preserve">e first </w:t>
      </w:r>
      <w:r w:rsidRPr="00875674" w:rsidR="002168A0">
        <w:rPr>
          <w:rFonts w:ascii="Times New Roman" w:eastAsia="Times New Roman" w:hAnsi="Times New Roman" w:cs="Times New Roman"/>
        </w:rPr>
        <w:t xml:space="preserve">cohort of NextGen participants to participate in the </w:t>
      </w:r>
      <w:r w:rsidRPr="00875674" w:rsidR="00486057">
        <w:rPr>
          <w:rFonts w:ascii="Times New Roman" w:eastAsia="Times New Roman" w:hAnsi="Times New Roman" w:cs="Times New Roman"/>
        </w:rPr>
        <w:t xml:space="preserve">first follow-up survey. Since that time, </w:t>
      </w:r>
      <w:r w:rsidRPr="00875674" w:rsidR="00864FBB">
        <w:rPr>
          <w:rFonts w:ascii="Times New Roman" w:eastAsia="Times New Roman" w:hAnsi="Times New Roman" w:cs="Times New Roman"/>
        </w:rPr>
        <w:t xml:space="preserve">we randomized all </w:t>
      </w:r>
      <w:r w:rsidRPr="00875674" w:rsidR="00486057">
        <w:rPr>
          <w:rFonts w:ascii="Times New Roman" w:eastAsia="Times New Roman" w:hAnsi="Times New Roman" w:cs="Times New Roman"/>
        </w:rPr>
        <w:t>subsequent cohorts prior to the</w:t>
      </w:r>
      <w:r w:rsidRPr="00875674" w:rsidR="00864FBB">
        <w:rPr>
          <w:rFonts w:ascii="Times New Roman" w:eastAsia="Times New Roman" w:hAnsi="Times New Roman" w:cs="Times New Roman"/>
        </w:rPr>
        <w:t>ir</w:t>
      </w:r>
      <w:r w:rsidRPr="00875674" w:rsidR="00486057">
        <w:rPr>
          <w:rFonts w:ascii="Times New Roman" w:eastAsia="Times New Roman" w:hAnsi="Times New Roman" w:cs="Times New Roman"/>
        </w:rPr>
        <w:t xml:space="preserve"> survey </w:t>
      </w:r>
      <w:r w:rsidRPr="04CF2CE3" w:rsidR="51503E17">
        <w:rPr>
          <w:rFonts w:ascii="Times New Roman" w:eastAsia="Times New Roman" w:hAnsi="Times New Roman" w:cs="Times New Roman"/>
        </w:rPr>
        <w:t>invitations</w:t>
      </w:r>
      <w:r w:rsidRPr="04CF2CE3" w:rsidR="00486057">
        <w:rPr>
          <w:rFonts w:ascii="Times New Roman" w:eastAsia="Times New Roman" w:hAnsi="Times New Roman" w:cs="Times New Roman"/>
        </w:rPr>
        <w:t xml:space="preserve">. </w:t>
      </w:r>
    </w:p>
    <w:p w:rsidR="003D6A5B" w:rsidRPr="00875674" w:rsidP="00DF0A58" w14:paraId="3215BD4D" w14:textId="43A4EF4F">
      <w:pPr>
        <w:rPr>
          <w:rFonts w:ascii="Times New Roman" w:eastAsia="Times New Roman" w:hAnsi="Times New Roman" w:cs="Times New Roman"/>
        </w:rPr>
      </w:pPr>
      <w:r w:rsidRPr="00875674">
        <w:rPr>
          <w:rFonts w:ascii="Times New Roman" w:eastAsia="Times New Roman" w:hAnsi="Times New Roman" w:cs="Times New Roman"/>
        </w:rPr>
        <w:t xml:space="preserve">To ensure the </w:t>
      </w:r>
      <w:r w:rsidRPr="00875674" w:rsidR="00864FBB">
        <w:rPr>
          <w:rFonts w:ascii="Times New Roman" w:eastAsia="Times New Roman" w:hAnsi="Times New Roman" w:cs="Times New Roman"/>
        </w:rPr>
        <w:t xml:space="preserve">soundness of the </w:t>
      </w:r>
      <w:r w:rsidRPr="00875674">
        <w:rPr>
          <w:rFonts w:ascii="Times New Roman" w:eastAsia="Times New Roman" w:hAnsi="Times New Roman" w:cs="Times New Roman"/>
        </w:rPr>
        <w:t xml:space="preserve">experimental design, Mathematica conducted </w:t>
      </w:r>
      <w:r w:rsidRPr="00875674" w:rsidR="00833DA0">
        <w:rPr>
          <w:rFonts w:ascii="Times New Roman" w:eastAsia="Times New Roman" w:hAnsi="Times New Roman" w:cs="Times New Roman"/>
        </w:rPr>
        <w:t xml:space="preserve">thorough </w:t>
      </w:r>
      <w:r w:rsidRPr="00875674">
        <w:rPr>
          <w:rFonts w:ascii="Times New Roman" w:eastAsia="Times New Roman" w:hAnsi="Times New Roman" w:cs="Times New Roman"/>
        </w:rPr>
        <w:t>quality assurance reviews during the experiment. Th</w:t>
      </w:r>
      <w:r w:rsidRPr="00875674" w:rsidR="00864FBB">
        <w:rPr>
          <w:rFonts w:ascii="Times New Roman" w:eastAsia="Times New Roman" w:hAnsi="Times New Roman" w:cs="Times New Roman"/>
        </w:rPr>
        <w:t>ese</w:t>
      </w:r>
      <w:r w:rsidRPr="00875674">
        <w:rPr>
          <w:rFonts w:ascii="Times New Roman" w:eastAsia="Times New Roman" w:hAnsi="Times New Roman" w:cs="Times New Roman"/>
        </w:rPr>
        <w:t xml:space="preserve"> include</w:t>
      </w:r>
      <w:r w:rsidR="00D85C73">
        <w:rPr>
          <w:rFonts w:ascii="Times New Roman" w:eastAsia="Times New Roman" w:hAnsi="Times New Roman" w:cs="Times New Roman"/>
        </w:rPr>
        <w:t>d</w:t>
      </w:r>
      <w:r w:rsidRPr="00875674">
        <w:rPr>
          <w:rFonts w:ascii="Times New Roman" w:eastAsia="Times New Roman" w:hAnsi="Times New Roman" w:cs="Times New Roman"/>
        </w:rPr>
        <w:t xml:space="preserve">: </w:t>
      </w:r>
    </w:p>
    <w:p w:rsidR="00223F93" w:rsidRPr="00875674" w:rsidP="00261EEF" w14:paraId="48EFDF9F" w14:textId="54C225C0">
      <w:pPr>
        <w:pStyle w:val="ListParagraph"/>
        <w:numPr>
          <w:ilvl w:val="0"/>
          <w:numId w:val="31"/>
        </w:numPr>
        <w:rPr>
          <w:rFonts w:ascii="Times New Roman" w:eastAsia="Times New Roman" w:hAnsi="Times New Roman" w:cs="Times New Roman"/>
        </w:rPr>
      </w:pPr>
      <w:r w:rsidRPr="00875674">
        <w:rPr>
          <w:rFonts w:ascii="Times New Roman" w:eastAsia="Times New Roman" w:hAnsi="Times New Roman" w:cs="Times New Roman"/>
        </w:rPr>
        <w:t xml:space="preserve">Reviewing all advance letter mailings, </w:t>
      </w:r>
      <w:r w:rsidR="00301B8E">
        <w:rPr>
          <w:rFonts w:ascii="Times New Roman" w:eastAsia="Times New Roman" w:hAnsi="Times New Roman" w:cs="Times New Roman"/>
        </w:rPr>
        <w:t>prepay and no prepay</w:t>
      </w:r>
      <w:r w:rsidRPr="00875674">
        <w:rPr>
          <w:rFonts w:ascii="Times New Roman" w:eastAsia="Times New Roman" w:hAnsi="Times New Roman" w:cs="Times New Roman"/>
        </w:rPr>
        <w:t xml:space="preserve">, to ensure </w:t>
      </w:r>
      <w:r w:rsidR="001A3932">
        <w:rPr>
          <w:rFonts w:ascii="Times New Roman" w:eastAsia="Times New Roman" w:hAnsi="Times New Roman" w:cs="Times New Roman"/>
        </w:rPr>
        <w:t xml:space="preserve">we sent the </w:t>
      </w:r>
      <w:r w:rsidRPr="00875674" w:rsidR="00D0369A">
        <w:rPr>
          <w:rFonts w:ascii="Times New Roman" w:eastAsia="Times New Roman" w:hAnsi="Times New Roman" w:cs="Times New Roman"/>
        </w:rPr>
        <w:t>correct version of the letter, the name on the letter matche</w:t>
      </w:r>
      <w:r w:rsidR="003F6C71">
        <w:rPr>
          <w:rFonts w:ascii="Times New Roman" w:eastAsia="Times New Roman" w:hAnsi="Times New Roman" w:cs="Times New Roman"/>
        </w:rPr>
        <w:t>d</w:t>
      </w:r>
      <w:r w:rsidRPr="00875674" w:rsidR="00D0369A">
        <w:rPr>
          <w:rFonts w:ascii="Times New Roman" w:eastAsia="Times New Roman" w:hAnsi="Times New Roman" w:cs="Times New Roman"/>
        </w:rPr>
        <w:t xml:space="preserve"> the name and address on the envelope, </w:t>
      </w:r>
      <w:r w:rsidRPr="00875674" w:rsidR="00E34B30">
        <w:rPr>
          <w:rFonts w:ascii="Times New Roman" w:eastAsia="Times New Roman" w:hAnsi="Times New Roman" w:cs="Times New Roman"/>
        </w:rPr>
        <w:t xml:space="preserve">the $5 bill </w:t>
      </w:r>
      <w:r w:rsidR="008F65AE">
        <w:rPr>
          <w:rFonts w:ascii="Times New Roman" w:eastAsia="Times New Roman" w:hAnsi="Times New Roman" w:cs="Times New Roman"/>
        </w:rPr>
        <w:t>was</w:t>
      </w:r>
      <w:r w:rsidRPr="00875674" w:rsidR="00E34B30">
        <w:rPr>
          <w:rFonts w:ascii="Times New Roman" w:eastAsia="Times New Roman" w:hAnsi="Times New Roman" w:cs="Times New Roman"/>
        </w:rPr>
        <w:t xml:space="preserve"> included in </w:t>
      </w:r>
      <w:r w:rsidR="00301B8E">
        <w:rPr>
          <w:rFonts w:ascii="Times New Roman" w:eastAsia="Times New Roman" w:hAnsi="Times New Roman" w:cs="Times New Roman"/>
        </w:rPr>
        <w:t>prepay</w:t>
      </w:r>
      <w:r w:rsidRPr="00875674" w:rsidR="00E34B30">
        <w:rPr>
          <w:rFonts w:ascii="Times New Roman" w:eastAsia="Times New Roman" w:hAnsi="Times New Roman" w:cs="Times New Roman"/>
        </w:rPr>
        <w:t xml:space="preserve"> group letters, </w:t>
      </w:r>
      <w:r w:rsidRPr="00875674">
        <w:rPr>
          <w:rFonts w:ascii="Times New Roman" w:eastAsia="Times New Roman" w:hAnsi="Times New Roman" w:cs="Times New Roman"/>
        </w:rPr>
        <w:t xml:space="preserve">and </w:t>
      </w:r>
      <w:r w:rsidRPr="00875674" w:rsidR="00E34B30">
        <w:rPr>
          <w:rFonts w:ascii="Times New Roman" w:eastAsia="Times New Roman" w:hAnsi="Times New Roman" w:cs="Times New Roman"/>
        </w:rPr>
        <w:t xml:space="preserve">the $5 bill </w:t>
      </w:r>
      <w:r w:rsidR="008F65AE">
        <w:rPr>
          <w:rFonts w:ascii="Times New Roman" w:eastAsia="Times New Roman" w:hAnsi="Times New Roman" w:cs="Times New Roman"/>
        </w:rPr>
        <w:t>was</w:t>
      </w:r>
      <w:r w:rsidRPr="00875674" w:rsidR="00E34B30">
        <w:rPr>
          <w:rFonts w:ascii="Times New Roman" w:eastAsia="Times New Roman" w:hAnsi="Times New Roman" w:cs="Times New Roman"/>
        </w:rPr>
        <w:t xml:space="preserve"> not included in </w:t>
      </w:r>
      <w:r w:rsidR="004D7D97">
        <w:rPr>
          <w:rFonts w:ascii="Times New Roman" w:eastAsia="Times New Roman" w:hAnsi="Times New Roman" w:cs="Times New Roman"/>
        </w:rPr>
        <w:t xml:space="preserve">the no prepay </w:t>
      </w:r>
      <w:r w:rsidRPr="00875674" w:rsidR="00E34B30">
        <w:rPr>
          <w:rFonts w:ascii="Times New Roman" w:eastAsia="Times New Roman" w:hAnsi="Times New Roman" w:cs="Times New Roman"/>
        </w:rPr>
        <w:t>group</w:t>
      </w:r>
      <w:r w:rsidR="004D7D97">
        <w:rPr>
          <w:rFonts w:ascii="Times New Roman" w:eastAsia="Times New Roman" w:hAnsi="Times New Roman" w:cs="Times New Roman"/>
        </w:rPr>
        <w:t xml:space="preserve"> letters</w:t>
      </w:r>
      <w:r w:rsidRPr="00875674" w:rsidR="00E34B30">
        <w:rPr>
          <w:rFonts w:ascii="Times New Roman" w:eastAsia="Times New Roman" w:hAnsi="Times New Roman" w:cs="Times New Roman"/>
        </w:rPr>
        <w:t>.</w:t>
      </w:r>
    </w:p>
    <w:p w:rsidR="00A25A34" w:rsidRPr="00875674" w:rsidP="00261EEF" w14:paraId="635AAACC" w14:textId="52102A1D">
      <w:pPr>
        <w:pStyle w:val="ListParagraph"/>
        <w:numPr>
          <w:ilvl w:val="0"/>
          <w:numId w:val="31"/>
        </w:numPr>
        <w:rPr>
          <w:rFonts w:ascii="Times New Roman" w:eastAsia="Times New Roman" w:hAnsi="Times New Roman" w:cs="Times New Roman"/>
        </w:rPr>
      </w:pPr>
      <w:r w:rsidRPr="00875674">
        <w:rPr>
          <w:rFonts w:ascii="Times New Roman" w:eastAsia="Times New Roman" w:hAnsi="Times New Roman" w:cs="Times New Roman"/>
        </w:rPr>
        <w:t>Testing all survey systems to ensure that all subsequent communications (text messages, emails, interviewer outreach, reminder mailings) ma</w:t>
      </w:r>
      <w:r w:rsidRPr="00875674">
        <w:rPr>
          <w:rFonts w:ascii="Times New Roman" w:eastAsia="Times New Roman" w:hAnsi="Times New Roman" w:cs="Times New Roman"/>
        </w:rPr>
        <w:t xml:space="preserve">tch the experiment’s </w:t>
      </w:r>
      <w:r w:rsidRPr="04CF2CE3" w:rsidR="2EE1BD8C">
        <w:rPr>
          <w:rFonts w:ascii="Times New Roman" w:eastAsia="Times New Roman" w:hAnsi="Times New Roman" w:cs="Times New Roman"/>
        </w:rPr>
        <w:t>post-pay</w:t>
      </w:r>
      <w:r w:rsidRPr="00875674">
        <w:rPr>
          <w:rFonts w:ascii="Times New Roman" w:eastAsia="Times New Roman" w:hAnsi="Times New Roman" w:cs="Times New Roman"/>
        </w:rPr>
        <w:t xml:space="preserve"> amount ($50 or $55). </w:t>
      </w:r>
    </w:p>
    <w:p w:rsidR="00833DA0" w:rsidRPr="00875674" w:rsidP="00261EEF" w14:paraId="210451EA" w14:textId="512C8AA1">
      <w:pPr>
        <w:pStyle w:val="ListParagraph"/>
        <w:numPr>
          <w:ilvl w:val="0"/>
          <w:numId w:val="31"/>
        </w:numPr>
        <w:rPr>
          <w:rFonts w:ascii="Times New Roman" w:eastAsia="Times New Roman" w:hAnsi="Times New Roman" w:cs="Times New Roman"/>
        </w:rPr>
      </w:pPr>
      <w:r w:rsidRPr="00875674">
        <w:rPr>
          <w:rFonts w:ascii="Times New Roman" w:eastAsia="Times New Roman" w:hAnsi="Times New Roman" w:cs="Times New Roman"/>
        </w:rPr>
        <w:t xml:space="preserve">Reviewing all payment mailings, </w:t>
      </w:r>
      <w:r w:rsidR="00301B8E">
        <w:rPr>
          <w:rFonts w:ascii="Times New Roman" w:eastAsia="Times New Roman" w:hAnsi="Times New Roman" w:cs="Times New Roman"/>
        </w:rPr>
        <w:t>prepay and no prepay</w:t>
      </w:r>
      <w:r w:rsidRPr="00875674">
        <w:rPr>
          <w:rFonts w:ascii="Times New Roman" w:eastAsia="Times New Roman" w:hAnsi="Times New Roman" w:cs="Times New Roman"/>
        </w:rPr>
        <w:t xml:space="preserve">, to ensure </w:t>
      </w:r>
      <w:r w:rsidR="008F65AE">
        <w:rPr>
          <w:rFonts w:ascii="Times New Roman" w:eastAsia="Times New Roman" w:hAnsi="Times New Roman" w:cs="Times New Roman"/>
        </w:rPr>
        <w:t xml:space="preserve">we included </w:t>
      </w:r>
      <w:r w:rsidRPr="00875674">
        <w:rPr>
          <w:rFonts w:ascii="Times New Roman" w:eastAsia="Times New Roman" w:hAnsi="Times New Roman" w:cs="Times New Roman"/>
        </w:rPr>
        <w:t xml:space="preserve">the correct </w:t>
      </w:r>
      <w:r w:rsidRPr="04CF2CE3" w:rsidR="1A146021">
        <w:rPr>
          <w:rFonts w:ascii="Times New Roman" w:eastAsia="Times New Roman" w:hAnsi="Times New Roman" w:cs="Times New Roman"/>
        </w:rPr>
        <w:t>post-pay</w:t>
      </w:r>
      <w:r w:rsidRPr="00875674">
        <w:rPr>
          <w:rFonts w:ascii="Times New Roman" w:eastAsia="Times New Roman" w:hAnsi="Times New Roman" w:cs="Times New Roman"/>
        </w:rPr>
        <w:t xml:space="preserve"> amount </w:t>
      </w:r>
      <w:r w:rsidR="008F65AE">
        <w:rPr>
          <w:rFonts w:ascii="Times New Roman" w:eastAsia="Times New Roman" w:hAnsi="Times New Roman" w:cs="Times New Roman"/>
        </w:rPr>
        <w:t>f</w:t>
      </w:r>
      <w:r w:rsidRPr="00875674">
        <w:rPr>
          <w:rFonts w:ascii="Times New Roman" w:eastAsia="Times New Roman" w:hAnsi="Times New Roman" w:cs="Times New Roman"/>
        </w:rPr>
        <w:t xml:space="preserve">or each individual. </w:t>
      </w:r>
    </w:p>
    <w:p w:rsidR="00D03C20" w:rsidRPr="00875674" w:rsidP="00261EEF" w14:paraId="42FF9C7D" w14:textId="3BAAC5F1">
      <w:pPr>
        <w:pStyle w:val="ListParagraph"/>
        <w:numPr>
          <w:ilvl w:val="0"/>
          <w:numId w:val="31"/>
        </w:numPr>
        <w:rPr>
          <w:rFonts w:ascii="Times New Roman" w:eastAsia="Times New Roman" w:hAnsi="Times New Roman" w:cs="Times New Roman"/>
        </w:rPr>
      </w:pPr>
      <w:r w:rsidRPr="00875674">
        <w:rPr>
          <w:rFonts w:ascii="Times New Roman" w:eastAsia="Times New Roman" w:hAnsi="Times New Roman" w:cs="Times New Roman"/>
        </w:rPr>
        <w:t xml:space="preserve">Working with field locators to ensure they </w:t>
      </w:r>
      <w:r w:rsidRPr="04CF2CE3">
        <w:rPr>
          <w:rFonts w:ascii="Times New Roman" w:eastAsia="Times New Roman" w:hAnsi="Times New Roman" w:cs="Times New Roman"/>
        </w:rPr>
        <w:t>underst</w:t>
      </w:r>
      <w:r w:rsidRPr="04CF2CE3" w:rsidR="1A762C8D">
        <w:rPr>
          <w:rFonts w:ascii="Times New Roman" w:eastAsia="Times New Roman" w:hAnsi="Times New Roman" w:cs="Times New Roman"/>
        </w:rPr>
        <w:t>oo</w:t>
      </w:r>
      <w:r w:rsidRPr="04CF2CE3">
        <w:rPr>
          <w:rFonts w:ascii="Times New Roman" w:eastAsia="Times New Roman" w:hAnsi="Times New Roman" w:cs="Times New Roman"/>
        </w:rPr>
        <w:t>d</w:t>
      </w:r>
      <w:r w:rsidRPr="00875674">
        <w:rPr>
          <w:rFonts w:ascii="Times New Roman" w:eastAsia="Times New Roman" w:hAnsi="Times New Roman" w:cs="Times New Roman"/>
        </w:rPr>
        <w:t xml:space="preserve"> which participants are part of which experiment group </w:t>
      </w:r>
      <w:r w:rsidRPr="04CF2CE3" w:rsidR="72722749">
        <w:rPr>
          <w:rFonts w:ascii="Times New Roman" w:eastAsia="Times New Roman" w:hAnsi="Times New Roman" w:cs="Times New Roman"/>
        </w:rPr>
        <w:t xml:space="preserve">based on the indicator in the field management system </w:t>
      </w:r>
      <w:r w:rsidRPr="00875674">
        <w:rPr>
          <w:rFonts w:ascii="Times New Roman" w:eastAsia="Times New Roman" w:hAnsi="Times New Roman" w:cs="Times New Roman"/>
        </w:rPr>
        <w:t xml:space="preserve">and </w:t>
      </w:r>
      <w:r w:rsidRPr="00875674" w:rsidR="00864FBB">
        <w:rPr>
          <w:rFonts w:ascii="Times New Roman" w:eastAsia="Times New Roman" w:hAnsi="Times New Roman" w:cs="Times New Roman"/>
        </w:rPr>
        <w:t xml:space="preserve">training </w:t>
      </w:r>
      <w:r w:rsidR="00E7560E">
        <w:rPr>
          <w:rFonts w:ascii="Times New Roman" w:eastAsia="Times New Roman" w:hAnsi="Times New Roman" w:cs="Times New Roman"/>
        </w:rPr>
        <w:t xml:space="preserve">the field locators </w:t>
      </w:r>
      <w:r w:rsidRPr="00875674" w:rsidR="00864FBB">
        <w:rPr>
          <w:rFonts w:ascii="Times New Roman" w:eastAsia="Times New Roman" w:hAnsi="Times New Roman" w:cs="Times New Roman"/>
        </w:rPr>
        <w:t xml:space="preserve">to ensure they </w:t>
      </w:r>
      <w:r w:rsidRPr="00875674">
        <w:rPr>
          <w:rFonts w:ascii="Times New Roman" w:eastAsia="Times New Roman" w:hAnsi="Times New Roman" w:cs="Times New Roman"/>
        </w:rPr>
        <w:t xml:space="preserve">only discuss the correct </w:t>
      </w:r>
      <w:r w:rsidRPr="04CF2CE3" w:rsidR="5B32BB46">
        <w:rPr>
          <w:rFonts w:ascii="Times New Roman" w:eastAsia="Times New Roman" w:hAnsi="Times New Roman" w:cs="Times New Roman"/>
        </w:rPr>
        <w:t>post-pay</w:t>
      </w:r>
      <w:r w:rsidRPr="00875674">
        <w:rPr>
          <w:rFonts w:ascii="Times New Roman" w:eastAsia="Times New Roman" w:hAnsi="Times New Roman" w:cs="Times New Roman"/>
        </w:rPr>
        <w:t xml:space="preserve"> </w:t>
      </w:r>
      <w:r w:rsidRPr="00875674" w:rsidR="00605160">
        <w:rPr>
          <w:rFonts w:ascii="Times New Roman" w:eastAsia="Times New Roman" w:hAnsi="Times New Roman" w:cs="Times New Roman"/>
        </w:rPr>
        <w:t>amount</w:t>
      </w:r>
      <w:r w:rsidRPr="00875674" w:rsidR="00864FBB">
        <w:rPr>
          <w:rFonts w:ascii="Times New Roman" w:eastAsia="Times New Roman" w:hAnsi="Times New Roman" w:cs="Times New Roman"/>
        </w:rPr>
        <w:t xml:space="preserve"> with each participant</w:t>
      </w:r>
      <w:r w:rsidRPr="00875674" w:rsidR="00605160">
        <w:rPr>
          <w:rFonts w:ascii="Times New Roman" w:eastAsia="Times New Roman" w:hAnsi="Times New Roman" w:cs="Times New Roman"/>
        </w:rPr>
        <w:t xml:space="preserve">. </w:t>
      </w:r>
    </w:p>
    <w:p w:rsidR="00605160" w:rsidRPr="00875674" w:rsidP="00261EEF" w14:paraId="68733399" w14:textId="06B2FD20">
      <w:pPr>
        <w:pStyle w:val="ListParagraph"/>
        <w:numPr>
          <w:ilvl w:val="0"/>
          <w:numId w:val="31"/>
        </w:numPr>
        <w:rPr>
          <w:rFonts w:ascii="Times New Roman" w:eastAsia="Times New Roman" w:hAnsi="Times New Roman" w:cs="Times New Roman"/>
        </w:rPr>
      </w:pPr>
      <w:r w:rsidRPr="00875674">
        <w:rPr>
          <w:rFonts w:ascii="Times New Roman" w:eastAsia="Times New Roman" w:hAnsi="Times New Roman" w:cs="Times New Roman"/>
        </w:rPr>
        <w:t xml:space="preserve">Reviewing </w:t>
      </w:r>
      <w:r w:rsidRPr="00875674" w:rsidR="00833DA0">
        <w:rPr>
          <w:rFonts w:ascii="Times New Roman" w:eastAsia="Times New Roman" w:hAnsi="Times New Roman" w:cs="Times New Roman"/>
        </w:rPr>
        <w:t xml:space="preserve">raw experimental outcomes </w:t>
      </w:r>
      <w:r w:rsidRPr="00875674">
        <w:rPr>
          <w:rFonts w:ascii="Times New Roman" w:eastAsia="Times New Roman" w:hAnsi="Times New Roman" w:cs="Times New Roman"/>
        </w:rPr>
        <w:t xml:space="preserve">periodically </w:t>
      </w:r>
      <w:r w:rsidRPr="00875674" w:rsidR="00833DA0">
        <w:rPr>
          <w:rFonts w:ascii="Times New Roman" w:eastAsia="Times New Roman" w:hAnsi="Times New Roman" w:cs="Times New Roman"/>
        </w:rPr>
        <w:t xml:space="preserve">to ensure </w:t>
      </w:r>
      <w:r w:rsidR="008F65AE">
        <w:rPr>
          <w:rFonts w:ascii="Times New Roman" w:eastAsia="Times New Roman" w:hAnsi="Times New Roman" w:cs="Times New Roman"/>
        </w:rPr>
        <w:t>that</w:t>
      </w:r>
      <w:r w:rsidRPr="00875674" w:rsidR="00D03C20">
        <w:rPr>
          <w:rFonts w:ascii="Times New Roman" w:eastAsia="Times New Roman" w:hAnsi="Times New Roman" w:cs="Times New Roman"/>
        </w:rPr>
        <w:t xml:space="preserve"> we enforced </w:t>
      </w:r>
      <w:r w:rsidR="008F65AE">
        <w:rPr>
          <w:rFonts w:ascii="Times New Roman" w:eastAsia="Times New Roman" w:hAnsi="Times New Roman" w:cs="Times New Roman"/>
        </w:rPr>
        <w:t xml:space="preserve">the experimental groups </w:t>
      </w:r>
      <w:r w:rsidRPr="00875674" w:rsidR="00D03C20">
        <w:rPr>
          <w:rFonts w:ascii="Times New Roman" w:eastAsia="Times New Roman" w:hAnsi="Times New Roman" w:cs="Times New Roman"/>
        </w:rPr>
        <w:t>correctly</w:t>
      </w:r>
      <w:r w:rsidRPr="00875674">
        <w:rPr>
          <w:rFonts w:ascii="Times New Roman" w:eastAsia="Times New Roman" w:hAnsi="Times New Roman" w:cs="Times New Roman"/>
        </w:rPr>
        <w:t xml:space="preserve"> and that the</w:t>
      </w:r>
      <w:r w:rsidRPr="00875674">
        <w:rPr>
          <w:rFonts w:ascii="Times New Roman" w:eastAsia="Times New Roman" w:hAnsi="Times New Roman" w:cs="Times New Roman"/>
        </w:rPr>
        <w:t xml:space="preserve"> experiment </w:t>
      </w:r>
      <w:r w:rsidR="008F65AE">
        <w:rPr>
          <w:rFonts w:ascii="Times New Roman" w:eastAsia="Times New Roman" w:hAnsi="Times New Roman" w:cs="Times New Roman"/>
        </w:rPr>
        <w:t xml:space="preserve">was </w:t>
      </w:r>
      <w:r w:rsidRPr="00875674">
        <w:rPr>
          <w:rFonts w:ascii="Times New Roman" w:eastAsia="Times New Roman" w:hAnsi="Times New Roman" w:cs="Times New Roman"/>
        </w:rPr>
        <w:t xml:space="preserve">not causing </w:t>
      </w:r>
      <w:r w:rsidRPr="00875674">
        <w:rPr>
          <w:rFonts w:ascii="Times New Roman" w:eastAsia="Times New Roman" w:hAnsi="Times New Roman" w:cs="Times New Roman"/>
        </w:rPr>
        <w:t xml:space="preserve">large </w:t>
      </w:r>
      <w:r w:rsidRPr="00875674">
        <w:rPr>
          <w:rFonts w:ascii="Times New Roman" w:eastAsia="Times New Roman" w:hAnsi="Times New Roman" w:cs="Times New Roman"/>
        </w:rPr>
        <w:t xml:space="preserve">response rate </w:t>
      </w:r>
      <w:r w:rsidRPr="00875674">
        <w:rPr>
          <w:rFonts w:ascii="Times New Roman" w:eastAsia="Times New Roman" w:hAnsi="Times New Roman" w:cs="Times New Roman"/>
        </w:rPr>
        <w:t>discrepanc</w:t>
      </w:r>
      <w:r w:rsidRPr="00875674">
        <w:rPr>
          <w:rFonts w:ascii="Times New Roman" w:eastAsia="Times New Roman" w:hAnsi="Times New Roman" w:cs="Times New Roman"/>
        </w:rPr>
        <w:t>ies that could</w:t>
      </w:r>
      <w:r w:rsidRPr="00875674" w:rsidR="00D75780">
        <w:rPr>
          <w:rFonts w:ascii="Times New Roman" w:eastAsia="Times New Roman" w:hAnsi="Times New Roman" w:cs="Times New Roman"/>
        </w:rPr>
        <w:t xml:space="preserve"> affect </w:t>
      </w:r>
      <w:r w:rsidRPr="00875674">
        <w:rPr>
          <w:rFonts w:ascii="Times New Roman" w:eastAsia="Times New Roman" w:hAnsi="Times New Roman" w:cs="Times New Roman"/>
        </w:rPr>
        <w:t xml:space="preserve">the NextGen Project’s impact study. </w:t>
      </w:r>
    </w:p>
    <w:p w:rsidR="003D6A5B" w:rsidRPr="00875674" w:rsidP="00DF0A58" w14:paraId="3504EE18" w14:textId="14CA9609">
      <w:pPr>
        <w:rPr>
          <w:rFonts w:ascii="Times New Roman" w:eastAsia="Times New Roman" w:hAnsi="Times New Roman" w:cs="Times New Roman"/>
        </w:rPr>
      </w:pPr>
      <w:r w:rsidRPr="00875674">
        <w:rPr>
          <w:rFonts w:ascii="Times New Roman" w:eastAsia="Times New Roman" w:hAnsi="Times New Roman" w:cs="Times New Roman"/>
        </w:rPr>
        <w:t xml:space="preserve">Since </w:t>
      </w:r>
      <w:r w:rsidR="00BC144E">
        <w:rPr>
          <w:rFonts w:ascii="Times New Roman" w:eastAsia="Times New Roman" w:hAnsi="Times New Roman" w:cs="Times New Roman"/>
        </w:rPr>
        <w:t xml:space="preserve">the launch of the survey in </w:t>
      </w:r>
      <w:r w:rsidRPr="00875674">
        <w:rPr>
          <w:rFonts w:ascii="Times New Roman" w:eastAsia="Times New Roman" w:hAnsi="Times New Roman" w:cs="Times New Roman"/>
        </w:rPr>
        <w:t>June 2022</w:t>
      </w:r>
      <w:r w:rsidR="00BC144E">
        <w:rPr>
          <w:rFonts w:ascii="Times New Roman" w:eastAsia="Times New Roman" w:hAnsi="Times New Roman" w:cs="Times New Roman"/>
        </w:rPr>
        <w:t xml:space="preserve"> through October 2024</w:t>
      </w:r>
      <w:r w:rsidRPr="00875674">
        <w:rPr>
          <w:rFonts w:ascii="Times New Roman" w:eastAsia="Times New Roman" w:hAnsi="Times New Roman" w:cs="Times New Roman"/>
        </w:rPr>
        <w:t xml:space="preserve">, </w:t>
      </w:r>
      <w:r w:rsidRPr="00875674" w:rsidR="00D75780">
        <w:rPr>
          <w:rFonts w:ascii="Times New Roman" w:eastAsia="Times New Roman" w:hAnsi="Times New Roman" w:cs="Times New Roman"/>
        </w:rPr>
        <w:t xml:space="preserve">we randomized </w:t>
      </w:r>
      <w:r w:rsidRPr="00875674" w:rsidR="00FE3557">
        <w:rPr>
          <w:rFonts w:ascii="Times New Roman" w:eastAsia="Times New Roman" w:hAnsi="Times New Roman" w:cs="Times New Roman"/>
        </w:rPr>
        <w:t>2</w:t>
      </w:r>
      <w:r w:rsidRPr="00875674" w:rsidR="00F117F8">
        <w:rPr>
          <w:rFonts w:ascii="Times New Roman" w:eastAsia="Times New Roman" w:hAnsi="Times New Roman" w:cs="Times New Roman"/>
        </w:rPr>
        <w:t>,779</w:t>
      </w:r>
      <w:r w:rsidRPr="00875674" w:rsidR="006F6550">
        <w:rPr>
          <w:rFonts w:ascii="Times New Roman" w:eastAsia="Times New Roman" w:hAnsi="Times New Roman" w:cs="Times New Roman"/>
        </w:rPr>
        <w:t xml:space="preserve"> cases into the experiment</w:t>
      </w:r>
      <w:r w:rsidRPr="00875674" w:rsidR="00E4212D">
        <w:rPr>
          <w:rFonts w:ascii="Times New Roman" w:eastAsia="Times New Roman" w:hAnsi="Times New Roman" w:cs="Times New Roman"/>
        </w:rPr>
        <w:t>, with 1,</w:t>
      </w:r>
      <w:r w:rsidRPr="00875674" w:rsidR="00F117F8">
        <w:rPr>
          <w:rFonts w:ascii="Times New Roman" w:eastAsia="Times New Roman" w:hAnsi="Times New Roman" w:cs="Times New Roman"/>
        </w:rPr>
        <w:t>356</w:t>
      </w:r>
      <w:r w:rsidRPr="00875674" w:rsidR="00E4212D">
        <w:rPr>
          <w:rFonts w:ascii="Times New Roman" w:eastAsia="Times New Roman" w:hAnsi="Times New Roman" w:cs="Times New Roman"/>
        </w:rPr>
        <w:t xml:space="preserve"> in the </w:t>
      </w:r>
      <w:r w:rsidR="00301B8E">
        <w:rPr>
          <w:rFonts w:ascii="Times New Roman" w:eastAsia="Times New Roman" w:hAnsi="Times New Roman" w:cs="Times New Roman"/>
        </w:rPr>
        <w:t>prepay group</w:t>
      </w:r>
      <w:r w:rsidRPr="00875674" w:rsidR="00E4212D">
        <w:rPr>
          <w:rFonts w:ascii="Times New Roman" w:eastAsia="Times New Roman" w:hAnsi="Times New Roman" w:cs="Times New Roman"/>
        </w:rPr>
        <w:t xml:space="preserve"> and </w:t>
      </w:r>
      <w:r w:rsidRPr="00875674" w:rsidR="00011704">
        <w:rPr>
          <w:rFonts w:ascii="Times New Roman" w:eastAsia="Times New Roman" w:hAnsi="Times New Roman" w:cs="Times New Roman"/>
        </w:rPr>
        <w:t>1,</w:t>
      </w:r>
      <w:r w:rsidRPr="00875674" w:rsidR="00573C91">
        <w:rPr>
          <w:rFonts w:ascii="Times New Roman" w:eastAsia="Times New Roman" w:hAnsi="Times New Roman" w:cs="Times New Roman"/>
        </w:rPr>
        <w:t>423</w:t>
      </w:r>
      <w:r w:rsidRPr="00875674" w:rsidR="00011704">
        <w:rPr>
          <w:rFonts w:ascii="Times New Roman" w:eastAsia="Times New Roman" w:hAnsi="Times New Roman" w:cs="Times New Roman"/>
        </w:rPr>
        <w:t xml:space="preserve"> </w:t>
      </w:r>
      <w:r w:rsidRPr="00875674" w:rsidR="14EC1888">
        <w:rPr>
          <w:rFonts w:ascii="Times New Roman" w:eastAsia="Times New Roman" w:hAnsi="Times New Roman" w:cs="Times New Roman"/>
        </w:rPr>
        <w:t>in</w:t>
      </w:r>
      <w:r w:rsidRPr="00875674" w:rsidR="00011704">
        <w:rPr>
          <w:rFonts w:ascii="Times New Roman" w:eastAsia="Times New Roman" w:hAnsi="Times New Roman" w:cs="Times New Roman"/>
        </w:rPr>
        <w:t xml:space="preserve"> the </w:t>
      </w:r>
      <w:r w:rsidR="00301B8E">
        <w:rPr>
          <w:rFonts w:ascii="Times New Roman" w:eastAsia="Times New Roman" w:hAnsi="Times New Roman" w:cs="Times New Roman"/>
        </w:rPr>
        <w:t>no prepay group</w:t>
      </w:r>
      <w:r w:rsidRPr="00875674" w:rsidR="00011704">
        <w:rPr>
          <w:rFonts w:ascii="Times New Roman" w:eastAsia="Times New Roman" w:hAnsi="Times New Roman" w:cs="Times New Roman"/>
        </w:rPr>
        <w:t>.</w:t>
      </w:r>
      <w:r w:rsidRPr="00875674" w:rsidR="001E634D">
        <w:rPr>
          <w:rFonts w:ascii="Times New Roman" w:eastAsia="Times New Roman" w:hAnsi="Times New Roman" w:cs="Times New Roman"/>
        </w:rPr>
        <w:t xml:space="preserve"> In the analysis that follows, we excluded two batches of cases. First, we excluded </w:t>
      </w:r>
      <w:r w:rsidRPr="00875674" w:rsidR="00E5481E">
        <w:rPr>
          <w:rFonts w:ascii="Times New Roman" w:eastAsia="Times New Roman" w:hAnsi="Times New Roman" w:cs="Times New Roman"/>
        </w:rPr>
        <w:t xml:space="preserve">15 cases from </w:t>
      </w:r>
      <w:r w:rsidRPr="00875674" w:rsidR="00B91F61">
        <w:rPr>
          <w:rFonts w:ascii="Times New Roman" w:eastAsia="Times New Roman" w:hAnsi="Times New Roman" w:cs="Times New Roman"/>
        </w:rPr>
        <w:t>the Families Achieving Success Today (FAST) program</w:t>
      </w:r>
      <w:r>
        <w:rPr>
          <w:rStyle w:val="FootnoteReference"/>
          <w:rFonts w:ascii="Times New Roman" w:eastAsia="Times New Roman" w:hAnsi="Times New Roman" w:cs="Times New Roman"/>
        </w:rPr>
        <w:footnoteReference w:id="3"/>
      </w:r>
      <w:r w:rsidRPr="00875674" w:rsidR="00B91F61">
        <w:rPr>
          <w:rFonts w:ascii="Times New Roman" w:eastAsia="Times New Roman" w:hAnsi="Times New Roman" w:cs="Times New Roman"/>
        </w:rPr>
        <w:t xml:space="preserve">. </w:t>
      </w:r>
      <w:r w:rsidRPr="00875674" w:rsidR="00A81689">
        <w:rPr>
          <w:rFonts w:ascii="Times New Roman" w:eastAsia="Times New Roman" w:hAnsi="Times New Roman" w:cs="Times New Roman"/>
        </w:rPr>
        <w:t xml:space="preserve">Second, we excluded </w:t>
      </w:r>
      <w:r w:rsidRPr="00875674" w:rsidR="000219CE">
        <w:rPr>
          <w:rFonts w:ascii="Times New Roman" w:eastAsia="Times New Roman" w:hAnsi="Times New Roman" w:cs="Times New Roman"/>
        </w:rPr>
        <w:t>all 46 cases from the fifth cohort</w:t>
      </w:r>
      <w:r w:rsidRPr="00875674" w:rsidR="005D3052">
        <w:rPr>
          <w:rFonts w:ascii="Times New Roman" w:eastAsia="Times New Roman" w:hAnsi="Times New Roman" w:cs="Times New Roman"/>
        </w:rPr>
        <w:t xml:space="preserve"> (all survey cases wi</w:t>
      </w:r>
      <w:r w:rsidRPr="00875674" w:rsidR="00EC0BFC">
        <w:rPr>
          <w:rFonts w:ascii="Times New Roman" w:eastAsia="Times New Roman" w:hAnsi="Times New Roman" w:cs="Times New Roman"/>
        </w:rPr>
        <w:t xml:space="preserve">th a survey launch </w:t>
      </w:r>
      <w:r w:rsidRPr="00875674" w:rsidR="005D3052">
        <w:rPr>
          <w:rFonts w:ascii="Times New Roman" w:eastAsia="Times New Roman" w:hAnsi="Times New Roman" w:cs="Times New Roman"/>
        </w:rPr>
        <w:t>during J</w:t>
      </w:r>
      <w:r w:rsidRPr="00875674" w:rsidR="00EC0BFC">
        <w:rPr>
          <w:rFonts w:ascii="Times New Roman" w:eastAsia="Times New Roman" w:hAnsi="Times New Roman" w:cs="Times New Roman"/>
        </w:rPr>
        <w:t>uly 2022</w:t>
      </w:r>
      <w:r w:rsidRPr="00875674" w:rsidR="005D3052">
        <w:rPr>
          <w:rFonts w:ascii="Times New Roman" w:eastAsia="Times New Roman" w:hAnsi="Times New Roman" w:cs="Times New Roman"/>
        </w:rPr>
        <w:t>)</w:t>
      </w:r>
      <w:r w:rsidRPr="00875674" w:rsidR="00EC0BFC">
        <w:rPr>
          <w:rFonts w:ascii="Times New Roman" w:eastAsia="Times New Roman" w:hAnsi="Times New Roman" w:cs="Times New Roman"/>
        </w:rPr>
        <w:t xml:space="preserve">. </w:t>
      </w:r>
      <w:r w:rsidR="00A112CD">
        <w:rPr>
          <w:rFonts w:ascii="Times New Roman" w:eastAsia="Times New Roman" w:hAnsi="Times New Roman" w:cs="Times New Roman"/>
        </w:rPr>
        <w:t xml:space="preserve">Our team did not conduct the full set of </w:t>
      </w:r>
      <w:r w:rsidRPr="00875674" w:rsidR="005D3052">
        <w:rPr>
          <w:rFonts w:ascii="Times New Roman" w:eastAsia="Times New Roman" w:hAnsi="Times New Roman" w:cs="Times New Roman"/>
        </w:rPr>
        <w:t>q</w:t>
      </w:r>
      <w:r w:rsidRPr="00875674" w:rsidR="00EC0BFC">
        <w:rPr>
          <w:rFonts w:ascii="Times New Roman" w:eastAsia="Times New Roman" w:hAnsi="Times New Roman" w:cs="Times New Roman"/>
        </w:rPr>
        <w:t xml:space="preserve">uality assurance </w:t>
      </w:r>
      <w:r w:rsidRPr="00875674" w:rsidR="000C3628">
        <w:rPr>
          <w:rFonts w:ascii="Times New Roman" w:eastAsia="Times New Roman" w:hAnsi="Times New Roman" w:cs="Times New Roman"/>
        </w:rPr>
        <w:t xml:space="preserve">steps </w:t>
      </w:r>
      <w:r w:rsidR="00A112CD">
        <w:rPr>
          <w:rFonts w:ascii="Times New Roman" w:eastAsia="Times New Roman" w:hAnsi="Times New Roman" w:cs="Times New Roman"/>
        </w:rPr>
        <w:t>f</w:t>
      </w:r>
      <w:r w:rsidRPr="00875674" w:rsidR="005D3052">
        <w:rPr>
          <w:rFonts w:ascii="Times New Roman" w:eastAsia="Times New Roman" w:hAnsi="Times New Roman" w:cs="Times New Roman"/>
        </w:rPr>
        <w:t xml:space="preserve">or the </w:t>
      </w:r>
      <w:r w:rsidRPr="00875674" w:rsidR="000C3628">
        <w:rPr>
          <w:rFonts w:ascii="Times New Roman" w:eastAsia="Times New Roman" w:hAnsi="Times New Roman" w:cs="Times New Roman"/>
        </w:rPr>
        <w:t>advance mailing</w:t>
      </w:r>
      <w:r w:rsidRPr="00875674" w:rsidR="005D3052">
        <w:rPr>
          <w:rFonts w:ascii="Times New Roman" w:eastAsia="Times New Roman" w:hAnsi="Times New Roman" w:cs="Times New Roman"/>
        </w:rPr>
        <w:t xml:space="preserve"> for the fifth cohort, </w:t>
      </w:r>
      <w:r w:rsidRPr="00875674" w:rsidR="000C3628">
        <w:rPr>
          <w:rFonts w:ascii="Times New Roman" w:eastAsia="Times New Roman" w:hAnsi="Times New Roman" w:cs="Times New Roman"/>
        </w:rPr>
        <w:t xml:space="preserve">so we cannot guarantee that all </w:t>
      </w:r>
      <w:r w:rsidR="00301B8E">
        <w:rPr>
          <w:rFonts w:ascii="Times New Roman" w:eastAsia="Times New Roman" w:hAnsi="Times New Roman" w:cs="Times New Roman"/>
        </w:rPr>
        <w:t>prepay</w:t>
      </w:r>
      <w:r w:rsidRPr="00875674" w:rsidR="000C3628">
        <w:rPr>
          <w:rFonts w:ascii="Times New Roman" w:eastAsia="Times New Roman" w:hAnsi="Times New Roman" w:cs="Times New Roman"/>
        </w:rPr>
        <w:t xml:space="preserve"> cases </w:t>
      </w:r>
      <w:r w:rsidRPr="00875674" w:rsidR="005D3052">
        <w:rPr>
          <w:rFonts w:ascii="Times New Roman" w:eastAsia="Times New Roman" w:hAnsi="Times New Roman" w:cs="Times New Roman"/>
        </w:rPr>
        <w:t xml:space="preserve">correctly </w:t>
      </w:r>
      <w:r w:rsidRPr="00875674" w:rsidR="000C3628">
        <w:rPr>
          <w:rFonts w:ascii="Times New Roman" w:eastAsia="Times New Roman" w:hAnsi="Times New Roman" w:cs="Times New Roman"/>
        </w:rPr>
        <w:t>received</w:t>
      </w:r>
      <w:r w:rsidRPr="00875674" w:rsidR="005D3052">
        <w:rPr>
          <w:rFonts w:ascii="Times New Roman" w:eastAsia="Times New Roman" w:hAnsi="Times New Roman" w:cs="Times New Roman"/>
        </w:rPr>
        <w:t xml:space="preserve"> the</w:t>
      </w:r>
      <w:r w:rsidRPr="00875674" w:rsidR="000C3628">
        <w:rPr>
          <w:rFonts w:ascii="Times New Roman" w:eastAsia="Times New Roman" w:hAnsi="Times New Roman" w:cs="Times New Roman"/>
        </w:rPr>
        <w:t xml:space="preserve"> $5 prepay or that all </w:t>
      </w:r>
      <w:r w:rsidR="002C11E6">
        <w:rPr>
          <w:rFonts w:ascii="Times New Roman" w:eastAsia="Times New Roman" w:hAnsi="Times New Roman" w:cs="Times New Roman"/>
        </w:rPr>
        <w:t>those in the no prepay group</w:t>
      </w:r>
      <w:r w:rsidRPr="00875674" w:rsidR="000C3628">
        <w:rPr>
          <w:rFonts w:ascii="Times New Roman" w:eastAsia="Times New Roman" w:hAnsi="Times New Roman" w:cs="Times New Roman"/>
        </w:rPr>
        <w:t xml:space="preserve"> cases did not.  </w:t>
      </w:r>
    </w:p>
    <w:p w:rsidR="000C3628" w:rsidRPr="00875674" w:rsidP="00DF0A58" w14:paraId="7B8C1E99" w14:textId="490D12C1">
      <w:pPr>
        <w:rPr>
          <w:rFonts w:ascii="Times New Roman" w:eastAsia="Times New Roman" w:hAnsi="Times New Roman" w:cs="Times New Roman"/>
        </w:rPr>
      </w:pPr>
      <w:r w:rsidRPr="5C2869F6">
        <w:rPr>
          <w:rFonts w:ascii="Times New Roman" w:eastAsia="Times New Roman" w:hAnsi="Times New Roman" w:cs="Times New Roman"/>
        </w:rPr>
        <w:t xml:space="preserve">The final number of cases </w:t>
      </w:r>
      <w:r w:rsidRPr="5C2869F6" w:rsidR="005D3052">
        <w:rPr>
          <w:rFonts w:ascii="Times New Roman" w:eastAsia="Times New Roman" w:hAnsi="Times New Roman" w:cs="Times New Roman"/>
        </w:rPr>
        <w:t xml:space="preserve">with these exclusions </w:t>
      </w:r>
      <w:r w:rsidRPr="04CF2CE3" w:rsidR="41BCC847">
        <w:rPr>
          <w:rFonts w:ascii="Times New Roman" w:eastAsia="Times New Roman" w:hAnsi="Times New Roman" w:cs="Times New Roman"/>
        </w:rPr>
        <w:t>is</w:t>
      </w:r>
      <w:r w:rsidRPr="5C2869F6" w:rsidR="005D3052">
        <w:rPr>
          <w:rFonts w:ascii="Times New Roman" w:eastAsia="Times New Roman" w:hAnsi="Times New Roman" w:cs="Times New Roman"/>
        </w:rPr>
        <w:t xml:space="preserve"> </w:t>
      </w:r>
      <w:r w:rsidRPr="5C2869F6" w:rsidR="00734CA6">
        <w:rPr>
          <w:rFonts w:ascii="Times New Roman" w:eastAsia="Times New Roman" w:hAnsi="Times New Roman" w:cs="Times New Roman"/>
        </w:rPr>
        <w:t>2,718 cases</w:t>
      </w:r>
      <w:r w:rsidRPr="5C2869F6" w:rsidR="005D3052">
        <w:rPr>
          <w:rFonts w:ascii="Times New Roman" w:eastAsia="Times New Roman" w:hAnsi="Times New Roman" w:cs="Times New Roman"/>
        </w:rPr>
        <w:t xml:space="preserve"> (</w:t>
      </w:r>
      <w:r w:rsidRPr="5C2869F6" w:rsidR="00DA3BDA">
        <w:rPr>
          <w:rFonts w:ascii="Times New Roman" w:eastAsia="Times New Roman" w:hAnsi="Times New Roman" w:cs="Times New Roman"/>
        </w:rPr>
        <w:t xml:space="preserve">1,331 in the </w:t>
      </w:r>
      <w:r w:rsidR="00301B8E">
        <w:rPr>
          <w:rFonts w:ascii="Times New Roman" w:eastAsia="Times New Roman" w:hAnsi="Times New Roman" w:cs="Times New Roman"/>
        </w:rPr>
        <w:t>prepay</w:t>
      </w:r>
      <w:r w:rsidRPr="5C2869F6" w:rsidR="00DA3BDA">
        <w:rPr>
          <w:rFonts w:ascii="Times New Roman" w:eastAsia="Times New Roman" w:hAnsi="Times New Roman" w:cs="Times New Roman"/>
        </w:rPr>
        <w:t xml:space="preserve"> group and </w:t>
      </w:r>
      <w:r w:rsidRPr="5C2869F6" w:rsidR="008B19FA">
        <w:rPr>
          <w:rFonts w:ascii="Times New Roman" w:eastAsia="Times New Roman" w:hAnsi="Times New Roman" w:cs="Times New Roman"/>
        </w:rPr>
        <w:t xml:space="preserve">1,387 in the </w:t>
      </w:r>
      <w:r w:rsidR="002C11E6">
        <w:rPr>
          <w:rFonts w:ascii="Times New Roman" w:eastAsia="Times New Roman" w:hAnsi="Times New Roman" w:cs="Times New Roman"/>
        </w:rPr>
        <w:t>no prepay</w:t>
      </w:r>
      <w:r w:rsidRPr="5C2869F6" w:rsidR="008B19FA">
        <w:rPr>
          <w:rFonts w:ascii="Times New Roman" w:eastAsia="Times New Roman" w:hAnsi="Times New Roman" w:cs="Times New Roman"/>
        </w:rPr>
        <w:t xml:space="preserve"> group</w:t>
      </w:r>
      <w:r w:rsidRPr="5C2869F6" w:rsidR="005D3052">
        <w:rPr>
          <w:rFonts w:ascii="Times New Roman" w:eastAsia="Times New Roman" w:hAnsi="Times New Roman" w:cs="Times New Roman"/>
        </w:rPr>
        <w:t>)</w:t>
      </w:r>
      <w:r w:rsidRPr="5C2869F6" w:rsidR="008B19FA">
        <w:rPr>
          <w:rFonts w:ascii="Times New Roman" w:eastAsia="Times New Roman" w:hAnsi="Times New Roman" w:cs="Times New Roman"/>
        </w:rPr>
        <w:t>.</w:t>
      </w:r>
      <w:r w:rsidRPr="5C2869F6" w:rsidR="002D0BB4">
        <w:rPr>
          <w:rFonts w:ascii="Times New Roman" w:eastAsia="Times New Roman" w:hAnsi="Times New Roman" w:cs="Times New Roman"/>
        </w:rPr>
        <w:t xml:space="preserve"> In analys</w:t>
      </w:r>
      <w:r w:rsidRPr="5C2869F6" w:rsidR="00173F93">
        <w:rPr>
          <w:rFonts w:ascii="Times New Roman" w:eastAsia="Times New Roman" w:hAnsi="Times New Roman" w:cs="Times New Roman"/>
        </w:rPr>
        <w:t xml:space="preserve">es </w:t>
      </w:r>
      <w:r w:rsidRPr="5C2869F6" w:rsidR="005D3052">
        <w:rPr>
          <w:rFonts w:ascii="Times New Roman" w:eastAsia="Times New Roman" w:hAnsi="Times New Roman" w:cs="Times New Roman"/>
        </w:rPr>
        <w:t xml:space="preserve">below </w:t>
      </w:r>
      <w:r w:rsidRPr="5C2869F6" w:rsidR="002D0BB4">
        <w:rPr>
          <w:rFonts w:ascii="Times New Roman" w:eastAsia="Times New Roman" w:hAnsi="Times New Roman" w:cs="Times New Roman"/>
        </w:rPr>
        <w:t xml:space="preserve">that use baseline </w:t>
      </w:r>
      <w:r w:rsidR="00172DE3">
        <w:rPr>
          <w:rFonts w:ascii="Times New Roman" w:eastAsia="Times New Roman" w:hAnsi="Times New Roman" w:cs="Times New Roman"/>
        </w:rPr>
        <w:t xml:space="preserve">characteristics, </w:t>
      </w:r>
      <w:r w:rsidRPr="5C2869F6" w:rsidR="00173F93">
        <w:rPr>
          <w:rFonts w:ascii="Times New Roman" w:eastAsia="Times New Roman" w:hAnsi="Times New Roman" w:cs="Times New Roman"/>
        </w:rPr>
        <w:t xml:space="preserve">a further 64 cases are excluded as they do not have a full set of </w:t>
      </w:r>
      <w:r w:rsidR="00137793">
        <w:rPr>
          <w:rFonts w:ascii="Times New Roman" w:eastAsia="Times New Roman" w:hAnsi="Times New Roman" w:cs="Times New Roman"/>
        </w:rPr>
        <w:t>baseline characteristics</w:t>
      </w:r>
      <w:r w:rsidRPr="5C2869F6" w:rsidR="00173F93">
        <w:rPr>
          <w:rFonts w:ascii="Times New Roman" w:eastAsia="Times New Roman" w:hAnsi="Times New Roman" w:cs="Times New Roman"/>
        </w:rPr>
        <w:t xml:space="preserve">. For these analyses, there are </w:t>
      </w:r>
      <w:r w:rsidRPr="5C2869F6" w:rsidR="008A61FC">
        <w:rPr>
          <w:rFonts w:ascii="Times New Roman" w:eastAsia="Times New Roman" w:hAnsi="Times New Roman" w:cs="Times New Roman"/>
        </w:rPr>
        <w:t xml:space="preserve">a total of </w:t>
      </w:r>
      <w:r w:rsidRPr="5C2869F6" w:rsidR="00173F93">
        <w:rPr>
          <w:rFonts w:ascii="Times New Roman" w:eastAsia="Times New Roman" w:hAnsi="Times New Roman" w:cs="Times New Roman"/>
        </w:rPr>
        <w:t xml:space="preserve">2,654 participants </w:t>
      </w:r>
      <w:r w:rsidRPr="5C2869F6" w:rsidR="00AD0E12">
        <w:rPr>
          <w:rFonts w:ascii="Times New Roman" w:eastAsia="Times New Roman" w:hAnsi="Times New Roman" w:cs="Times New Roman"/>
        </w:rPr>
        <w:t>(</w:t>
      </w:r>
      <w:r w:rsidRPr="5C2869F6" w:rsidR="6188A8D4">
        <w:rPr>
          <w:rFonts w:ascii="Times New Roman" w:eastAsia="Times New Roman" w:hAnsi="Times New Roman" w:cs="Times New Roman"/>
        </w:rPr>
        <w:t>1,309</w:t>
      </w:r>
      <w:r w:rsidRPr="5C2869F6" w:rsidR="00AD0E12">
        <w:rPr>
          <w:rFonts w:ascii="Times New Roman" w:eastAsia="Times New Roman" w:hAnsi="Times New Roman" w:cs="Times New Roman"/>
        </w:rPr>
        <w:t xml:space="preserve"> in the </w:t>
      </w:r>
      <w:r w:rsidR="00301B8E">
        <w:rPr>
          <w:rFonts w:ascii="Times New Roman" w:eastAsia="Times New Roman" w:hAnsi="Times New Roman" w:cs="Times New Roman"/>
        </w:rPr>
        <w:t>prepay</w:t>
      </w:r>
      <w:r w:rsidRPr="5C2869F6" w:rsidR="00AD0E12">
        <w:rPr>
          <w:rFonts w:ascii="Times New Roman" w:eastAsia="Times New Roman" w:hAnsi="Times New Roman" w:cs="Times New Roman"/>
        </w:rPr>
        <w:t xml:space="preserve"> group and </w:t>
      </w:r>
      <w:r w:rsidRPr="5C2869F6" w:rsidR="02A70B4E">
        <w:rPr>
          <w:rFonts w:ascii="Times New Roman" w:eastAsia="Times New Roman" w:hAnsi="Times New Roman" w:cs="Times New Roman"/>
        </w:rPr>
        <w:t>1,345</w:t>
      </w:r>
      <w:r w:rsidRPr="5C2869F6" w:rsidR="00AD0E12">
        <w:rPr>
          <w:rFonts w:ascii="Times New Roman" w:eastAsia="Times New Roman" w:hAnsi="Times New Roman" w:cs="Times New Roman"/>
        </w:rPr>
        <w:t xml:space="preserve"> in the </w:t>
      </w:r>
      <w:r w:rsidR="002C11E6">
        <w:rPr>
          <w:rFonts w:ascii="Times New Roman" w:eastAsia="Times New Roman" w:hAnsi="Times New Roman" w:cs="Times New Roman"/>
        </w:rPr>
        <w:t>no prepay</w:t>
      </w:r>
      <w:r w:rsidRPr="5C2869F6" w:rsidR="00AD0E12">
        <w:rPr>
          <w:rFonts w:ascii="Times New Roman" w:eastAsia="Times New Roman" w:hAnsi="Times New Roman" w:cs="Times New Roman"/>
        </w:rPr>
        <w:t xml:space="preserve"> group)</w:t>
      </w:r>
      <w:r w:rsidRPr="5C2869F6" w:rsidR="008A61FC">
        <w:rPr>
          <w:rFonts w:ascii="Times New Roman" w:eastAsia="Times New Roman" w:hAnsi="Times New Roman" w:cs="Times New Roman"/>
        </w:rPr>
        <w:t xml:space="preserve">.  </w:t>
      </w:r>
      <w:r w:rsidRPr="5C2869F6" w:rsidR="00173F93">
        <w:rPr>
          <w:rFonts w:ascii="Times New Roman" w:eastAsia="Times New Roman" w:hAnsi="Times New Roman" w:cs="Times New Roman"/>
        </w:rPr>
        <w:t xml:space="preserve"> </w:t>
      </w:r>
    </w:p>
    <w:p w:rsidR="00E9436F" w:rsidRPr="00765AFB" w:rsidP="00DF0A58" w14:paraId="6E1FE88B" w14:textId="3EF2793C">
      <w:pPr>
        <w:rPr>
          <w:rFonts w:ascii="Times New Roman" w:eastAsia="Times New Roman" w:hAnsi="Times New Roman" w:cs="Times New Roman"/>
        </w:rPr>
      </w:pPr>
      <w:r>
        <w:rPr>
          <w:rFonts w:ascii="Times New Roman" w:eastAsia="Times New Roman" w:hAnsi="Times New Roman" w:cs="Times New Roman"/>
        </w:rPr>
        <w:t>We constructed b</w:t>
      </w:r>
      <w:r w:rsidRPr="00765AFB" w:rsidR="00844A48">
        <w:rPr>
          <w:rFonts w:ascii="Times New Roman" w:eastAsia="Times New Roman" w:hAnsi="Times New Roman" w:cs="Times New Roman"/>
        </w:rPr>
        <w:t>aseline c</w:t>
      </w:r>
      <w:r w:rsidRPr="00765AFB" w:rsidR="00137793">
        <w:rPr>
          <w:rFonts w:ascii="Times New Roman" w:eastAsia="Times New Roman" w:hAnsi="Times New Roman" w:cs="Times New Roman"/>
        </w:rPr>
        <w:t xml:space="preserve">haracteristics </w:t>
      </w:r>
      <w:r w:rsidRPr="00765AFB">
        <w:rPr>
          <w:rFonts w:ascii="Times New Roman" w:eastAsia="Times New Roman" w:hAnsi="Times New Roman" w:cs="Times New Roman"/>
        </w:rPr>
        <w:t xml:space="preserve">using </w:t>
      </w:r>
      <w:r w:rsidRPr="00765AFB" w:rsidR="00844A48">
        <w:rPr>
          <w:rFonts w:ascii="Times New Roman" w:eastAsia="Times New Roman" w:hAnsi="Times New Roman" w:cs="Times New Roman"/>
        </w:rPr>
        <w:t xml:space="preserve">respondent-reported </w:t>
      </w:r>
      <w:r w:rsidRPr="00765AFB">
        <w:rPr>
          <w:rFonts w:ascii="Times New Roman" w:eastAsia="Times New Roman" w:hAnsi="Times New Roman" w:cs="Times New Roman"/>
        </w:rPr>
        <w:t xml:space="preserve">information from the </w:t>
      </w:r>
      <w:r w:rsidRPr="00765AFB" w:rsidR="002E2E92">
        <w:rPr>
          <w:rFonts w:ascii="Times New Roman" w:eastAsia="Times New Roman" w:hAnsi="Times New Roman" w:cs="Times New Roman"/>
        </w:rPr>
        <w:t>b</w:t>
      </w:r>
      <w:r w:rsidRPr="00765AFB">
        <w:rPr>
          <w:rFonts w:ascii="Times New Roman" w:eastAsia="Times New Roman" w:hAnsi="Times New Roman" w:cs="Times New Roman"/>
        </w:rPr>
        <w:t>aseline survey</w:t>
      </w:r>
      <w:r w:rsidR="00E8677B">
        <w:rPr>
          <w:rFonts w:ascii="Times New Roman" w:eastAsia="Times New Roman" w:hAnsi="Times New Roman" w:cs="Times New Roman"/>
        </w:rPr>
        <w:t xml:space="preserve"> for variables we thought </w:t>
      </w:r>
      <w:r w:rsidR="00007648">
        <w:rPr>
          <w:rFonts w:ascii="Times New Roman" w:eastAsia="Times New Roman" w:hAnsi="Times New Roman" w:cs="Times New Roman"/>
        </w:rPr>
        <w:t>would impact the prepay response rate</w:t>
      </w:r>
      <w:r w:rsidRPr="00765AFB">
        <w:rPr>
          <w:rFonts w:ascii="Times New Roman" w:eastAsia="Times New Roman" w:hAnsi="Times New Roman" w:cs="Times New Roman"/>
        </w:rPr>
        <w:t xml:space="preserve">. They include </w:t>
      </w:r>
      <w:r w:rsidRPr="04CF2CE3" w:rsidR="1A3EB51E">
        <w:rPr>
          <w:rFonts w:ascii="Times New Roman" w:eastAsia="Times New Roman" w:hAnsi="Times New Roman" w:cs="Times New Roman"/>
        </w:rPr>
        <w:t xml:space="preserve">sex, </w:t>
      </w:r>
      <w:r w:rsidRPr="00765AFB">
        <w:rPr>
          <w:rFonts w:ascii="Times New Roman" w:eastAsia="Times New Roman" w:hAnsi="Times New Roman" w:cs="Times New Roman"/>
        </w:rPr>
        <w:t xml:space="preserve">race, </w:t>
      </w:r>
      <w:r w:rsidRPr="04CF2CE3" w:rsidR="39A7DB2A">
        <w:rPr>
          <w:rFonts w:ascii="Times New Roman" w:eastAsia="Times New Roman" w:hAnsi="Times New Roman" w:cs="Times New Roman"/>
        </w:rPr>
        <w:t xml:space="preserve">education, </w:t>
      </w:r>
      <w:r w:rsidRPr="00765AFB">
        <w:rPr>
          <w:rFonts w:ascii="Times New Roman" w:eastAsia="Times New Roman" w:hAnsi="Times New Roman" w:cs="Times New Roman"/>
        </w:rPr>
        <w:t xml:space="preserve">language, </w:t>
      </w:r>
      <w:r w:rsidRPr="04CF2CE3" w:rsidR="1D068790">
        <w:rPr>
          <w:rFonts w:ascii="Times New Roman" w:eastAsia="Times New Roman" w:hAnsi="Times New Roman" w:cs="Times New Roman"/>
        </w:rPr>
        <w:t xml:space="preserve">and </w:t>
      </w:r>
      <w:r w:rsidRPr="00765AFB">
        <w:rPr>
          <w:rFonts w:ascii="Times New Roman" w:eastAsia="Times New Roman" w:hAnsi="Times New Roman" w:cs="Times New Roman"/>
        </w:rPr>
        <w:t>unstable housing</w:t>
      </w:r>
      <w:r w:rsidRPr="04CF2CE3" w:rsidR="13480C7D">
        <w:rPr>
          <w:rFonts w:ascii="Times New Roman" w:eastAsia="Times New Roman" w:hAnsi="Times New Roman" w:cs="Times New Roman"/>
        </w:rPr>
        <w:t>.</w:t>
      </w:r>
      <w:r w:rsidRPr="00765AFB">
        <w:rPr>
          <w:rFonts w:ascii="Times New Roman" w:eastAsia="Times New Roman" w:hAnsi="Times New Roman" w:cs="Times New Roman"/>
        </w:rPr>
        <w:t xml:space="preserve"> </w:t>
      </w:r>
    </w:p>
    <w:p w:rsidR="000C0574" w:rsidRPr="000C0574" w:rsidP="00261EEF" w14:paraId="482AA3F0" w14:textId="7B2D747D">
      <w:pPr>
        <w:pStyle w:val="ListParagraph"/>
        <w:numPr>
          <w:ilvl w:val="0"/>
          <w:numId w:val="32"/>
        </w:numPr>
        <w:rPr>
          <w:rFonts w:ascii="Times New Roman" w:eastAsia="Times New Roman" w:hAnsi="Times New Roman" w:cs="Times New Roman"/>
        </w:rPr>
      </w:pPr>
      <w:r w:rsidRPr="000C0574">
        <w:rPr>
          <w:rFonts w:ascii="Times New Roman" w:eastAsia="Times New Roman" w:hAnsi="Times New Roman" w:cs="Times New Roman"/>
        </w:rPr>
        <w:t>Sex. Based on the intake question</w:t>
      </w:r>
      <w:r>
        <w:rPr>
          <w:rFonts w:ascii="Times New Roman" w:eastAsia="Times New Roman" w:hAnsi="Times New Roman" w:cs="Times New Roman"/>
        </w:rPr>
        <w:t xml:space="preserve"> asked during study enrollment</w:t>
      </w:r>
      <w:r w:rsidRPr="000C0574">
        <w:rPr>
          <w:rFonts w:ascii="Times New Roman" w:eastAsia="Times New Roman" w:hAnsi="Times New Roman" w:cs="Times New Roman"/>
        </w:rPr>
        <w:t xml:space="preserve">.  </w:t>
      </w:r>
    </w:p>
    <w:p w:rsidR="00844A48" w:rsidRPr="00765AFB" w:rsidP="00261EEF" w14:paraId="5660D4F7" w14:textId="2269899A">
      <w:pPr>
        <w:pStyle w:val="ListParagraph"/>
        <w:numPr>
          <w:ilvl w:val="0"/>
          <w:numId w:val="32"/>
        </w:numPr>
        <w:rPr>
          <w:rFonts w:ascii="Times New Roman" w:eastAsia="Times New Roman" w:hAnsi="Times New Roman" w:cs="Times New Roman"/>
        </w:rPr>
      </w:pPr>
      <w:r w:rsidRPr="00765AFB">
        <w:rPr>
          <w:rFonts w:ascii="Times New Roman" w:eastAsia="Times New Roman" w:hAnsi="Times New Roman" w:cs="Times New Roman"/>
        </w:rPr>
        <w:t xml:space="preserve">Race. </w:t>
      </w:r>
      <w:r w:rsidRPr="00765AFB" w:rsidR="23AF65EE">
        <w:rPr>
          <w:rFonts w:ascii="Times New Roman" w:eastAsia="Times New Roman" w:hAnsi="Times New Roman" w:cs="Times New Roman"/>
        </w:rPr>
        <w:t xml:space="preserve">An indicator </w:t>
      </w:r>
      <w:r w:rsidRPr="00765AFB" w:rsidR="0184BF21">
        <w:rPr>
          <w:rFonts w:ascii="Times New Roman" w:eastAsia="Times New Roman" w:hAnsi="Times New Roman" w:cs="Times New Roman"/>
        </w:rPr>
        <w:t xml:space="preserve">for if respondent selected </w:t>
      </w:r>
      <w:r w:rsidR="00750694">
        <w:rPr>
          <w:rFonts w:ascii="Times New Roman" w:eastAsia="Times New Roman" w:hAnsi="Times New Roman" w:cs="Times New Roman"/>
        </w:rPr>
        <w:t xml:space="preserve">non-Hispanic </w:t>
      </w:r>
      <w:r w:rsidR="007C74FB">
        <w:rPr>
          <w:rFonts w:ascii="Times New Roman" w:eastAsia="Times New Roman" w:hAnsi="Times New Roman" w:cs="Times New Roman"/>
        </w:rPr>
        <w:t xml:space="preserve">ethnicity </w:t>
      </w:r>
      <w:r w:rsidR="00750694">
        <w:rPr>
          <w:rFonts w:ascii="Times New Roman" w:eastAsia="Times New Roman" w:hAnsi="Times New Roman" w:cs="Times New Roman"/>
        </w:rPr>
        <w:t xml:space="preserve">at item B1 and </w:t>
      </w:r>
      <w:r w:rsidRPr="00765AFB" w:rsidR="0184BF21">
        <w:rPr>
          <w:rFonts w:ascii="Times New Roman" w:eastAsia="Times New Roman" w:hAnsi="Times New Roman" w:cs="Times New Roman"/>
        </w:rPr>
        <w:t>Black or African American</w:t>
      </w:r>
      <w:r w:rsidRPr="00765AFB" w:rsidR="00A14D75">
        <w:rPr>
          <w:rFonts w:ascii="Times New Roman" w:eastAsia="Times New Roman" w:hAnsi="Times New Roman" w:cs="Times New Roman"/>
        </w:rPr>
        <w:t xml:space="preserve"> at item B2</w:t>
      </w:r>
      <w:r w:rsidRPr="00765AFB" w:rsidR="00081224">
        <w:rPr>
          <w:rFonts w:ascii="Times New Roman" w:eastAsia="Times New Roman" w:hAnsi="Times New Roman" w:cs="Times New Roman"/>
        </w:rPr>
        <w:t xml:space="preserve"> (race)</w:t>
      </w:r>
      <w:r w:rsidRPr="00765AFB" w:rsidR="00A14D75">
        <w:rPr>
          <w:rFonts w:ascii="Times New Roman" w:eastAsia="Times New Roman" w:hAnsi="Times New Roman" w:cs="Times New Roman"/>
        </w:rPr>
        <w:t xml:space="preserve"> on the baseline survey</w:t>
      </w:r>
      <w:r w:rsidRPr="00765AFB" w:rsidR="0184BF21">
        <w:rPr>
          <w:rFonts w:ascii="Times New Roman" w:eastAsia="Times New Roman" w:hAnsi="Times New Roman" w:cs="Times New Roman"/>
        </w:rPr>
        <w:t>. Respondents could select multiple options.</w:t>
      </w:r>
    </w:p>
    <w:p w:rsidR="00B011C6" w:rsidRPr="00B011C6" w:rsidP="00261EEF" w14:paraId="337970DE" w14:textId="77777777">
      <w:pPr>
        <w:pStyle w:val="ListParagraph"/>
        <w:numPr>
          <w:ilvl w:val="0"/>
          <w:numId w:val="32"/>
        </w:numPr>
        <w:rPr>
          <w:rFonts w:ascii="Times New Roman" w:eastAsia="Times New Roman" w:hAnsi="Times New Roman" w:cs="Times New Roman"/>
        </w:rPr>
      </w:pPr>
      <w:r w:rsidRPr="00B011C6">
        <w:rPr>
          <w:rFonts w:ascii="Times New Roman" w:eastAsia="Times New Roman" w:hAnsi="Times New Roman" w:cs="Times New Roman"/>
        </w:rPr>
        <w:t>Education. An indicator for education level of some college or more, based on item B5.</w:t>
      </w:r>
    </w:p>
    <w:p w:rsidR="75E759BB" w:rsidP="00261EEF" w14:paraId="589067FB" w14:textId="5DC10136">
      <w:pPr>
        <w:pStyle w:val="ListParagraph"/>
        <w:numPr>
          <w:ilvl w:val="0"/>
          <w:numId w:val="32"/>
        </w:numPr>
        <w:rPr>
          <w:rFonts w:ascii="Times New Roman" w:eastAsia="Times New Roman" w:hAnsi="Times New Roman" w:cs="Times New Roman"/>
        </w:rPr>
      </w:pPr>
      <w:r w:rsidRPr="14B42E7A">
        <w:rPr>
          <w:rFonts w:ascii="Times New Roman" w:eastAsia="Times New Roman" w:hAnsi="Times New Roman" w:cs="Times New Roman"/>
        </w:rPr>
        <w:t>Language: An indicator of if Spanish is spoken at home</w:t>
      </w:r>
      <w:r w:rsidR="00AD5D93">
        <w:rPr>
          <w:rFonts w:ascii="Times New Roman" w:eastAsia="Times New Roman" w:hAnsi="Times New Roman" w:cs="Times New Roman"/>
        </w:rPr>
        <w:t>, based on item B3</w:t>
      </w:r>
      <w:r w:rsidRPr="14B42E7A">
        <w:rPr>
          <w:rFonts w:ascii="Times New Roman" w:eastAsia="Times New Roman" w:hAnsi="Times New Roman" w:cs="Times New Roman"/>
        </w:rPr>
        <w:t>.</w:t>
      </w:r>
    </w:p>
    <w:p w:rsidR="00875674" w:rsidRPr="00C06B54" w:rsidP="00261EEF" w14:paraId="63422DF0" w14:textId="733AC2AC">
      <w:pPr>
        <w:pStyle w:val="ListParagraph"/>
        <w:numPr>
          <w:ilvl w:val="0"/>
          <w:numId w:val="32"/>
        </w:numPr>
      </w:pPr>
      <w:r w:rsidRPr="00C06B54">
        <w:rPr>
          <w:rFonts w:ascii="Times New Roman" w:eastAsia="Times New Roman" w:hAnsi="Times New Roman" w:cs="Times New Roman"/>
        </w:rPr>
        <w:t>Unstable housing.</w:t>
      </w:r>
      <w:r w:rsidRPr="00C06B54" w:rsidR="0FCC632D">
        <w:rPr>
          <w:rFonts w:ascii="Times New Roman" w:eastAsia="Times New Roman" w:hAnsi="Times New Roman" w:cs="Times New Roman"/>
        </w:rPr>
        <w:t xml:space="preserve"> </w:t>
      </w:r>
      <w:r w:rsidRPr="00C06B54" w:rsidR="7306CFF1">
        <w:rPr>
          <w:rFonts w:ascii="Times New Roman" w:eastAsia="Times New Roman" w:hAnsi="Times New Roman" w:cs="Times New Roman"/>
        </w:rPr>
        <w:t>An indicator defined if housing</w:t>
      </w:r>
      <w:r w:rsidR="00682A1F">
        <w:rPr>
          <w:rFonts w:ascii="Times New Roman" w:eastAsia="Times New Roman" w:hAnsi="Times New Roman" w:cs="Times New Roman"/>
        </w:rPr>
        <w:t xml:space="preserve"> status</w:t>
      </w:r>
      <w:r w:rsidRPr="00C06B54" w:rsidR="7306CFF1">
        <w:rPr>
          <w:rFonts w:ascii="Times New Roman" w:eastAsia="Times New Roman" w:hAnsi="Times New Roman" w:cs="Times New Roman"/>
        </w:rPr>
        <w:t xml:space="preserve"> in the past month was homeless or in emergency housing such as a shelter, a halfway house, sober house or other t</w:t>
      </w:r>
      <w:r w:rsidRPr="00C06B54" w:rsidR="0549E024">
        <w:rPr>
          <w:rFonts w:ascii="Times New Roman" w:eastAsia="Times New Roman" w:hAnsi="Times New Roman" w:cs="Times New Roman"/>
        </w:rPr>
        <w:t xml:space="preserve">ransitional housing, a group home, or living with friends or </w:t>
      </w:r>
      <w:r w:rsidRPr="04CF2CE3" w:rsidR="0549E024">
        <w:rPr>
          <w:rFonts w:ascii="Times New Roman" w:eastAsia="Times New Roman" w:hAnsi="Times New Roman" w:cs="Times New Roman"/>
        </w:rPr>
        <w:t>relative</w:t>
      </w:r>
      <w:r w:rsidRPr="04CF2CE3" w:rsidR="066DAD09">
        <w:rPr>
          <w:rFonts w:ascii="Times New Roman" w:eastAsia="Times New Roman" w:hAnsi="Times New Roman" w:cs="Times New Roman"/>
        </w:rPr>
        <w:t>s</w:t>
      </w:r>
      <w:r w:rsidRPr="00C06B54" w:rsidR="0549E024">
        <w:rPr>
          <w:rFonts w:ascii="Times New Roman" w:eastAsia="Times New Roman" w:hAnsi="Times New Roman" w:cs="Times New Roman"/>
        </w:rPr>
        <w:t xml:space="preserve"> and not paying rent.</w:t>
      </w:r>
      <w:r w:rsidR="004D5360">
        <w:rPr>
          <w:rFonts w:ascii="Times New Roman" w:eastAsia="Times New Roman" w:hAnsi="Times New Roman" w:cs="Times New Roman"/>
        </w:rPr>
        <w:t>, based on</w:t>
      </w:r>
      <w:r w:rsidRPr="00C06B54" w:rsidR="006149EC">
        <w:rPr>
          <w:rFonts w:ascii="Times New Roman" w:eastAsia="Times New Roman" w:hAnsi="Times New Roman" w:cs="Times New Roman"/>
        </w:rPr>
        <w:t xml:space="preserve"> item</w:t>
      </w:r>
      <w:r w:rsidRPr="00C06B54" w:rsidR="00081224">
        <w:rPr>
          <w:rFonts w:ascii="Times New Roman" w:eastAsia="Times New Roman" w:hAnsi="Times New Roman" w:cs="Times New Roman"/>
        </w:rPr>
        <w:t>s</w:t>
      </w:r>
      <w:r w:rsidRPr="00C06B54" w:rsidR="006149EC">
        <w:rPr>
          <w:rFonts w:ascii="Times New Roman" w:eastAsia="Times New Roman" w:hAnsi="Times New Roman" w:cs="Times New Roman"/>
        </w:rPr>
        <w:t xml:space="preserve"> B9 and B9a </w:t>
      </w:r>
      <w:r w:rsidR="004D5360">
        <w:rPr>
          <w:rFonts w:ascii="Times New Roman" w:eastAsia="Times New Roman" w:hAnsi="Times New Roman" w:cs="Times New Roman"/>
        </w:rPr>
        <w:t xml:space="preserve">of </w:t>
      </w:r>
      <w:r w:rsidRPr="00C06B54" w:rsidR="006149EC">
        <w:rPr>
          <w:rFonts w:ascii="Times New Roman" w:eastAsia="Times New Roman" w:hAnsi="Times New Roman" w:cs="Times New Roman"/>
        </w:rPr>
        <w:t xml:space="preserve">the baseline survey. </w:t>
      </w:r>
    </w:p>
    <w:p w:rsidR="000014B6" w:rsidP="00DF0A58" w14:paraId="3F818813" w14:textId="22A18D63">
      <w:pPr>
        <w:pStyle w:val="Paragraph"/>
      </w:pPr>
      <w:r w:rsidRPr="00875674">
        <w:t xml:space="preserve">We </w:t>
      </w:r>
      <w:r w:rsidR="00875674">
        <w:t>reviewed</w:t>
      </w:r>
      <w:r w:rsidRPr="00875674" w:rsidR="00020DEB">
        <w:t xml:space="preserve"> the</w:t>
      </w:r>
      <w:r w:rsidRPr="00875674" w:rsidR="00AA1C0E">
        <w:t xml:space="preserve"> baseline c</w:t>
      </w:r>
      <w:r w:rsidR="00137793">
        <w:t>haracteristics</w:t>
      </w:r>
      <w:r w:rsidRPr="00875674" w:rsidR="00AA1C0E">
        <w:t xml:space="preserve"> by</w:t>
      </w:r>
      <w:r w:rsidRPr="00875674" w:rsidR="00020DEB">
        <w:t xml:space="preserve"> </w:t>
      </w:r>
      <w:r w:rsidR="00020DEB">
        <w:t>pre</w:t>
      </w:r>
      <w:r w:rsidR="016491B7">
        <w:t>-</w:t>
      </w:r>
      <w:r w:rsidR="00020DEB">
        <w:t>pay</w:t>
      </w:r>
      <w:r w:rsidRPr="00875674" w:rsidR="00020DEB">
        <w:t xml:space="preserve"> experiment groups </w:t>
      </w:r>
      <w:r w:rsidRPr="00875674" w:rsidR="00AA1C0E">
        <w:t>to check if the experiment</w:t>
      </w:r>
      <w:r w:rsidRPr="00875674" w:rsidR="00923057">
        <w:t xml:space="preserve">’s randomization scheme </w:t>
      </w:r>
      <w:r w:rsidRPr="00875674" w:rsidR="004C4CF1">
        <w:t>led to any significant</w:t>
      </w:r>
      <w:r w:rsidR="00875674">
        <w:t>, unexpected</w:t>
      </w:r>
      <w:r w:rsidRPr="00875674" w:rsidR="004C4CF1">
        <w:t xml:space="preserve"> differences</w:t>
      </w:r>
      <w:r w:rsidRPr="00875674" w:rsidR="00AA1C0E">
        <w:t>.</w:t>
      </w:r>
      <w:r w:rsidRPr="00875674" w:rsidR="00AC53A7">
        <w:t xml:space="preserve"> None of the baseline </w:t>
      </w:r>
      <w:r w:rsidRPr="00875674" w:rsidR="00137793">
        <w:t>c</w:t>
      </w:r>
      <w:r w:rsidR="00137793">
        <w:t>haracteristics</w:t>
      </w:r>
      <w:r w:rsidRPr="00875674" w:rsidR="00AC53A7">
        <w:t xml:space="preserve"> show </w:t>
      </w:r>
      <w:r w:rsidRPr="00875674" w:rsidR="004C4CF1">
        <w:t xml:space="preserve">any </w:t>
      </w:r>
      <w:r w:rsidRPr="00875674" w:rsidR="00AC53A7">
        <w:t>significant differences between</w:t>
      </w:r>
      <w:r w:rsidR="00672136">
        <w:t xml:space="preserve"> the</w:t>
      </w:r>
      <w:r w:rsidRPr="00875674" w:rsidR="00AC53A7">
        <w:t xml:space="preserve"> </w:t>
      </w:r>
      <w:r w:rsidR="00301B8E">
        <w:t>prepay and no prepay</w:t>
      </w:r>
      <w:r w:rsidRPr="00875674" w:rsidR="00AC53A7">
        <w:t xml:space="preserve"> </w:t>
      </w:r>
      <w:r w:rsidR="00672136">
        <w:t xml:space="preserve">groups </w:t>
      </w:r>
      <w:r w:rsidRPr="00875674" w:rsidR="00AC53A7">
        <w:t>(Table 1)</w:t>
      </w:r>
      <w:r w:rsidRPr="00875674" w:rsidR="00456D7C">
        <w:t>,</w:t>
      </w:r>
      <w:r w:rsidRPr="00875674" w:rsidR="004C4CF1">
        <w:t xml:space="preserve"> indicating </w:t>
      </w:r>
      <w:r w:rsidRPr="00875674" w:rsidR="002B26B7">
        <w:t xml:space="preserve">that there </w:t>
      </w:r>
      <w:r w:rsidRPr="00875674" w:rsidR="00487F65">
        <w:t xml:space="preserve">are </w:t>
      </w:r>
      <w:r w:rsidRPr="00875674" w:rsidR="002B26B7">
        <w:t xml:space="preserve">no </w:t>
      </w:r>
      <w:r w:rsidRPr="00875674" w:rsidR="00487F65">
        <w:t xml:space="preserve">systematic </w:t>
      </w:r>
      <w:r w:rsidRPr="00875674" w:rsidR="002B26B7">
        <w:t xml:space="preserve">issues with the </w:t>
      </w:r>
      <w:r w:rsidRPr="00875674" w:rsidR="00487F65">
        <w:t xml:space="preserve">experiment’s </w:t>
      </w:r>
      <w:r w:rsidRPr="00875674" w:rsidR="002B26B7">
        <w:t>randomization process</w:t>
      </w:r>
      <w:r w:rsidRPr="00875674" w:rsidR="00AC53A7">
        <w:t xml:space="preserve">. </w:t>
      </w:r>
      <w:r w:rsidRPr="00875674" w:rsidR="00AA1C0E">
        <w:t xml:space="preserve"> </w:t>
      </w:r>
    </w:p>
    <w:p w:rsidR="000014B6" w:rsidP="000014B6" w14:paraId="1F941941" w14:textId="695CB054">
      <w:pPr>
        <w:pStyle w:val="TableTitle"/>
      </w:pPr>
      <w:r>
        <w:rPr>
          <w:bCs/>
        </w:rPr>
        <w:t>Table</w:t>
      </w:r>
      <w:r w:rsidRPr="000529B1">
        <w:rPr>
          <w:bCs/>
        </w:rPr>
        <w:t xml:space="preserve"> </w:t>
      </w:r>
      <w:r>
        <w:rPr>
          <w:bCs/>
        </w:rPr>
        <w:t>1</w:t>
      </w:r>
      <w:r w:rsidRPr="000529B1">
        <w:rPr>
          <w:bCs/>
        </w:rPr>
        <w:t>.</w:t>
      </w:r>
      <w:r>
        <w:t xml:space="preserve"> Baseline </w:t>
      </w:r>
      <w:r w:rsidR="00137793">
        <w:t xml:space="preserve">characteristics </w:t>
      </w:r>
      <w:r w:rsidR="009F5A50">
        <w:t xml:space="preserve">by </w:t>
      </w:r>
      <w:r>
        <w:t xml:space="preserve">prepay token </w:t>
      </w:r>
      <w:r w:rsidR="009F5A50">
        <w:t>experiment group</w:t>
      </w:r>
    </w:p>
    <w:tbl>
      <w:tblPr>
        <w:tblStyle w:val="BaseTable"/>
        <w:tblW w:w="5000" w:type="pct"/>
        <w:tblLayout w:type="fixed"/>
        <w:tblLook w:val="04A0"/>
      </w:tblPr>
      <w:tblGrid>
        <w:gridCol w:w="1560"/>
        <w:gridCol w:w="1560"/>
        <w:gridCol w:w="1560"/>
        <w:gridCol w:w="1560"/>
        <w:gridCol w:w="1560"/>
        <w:gridCol w:w="1560"/>
      </w:tblGrid>
      <w:tr w14:paraId="44544EE8" w14:textId="77777777" w:rsidTr="00F878E4">
        <w:tblPrEx>
          <w:tblW w:w="5000" w:type="pct"/>
          <w:tblLayout w:type="fixed"/>
          <w:tblLook w:val="04A0"/>
        </w:tblPrEx>
        <w:trPr>
          <w:trHeight w:val="120"/>
          <w:tblHeader/>
        </w:trPr>
        <w:tc>
          <w:tcPr>
            <w:tcW w:w="1560" w:type="dxa"/>
            <w:tcBorders>
              <w:right w:val="nil"/>
            </w:tcBorders>
          </w:tcPr>
          <w:p w:rsidR="000014B6" w14:paraId="0F99838B" w14:textId="4F18D412">
            <w:pPr>
              <w:pStyle w:val="TableHeaderLeft"/>
            </w:pPr>
            <w:r>
              <w:t xml:space="preserve">Baseline </w:t>
            </w:r>
            <w:r w:rsidR="00137793">
              <w:t>characterist</w:t>
            </w:r>
            <w:r w:rsidR="00137793">
              <w:rPr>
                <w:b w:val="0"/>
              </w:rPr>
              <w:t>ic</w:t>
            </w:r>
          </w:p>
        </w:tc>
        <w:tc>
          <w:tcPr>
            <w:tcW w:w="1560" w:type="dxa"/>
            <w:tcBorders>
              <w:left w:val="nil"/>
              <w:right w:val="nil"/>
            </w:tcBorders>
          </w:tcPr>
          <w:p w:rsidR="000014B6" w:rsidRPr="00465BF8" w14:paraId="0F58366D" w14:textId="77777777">
            <w:pPr>
              <w:pStyle w:val="TableHeaderCenter"/>
            </w:pPr>
            <w:r>
              <w:t>Sample size</w:t>
            </w:r>
          </w:p>
        </w:tc>
        <w:tc>
          <w:tcPr>
            <w:tcW w:w="1560" w:type="dxa"/>
            <w:tcBorders>
              <w:left w:val="nil"/>
              <w:right w:val="nil"/>
            </w:tcBorders>
          </w:tcPr>
          <w:p w:rsidR="000014B6" w14:paraId="462CBFA6" w14:textId="661D7B6F">
            <w:pPr>
              <w:pStyle w:val="TableHeaderCenter"/>
              <w:rPr>
                <w:b w:val="0"/>
              </w:rPr>
            </w:pPr>
            <w:r>
              <w:t xml:space="preserve">Proportion of sample </w:t>
            </w:r>
          </w:p>
          <w:p w:rsidR="000014B6" w:rsidRPr="00465BF8" w14:paraId="3DC12B28" w14:textId="77777777">
            <w:pPr>
              <w:pStyle w:val="TableHeaderCenter"/>
            </w:pPr>
            <w:r>
              <w:t>(no prepay)</w:t>
            </w:r>
          </w:p>
        </w:tc>
        <w:tc>
          <w:tcPr>
            <w:tcW w:w="1560" w:type="dxa"/>
            <w:tcBorders>
              <w:left w:val="nil"/>
              <w:right w:val="nil"/>
            </w:tcBorders>
          </w:tcPr>
          <w:p w:rsidR="00AB3345" w14:paraId="36F46624" w14:textId="77777777">
            <w:pPr>
              <w:pStyle w:val="TableHeaderCenter"/>
              <w:rPr>
                <w:b w:val="0"/>
              </w:rPr>
            </w:pPr>
            <w:r>
              <w:t>Proportion of sample</w:t>
            </w:r>
            <w:r w:rsidR="000014B6">
              <w:t xml:space="preserve"> </w:t>
            </w:r>
          </w:p>
          <w:p w:rsidR="000014B6" w14:paraId="36A16DEE" w14:textId="4E94A114">
            <w:pPr>
              <w:pStyle w:val="TableHeaderCenter"/>
            </w:pPr>
            <w:r>
              <w:t>(prepay)</w:t>
            </w:r>
          </w:p>
        </w:tc>
        <w:tc>
          <w:tcPr>
            <w:tcW w:w="1560" w:type="dxa"/>
            <w:tcBorders>
              <w:left w:val="nil"/>
              <w:right w:val="nil"/>
            </w:tcBorders>
          </w:tcPr>
          <w:p w:rsidR="000014B6" w14:paraId="6A03197A" w14:textId="7572D133">
            <w:pPr>
              <w:pStyle w:val="TableHeaderCenter"/>
            </w:pPr>
            <w:r>
              <w:t>Test statistic</w:t>
            </w:r>
          </w:p>
        </w:tc>
        <w:tc>
          <w:tcPr>
            <w:tcW w:w="1560" w:type="dxa"/>
            <w:tcBorders>
              <w:left w:val="nil"/>
            </w:tcBorders>
          </w:tcPr>
          <w:p w:rsidR="000014B6" w14:paraId="13F54B3E" w14:textId="77777777">
            <w:pPr>
              <w:pStyle w:val="TableHeaderCenter"/>
            </w:pPr>
            <w:r>
              <w:t>p-value</w:t>
            </w:r>
          </w:p>
        </w:tc>
      </w:tr>
      <w:tr w14:paraId="074E9F08" w14:textId="77777777" w:rsidTr="00F878E4">
        <w:tblPrEx>
          <w:tblW w:w="5000" w:type="pct"/>
          <w:tblLayout w:type="fixed"/>
          <w:tblLook w:val="04A0"/>
        </w:tblPrEx>
        <w:trPr>
          <w:trHeight w:val="120"/>
        </w:trPr>
        <w:tc>
          <w:tcPr>
            <w:tcW w:w="1560" w:type="dxa"/>
            <w:tcBorders>
              <w:right w:val="nil"/>
            </w:tcBorders>
          </w:tcPr>
          <w:p w:rsidR="00EE31B3" w:rsidP="00EE31B3" w14:paraId="7163FBC3" w14:textId="601CFDEE">
            <w:pPr>
              <w:pStyle w:val="TableTextLeft"/>
            </w:pPr>
            <w:r>
              <w:t>Sex (female)</w:t>
            </w:r>
          </w:p>
        </w:tc>
        <w:tc>
          <w:tcPr>
            <w:tcW w:w="1560" w:type="dxa"/>
            <w:tcBorders>
              <w:left w:val="nil"/>
              <w:right w:val="nil"/>
            </w:tcBorders>
          </w:tcPr>
          <w:p w:rsidR="00EE31B3" w:rsidP="00F878E4" w14:paraId="23BE4DBF" w14:textId="66DE3CAD">
            <w:pPr>
              <w:pStyle w:val="TableTextLeft"/>
              <w:jc w:val="center"/>
            </w:pPr>
            <w:r w:rsidRPr="0007601B">
              <w:t>2,716</w:t>
            </w:r>
          </w:p>
        </w:tc>
        <w:tc>
          <w:tcPr>
            <w:tcW w:w="1560" w:type="dxa"/>
            <w:tcBorders>
              <w:left w:val="nil"/>
              <w:right w:val="nil"/>
            </w:tcBorders>
          </w:tcPr>
          <w:p w:rsidR="00EE31B3" w:rsidP="00F878E4" w14:paraId="56B94D0F" w14:textId="1DCAE794">
            <w:pPr>
              <w:pStyle w:val="TableTextLeft"/>
              <w:jc w:val="center"/>
            </w:pPr>
            <w:r w:rsidRPr="00165798">
              <w:t>64.4</w:t>
            </w:r>
          </w:p>
        </w:tc>
        <w:tc>
          <w:tcPr>
            <w:tcW w:w="1560" w:type="dxa"/>
            <w:tcBorders>
              <w:left w:val="nil"/>
              <w:right w:val="nil"/>
            </w:tcBorders>
          </w:tcPr>
          <w:p w:rsidR="00EE31B3" w:rsidP="00F878E4" w14:paraId="1DCE2CE4" w14:textId="0C22CA4C">
            <w:pPr>
              <w:pStyle w:val="TableTextLeft"/>
              <w:jc w:val="center"/>
            </w:pPr>
            <w:r w:rsidRPr="00165798">
              <w:t>63.3</w:t>
            </w:r>
          </w:p>
        </w:tc>
        <w:tc>
          <w:tcPr>
            <w:tcW w:w="1560" w:type="dxa"/>
            <w:tcBorders>
              <w:left w:val="nil"/>
              <w:right w:val="nil"/>
            </w:tcBorders>
          </w:tcPr>
          <w:p w:rsidR="00EE31B3" w:rsidP="00F878E4" w14:paraId="099CE4A6" w14:textId="2DB77B8F">
            <w:pPr>
              <w:pStyle w:val="TableTextLeft"/>
              <w:jc w:val="center"/>
            </w:pPr>
            <w:r w:rsidRPr="00165798">
              <w:t>-1.1</w:t>
            </w:r>
          </w:p>
        </w:tc>
        <w:tc>
          <w:tcPr>
            <w:tcW w:w="1560" w:type="dxa"/>
            <w:tcBorders>
              <w:left w:val="nil"/>
            </w:tcBorders>
          </w:tcPr>
          <w:p w:rsidR="00EE31B3" w:rsidP="00F878E4" w14:paraId="62FC6229" w14:textId="730BEE65">
            <w:pPr>
              <w:pStyle w:val="TableTextLeft"/>
              <w:jc w:val="center"/>
            </w:pPr>
            <w:r w:rsidRPr="00165798">
              <w:t>0.562</w:t>
            </w:r>
          </w:p>
        </w:tc>
      </w:tr>
      <w:tr w14:paraId="564D2D9B" w14:textId="77777777" w:rsidTr="00F878E4">
        <w:tblPrEx>
          <w:tblW w:w="5000" w:type="pct"/>
          <w:tblLayout w:type="fixed"/>
          <w:tblLook w:val="04A0"/>
        </w:tblPrEx>
        <w:trPr>
          <w:trHeight w:val="120"/>
        </w:trPr>
        <w:tc>
          <w:tcPr>
            <w:tcW w:w="1560" w:type="dxa"/>
            <w:tcBorders>
              <w:right w:val="nil"/>
            </w:tcBorders>
          </w:tcPr>
          <w:p w:rsidR="00EE31B3" w:rsidP="00EE31B3" w14:paraId="6E37AB1A" w14:textId="548347D9">
            <w:pPr>
              <w:pStyle w:val="TableTextLeft"/>
            </w:pPr>
            <w:r>
              <w:t>Race (</w:t>
            </w:r>
            <w:r w:rsidR="000C0574">
              <w:t xml:space="preserve">non-Hispanic </w:t>
            </w:r>
            <w:r>
              <w:t>black)</w:t>
            </w:r>
          </w:p>
        </w:tc>
        <w:tc>
          <w:tcPr>
            <w:tcW w:w="1560" w:type="dxa"/>
            <w:tcBorders>
              <w:left w:val="nil"/>
              <w:right w:val="nil"/>
            </w:tcBorders>
          </w:tcPr>
          <w:p w:rsidR="00EE31B3" w:rsidP="00F878E4" w14:paraId="68AC034C" w14:textId="76CAA3EB">
            <w:pPr>
              <w:pStyle w:val="TableTextLeft"/>
              <w:jc w:val="center"/>
            </w:pPr>
            <w:r w:rsidRPr="0007601B">
              <w:t>2,694</w:t>
            </w:r>
          </w:p>
        </w:tc>
        <w:tc>
          <w:tcPr>
            <w:tcW w:w="1560" w:type="dxa"/>
            <w:tcBorders>
              <w:left w:val="nil"/>
              <w:right w:val="nil"/>
            </w:tcBorders>
          </w:tcPr>
          <w:p w:rsidR="00EE31B3" w:rsidP="00F878E4" w14:paraId="2A076862" w14:textId="2BC5838A">
            <w:pPr>
              <w:pStyle w:val="TableTextLeft"/>
              <w:jc w:val="center"/>
            </w:pPr>
            <w:r w:rsidRPr="00165798">
              <w:t>41.6</w:t>
            </w:r>
          </w:p>
        </w:tc>
        <w:tc>
          <w:tcPr>
            <w:tcW w:w="1560" w:type="dxa"/>
            <w:tcBorders>
              <w:left w:val="nil"/>
              <w:right w:val="nil"/>
            </w:tcBorders>
          </w:tcPr>
          <w:p w:rsidR="00EE31B3" w:rsidP="00F878E4" w14:paraId="793C2F0C" w14:textId="53541FDF">
            <w:pPr>
              <w:pStyle w:val="TableTextLeft"/>
              <w:jc w:val="center"/>
            </w:pPr>
            <w:r w:rsidRPr="00165798">
              <w:t>40.0</w:t>
            </w:r>
          </w:p>
        </w:tc>
        <w:tc>
          <w:tcPr>
            <w:tcW w:w="1560" w:type="dxa"/>
            <w:tcBorders>
              <w:left w:val="nil"/>
              <w:right w:val="nil"/>
            </w:tcBorders>
          </w:tcPr>
          <w:p w:rsidR="00EE31B3" w:rsidP="00F878E4" w14:paraId="14E5C916" w14:textId="5D578693">
            <w:pPr>
              <w:pStyle w:val="TableTextLeft"/>
              <w:jc w:val="center"/>
            </w:pPr>
            <w:r w:rsidRPr="00165798">
              <w:t>-1.6</w:t>
            </w:r>
          </w:p>
        </w:tc>
        <w:tc>
          <w:tcPr>
            <w:tcW w:w="1560" w:type="dxa"/>
            <w:tcBorders>
              <w:left w:val="nil"/>
            </w:tcBorders>
          </w:tcPr>
          <w:p w:rsidR="00EE31B3" w:rsidP="00F878E4" w14:paraId="4E600FDB" w14:textId="01D2AA12">
            <w:pPr>
              <w:pStyle w:val="TableTextLeft"/>
              <w:jc w:val="center"/>
            </w:pPr>
            <w:r w:rsidRPr="00165798">
              <w:t>0.408</w:t>
            </w:r>
          </w:p>
        </w:tc>
      </w:tr>
      <w:tr w14:paraId="6AA21814" w14:textId="77777777" w:rsidTr="00F878E4">
        <w:tblPrEx>
          <w:tblW w:w="5000" w:type="pct"/>
          <w:tblLayout w:type="fixed"/>
          <w:tblLook w:val="04A0"/>
        </w:tblPrEx>
        <w:trPr>
          <w:trHeight w:val="120"/>
        </w:trPr>
        <w:tc>
          <w:tcPr>
            <w:tcW w:w="1560" w:type="dxa"/>
            <w:tcBorders>
              <w:right w:val="nil"/>
            </w:tcBorders>
          </w:tcPr>
          <w:p w:rsidR="00EE31B3" w:rsidP="00EE31B3" w14:paraId="6496894B" w14:textId="3095ACA8">
            <w:pPr>
              <w:pStyle w:val="TableTextLeft"/>
            </w:pPr>
            <w:r>
              <w:t>Education (some college</w:t>
            </w:r>
            <w:r w:rsidR="00AD5D93">
              <w:t xml:space="preserve"> or more</w:t>
            </w:r>
            <w:r>
              <w:t>)</w:t>
            </w:r>
          </w:p>
        </w:tc>
        <w:tc>
          <w:tcPr>
            <w:tcW w:w="1560" w:type="dxa"/>
            <w:tcBorders>
              <w:left w:val="nil"/>
              <w:right w:val="nil"/>
            </w:tcBorders>
          </w:tcPr>
          <w:p w:rsidR="00EE31B3" w:rsidP="00F878E4" w14:paraId="7E1DFE2D" w14:textId="56FF5DDD">
            <w:pPr>
              <w:pStyle w:val="TableTextLeft"/>
              <w:jc w:val="center"/>
            </w:pPr>
            <w:r w:rsidRPr="0007601B">
              <w:t>2,713</w:t>
            </w:r>
          </w:p>
        </w:tc>
        <w:tc>
          <w:tcPr>
            <w:tcW w:w="1560" w:type="dxa"/>
            <w:tcBorders>
              <w:left w:val="nil"/>
              <w:right w:val="nil"/>
            </w:tcBorders>
          </w:tcPr>
          <w:p w:rsidR="00EE31B3" w:rsidP="00F878E4" w14:paraId="5FACEED2" w14:textId="09D320E6">
            <w:pPr>
              <w:pStyle w:val="TableTextLeft"/>
              <w:jc w:val="center"/>
            </w:pPr>
            <w:r w:rsidRPr="00165798">
              <w:t>29.4</w:t>
            </w:r>
          </w:p>
        </w:tc>
        <w:tc>
          <w:tcPr>
            <w:tcW w:w="1560" w:type="dxa"/>
            <w:tcBorders>
              <w:left w:val="nil"/>
              <w:right w:val="nil"/>
            </w:tcBorders>
          </w:tcPr>
          <w:p w:rsidR="00EE31B3" w:rsidP="00F878E4" w14:paraId="0852CC7A" w14:textId="03A1DF6B">
            <w:pPr>
              <w:pStyle w:val="TableTextLeft"/>
              <w:jc w:val="center"/>
            </w:pPr>
            <w:r w:rsidRPr="00165798">
              <w:t>29.7</w:t>
            </w:r>
          </w:p>
        </w:tc>
        <w:tc>
          <w:tcPr>
            <w:tcW w:w="1560" w:type="dxa"/>
            <w:tcBorders>
              <w:left w:val="nil"/>
              <w:right w:val="nil"/>
            </w:tcBorders>
          </w:tcPr>
          <w:p w:rsidR="00EE31B3" w:rsidP="00F878E4" w14:paraId="6B7B2428" w14:textId="7404B764">
            <w:pPr>
              <w:pStyle w:val="TableTextLeft"/>
              <w:jc w:val="center"/>
            </w:pPr>
            <w:r w:rsidRPr="00165798">
              <w:t>0.3</w:t>
            </w:r>
          </w:p>
        </w:tc>
        <w:tc>
          <w:tcPr>
            <w:tcW w:w="1560" w:type="dxa"/>
            <w:tcBorders>
              <w:left w:val="nil"/>
            </w:tcBorders>
          </w:tcPr>
          <w:p w:rsidR="00EE31B3" w:rsidP="00F878E4" w14:paraId="6E270971" w14:textId="73FC7CBA">
            <w:pPr>
              <w:pStyle w:val="TableTextLeft"/>
              <w:jc w:val="center"/>
            </w:pPr>
            <w:r w:rsidRPr="00165798">
              <w:t>0.845</w:t>
            </w:r>
          </w:p>
        </w:tc>
      </w:tr>
      <w:tr w14:paraId="2E08F346" w14:textId="77777777" w:rsidTr="00F878E4">
        <w:tblPrEx>
          <w:tblW w:w="5000" w:type="pct"/>
          <w:tblLayout w:type="fixed"/>
          <w:tblLook w:val="04A0"/>
        </w:tblPrEx>
        <w:trPr>
          <w:trHeight w:val="120"/>
        </w:trPr>
        <w:tc>
          <w:tcPr>
            <w:tcW w:w="1560" w:type="dxa"/>
            <w:tcBorders>
              <w:right w:val="nil"/>
            </w:tcBorders>
          </w:tcPr>
          <w:p w:rsidR="00AD5D93" w:rsidP="00EE31B3" w14:paraId="20B8EF24" w14:textId="16E07E21">
            <w:pPr>
              <w:pStyle w:val="TableTextLeft"/>
            </w:pPr>
            <w:r>
              <w:t>Language (Spanish)</w:t>
            </w:r>
          </w:p>
        </w:tc>
        <w:tc>
          <w:tcPr>
            <w:tcW w:w="1560" w:type="dxa"/>
            <w:tcBorders>
              <w:left w:val="nil"/>
              <w:right w:val="nil"/>
            </w:tcBorders>
          </w:tcPr>
          <w:p w:rsidR="00AD5D93" w:rsidRPr="0007601B" w:rsidP="00F878E4" w14:paraId="71BB0327" w14:textId="395E9FE8">
            <w:pPr>
              <w:pStyle w:val="TableTextLeft"/>
              <w:jc w:val="center"/>
            </w:pPr>
            <w:r>
              <w:t>2,718</w:t>
            </w:r>
          </w:p>
        </w:tc>
        <w:tc>
          <w:tcPr>
            <w:tcW w:w="1560" w:type="dxa"/>
            <w:tcBorders>
              <w:left w:val="nil"/>
              <w:right w:val="nil"/>
            </w:tcBorders>
          </w:tcPr>
          <w:p w:rsidR="00AD5D93" w:rsidRPr="00165798" w:rsidP="00F878E4" w14:paraId="2E74EF86" w14:textId="25798D62">
            <w:pPr>
              <w:pStyle w:val="TableTextLeft"/>
              <w:jc w:val="center"/>
            </w:pPr>
            <w:r>
              <w:t>13.3</w:t>
            </w:r>
          </w:p>
        </w:tc>
        <w:tc>
          <w:tcPr>
            <w:tcW w:w="1560" w:type="dxa"/>
            <w:tcBorders>
              <w:left w:val="nil"/>
              <w:right w:val="nil"/>
            </w:tcBorders>
          </w:tcPr>
          <w:p w:rsidR="00AD5D93" w:rsidRPr="00165798" w:rsidP="00F878E4" w14:paraId="5715A100" w14:textId="43052837">
            <w:pPr>
              <w:pStyle w:val="TableTextLeft"/>
              <w:jc w:val="center"/>
            </w:pPr>
            <w:r>
              <w:t>14.3</w:t>
            </w:r>
          </w:p>
        </w:tc>
        <w:tc>
          <w:tcPr>
            <w:tcW w:w="1560" w:type="dxa"/>
            <w:tcBorders>
              <w:left w:val="nil"/>
              <w:right w:val="nil"/>
            </w:tcBorders>
          </w:tcPr>
          <w:p w:rsidR="00AD5D93" w:rsidRPr="00165798" w:rsidP="00F878E4" w14:paraId="73CE551D" w14:textId="02039D4B">
            <w:pPr>
              <w:pStyle w:val="TableTextLeft"/>
              <w:jc w:val="center"/>
            </w:pPr>
            <w:r>
              <w:t>1.0</w:t>
            </w:r>
          </w:p>
        </w:tc>
        <w:tc>
          <w:tcPr>
            <w:tcW w:w="1560" w:type="dxa"/>
            <w:tcBorders>
              <w:left w:val="nil"/>
            </w:tcBorders>
          </w:tcPr>
          <w:p w:rsidR="00AD5D93" w:rsidRPr="00165798" w:rsidP="00F878E4" w14:paraId="4DA42AC0" w14:textId="2B36F23E">
            <w:pPr>
              <w:pStyle w:val="TableTextLeft"/>
              <w:jc w:val="center"/>
            </w:pPr>
            <w:r>
              <w:t>0.445</w:t>
            </w:r>
          </w:p>
        </w:tc>
      </w:tr>
      <w:tr w14:paraId="56601D02" w14:textId="77777777" w:rsidTr="00F878E4">
        <w:tblPrEx>
          <w:tblW w:w="5000" w:type="pct"/>
          <w:tblLayout w:type="fixed"/>
          <w:tblLook w:val="04A0"/>
        </w:tblPrEx>
        <w:trPr>
          <w:trHeight w:val="120"/>
        </w:trPr>
        <w:tc>
          <w:tcPr>
            <w:tcW w:w="1560" w:type="dxa"/>
            <w:tcBorders>
              <w:bottom w:val="single" w:sz="4" w:space="0" w:color="046B5C" w:themeColor="text2"/>
              <w:right w:val="nil"/>
            </w:tcBorders>
          </w:tcPr>
          <w:p w:rsidR="00EE31B3" w:rsidP="00EE31B3" w14:paraId="6CF02AAC" w14:textId="259A4946">
            <w:pPr>
              <w:pStyle w:val="TableTextLeft"/>
            </w:pPr>
            <w:r>
              <w:t>Unstable housing</w:t>
            </w:r>
          </w:p>
        </w:tc>
        <w:tc>
          <w:tcPr>
            <w:tcW w:w="1560" w:type="dxa"/>
            <w:tcBorders>
              <w:left w:val="nil"/>
              <w:bottom w:val="single" w:sz="4" w:space="0" w:color="046B5C" w:themeColor="text2"/>
              <w:right w:val="nil"/>
            </w:tcBorders>
          </w:tcPr>
          <w:p w:rsidR="00EE31B3" w:rsidP="00F878E4" w14:paraId="54A20C22" w14:textId="1DC0CBEB">
            <w:pPr>
              <w:pStyle w:val="TableTextLeft"/>
              <w:jc w:val="center"/>
            </w:pPr>
            <w:r w:rsidRPr="0007601B">
              <w:t>2,682</w:t>
            </w:r>
          </w:p>
        </w:tc>
        <w:tc>
          <w:tcPr>
            <w:tcW w:w="1560" w:type="dxa"/>
            <w:tcBorders>
              <w:left w:val="nil"/>
              <w:bottom w:val="single" w:sz="4" w:space="0" w:color="046B5C" w:themeColor="text2"/>
              <w:right w:val="nil"/>
            </w:tcBorders>
          </w:tcPr>
          <w:p w:rsidR="00EE31B3" w:rsidP="00F878E4" w14:paraId="67B853BC" w14:textId="3849D931">
            <w:pPr>
              <w:pStyle w:val="TableTextLeft"/>
              <w:jc w:val="center"/>
            </w:pPr>
            <w:r w:rsidRPr="00165798">
              <w:t>27.1</w:t>
            </w:r>
          </w:p>
        </w:tc>
        <w:tc>
          <w:tcPr>
            <w:tcW w:w="1560" w:type="dxa"/>
            <w:tcBorders>
              <w:left w:val="nil"/>
              <w:bottom w:val="single" w:sz="4" w:space="0" w:color="046B5C" w:themeColor="text2"/>
              <w:right w:val="nil"/>
            </w:tcBorders>
          </w:tcPr>
          <w:p w:rsidR="00EE31B3" w:rsidP="00F878E4" w14:paraId="257135E8" w14:textId="041DFCC1">
            <w:pPr>
              <w:pStyle w:val="TableTextLeft"/>
              <w:jc w:val="center"/>
            </w:pPr>
            <w:r w:rsidRPr="00165798">
              <w:t>26.9</w:t>
            </w:r>
          </w:p>
        </w:tc>
        <w:tc>
          <w:tcPr>
            <w:tcW w:w="1560" w:type="dxa"/>
            <w:tcBorders>
              <w:left w:val="nil"/>
              <w:bottom w:val="single" w:sz="4" w:space="0" w:color="046B5C" w:themeColor="text2"/>
              <w:right w:val="nil"/>
            </w:tcBorders>
          </w:tcPr>
          <w:p w:rsidR="00EE31B3" w:rsidP="00F878E4" w14:paraId="032DBA42" w14:textId="0D762453">
            <w:pPr>
              <w:pStyle w:val="TableTextLeft"/>
              <w:jc w:val="center"/>
            </w:pPr>
            <w:r w:rsidRPr="00165798">
              <w:t>-0.2</w:t>
            </w:r>
          </w:p>
        </w:tc>
        <w:tc>
          <w:tcPr>
            <w:tcW w:w="1560" w:type="dxa"/>
            <w:tcBorders>
              <w:left w:val="nil"/>
              <w:bottom w:val="single" w:sz="4" w:space="0" w:color="046B5C" w:themeColor="text2"/>
            </w:tcBorders>
          </w:tcPr>
          <w:p w:rsidR="00EE31B3" w:rsidP="00F878E4" w14:paraId="0C4F3991" w14:textId="085C3E13">
            <w:pPr>
              <w:pStyle w:val="TableTextLeft"/>
              <w:jc w:val="center"/>
            </w:pPr>
            <w:r w:rsidRPr="00165798">
              <w:t>0.924</w:t>
            </w:r>
          </w:p>
        </w:tc>
      </w:tr>
    </w:tbl>
    <w:p w:rsidR="00D84888" w:rsidP="003E4E74" w14:paraId="6AFBC37F" w14:textId="77777777">
      <w:pPr>
        <w:pStyle w:val="ExhibitSignificance"/>
        <w:ind w:left="0" w:firstLine="0"/>
      </w:pPr>
      <w:r w:rsidRPr="00D84888">
        <w:t xml:space="preserve">***/**/* </w:t>
      </w:r>
      <w:r>
        <w:t>The differences</w:t>
      </w:r>
      <w:r w:rsidRPr="00D84888">
        <w:t xml:space="preserve"> were statistically significant at the 1, 5, and 10 percent levels, respectively, using a two-tailed t-test.</w:t>
      </w:r>
      <w:r>
        <w:tab/>
      </w:r>
    </w:p>
    <w:p w:rsidR="00604F77" w:rsidP="000014B6" w14:paraId="5CE4176C" w14:textId="77777777">
      <w:pPr>
        <w:pStyle w:val="ExhibitSignificance"/>
      </w:pPr>
    </w:p>
    <w:p w:rsidR="004D2B9B" w:rsidP="00261EEF" w14:paraId="37DC8A5C" w14:textId="2007C242">
      <w:pPr>
        <w:pStyle w:val="H2"/>
        <w:numPr>
          <w:ilvl w:val="0"/>
          <w:numId w:val="29"/>
        </w:numPr>
        <w:spacing w:before="0" w:after="160"/>
        <w:ind w:left="360"/>
        <w:rPr>
          <w:rFonts w:eastAsia="Times New Roman"/>
        </w:rPr>
      </w:pPr>
      <w:r>
        <w:rPr>
          <w:rFonts w:eastAsia="Times New Roman"/>
        </w:rPr>
        <w:t>Prepay token findings</w:t>
      </w:r>
    </w:p>
    <w:p w:rsidR="0017619A" w:rsidP="00604F77" w14:paraId="7EA6402F" w14:textId="345FB855">
      <w:pPr>
        <w:pStyle w:val="H4"/>
        <w:spacing w:before="0" w:after="160"/>
      </w:pPr>
      <w:r>
        <w:t xml:space="preserve">Overall </w:t>
      </w:r>
      <w:r w:rsidR="00131E13">
        <w:t xml:space="preserve">findings </w:t>
      </w:r>
      <w:r w:rsidR="00F7529F">
        <w:t>and within NextGen Programs</w:t>
      </w:r>
    </w:p>
    <w:p w:rsidR="005C5762" w:rsidP="00604F77" w14:paraId="24760D25" w14:textId="37FDC3C4">
      <w:pPr>
        <w:pStyle w:val="Paragraph"/>
      </w:pPr>
      <w:r>
        <w:t>W</w:t>
      </w:r>
      <w:r w:rsidR="00E33558">
        <w:t xml:space="preserve">e find </w:t>
      </w:r>
      <w:r w:rsidR="008A7EC7">
        <w:t>that the prepay and no prepay groups had similar response rates</w:t>
      </w:r>
      <w:r w:rsidR="00097E7A">
        <w:t xml:space="preserve"> and the differences were not statistically significant </w:t>
      </w:r>
      <w:r w:rsidR="00116EA6">
        <w:t>at the 0.10 level</w:t>
      </w:r>
      <w:r w:rsidR="00473792">
        <w:t xml:space="preserve"> (Table </w:t>
      </w:r>
      <w:r w:rsidR="00AC53A7">
        <w:t>2</w:t>
      </w:r>
      <w:r w:rsidR="00473792">
        <w:t>)</w:t>
      </w:r>
      <w:r w:rsidR="00D23BBC">
        <w:t xml:space="preserve">. </w:t>
      </w:r>
      <w:r w:rsidR="00164854">
        <w:t xml:space="preserve">Results are similar when adjusted for </w:t>
      </w:r>
      <w:r w:rsidR="00E9436F">
        <w:t>the</w:t>
      </w:r>
      <w:r w:rsidR="00164854">
        <w:t xml:space="preserve"> set of baseline </w:t>
      </w:r>
      <w:r w:rsidR="00573DD0">
        <w:t>characteristics</w:t>
      </w:r>
      <w:r w:rsidR="00C91366">
        <w:t xml:space="preserve">: </w:t>
      </w:r>
      <w:r w:rsidR="002E50ED">
        <w:t xml:space="preserve">sex, </w:t>
      </w:r>
      <w:r w:rsidRPr="00C91366" w:rsidR="00C91366">
        <w:t xml:space="preserve">race, </w:t>
      </w:r>
      <w:r w:rsidR="002E50ED">
        <w:t xml:space="preserve">education, </w:t>
      </w:r>
      <w:r w:rsidRPr="00C91366" w:rsidR="00C91366">
        <w:t xml:space="preserve">language, </w:t>
      </w:r>
      <w:r w:rsidR="002E50ED">
        <w:t xml:space="preserve">and </w:t>
      </w:r>
      <w:r w:rsidRPr="00C91366" w:rsidR="00C91366">
        <w:t>unstable housing</w:t>
      </w:r>
      <w:r w:rsidR="00C91366">
        <w:t xml:space="preserve">. </w:t>
      </w:r>
    </w:p>
    <w:p w:rsidR="00570351" w:rsidP="00604F77" w14:paraId="2BAF908A" w14:textId="6AEA0666">
      <w:pPr>
        <w:pStyle w:val="TableTitle"/>
        <w:spacing w:before="0" w:after="160"/>
      </w:pPr>
      <w:bookmarkStart w:id="5" w:name="_Toc34920062"/>
      <w:r>
        <w:rPr>
          <w:bCs/>
        </w:rPr>
        <w:t>Table</w:t>
      </w:r>
      <w:r w:rsidRPr="000529B1">
        <w:rPr>
          <w:bCs/>
        </w:rPr>
        <w:t xml:space="preserve"> </w:t>
      </w:r>
      <w:r w:rsidR="00AC53A7">
        <w:rPr>
          <w:bCs/>
        </w:rPr>
        <w:t>2</w:t>
      </w:r>
      <w:r w:rsidRPr="000529B1">
        <w:rPr>
          <w:bCs/>
        </w:rPr>
        <w:t>.</w:t>
      </w:r>
      <w:r>
        <w:t xml:space="preserve"> Overall </w:t>
      </w:r>
      <w:r w:rsidR="00F46E30">
        <w:t xml:space="preserve">impact </w:t>
      </w:r>
      <w:r>
        <w:t xml:space="preserve">of </w:t>
      </w:r>
      <w:r w:rsidR="00F46E30">
        <w:t xml:space="preserve">the </w:t>
      </w:r>
      <w:r>
        <w:t xml:space="preserve">prepay token </w:t>
      </w:r>
      <w:bookmarkEnd w:id="5"/>
      <w:r w:rsidR="00563A5D">
        <w:t>on survey response rate</w:t>
      </w:r>
    </w:p>
    <w:tbl>
      <w:tblPr>
        <w:tblStyle w:val="BaseTable"/>
        <w:tblW w:w="5000" w:type="pct"/>
        <w:tblLayout w:type="fixed"/>
        <w:tblLook w:val="04A0"/>
      </w:tblPr>
      <w:tblGrid>
        <w:gridCol w:w="1560"/>
        <w:gridCol w:w="1560"/>
        <w:gridCol w:w="1560"/>
        <w:gridCol w:w="1560"/>
        <w:gridCol w:w="1560"/>
        <w:gridCol w:w="1560"/>
      </w:tblGrid>
      <w:tr w14:paraId="33921025" w14:textId="6F5802BD" w:rsidTr="00604F77">
        <w:tblPrEx>
          <w:tblW w:w="5000" w:type="pct"/>
          <w:tblLayout w:type="fixed"/>
          <w:tblLook w:val="04A0"/>
        </w:tblPrEx>
        <w:trPr>
          <w:trHeight w:val="120"/>
          <w:tblHeader/>
        </w:trPr>
        <w:tc>
          <w:tcPr>
            <w:tcW w:w="1560" w:type="dxa"/>
            <w:tcBorders>
              <w:right w:val="nil"/>
            </w:tcBorders>
          </w:tcPr>
          <w:p w:rsidR="007A25E3" w:rsidP="007A25E3" w14:paraId="0948D970" w14:textId="341026E6">
            <w:pPr>
              <w:pStyle w:val="TableHeaderLeft"/>
            </w:pPr>
            <w:r>
              <w:t>Model</w:t>
            </w:r>
          </w:p>
        </w:tc>
        <w:tc>
          <w:tcPr>
            <w:tcW w:w="1560" w:type="dxa"/>
            <w:tcBorders>
              <w:left w:val="nil"/>
              <w:right w:val="nil"/>
            </w:tcBorders>
          </w:tcPr>
          <w:p w:rsidR="007A25E3" w:rsidRPr="00465BF8" w:rsidP="007A25E3" w14:paraId="4ACA4A9B" w14:textId="774913AA">
            <w:pPr>
              <w:pStyle w:val="TableHeaderCenter"/>
            </w:pPr>
            <w:r>
              <w:t>Sample size</w:t>
            </w:r>
          </w:p>
        </w:tc>
        <w:tc>
          <w:tcPr>
            <w:tcW w:w="1560" w:type="dxa"/>
            <w:tcBorders>
              <w:left w:val="nil"/>
              <w:right w:val="nil"/>
            </w:tcBorders>
          </w:tcPr>
          <w:p w:rsidR="007A25E3" w:rsidP="007A25E3" w14:paraId="2F38DDD5" w14:textId="77777777">
            <w:pPr>
              <w:pStyle w:val="TableHeaderCenter"/>
              <w:rPr>
                <w:b w:val="0"/>
              </w:rPr>
            </w:pPr>
            <w:r>
              <w:t xml:space="preserve">Response rate </w:t>
            </w:r>
          </w:p>
          <w:p w:rsidR="007A25E3" w:rsidRPr="00465BF8" w:rsidP="007A25E3" w14:paraId="4D9D053F" w14:textId="33A3090D">
            <w:pPr>
              <w:pStyle w:val="TableHeaderCenter"/>
            </w:pPr>
            <w:r>
              <w:t>(no prepay)</w:t>
            </w:r>
          </w:p>
        </w:tc>
        <w:tc>
          <w:tcPr>
            <w:tcW w:w="1560" w:type="dxa"/>
            <w:tcBorders>
              <w:left w:val="nil"/>
              <w:right w:val="nil"/>
            </w:tcBorders>
          </w:tcPr>
          <w:p w:rsidR="007A25E3" w:rsidP="007A25E3" w14:paraId="1BDF1775" w14:textId="3D278463">
            <w:pPr>
              <w:pStyle w:val="TableHeaderCenter"/>
            </w:pPr>
            <w:r>
              <w:t>Response rate (prepay)</w:t>
            </w:r>
          </w:p>
        </w:tc>
        <w:tc>
          <w:tcPr>
            <w:tcW w:w="1560" w:type="dxa"/>
            <w:tcBorders>
              <w:left w:val="nil"/>
              <w:right w:val="nil"/>
            </w:tcBorders>
          </w:tcPr>
          <w:p w:rsidR="007A25E3" w:rsidP="007A25E3" w14:paraId="5893A79D" w14:textId="3CD165F5">
            <w:pPr>
              <w:pStyle w:val="TableHeaderCenter"/>
            </w:pPr>
            <w:r>
              <w:t>Impact of prepay</w:t>
            </w:r>
          </w:p>
        </w:tc>
        <w:tc>
          <w:tcPr>
            <w:tcW w:w="1560" w:type="dxa"/>
            <w:tcBorders>
              <w:left w:val="nil"/>
            </w:tcBorders>
          </w:tcPr>
          <w:p w:rsidR="007A25E3" w:rsidP="007A25E3" w14:paraId="1E6E0513" w14:textId="4841364E">
            <w:pPr>
              <w:pStyle w:val="TableHeaderCenter"/>
            </w:pPr>
            <w:r>
              <w:t>p-value</w:t>
            </w:r>
          </w:p>
        </w:tc>
      </w:tr>
      <w:tr w14:paraId="600443AF" w14:textId="75CCF8DE" w:rsidTr="00604F77">
        <w:tblPrEx>
          <w:tblW w:w="5000" w:type="pct"/>
          <w:tblLayout w:type="fixed"/>
          <w:tblLook w:val="04A0"/>
        </w:tblPrEx>
        <w:trPr>
          <w:trHeight w:val="120"/>
        </w:trPr>
        <w:tc>
          <w:tcPr>
            <w:tcW w:w="1560" w:type="dxa"/>
            <w:tcBorders>
              <w:right w:val="nil"/>
            </w:tcBorders>
          </w:tcPr>
          <w:p w:rsidR="007A25E3" w14:paraId="05823AAE" w14:textId="1218C0C9">
            <w:pPr>
              <w:pStyle w:val="TableTextLeft"/>
            </w:pPr>
            <w:r>
              <w:t>Unadjusted</w:t>
            </w:r>
          </w:p>
        </w:tc>
        <w:tc>
          <w:tcPr>
            <w:tcW w:w="1560" w:type="dxa"/>
            <w:tcBorders>
              <w:left w:val="nil"/>
              <w:right w:val="nil"/>
            </w:tcBorders>
          </w:tcPr>
          <w:p w:rsidR="007A25E3" w:rsidP="00604F77" w14:paraId="7011D384" w14:textId="6E759967">
            <w:pPr>
              <w:pStyle w:val="TableTextLeft"/>
              <w:jc w:val="center"/>
            </w:pPr>
            <w:r>
              <w:t>2,718</w:t>
            </w:r>
          </w:p>
        </w:tc>
        <w:tc>
          <w:tcPr>
            <w:tcW w:w="1560" w:type="dxa"/>
            <w:tcBorders>
              <w:left w:val="nil"/>
              <w:right w:val="nil"/>
            </w:tcBorders>
          </w:tcPr>
          <w:p w:rsidR="007A25E3" w:rsidP="00604F77" w14:paraId="76EC5288" w14:textId="7DD96A12">
            <w:pPr>
              <w:pStyle w:val="TableTextLeft"/>
              <w:jc w:val="center"/>
            </w:pPr>
            <w:r>
              <w:t>70.4</w:t>
            </w:r>
          </w:p>
        </w:tc>
        <w:tc>
          <w:tcPr>
            <w:tcW w:w="1560" w:type="dxa"/>
            <w:tcBorders>
              <w:left w:val="nil"/>
              <w:right w:val="nil"/>
            </w:tcBorders>
          </w:tcPr>
          <w:p w:rsidR="007A25E3" w:rsidP="00604F77" w14:paraId="632714AE" w14:textId="090E1F74">
            <w:pPr>
              <w:pStyle w:val="TableTextLeft"/>
              <w:jc w:val="center"/>
            </w:pPr>
            <w:r>
              <w:t>67.8</w:t>
            </w:r>
          </w:p>
        </w:tc>
        <w:tc>
          <w:tcPr>
            <w:tcW w:w="1560" w:type="dxa"/>
            <w:tcBorders>
              <w:left w:val="nil"/>
              <w:right w:val="nil"/>
            </w:tcBorders>
          </w:tcPr>
          <w:p w:rsidR="007A25E3" w:rsidP="00604F77" w14:paraId="6D5138FD" w14:textId="202064F0">
            <w:pPr>
              <w:pStyle w:val="TableTextLeft"/>
              <w:jc w:val="center"/>
            </w:pPr>
            <w:r>
              <w:t>-2.7</w:t>
            </w:r>
          </w:p>
        </w:tc>
        <w:tc>
          <w:tcPr>
            <w:tcW w:w="1560" w:type="dxa"/>
            <w:tcBorders>
              <w:left w:val="nil"/>
            </w:tcBorders>
          </w:tcPr>
          <w:p w:rsidR="007A25E3" w:rsidP="00604F77" w14:paraId="53744BB1" w14:textId="149E6516">
            <w:pPr>
              <w:pStyle w:val="TableTextLeft"/>
              <w:jc w:val="center"/>
            </w:pPr>
            <w:r>
              <w:t>0.132</w:t>
            </w:r>
          </w:p>
        </w:tc>
      </w:tr>
      <w:tr w14:paraId="0FB9D053" w14:textId="08F47136" w:rsidTr="00604F77">
        <w:tblPrEx>
          <w:tblW w:w="5000" w:type="pct"/>
          <w:tblLayout w:type="fixed"/>
          <w:tblLook w:val="04A0"/>
        </w:tblPrEx>
        <w:trPr>
          <w:trHeight w:val="120"/>
        </w:trPr>
        <w:tc>
          <w:tcPr>
            <w:tcW w:w="1560" w:type="dxa"/>
            <w:tcBorders>
              <w:bottom w:val="single" w:sz="4" w:space="0" w:color="046B5C" w:themeColor="text2"/>
              <w:right w:val="nil"/>
            </w:tcBorders>
          </w:tcPr>
          <w:p w:rsidR="007A25E3" w14:paraId="1EA5817E" w14:textId="7936C4AF">
            <w:pPr>
              <w:pStyle w:val="TableTextLeft"/>
            </w:pPr>
            <w:r>
              <w:t>Adjusted for baseline c</w:t>
            </w:r>
            <w:r w:rsidR="00573DD0">
              <w:t>haracteristics</w:t>
            </w:r>
          </w:p>
        </w:tc>
        <w:tc>
          <w:tcPr>
            <w:tcW w:w="1560" w:type="dxa"/>
            <w:tcBorders>
              <w:left w:val="nil"/>
              <w:bottom w:val="single" w:sz="4" w:space="0" w:color="046B5C" w:themeColor="text2"/>
              <w:right w:val="nil"/>
            </w:tcBorders>
          </w:tcPr>
          <w:p w:rsidR="007A25E3" w:rsidP="00604F77" w14:paraId="4E658E59" w14:textId="1957D9CB">
            <w:pPr>
              <w:pStyle w:val="TableTextLeft"/>
              <w:jc w:val="center"/>
            </w:pPr>
            <w:r>
              <w:t>2,654</w:t>
            </w:r>
          </w:p>
        </w:tc>
        <w:tc>
          <w:tcPr>
            <w:tcW w:w="1560" w:type="dxa"/>
            <w:tcBorders>
              <w:left w:val="nil"/>
              <w:bottom w:val="single" w:sz="4" w:space="0" w:color="046B5C" w:themeColor="text2"/>
              <w:right w:val="nil"/>
            </w:tcBorders>
          </w:tcPr>
          <w:p w:rsidR="007A25E3" w:rsidP="00604F77" w14:paraId="2912C26D" w14:textId="3CC33548">
            <w:pPr>
              <w:pStyle w:val="TableTextLeft"/>
              <w:jc w:val="center"/>
            </w:pPr>
            <w:r>
              <w:t>70.4</w:t>
            </w:r>
          </w:p>
        </w:tc>
        <w:tc>
          <w:tcPr>
            <w:tcW w:w="1560" w:type="dxa"/>
            <w:tcBorders>
              <w:left w:val="nil"/>
              <w:bottom w:val="single" w:sz="4" w:space="0" w:color="046B5C" w:themeColor="text2"/>
              <w:right w:val="nil"/>
            </w:tcBorders>
          </w:tcPr>
          <w:p w:rsidR="007A25E3" w:rsidP="00604F77" w14:paraId="4FB99E1F" w14:textId="11CCBA56">
            <w:pPr>
              <w:pStyle w:val="TableTextLeft"/>
              <w:jc w:val="center"/>
            </w:pPr>
            <w:r>
              <w:t>67.7</w:t>
            </w:r>
          </w:p>
        </w:tc>
        <w:tc>
          <w:tcPr>
            <w:tcW w:w="1560" w:type="dxa"/>
            <w:tcBorders>
              <w:left w:val="nil"/>
              <w:bottom w:val="single" w:sz="4" w:space="0" w:color="046B5C" w:themeColor="text2"/>
              <w:right w:val="nil"/>
            </w:tcBorders>
          </w:tcPr>
          <w:p w:rsidR="007A25E3" w:rsidP="00604F77" w14:paraId="1EF3F2E4" w14:textId="492FCA65">
            <w:pPr>
              <w:pStyle w:val="TableTextLeft"/>
              <w:jc w:val="center"/>
            </w:pPr>
            <w:r>
              <w:t>-2.8</w:t>
            </w:r>
          </w:p>
        </w:tc>
        <w:tc>
          <w:tcPr>
            <w:tcW w:w="1560" w:type="dxa"/>
            <w:tcBorders>
              <w:left w:val="nil"/>
              <w:bottom w:val="single" w:sz="4" w:space="0" w:color="046B5C" w:themeColor="text2"/>
            </w:tcBorders>
          </w:tcPr>
          <w:p w:rsidR="007A25E3" w:rsidP="00604F77" w14:paraId="24A7CB95" w14:textId="5784B6D5">
            <w:pPr>
              <w:pStyle w:val="TableTextLeft"/>
              <w:jc w:val="center"/>
            </w:pPr>
            <w:r>
              <w:t>0.119</w:t>
            </w:r>
          </w:p>
        </w:tc>
      </w:tr>
    </w:tbl>
    <w:p w:rsidR="00844A48" w:rsidP="003E4E74" w14:paraId="47010EC8" w14:textId="0F1C144E">
      <w:pPr>
        <w:pStyle w:val="ExhibitSignificance"/>
        <w:ind w:left="0" w:firstLine="0"/>
      </w:pPr>
      <w:r w:rsidRPr="00D84888">
        <w:t xml:space="preserve">***/**/* </w:t>
      </w:r>
      <w:r>
        <w:t>The differences</w:t>
      </w:r>
      <w:r w:rsidRPr="00D84888">
        <w:t xml:space="preserve"> were statistically significant at the 1, 5, and 10 percent levels, respectively, using a two-tailed t-test.</w:t>
      </w:r>
      <w:r w:rsidR="00570351">
        <w:tab/>
      </w:r>
    </w:p>
    <w:p w:rsidR="00D84888" w:rsidP="00D84888" w14:paraId="1411192E" w14:textId="77777777">
      <w:pPr>
        <w:pStyle w:val="ExhibitSignificance"/>
      </w:pPr>
    </w:p>
    <w:p w:rsidR="00844A48" w:rsidP="00604F77" w14:paraId="4E09E18D" w14:textId="154D5E16">
      <w:pPr>
        <w:pStyle w:val="Paragraph"/>
      </w:pPr>
      <w:r>
        <w:t xml:space="preserve">We </w:t>
      </w:r>
      <w:r w:rsidR="00584431">
        <w:t xml:space="preserve">analyzed </w:t>
      </w:r>
      <w:r>
        <w:t xml:space="preserve">the results by </w:t>
      </w:r>
      <w:r w:rsidR="00E830E6">
        <w:t xml:space="preserve">each </w:t>
      </w:r>
      <w:r>
        <w:t>NextGen program</w:t>
      </w:r>
      <w:r w:rsidR="00F46E30">
        <w:t xml:space="preserve"> </w:t>
      </w:r>
      <w:r w:rsidR="008301ED">
        <w:t>adjusting for</w:t>
      </w:r>
      <w:r w:rsidR="00F46E30">
        <w:t xml:space="preserve"> baseline </w:t>
      </w:r>
      <w:r w:rsidR="008301ED">
        <w:t xml:space="preserve">characteristics </w:t>
      </w:r>
      <w:r>
        <w:t xml:space="preserve">to see if </w:t>
      </w:r>
      <w:r w:rsidR="007F73E0">
        <w:t>the response rates were different by experiment</w:t>
      </w:r>
      <w:r w:rsidR="00261EEF">
        <w:t>al</w:t>
      </w:r>
      <w:r w:rsidR="007F73E0">
        <w:t xml:space="preserve"> group</w:t>
      </w:r>
      <w:r w:rsidR="00473792">
        <w:t xml:space="preserve"> (Table </w:t>
      </w:r>
      <w:r w:rsidR="00AC53A7">
        <w:t>3</w:t>
      </w:r>
      <w:r w:rsidR="00473792">
        <w:t>)</w:t>
      </w:r>
      <w:r>
        <w:t>.</w:t>
      </w:r>
      <w:r w:rsidR="005B390E">
        <w:t xml:space="preserve"> T</w:t>
      </w:r>
      <w:r w:rsidRPr="005B390E" w:rsidR="005B390E">
        <w:t>here were no statistically significant difference</w:t>
      </w:r>
      <w:r w:rsidR="005B390E">
        <w:t>s</w:t>
      </w:r>
      <w:r w:rsidRPr="005B390E" w:rsidR="005B390E">
        <w:t xml:space="preserve"> in response rates by experiment</w:t>
      </w:r>
      <w:r w:rsidR="00261EEF">
        <w:t>al</w:t>
      </w:r>
      <w:r w:rsidRPr="005B390E" w:rsidR="005B390E">
        <w:t xml:space="preserve"> group for three out of four programs; for one program, </w:t>
      </w:r>
      <w:r w:rsidR="00FC633F">
        <w:t>Individual Placement and Support for Adults with Justice Involvement (</w:t>
      </w:r>
      <w:r w:rsidRPr="005B390E" w:rsidR="005B390E">
        <w:t>IPS-AJI</w:t>
      </w:r>
      <w:r w:rsidR="00FC633F">
        <w:t>)</w:t>
      </w:r>
      <w:r w:rsidRPr="005B390E" w:rsidR="005B390E">
        <w:t xml:space="preserve">, a negative impact emerged. </w:t>
      </w:r>
    </w:p>
    <w:p w:rsidR="00473792" w:rsidP="00473792" w14:paraId="0114788B" w14:textId="1F9AA490">
      <w:pPr>
        <w:pStyle w:val="TableTitle"/>
      </w:pPr>
      <w:r>
        <w:rPr>
          <w:bCs/>
        </w:rPr>
        <w:t>Table</w:t>
      </w:r>
      <w:r w:rsidRPr="000529B1">
        <w:rPr>
          <w:bCs/>
        </w:rPr>
        <w:t xml:space="preserve"> </w:t>
      </w:r>
      <w:r w:rsidR="00AC53A7">
        <w:rPr>
          <w:bCs/>
        </w:rPr>
        <w:t>3</w:t>
      </w:r>
      <w:r w:rsidRPr="000529B1">
        <w:rPr>
          <w:bCs/>
        </w:rPr>
        <w:t>.</w:t>
      </w:r>
      <w:r>
        <w:t xml:space="preserve"> </w:t>
      </w:r>
      <w:r w:rsidR="00F46E30">
        <w:t xml:space="preserve">Impact </w:t>
      </w:r>
      <w:r>
        <w:t xml:space="preserve">of </w:t>
      </w:r>
      <w:r w:rsidR="00F46E30">
        <w:t xml:space="preserve">the </w:t>
      </w:r>
      <w:r>
        <w:t>prepay token</w:t>
      </w:r>
      <w:r w:rsidR="00AA3613">
        <w:t xml:space="preserve"> </w:t>
      </w:r>
      <w:r w:rsidR="00563A5D">
        <w:t xml:space="preserve">on survey response rate </w:t>
      </w:r>
      <w:r w:rsidR="00AA3613">
        <w:t xml:space="preserve">by NextGen </w:t>
      </w:r>
      <w:r w:rsidR="00584431">
        <w:t>p</w:t>
      </w:r>
      <w:r w:rsidR="00AA3613">
        <w:t>rogram</w:t>
      </w:r>
    </w:p>
    <w:tbl>
      <w:tblPr>
        <w:tblStyle w:val="BaseTable"/>
        <w:tblW w:w="5000" w:type="pct"/>
        <w:tblLayout w:type="fixed"/>
        <w:tblLook w:val="04A0"/>
      </w:tblPr>
      <w:tblGrid>
        <w:gridCol w:w="2160"/>
        <w:gridCol w:w="1440"/>
        <w:gridCol w:w="1440"/>
        <w:gridCol w:w="1440"/>
        <w:gridCol w:w="1440"/>
        <w:gridCol w:w="1440"/>
      </w:tblGrid>
      <w:tr w14:paraId="1A8C7792" w14:textId="77777777" w:rsidTr="00511846">
        <w:tblPrEx>
          <w:tblW w:w="5000" w:type="pct"/>
          <w:tblLayout w:type="fixed"/>
          <w:tblLook w:val="04A0"/>
        </w:tblPrEx>
        <w:trPr>
          <w:trHeight w:val="120"/>
          <w:tblHeader/>
        </w:trPr>
        <w:tc>
          <w:tcPr>
            <w:tcW w:w="2160" w:type="dxa"/>
            <w:tcBorders>
              <w:right w:val="single" w:sz="4" w:space="0" w:color="046B5C" w:themeColor="text2"/>
            </w:tcBorders>
          </w:tcPr>
          <w:p w:rsidR="00473792" w14:paraId="09610BBF" w14:textId="7FAE0B97">
            <w:pPr>
              <w:pStyle w:val="TableHeaderLeft"/>
            </w:pPr>
            <w:r>
              <w:t>NextGen Program</w:t>
            </w:r>
          </w:p>
        </w:tc>
        <w:tc>
          <w:tcPr>
            <w:tcW w:w="1440" w:type="dxa"/>
            <w:tcBorders>
              <w:left w:val="single" w:sz="4" w:space="0" w:color="046B5C" w:themeColor="text2"/>
              <w:right w:val="single" w:sz="4" w:space="0" w:color="046B5C" w:themeColor="text2"/>
            </w:tcBorders>
          </w:tcPr>
          <w:p w:rsidR="00473792" w:rsidRPr="00465BF8" w14:paraId="6B0C480C" w14:textId="77777777">
            <w:pPr>
              <w:pStyle w:val="TableHeaderCenter"/>
            </w:pPr>
            <w:r>
              <w:t>Sample size</w:t>
            </w:r>
          </w:p>
        </w:tc>
        <w:tc>
          <w:tcPr>
            <w:tcW w:w="1440" w:type="dxa"/>
            <w:tcBorders>
              <w:left w:val="single" w:sz="4" w:space="0" w:color="046B5C" w:themeColor="text2"/>
              <w:right w:val="single" w:sz="4" w:space="0" w:color="046B5C" w:themeColor="text2"/>
            </w:tcBorders>
          </w:tcPr>
          <w:p w:rsidR="00473792" w14:paraId="5134D966" w14:textId="77777777">
            <w:pPr>
              <w:pStyle w:val="TableHeaderCenter"/>
              <w:rPr>
                <w:b w:val="0"/>
              </w:rPr>
            </w:pPr>
            <w:r>
              <w:t xml:space="preserve">Response rate </w:t>
            </w:r>
          </w:p>
          <w:p w:rsidR="00473792" w:rsidRPr="00465BF8" w14:paraId="738508F9" w14:textId="77777777">
            <w:pPr>
              <w:pStyle w:val="TableHeaderCenter"/>
            </w:pPr>
            <w:r>
              <w:t>(no prepay)</w:t>
            </w:r>
          </w:p>
        </w:tc>
        <w:tc>
          <w:tcPr>
            <w:tcW w:w="1440" w:type="dxa"/>
            <w:tcBorders>
              <w:left w:val="single" w:sz="4" w:space="0" w:color="046B5C" w:themeColor="text2"/>
              <w:right w:val="single" w:sz="4" w:space="0" w:color="046B5C" w:themeColor="text2"/>
            </w:tcBorders>
          </w:tcPr>
          <w:p w:rsidR="00473792" w14:paraId="51B64060" w14:textId="77777777">
            <w:pPr>
              <w:pStyle w:val="TableHeaderCenter"/>
            </w:pPr>
            <w:r>
              <w:t>Response rate (prepay)</w:t>
            </w:r>
          </w:p>
        </w:tc>
        <w:tc>
          <w:tcPr>
            <w:tcW w:w="1440" w:type="dxa"/>
            <w:tcBorders>
              <w:left w:val="single" w:sz="4" w:space="0" w:color="046B5C" w:themeColor="text2"/>
              <w:right w:val="single" w:sz="4" w:space="0" w:color="046B5C" w:themeColor="text2"/>
            </w:tcBorders>
          </w:tcPr>
          <w:p w:rsidR="00473792" w14:paraId="57D08FE5" w14:textId="77777777">
            <w:pPr>
              <w:pStyle w:val="TableHeaderCenter"/>
            </w:pPr>
            <w:r>
              <w:t>Impact of prepay</w:t>
            </w:r>
          </w:p>
        </w:tc>
        <w:tc>
          <w:tcPr>
            <w:tcW w:w="1440" w:type="dxa"/>
            <w:tcBorders>
              <w:left w:val="single" w:sz="4" w:space="0" w:color="046B5C" w:themeColor="text2"/>
            </w:tcBorders>
          </w:tcPr>
          <w:p w:rsidR="00473792" w14:paraId="772D290B" w14:textId="77777777">
            <w:pPr>
              <w:pStyle w:val="TableHeaderCenter"/>
            </w:pPr>
            <w:r>
              <w:t>p-value</w:t>
            </w:r>
          </w:p>
        </w:tc>
      </w:tr>
      <w:tr w14:paraId="57426C18" w14:textId="77777777" w:rsidTr="00511846">
        <w:tblPrEx>
          <w:tblW w:w="5000" w:type="pct"/>
          <w:tblLayout w:type="fixed"/>
          <w:tblLook w:val="04A0"/>
        </w:tblPrEx>
        <w:trPr>
          <w:trHeight w:val="120"/>
        </w:trPr>
        <w:tc>
          <w:tcPr>
            <w:tcW w:w="2160" w:type="dxa"/>
            <w:tcBorders>
              <w:right w:val="nil"/>
            </w:tcBorders>
          </w:tcPr>
          <w:p w:rsidR="00C9678D" w:rsidP="00C9678D" w14:paraId="19D3D729" w14:textId="0844B5AB">
            <w:pPr>
              <w:pStyle w:val="TableTextLeft"/>
            </w:pPr>
            <w:r>
              <w:t>Bridges</w:t>
            </w:r>
            <w:r w:rsidR="00FC633F">
              <w:t xml:space="preserve"> from School to Work (Bridges)</w:t>
            </w:r>
          </w:p>
        </w:tc>
        <w:tc>
          <w:tcPr>
            <w:tcW w:w="1440" w:type="dxa"/>
            <w:tcBorders>
              <w:top w:val="single" w:sz="4" w:space="0" w:color="046B5C" w:themeColor="text2"/>
              <w:left w:val="nil"/>
              <w:bottom w:val="single" w:sz="4" w:space="0" w:color="5B6771" w:themeColor="accent3"/>
              <w:right w:val="nil"/>
            </w:tcBorders>
          </w:tcPr>
          <w:p w:rsidR="00C9678D" w:rsidRPr="00C9678D" w:rsidP="00604F77" w14:paraId="6EF1FF6E" w14:textId="36FD52E1">
            <w:pPr>
              <w:pStyle w:val="TableTextLeft"/>
              <w:jc w:val="center"/>
              <w:rPr>
                <w:rFonts w:ascii="Arial" w:hAnsi="Arial" w:cs="Arial"/>
              </w:rPr>
            </w:pPr>
            <w:r w:rsidRPr="00C9678D">
              <w:rPr>
                <w:rFonts w:ascii="Arial" w:eastAsia="Times New Roman" w:hAnsi="Arial" w:cs="Arial"/>
              </w:rPr>
              <w:t>690</w:t>
            </w:r>
          </w:p>
        </w:tc>
        <w:tc>
          <w:tcPr>
            <w:tcW w:w="1440" w:type="dxa"/>
            <w:tcBorders>
              <w:top w:val="single" w:sz="4" w:space="0" w:color="046B5C" w:themeColor="text2"/>
              <w:left w:val="nil"/>
              <w:bottom w:val="single" w:sz="4" w:space="0" w:color="5B6771" w:themeColor="accent3"/>
              <w:right w:val="nil"/>
            </w:tcBorders>
          </w:tcPr>
          <w:p w:rsidR="00C9678D" w:rsidRPr="00C9678D" w:rsidP="00604F77" w14:paraId="54E1205C" w14:textId="5649EC45">
            <w:pPr>
              <w:pStyle w:val="TableTextLeft"/>
              <w:jc w:val="center"/>
              <w:rPr>
                <w:rFonts w:ascii="Arial" w:hAnsi="Arial" w:cs="Arial"/>
              </w:rPr>
            </w:pPr>
            <w:r w:rsidRPr="00C9678D">
              <w:rPr>
                <w:rFonts w:ascii="Arial" w:eastAsia="Times New Roman" w:hAnsi="Arial" w:cs="Arial"/>
              </w:rPr>
              <w:t>69.4</w:t>
            </w:r>
          </w:p>
        </w:tc>
        <w:tc>
          <w:tcPr>
            <w:tcW w:w="1440" w:type="dxa"/>
            <w:tcBorders>
              <w:top w:val="single" w:sz="4" w:space="0" w:color="046B5C" w:themeColor="text2"/>
              <w:left w:val="nil"/>
              <w:bottom w:val="single" w:sz="4" w:space="0" w:color="5B6771" w:themeColor="accent3"/>
              <w:right w:val="nil"/>
            </w:tcBorders>
          </w:tcPr>
          <w:p w:rsidR="00C9678D" w:rsidRPr="00C9678D" w:rsidP="00604F77" w14:paraId="5BA35DEF" w14:textId="6CF9EE7A">
            <w:pPr>
              <w:pStyle w:val="TableTextLeft"/>
              <w:jc w:val="center"/>
              <w:rPr>
                <w:rFonts w:ascii="Arial" w:hAnsi="Arial" w:cs="Arial"/>
              </w:rPr>
            </w:pPr>
            <w:r w:rsidRPr="00C9678D">
              <w:rPr>
                <w:rFonts w:ascii="Arial" w:eastAsia="Times New Roman" w:hAnsi="Arial" w:cs="Arial"/>
              </w:rPr>
              <w:t>71.5</w:t>
            </w:r>
          </w:p>
        </w:tc>
        <w:tc>
          <w:tcPr>
            <w:tcW w:w="1440" w:type="dxa"/>
            <w:tcBorders>
              <w:top w:val="single" w:sz="4" w:space="0" w:color="046B5C" w:themeColor="text2"/>
              <w:left w:val="nil"/>
              <w:bottom w:val="single" w:sz="4" w:space="0" w:color="5B6771" w:themeColor="accent3"/>
              <w:right w:val="nil"/>
            </w:tcBorders>
          </w:tcPr>
          <w:p w:rsidR="00C9678D" w:rsidRPr="00C9678D" w:rsidP="00604F77" w14:paraId="255784F9" w14:textId="4B3EAF3D">
            <w:pPr>
              <w:pStyle w:val="TableTextLeft"/>
              <w:jc w:val="center"/>
              <w:rPr>
                <w:rFonts w:ascii="Arial" w:hAnsi="Arial" w:cs="Arial"/>
              </w:rPr>
            </w:pPr>
            <w:r w:rsidRPr="00C9678D">
              <w:rPr>
                <w:rFonts w:ascii="Arial" w:eastAsia="Times New Roman" w:hAnsi="Arial" w:cs="Arial"/>
              </w:rPr>
              <w:t>2.1</w:t>
            </w:r>
          </w:p>
        </w:tc>
        <w:tc>
          <w:tcPr>
            <w:tcW w:w="1440" w:type="dxa"/>
            <w:tcBorders>
              <w:top w:val="single" w:sz="4" w:space="0" w:color="046B5C" w:themeColor="text2"/>
              <w:left w:val="nil"/>
              <w:bottom w:val="single" w:sz="4" w:space="0" w:color="5B6771" w:themeColor="accent3"/>
            </w:tcBorders>
          </w:tcPr>
          <w:p w:rsidR="00C9678D" w:rsidRPr="00C9678D" w:rsidP="00604F77" w14:paraId="2995148F" w14:textId="3ED586CF">
            <w:pPr>
              <w:pStyle w:val="TableTextLeft"/>
              <w:jc w:val="center"/>
              <w:rPr>
                <w:rFonts w:ascii="Arial" w:hAnsi="Arial" w:cs="Arial"/>
              </w:rPr>
            </w:pPr>
            <w:r w:rsidRPr="00C9678D">
              <w:rPr>
                <w:rFonts w:ascii="Arial" w:eastAsia="Times New Roman" w:hAnsi="Arial" w:cs="Arial"/>
              </w:rPr>
              <w:t>0.548</w:t>
            </w:r>
          </w:p>
        </w:tc>
      </w:tr>
      <w:tr w14:paraId="2BB789C7" w14:textId="77777777" w:rsidTr="00511846">
        <w:tblPrEx>
          <w:tblW w:w="5000" w:type="pct"/>
          <w:tblLayout w:type="fixed"/>
          <w:tblLook w:val="04A0"/>
        </w:tblPrEx>
        <w:trPr>
          <w:trHeight w:val="120"/>
        </w:trPr>
        <w:tc>
          <w:tcPr>
            <w:tcW w:w="2160" w:type="dxa"/>
            <w:tcBorders>
              <w:right w:val="nil"/>
            </w:tcBorders>
          </w:tcPr>
          <w:p w:rsidR="00C9678D" w:rsidP="00C9678D" w14:paraId="2A39ACC3" w14:textId="07B969AA">
            <w:pPr>
              <w:pStyle w:val="TableTextLeft"/>
            </w:pPr>
            <w:r>
              <w:t>Individual Placement and Support for Adults with Justice Involvement (</w:t>
            </w:r>
            <w:r>
              <w:t>IPS-AJI</w:t>
            </w:r>
            <w:r>
              <w:t>)</w:t>
            </w:r>
          </w:p>
        </w:tc>
        <w:tc>
          <w:tcPr>
            <w:tcW w:w="1440" w:type="dxa"/>
            <w:tcBorders>
              <w:top w:val="single" w:sz="4" w:space="0" w:color="5B6771" w:themeColor="accent3"/>
              <w:left w:val="nil"/>
              <w:bottom w:val="single" w:sz="4" w:space="0" w:color="5B6771" w:themeColor="accent3"/>
              <w:right w:val="nil"/>
            </w:tcBorders>
          </w:tcPr>
          <w:p w:rsidR="00C9678D" w:rsidRPr="00C9678D" w:rsidP="00604F77" w14:paraId="01A578BB" w14:textId="2F615236">
            <w:pPr>
              <w:pStyle w:val="TableTextLeft"/>
              <w:jc w:val="center"/>
              <w:rPr>
                <w:rFonts w:ascii="Arial" w:hAnsi="Arial" w:cs="Arial"/>
              </w:rPr>
            </w:pPr>
            <w:r w:rsidRPr="00C9678D">
              <w:rPr>
                <w:rFonts w:ascii="Arial" w:eastAsia="Times New Roman" w:hAnsi="Arial" w:cs="Arial"/>
              </w:rPr>
              <w:t>601</w:t>
            </w:r>
          </w:p>
        </w:tc>
        <w:tc>
          <w:tcPr>
            <w:tcW w:w="1440" w:type="dxa"/>
            <w:tcBorders>
              <w:top w:val="single" w:sz="4" w:space="0" w:color="5B6771" w:themeColor="accent3"/>
              <w:left w:val="nil"/>
              <w:bottom w:val="single" w:sz="4" w:space="0" w:color="5B6771" w:themeColor="accent3"/>
              <w:right w:val="nil"/>
            </w:tcBorders>
          </w:tcPr>
          <w:p w:rsidR="00C9678D" w:rsidRPr="00C9678D" w:rsidP="00604F77" w14:paraId="441540C6" w14:textId="20A19043">
            <w:pPr>
              <w:pStyle w:val="TableTextLeft"/>
              <w:jc w:val="center"/>
              <w:rPr>
                <w:rFonts w:ascii="Arial" w:hAnsi="Arial" w:cs="Arial"/>
              </w:rPr>
            </w:pPr>
            <w:r w:rsidRPr="00C9678D">
              <w:rPr>
                <w:rFonts w:ascii="Arial" w:eastAsia="Times New Roman" w:hAnsi="Arial" w:cs="Arial"/>
              </w:rPr>
              <w:t>61.6</w:t>
            </w:r>
          </w:p>
        </w:tc>
        <w:tc>
          <w:tcPr>
            <w:tcW w:w="1440" w:type="dxa"/>
            <w:tcBorders>
              <w:top w:val="single" w:sz="4" w:space="0" w:color="5B6771" w:themeColor="accent3"/>
              <w:left w:val="nil"/>
              <w:bottom w:val="single" w:sz="4" w:space="0" w:color="5B6771" w:themeColor="accent3"/>
              <w:right w:val="nil"/>
            </w:tcBorders>
          </w:tcPr>
          <w:p w:rsidR="00C9678D" w:rsidRPr="00C9678D" w:rsidP="00604F77" w14:paraId="7E62D786" w14:textId="712824BE">
            <w:pPr>
              <w:pStyle w:val="TableTextLeft"/>
              <w:jc w:val="center"/>
              <w:rPr>
                <w:rFonts w:ascii="Arial" w:hAnsi="Arial" w:cs="Arial"/>
              </w:rPr>
            </w:pPr>
            <w:r w:rsidRPr="00C9678D">
              <w:rPr>
                <w:rFonts w:ascii="Arial" w:eastAsia="Times New Roman" w:hAnsi="Arial" w:cs="Arial"/>
              </w:rPr>
              <w:t>52.7</w:t>
            </w:r>
          </w:p>
        </w:tc>
        <w:tc>
          <w:tcPr>
            <w:tcW w:w="1440" w:type="dxa"/>
            <w:tcBorders>
              <w:top w:val="single" w:sz="4" w:space="0" w:color="5B6771" w:themeColor="accent3"/>
              <w:left w:val="nil"/>
              <w:bottom w:val="single" w:sz="4" w:space="0" w:color="5B6771" w:themeColor="accent3"/>
              <w:right w:val="nil"/>
            </w:tcBorders>
          </w:tcPr>
          <w:p w:rsidR="00C9678D" w:rsidRPr="00C9678D" w:rsidP="00604F77" w14:paraId="30F3350E" w14:textId="2C167507">
            <w:pPr>
              <w:pStyle w:val="TableTextLeft"/>
              <w:jc w:val="center"/>
              <w:rPr>
                <w:rFonts w:ascii="Arial" w:hAnsi="Arial" w:cs="Arial"/>
              </w:rPr>
            </w:pPr>
            <w:r w:rsidRPr="00C9678D">
              <w:rPr>
                <w:rFonts w:ascii="Arial" w:eastAsia="Times New Roman" w:hAnsi="Arial" w:cs="Arial"/>
              </w:rPr>
              <w:t>-8.8**</w:t>
            </w:r>
          </w:p>
        </w:tc>
        <w:tc>
          <w:tcPr>
            <w:tcW w:w="1440" w:type="dxa"/>
            <w:tcBorders>
              <w:top w:val="single" w:sz="4" w:space="0" w:color="5B6771" w:themeColor="accent3"/>
              <w:left w:val="nil"/>
              <w:bottom w:val="single" w:sz="4" w:space="0" w:color="5B6771" w:themeColor="accent3"/>
            </w:tcBorders>
          </w:tcPr>
          <w:p w:rsidR="00C9678D" w:rsidRPr="00C9678D" w:rsidP="00604F77" w14:paraId="7D4719D9" w14:textId="74944583">
            <w:pPr>
              <w:pStyle w:val="TableTextLeft"/>
              <w:jc w:val="center"/>
              <w:rPr>
                <w:rFonts w:ascii="Arial" w:hAnsi="Arial" w:cs="Arial"/>
              </w:rPr>
            </w:pPr>
            <w:r w:rsidRPr="00C9678D">
              <w:rPr>
                <w:rFonts w:ascii="Arial" w:eastAsia="Times New Roman" w:hAnsi="Arial" w:cs="Arial"/>
              </w:rPr>
              <w:t>0.029</w:t>
            </w:r>
          </w:p>
        </w:tc>
      </w:tr>
      <w:tr w14:paraId="354C0BE4" w14:textId="77777777" w:rsidTr="00511846">
        <w:tblPrEx>
          <w:tblW w:w="5000" w:type="pct"/>
          <w:tblLayout w:type="fixed"/>
          <w:tblLook w:val="04A0"/>
        </w:tblPrEx>
        <w:trPr>
          <w:trHeight w:val="120"/>
        </w:trPr>
        <w:tc>
          <w:tcPr>
            <w:tcW w:w="2160" w:type="dxa"/>
            <w:tcBorders>
              <w:right w:val="nil"/>
            </w:tcBorders>
          </w:tcPr>
          <w:p w:rsidR="00C9678D" w:rsidP="00C9678D" w14:paraId="790CF60E" w14:textId="1C47A2D6">
            <w:pPr>
              <w:pStyle w:val="TableTextLeft"/>
            </w:pPr>
            <w:r>
              <w:t xml:space="preserve">Western Mass </w:t>
            </w:r>
            <w:r w:rsidR="00FC633F">
              <w:t xml:space="preserve">Mental </w:t>
            </w:r>
            <w:r w:rsidR="00511846">
              <w:t>H</w:t>
            </w:r>
            <w:r w:rsidR="00FC633F">
              <w:t>ealth Outreach for Mother</w:t>
            </w:r>
            <w:r w:rsidR="00511846">
              <w:t>s</w:t>
            </w:r>
            <w:r w:rsidR="00FC633F">
              <w:t xml:space="preserve"> (MOMS)</w:t>
            </w:r>
          </w:p>
        </w:tc>
        <w:tc>
          <w:tcPr>
            <w:tcW w:w="1440" w:type="dxa"/>
            <w:tcBorders>
              <w:top w:val="single" w:sz="4" w:space="0" w:color="5B6771" w:themeColor="accent3"/>
              <w:left w:val="nil"/>
              <w:bottom w:val="single" w:sz="4" w:space="0" w:color="5B6771" w:themeColor="accent3"/>
              <w:right w:val="nil"/>
            </w:tcBorders>
          </w:tcPr>
          <w:p w:rsidR="00C9678D" w:rsidRPr="00C9678D" w:rsidP="00604F77" w14:paraId="014871E6" w14:textId="439BBE9A">
            <w:pPr>
              <w:pStyle w:val="TableTextLeft"/>
              <w:jc w:val="center"/>
              <w:rPr>
                <w:rFonts w:ascii="Arial" w:hAnsi="Arial" w:cs="Arial"/>
              </w:rPr>
            </w:pPr>
            <w:r w:rsidRPr="00C9678D">
              <w:rPr>
                <w:rFonts w:ascii="Arial" w:eastAsia="Times New Roman" w:hAnsi="Arial" w:cs="Arial"/>
              </w:rPr>
              <w:t>716</w:t>
            </w:r>
          </w:p>
        </w:tc>
        <w:tc>
          <w:tcPr>
            <w:tcW w:w="1440" w:type="dxa"/>
            <w:tcBorders>
              <w:top w:val="single" w:sz="4" w:space="0" w:color="5B6771" w:themeColor="accent3"/>
              <w:left w:val="nil"/>
              <w:bottom w:val="single" w:sz="4" w:space="0" w:color="5B6771" w:themeColor="accent3"/>
              <w:right w:val="nil"/>
            </w:tcBorders>
          </w:tcPr>
          <w:p w:rsidR="00C9678D" w:rsidRPr="00C9678D" w:rsidP="00604F77" w14:paraId="53462CF1" w14:textId="773BA6BA">
            <w:pPr>
              <w:pStyle w:val="TableTextLeft"/>
              <w:jc w:val="center"/>
              <w:rPr>
                <w:rFonts w:ascii="Arial" w:hAnsi="Arial" w:cs="Arial"/>
              </w:rPr>
            </w:pPr>
            <w:r w:rsidRPr="00C9678D">
              <w:rPr>
                <w:rFonts w:ascii="Arial" w:eastAsia="Times New Roman" w:hAnsi="Arial" w:cs="Arial"/>
              </w:rPr>
              <w:t>82.2</w:t>
            </w:r>
          </w:p>
        </w:tc>
        <w:tc>
          <w:tcPr>
            <w:tcW w:w="1440" w:type="dxa"/>
            <w:tcBorders>
              <w:top w:val="single" w:sz="4" w:space="0" w:color="5B6771" w:themeColor="accent3"/>
              <w:left w:val="nil"/>
              <w:bottom w:val="single" w:sz="4" w:space="0" w:color="5B6771" w:themeColor="accent3"/>
              <w:right w:val="nil"/>
            </w:tcBorders>
          </w:tcPr>
          <w:p w:rsidR="00C9678D" w:rsidRPr="00C9678D" w:rsidP="00604F77" w14:paraId="4636EFB8" w14:textId="46781C64">
            <w:pPr>
              <w:pStyle w:val="TableTextLeft"/>
              <w:jc w:val="center"/>
              <w:rPr>
                <w:rFonts w:ascii="Arial" w:hAnsi="Arial" w:cs="Arial"/>
              </w:rPr>
            </w:pPr>
            <w:r w:rsidRPr="00C9678D">
              <w:rPr>
                <w:rFonts w:ascii="Arial" w:eastAsia="Times New Roman" w:hAnsi="Arial" w:cs="Arial"/>
              </w:rPr>
              <w:t>83.1</w:t>
            </w:r>
          </w:p>
        </w:tc>
        <w:tc>
          <w:tcPr>
            <w:tcW w:w="1440" w:type="dxa"/>
            <w:tcBorders>
              <w:top w:val="single" w:sz="4" w:space="0" w:color="5B6771" w:themeColor="accent3"/>
              <w:left w:val="nil"/>
              <w:bottom w:val="single" w:sz="4" w:space="0" w:color="5B6771" w:themeColor="accent3"/>
              <w:right w:val="nil"/>
            </w:tcBorders>
          </w:tcPr>
          <w:p w:rsidR="00C9678D" w:rsidRPr="00C9678D" w:rsidP="00604F77" w14:paraId="449746CD" w14:textId="08E5F4AF">
            <w:pPr>
              <w:pStyle w:val="TableTextLeft"/>
              <w:jc w:val="center"/>
              <w:rPr>
                <w:rFonts w:ascii="Arial" w:hAnsi="Arial" w:cs="Arial"/>
              </w:rPr>
            </w:pPr>
            <w:r w:rsidRPr="00C9678D">
              <w:rPr>
                <w:rFonts w:ascii="Arial" w:eastAsia="Times New Roman" w:hAnsi="Arial" w:cs="Arial"/>
              </w:rPr>
              <w:t>0.9</w:t>
            </w:r>
          </w:p>
        </w:tc>
        <w:tc>
          <w:tcPr>
            <w:tcW w:w="1440" w:type="dxa"/>
            <w:tcBorders>
              <w:top w:val="single" w:sz="4" w:space="0" w:color="5B6771" w:themeColor="accent3"/>
              <w:left w:val="nil"/>
              <w:bottom w:val="single" w:sz="4" w:space="0" w:color="5B6771" w:themeColor="accent3"/>
            </w:tcBorders>
          </w:tcPr>
          <w:p w:rsidR="00C9678D" w:rsidRPr="00C9678D" w:rsidP="00604F77" w14:paraId="7A8401F5" w14:textId="78E89492">
            <w:pPr>
              <w:pStyle w:val="TableTextLeft"/>
              <w:jc w:val="center"/>
              <w:rPr>
                <w:rFonts w:ascii="Arial" w:hAnsi="Arial" w:cs="Arial"/>
              </w:rPr>
            </w:pPr>
            <w:r w:rsidRPr="00C9678D">
              <w:rPr>
                <w:rFonts w:ascii="Arial" w:eastAsia="Times New Roman" w:hAnsi="Arial" w:cs="Arial"/>
              </w:rPr>
              <w:t>0.746</w:t>
            </w:r>
          </w:p>
        </w:tc>
      </w:tr>
      <w:tr w14:paraId="34FFCFA7" w14:textId="77777777" w:rsidTr="00511846">
        <w:tblPrEx>
          <w:tblW w:w="5000" w:type="pct"/>
          <w:tblLayout w:type="fixed"/>
          <w:tblLook w:val="04A0"/>
        </w:tblPrEx>
        <w:trPr>
          <w:trHeight w:val="120"/>
        </w:trPr>
        <w:tc>
          <w:tcPr>
            <w:tcW w:w="2160" w:type="dxa"/>
            <w:tcBorders>
              <w:right w:val="nil"/>
            </w:tcBorders>
          </w:tcPr>
          <w:p w:rsidR="00C9678D" w:rsidP="00C9678D" w14:paraId="71903C33" w14:textId="4E734E99">
            <w:pPr>
              <w:pStyle w:val="TableTextLeft"/>
            </w:pPr>
            <w:r>
              <w:t>Philadelphia Workforce Inclusion Networks (</w:t>
            </w:r>
            <w:r>
              <w:t>Philly WINS</w:t>
            </w:r>
            <w:r>
              <w:t>)</w:t>
            </w:r>
          </w:p>
        </w:tc>
        <w:tc>
          <w:tcPr>
            <w:tcW w:w="1440" w:type="dxa"/>
            <w:tcBorders>
              <w:top w:val="single" w:sz="4" w:space="0" w:color="5B6771" w:themeColor="accent3"/>
              <w:left w:val="nil"/>
              <w:bottom w:val="single" w:sz="4" w:space="0" w:color="046B5C" w:themeColor="text2"/>
              <w:right w:val="nil"/>
            </w:tcBorders>
          </w:tcPr>
          <w:p w:rsidR="00C9678D" w:rsidRPr="00C9678D" w:rsidP="00604F77" w14:paraId="45625BF9" w14:textId="48EC03BE">
            <w:pPr>
              <w:pStyle w:val="TableTextLeft"/>
              <w:jc w:val="center"/>
              <w:rPr>
                <w:rFonts w:ascii="Arial" w:hAnsi="Arial" w:cs="Arial"/>
              </w:rPr>
            </w:pPr>
            <w:r w:rsidRPr="00C9678D">
              <w:rPr>
                <w:rFonts w:ascii="Arial" w:eastAsia="Times New Roman" w:hAnsi="Arial" w:cs="Arial"/>
              </w:rPr>
              <w:t>647</w:t>
            </w:r>
          </w:p>
        </w:tc>
        <w:tc>
          <w:tcPr>
            <w:tcW w:w="1440" w:type="dxa"/>
            <w:tcBorders>
              <w:top w:val="single" w:sz="4" w:space="0" w:color="5B6771" w:themeColor="accent3"/>
              <w:left w:val="nil"/>
              <w:bottom w:val="single" w:sz="4" w:space="0" w:color="046B5C" w:themeColor="text2"/>
              <w:right w:val="nil"/>
            </w:tcBorders>
          </w:tcPr>
          <w:p w:rsidR="00C9678D" w:rsidRPr="00C9678D" w:rsidP="00604F77" w14:paraId="696F4B94" w14:textId="0D988B52">
            <w:pPr>
              <w:pStyle w:val="TableTextLeft"/>
              <w:jc w:val="center"/>
              <w:rPr>
                <w:rFonts w:ascii="Arial" w:hAnsi="Arial" w:cs="Arial"/>
              </w:rPr>
            </w:pPr>
            <w:r w:rsidRPr="00C9678D">
              <w:rPr>
                <w:rFonts w:ascii="Arial" w:eastAsia="Times New Roman" w:hAnsi="Arial" w:cs="Arial"/>
              </w:rPr>
              <w:t>66.8</w:t>
            </w:r>
          </w:p>
        </w:tc>
        <w:tc>
          <w:tcPr>
            <w:tcW w:w="1440" w:type="dxa"/>
            <w:tcBorders>
              <w:top w:val="single" w:sz="4" w:space="0" w:color="5B6771" w:themeColor="accent3"/>
              <w:left w:val="nil"/>
              <w:bottom w:val="single" w:sz="4" w:space="0" w:color="046B5C" w:themeColor="text2"/>
              <w:right w:val="nil"/>
            </w:tcBorders>
          </w:tcPr>
          <w:p w:rsidR="00C9678D" w:rsidRPr="00C9678D" w:rsidP="00604F77" w14:paraId="6DB34AB9" w14:textId="30257A05">
            <w:pPr>
              <w:pStyle w:val="TableTextLeft"/>
              <w:jc w:val="center"/>
              <w:rPr>
                <w:rFonts w:ascii="Arial" w:hAnsi="Arial" w:cs="Arial"/>
              </w:rPr>
            </w:pPr>
            <w:r w:rsidRPr="00C9678D">
              <w:rPr>
                <w:rFonts w:ascii="Arial" w:eastAsia="Times New Roman" w:hAnsi="Arial" w:cs="Arial"/>
              </w:rPr>
              <w:t>60.7</w:t>
            </w:r>
          </w:p>
        </w:tc>
        <w:tc>
          <w:tcPr>
            <w:tcW w:w="1440" w:type="dxa"/>
            <w:tcBorders>
              <w:top w:val="single" w:sz="4" w:space="0" w:color="5B6771" w:themeColor="accent3"/>
              <w:left w:val="nil"/>
              <w:bottom w:val="single" w:sz="4" w:space="0" w:color="046B5C" w:themeColor="text2"/>
              <w:right w:val="nil"/>
            </w:tcBorders>
          </w:tcPr>
          <w:p w:rsidR="00C9678D" w:rsidRPr="00C9678D" w:rsidP="00604F77" w14:paraId="124692DF" w14:textId="28C6D242">
            <w:pPr>
              <w:pStyle w:val="TableTextLeft"/>
              <w:jc w:val="center"/>
              <w:rPr>
                <w:rFonts w:ascii="Arial" w:hAnsi="Arial" w:cs="Arial"/>
              </w:rPr>
            </w:pPr>
            <w:r w:rsidRPr="00C9678D">
              <w:rPr>
                <w:rFonts w:ascii="Arial" w:eastAsia="Times New Roman" w:hAnsi="Arial" w:cs="Arial"/>
              </w:rPr>
              <w:t>-6.1</w:t>
            </w:r>
          </w:p>
        </w:tc>
        <w:tc>
          <w:tcPr>
            <w:tcW w:w="1440" w:type="dxa"/>
            <w:tcBorders>
              <w:top w:val="single" w:sz="4" w:space="0" w:color="5B6771" w:themeColor="accent3"/>
              <w:left w:val="nil"/>
              <w:bottom w:val="single" w:sz="4" w:space="0" w:color="046B5C" w:themeColor="text2"/>
            </w:tcBorders>
          </w:tcPr>
          <w:p w:rsidR="00C9678D" w:rsidRPr="00C9678D" w:rsidP="00604F77" w14:paraId="387D2BA3" w14:textId="6E7CE98B">
            <w:pPr>
              <w:pStyle w:val="TableTextLeft"/>
              <w:jc w:val="center"/>
              <w:rPr>
                <w:rFonts w:ascii="Arial" w:hAnsi="Arial" w:cs="Arial"/>
              </w:rPr>
            </w:pPr>
            <w:r w:rsidRPr="00C9678D">
              <w:rPr>
                <w:rFonts w:ascii="Arial" w:eastAsia="Times New Roman" w:hAnsi="Arial" w:cs="Arial"/>
              </w:rPr>
              <w:t>0.106</w:t>
            </w:r>
          </w:p>
        </w:tc>
      </w:tr>
    </w:tbl>
    <w:p w:rsidR="00473792" w:rsidP="00473792" w14:paraId="55C22068" w14:textId="0DAE438F">
      <w:pPr>
        <w:pStyle w:val="ExhibitSource"/>
      </w:pPr>
      <w:r>
        <w:t>Note:</w:t>
      </w:r>
      <w:r>
        <w:tab/>
      </w:r>
      <w:r w:rsidR="00C9678D">
        <w:t xml:space="preserve">Adjusted for baseline </w:t>
      </w:r>
      <w:r w:rsidR="00172DE3">
        <w:t>characteristics</w:t>
      </w:r>
      <w:r>
        <w:t>.</w:t>
      </w:r>
    </w:p>
    <w:p w:rsidR="003E4E74" w:rsidP="00D8685D" w14:paraId="64882925" w14:textId="70BA6F9F">
      <w:pPr>
        <w:pStyle w:val="ExhibitSignificance"/>
        <w:ind w:left="0" w:firstLine="0"/>
      </w:pPr>
      <w:r w:rsidRPr="00D84888">
        <w:t xml:space="preserve">***/**/* </w:t>
      </w:r>
      <w:r>
        <w:t xml:space="preserve">The </w:t>
      </w:r>
      <w:r w:rsidR="00D8685D">
        <w:t xml:space="preserve">estimated </w:t>
      </w:r>
      <w:r>
        <w:t>differences</w:t>
      </w:r>
      <w:r w:rsidRPr="00D84888">
        <w:t xml:space="preserve"> were statistically significant at the 1, 5, and 10 percent levels, respectively, using a two-tailed t-test.</w:t>
      </w:r>
      <w:r>
        <w:tab/>
      </w:r>
    </w:p>
    <w:p w:rsidR="00604F77" w:rsidP="00473792" w14:paraId="52A8AB58" w14:textId="77777777">
      <w:pPr>
        <w:pStyle w:val="ExhibitSignificance"/>
      </w:pPr>
    </w:p>
    <w:p w:rsidR="00131E13" w:rsidP="00604F77" w14:paraId="131A9B69" w14:textId="19007E0D">
      <w:pPr>
        <w:pStyle w:val="H4"/>
        <w:spacing w:before="0" w:after="160"/>
      </w:pPr>
      <w:r>
        <w:t>Subgroup analysis</w:t>
      </w:r>
    </w:p>
    <w:p w:rsidR="00131E13" w:rsidP="00604F77" w14:paraId="3A29D42A" w14:textId="05951E09">
      <w:pPr>
        <w:pStyle w:val="Paragraph"/>
      </w:pPr>
      <w:r w:rsidRPr="00131E13">
        <w:t xml:space="preserve">We also conducted subgroup analyses for the survey response rate using each of the baseline characteristic variables within the prepay experiment groups. We conducted these analyses to further understand </w:t>
      </w:r>
      <w:r w:rsidR="00FC633F">
        <w:t xml:space="preserve">what might be driving </w:t>
      </w:r>
      <w:r w:rsidR="00377D52">
        <w:t>the</w:t>
      </w:r>
      <w:r w:rsidRPr="00131E13">
        <w:t xml:space="preserve"> no-impact </w:t>
      </w:r>
      <w:r w:rsidR="00377D52">
        <w:t>(</w:t>
      </w:r>
      <w:r w:rsidRPr="00131E13">
        <w:t>or negative impact from IPS-AJI</w:t>
      </w:r>
      <w:r w:rsidR="00377D52">
        <w:t>)</w:t>
      </w:r>
      <w:r w:rsidRPr="00131E13">
        <w:t xml:space="preserve"> </w:t>
      </w:r>
      <w:r w:rsidR="00377D52">
        <w:t>findings</w:t>
      </w:r>
      <w:r w:rsidR="00FC633F">
        <w:t>.</w:t>
      </w:r>
      <w:r>
        <w:t xml:space="preserve"> </w:t>
      </w:r>
      <w:r w:rsidRPr="00131E13">
        <w:t xml:space="preserve">If the prepay experiment has </w:t>
      </w:r>
      <w:r w:rsidR="0055472C">
        <w:t xml:space="preserve">a </w:t>
      </w:r>
      <w:r w:rsidRPr="00131E13">
        <w:t>different effect on subgroups of participants, it could potential</w:t>
      </w:r>
      <w:r w:rsidR="00377D52">
        <w:t>ly</w:t>
      </w:r>
      <w:r w:rsidRPr="00131E13">
        <w:t xml:space="preserve"> lead to </w:t>
      </w:r>
      <w:r w:rsidR="00377D52">
        <w:t xml:space="preserve">seeing an </w:t>
      </w:r>
      <w:r w:rsidRPr="00131E13">
        <w:t>unexpected impact</w:t>
      </w:r>
      <w:r w:rsidR="00377D52">
        <w:t xml:space="preserve"> like we observed</w:t>
      </w:r>
      <w:r w:rsidR="00CF6D5B">
        <w:t xml:space="preserve"> with IPS-AJI</w:t>
      </w:r>
      <w:r w:rsidR="00377D52">
        <w:t xml:space="preserve">. </w:t>
      </w:r>
      <w:r w:rsidRPr="00131E13">
        <w:t>For each</w:t>
      </w:r>
      <w:r w:rsidR="00377D52">
        <w:t xml:space="preserve"> NextGen</w:t>
      </w:r>
      <w:r w:rsidRPr="00131E13">
        <w:t xml:space="preserve"> program, we examined whether impacts on the response rates differed for subgroups according to the study participant’s (1) race,</w:t>
      </w:r>
      <w:r w:rsidR="00377D52">
        <w:t xml:space="preserve"> </w:t>
      </w:r>
      <w:r w:rsidRPr="00131E13">
        <w:t>(2) language, (3)</w:t>
      </w:r>
      <w:r w:rsidR="00377D52">
        <w:t xml:space="preserve"> </w:t>
      </w:r>
      <w:r w:rsidRPr="00131E13">
        <w:t>unstable housing, (4) education, and (5)</w:t>
      </w:r>
      <w:r w:rsidR="00377D52">
        <w:t xml:space="preserve"> </w:t>
      </w:r>
      <w:r w:rsidRPr="00131E13">
        <w:t>sex. Only one subgroup pairing had statistically significant differences in impacts, which is unstable housing for overall sample and for IPS-AJI.</w:t>
      </w:r>
      <w:r w:rsidR="00383CA0">
        <w:t xml:space="preserve"> Table 4 shows that</w:t>
      </w:r>
      <w:r w:rsidR="00EB65DB">
        <w:t xml:space="preserve"> among NextGen participants who were unstably housed at baseline,</w:t>
      </w:r>
      <w:r w:rsidR="00383CA0">
        <w:t xml:space="preserve"> the prepa</w:t>
      </w:r>
      <w:r w:rsidR="00EB65DB">
        <w:t xml:space="preserve">id gift card had a significant negative impact on response rates of -8.0 percentage points. Among people who were unstably housed and participating in the </w:t>
      </w:r>
      <w:r w:rsidR="00383CA0">
        <w:t>IPS-AJI</w:t>
      </w:r>
      <w:r w:rsidR="00EB65DB">
        <w:t xml:space="preserve"> program, the prepay gift card had </w:t>
      </w:r>
      <w:r w:rsidR="00383CA0">
        <w:t xml:space="preserve">a significant, negative impact of -11.2 </w:t>
      </w:r>
      <w:r w:rsidR="002A4AEA">
        <w:t>percentage point</w:t>
      </w:r>
      <w:r w:rsidR="00257F2F">
        <w:t>s</w:t>
      </w:r>
      <w:r w:rsidR="00EB65DB">
        <w:t>.</w:t>
      </w:r>
      <w:r w:rsidR="0055472C">
        <w:t xml:space="preserve"> </w:t>
      </w:r>
      <w:r w:rsidR="00EB65DB">
        <w:t>In the other</w:t>
      </w:r>
      <w:r w:rsidR="00383CA0">
        <w:t xml:space="preserve"> programs</w:t>
      </w:r>
      <w:r w:rsidR="00EB65DB">
        <w:t>, the prepaid gift card</w:t>
      </w:r>
      <w:r w:rsidR="00383CA0">
        <w:t xml:space="preserve"> do</w:t>
      </w:r>
      <w:r w:rsidR="00EB65DB">
        <w:t>es</w:t>
      </w:r>
      <w:r w:rsidR="00383CA0">
        <w:t xml:space="preserve"> not show a </w:t>
      </w:r>
      <w:r w:rsidR="00993D31">
        <w:t xml:space="preserve">statistically </w:t>
      </w:r>
      <w:r w:rsidR="00383CA0">
        <w:t xml:space="preserve">significant impact. </w:t>
      </w:r>
    </w:p>
    <w:p w:rsidR="009F455D" w:rsidP="009F455D" w14:paraId="780E39D4" w14:textId="6ACDB703">
      <w:pPr>
        <w:pStyle w:val="TableTitle"/>
      </w:pPr>
      <w:r>
        <w:rPr>
          <w:bCs/>
        </w:rPr>
        <w:t>Table</w:t>
      </w:r>
      <w:r w:rsidRPr="000529B1">
        <w:rPr>
          <w:bCs/>
        </w:rPr>
        <w:t xml:space="preserve"> </w:t>
      </w:r>
      <w:r w:rsidR="005712EE">
        <w:rPr>
          <w:bCs/>
        </w:rPr>
        <w:t>4</w:t>
      </w:r>
      <w:r w:rsidRPr="000529B1">
        <w:rPr>
          <w:bCs/>
        </w:rPr>
        <w:t>.</w:t>
      </w:r>
      <w:r>
        <w:t xml:space="preserve"> </w:t>
      </w:r>
      <w:r w:rsidR="00001F11">
        <w:t xml:space="preserve">Unstable housing impact on </w:t>
      </w:r>
      <w:r w:rsidR="00D47D92">
        <w:t xml:space="preserve">prepay </w:t>
      </w:r>
      <w:r w:rsidR="00001F11">
        <w:t>response rates</w:t>
      </w:r>
      <w:r>
        <w:t xml:space="preserve"> by NextGen program</w:t>
      </w:r>
    </w:p>
    <w:tbl>
      <w:tblPr>
        <w:tblStyle w:val="BaseTable"/>
        <w:tblW w:w="5000" w:type="pct"/>
        <w:tblBorders>
          <w:insideH w:val="single" w:sz="4" w:space="0" w:color="046B5C" w:themeColor="text2"/>
          <w:insideV w:val="none" w:sz="0" w:space="0" w:color="auto"/>
        </w:tblBorders>
        <w:tblLayout w:type="fixed"/>
        <w:tblLook w:val="04A0"/>
      </w:tblPr>
      <w:tblGrid>
        <w:gridCol w:w="2070"/>
        <w:gridCol w:w="2160"/>
        <w:gridCol w:w="2070"/>
        <w:gridCol w:w="1620"/>
        <w:gridCol w:w="1440"/>
      </w:tblGrid>
      <w:tr w14:paraId="63AEC2F2" w14:textId="77777777" w:rsidTr="00BB0B20">
        <w:tblPrEx>
          <w:tblW w:w="5000" w:type="pct"/>
          <w:tblBorders>
            <w:insideH w:val="single" w:sz="4" w:space="0" w:color="046B5C" w:themeColor="text2"/>
            <w:insideV w:val="none" w:sz="0" w:space="0" w:color="auto"/>
          </w:tblBorders>
          <w:tblLayout w:type="fixed"/>
          <w:tblLook w:val="04A0"/>
        </w:tblPrEx>
        <w:trPr>
          <w:trHeight w:val="120"/>
          <w:tblHeader/>
        </w:trPr>
        <w:tc>
          <w:tcPr>
            <w:tcW w:w="2070" w:type="dxa"/>
          </w:tcPr>
          <w:p w:rsidR="008305C4" w14:paraId="54CD768C" w14:textId="77777777">
            <w:pPr>
              <w:pStyle w:val="TableHeaderLeft"/>
            </w:pPr>
            <w:r>
              <w:t>NextGen Program</w:t>
            </w:r>
          </w:p>
        </w:tc>
        <w:tc>
          <w:tcPr>
            <w:tcW w:w="2160" w:type="dxa"/>
          </w:tcPr>
          <w:p w:rsidR="008305C4" w14:paraId="4AB855F1" w14:textId="446DF14F">
            <w:pPr>
              <w:pStyle w:val="TableHeaderCenter"/>
              <w:rPr>
                <w:b w:val="0"/>
              </w:rPr>
            </w:pPr>
            <w:r>
              <w:t xml:space="preserve">Response rate </w:t>
            </w:r>
          </w:p>
          <w:p w:rsidR="008305C4" w:rsidRPr="00465BF8" w14:paraId="1CC5D88B" w14:textId="77777777">
            <w:pPr>
              <w:pStyle w:val="TableHeaderCenter"/>
            </w:pPr>
            <w:r>
              <w:t>(no prepay)</w:t>
            </w:r>
          </w:p>
        </w:tc>
        <w:tc>
          <w:tcPr>
            <w:tcW w:w="2070" w:type="dxa"/>
          </w:tcPr>
          <w:p w:rsidR="008305C4" w14:paraId="6D1105BD" w14:textId="77777777">
            <w:pPr>
              <w:pStyle w:val="TableHeaderCenter"/>
            </w:pPr>
            <w:r>
              <w:t>Response rate (prepay)</w:t>
            </w:r>
          </w:p>
        </w:tc>
        <w:tc>
          <w:tcPr>
            <w:tcW w:w="1620" w:type="dxa"/>
          </w:tcPr>
          <w:p w:rsidR="008305C4" w14:paraId="41161B2C" w14:textId="77777777">
            <w:pPr>
              <w:pStyle w:val="TableHeaderCenter"/>
            </w:pPr>
            <w:r>
              <w:t>Impact of prepay</w:t>
            </w:r>
          </w:p>
        </w:tc>
        <w:tc>
          <w:tcPr>
            <w:tcW w:w="1440" w:type="dxa"/>
          </w:tcPr>
          <w:p w:rsidR="008305C4" w14:paraId="081D360A" w14:textId="77777777">
            <w:pPr>
              <w:pStyle w:val="TableHeaderCenter"/>
            </w:pPr>
            <w:r>
              <w:t>p-value</w:t>
            </w:r>
          </w:p>
        </w:tc>
      </w:tr>
      <w:tr w14:paraId="334F79A7" w14:textId="77777777" w:rsidTr="00BB0B20">
        <w:tblPrEx>
          <w:tblW w:w="5000" w:type="pct"/>
          <w:tblLayout w:type="fixed"/>
          <w:tblLook w:val="04A0"/>
        </w:tblPrEx>
        <w:trPr>
          <w:trHeight w:val="120"/>
        </w:trPr>
        <w:tc>
          <w:tcPr>
            <w:tcW w:w="2070" w:type="dxa"/>
          </w:tcPr>
          <w:p w:rsidR="008305C4" w14:paraId="567E3549" w14:textId="6E27C3E8">
            <w:pPr>
              <w:pStyle w:val="TableTextLeft"/>
            </w:pPr>
            <w:r>
              <w:t>All NextGen programs</w:t>
            </w:r>
          </w:p>
        </w:tc>
        <w:tc>
          <w:tcPr>
            <w:tcW w:w="2160" w:type="dxa"/>
          </w:tcPr>
          <w:p w:rsidR="008305C4" w:rsidP="00E73412" w14:paraId="20184A60" w14:textId="585F2700">
            <w:pPr>
              <w:pStyle w:val="TableTextLeft"/>
              <w:jc w:val="center"/>
              <w:rPr>
                <w:rFonts w:ascii="Arial" w:hAnsi="Arial" w:cs="Arial"/>
              </w:rPr>
            </w:pPr>
            <w:r>
              <w:rPr>
                <w:rFonts w:ascii="Arial" w:hAnsi="Arial" w:cs="Arial"/>
              </w:rPr>
              <w:t>65.3</w:t>
            </w:r>
          </w:p>
        </w:tc>
        <w:tc>
          <w:tcPr>
            <w:tcW w:w="2070" w:type="dxa"/>
          </w:tcPr>
          <w:p w:rsidR="008305C4" w:rsidP="00E73412" w14:paraId="5EEA05C3" w14:textId="6DF11FE6">
            <w:pPr>
              <w:pStyle w:val="TableTextLeft"/>
              <w:jc w:val="center"/>
              <w:rPr>
                <w:rFonts w:ascii="Arial" w:hAnsi="Arial" w:cs="Arial"/>
              </w:rPr>
            </w:pPr>
            <w:r>
              <w:rPr>
                <w:rFonts w:ascii="Arial" w:hAnsi="Arial" w:cs="Arial"/>
              </w:rPr>
              <w:t>57.3</w:t>
            </w:r>
          </w:p>
        </w:tc>
        <w:tc>
          <w:tcPr>
            <w:tcW w:w="1620" w:type="dxa"/>
          </w:tcPr>
          <w:p w:rsidR="008305C4" w:rsidP="00E73412" w14:paraId="52EBEF38" w14:textId="2FAC7698">
            <w:pPr>
              <w:pStyle w:val="TableTextLeft"/>
              <w:jc w:val="center"/>
              <w:rPr>
                <w:rFonts w:ascii="Arial" w:hAnsi="Arial" w:cs="Arial"/>
              </w:rPr>
            </w:pPr>
            <w:r>
              <w:rPr>
                <w:rFonts w:ascii="Arial" w:hAnsi="Arial" w:cs="Arial"/>
              </w:rPr>
              <w:t>-8.0**</w:t>
            </w:r>
          </w:p>
        </w:tc>
        <w:tc>
          <w:tcPr>
            <w:tcW w:w="1440" w:type="dxa"/>
          </w:tcPr>
          <w:p w:rsidR="008305C4" w:rsidP="00E73412" w14:paraId="404507F8" w14:textId="27CF5654">
            <w:pPr>
              <w:pStyle w:val="TableTextLeft"/>
              <w:jc w:val="center"/>
              <w:rPr>
                <w:rFonts w:ascii="Arial" w:hAnsi="Arial" w:cs="Arial"/>
              </w:rPr>
            </w:pPr>
            <w:r>
              <w:rPr>
                <w:rFonts w:ascii="Arial" w:hAnsi="Arial" w:cs="Arial"/>
              </w:rPr>
              <w:t>0.026</w:t>
            </w:r>
          </w:p>
        </w:tc>
      </w:tr>
      <w:tr w14:paraId="193C4E3D" w14:textId="77777777" w:rsidTr="00BB0B20">
        <w:tblPrEx>
          <w:tblW w:w="5000" w:type="pct"/>
          <w:tblLayout w:type="fixed"/>
          <w:tblLook w:val="04A0"/>
        </w:tblPrEx>
        <w:trPr>
          <w:trHeight w:val="120"/>
        </w:trPr>
        <w:tc>
          <w:tcPr>
            <w:tcW w:w="2070" w:type="dxa"/>
          </w:tcPr>
          <w:p w:rsidR="008305C4" w14:paraId="4279A949" w14:textId="65B0E7B1">
            <w:pPr>
              <w:pStyle w:val="TableTextLeft"/>
            </w:pPr>
            <w:r>
              <w:t xml:space="preserve">Bridges </w:t>
            </w:r>
          </w:p>
        </w:tc>
        <w:tc>
          <w:tcPr>
            <w:tcW w:w="2160" w:type="dxa"/>
          </w:tcPr>
          <w:p w:rsidR="008305C4" w:rsidRPr="00C9678D" w:rsidP="00E73412" w14:paraId="16B1FAD4" w14:textId="50DA1B35">
            <w:pPr>
              <w:pStyle w:val="TableTextLeft"/>
              <w:jc w:val="center"/>
              <w:rPr>
                <w:rFonts w:ascii="Arial" w:hAnsi="Arial" w:cs="Arial"/>
              </w:rPr>
            </w:pPr>
            <w:r>
              <w:rPr>
                <w:rFonts w:ascii="Arial" w:hAnsi="Arial" w:cs="Arial"/>
              </w:rPr>
              <w:t>66.7</w:t>
            </w:r>
          </w:p>
        </w:tc>
        <w:tc>
          <w:tcPr>
            <w:tcW w:w="2070" w:type="dxa"/>
          </w:tcPr>
          <w:p w:rsidR="008305C4" w:rsidRPr="00C9678D" w:rsidP="00E73412" w14:paraId="44F049D1" w14:textId="6F9A016F">
            <w:pPr>
              <w:pStyle w:val="TableTextLeft"/>
              <w:jc w:val="center"/>
              <w:rPr>
                <w:rFonts w:ascii="Arial" w:hAnsi="Arial" w:cs="Arial"/>
              </w:rPr>
            </w:pPr>
            <w:r>
              <w:rPr>
                <w:rFonts w:ascii="Arial" w:hAnsi="Arial" w:cs="Arial"/>
              </w:rPr>
              <w:t>54.6</w:t>
            </w:r>
          </w:p>
        </w:tc>
        <w:tc>
          <w:tcPr>
            <w:tcW w:w="1620" w:type="dxa"/>
          </w:tcPr>
          <w:p w:rsidR="008305C4" w:rsidRPr="00C9678D" w:rsidP="00E73412" w14:paraId="514CB69C" w14:textId="0157A7B9">
            <w:pPr>
              <w:pStyle w:val="TableTextLeft"/>
              <w:jc w:val="center"/>
              <w:rPr>
                <w:rFonts w:ascii="Arial" w:hAnsi="Arial" w:cs="Arial"/>
              </w:rPr>
            </w:pPr>
            <w:r>
              <w:rPr>
                <w:rFonts w:ascii="Arial" w:hAnsi="Arial" w:cs="Arial"/>
              </w:rPr>
              <w:t>-12.1</w:t>
            </w:r>
          </w:p>
        </w:tc>
        <w:tc>
          <w:tcPr>
            <w:tcW w:w="1440" w:type="dxa"/>
          </w:tcPr>
          <w:p w:rsidR="008305C4" w:rsidRPr="00C9678D" w:rsidP="00E73412" w14:paraId="070656CB" w14:textId="73DEAAF3">
            <w:pPr>
              <w:pStyle w:val="TableTextLeft"/>
              <w:jc w:val="center"/>
              <w:rPr>
                <w:rFonts w:ascii="Arial" w:hAnsi="Arial" w:cs="Arial"/>
              </w:rPr>
            </w:pPr>
            <w:r>
              <w:rPr>
                <w:rFonts w:ascii="Arial" w:hAnsi="Arial" w:cs="Arial"/>
              </w:rPr>
              <w:t>0.614</w:t>
            </w:r>
          </w:p>
        </w:tc>
      </w:tr>
      <w:tr w14:paraId="14329B3A" w14:textId="77777777" w:rsidTr="00BB0B20">
        <w:tblPrEx>
          <w:tblW w:w="5000" w:type="pct"/>
          <w:tblLayout w:type="fixed"/>
          <w:tblLook w:val="04A0"/>
        </w:tblPrEx>
        <w:trPr>
          <w:trHeight w:val="120"/>
        </w:trPr>
        <w:tc>
          <w:tcPr>
            <w:tcW w:w="2070" w:type="dxa"/>
          </w:tcPr>
          <w:p w:rsidR="008305C4" w14:paraId="39923F3F" w14:textId="4EB54EA9">
            <w:pPr>
              <w:pStyle w:val="TableTextLeft"/>
            </w:pPr>
            <w:r>
              <w:t xml:space="preserve">IPS-AJI </w:t>
            </w:r>
          </w:p>
        </w:tc>
        <w:tc>
          <w:tcPr>
            <w:tcW w:w="2160" w:type="dxa"/>
          </w:tcPr>
          <w:p w:rsidR="008305C4" w:rsidRPr="00C9678D" w:rsidP="00E73412" w14:paraId="6B8BED28" w14:textId="181E4233">
            <w:pPr>
              <w:pStyle w:val="TableTextLeft"/>
              <w:jc w:val="center"/>
              <w:rPr>
                <w:rFonts w:ascii="Arial" w:hAnsi="Arial" w:cs="Arial"/>
              </w:rPr>
            </w:pPr>
            <w:r>
              <w:rPr>
                <w:rFonts w:ascii="Arial" w:hAnsi="Arial" w:cs="Arial"/>
              </w:rPr>
              <w:t>62.6</w:t>
            </w:r>
          </w:p>
        </w:tc>
        <w:tc>
          <w:tcPr>
            <w:tcW w:w="2070" w:type="dxa"/>
          </w:tcPr>
          <w:p w:rsidR="008305C4" w:rsidRPr="00C9678D" w:rsidP="00E73412" w14:paraId="7216176E" w14:textId="1A68105E">
            <w:pPr>
              <w:pStyle w:val="TableTextLeft"/>
              <w:jc w:val="center"/>
              <w:rPr>
                <w:rFonts w:ascii="Arial" w:hAnsi="Arial" w:cs="Arial"/>
              </w:rPr>
            </w:pPr>
            <w:r>
              <w:rPr>
                <w:rFonts w:ascii="Arial" w:hAnsi="Arial" w:cs="Arial"/>
              </w:rPr>
              <w:t>51.3</w:t>
            </w:r>
          </w:p>
        </w:tc>
        <w:tc>
          <w:tcPr>
            <w:tcW w:w="1620" w:type="dxa"/>
          </w:tcPr>
          <w:p w:rsidR="008305C4" w:rsidRPr="00C9678D" w:rsidP="00E73412" w14:paraId="548DD98F" w14:textId="2B9B9501">
            <w:pPr>
              <w:pStyle w:val="TableTextLeft"/>
              <w:jc w:val="center"/>
              <w:rPr>
                <w:rFonts w:ascii="Arial" w:hAnsi="Arial" w:cs="Arial"/>
              </w:rPr>
            </w:pPr>
            <w:r>
              <w:rPr>
                <w:rFonts w:ascii="Arial" w:hAnsi="Arial" w:cs="Arial"/>
              </w:rPr>
              <w:t>-11.2**</w:t>
            </w:r>
          </w:p>
        </w:tc>
        <w:tc>
          <w:tcPr>
            <w:tcW w:w="1440" w:type="dxa"/>
          </w:tcPr>
          <w:p w:rsidR="008305C4" w:rsidRPr="00C9678D" w:rsidP="00E73412" w14:paraId="60E033DD" w14:textId="3EA7DE52">
            <w:pPr>
              <w:pStyle w:val="TableTextLeft"/>
              <w:jc w:val="center"/>
              <w:rPr>
                <w:rFonts w:ascii="Arial" w:hAnsi="Arial" w:cs="Arial"/>
              </w:rPr>
            </w:pPr>
            <w:r>
              <w:rPr>
                <w:rFonts w:ascii="Arial" w:hAnsi="Arial" w:cs="Arial"/>
              </w:rPr>
              <w:t>0.027</w:t>
            </w:r>
          </w:p>
        </w:tc>
      </w:tr>
      <w:tr w14:paraId="3E921966" w14:textId="77777777" w:rsidTr="00BB0B20">
        <w:tblPrEx>
          <w:tblW w:w="5000" w:type="pct"/>
          <w:tblLayout w:type="fixed"/>
          <w:tblLook w:val="04A0"/>
        </w:tblPrEx>
        <w:trPr>
          <w:trHeight w:val="120"/>
        </w:trPr>
        <w:tc>
          <w:tcPr>
            <w:tcW w:w="2070" w:type="dxa"/>
          </w:tcPr>
          <w:p w:rsidR="008305C4" w14:paraId="7479AFCC" w14:textId="1C978FAD">
            <w:pPr>
              <w:pStyle w:val="TableTextLeft"/>
            </w:pPr>
            <w:r>
              <w:t xml:space="preserve">Western Mass MOMS </w:t>
            </w:r>
          </w:p>
        </w:tc>
        <w:tc>
          <w:tcPr>
            <w:tcW w:w="2160" w:type="dxa"/>
          </w:tcPr>
          <w:p w:rsidR="008305C4" w:rsidRPr="00C9678D" w:rsidP="00E73412" w14:paraId="4AA43343" w14:textId="28D72F9D">
            <w:pPr>
              <w:pStyle w:val="TableTextLeft"/>
              <w:jc w:val="center"/>
              <w:rPr>
                <w:rFonts w:ascii="Arial" w:hAnsi="Arial" w:cs="Arial"/>
              </w:rPr>
            </w:pPr>
            <w:r>
              <w:rPr>
                <w:rFonts w:ascii="Arial" w:hAnsi="Arial" w:cs="Arial"/>
              </w:rPr>
              <w:t>81.8</w:t>
            </w:r>
          </w:p>
        </w:tc>
        <w:tc>
          <w:tcPr>
            <w:tcW w:w="2070" w:type="dxa"/>
          </w:tcPr>
          <w:p w:rsidR="008305C4" w:rsidRPr="00C9678D" w:rsidP="00E73412" w14:paraId="184F7346" w14:textId="4B3423E1">
            <w:pPr>
              <w:pStyle w:val="TableTextLeft"/>
              <w:jc w:val="center"/>
              <w:rPr>
                <w:rFonts w:ascii="Arial" w:hAnsi="Arial" w:cs="Arial"/>
              </w:rPr>
            </w:pPr>
            <w:r>
              <w:rPr>
                <w:rFonts w:ascii="Arial" w:hAnsi="Arial" w:cs="Arial"/>
              </w:rPr>
              <w:t>74.7</w:t>
            </w:r>
          </w:p>
        </w:tc>
        <w:tc>
          <w:tcPr>
            <w:tcW w:w="1620" w:type="dxa"/>
          </w:tcPr>
          <w:p w:rsidR="008305C4" w:rsidRPr="00C9678D" w:rsidP="00E73412" w14:paraId="3B06076B" w14:textId="021C8E7C">
            <w:pPr>
              <w:pStyle w:val="TableTextLeft"/>
              <w:jc w:val="center"/>
              <w:rPr>
                <w:rFonts w:ascii="Arial" w:hAnsi="Arial" w:cs="Arial"/>
              </w:rPr>
            </w:pPr>
            <w:r>
              <w:rPr>
                <w:rFonts w:ascii="Arial" w:hAnsi="Arial" w:cs="Arial"/>
              </w:rPr>
              <w:t>-.7.1</w:t>
            </w:r>
          </w:p>
        </w:tc>
        <w:tc>
          <w:tcPr>
            <w:tcW w:w="1440" w:type="dxa"/>
          </w:tcPr>
          <w:p w:rsidR="008305C4" w:rsidRPr="00C9678D" w:rsidP="00E73412" w14:paraId="7157562E" w14:textId="278C6EDD">
            <w:pPr>
              <w:pStyle w:val="TableTextLeft"/>
              <w:jc w:val="center"/>
              <w:rPr>
                <w:rFonts w:ascii="Arial" w:hAnsi="Arial" w:cs="Arial"/>
              </w:rPr>
            </w:pPr>
            <w:r>
              <w:rPr>
                <w:rFonts w:ascii="Arial" w:hAnsi="Arial" w:cs="Arial"/>
              </w:rPr>
              <w:t>0.346</w:t>
            </w:r>
          </w:p>
        </w:tc>
      </w:tr>
      <w:tr w14:paraId="46EF573D" w14:textId="77777777" w:rsidTr="00BB0B20">
        <w:tblPrEx>
          <w:tblW w:w="5000" w:type="pct"/>
          <w:tblLayout w:type="fixed"/>
          <w:tblLook w:val="04A0"/>
        </w:tblPrEx>
        <w:trPr>
          <w:trHeight w:val="120"/>
        </w:trPr>
        <w:tc>
          <w:tcPr>
            <w:tcW w:w="2070" w:type="dxa"/>
          </w:tcPr>
          <w:p w:rsidR="008305C4" w14:paraId="05E52D1C" w14:textId="3C1A8CD5">
            <w:pPr>
              <w:pStyle w:val="TableTextLeft"/>
            </w:pPr>
            <w:r>
              <w:t xml:space="preserve">Philly WINS </w:t>
            </w:r>
          </w:p>
        </w:tc>
        <w:tc>
          <w:tcPr>
            <w:tcW w:w="2160" w:type="dxa"/>
          </w:tcPr>
          <w:p w:rsidR="008305C4" w:rsidRPr="00C9678D" w:rsidP="00E73412" w14:paraId="5650F06B" w14:textId="2358F2CB">
            <w:pPr>
              <w:pStyle w:val="TableTextLeft"/>
              <w:jc w:val="center"/>
              <w:rPr>
                <w:rFonts w:ascii="Arial" w:hAnsi="Arial" w:cs="Arial"/>
              </w:rPr>
            </w:pPr>
            <w:r>
              <w:rPr>
                <w:rFonts w:ascii="Arial" w:hAnsi="Arial" w:cs="Arial"/>
              </w:rPr>
              <w:t>59.1</w:t>
            </w:r>
          </w:p>
        </w:tc>
        <w:tc>
          <w:tcPr>
            <w:tcW w:w="2070" w:type="dxa"/>
          </w:tcPr>
          <w:p w:rsidR="008305C4" w:rsidRPr="00C9678D" w:rsidP="00E73412" w14:paraId="7A241DDF" w14:textId="228AA5FC">
            <w:pPr>
              <w:pStyle w:val="TableTextLeft"/>
              <w:jc w:val="center"/>
              <w:rPr>
                <w:rFonts w:ascii="Arial" w:hAnsi="Arial" w:cs="Arial"/>
              </w:rPr>
            </w:pPr>
            <w:r>
              <w:rPr>
                <w:rFonts w:ascii="Arial" w:hAnsi="Arial" w:cs="Arial"/>
              </w:rPr>
              <w:t>55.3</w:t>
            </w:r>
          </w:p>
        </w:tc>
        <w:tc>
          <w:tcPr>
            <w:tcW w:w="1620" w:type="dxa"/>
          </w:tcPr>
          <w:p w:rsidR="008305C4" w:rsidRPr="00C9678D" w:rsidP="00E73412" w14:paraId="569AEE85" w14:textId="7B961DF4">
            <w:pPr>
              <w:pStyle w:val="TableTextLeft"/>
              <w:jc w:val="center"/>
              <w:rPr>
                <w:rFonts w:ascii="Arial" w:hAnsi="Arial" w:cs="Arial"/>
              </w:rPr>
            </w:pPr>
            <w:r>
              <w:rPr>
                <w:rFonts w:ascii="Arial" w:hAnsi="Arial" w:cs="Arial"/>
              </w:rPr>
              <w:t>-3.8</w:t>
            </w:r>
          </w:p>
        </w:tc>
        <w:tc>
          <w:tcPr>
            <w:tcW w:w="1440" w:type="dxa"/>
          </w:tcPr>
          <w:p w:rsidR="008305C4" w:rsidRPr="00C9678D" w:rsidP="00E73412" w14:paraId="10BD3D8F" w14:textId="2D6D2D7D">
            <w:pPr>
              <w:pStyle w:val="TableTextLeft"/>
              <w:jc w:val="center"/>
              <w:rPr>
                <w:rFonts w:ascii="Arial" w:hAnsi="Arial" w:cs="Arial"/>
              </w:rPr>
            </w:pPr>
            <w:r>
              <w:rPr>
                <w:rFonts w:ascii="Arial" w:hAnsi="Arial" w:cs="Arial"/>
              </w:rPr>
              <w:t>0.605</w:t>
            </w:r>
          </w:p>
        </w:tc>
      </w:tr>
    </w:tbl>
    <w:p w:rsidR="009F455D" w:rsidP="009F455D" w14:paraId="030430C3" w14:textId="096D00E9">
      <w:pPr>
        <w:pStyle w:val="ExhibitSource"/>
      </w:pPr>
      <w:r>
        <w:t>Note:</w:t>
      </w:r>
      <w:r>
        <w:tab/>
        <w:t xml:space="preserve">Adjusted for baseline </w:t>
      </w:r>
      <w:r w:rsidR="00172DE3">
        <w:t>characteristics</w:t>
      </w:r>
      <w:r>
        <w:t>.</w:t>
      </w:r>
    </w:p>
    <w:p w:rsidR="00D8685D" w:rsidP="00D8685D" w14:paraId="2929676A" w14:textId="32872F72">
      <w:pPr>
        <w:pStyle w:val="ExhibitSignificance"/>
        <w:ind w:left="0" w:firstLine="0"/>
      </w:pPr>
      <w:r w:rsidRPr="00D84888">
        <w:t xml:space="preserve">***/**/* </w:t>
      </w:r>
      <w:r>
        <w:t>The estimated differences</w:t>
      </w:r>
      <w:r w:rsidRPr="00D84888">
        <w:t xml:space="preserve"> were statistically significant at the 1, 5, and 10 percent levels, respectively, using a two-tailed t-test.</w:t>
      </w:r>
      <w:r>
        <w:tab/>
      </w:r>
    </w:p>
    <w:p w:rsidR="0062784D" w:rsidP="00E73412" w14:paraId="58F7720F" w14:textId="77777777">
      <w:pPr>
        <w:pStyle w:val="Paragraph"/>
      </w:pPr>
    </w:p>
    <w:p w:rsidR="00F67223" w:rsidP="00E73412" w14:paraId="3BAB055F" w14:textId="77B10B5C">
      <w:pPr>
        <w:pStyle w:val="Paragraph"/>
      </w:pPr>
      <w:r>
        <w:t xml:space="preserve">As discussed above, unstable housing is a baseline </w:t>
      </w:r>
      <w:r w:rsidRPr="009E74CE">
        <w:t xml:space="preserve">indicator </w:t>
      </w:r>
      <w:r w:rsidR="00FE5AE2">
        <w:t>that flags participants that were</w:t>
      </w:r>
      <w:r w:rsidRPr="009E74CE">
        <w:t xml:space="preserve"> homeless or in emergency housing such as a shelter, a halfway house, sober house or other transitional housing, a group home, or living with friends or relative</w:t>
      </w:r>
      <w:r w:rsidRPr="009E74CE" w:rsidR="7453930E">
        <w:t>s</w:t>
      </w:r>
      <w:r w:rsidRPr="009E74CE">
        <w:t xml:space="preserve"> and not paying rent.</w:t>
      </w:r>
      <w:r w:rsidR="00FE5AE2">
        <w:t xml:space="preserve"> </w:t>
      </w:r>
      <w:r w:rsidR="00EA023C">
        <w:t xml:space="preserve">We attempted to conduct a robustness check </w:t>
      </w:r>
      <w:r w:rsidR="005211B7">
        <w:t>by defining unstable housing using other data that was available, namely follow-up survey paradata</w:t>
      </w:r>
      <w:r>
        <w:rPr>
          <w:rStyle w:val="FootnoteReference"/>
        </w:rPr>
        <w:footnoteReference w:id="4"/>
      </w:r>
      <w:r w:rsidR="005211B7">
        <w:t xml:space="preserve">. </w:t>
      </w:r>
      <w:r w:rsidR="00AE56C2">
        <w:t>W</w:t>
      </w:r>
      <w:r w:rsidR="00B5661C">
        <w:t xml:space="preserve">e pulled </w:t>
      </w:r>
      <w:r w:rsidR="00404FFC">
        <w:t>para</w:t>
      </w:r>
      <w:r w:rsidR="00B5661C">
        <w:t>data from the survey effort</w:t>
      </w:r>
      <w:r w:rsidR="00AE56C2">
        <w:t xml:space="preserve"> at the participant level that included </w:t>
      </w:r>
      <w:r w:rsidR="00DA2F9D">
        <w:t xml:space="preserve">indicators </w:t>
      </w:r>
      <w:r w:rsidR="006E7545">
        <w:t xml:space="preserve">if </w:t>
      </w:r>
      <w:r w:rsidR="00CE4D53">
        <w:t xml:space="preserve">a </w:t>
      </w:r>
      <w:r w:rsidR="006E7545">
        <w:t xml:space="preserve">case ever had an address </w:t>
      </w:r>
      <w:r w:rsidR="00DF192C">
        <w:t xml:space="preserve">in the survey database </w:t>
      </w:r>
      <w:r w:rsidR="006E7545">
        <w:t>marked as bad</w:t>
      </w:r>
      <w:r w:rsidR="007B223F">
        <w:t xml:space="preserve">, </w:t>
      </w:r>
      <w:r w:rsidR="006E7545">
        <w:t xml:space="preserve">the case ever had a phone number marked as bad, </w:t>
      </w:r>
      <w:r w:rsidR="007B223F">
        <w:t>or</w:t>
      </w:r>
      <w:r w:rsidR="006E7545">
        <w:t xml:space="preserve"> the case ever had a</w:t>
      </w:r>
      <w:r w:rsidR="00BC144E">
        <w:t>n</w:t>
      </w:r>
      <w:r w:rsidR="00CE4D53">
        <w:t xml:space="preserve"> </w:t>
      </w:r>
      <w:r w:rsidR="00BC144E">
        <w:t>address identified as “</w:t>
      </w:r>
      <w:r w:rsidR="00CE4D53">
        <w:t>homeless</w:t>
      </w:r>
      <w:r w:rsidR="00BC144E">
        <w:t>.”</w:t>
      </w:r>
      <w:r w:rsidR="006E7545">
        <w:t xml:space="preserve">  </w:t>
      </w:r>
    </w:p>
    <w:p w:rsidR="00391C05" w:rsidP="00E73412" w14:paraId="1C6B1223" w14:textId="55461F7A">
      <w:pPr>
        <w:pStyle w:val="Paragraph"/>
      </w:pPr>
      <w:r>
        <w:t>W</w:t>
      </w:r>
      <w:r w:rsidRPr="00767023" w:rsidR="00767023">
        <w:t>e find consistent pattern</w:t>
      </w:r>
      <w:r w:rsidR="00767023">
        <w:t>s</w:t>
      </w:r>
      <w:r w:rsidRPr="00767023" w:rsidR="00767023">
        <w:t xml:space="preserve"> using </w:t>
      </w:r>
      <w:r w:rsidR="00767023">
        <w:t xml:space="preserve">this </w:t>
      </w:r>
      <w:r w:rsidRPr="00767023" w:rsidR="00767023">
        <w:t>different data source for unstable housing</w:t>
      </w:r>
      <w:r w:rsidR="006E064A">
        <w:t xml:space="preserve">: </w:t>
      </w:r>
      <w:r w:rsidRPr="00767023" w:rsidR="00767023">
        <w:t>unstable housing seem</w:t>
      </w:r>
      <w:r w:rsidR="006E064A">
        <w:t>s</w:t>
      </w:r>
      <w:r w:rsidRPr="00767023" w:rsidR="00767023">
        <w:t xml:space="preserve"> </w:t>
      </w:r>
      <w:r w:rsidR="006E064A">
        <w:t xml:space="preserve">to </w:t>
      </w:r>
      <w:r w:rsidRPr="00767023" w:rsidR="00767023">
        <w:t>play a role in the negative effect of the prepay token for the IPS-AJI program</w:t>
      </w:r>
      <w:r w:rsidR="006E064A">
        <w:t xml:space="preserve">. However, the results </w:t>
      </w:r>
      <w:r>
        <w:t>are not as strong as the baseline characteristic variable, likely due to the quality of the survey paradata.</w:t>
      </w:r>
      <w:r>
        <w:rPr>
          <w:rStyle w:val="FootnoteReference"/>
        </w:rPr>
        <w:footnoteReference w:id="5"/>
      </w:r>
      <w:r w:rsidR="00AD3429">
        <w:t xml:space="preserve"> </w:t>
      </w:r>
      <w:r w:rsidR="0016402E">
        <w:t xml:space="preserve">The IPS-AJI </w:t>
      </w:r>
      <w:r w:rsidR="00815261">
        <w:t xml:space="preserve">program </w:t>
      </w:r>
      <w:r w:rsidR="0016402E">
        <w:t>also</w:t>
      </w:r>
      <w:r w:rsidR="002400C3">
        <w:t xml:space="preserve"> has a much higher</w:t>
      </w:r>
      <w:r w:rsidR="00815261">
        <w:t xml:space="preserve"> proportion of participants experiencing unstable housing (63.4 percent) compared to the other programs (</w:t>
      </w:r>
      <w:r w:rsidR="00A42EAD">
        <w:t xml:space="preserve">an average of 16.5 percent for Bridges, MOMS, and Philly WINS). </w:t>
      </w:r>
      <w:r w:rsidR="0053589E">
        <w:t xml:space="preserve">The survey paradata shows similar </w:t>
      </w:r>
      <w:r w:rsidR="007154DF">
        <w:t>differences. For instance, 46</w:t>
      </w:r>
      <w:r w:rsidR="00091198">
        <w:t>.1</w:t>
      </w:r>
      <w:r w:rsidR="007154DF">
        <w:t xml:space="preserve"> percent of IPS-AJI cases show at least one address marked bad, compared to</w:t>
      </w:r>
      <w:r w:rsidR="00091198">
        <w:t xml:space="preserve"> </w:t>
      </w:r>
      <w:r w:rsidR="00FE1D88">
        <w:t xml:space="preserve">under 21 </w:t>
      </w:r>
      <w:r w:rsidR="00091198">
        <w:t xml:space="preserve">percent for </w:t>
      </w:r>
      <w:r w:rsidR="00FE1D88">
        <w:t xml:space="preserve">each of the </w:t>
      </w:r>
      <w:r w:rsidR="00091198">
        <w:t xml:space="preserve">other three sites. </w:t>
      </w:r>
      <w:r w:rsidR="007154DF">
        <w:t xml:space="preserve"> </w:t>
      </w:r>
      <w:r w:rsidR="002400C3">
        <w:t xml:space="preserve"> </w:t>
      </w:r>
      <w:r w:rsidR="0016402E">
        <w:t xml:space="preserve"> </w:t>
      </w:r>
    </w:p>
    <w:p w:rsidR="00F7257A" w:rsidP="00E73412" w14:paraId="0B0F98DF" w14:textId="77777777">
      <w:pPr>
        <w:pStyle w:val="H4"/>
        <w:spacing w:before="0" w:after="160"/>
      </w:pPr>
      <w:r>
        <w:t>Differential response rates</w:t>
      </w:r>
    </w:p>
    <w:p w:rsidR="00F7257A" w:rsidRPr="00643270" w:rsidP="00E73412" w14:paraId="08163CD6" w14:textId="7FFEA1CA">
      <w:pPr>
        <w:pStyle w:val="Paragraph"/>
      </w:pPr>
      <w:r>
        <w:t>In addition to exploring the effect of the prepay on overall response rates, we explored whether the prepay had an effect on the treatment-control differential response rate.</w:t>
      </w:r>
      <w:r w:rsidR="00360788">
        <w:t xml:space="preserve"> </w:t>
      </w:r>
      <w:r w:rsidRPr="00A76974" w:rsidR="00A76974">
        <w:t xml:space="preserve">There were no statistically significant differences in response rates by </w:t>
      </w:r>
      <w:r w:rsidR="00A33E6D">
        <w:t>prepay and no prepay</w:t>
      </w:r>
      <w:r w:rsidR="00304184">
        <w:t>.</w:t>
      </w:r>
      <w:r w:rsidR="00EE1E24">
        <w:t xml:space="preserve"> Within the prepay group, the response rate difference between </w:t>
      </w:r>
      <w:r w:rsidR="00734E6A">
        <w:t xml:space="preserve">program and comparison </w:t>
      </w:r>
      <w:r w:rsidR="00EE1E24">
        <w:t>was 1.1 points; this gap was also 1.1 points with</w:t>
      </w:r>
      <w:r w:rsidR="000E5CE4">
        <w:t xml:space="preserve">in the no prepay group.  </w:t>
      </w:r>
      <w:r w:rsidR="00304184">
        <w:t xml:space="preserve">   </w:t>
      </w:r>
      <w:r w:rsidR="00A33E6D">
        <w:t xml:space="preserve"> </w:t>
      </w:r>
      <w:r w:rsidR="00A76974">
        <w:t xml:space="preserve"> </w:t>
      </w:r>
      <w:r w:rsidR="00654B7A">
        <w:t xml:space="preserve"> </w:t>
      </w:r>
    </w:p>
    <w:p w:rsidR="004D2B9B" w:rsidP="00261EEF" w14:paraId="35042EC0" w14:textId="36116EAF">
      <w:pPr>
        <w:pStyle w:val="H2"/>
        <w:numPr>
          <w:ilvl w:val="0"/>
          <w:numId w:val="29"/>
        </w:numPr>
        <w:spacing w:before="0" w:after="160"/>
        <w:ind w:left="360"/>
        <w:rPr>
          <w:rFonts w:eastAsia="Times New Roman"/>
        </w:rPr>
      </w:pPr>
      <w:r>
        <w:rPr>
          <w:rFonts w:eastAsia="Times New Roman"/>
        </w:rPr>
        <w:t>Discussion and conclusion</w:t>
      </w:r>
    </w:p>
    <w:p w:rsidR="00EF3510" w:rsidP="00E73412" w14:paraId="5A6EC378" w14:textId="7268E241">
      <w:pPr>
        <w:pStyle w:val="Paragraph"/>
        <w:rPr>
          <w:rFonts w:eastAsia="Times New Roman"/>
        </w:rPr>
      </w:pPr>
      <w:r>
        <w:rPr>
          <w:rFonts w:eastAsia="Times New Roman"/>
        </w:rPr>
        <w:t>Overall, the prepay token did not</w:t>
      </w:r>
      <w:r w:rsidR="00215840">
        <w:rPr>
          <w:rFonts w:eastAsia="Times New Roman"/>
        </w:rPr>
        <w:t xml:space="preserve"> impact the </w:t>
      </w:r>
      <w:r>
        <w:rPr>
          <w:rFonts w:eastAsia="Times New Roman"/>
        </w:rPr>
        <w:t>response rate</w:t>
      </w:r>
      <w:r w:rsidR="00215840">
        <w:rPr>
          <w:rFonts w:eastAsia="Times New Roman"/>
        </w:rPr>
        <w:t>. This is true</w:t>
      </w:r>
      <w:r w:rsidR="00EB65DB">
        <w:rPr>
          <w:rFonts w:eastAsia="Times New Roman"/>
        </w:rPr>
        <w:t xml:space="preserve"> at the project level</w:t>
      </w:r>
      <w:r w:rsidR="009B2BF9">
        <w:rPr>
          <w:rFonts w:eastAsia="Times New Roman"/>
        </w:rPr>
        <w:t xml:space="preserve"> (i.e., across all NextGen study participants)</w:t>
      </w:r>
      <w:r w:rsidR="00215840">
        <w:rPr>
          <w:rFonts w:eastAsia="Times New Roman"/>
        </w:rPr>
        <w:t xml:space="preserve">, </w:t>
      </w:r>
      <w:r w:rsidR="00101ABF">
        <w:rPr>
          <w:rFonts w:eastAsia="Times New Roman"/>
        </w:rPr>
        <w:t>but not at the program level because</w:t>
      </w:r>
      <w:r w:rsidR="00A2339A">
        <w:rPr>
          <w:rFonts w:eastAsia="Times New Roman"/>
        </w:rPr>
        <w:t xml:space="preserve"> </w:t>
      </w:r>
      <w:r w:rsidR="00BB721E">
        <w:rPr>
          <w:rFonts w:eastAsia="Times New Roman"/>
        </w:rPr>
        <w:t>in</w:t>
      </w:r>
      <w:r w:rsidR="009F5232">
        <w:rPr>
          <w:rFonts w:eastAsia="Times New Roman"/>
        </w:rPr>
        <w:t xml:space="preserve"> IPS-AJI </w:t>
      </w:r>
      <w:r w:rsidR="003C42C7">
        <w:rPr>
          <w:rFonts w:eastAsia="Times New Roman"/>
        </w:rPr>
        <w:t xml:space="preserve">we find </w:t>
      </w:r>
      <w:r w:rsidR="009F5232">
        <w:rPr>
          <w:rFonts w:eastAsia="Times New Roman"/>
        </w:rPr>
        <w:t>a significant negative impact of the prepay token (those who receive the $5 prepay are less likely to complete the survey).</w:t>
      </w:r>
      <w:r w:rsidR="003C42C7">
        <w:rPr>
          <w:rFonts w:eastAsia="Times New Roman"/>
        </w:rPr>
        <w:t xml:space="preserve"> We find these results surprising and go against the initial hypothesis of the experimental design. </w:t>
      </w:r>
      <w:r w:rsidR="00CB2B49">
        <w:rPr>
          <w:rFonts w:eastAsia="Times New Roman"/>
        </w:rPr>
        <w:t xml:space="preserve">Based on </w:t>
      </w:r>
      <w:r w:rsidR="003C42C7">
        <w:rPr>
          <w:rFonts w:eastAsia="Times New Roman"/>
        </w:rPr>
        <w:t xml:space="preserve">the </w:t>
      </w:r>
      <w:r w:rsidR="00CB2B49">
        <w:rPr>
          <w:rFonts w:eastAsia="Times New Roman"/>
        </w:rPr>
        <w:t xml:space="preserve">available evidence, we suspect that </w:t>
      </w:r>
      <w:r w:rsidR="003C42C7">
        <w:rPr>
          <w:rFonts w:eastAsia="Times New Roman"/>
        </w:rPr>
        <w:t xml:space="preserve">instability in </w:t>
      </w:r>
      <w:r w:rsidR="00CB2B49">
        <w:rPr>
          <w:rFonts w:eastAsia="Times New Roman"/>
        </w:rPr>
        <w:t xml:space="preserve">housing is </w:t>
      </w:r>
      <w:r w:rsidR="003C42C7">
        <w:rPr>
          <w:rFonts w:eastAsia="Times New Roman"/>
        </w:rPr>
        <w:t xml:space="preserve">a contributing factor to this finding. </w:t>
      </w:r>
      <w:r w:rsidR="0057353C">
        <w:rPr>
          <w:rFonts w:eastAsia="Times New Roman"/>
        </w:rPr>
        <w:t xml:space="preserve">The available data is not sufficient to prove a relationship, but we propose </w:t>
      </w:r>
      <w:r w:rsidR="00A2339A">
        <w:rPr>
          <w:rFonts w:eastAsia="Times New Roman"/>
        </w:rPr>
        <w:t>several</w:t>
      </w:r>
      <w:r w:rsidR="0057353C">
        <w:rPr>
          <w:rFonts w:eastAsia="Times New Roman"/>
        </w:rPr>
        <w:t xml:space="preserve"> anecdotal theories to explain it. </w:t>
      </w:r>
    </w:p>
    <w:p w:rsidR="005D21A2" w:rsidP="00E73412" w14:paraId="04FFCBA8" w14:textId="29000705">
      <w:pPr>
        <w:pStyle w:val="Paragraph"/>
        <w:rPr>
          <w:rFonts w:eastAsia="Times New Roman"/>
        </w:rPr>
      </w:pPr>
      <w:r>
        <w:rPr>
          <w:rFonts w:eastAsia="Times New Roman"/>
        </w:rPr>
        <w:t>The f</w:t>
      </w:r>
      <w:r w:rsidR="0057353C">
        <w:rPr>
          <w:rFonts w:eastAsia="Times New Roman"/>
        </w:rPr>
        <w:t xml:space="preserve">irst </w:t>
      </w:r>
      <w:r w:rsidR="000B0FC5">
        <w:rPr>
          <w:rFonts w:eastAsia="Times New Roman"/>
        </w:rPr>
        <w:t>idea</w:t>
      </w:r>
      <w:r>
        <w:rPr>
          <w:rFonts w:eastAsia="Times New Roman"/>
        </w:rPr>
        <w:t xml:space="preserve"> </w:t>
      </w:r>
      <w:r w:rsidR="0057353C">
        <w:rPr>
          <w:rFonts w:eastAsia="Times New Roman"/>
        </w:rPr>
        <w:t xml:space="preserve">is </w:t>
      </w:r>
      <w:r w:rsidR="000B0FC5">
        <w:rPr>
          <w:rFonts w:eastAsia="Times New Roman"/>
        </w:rPr>
        <w:t xml:space="preserve">an effect based on </w:t>
      </w:r>
      <w:r w:rsidR="0057353C">
        <w:rPr>
          <w:rFonts w:eastAsia="Times New Roman"/>
        </w:rPr>
        <w:t xml:space="preserve">communication between NextGen </w:t>
      </w:r>
      <w:r w:rsidRPr="04CF2CE3" w:rsidR="69859B72">
        <w:rPr>
          <w:rFonts w:eastAsia="Times New Roman"/>
        </w:rPr>
        <w:t>participants,</w:t>
      </w:r>
      <w:r w:rsidR="00BF5733">
        <w:rPr>
          <w:rFonts w:eastAsia="Times New Roman"/>
        </w:rPr>
        <w:t xml:space="preserve"> </w:t>
      </w:r>
      <w:r w:rsidR="009B2BF9">
        <w:rPr>
          <w:rFonts w:eastAsia="Times New Roman"/>
        </w:rPr>
        <w:t>which could</w:t>
      </w:r>
      <w:r w:rsidR="00BF5733">
        <w:rPr>
          <w:rFonts w:eastAsia="Times New Roman"/>
        </w:rPr>
        <w:t xml:space="preserve"> work in multiple ways. </w:t>
      </w:r>
      <w:r w:rsidR="00132887">
        <w:rPr>
          <w:rFonts w:eastAsia="Times New Roman"/>
        </w:rPr>
        <w:t xml:space="preserve">Consider a participant offered a $50 </w:t>
      </w:r>
      <w:r w:rsidRPr="04CF2CE3" w:rsidR="73E086CD">
        <w:rPr>
          <w:rFonts w:eastAsia="Times New Roman"/>
        </w:rPr>
        <w:t>post-pay</w:t>
      </w:r>
      <w:r w:rsidR="00132887">
        <w:rPr>
          <w:rFonts w:eastAsia="Times New Roman"/>
        </w:rPr>
        <w:t xml:space="preserve"> </w:t>
      </w:r>
      <w:r w:rsidR="00EE415F">
        <w:rPr>
          <w:rFonts w:eastAsia="Times New Roman"/>
        </w:rPr>
        <w:t xml:space="preserve">to complete the survey but does not recall receiving the $5 prepay or never received the prepay due to a bad address. </w:t>
      </w:r>
      <w:r w:rsidR="009B1A16">
        <w:rPr>
          <w:rFonts w:eastAsia="Times New Roman"/>
        </w:rPr>
        <w:t xml:space="preserve">If </w:t>
      </w:r>
      <w:r w:rsidR="00EE415F">
        <w:rPr>
          <w:rFonts w:eastAsia="Times New Roman"/>
        </w:rPr>
        <w:t xml:space="preserve">that </w:t>
      </w:r>
      <w:r w:rsidR="00BF5733">
        <w:rPr>
          <w:rFonts w:eastAsia="Times New Roman"/>
        </w:rPr>
        <w:t xml:space="preserve">participant hears that another </w:t>
      </w:r>
      <w:r w:rsidR="00EE415F">
        <w:rPr>
          <w:rFonts w:eastAsia="Times New Roman"/>
        </w:rPr>
        <w:t xml:space="preserve">participant </w:t>
      </w:r>
      <w:r w:rsidR="00BF5733">
        <w:rPr>
          <w:rFonts w:eastAsia="Times New Roman"/>
        </w:rPr>
        <w:t>is offered $55 to complete the surve</w:t>
      </w:r>
      <w:r w:rsidR="009B1A16">
        <w:rPr>
          <w:rFonts w:eastAsia="Times New Roman"/>
        </w:rPr>
        <w:t>y</w:t>
      </w:r>
      <w:r w:rsidR="00BF5733">
        <w:rPr>
          <w:rFonts w:eastAsia="Times New Roman"/>
        </w:rPr>
        <w:t xml:space="preserve">, it may discourage participation. </w:t>
      </w:r>
      <w:r w:rsidR="00E63220">
        <w:rPr>
          <w:rFonts w:eastAsia="Times New Roman"/>
        </w:rPr>
        <w:t xml:space="preserve">Similarly, </w:t>
      </w:r>
      <w:r w:rsidR="00B140D9">
        <w:rPr>
          <w:rFonts w:eastAsia="Times New Roman"/>
        </w:rPr>
        <w:t xml:space="preserve">if </w:t>
      </w:r>
      <w:r w:rsidR="009B1A16">
        <w:rPr>
          <w:rFonts w:eastAsia="Times New Roman"/>
        </w:rPr>
        <w:t>they</w:t>
      </w:r>
      <w:r w:rsidR="009B2BF9">
        <w:rPr>
          <w:rFonts w:eastAsia="Times New Roman"/>
        </w:rPr>
        <w:t xml:space="preserve"> </w:t>
      </w:r>
      <w:r w:rsidR="00510FAD">
        <w:rPr>
          <w:rFonts w:eastAsia="Times New Roman"/>
        </w:rPr>
        <w:t xml:space="preserve">do not recall </w:t>
      </w:r>
      <w:r w:rsidR="009B2BF9">
        <w:rPr>
          <w:rFonts w:eastAsia="Times New Roman"/>
        </w:rPr>
        <w:t>or did not receive a prepay and then</w:t>
      </w:r>
      <w:r w:rsidR="009B1A16">
        <w:rPr>
          <w:rFonts w:eastAsia="Times New Roman"/>
        </w:rPr>
        <w:t xml:space="preserve"> </w:t>
      </w:r>
      <w:r w:rsidR="00B140D9">
        <w:rPr>
          <w:rFonts w:eastAsia="Times New Roman"/>
        </w:rPr>
        <w:t xml:space="preserve">hear that another </w:t>
      </w:r>
      <w:r w:rsidRPr="04CF2CE3" w:rsidR="16A8272F">
        <w:rPr>
          <w:rFonts w:eastAsia="Times New Roman"/>
        </w:rPr>
        <w:t xml:space="preserve">respondent </w:t>
      </w:r>
      <w:r w:rsidR="00B140D9">
        <w:rPr>
          <w:rFonts w:eastAsia="Times New Roman"/>
        </w:rPr>
        <w:t xml:space="preserve">received </w:t>
      </w:r>
      <w:r w:rsidRPr="04CF2CE3" w:rsidR="7D1CA768">
        <w:rPr>
          <w:rFonts w:eastAsia="Times New Roman"/>
        </w:rPr>
        <w:t xml:space="preserve">a </w:t>
      </w:r>
      <w:r w:rsidR="00B140D9">
        <w:rPr>
          <w:rFonts w:eastAsia="Times New Roman"/>
        </w:rPr>
        <w:t>$5</w:t>
      </w:r>
      <w:r w:rsidR="009B1A16">
        <w:rPr>
          <w:rFonts w:eastAsia="Times New Roman"/>
        </w:rPr>
        <w:t xml:space="preserve"> prepay</w:t>
      </w:r>
      <w:r w:rsidR="00B140D9">
        <w:rPr>
          <w:rFonts w:eastAsia="Times New Roman"/>
        </w:rPr>
        <w:t xml:space="preserve"> to complete the survey, </w:t>
      </w:r>
      <w:r w:rsidR="001C7D70">
        <w:rPr>
          <w:rFonts w:eastAsia="Times New Roman"/>
        </w:rPr>
        <w:t xml:space="preserve">even if both are offered </w:t>
      </w:r>
      <w:r w:rsidRPr="04CF2CE3" w:rsidR="557081A2">
        <w:rPr>
          <w:rFonts w:eastAsia="Times New Roman"/>
        </w:rPr>
        <w:t xml:space="preserve">the </w:t>
      </w:r>
      <w:r w:rsidR="001C7D70">
        <w:rPr>
          <w:rFonts w:eastAsia="Times New Roman"/>
        </w:rPr>
        <w:t xml:space="preserve">$50 </w:t>
      </w:r>
      <w:r w:rsidRPr="04CF2CE3" w:rsidR="2AE87E9A">
        <w:rPr>
          <w:rFonts w:eastAsia="Times New Roman"/>
        </w:rPr>
        <w:t>post-pay</w:t>
      </w:r>
      <w:r w:rsidR="001C7D70">
        <w:rPr>
          <w:rFonts w:eastAsia="Times New Roman"/>
        </w:rPr>
        <w:t xml:space="preserve">, </w:t>
      </w:r>
      <w:r w:rsidR="00B140D9">
        <w:rPr>
          <w:rFonts w:eastAsia="Times New Roman"/>
        </w:rPr>
        <w:t xml:space="preserve">it may also discourage participation. </w:t>
      </w:r>
      <w:r w:rsidR="00724E19">
        <w:rPr>
          <w:rFonts w:eastAsia="Times New Roman"/>
        </w:rPr>
        <w:t xml:space="preserve">We believe that this type of communication between participants is more likely in IPS-AJI </w:t>
      </w:r>
      <w:r w:rsidR="001C7D70">
        <w:rPr>
          <w:rFonts w:eastAsia="Times New Roman"/>
        </w:rPr>
        <w:t xml:space="preserve">compared to other programs. IPS-AJI participants are more likely to find themselves in </w:t>
      </w:r>
      <w:r w:rsidR="00C44C58">
        <w:rPr>
          <w:rFonts w:eastAsia="Times New Roman"/>
        </w:rPr>
        <w:t xml:space="preserve">circumstances that place </w:t>
      </w:r>
      <w:r w:rsidR="001C7D70">
        <w:rPr>
          <w:rFonts w:eastAsia="Times New Roman"/>
        </w:rPr>
        <w:t xml:space="preserve">them </w:t>
      </w:r>
      <w:r w:rsidR="00C44C58">
        <w:rPr>
          <w:rFonts w:eastAsia="Times New Roman"/>
        </w:rPr>
        <w:t xml:space="preserve">in close quarters with each other: group homes, food </w:t>
      </w:r>
      <w:r w:rsidR="00BC23DB">
        <w:rPr>
          <w:rFonts w:eastAsia="Times New Roman"/>
        </w:rPr>
        <w:t xml:space="preserve">pantries, </w:t>
      </w:r>
      <w:r w:rsidR="00C44C58">
        <w:rPr>
          <w:rFonts w:eastAsia="Times New Roman"/>
        </w:rPr>
        <w:t>shelter</w:t>
      </w:r>
      <w:r w:rsidR="00E55DA9">
        <w:rPr>
          <w:rFonts w:eastAsia="Times New Roman"/>
        </w:rPr>
        <w:t>s, and</w:t>
      </w:r>
      <w:r w:rsidR="00C44C58">
        <w:rPr>
          <w:rFonts w:eastAsia="Times New Roman"/>
        </w:rPr>
        <w:t xml:space="preserve"> </w:t>
      </w:r>
      <w:r w:rsidR="00E55DA9">
        <w:rPr>
          <w:rFonts w:eastAsia="Times New Roman"/>
        </w:rPr>
        <w:t>homeless encampments</w:t>
      </w:r>
      <w:r w:rsidR="001C7D70">
        <w:rPr>
          <w:rFonts w:eastAsia="Times New Roman"/>
        </w:rPr>
        <w:t xml:space="preserve"> which are</w:t>
      </w:r>
      <w:r>
        <w:rPr>
          <w:rFonts w:eastAsia="Times New Roman"/>
        </w:rPr>
        <w:t xml:space="preserve">, anecdotally, more prevalent </w:t>
      </w:r>
      <w:r w:rsidR="009B2BF9">
        <w:rPr>
          <w:rFonts w:eastAsia="Times New Roman"/>
        </w:rPr>
        <w:t xml:space="preserve">among participants of </w:t>
      </w:r>
      <w:r>
        <w:rPr>
          <w:rFonts w:eastAsia="Times New Roman"/>
        </w:rPr>
        <w:t>IPS-AJI</w:t>
      </w:r>
      <w:r w:rsidR="00BC23DB">
        <w:rPr>
          <w:rFonts w:eastAsia="Times New Roman"/>
        </w:rPr>
        <w:t>.</w:t>
      </w:r>
      <w:r w:rsidR="00780898">
        <w:rPr>
          <w:rFonts w:eastAsia="Times New Roman"/>
        </w:rPr>
        <w:t xml:space="preserve"> IPS-AJI also has a higher proportion of participants with unstable housing according to the baseline data.  </w:t>
      </w:r>
    </w:p>
    <w:p w:rsidR="00482948" w:rsidP="00E73412" w14:paraId="74150693" w14:textId="77777777">
      <w:pPr>
        <w:pStyle w:val="Paragraph"/>
        <w:rPr>
          <w:rFonts w:eastAsia="Times New Roman"/>
        </w:rPr>
      </w:pPr>
      <w:r>
        <w:rPr>
          <w:rFonts w:eastAsia="Times New Roman"/>
        </w:rPr>
        <w:t>A s</w:t>
      </w:r>
      <w:r w:rsidR="005D21A2">
        <w:rPr>
          <w:rFonts w:eastAsia="Times New Roman"/>
        </w:rPr>
        <w:t>econd</w:t>
      </w:r>
      <w:r>
        <w:rPr>
          <w:rFonts w:eastAsia="Times New Roman"/>
        </w:rPr>
        <w:t xml:space="preserve"> </w:t>
      </w:r>
      <w:r w:rsidR="000B0FC5">
        <w:rPr>
          <w:rFonts w:eastAsia="Times New Roman"/>
        </w:rPr>
        <w:t>idea</w:t>
      </w:r>
      <w:r w:rsidR="005D21A2">
        <w:rPr>
          <w:rFonts w:eastAsia="Times New Roman"/>
        </w:rPr>
        <w:t xml:space="preserve"> is an effect based on token amount. A $55 </w:t>
      </w:r>
      <w:r w:rsidRPr="04CF2CE3" w:rsidR="2BF86583">
        <w:rPr>
          <w:rFonts w:eastAsia="Times New Roman"/>
        </w:rPr>
        <w:t>post-pay</w:t>
      </w:r>
      <w:r w:rsidR="005D21A2">
        <w:rPr>
          <w:rFonts w:eastAsia="Times New Roman"/>
        </w:rPr>
        <w:t xml:space="preserve"> amount may encourage more participation that $50 </w:t>
      </w:r>
      <w:r w:rsidRPr="04CF2CE3" w:rsidR="0CF4CD92">
        <w:rPr>
          <w:rFonts w:eastAsia="Times New Roman"/>
        </w:rPr>
        <w:t>post-pay</w:t>
      </w:r>
      <w:r w:rsidR="00D63B3A">
        <w:rPr>
          <w:rFonts w:eastAsia="Times New Roman"/>
        </w:rPr>
        <w:t xml:space="preserve"> </w:t>
      </w:r>
      <w:r w:rsidR="002B4BD0">
        <w:rPr>
          <w:rFonts w:eastAsia="Times New Roman"/>
        </w:rPr>
        <w:t>and this effect is magnified with unstable housing</w:t>
      </w:r>
      <w:r w:rsidR="00D63B3A">
        <w:rPr>
          <w:rFonts w:eastAsia="Times New Roman"/>
        </w:rPr>
        <w:t xml:space="preserve"> conditions</w:t>
      </w:r>
      <w:r w:rsidR="002B4BD0">
        <w:rPr>
          <w:rFonts w:eastAsia="Times New Roman"/>
        </w:rPr>
        <w:t xml:space="preserve"> where a large</w:t>
      </w:r>
      <w:r w:rsidR="00D63B3A">
        <w:rPr>
          <w:rFonts w:eastAsia="Times New Roman"/>
        </w:rPr>
        <w:t>r</w:t>
      </w:r>
      <w:r w:rsidR="002B4BD0">
        <w:rPr>
          <w:rFonts w:eastAsia="Times New Roman"/>
        </w:rPr>
        <w:t xml:space="preserve"> proportion of $5 prepay did not </w:t>
      </w:r>
      <w:r w:rsidR="00B452EB">
        <w:rPr>
          <w:rFonts w:eastAsia="Times New Roman"/>
        </w:rPr>
        <w:t xml:space="preserve">successfully reach the participant. </w:t>
      </w:r>
      <w:r w:rsidR="002B4BD0">
        <w:rPr>
          <w:rFonts w:eastAsia="Times New Roman"/>
        </w:rPr>
        <w:t xml:space="preserve">The NextGen </w:t>
      </w:r>
      <w:r w:rsidR="0002183D">
        <w:rPr>
          <w:rFonts w:eastAsia="Times New Roman"/>
        </w:rPr>
        <w:t xml:space="preserve">survey communication protocols do not refer to the $5 prepay </w:t>
      </w:r>
      <w:r w:rsidR="00822187">
        <w:rPr>
          <w:rFonts w:eastAsia="Times New Roman"/>
        </w:rPr>
        <w:t>token</w:t>
      </w:r>
      <w:r w:rsidR="0002183D">
        <w:rPr>
          <w:rFonts w:eastAsia="Times New Roman"/>
        </w:rPr>
        <w:t xml:space="preserve"> after the initial letter</w:t>
      </w:r>
      <w:r w:rsidR="00B452EB">
        <w:rPr>
          <w:rFonts w:eastAsia="Times New Roman"/>
        </w:rPr>
        <w:t xml:space="preserve">. </w:t>
      </w:r>
      <w:r w:rsidRPr="04CF2CE3" w:rsidR="1BE4A8E7">
        <w:rPr>
          <w:rFonts w:eastAsia="Times New Roman"/>
        </w:rPr>
        <w:t>So,</w:t>
      </w:r>
      <w:r w:rsidR="00B452EB">
        <w:rPr>
          <w:rFonts w:eastAsia="Times New Roman"/>
        </w:rPr>
        <w:t xml:space="preserve"> if the advance letter does not reach the participant, any $5 prepay participants </w:t>
      </w:r>
      <w:r w:rsidR="00824231">
        <w:rPr>
          <w:rFonts w:eastAsia="Times New Roman"/>
        </w:rPr>
        <w:t xml:space="preserve">do not know they were supposed to get one and only hear communications about a </w:t>
      </w:r>
      <w:r w:rsidR="0002183D">
        <w:rPr>
          <w:rFonts w:eastAsia="Times New Roman"/>
        </w:rPr>
        <w:t xml:space="preserve">$50 </w:t>
      </w:r>
      <w:r w:rsidRPr="04CF2CE3" w:rsidR="648473B4">
        <w:rPr>
          <w:rFonts w:eastAsia="Times New Roman"/>
        </w:rPr>
        <w:t>post-pay</w:t>
      </w:r>
      <w:r w:rsidR="0002183D">
        <w:rPr>
          <w:rFonts w:eastAsia="Times New Roman"/>
        </w:rPr>
        <w:t xml:space="preserve"> token.</w:t>
      </w:r>
      <w:r w:rsidR="00824231">
        <w:rPr>
          <w:rFonts w:eastAsia="Times New Roman"/>
        </w:rPr>
        <w:t xml:space="preserve"> </w:t>
      </w:r>
    </w:p>
    <w:p w:rsidR="00B27FDD" w:rsidP="00E73412" w14:paraId="3FFC2074" w14:textId="0E0CBF93">
      <w:pPr>
        <w:pStyle w:val="Paragraph"/>
        <w:rPr>
          <w:rFonts w:eastAsia="Times New Roman"/>
        </w:rPr>
      </w:pPr>
      <w:r>
        <w:rPr>
          <w:rFonts w:eastAsia="Times New Roman"/>
        </w:rPr>
        <w:t xml:space="preserve">In </w:t>
      </w:r>
      <w:r w:rsidR="00004BC4">
        <w:rPr>
          <w:rFonts w:eastAsia="Times New Roman"/>
        </w:rPr>
        <w:t>hindsight</w:t>
      </w:r>
      <w:r>
        <w:rPr>
          <w:rFonts w:eastAsia="Times New Roman"/>
        </w:rPr>
        <w:t xml:space="preserve">, our design </w:t>
      </w:r>
      <w:r w:rsidR="000144ED">
        <w:rPr>
          <w:rFonts w:eastAsia="Times New Roman"/>
        </w:rPr>
        <w:t xml:space="preserve">for the experiment </w:t>
      </w:r>
      <w:r>
        <w:rPr>
          <w:rFonts w:eastAsia="Times New Roman"/>
        </w:rPr>
        <w:t>may not have been ideal</w:t>
      </w:r>
      <w:r w:rsidR="00680119">
        <w:rPr>
          <w:rFonts w:eastAsia="Times New Roman"/>
        </w:rPr>
        <w:t xml:space="preserve"> based on our choice of envelopes</w:t>
      </w:r>
      <w:r w:rsidR="000144ED">
        <w:rPr>
          <w:rFonts w:eastAsia="Times New Roman"/>
        </w:rPr>
        <w:t xml:space="preserve">. </w:t>
      </w:r>
      <w:r w:rsidR="00004BC4">
        <w:rPr>
          <w:rFonts w:eastAsia="Times New Roman"/>
        </w:rPr>
        <w:t xml:space="preserve">More recent literature suggests that pre-pay efforts work best with </w:t>
      </w:r>
      <w:r w:rsidR="00DC2BF6">
        <w:rPr>
          <w:rFonts w:eastAsia="Times New Roman"/>
        </w:rPr>
        <w:t xml:space="preserve">visible cash prepay </w:t>
      </w:r>
      <w:r w:rsidR="00261EEF">
        <w:rPr>
          <w:rFonts w:eastAsia="Times New Roman"/>
        </w:rPr>
        <w:t>tokens</w:t>
      </w:r>
      <w:r w:rsidR="00E54C3E">
        <w:rPr>
          <w:rFonts w:eastAsia="Times New Roman"/>
        </w:rPr>
        <w:t xml:space="preserve"> (DeBell</w:t>
      </w:r>
      <w:r w:rsidR="00AA7A39">
        <w:rPr>
          <w:rFonts w:eastAsia="Times New Roman"/>
        </w:rPr>
        <w:t xml:space="preserve"> 2023)</w:t>
      </w:r>
      <w:r w:rsidR="00DC2BF6">
        <w:rPr>
          <w:rFonts w:eastAsia="Times New Roman"/>
        </w:rPr>
        <w:t>. This involves using an envelope with a window</w:t>
      </w:r>
      <w:r w:rsidR="0011229B">
        <w:rPr>
          <w:rFonts w:eastAsia="Times New Roman"/>
        </w:rPr>
        <w:t xml:space="preserve"> that allows the sample member to see the </w:t>
      </w:r>
      <w:r w:rsidR="00261EEF">
        <w:rPr>
          <w:rFonts w:eastAsia="Times New Roman"/>
        </w:rPr>
        <w:t>token of appreciation</w:t>
      </w:r>
      <w:r w:rsidR="0011229B">
        <w:rPr>
          <w:rFonts w:eastAsia="Times New Roman"/>
        </w:rPr>
        <w:t xml:space="preserve">, which </w:t>
      </w:r>
      <w:r w:rsidR="009424C7">
        <w:rPr>
          <w:rFonts w:eastAsia="Times New Roman"/>
        </w:rPr>
        <w:t>makes it more likely they will open the envelope. We considered this when we were discussing the initial design, b</w:t>
      </w:r>
      <w:r w:rsidR="00AC2503">
        <w:rPr>
          <w:rFonts w:eastAsia="Times New Roman"/>
        </w:rPr>
        <w:t>ut since these were low-income</w:t>
      </w:r>
      <w:r w:rsidR="001F7EB3">
        <w:rPr>
          <w:rFonts w:eastAsia="Times New Roman"/>
        </w:rPr>
        <w:t xml:space="preserve"> populations, we worried that the </w:t>
      </w:r>
      <w:r w:rsidR="00261EEF">
        <w:rPr>
          <w:rFonts w:eastAsia="Times New Roman"/>
        </w:rPr>
        <w:t>money</w:t>
      </w:r>
      <w:r w:rsidR="001F7EB3">
        <w:rPr>
          <w:rFonts w:eastAsia="Times New Roman"/>
        </w:rPr>
        <w:t xml:space="preserve"> would be removed by others before ever reaching the sample member.</w:t>
      </w:r>
      <w:r w:rsidR="0002183D">
        <w:rPr>
          <w:rFonts w:eastAsia="Times New Roman"/>
        </w:rPr>
        <w:t xml:space="preserve"> </w:t>
      </w:r>
      <w:r w:rsidR="00001AB3">
        <w:rPr>
          <w:rFonts w:eastAsia="Times New Roman"/>
        </w:rPr>
        <w:t>By choosing standard envelopes that did not include any indicator</w:t>
      </w:r>
      <w:r w:rsidR="00DA0AB5">
        <w:rPr>
          <w:rFonts w:eastAsia="Times New Roman"/>
        </w:rPr>
        <w:t xml:space="preserve"> that there was money inside, we may have removed </w:t>
      </w:r>
      <w:r w:rsidR="002059A3">
        <w:rPr>
          <w:rFonts w:eastAsia="Times New Roman"/>
        </w:rPr>
        <w:t>an</w:t>
      </w:r>
      <w:r w:rsidR="00DA0AB5">
        <w:rPr>
          <w:rFonts w:eastAsia="Times New Roman"/>
        </w:rPr>
        <w:t xml:space="preserve"> </w:t>
      </w:r>
      <w:r w:rsidR="002059A3">
        <w:rPr>
          <w:rFonts w:eastAsia="Times New Roman"/>
        </w:rPr>
        <w:t>enticement</w:t>
      </w:r>
      <w:r w:rsidR="00DA0AB5">
        <w:rPr>
          <w:rFonts w:eastAsia="Times New Roman"/>
        </w:rPr>
        <w:t xml:space="preserve"> to open the letter</w:t>
      </w:r>
      <w:r w:rsidR="00395F96">
        <w:rPr>
          <w:rFonts w:eastAsia="Times New Roman"/>
        </w:rPr>
        <w:t xml:space="preserve">. In future experiments, it </w:t>
      </w:r>
      <w:r w:rsidR="00D36D2B">
        <w:rPr>
          <w:rFonts w:eastAsia="Times New Roman"/>
        </w:rPr>
        <w:t>would</w:t>
      </w:r>
      <w:r>
        <w:rPr>
          <w:rFonts w:eastAsia="Times New Roman"/>
        </w:rPr>
        <w:t xml:space="preserve"> be interesting to test this theory.</w:t>
      </w:r>
    </w:p>
    <w:p w:rsidR="00485130" w:rsidRPr="00125BB1" w:rsidP="00E73412" w14:paraId="6C2D46AF" w14:textId="748E57D4">
      <w:pPr>
        <w:pStyle w:val="Paragraph"/>
        <w:rPr>
          <w:rFonts w:eastAsia="Times New Roman"/>
        </w:rPr>
      </w:pPr>
      <w:r>
        <w:rPr>
          <w:rFonts w:eastAsia="Times New Roman"/>
        </w:rPr>
        <w:t xml:space="preserve">Another issue </w:t>
      </w:r>
      <w:r w:rsidR="00A37E62">
        <w:rPr>
          <w:rFonts w:eastAsia="Times New Roman"/>
        </w:rPr>
        <w:t>that might explain why the experiment didn’t work</w:t>
      </w:r>
      <w:r>
        <w:rPr>
          <w:rFonts w:eastAsia="Times New Roman"/>
        </w:rPr>
        <w:t xml:space="preserve"> is that prepay </w:t>
      </w:r>
      <w:r w:rsidR="00261EEF">
        <w:rPr>
          <w:rFonts w:eastAsia="Times New Roman"/>
        </w:rPr>
        <w:t xml:space="preserve">tokens </w:t>
      </w:r>
      <w:r>
        <w:rPr>
          <w:rFonts w:eastAsia="Times New Roman"/>
        </w:rPr>
        <w:t xml:space="preserve">work best with </w:t>
      </w:r>
      <w:r w:rsidR="00267EE6">
        <w:rPr>
          <w:rFonts w:eastAsia="Times New Roman"/>
        </w:rPr>
        <w:t>populations that are new to an evaluation</w:t>
      </w:r>
      <w:r w:rsidR="00AA7A39">
        <w:rPr>
          <w:rFonts w:eastAsia="Times New Roman"/>
        </w:rPr>
        <w:t xml:space="preserve"> (Singer and Ye 2013)</w:t>
      </w:r>
      <w:r w:rsidR="00267EE6">
        <w:rPr>
          <w:rFonts w:eastAsia="Times New Roman"/>
        </w:rPr>
        <w:t xml:space="preserve">. </w:t>
      </w:r>
      <w:r w:rsidR="00F568F3">
        <w:rPr>
          <w:rFonts w:eastAsia="Times New Roman"/>
        </w:rPr>
        <w:t xml:space="preserve">They are a good tool for recruiting efforts because they legitimize the </w:t>
      </w:r>
      <w:r w:rsidR="00FE2C91">
        <w:rPr>
          <w:rFonts w:eastAsia="Times New Roman"/>
        </w:rPr>
        <w:t xml:space="preserve">study by offering money upfront and </w:t>
      </w:r>
      <w:r w:rsidR="00D0497E">
        <w:rPr>
          <w:rFonts w:eastAsia="Times New Roman"/>
        </w:rPr>
        <w:t>suggest</w:t>
      </w:r>
      <w:r w:rsidR="009150AD">
        <w:rPr>
          <w:rFonts w:eastAsia="Times New Roman"/>
        </w:rPr>
        <w:t xml:space="preserve"> to</w:t>
      </w:r>
      <w:r w:rsidR="00FE2C91">
        <w:rPr>
          <w:rFonts w:eastAsia="Times New Roman"/>
        </w:rPr>
        <w:t xml:space="preserve"> people that it’s not a scam</w:t>
      </w:r>
      <w:r w:rsidR="009150AD">
        <w:rPr>
          <w:rFonts w:eastAsia="Times New Roman"/>
        </w:rPr>
        <w:t xml:space="preserve"> and they will receive the full </w:t>
      </w:r>
      <w:r w:rsidR="00261EEF">
        <w:rPr>
          <w:rFonts w:eastAsia="Times New Roman"/>
        </w:rPr>
        <w:t>token of appreciation</w:t>
      </w:r>
      <w:r w:rsidR="00FE2C91">
        <w:rPr>
          <w:rFonts w:eastAsia="Times New Roman"/>
        </w:rPr>
        <w:t>.</w:t>
      </w:r>
      <w:r w:rsidR="009150AD">
        <w:rPr>
          <w:rFonts w:eastAsia="Times New Roman"/>
        </w:rPr>
        <w:t xml:space="preserve"> </w:t>
      </w:r>
      <w:r w:rsidR="00BF5CD2">
        <w:rPr>
          <w:rFonts w:eastAsia="Times New Roman"/>
        </w:rPr>
        <w:t>Since our sample had already been recruit</w:t>
      </w:r>
      <w:r w:rsidR="009944E2">
        <w:rPr>
          <w:rFonts w:eastAsia="Times New Roman"/>
        </w:rPr>
        <w:t>ed</w:t>
      </w:r>
      <w:r w:rsidR="00BF5CD2">
        <w:rPr>
          <w:rFonts w:eastAsia="Times New Roman"/>
        </w:rPr>
        <w:t xml:space="preserve">, we </w:t>
      </w:r>
      <w:r w:rsidR="00980F0D">
        <w:rPr>
          <w:rFonts w:eastAsia="Times New Roman"/>
        </w:rPr>
        <w:t>likely</w:t>
      </w:r>
      <w:r w:rsidR="00FF545D">
        <w:rPr>
          <w:rFonts w:eastAsia="Times New Roman"/>
        </w:rPr>
        <w:t xml:space="preserve"> did not receive the same benefit from reassuring our legitimacy</w:t>
      </w:r>
      <w:r w:rsidR="001F23BA">
        <w:rPr>
          <w:rFonts w:eastAsia="Times New Roman"/>
        </w:rPr>
        <w:t xml:space="preserve"> that most recruiting methods did</w:t>
      </w:r>
      <w:r w:rsidR="00FF545D">
        <w:rPr>
          <w:rFonts w:eastAsia="Times New Roman"/>
        </w:rPr>
        <w:t>.</w:t>
      </w:r>
      <w:r w:rsidR="00AF03D3">
        <w:rPr>
          <w:rFonts w:eastAsia="Times New Roman"/>
        </w:rPr>
        <w:t xml:space="preserve"> </w:t>
      </w:r>
      <w:r w:rsidR="009B2BF9">
        <w:rPr>
          <w:rFonts w:eastAsia="Times New Roman"/>
        </w:rPr>
        <w:t>It is possible</w:t>
      </w:r>
      <w:r w:rsidR="00AF03D3">
        <w:rPr>
          <w:rFonts w:eastAsia="Times New Roman"/>
        </w:rPr>
        <w:t xml:space="preserve"> that the results of prepay</w:t>
      </w:r>
      <w:r w:rsidR="00E307F8">
        <w:rPr>
          <w:rFonts w:eastAsia="Times New Roman"/>
        </w:rPr>
        <w:t xml:space="preserve"> </w:t>
      </w:r>
      <w:r w:rsidR="00261EEF">
        <w:rPr>
          <w:rFonts w:eastAsia="Times New Roman"/>
        </w:rPr>
        <w:t>tokens of appreciation</w:t>
      </w:r>
      <w:r w:rsidR="00AF03D3">
        <w:rPr>
          <w:rFonts w:eastAsia="Times New Roman"/>
        </w:rPr>
        <w:t xml:space="preserve"> in longitudinal studies may not be</w:t>
      </w:r>
      <w:r w:rsidR="007E3DC4">
        <w:rPr>
          <w:rFonts w:eastAsia="Times New Roman"/>
        </w:rPr>
        <w:t xml:space="preserve"> as positive as they are for recruiting.</w:t>
      </w:r>
      <w:r w:rsidR="002B4BD0">
        <w:rPr>
          <w:rFonts w:eastAsia="Times New Roman"/>
        </w:rPr>
        <w:t xml:space="preserve">  </w:t>
      </w:r>
      <w:r w:rsidRPr="00B7007C" w:rsidR="00B7007C">
        <w:rPr>
          <w:rFonts w:eastAsia="Times New Roman"/>
        </w:rPr>
        <w:t xml:space="preserve"> </w:t>
      </w:r>
    </w:p>
    <w:p w:rsidR="00125BB1" w:rsidRPr="00125BB1" w:rsidP="00261EEF" w14:paraId="57710771" w14:textId="498271D4">
      <w:pPr>
        <w:pStyle w:val="H2"/>
        <w:numPr>
          <w:ilvl w:val="0"/>
          <w:numId w:val="29"/>
        </w:numPr>
        <w:spacing w:before="0" w:after="160"/>
        <w:ind w:left="360"/>
        <w:rPr>
          <w:rFonts w:eastAsia="Times New Roman"/>
        </w:rPr>
      </w:pPr>
      <w:r>
        <w:rPr>
          <w:rFonts w:eastAsia="Times New Roman"/>
        </w:rPr>
        <w:t>Next steps</w:t>
      </w:r>
    </w:p>
    <w:p w:rsidR="00540C05" w:rsidP="00DB099D" w14:paraId="72E6D136" w14:textId="5B2DF5EF">
      <w:pPr>
        <w:pStyle w:val="Paragraph"/>
      </w:pPr>
      <w:r>
        <w:t xml:space="preserve">The first follow-up survey is nearing the end of </w:t>
      </w:r>
      <w:r w:rsidR="002C4DFD">
        <w:t xml:space="preserve">its </w:t>
      </w:r>
      <w:r>
        <w:t>fielding period</w:t>
      </w:r>
      <w:r w:rsidR="001D47FB">
        <w:t xml:space="preserve">. The </w:t>
      </w:r>
      <w:r w:rsidR="00824231">
        <w:t xml:space="preserve">final </w:t>
      </w:r>
      <w:r w:rsidR="001D47FB">
        <w:t xml:space="preserve">cohort </w:t>
      </w:r>
      <w:r w:rsidR="004C31CC">
        <w:t xml:space="preserve">launched </w:t>
      </w:r>
      <w:r w:rsidR="001D47FB">
        <w:t xml:space="preserve">in March 2025 and </w:t>
      </w:r>
      <w:r w:rsidR="002C4DFD">
        <w:t>Mathematica w</w:t>
      </w:r>
      <w:r w:rsidR="001D47FB">
        <w:t>ill likely continue the data collection until mid-2025.</w:t>
      </w:r>
      <w:r w:rsidR="000602F8">
        <w:t xml:space="preserve"> </w:t>
      </w:r>
      <w:r w:rsidR="00685FE9">
        <w:t>Given that the prepay token does not show an impact on the response rate</w:t>
      </w:r>
      <w:r w:rsidR="0061748C">
        <w:t xml:space="preserve"> overall</w:t>
      </w:r>
      <w:r w:rsidR="00685FE9">
        <w:t xml:space="preserve"> and negatively impacts the response rate for one NextGen program, we</w:t>
      </w:r>
      <w:r w:rsidR="00DB099D">
        <w:t xml:space="preserve"> </w:t>
      </w:r>
      <w:r w:rsidR="00685FE9">
        <w:t>end</w:t>
      </w:r>
      <w:r w:rsidR="004C31CC">
        <w:t>ed</w:t>
      </w:r>
      <w:r w:rsidR="00685FE9">
        <w:t xml:space="preserve"> the experiment. </w:t>
      </w:r>
      <w:r w:rsidR="00101FD6">
        <w:t>W</w:t>
      </w:r>
      <w:r w:rsidR="00B42DA5">
        <w:t>e</w:t>
      </w:r>
      <w:r w:rsidR="00510FAD">
        <w:t xml:space="preserve"> will not implement </w:t>
      </w:r>
      <w:r w:rsidR="00B42DA5">
        <w:t>any changes for the second follow-up survey since the pre</w:t>
      </w:r>
      <w:r w:rsidR="4B709B1B">
        <w:t>-</w:t>
      </w:r>
      <w:r w:rsidR="00B42DA5">
        <w:t xml:space="preserve">pay token did not </w:t>
      </w:r>
      <w:r w:rsidR="00161153">
        <w:t xml:space="preserve">prove successful. </w:t>
      </w:r>
      <w:r w:rsidR="009B2BF9">
        <w:t>For the second follow-up survey, w</w:t>
      </w:r>
      <w:r w:rsidR="00161153">
        <w:t>e will provide no pre</w:t>
      </w:r>
      <w:r w:rsidR="5D2D5BCB">
        <w:t>-</w:t>
      </w:r>
      <w:r w:rsidR="00161153">
        <w:t>pay tokens and $50 electronic gift cards following survey completion</w:t>
      </w:r>
      <w:r w:rsidR="00ED373B">
        <w:t xml:space="preserve"> to all study participants</w:t>
      </w:r>
      <w:r w:rsidR="00161153">
        <w:t>.</w:t>
      </w:r>
      <w:r w:rsidR="0061748C">
        <w:t xml:space="preserve"> </w:t>
      </w:r>
    </w:p>
    <w:p w:rsidR="005D36EF" w:rsidP="00971F03" w14:paraId="73F75D07" w14:textId="51E2C0DB">
      <w:pPr>
        <w:pStyle w:val="H2"/>
      </w:pPr>
      <w:r>
        <w:t>References</w:t>
      </w:r>
    </w:p>
    <w:p w:rsidR="000B3116" w:rsidRPr="00E73412" w:rsidP="000B3116" w14:paraId="4B9578FB" w14:textId="77777777">
      <w:pPr>
        <w:pStyle w:val="Reference"/>
        <w:rPr>
          <w:rFonts w:ascii="Times New Roman" w:hAnsi="Times New Roman" w:cs="Times New Roman"/>
        </w:rPr>
      </w:pPr>
      <w:r w:rsidRPr="00E73412">
        <w:rPr>
          <w:rFonts w:ascii="Times New Roman" w:hAnsi="Times New Roman" w:cs="Times New Roman"/>
        </w:rPr>
        <w:t>Cantor, David, Barbara O’Hare, and Kathleen O’Connor. 2008. The use of monetary incentives to reduce non-response in random digit dial telephone surveys. In Advances in telephone survey methodology, eds. James M. Lepkowski, Clyde Tucker, J. Michael Brick, Edith de Leeuw, Lilli Japec, Paul J. Lavrakas, Michael W. Link, and Roberta L. Sangster, 471–98. New York, NY: Wiley.</w:t>
      </w:r>
    </w:p>
    <w:p w:rsidR="000B3116" w:rsidRPr="00E73412" w:rsidP="000B3116" w14:paraId="404F0488" w14:textId="15A8E899">
      <w:pPr>
        <w:pStyle w:val="Reference"/>
        <w:rPr>
          <w:rFonts w:ascii="Times New Roman" w:hAnsi="Times New Roman" w:cs="Times New Roman"/>
        </w:rPr>
      </w:pPr>
      <w:r w:rsidRPr="00E73412">
        <w:rPr>
          <w:rFonts w:ascii="Times New Roman" w:hAnsi="Times New Roman" w:cs="Times New Roman"/>
        </w:rPr>
        <w:t>Cialdini, R. B. (2007). Influence: the psychology of persuasion. Rev. ed.; 1st Collins business essentials ed. New York: Collins.</w:t>
      </w:r>
    </w:p>
    <w:p w:rsidR="007535A2" w:rsidP="000B3116" w14:paraId="7329BF88" w14:textId="5F021230">
      <w:pPr>
        <w:pStyle w:val="Reference"/>
        <w:rPr>
          <w:rFonts w:ascii="Times New Roman" w:hAnsi="Times New Roman" w:cs="Times New Roman"/>
        </w:rPr>
      </w:pPr>
      <w:r w:rsidRPr="007535A2">
        <w:rPr>
          <w:rFonts w:ascii="Times New Roman" w:hAnsi="Times New Roman" w:cs="Times New Roman"/>
        </w:rPr>
        <w:t>DeBell, Matthew. "The Visible Cash Effect with Prepaid Incentives: Evidence for Data Quality, Response Rates, Generalizability, and Cost." Journal of Survey Statistics and Methodology 11.5 (2023): 991-1010.</w:t>
      </w:r>
    </w:p>
    <w:p w:rsidR="000B3116" w:rsidRPr="00E73412" w:rsidP="000B3116" w14:paraId="326DBCF5" w14:textId="3A3A8C6B">
      <w:pPr>
        <w:pStyle w:val="Reference"/>
        <w:rPr>
          <w:rFonts w:ascii="Times New Roman" w:hAnsi="Times New Roman" w:cs="Times New Roman"/>
          <w:lang w:val=""/>
        </w:rPr>
      </w:pPr>
      <w:r w:rsidRPr="00E73412">
        <w:rPr>
          <w:rFonts w:ascii="Times New Roman" w:hAnsi="Times New Roman" w:cs="Times New Roman"/>
        </w:rPr>
        <w:t xml:space="preserve">Falk, Armin. “Gift Exchange in the Field.” </w:t>
      </w:r>
      <w:r w:rsidRPr="00E73412">
        <w:rPr>
          <w:rFonts w:ascii="Times New Roman" w:hAnsi="Times New Roman" w:cs="Times New Roman"/>
          <w:i/>
          <w:iCs/>
          <w:lang w:val=""/>
        </w:rPr>
        <w:t>Econometrica</w:t>
      </w:r>
      <w:r w:rsidRPr="00E73412">
        <w:rPr>
          <w:rFonts w:ascii="Times New Roman" w:hAnsi="Times New Roman" w:cs="Times New Roman"/>
          <w:lang w:val=""/>
        </w:rPr>
        <w:t xml:space="preserve"> 75, no. 5 (2007): 1501–11. </w:t>
      </w:r>
      <w:hyperlink r:id="rId10" w:history="1">
        <w:r w:rsidRPr="00E73412">
          <w:rPr>
            <w:rStyle w:val="Hyperlink"/>
            <w:rFonts w:ascii="Times New Roman" w:hAnsi="Times New Roman" w:cs="Times New Roman"/>
            <w:lang w:val=""/>
          </w:rPr>
          <w:t>http://www.jstor.org/stable/4502037</w:t>
        </w:r>
      </w:hyperlink>
      <w:r w:rsidRPr="00E73412">
        <w:rPr>
          <w:rFonts w:ascii="Times New Roman" w:hAnsi="Times New Roman" w:cs="Times New Roman"/>
          <w:lang w:val=""/>
        </w:rPr>
        <w:t>.</w:t>
      </w:r>
    </w:p>
    <w:p w:rsidR="000B3116" w:rsidRPr="00E73412" w:rsidP="000B3116" w14:paraId="36F6DDE5" w14:textId="77777777">
      <w:pPr>
        <w:pStyle w:val="Reference"/>
        <w:rPr>
          <w:rFonts w:ascii="Times New Roman" w:hAnsi="Times New Roman" w:cs="Times New Roman"/>
        </w:rPr>
      </w:pPr>
      <w:r w:rsidRPr="00E73412">
        <w:rPr>
          <w:rFonts w:ascii="Times New Roman" w:hAnsi="Times New Roman" w:cs="Times New Roman"/>
        </w:rPr>
        <w:t xml:space="preserve">Gneezy, Uri, and John A. List. “Putting Behavioral Economics to Work: Testing for Gift Exchange in Labor Markets Using Field Experiments.” </w:t>
      </w:r>
      <w:r w:rsidRPr="00E73412">
        <w:rPr>
          <w:rFonts w:ascii="Times New Roman" w:hAnsi="Times New Roman" w:cs="Times New Roman"/>
          <w:i/>
          <w:iCs/>
        </w:rPr>
        <w:t>Econometrica</w:t>
      </w:r>
      <w:r w:rsidRPr="00E73412">
        <w:rPr>
          <w:rFonts w:ascii="Times New Roman" w:hAnsi="Times New Roman" w:cs="Times New Roman"/>
        </w:rPr>
        <w:t xml:space="preserve"> 74, 5 (September 2006): 1365-1384.</w:t>
      </w:r>
    </w:p>
    <w:p w:rsidR="000B3116" w:rsidRPr="00E73412" w:rsidP="000B3116" w14:paraId="37AB5A55" w14:textId="77777777">
      <w:pPr>
        <w:pStyle w:val="Reference"/>
        <w:rPr>
          <w:rFonts w:ascii="Times New Roman" w:hAnsi="Times New Roman" w:cs="Times New Roman"/>
        </w:rPr>
      </w:pPr>
      <w:r w:rsidRPr="00E73412">
        <w:rPr>
          <w:rFonts w:ascii="Times New Roman" w:hAnsi="Times New Roman" w:cs="Times New Roman"/>
        </w:rPr>
        <w:t xml:space="preserve">Hock, Heinrich, Priyanka Anand, Linda Mendenko, Rebecca DiGiuseppe, and Ryan McInerney. The Effectiveness of Prepaid Incentives in a Mixed-Mode Survey. Presentation to the Annual Conference of the American Association for Public Opinion Research 2015. </w:t>
      </w:r>
    </w:p>
    <w:p w:rsidR="000B3116" w:rsidRPr="00E73412" w:rsidP="000B3116" w14:paraId="43B534F0" w14:textId="77777777">
      <w:pPr>
        <w:pStyle w:val="Reference"/>
        <w:rPr>
          <w:rFonts w:ascii="Times New Roman" w:hAnsi="Times New Roman" w:cs="Times New Roman"/>
        </w:rPr>
      </w:pPr>
      <w:r w:rsidRPr="00E73412">
        <w:rPr>
          <w:rFonts w:ascii="Times New Roman" w:hAnsi="Times New Roman" w:cs="Times New Roman"/>
        </w:rPr>
        <w:t>Jäckle, Annette, and Peter Lynn. 2008. Respondent incentives in a multi-mode panel survey: Cumulative effects on nonresponse and bias. Survey Methodology 34 (1): 105–17.</w:t>
      </w:r>
    </w:p>
    <w:p w:rsidR="000B3116" w:rsidRPr="00E73412" w:rsidP="000B3116" w14:paraId="76854A34" w14:textId="77777777">
      <w:pPr>
        <w:pStyle w:val="Reference"/>
        <w:rPr>
          <w:rFonts w:ascii="Times New Roman" w:hAnsi="Times New Roman" w:cs="Times New Roman"/>
        </w:rPr>
      </w:pPr>
      <w:r w:rsidRPr="00E73412">
        <w:rPr>
          <w:rFonts w:ascii="Times New Roman" w:hAnsi="Times New Roman" w:cs="Times New Roman"/>
        </w:rPr>
        <w:t xml:space="preserve">Mercer, Andrew; A. Caporaso; D. Cantor; and R. Townsend. 2015. How Much Gets You How Much? Monetary Incentives and Response Rates in Household Surveys. </w:t>
      </w:r>
      <w:r w:rsidRPr="00E73412">
        <w:rPr>
          <w:rFonts w:ascii="Times New Roman" w:hAnsi="Times New Roman" w:cs="Times New Roman"/>
          <w:i/>
          <w:iCs/>
        </w:rPr>
        <w:t>Public Opinion Quarterly</w:t>
      </w:r>
      <w:r w:rsidRPr="00E73412">
        <w:rPr>
          <w:rFonts w:ascii="Times New Roman" w:hAnsi="Times New Roman" w:cs="Times New Roman"/>
        </w:rPr>
        <w:t xml:space="preserve">, Vol. 79, No. 1, Spring 2015, pp. 105-129. </w:t>
      </w:r>
    </w:p>
    <w:p w:rsidR="000B3116" w:rsidRPr="00E73412" w:rsidP="000B3116" w14:paraId="727CB1A9" w14:textId="77777777">
      <w:pPr>
        <w:pStyle w:val="Reference"/>
        <w:rPr>
          <w:rFonts w:ascii="Times New Roman" w:hAnsi="Times New Roman" w:cs="Times New Roman"/>
        </w:rPr>
      </w:pPr>
      <w:r w:rsidRPr="00E73412">
        <w:rPr>
          <w:rFonts w:ascii="Times New Roman" w:hAnsi="Times New Roman" w:cs="Times New Roman"/>
        </w:rPr>
        <w:t xml:space="preserve">Singer, Eleanor, and Cong Ye. 2013. “The Use and Effects of Incentives in Surveys.” ANNALS of the American Academy of Political and Social Science 645:112–41. </w:t>
      </w:r>
    </w:p>
    <w:p w:rsidR="000B3116" w:rsidRPr="00E73412" w:rsidP="000B3116" w14:paraId="34B89B81" w14:textId="77777777">
      <w:pPr>
        <w:pStyle w:val="Reference"/>
        <w:rPr>
          <w:rFonts w:ascii="Times New Roman" w:hAnsi="Times New Roman" w:cs="Times New Roman"/>
        </w:rPr>
      </w:pPr>
      <w:r w:rsidRPr="00E73412">
        <w:rPr>
          <w:rFonts w:ascii="Times New Roman" w:hAnsi="Times New Roman" w:cs="Times New Roman"/>
        </w:rPr>
        <w:t xml:space="preserve">Singer, Eleanor, Nancy Gebler, Trivellore Raghunathan, John Van Hoewyk, and Katherine McGonagle. 1999. The effect of incentives in interviewer-mediated surveys. </w:t>
      </w:r>
      <w:r w:rsidRPr="00E73412">
        <w:rPr>
          <w:rFonts w:ascii="Times New Roman" w:hAnsi="Times New Roman" w:cs="Times New Roman"/>
          <w:i/>
          <w:iCs/>
        </w:rPr>
        <w:t>Journal of Official Statistics</w:t>
      </w:r>
      <w:r w:rsidRPr="00E73412">
        <w:rPr>
          <w:rFonts w:ascii="Times New Roman" w:hAnsi="Times New Roman" w:cs="Times New Roman"/>
        </w:rPr>
        <w:t xml:space="preserve"> 15 (2): 217–30.</w:t>
      </w:r>
    </w:p>
    <w:p w:rsidR="00FB4DAE" w:rsidRPr="00E73412" w:rsidP="000B3116" w14:paraId="0540FC5C" w14:textId="1345E8CA">
      <w:pPr>
        <w:pStyle w:val="Reference"/>
        <w:rPr>
          <w:rFonts w:ascii="Times New Roman" w:hAnsi="Times New Roman" w:cs="Times New Roman"/>
        </w:rPr>
      </w:pPr>
      <w:r w:rsidRPr="00E73412">
        <w:rPr>
          <w:rFonts w:ascii="Times New Roman" w:hAnsi="Times New Roman" w:cs="Times New Roman"/>
        </w:rPr>
        <w:t xml:space="preserve">What Works Clearinghouse. “Standards Handbook, Version 5.” 2022. Available at </w:t>
      </w:r>
      <w:hyperlink r:id="rId11" w:history="1">
        <w:r w:rsidRPr="00E73412" w:rsidR="00EC26A8">
          <w:rPr>
            <w:rStyle w:val="Hyperlink"/>
            <w:rFonts w:ascii="Times New Roman" w:hAnsi="Times New Roman" w:cs="Times New Roman"/>
          </w:rPr>
          <w:t>https://ies.ed.gov/ncee/WWC/Docs/referenceresources/Final_WWC-HandbookVer5_0-0-508.pdf</w:t>
        </w:r>
      </w:hyperlink>
      <w:r w:rsidRPr="00E73412">
        <w:rPr>
          <w:rFonts w:ascii="Times New Roman" w:hAnsi="Times New Roman" w:cs="Times New Roman"/>
        </w:rPr>
        <w:t>.</w:t>
      </w:r>
    </w:p>
    <w:p w:rsidR="0066697D" w:rsidRPr="00E73412" w:rsidP="005D36EF" w14:paraId="7340D055" w14:textId="77777777">
      <w:pPr>
        <w:pStyle w:val="Paragraph"/>
      </w:pPr>
    </w:p>
    <w:sectPr w:rsidSect="005D36EF">
      <w:headerReference w:type="even" r:id="rId12"/>
      <w:headerReference w:type="default" r:id="rId13"/>
      <w:headerReference w:type="first" r:id="rId14"/>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0107" w:rsidRPr="00CC6F21" w:rsidP="003842A6" w14:paraId="252E67C0" w14:textId="77777777">
      <w:pPr>
        <w:pStyle w:val="FootnoteSep"/>
      </w:pPr>
      <w:r>
        <w:separator/>
      </w:r>
    </w:p>
  </w:footnote>
  <w:footnote w:type="continuationSeparator" w:id="1">
    <w:p w:rsidR="00700107" w:rsidRPr="00CC6F21" w:rsidP="003842A6" w14:paraId="6E5139D6" w14:textId="77777777">
      <w:pPr>
        <w:pStyle w:val="FootnoteSep"/>
      </w:pPr>
      <w:r>
        <w:continuationSeparator/>
      </w:r>
    </w:p>
  </w:footnote>
  <w:footnote w:type="continuationNotice" w:id="2">
    <w:p w:rsidR="00700107" w:rsidP="003842A6" w14:paraId="436BEA8E" w14:textId="77777777">
      <w:pPr>
        <w:pStyle w:val="NoSpacing"/>
      </w:pPr>
    </w:p>
  </w:footnote>
  <w:footnote w:id="3">
    <w:p w:rsidR="00D85C73" w14:paraId="6215F3FB" w14:textId="7C0BA4E5">
      <w:pPr>
        <w:pStyle w:val="FootnoteText"/>
      </w:pPr>
      <w:r>
        <w:rPr>
          <w:rStyle w:val="FootnoteReference"/>
        </w:rPr>
        <w:footnoteRef/>
      </w:r>
      <w:r>
        <w:t xml:space="preserve"> </w:t>
      </w:r>
      <w:r w:rsidRPr="00875674">
        <w:rPr>
          <w:rFonts w:ascii="Times New Roman" w:eastAsia="Times New Roman" w:hAnsi="Times New Roman" w:cs="Times New Roman"/>
        </w:rPr>
        <w:t xml:space="preserve">FAST was an early NextGen site, but the program dropped from the </w:t>
      </w:r>
      <w:r w:rsidRPr="00875674" w:rsidR="00DB5809">
        <w:rPr>
          <w:rFonts w:ascii="Times New Roman" w:eastAsia="Times New Roman" w:hAnsi="Times New Roman" w:cs="Times New Roman"/>
        </w:rPr>
        <w:t>project,</w:t>
      </w:r>
      <w:r w:rsidRPr="00875674">
        <w:rPr>
          <w:rFonts w:ascii="Times New Roman" w:eastAsia="Times New Roman" w:hAnsi="Times New Roman" w:cs="Times New Roman"/>
        </w:rPr>
        <w:t xml:space="preserve"> and we ended all follow-up survey efforts. At that time, </w:t>
      </w:r>
      <w:r>
        <w:rPr>
          <w:rFonts w:ascii="Times New Roman" w:eastAsia="Times New Roman" w:hAnsi="Times New Roman" w:cs="Times New Roman"/>
        </w:rPr>
        <w:t xml:space="preserve">we </w:t>
      </w:r>
      <w:r w:rsidR="006424B9">
        <w:rPr>
          <w:rFonts w:ascii="Times New Roman" w:eastAsia="Times New Roman" w:hAnsi="Times New Roman" w:cs="Times New Roman"/>
        </w:rPr>
        <w:t xml:space="preserve">had </w:t>
      </w:r>
      <w:r>
        <w:rPr>
          <w:rFonts w:ascii="Times New Roman" w:eastAsia="Times New Roman" w:hAnsi="Times New Roman" w:cs="Times New Roman"/>
        </w:rPr>
        <w:t xml:space="preserve">only randomized </w:t>
      </w:r>
      <w:r w:rsidRPr="00875674">
        <w:rPr>
          <w:rFonts w:ascii="Times New Roman" w:eastAsia="Times New Roman" w:hAnsi="Times New Roman" w:cs="Times New Roman"/>
        </w:rPr>
        <w:t>15 cases into the experiment</w:t>
      </w:r>
      <w:r>
        <w:rPr>
          <w:rFonts w:ascii="Times New Roman" w:eastAsia="Times New Roman" w:hAnsi="Times New Roman" w:cs="Times New Roman"/>
        </w:rPr>
        <w:t xml:space="preserve"> and sent invitations </w:t>
      </w:r>
      <w:r w:rsidRPr="00875674">
        <w:rPr>
          <w:rFonts w:ascii="Times New Roman" w:eastAsia="Times New Roman" w:hAnsi="Times New Roman" w:cs="Times New Roman"/>
        </w:rPr>
        <w:t xml:space="preserve">to take the survey. Since </w:t>
      </w:r>
      <w:r>
        <w:rPr>
          <w:rFonts w:ascii="Times New Roman" w:eastAsia="Times New Roman" w:hAnsi="Times New Roman" w:cs="Times New Roman"/>
        </w:rPr>
        <w:t xml:space="preserve">we did not complete </w:t>
      </w:r>
      <w:r w:rsidRPr="00875674">
        <w:rPr>
          <w:rFonts w:ascii="Times New Roman" w:eastAsia="Times New Roman" w:hAnsi="Times New Roman" w:cs="Times New Roman"/>
        </w:rPr>
        <w:t>the survey outreach protocol</w:t>
      </w:r>
      <w:r>
        <w:rPr>
          <w:rFonts w:ascii="Times New Roman" w:eastAsia="Times New Roman" w:hAnsi="Times New Roman" w:cs="Times New Roman"/>
        </w:rPr>
        <w:t xml:space="preserve"> for these cases</w:t>
      </w:r>
      <w:r w:rsidRPr="00875674">
        <w:rPr>
          <w:rFonts w:ascii="Times New Roman" w:eastAsia="Times New Roman" w:hAnsi="Times New Roman" w:cs="Times New Roman"/>
        </w:rPr>
        <w:t>, we excluded them.</w:t>
      </w:r>
    </w:p>
  </w:footnote>
  <w:footnote w:id="4">
    <w:p w:rsidR="00054F49" w14:paraId="63B2C0B2" w14:textId="3E7029E9">
      <w:pPr>
        <w:pStyle w:val="FootnoteText"/>
      </w:pPr>
      <w:r>
        <w:rPr>
          <w:rStyle w:val="FootnoteReference"/>
        </w:rPr>
        <w:footnoteRef/>
      </w:r>
      <w:r>
        <w:t xml:space="preserve"> Survey paradata is data collected a</w:t>
      </w:r>
      <w:r w:rsidR="004E27E3">
        <w:t xml:space="preserve">s part of the survey process itself. It includes data like minutes to complete, address history records, </w:t>
      </w:r>
      <w:r w:rsidR="00E73D28">
        <w:t xml:space="preserve">number of telephone calls to a case and similar data. </w:t>
      </w:r>
    </w:p>
  </w:footnote>
  <w:footnote w:id="5">
    <w:p w:rsidR="00AD3429" w:rsidP="00AD3429" w14:paraId="5F3BC39F" w14:textId="77777777">
      <w:pPr>
        <w:pStyle w:val="FootnoteText"/>
      </w:pPr>
      <w:r>
        <w:rPr>
          <w:rStyle w:val="FootnoteReference"/>
        </w:rPr>
        <w:footnoteRef/>
      </w:r>
      <w:r>
        <w:t xml:space="preserve"> </w:t>
      </w:r>
      <w:r w:rsidRPr="00DA21E5">
        <w:t xml:space="preserve">The quality of this survey paradata is mixed since it is not </w:t>
      </w:r>
      <w:r>
        <w:t>always available</w:t>
      </w:r>
      <w:r w:rsidRPr="00DA21E5">
        <w:t xml:space="preserve"> and does not apply to all cases equally. As an example, if the Post Office returns mail as undeliverable, we will mark that address as bad in our survey database. However, the Post Office does not always return mail as undeliverable. In this situation, a</w:t>
      </w:r>
      <w:r>
        <w:t>n</w:t>
      </w:r>
      <w:r w:rsidRPr="00DA21E5">
        <w:t xml:space="preserve"> address would only be marked as bad if our address check software flags the address as bad, or </w:t>
      </w:r>
      <w:r>
        <w:t xml:space="preserve">a </w:t>
      </w:r>
      <w:r w:rsidRPr="00DA21E5">
        <w:t>field interviewer discovers it is bad. If the participant complete</w:t>
      </w:r>
      <w:r>
        <w:t>s</w:t>
      </w:r>
      <w:r w:rsidRPr="00DA21E5">
        <w:t xml:space="preserve"> the survey before this happen</w:t>
      </w:r>
      <w:r>
        <w:t>s</w:t>
      </w:r>
      <w:r w:rsidRPr="00DA21E5">
        <w:t xml:space="preserve"> (such as completing the web survey in response to an email or text message invite), the bad address </w:t>
      </w:r>
      <w:r>
        <w:t>will</w:t>
      </w:r>
      <w:r w:rsidRPr="00DA21E5">
        <w:t xml:space="preserve"> never be discovered as part of the survey fielding.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6EF" w14:paraId="4C4F6EF1"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D36EF" w:rsidP="005D36EF" w14:paraId="1E5FF4E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6EF" w:rsidP="008D61B0" w14:paraId="26862175" w14:textId="2B422AAE">
    <w:pPr>
      <w:pStyle w:val="Header"/>
      <w:rPr>
        <w:rStyle w:val="PageNumber"/>
      </w:rPr>
    </w:pPr>
    <w:r w:rsidRPr="005D36EF">
      <w:rPr>
        <w:rStyle w:val="PageNumber"/>
        <w:b/>
      </w:rPr>
      <w:t>To</w:t>
    </w:r>
    <w:r>
      <w:rPr>
        <w:rStyle w:val="PageNumber"/>
      </w:rPr>
      <w:t>:</w:t>
    </w:r>
    <w:r>
      <w:rPr>
        <w:rStyle w:val="PageNumber"/>
      </w:rPr>
      <w:tab/>
    </w:r>
    <w:r w:rsidRPr="00D95767" w:rsidR="00D95767">
      <w:rPr>
        <w:rStyle w:val="PageNumber"/>
      </w:rPr>
      <w:t>Office of Information and Regulatory Affairs (OIRA),</w:t>
    </w:r>
    <w:r w:rsidR="00DF0A58">
      <w:rPr>
        <w:rStyle w:val="PageNumber"/>
      </w:rPr>
      <w:t xml:space="preserve"> </w:t>
    </w:r>
    <w:r w:rsidRPr="008D61B0" w:rsidR="008D61B0">
      <w:rPr>
        <w:rStyle w:val="PageNumber"/>
      </w:rPr>
      <w:t>Office of Management and Budget (OMB)</w:t>
    </w:r>
    <w:r w:rsidR="00DF0A58">
      <w:rPr>
        <w:rStyle w:val="PageNumber"/>
      </w:rPr>
      <w:t xml:space="preserve">            </w:t>
    </w:r>
  </w:p>
  <w:p w:rsidR="005D36EF" w:rsidP="00D95767" w14:paraId="02BE52D5" w14:textId="7FB8EB35">
    <w:pPr>
      <w:pStyle w:val="Header"/>
      <w:ind w:left="720" w:hanging="720"/>
      <w:rPr>
        <w:rStyle w:val="PageNumber"/>
      </w:rPr>
    </w:pPr>
    <w:r w:rsidRPr="005D36EF">
      <w:rPr>
        <w:rStyle w:val="PageNumber"/>
        <w:b/>
      </w:rPr>
      <w:t>From</w:t>
    </w:r>
    <w:r>
      <w:rPr>
        <w:rStyle w:val="PageNumber"/>
      </w:rPr>
      <w:t>:</w:t>
    </w:r>
    <w:r>
      <w:rPr>
        <w:rStyle w:val="PageNumber"/>
      </w:rPr>
      <w:tab/>
    </w:r>
    <w:bookmarkStart w:id="6" w:name="HeaderFrom"/>
    <w:bookmarkEnd w:id="6"/>
    <w:r w:rsidRPr="00D95767" w:rsidR="00D95767">
      <w:rPr>
        <w:rStyle w:val="PageNumber"/>
      </w:rPr>
      <w:t>Marie Lawrence, Administration for Children and Families (ACF), Department of Health and Human Services (HHS)</w:t>
    </w:r>
  </w:p>
  <w:p w:rsidR="005D36EF" w:rsidP="005D36EF" w14:paraId="5A7C7A3D" w14:textId="3204074A">
    <w:pPr>
      <w:pStyle w:val="Header"/>
      <w:rPr>
        <w:rStyle w:val="PageNumber"/>
      </w:rPr>
    </w:pPr>
    <w:r w:rsidRPr="005D36EF">
      <w:rPr>
        <w:rStyle w:val="PageNumber"/>
        <w:b/>
      </w:rPr>
      <w:t>Date</w:t>
    </w:r>
    <w:r>
      <w:rPr>
        <w:rStyle w:val="PageNumber"/>
      </w:rPr>
      <w:t>:</w:t>
    </w:r>
    <w:r>
      <w:rPr>
        <w:rStyle w:val="PageNumber"/>
      </w:rPr>
      <w:tab/>
    </w:r>
    <w:bookmarkStart w:id="7" w:name="HeaderDateMark"/>
    <w:bookmarkEnd w:id="7"/>
    <w:r w:rsidR="008D47FC">
      <w:rPr>
        <w:rStyle w:val="PageNumber"/>
      </w:rPr>
      <w:t>6/</w:t>
    </w:r>
    <w:r w:rsidR="00831FDD">
      <w:rPr>
        <w:rStyle w:val="PageNumber"/>
      </w:rPr>
      <w:t>9</w:t>
    </w:r>
    <w:r w:rsidR="00EE3EDA">
      <w:rPr>
        <w:rStyle w:val="PageNumber"/>
      </w:rPr>
      <w:t>/2025</w:t>
    </w:r>
  </w:p>
  <w:p w:rsidR="005D36EF" w:rsidP="005D36EF" w14:paraId="746A4D3A" w14:textId="77777777">
    <w:pPr>
      <w:pStyle w:val="Header"/>
      <w:rPr>
        <w:rStyle w:val="PageNumber"/>
      </w:rPr>
    </w:pPr>
    <w:r w:rsidRPr="005D36EF">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6EF" w:rsidP="005D36EF" w14:paraId="7DA28736" w14:textId="633C099C">
    <w:pPr>
      <w:pStyle w:val="Anchor"/>
    </w:pPr>
  </w:p>
  <w:p w:rsidR="005D36EF" w:rsidRPr="005D36EF" w:rsidP="005D36EF" w14:paraId="5F2A3088" w14:textId="77777777">
    <w:pPr>
      <w:pStyle w:val="TOCHeading"/>
      <w:rPr>
        <w:color w:val="FFFFFF"/>
      </w:rPr>
    </w:pPr>
  </w:p>
  <w:p w:rsidR="005D36EF" w:rsidRPr="005D36EF" w:rsidP="005D36EF" w14:paraId="7094AC71" w14:textId="77777777">
    <w:pPr>
      <w:pStyle w:val="Paragraph"/>
      <w:rPr>
        <w:color w:val="FFFFFF"/>
      </w:rPr>
    </w:pPr>
  </w:p>
  <w:p w:rsidR="005D36EF" w:rsidP="005D36EF" w14:paraId="12A85F7E" w14:textId="77777777">
    <w:pPr>
      <w:pStyle w:val="TOCHeading"/>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2D69B0"/>
    <w:multiLevelType w:val="hybridMultilevel"/>
    <w:tmpl w:val="C896B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797692"/>
    <w:multiLevelType w:val="hybridMultilevel"/>
    <w:tmpl w:val="44C83D62"/>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3551C39"/>
    <w:multiLevelType w:val="hybridMultilevel"/>
    <w:tmpl w:val="E5CC5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EEA652B"/>
    <w:multiLevelType w:val="hybridMultilevel"/>
    <w:tmpl w:val="F282E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1666125">
    <w:abstractNumId w:val="10"/>
  </w:num>
  <w:num w:numId="2" w16cid:durableId="689523965">
    <w:abstractNumId w:val="31"/>
  </w:num>
  <w:num w:numId="3" w16cid:durableId="174197491">
    <w:abstractNumId w:val="20"/>
  </w:num>
  <w:num w:numId="4" w16cid:durableId="497574045">
    <w:abstractNumId w:val="24"/>
  </w:num>
  <w:num w:numId="5" w16cid:durableId="1607468701">
    <w:abstractNumId w:val="9"/>
  </w:num>
  <w:num w:numId="6" w16cid:durableId="1568228709">
    <w:abstractNumId w:val="8"/>
  </w:num>
  <w:num w:numId="7" w16cid:durableId="623460983">
    <w:abstractNumId w:val="17"/>
  </w:num>
  <w:num w:numId="8" w16cid:durableId="2014529122">
    <w:abstractNumId w:val="7"/>
  </w:num>
  <w:num w:numId="9" w16cid:durableId="1085766288">
    <w:abstractNumId w:val="6"/>
  </w:num>
  <w:num w:numId="10" w16cid:durableId="1164397505">
    <w:abstractNumId w:val="5"/>
  </w:num>
  <w:num w:numId="11" w16cid:durableId="508569443">
    <w:abstractNumId w:val="4"/>
  </w:num>
  <w:num w:numId="12" w16cid:durableId="497962735">
    <w:abstractNumId w:val="3"/>
  </w:num>
  <w:num w:numId="13" w16cid:durableId="1701584508">
    <w:abstractNumId w:val="2"/>
  </w:num>
  <w:num w:numId="14" w16cid:durableId="1824006904">
    <w:abstractNumId w:val="1"/>
  </w:num>
  <w:num w:numId="15" w16cid:durableId="523130507">
    <w:abstractNumId w:val="0"/>
  </w:num>
  <w:num w:numId="16" w16cid:durableId="883175451">
    <w:abstractNumId w:val="15"/>
  </w:num>
  <w:num w:numId="17" w16cid:durableId="609510067">
    <w:abstractNumId w:val="27"/>
  </w:num>
  <w:num w:numId="18" w16cid:durableId="478618910">
    <w:abstractNumId w:val="13"/>
  </w:num>
  <w:num w:numId="19" w16cid:durableId="1109469123">
    <w:abstractNumId w:val="12"/>
  </w:num>
  <w:num w:numId="20" w16cid:durableId="209388821">
    <w:abstractNumId w:val="22"/>
  </w:num>
  <w:num w:numId="21" w16cid:durableId="2132361734">
    <w:abstractNumId w:val="26"/>
  </w:num>
  <w:num w:numId="22" w16cid:durableId="1577787698">
    <w:abstractNumId w:val="18"/>
  </w:num>
  <w:num w:numId="23" w16cid:durableId="1374621050">
    <w:abstractNumId w:val="11"/>
  </w:num>
  <w:num w:numId="24" w16cid:durableId="2088920801">
    <w:abstractNumId w:val="2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5" w16cid:durableId="1018190224">
    <w:abstractNumId w:val="28"/>
  </w:num>
  <w:num w:numId="26" w16cid:durableId="364798255">
    <w:abstractNumId w:val="21"/>
  </w:num>
  <w:num w:numId="27" w16cid:durableId="604771802">
    <w:abstractNumId w:val="23"/>
  </w:num>
  <w:num w:numId="28" w16cid:durableId="1591961082">
    <w:abstractNumId w:val="19"/>
  </w:num>
  <w:num w:numId="29" w16cid:durableId="1693871800">
    <w:abstractNumId w:val="25"/>
  </w:num>
  <w:num w:numId="30" w16cid:durableId="302734194">
    <w:abstractNumId w:val="30"/>
  </w:num>
  <w:num w:numId="31" w16cid:durableId="1718968920">
    <w:abstractNumId w:val="14"/>
  </w:num>
  <w:num w:numId="32" w16cid:durableId="1074006657">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30"/>
    <w:rsid w:val="000014B6"/>
    <w:rsid w:val="0000175F"/>
    <w:rsid w:val="00001AB3"/>
    <w:rsid w:val="00001CEE"/>
    <w:rsid w:val="00001F11"/>
    <w:rsid w:val="00003A49"/>
    <w:rsid w:val="00004128"/>
    <w:rsid w:val="00004207"/>
    <w:rsid w:val="00004440"/>
    <w:rsid w:val="00004813"/>
    <w:rsid w:val="00004AAA"/>
    <w:rsid w:val="00004BC4"/>
    <w:rsid w:val="00004DCC"/>
    <w:rsid w:val="00004F9C"/>
    <w:rsid w:val="000058AC"/>
    <w:rsid w:val="00005CF0"/>
    <w:rsid w:val="00007648"/>
    <w:rsid w:val="00007690"/>
    <w:rsid w:val="000077E6"/>
    <w:rsid w:val="00007FE1"/>
    <w:rsid w:val="00011527"/>
    <w:rsid w:val="00011704"/>
    <w:rsid w:val="00011A95"/>
    <w:rsid w:val="00011C81"/>
    <w:rsid w:val="0001315B"/>
    <w:rsid w:val="000138C0"/>
    <w:rsid w:val="000144ED"/>
    <w:rsid w:val="000150BC"/>
    <w:rsid w:val="00015394"/>
    <w:rsid w:val="00015C89"/>
    <w:rsid w:val="00016C44"/>
    <w:rsid w:val="00017967"/>
    <w:rsid w:val="00020DEB"/>
    <w:rsid w:val="0002183D"/>
    <w:rsid w:val="000219CE"/>
    <w:rsid w:val="00023F49"/>
    <w:rsid w:val="000253BA"/>
    <w:rsid w:val="000261FB"/>
    <w:rsid w:val="0003072A"/>
    <w:rsid w:val="00031289"/>
    <w:rsid w:val="000336D2"/>
    <w:rsid w:val="00033B02"/>
    <w:rsid w:val="00033BA6"/>
    <w:rsid w:val="00034595"/>
    <w:rsid w:val="00034654"/>
    <w:rsid w:val="00036CF4"/>
    <w:rsid w:val="00037779"/>
    <w:rsid w:val="00037CAD"/>
    <w:rsid w:val="00037DAE"/>
    <w:rsid w:val="0004019D"/>
    <w:rsid w:val="00041CBC"/>
    <w:rsid w:val="000423EF"/>
    <w:rsid w:val="000425AC"/>
    <w:rsid w:val="000426BB"/>
    <w:rsid w:val="00042906"/>
    <w:rsid w:val="00043344"/>
    <w:rsid w:val="00043A6E"/>
    <w:rsid w:val="00044328"/>
    <w:rsid w:val="00044491"/>
    <w:rsid w:val="00044820"/>
    <w:rsid w:val="0004484A"/>
    <w:rsid w:val="000451F6"/>
    <w:rsid w:val="0004548D"/>
    <w:rsid w:val="00045DC6"/>
    <w:rsid w:val="00046163"/>
    <w:rsid w:val="00046646"/>
    <w:rsid w:val="000472D2"/>
    <w:rsid w:val="000477EB"/>
    <w:rsid w:val="00047F94"/>
    <w:rsid w:val="000529B1"/>
    <w:rsid w:val="00052C65"/>
    <w:rsid w:val="00053204"/>
    <w:rsid w:val="000536C3"/>
    <w:rsid w:val="00053F99"/>
    <w:rsid w:val="00054B1A"/>
    <w:rsid w:val="00054F49"/>
    <w:rsid w:val="00056409"/>
    <w:rsid w:val="00056BBD"/>
    <w:rsid w:val="0005789C"/>
    <w:rsid w:val="000579C7"/>
    <w:rsid w:val="000600CC"/>
    <w:rsid w:val="000602F8"/>
    <w:rsid w:val="00060D38"/>
    <w:rsid w:val="0006394D"/>
    <w:rsid w:val="00063D35"/>
    <w:rsid w:val="00064CFB"/>
    <w:rsid w:val="000658FB"/>
    <w:rsid w:val="00065DE1"/>
    <w:rsid w:val="0006606A"/>
    <w:rsid w:val="00066EC1"/>
    <w:rsid w:val="00066FAE"/>
    <w:rsid w:val="000674D8"/>
    <w:rsid w:val="0006751B"/>
    <w:rsid w:val="0006758E"/>
    <w:rsid w:val="00067745"/>
    <w:rsid w:val="00070D5A"/>
    <w:rsid w:val="000719B9"/>
    <w:rsid w:val="000722B7"/>
    <w:rsid w:val="00072A62"/>
    <w:rsid w:val="00073386"/>
    <w:rsid w:val="000743E2"/>
    <w:rsid w:val="0007481F"/>
    <w:rsid w:val="00075052"/>
    <w:rsid w:val="00075158"/>
    <w:rsid w:val="0007524C"/>
    <w:rsid w:val="00075877"/>
    <w:rsid w:val="0007601B"/>
    <w:rsid w:val="00076138"/>
    <w:rsid w:val="00076F23"/>
    <w:rsid w:val="00077169"/>
    <w:rsid w:val="00081224"/>
    <w:rsid w:val="00081544"/>
    <w:rsid w:val="00081C49"/>
    <w:rsid w:val="00082872"/>
    <w:rsid w:val="00084082"/>
    <w:rsid w:val="000840D8"/>
    <w:rsid w:val="00084318"/>
    <w:rsid w:val="00084FEF"/>
    <w:rsid w:val="0008613A"/>
    <w:rsid w:val="00086E3E"/>
    <w:rsid w:val="00090297"/>
    <w:rsid w:val="00090334"/>
    <w:rsid w:val="000910A5"/>
    <w:rsid w:val="00091198"/>
    <w:rsid w:val="00091476"/>
    <w:rsid w:val="000915A1"/>
    <w:rsid w:val="00091C1C"/>
    <w:rsid w:val="00091C8A"/>
    <w:rsid w:val="00091F8F"/>
    <w:rsid w:val="000925DC"/>
    <w:rsid w:val="00092FB7"/>
    <w:rsid w:val="000933D6"/>
    <w:rsid w:val="00093614"/>
    <w:rsid w:val="000943F6"/>
    <w:rsid w:val="00094C49"/>
    <w:rsid w:val="00095140"/>
    <w:rsid w:val="00095620"/>
    <w:rsid w:val="00095A1E"/>
    <w:rsid w:val="00097653"/>
    <w:rsid w:val="00097BEE"/>
    <w:rsid w:val="00097CD7"/>
    <w:rsid w:val="00097E7A"/>
    <w:rsid w:val="000A28D0"/>
    <w:rsid w:val="000A39BA"/>
    <w:rsid w:val="000A3A29"/>
    <w:rsid w:val="000A413E"/>
    <w:rsid w:val="000A418C"/>
    <w:rsid w:val="000A4398"/>
    <w:rsid w:val="000A47E1"/>
    <w:rsid w:val="000A6656"/>
    <w:rsid w:val="000A76F0"/>
    <w:rsid w:val="000A7F37"/>
    <w:rsid w:val="000B0716"/>
    <w:rsid w:val="000B0F54"/>
    <w:rsid w:val="000B0FC5"/>
    <w:rsid w:val="000B1298"/>
    <w:rsid w:val="000B2065"/>
    <w:rsid w:val="000B2588"/>
    <w:rsid w:val="000B29A2"/>
    <w:rsid w:val="000B3116"/>
    <w:rsid w:val="000B3FB8"/>
    <w:rsid w:val="000B4262"/>
    <w:rsid w:val="000B4AAE"/>
    <w:rsid w:val="000B4B97"/>
    <w:rsid w:val="000B4E8A"/>
    <w:rsid w:val="000B57E8"/>
    <w:rsid w:val="000B5F26"/>
    <w:rsid w:val="000B7351"/>
    <w:rsid w:val="000B7A2E"/>
    <w:rsid w:val="000C0574"/>
    <w:rsid w:val="000C151D"/>
    <w:rsid w:val="000C1988"/>
    <w:rsid w:val="000C2957"/>
    <w:rsid w:val="000C2D1F"/>
    <w:rsid w:val="000C3628"/>
    <w:rsid w:val="000C4AB7"/>
    <w:rsid w:val="000C60A9"/>
    <w:rsid w:val="000C614D"/>
    <w:rsid w:val="000C699A"/>
    <w:rsid w:val="000C699D"/>
    <w:rsid w:val="000C6BFB"/>
    <w:rsid w:val="000C6E87"/>
    <w:rsid w:val="000D0E1A"/>
    <w:rsid w:val="000D133A"/>
    <w:rsid w:val="000D1617"/>
    <w:rsid w:val="000D1B57"/>
    <w:rsid w:val="000D1FF5"/>
    <w:rsid w:val="000D2201"/>
    <w:rsid w:val="000D29F0"/>
    <w:rsid w:val="000D39A0"/>
    <w:rsid w:val="000D3DAB"/>
    <w:rsid w:val="000D47FB"/>
    <w:rsid w:val="000D551B"/>
    <w:rsid w:val="000D5895"/>
    <w:rsid w:val="000D6570"/>
    <w:rsid w:val="000D7265"/>
    <w:rsid w:val="000E0819"/>
    <w:rsid w:val="000E1243"/>
    <w:rsid w:val="000E1444"/>
    <w:rsid w:val="000E24C8"/>
    <w:rsid w:val="000E2FBA"/>
    <w:rsid w:val="000E359E"/>
    <w:rsid w:val="000E4DB0"/>
    <w:rsid w:val="000E5373"/>
    <w:rsid w:val="000E5CE4"/>
    <w:rsid w:val="000E633F"/>
    <w:rsid w:val="000E6867"/>
    <w:rsid w:val="000E782C"/>
    <w:rsid w:val="000F0883"/>
    <w:rsid w:val="000F0DB0"/>
    <w:rsid w:val="000F0F3E"/>
    <w:rsid w:val="000F120F"/>
    <w:rsid w:val="000F125C"/>
    <w:rsid w:val="000F249C"/>
    <w:rsid w:val="000F2F45"/>
    <w:rsid w:val="000F3729"/>
    <w:rsid w:val="000F45D6"/>
    <w:rsid w:val="000F45FC"/>
    <w:rsid w:val="000F54AD"/>
    <w:rsid w:val="000F5520"/>
    <w:rsid w:val="000F5AB1"/>
    <w:rsid w:val="000F5D13"/>
    <w:rsid w:val="000F6BC9"/>
    <w:rsid w:val="000F79B8"/>
    <w:rsid w:val="00100A7A"/>
    <w:rsid w:val="0010121D"/>
    <w:rsid w:val="00101ABF"/>
    <w:rsid w:val="00101DBA"/>
    <w:rsid w:val="00101FD6"/>
    <w:rsid w:val="0010223E"/>
    <w:rsid w:val="001035CC"/>
    <w:rsid w:val="0010390A"/>
    <w:rsid w:val="00103EA0"/>
    <w:rsid w:val="00105D76"/>
    <w:rsid w:val="00106426"/>
    <w:rsid w:val="00106E64"/>
    <w:rsid w:val="001070D5"/>
    <w:rsid w:val="00110D5F"/>
    <w:rsid w:val="00110EE5"/>
    <w:rsid w:val="0011229B"/>
    <w:rsid w:val="00114550"/>
    <w:rsid w:val="001150FE"/>
    <w:rsid w:val="001153CD"/>
    <w:rsid w:val="00115541"/>
    <w:rsid w:val="00116EA6"/>
    <w:rsid w:val="00117869"/>
    <w:rsid w:val="0012038B"/>
    <w:rsid w:val="001204F5"/>
    <w:rsid w:val="00120D26"/>
    <w:rsid w:val="00121647"/>
    <w:rsid w:val="001217DE"/>
    <w:rsid w:val="00121EB9"/>
    <w:rsid w:val="00122533"/>
    <w:rsid w:val="001231CE"/>
    <w:rsid w:val="001233EA"/>
    <w:rsid w:val="00123601"/>
    <w:rsid w:val="00124FE1"/>
    <w:rsid w:val="001252D8"/>
    <w:rsid w:val="00125BB1"/>
    <w:rsid w:val="00125DDF"/>
    <w:rsid w:val="00125FA2"/>
    <w:rsid w:val="00126844"/>
    <w:rsid w:val="001276A4"/>
    <w:rsid w:val="00127793"/>
    <w:rsid w:val="001302BD"/>
    <w:rsid w:val="00130487"/>
    <w:rsid w:val="00131893"/>
    <w:rsid w:val="00131E13"/>
    <w:rsid w:val="00132040"/>
    <w:rsid w:val="00132887"/>
    <w:rsid w:val="001342BA"/>
    <w:rsid w:val="001343B6"/>
    <w:rsid w:val="00134ABF"/>
    <w:rsid w:val="001360F2"/>
    <w:rsid w:val="00136129"/>
    <w:rsid w:val="001373E3"/>
    <w:rsid w:val="00137626"/>
    <w:rsid w:val="00137793"/>
    <w:rsid w:val="00140033"/>
    <w:rsid w:val="0014130E"/>
    <w:rsid w:val="00142249"/>
    <w:rsid w:val="0014253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08E"/>
    <w:rsid w:val="001555F7"/>
    <w:rsid w:val="001574E2"/>
    <w:rsid w:val="00157590"/>
    <w:rsid w:val="0016068B"/>
    <w:rsid w:val="001606FF"/>
    <w:rsid w:val="00161153"/>
    <w:rsid w:val="00161412"/>
    <w:rsid w:val="00161870"/>
    <w:rsid w:val="001629AC"/>
    <w:rsid w:val="001637D8"/>
    <w:rsid w:val="0016400A"/>
    <w:rsid w:val="0016402E"/>
    <w:rsid w:val="001645B2"/>
    <w:rsid w:val="00164854"/>
    <w:rsid w:val="00164892"/>
    <w:rsid w:val="00165798"/>
    <w:rsid w:val="00165D3E"/>
    <w:rsid w:val="001670F0"/>
    <w:rsid w:val="0016728D"/>
    <w:rsid w:val="001673B1"/>
    <w:rsid w:val="0017049A"/>
    <w:rsid w:val="001704C3"/>
    <w:rsid w:val="00170F36"/>
    <w:rsid w:val="00172C36"/>
    <w:rsid w:val="00172DE3"/>
    <w:rsid w:val="00173F93"/>
    <w:rsid w:val="00173FB5"/>
    <w:rsid w:val="00175899"/>
    <w:rsid w:val="00175EE8"/>
    <w:rsid w:val="00175F2E"/>
    <w:rsid w:val="0017619A"/>
    <w:rsid w:val="00176C05"/>
    <w:rsid w:val="00177460"/>
    <w:rsid w:val="001776C2"/>
    <w:rsid w:val="0018145F"/>
    <w:rsid w:val="0018163F"/>
    <w:rsid w:val="001827DF"/>
    <w:rsid w:val="00182B49"/>
    <w:rsid w:val="001836E5"/>
    <w:rsid w:val="00184240"/>
    <w:rsid w:val="00185CEF"/>
    <w:rsid w:val="00185DBF"/>
    <w:rsid w:val="00185E30"/>
    <w:rsid w:val="00186557"/>
    <w:rsid w:val="001874BE"/>
    <w:rsid w:val="00190181"/>
    <w:rsid w:val="00190860"/>
    <w:rsid w:val="00190A98"/>
    <w:rsid w:val="001922D2"/>
    <w:rsid w:val="00192F1B"/>
    <w:rsid w:val="001958C3"/>
    <w:rsid w:val="00195BCE"/>
    <w:rsid w:val="00195F41"/>
    <w:rsid w:val="0019753A"/>
    <w:rsid w:val="001975CD"/>
    <w:rsid w:val="00197A02"/>
    <w:rsid w:val="001A01D1"/>
    <w:rsid w:val="001A02D9"/>
    <w:rsid w:val="001A0708"/>
    <w:rsid w:val="001A074F"/>
    <w:rsid w:val="001A095C"/>
    <w:rsid w:val="001A123F"/>
    <w:rsid w:val="001A1F0A"/>
    <w:rsid w:val="001A1FA1"/>
    <w:rsid w:val="001A2A3E"/>
    <w:rsid w:val="001A30A3"/>
    <w:rsid w:val="001A34A9"/>
    <w:rsid w:val="001A3932"/>
    <w:rsid w:val="001A3CA2"/>
    <w:rsid w:val="001A4946"/>
    <w:rsid w:val="001A6889"/>
    <w:rsid w:val="001A7419"/>
    <w:rsid w:val="001A770B"/>
    <w:rsid w:val="001A7BA2"/>
    <w:rsid w:val="001A7D76"/>
    <w:rsid w:val="001B07E9"/>
    <w:rsid w:val="001B13B1"/>
    <w:rsid w:val="001B1419"/>
    <w:rsid w:val="001B1499"/>
    <w:rsid w:val="001B1FCE"/>
    <w:rsid w:val="001B30D0"/>
    <w:rsid w:val="001B3CA4"/>
    <w:rsid w:val="001B3F3D"/>
    <w:rsid w:val="001B3FDB"/>
    <w:rsid w:val="001B45EE"/>
    <w:rsid w:val="001B484A"/>
    <w:rsid w:val="001B5402"/>
    <w:rsid w:val="001B5915"/>
    <w:rsid w:val="001B5AE2"/>
    <w:rsid w:val="001B652C"/>
    <w:rsid w:val="001B6905"/>
    <w:rsid w:val="001B6DCC"/>
    <w:rsid w:val="001B6FFC"/>
    <w:rsid w:val="001B71F2"/>
    <w:rsid w:val="001C0671"/>
    <w:rsid w:val="001C15FE"/>
    <w:rsid w:val="001C2ABD"/>
    <w:rsid w:val="001C3BCA"/>
    <w:rsid w:val="001C3F59"/>
    <w:rsid w:val="001C4356"/>
    <w:rsid w:val="001C4AAB"/>
    <w:rsid w:val="001C4DCF"/>
    <w:rsid w:val="001C515A"/>
    <w:rsid w:val="001C5D99"/>
    <w:rsid w:val="001C7D70"/>
    <w:rsid w:val="001D062B"/>
    <w:rsid w:val="001D0FC5"/>
    <w:rsid w:val="001D1175"/>
    <w:rsid w:val="001D19EE"/>
    <w:rsid w:val="001D25DA"/>
    <w:rsid w:val="001D264A"/>
    <w:rsid w:val="001D30CB"/>
    <w:rsid w:val="001D469C"/>
    <w:rsid w:val="001D47FB"/>
    <w:rsid w:val="001D5E8F"/>
    <w:rsid w:val="001D68B2"/>
    <w:rsid w:val="001D6C7F"/>
    <w:rsid w:val="001D6C9D"/>
    <w:rsid w:val="001D6E23"/>
    <w:rsid w:val="001D6E39"/>
    <w:rsid w:val="001D7128"/>
    <w:rsid w:val="001E1A71"/>
    <w:rsid w:val="001E2900"/>
    <w:rsid w:val="001E35E0"/>
    <w:rsid w:val="001E3AA5"/>
    <w:rsid w:val="001E3F0F"/>
    <w:rsid w:val="001E4003"/>
    <w:rsid w:val="001E402A"/>
    <w:rsid w:val="001E5030"/>
    <w:rsid w:val="001E544A"/>
    <w:rsid w:val="001E56FB"/>
    <w:rsid w:val="001E5927"/>
    <w:rsid w:val="001E634D"/>
    <w:rsid w:val="001E63D1"/>
    <w:rsid w:val="001E6964"/>
    <w:rsid w:val="001E69B4"/>
    <w:rsid w:val="001E7FFC"/>
    <w:rsid w:val="001F06D8"/>
    <w:rsid w:val="001F10F4"/>
    <w:rsid w:val="001F1194"/>
    <w:rsid w:val="001F15F6"/>
    <w:rsid w:val="001F18E0"/>
    <w:rsid w:val="001F1D8F"/>
    <w:rsid w:val="001F1D96"/>
    <w:rsid w:val="001F2168"/>
    <w:rsid w:val="001F23BA"/>
    <w:rsid w:val="001F2597"/>
    <w:rsid w:val="001F38FC"/>
    <w:rsid w:val="001F4C48"/>
    <w:rsid w:val="001F4CB3"/>
    <w:rsid w:val="001F4FFE"/>
    <w:rsid w:val="001F53EE"/>
    <w:rsid w:val="001F65A8"/>
    <w:rsid w:val="001F663B"/>
    <w:rsid w:val="001F6E51"/>
    <w:rsid w:val="001F7EB3"/>
    <w:rsid w:val="0020050F"/>
    <w:rsid w:val="00200A19"/>
    <w:rsid w:val="00201C47"/>
    <w:rsid w:val="002020D4"/>
    <w:rsid w:val="002044AF"/>
    <w:rsid w:val="00204586"/>
    <w:rsid w:val="00205654"/>
    <w:rsid w:val="002058B8"/>
    <w:rsid w:val="002059A3"/>
    <w:rsid w:val="0020636B"/>
    <w:rsid w:val="00207B4D"/>
    <w:rsid w:val="00207F4B"/>
    <w:rsid w:val="0021146A"/>
    <w:rsid w:val="00212212"/>
    <w:rsid w:val="00212B22"/>
    <w:rsid w:val="00212BAB"/>
    <w:rsid w:val="00213758"/>
    <w:rsid w:val="00213980"/>
    <w:rsid w:val="00214FEA"/>
    <w:rsid w:val="00215335"/>
    <w:rsid w:val="00215840"/>
    <w:rsid w:val="00215E5E"/>
    <w:rsid w:val="00216541"/>
    <w:rsid w:val="00216757"/>
    <w:rsid w:val="002168A0"/>
    <w:rsid w:val="00216C5F"/>
    <w:rsid w:val="0021736F"/>
    <w:rsid w:val="00217871"/>
    <w:rsid w:val="00217AA4"/>
    <w:rsid w:val="002214A1"/>
    <w:rsid w:val="00221AF0"/>
    <w:rsid w:val="0022232D"/>
    <w:rsid w:val="002225E7"/>
    <w:rsid w:val="00222AA8"/>
    <w:rsid w:val="00222C00"/>
    <w:rsid w:val="00222D41"/>
    <w:rsid w:val="0022346F"/>
    <w:rsid w:val="0022368A"/>
    <w:rsid w:val="00223CF5"/>
    <w:rsid w:val="00223F93"/>
    <w:rsid w:val="002243B9"/>
    <w:rsid w:val="00225261"/>
    <w:rsid w:val="00225CFC"/>
    <w:rsid w:val="00225F44"/>
    <w:rsid w:val="00225F63"/>
    <w:rsid w:val="00227818"/>
    <w:rsid w:val="00230391"/>
    <w:rsid w:val="002312A7"/>
    <w:rsid w:val="0023207B"/>
    <w:rsid w:val="002330D8"/>
    <w:rsid w:val="00233297"/>
    <w:rsid w:val="0023403C"/>
    <w:rsid w:val="002342C5"/>
    <w:rsid w:val="00235626"/>
    <w:rsid w:val="00235840"/>
    <w:rsid w:val="00235A1A"/>
    <w:rsid w:val="00236488"/>
    <w:rsid w:val="00236F48"/>
    <w:rsid w:val="002400C3"/>
    <w:rsid w:val="0024044A"/>
    <w:rsid w:val="00241063"/>
    <w:rsid w:val="00241B23"/>
    <w:rsid w:val="00241FA1"/>
    <w:rsid w:val="00242CF7"/>
    <w:rsid w:val="00243A5E"/>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3F11"/>
    <w:rsid w:val="00254312"/>
    <w:rsid w:val="00254352"/>
    <w:rsid w:val="00254429"/>
    <w:rsid w:val="00255594"/>
    <w:rsid w:val="00256CB0"/>
    <w:rsid w:val="00257452"/>
    <w:rsid w:val="00257F2F"/>
    <w:rsid w:val="002602D0"/>
    <w:rsid w:val="0026097C"/>
    <w:rsid w:val="00261EEF"/>
    <w:rsid w:val="00261FCF"/>
    <w:rsid w:val="0026277A"/>
    <w:rsid w:val="0026279C"/>
    <w:rsid w:val="00264832"/>
    <w:rsid w:val="00265B3B"/>
    <w:rsid w:val="002665DA"/>
    <w:rsid w:val="00267ABA"/>
    <w:rsid w:val="00267DC4"/>
    <w:rsid w:val="00267EE6"/>
    <w:rsid w:val="00270295"/>
    <w:rsid w:val="0027088A"/>
    <w:rsid w:val="00271DDE"/>
    <w:rsid w:val="002721E8"/>
    <w:rsid w:val="0027240C"/>
    <w:rsid w:val="00272570"/>
    <w:rsid w:val="00273689"/>
    <w:rsid w:val="00273E2C"/>
    <w:rsid w:val="002742C2"/>
    <w:rsid w:val="002748E3"/>
    <w:rsid w:val="00275207"/>
    <w:rsid w:val="00275D7E"/>
    <w:rsid w:val="00275ED2"/>
    <w:rsid w:val="0028066E"/>
    <w:rsid w:val="00280C09"/>
    <w:rsid w:val="002811E0"/>
    <w:rsid w:val="00281D1A"/>
    <w:rsid w:val="00281DE7"/>
    <w:rsid w:val="00282D7C"/>
    <w:rsid w:val="00282F92"/>
    <w:rsid w:val="00283204"/>
    <w:rsid w:val="00283514"/>
    <w:rsid w:val="002838B7"/>
    <w:rsid w:val="00283A02"/>
    <w:rsid w:val="00283A2E"/>
    <w:rsid w:val="00284425"/>
    <w:rsid w:val="00285E1D"/>
    <w:rsid w:val="002860ED"/>
    <w:rsid w:val="002861E9"/>
    <w:rsid w:val="00286567"/>
    <w:rsid w:val="0028762D"/>
    <w:rsid w:val="002909EE"/>
    <w:rsid w:val="00290ADF"/>
    <w:rsid w:val="00290B8A"/>
    <w:rsid w:val="00291590"/>
    <w:rsid w:val="002915A0"/>
    <w:rsid w:val="002917F7"/>
    <w:rsid w:val="00292F53"/>
    <w:rsid w:val="0029436A"/>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828"/>
    <w:rsid w:val="002A4AEA"/>
    <w:rsid w:val="002A4BE8"/>
    <w:rsid w:val="002A51F3"/>
    <w:rsid w:val="002A5BE4"/>
    <w:rsid w:val="002A6431"/>
    <w:rsid w:val="002A652D"/>
    <w:rsid w:val="002A6954"/>
    <w:rsid w:val="002B083C"/>
    <w:rsid w:val="002B0EE7"/>
    <w:rsid w:val="002B165A"/>
    <w:rsid w:val="002B1EC4"/>
    <w:rsid w:val="002B26B7"/>
    <w:rsid w:val="002B3594"/>
    <w:rsid w:val="002B36A4"/>
    <w:rsid w:val="002B3F25"/>
    <w:rsid w:val="002B4855"/>
    <w:rsid w:val="002B4BD0"/>
    <w:rsid w:val="002B4F44"/>
    <w:rsid w:val="002B5406"/>
    <w:rsid w:val="002B551B"/>
    <w:rsid w:val="002B60A7"/>
    <w:rsid w:val="002B69AD"/>
    <w:rsid w:val="002B6D3C"/>
    <w:rsid w:val="002B6E26"/>
    <w:rsid w:val="002C082E"/>
    <w:rsid w:val="002C090F"/>
    <w:rsid w:val="002C11E6"/>
    <w:rsid w:val="002C1BCC"/>
    <w:rsid w:val="002C1CC2"/>
    <w:rsid w:val="002C3499"/>
    <w:rsid w:val="002C34F7"/>
    <w:rsid w:val="002C3557"/>
    <w:rsid w:val="002C4DFD"/>
    <w:rsid w:val="002C5DE4"/>
    <w:rsid w:val="002C6116"/>
    <w:rsid w:val="002C637C"/>
    <w:rsid w:val="002C6726"/>
    <w:rsid w:val="002C6DA7"/>
    <w:rsid w:val="002D0406"/>
    <w:rsid w:val="002D04C8"/>
    <w:rsid w:val="002D061A"/>
    <w:rsid w:val="002D0BB4"/>
    <w:rsid w:val="002D26ED"/>
    <w:rsid w:val="002D2A10"/>
    <w:rsid w:val="002D4533"/>
    <w:rsid w:val="002D4865"/>
    <w:rsid w:val="002D4CAA"/>
    <w:rsid w:val="002D5451"/>
    <w:rsid w:val="002D7125"/>
    <w:rsid w:val="002D7812"/>
    <w:rsid w:val="002D7FB8"/>
    <w:rsid w:val="002E01BF"/>
    <w:rsid w:val="002E04BC"/>
    <w:rsid w:val="002E2170"/>
    <w:rsid w:val="002E26C2"/>
    <w:rsid w:val="002E2E92"/>
    <w:rsid w:val="002E385A"/>
    <w:rsid w:val="002E3C87"/>
    <w:rsid w:val="002E449B"/>
    <w:rsid w:val="002E4941"/>
    <w:rsid w:val="002E4949"/>
    <w:rsid w:val="002E50ED"/>
    <w:rsid w:val="002E53C1"/>
    <w:rsid w:val="002E6446"/>
    <w:rsid w:val="002E6470"/>
    <w:rsid w:val="002E6ADE"/>
    <w:rsid w:val="002E6B89"/>
    <w:rsid w:val="002E6B8B"/>
    <w:rsid w:val="002E6E25"/>
    <w:rsid w:val="002E71B3"/>
    <w:rsid w:val="002E72B7"/>
    <w:rsid w:val="002F1308"/>
    <w:rsid w:val="002F2A3D"/>
    <w:rsid w:val="002F365B"/>
    <w:rsid w:val="002F3BC4"/>
    <w:rsid w:val="002F4305"/>
    <w:rsid w:val="002F472F"/>
    <w:rsid w:val="002F54BF"/>
    <w:rsid w:val="002F610F"/>
    <w:rsid w:val="002F61EB"/>
    <w:rsid w:val="002F7249"/>
    <w:rsid w:val="002F7E21"/>
    <w:rsid w:val="00300069"/>
    <w:rsid w:val="00300CC6"/>
    <w:rsid w:val="003012F0"/>
    <w:rsid w:val="00301AC3"/>
    <w:rsid w:val="00301B8E"/>
    <w:rsid w:val="0030206C"/>
    <w:rsid w:val="00302771"/>
    <w:rsid w:val="0030297D"/>
    <w:rsid w:val="003029EF"/>
    <w:rsid w:val="00302D51"/>
    <w:rsid w:val="00302E84"/>
    <w:rsid w:val="003039E0"/>
    <w:rsid w:val="00304184"/>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510"/>
    <w:rsid w:val="0031655C"/>
    <w:rsid w:val="003167DD"/>
    <w:rsid w:val="00316954"/>
    <w:rsid w:val="00316ADE"/>
    <w:rsid w:val="00317296"/>
    <w:rsid w:val="003173A2"/>
    <w:rsid w:val="003175B7"/>
    <w:rsid w:val="00317A49"/>
    <w:rsid w:val="00317B35"/>
    <w:rsid w:val="00320C52"/>
    <w:rsid w:val="00320D7D"/>
    <w:rsid w:val="00320DA4"/>
    <w:rsid w:val="00321527"/>
    <w:rsid w:val="00322357"/>
    <w:rsid w:val="00323080"/>
    <w:rsid w:val="00323690"/>
    <w:rsid w:val="003239AA"/>
    <w:rsid w:val="0032421B"/>
    <w:rsid w:val="00324F33"/>
    <w:rsid w:val="003253D6"/>
    <w:rsid w:val="00325C25"/>
    <w:rsid w:val="00326688"/>
    <w:rsid w:val="00326BEA"/>
    <w:rsid w:val="00327320"/>
    <w:rsid w:val="003277A5"/>
    <w:rsid w:val="003304D3"/>
    <w:rsid w:val="003306A6"/>
    <w:rsid w:val="003318E2"/>
    <w:rsid w:val="003321E2"/>
    <w:rsid w:val="00332269"/>
    <w:rsid w:val="003322CC"/>
    <w:rsid w:val="0033625C"/>
    <w:rsid w:val="00336603"/>
    <w:rsid w:val="00337B88"/>
    <w:rsid w:val="00341B78"/>
    <w:rsid w:val="0034283B"/>
    <w:rsid w:val="00343C1D"/>
    <w:rsid w:val="00343C6C"/>
    <w:rsid w:val="00343EA2"/>
    <w:rsid w:val="00344028"/>
    <w:rsid w:val="00344463"/>
    <w:rsid w:val="00345FA1"/>
    <w:rsid w:val="00346544"/>
    <w:rsid w:val="003503A6"/>
    <w:rsid w:val="00350BCF"/>
    <w:rsid w:val="0035128D"/>
    <w:rsid w:val="003515EE"/>
    <w:rsid w:val="00351630"/>
    <w:rsid w:val="003516FF"/>
    <w:rsid w:val="00352D45"/>
    <w:rsid w:val="00353AFF"/>
    <w:rsid w:val="003542F4"/>
    <w:rsid w:val="00354C20"/>
    <w:rsid w:val="003550E5"/>
    <w:rsid w:val="00356DE9"/>
    <w:rsid w:val="00357116"/>
    <w:rsid w:val="0035739F"/>
    <w:rsid w:val="0036043A"/>
    <w:rsid w:val="00360737"/>
    <w:rsid w:val="00360788"/>
    <w:rsid w:val="0036151D"/>
    <w:rsid w:val="00361A87"/>
    <w:rsid w:val="00362CD2"/>
    <w:rsid w:val="00362F96"/>
    <w:rsid w:val="00363132"/>
    <w:rsid w:val="0036330C"/>
    <w:rsid w:val="00363647"/>
    <w:rsid w:val="00363AB6"/>
    <w:rsid w:val="00363DFB"/>
    <w:rsid w:val="00364B94"/>
    <w:rsid w:val="00365524"/>
    <w:rsid w:val="00366BC6"/>
    <w:rsid w:val="00370758"/>
    <w:rsid w:val="003708F8"/>
    <w:rsid w:val="00370AAF"/>
    <w:rsid w:val="00370E2E"/>
    <w:rsid w:val="003723B6"/>
    <w:rsid w:val="00372E26"/>
    <w:rsid w:val="00374143"/>
    <w:rsid w:val="0037439B"/>
    <w:rsid w:val="00376D12"/>
    <w:rsid w:val="003771BE"/>
    <w:rsid w:val="003772F4"/>
    <w:rsid w:val="00377D52"/>
    <w:rsid w:val="00383825"/>
    <w:rsid w:val="00383CA0"/>
    <w:rsid w:val="00383E94"/>
    <w:rsid w:val="003842A6"/>
    <w:rsid w:val="0038521D"/>
    <w:rsid w:val="00386098"/>
    <w:rsid w:val="003868C5"/>
    <w:rsid w:val="00386C4B"/>
    <w:rsid w:val="00386D28"/>
    <w:rsid w:val="00390265"/>
    <w:rsid w:val="0039083D"/>
    <w:rsid w:val="00390D70"/>
    <w:rsid w:val="00391A23"/>
    <w:rsid w:val="00391C05"/>
    <w:rsid w:val="00391D57"/>
    <w:rsid w:val="003929F6"/>
    <w:rsid w:val="00393366"/>
    <w:rsid w:val="003935E8"/>
    <w:rsid w:val="003937C3"/>
    <w:rsid w:val="00393AAB"/>
    <w:rsid w:val="00394BCB"/>
    <w:rsid w:val="003958E4"/>
    <w:rsid w:val="00395F96"/>
    <w:rsid w:val="00396072"/>
    <w:rsid w:val="00397224"/>
    <w:rsid w:val="003975B3"/>
    <w:rsid w:val="00397DA3"/>
    <w:rsid w:val="003A0D90"/>
    <w:rsid w:val="003A1025"/>
    <w:rsid w:val="003A117A"/>
    <w:rsid w:val="003A1E42"/>
    <w:rsid w:val="003A2E3E"/>
    <w:rsid w:val="003A32F7"/>
    <w:rsid w:val="003A3959"/>
    <w:rsid w:val="003A4D42"/>
    <w:rsid w:val="003A4E13"/>
    <w:rsid w:val="003A5AEE"/>
    <w:rsid w:val="003A6B37"/>
    <w:rsid w:val="003A6F4E"/>
    <w:rsid w:val="003B05A1"/>
    <w:rsid w:val="003B0C03"/>
    <w:rsid w:val="003B12CB"/>
    <w:rsid w:val="003B1A4C"/>
    <w:rsid w:val="003B20D2"/>
    <w:rsid w:val="003B21AA"/>
    <w:rsid w:val="003B2582"/>
    <w:rsid w:val="003B25C1"/>
    <w:rsid w:val="003B27CA"/>
    <w:rsid w:val="003B2A53"/>
    <w:rsid w:val="003B3B48"/>
    <w:rsid w:val="003B4BF4"/>
    <w:rsid w:val="003B4F4B"/>
    <w:rsid w:val="003B65B9"/>
    <w:rsid w:val="003B7B39"/>
    <w:rsid w:val="003C09C8"/>
    <w:rsid w:val="003C25A8"/>
    <w:rsid w:val="003C2863"/>
    <w:rsid w:val="003C3A5C"/>
    <w:rsid w:val="003C42C7"/>
    <w:rsid w:val="003C5E6D"/>
    <w:rsid w:val="003C6169"/>
    <w:rsid w:val="003C63EF"/>
    <w:rsid w:val="003C65ED"/>
    <w:rsid w:val="003C7286"/>
    <w:rsid w:val="003D027E"/>
    <w:rsid w:val="003D0C82"/>
    <w:rsid w:val="003D0DFE"/>
    <w:rsid w:val="003D0FFC"/>
    <w:rsid w:val="003D32FE"/>
    <w:rsid w:val="003D396C"/>
    <w:rsid w:val="003D3D56"/>
    <w:rsid w:val="003D40D7"/>
    <w:rsid w:val="003D5828"/>
    <w:rsid w:val="003D58D1"/>
    <w:rsid w:val="003D6A5B"/>
    <w:rsid w:val="003D6D3B"/>
    <w:rsid w:val="003D7101"/>
    <w:rsid w:val="003D738D"/>
    <w:rsid w:val="003D7CA2"/>
    <w:rsid w:val="003D7EC0"/>
    <w:rsid w:val="003E08CD"/>
    <w:rsid w:val="003E3736"/>
    <w:rsid w:val="003E40FF"/>
    <w:rsid w:val="003E487C"/>
    <w:rsid w:val="003E4E74"/>
    <w:rsid w:val="003E65EB"/>
    <w:rsid w:val="003E7608"/>
    <w:rsid w:val="003E788B"/>
    <w:rsid w:val="003F020C"/>
    <w:rsid w:val="003F046C"/>
    <w:rsid w:val="003F43B3"/>
    <w:rsid w:val="003F448F"/>
    <w:rsid w:val="003F52FB"/>
    <w:rsid w:val="003F59C8"/>
    <w:rsid w:val="003F5E99"/>
    <w:rsid w:val="003F6107"/>
    <w:rsid w:val="003F6C71"/>
    <w:rsid w:val="003F71BE"/>
    <w:rsid w:val="003F71D1"/>
    <w:rsid w:val="003F743E"/>
    <w:rsid w:val="003F757E"/>
    <w:rsid w:val="003F79FE"/>
    <w:rsid w:val="003F7A8F"/>
    <w:rsid w:val="00401936"/>
    <w:rsid w:val="00401C1D"/>
    <w:rsid w:val="00403CD8"/>
    <w:rsid w:val="00403D2C"/>
    <w:rsid w:val="00404827"/>
    <w:rsid w:val="00404FFC"/>
    <w:rsid w:val="00405CAB"/>
    <w:rsid w:val="00406B98"/>
    <w:rsid w:val="00407745"/>
    <w:rsid w:val="004077C3"/>
    <w:rsid w:val="00410744"/>
    <w:rsid w:val="0041080B"/>
    <w:rsid w:val="0041091C"/>
    <w:rsid w:val="00411FF6"/>
    <w:rsid w:val="00412B35"/>
    <w:rsid w:val="00412D75"/>
    <w:rsid w:val="0041335E"/>
    <w:rsid w:val="00413B73"/>
    <w:rsid w:val="00413B8C"/>
    <w:rsid w:val="004146B1"/>
    <w:rsid w:val="00414AEA"/>
    <w:rsid w:val="00417A8F"/>
    <w:rsid w:val="00420207"/>
    <w:rsid w:val="00420CE3"/>
    <w:rsid w:val="00420ECE"/>
    <w:rsid w:val="00421951"/>
    <w:rsid w:val="0042260F"/>
    <w:rsid w:val="004229F6"/>
    <w:rsid w:val="00422DE6"/>
    <w:rsid w:val="004230F5"/>
    <w:rsid w:val="00423179"/>
    <w:rsid w:val="00423787"/>
    <w:rsid w:val="004237F7"/>
    <w:rsid w:val="00423D51"/>
    <w:rsid w:val="0042483F"/>
    <w:rsid w:val="00424949"/>
    <w:rsid w:val="00425D0E"/>
    <w:rsid w:val="00426238"/>
    <w:rsid w:val="00426EA0"/>
    <w:rsid w:val="00426F56"/>
    <w:rsid w:val="00427DD0"/>
    <w:rsid w:val="00430092"/>
    <w:rsid w:val="00430737"/>
    <w:rsid w:val="00431F6D"/>
    <w:rsid w:val="00432C64"/>
    <w:rsid w:val="004347B2"/>
    <w:rsid w:val="00434AC9"/>
    <w:rsid w:val="00434F6E"/>
    <w:rsid w:val="0043589C"/>
    <w:rsid w:val="00436332"/>
    <w:rsid w:val="004364B2"/>
    <w:rsid w:val="004367F9"/>
    <w:rsid w:val="00436973"/>
    <w:rsid w:val="00440445"/>
    <w:rsid w:val="00440706"/>
    <w:rsid w:val="00440843"/>
    <w:rsid w:val="00440A4B"/>
    <w:rsid w:val="00440E1F"/>
    <w:rsid w:val="00442C45"/>
    <w:rsid w:val="00442E32"/>
    <w:rsid w:val="004439F8"/>
    <w:rsid w:val="00443A12"/>
    <w:rsid w:val="00443E1D"/>
    <w:rsid w:val="00443F45"/>
    <w:rsid w:val="00444169"/>
    <w:rsid w:val="00444297"/>
    <w:rsid w:val="00444738"/>
    <w:rsid w:val="004448DD"/>
    <w:rsid w:val="00444F5D"/>
    <w:rsid w:val="004456F4"/>
    <w:rsid w:val="00450580"/>
    <w:rsid w:val="00451083"/>
    <w:rsid w:val="0045155A"/>
    <w:rsid w:val="004515D5"/>
    <w:rsid w:val="004524A9"/>
    <w:rsid w:val="004524D0"/>
    <w:rsid w:val="00452845"/>
    <w:rsid w:val="00455CD5"/>
    <w:rsid w:val="004560AF"/>
    <w:rsid w:val="00456D48"/>
    <w:rsid w:val="00456D7C"/>
    <w:rsid w:val="0045737F"/>
    <w:rsid w:val="00457A06"/>
    <w:rsid w:val="00460A3B"/>
    <w:rsid w:val="00460D25"/>
    <w:rsid w:val="004610D4"/>
    <w:rsid w:val="0046198A"/>
    <w:rsid w:val="00461DE8"/>
    <w:rsid w:val="00461FA7"/>
    <w:rsid w:val="0046335F"/>
    <w:rsid w:val="004638F8"/>
    <w:rsid w:val="00463C62"/>
    <w:rsid w:val="004641CC"/>
    <w:rsid w:val="00465BF8"/>
    <w:rsid w:val="00465E32"/>
    <w:rsid w:val="00466840"/>
    <w:rsid w:val="0046685E"/>
    <w:rsid w:val="00470A49"/>
    <w:rsid w:val="004712BA"/>
    <w:rsid w:val="004715A1"/>
    <w:rsid w:val="004716D6"/>
    <w:rsid w:val="00471C4E"/>
    <w:rsid w:val="00471F33"/>
    <w:rsid w:val="00473792"/>
    <w:rsid w:val="00474E1F"/>
    <w:rsid w:val="0047550F"/>
    <w:rsid w:val="00475973"/>
    <w:rsid w:val="00475995"/>
    <w:rsid w:val="00475F9F"/>
    <w:rsid w:val="004765E8"/>
    <w:rsid w:val="004769A6"/>
    <w:rsid w:val="004775B2"/>
    <w:rsid w:val="0048028C"/>
    <w:rsid w:val="0048034F"/>
    <w:rsid w:val="00480666"/>
    <w:rsid w:val="00480832"/>
    <w:rsid w:val="00481084"/>
    <w:rsid w:val="00481AAD"/>
    <w:rsid w:val="00482017"/>
    <w:rsid w:val="00482948"/>
    <w:rsid w:val="00482DF6"/>
    <w:rsid w:val="004836DB"/>
    <w:rsid w:val="00484336"/>
    <w:rsid w:val="00484C5F"/>
    <w:rsid w:val="00485130"/>
    <w:rsid w:val="0048524E"/>
    <w:rsid w:val="0048591A"/>
    <w:rsid w:val="00485BD5"/>
    <w:rsid w:val="00486057"/>
    <w:rsid w:val="00486AC7"/>
    <w:rsid w:val="00487920"/>
    <w:rsid w:val="00487F65"/>
    <w:rsid w:val="00490340"/>
    <w:rsid w:val="004905EB"/>
    <w:rsid w:val="00490683"/>
    <w:rsid w:val="0049353F"/>
    <w:rsid w:val="00493D33"/>
    <w:rsid w:val="00495B9A"/>
    <w:rsid w:val="00496D69"/>
    <w:rsid w:val="00496F66"/>
    <w:rsid w:val="00497D58"/>
    <w:rsid w:val="00497E37"/>
    <w:rsid w:val="004A0704"/>
    <w:rsid w:val="004A0C60"/>
    <w:rsid w:val="004A1571"/>
    <w:rsid w:val="004A1EB3"/>
    <w:rsid w:val="004A2DBA"/>
    <w:rsid w:val="004A4B82"/>
    <w:rsid w:val="004A51CF"/>
    <w:rsid w:val="004A69DD"/>
    <w:rsid w:val="004A7130"/>
    <w:rsid w:val="004A771F"/>
    <w:rsid w:val="004A78AC"/>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1E21"/>
    <w:rsid w:val="004C28BE"/>
    <w:rsid w:val="004C2C01"/>
    <w:rsid w:val="004C2FB4"/>
    <w:rsid w:val="004C3090"/>
    <w:rsid w:val="004C31CC"/>
    <w:rsid w:val="004C3238"/>
    <w:rsid w:val="004C330F"/>
    <w:rsid w:val="004C35D9"/>
    <w:rsid w:val="004C39ED"/>
    <w:rsid w:val="004C3E0E"/>
    <w:rsid w:val="004C40AA"/>
    <w:rsid w:val="004C4CF1"/>
    <w:rsid w:val="004C50BB"/>
    <w:rsid w:val="004C50F6"/>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2B9B"/>
    <w:rsid w:val="004D3082"/>
    <w:rsid w:val="004D32C2"/>
    <w:rsid w:val="004D37EF"/>
    <w:rsid w:val="004D4709"/>
    <w:rsid w:val="004D4FC2"/>
    <w:rsid w:val="004D5360"/>
    <w:rsid w:val="004D5651"/>
    <w:rsid w:val="004D5C10"/>
    <w:rsid w:val="004D6821"/>
    <w:rsid w:val="004D6981"/>
    <w:rsid w:val="004D6A6D"/>
    <w:rsid w:val="004D6B64"/>
    <w:rsid w:val="004D6E5E"/>
    <w:rsid w:val="004D72E2"/>
    <w:rsid w:val="004D7574"/>
    <w:rsid w:val="004D7586"/>
    <w:rsid w:val="004D7D97"/>
    <w:rsid w:val="004E00D8"/>
    <w:rsid w:val="004E09CD"/>
    <w:rsid w:val="004E247B"/>
    <w:rsid w:val="004E27E3"/>
    <w:rsid w:val="004E4B07"/>
    <w:rsid w:val="004E596F"/>
    <w:rsid w:val="004E694A"/>
    <w:rsid w:val="004E6EB8"/>
    <w:rsid w:val="004E6EF8"/>
    <w:rsid w:val="004E6FB2"/>
    <w:rsid w:val="004E729B"/>
    <w:rsid w:val="004E7E03"/>
    <w:rsid w:val="004F18AC"/>
    <w:rsid w:val="004F253B"/>
    <w:rsid w:val="004F2EA4"/>
    <w:rsid w:val="004F30AB"/>
    <w:rsid w:val="004F3361"/>
    <w:rsid w:val="004F4344"/>
    <w:rsid w:val="004F4B7E"/>
    <w:rsid w:val="004F58F6"/>
    <w:rsid w:val="004F5BEA"/>
    <w:rsid w:val="004F6225"/>
    <w:rsid w:val="004F6B30"/>
    <w:rsid w:val="004F6EA1"/>
    <w:rsid w:val="004F78F0"/>
    <w:rsid w:val="0050059F"/>
    <w:rsid w:val="00501DEA"/>
    <w:rsid w:val="00502528"/>
    <w:rsid w:val="005028C0"/>
    <w:rsid w:val="00502966"/>
    <w:rsid w:val="005030B9"/>
    <w:rsid w:val="00503D3E"/>
    <w:rsid w:val="00504055"/>
    <w:rsid w:val="00504BA9"/>
    <w:rsid w:val="0050504D"/>
    <w:rsid w:val="00507356"/>
    <w:rsid w:val="00507358"/>
    <w:rsid w:val="0050765A"/>
    <w:rsid w:val="00510FAD"/>
    <w:rsid w:val="0051103B"/>
    <w:rsid w:val="00511612"/>
    <w:rsid w:val="00511704"/>
    <w:rsid w:val="00511846"/>
    <w:rsid w:val="00511954"/>
    <w:rsid w:val="00511DD9"/>
    <w:rsid w:val="00512052"/>
    <w:rsid w:val="0051227C"/>
    <w:rsid w:val="0051265B"/>
    <w:rsid w:val="005127D1"/>
    <w:rsid w:val="00512D40"/>
    <w:rsid w:val="00513099"/>
    <w:rsid w:val="00513DE1"/>
    <w:rsid w:val="00514BBF"/>
    <w:rsid w:val="00515942"/>
    <w:rsid w:val="00515D16"/>
    <w:rsid w:val="00516C6D"/>
    <w:rsid w:val="00516E57"/>
    <w:rsid w:val="005174F1"/>
    <w:rsid w:val="00517A9D"/>
    <w:rsid w:val="005211B7"/>
    <w:rsid w:val="00521822"/>
    <w:rsid w:val="00522057"/>
    <w:rsid w:val="005227AD"/>
    <w:rsid w:val="00522A03"/>
    <w:rsid w:val="00524E9A"/>
    <w:rsid w:val="005258F1"/>
    <w:rsid w:val="005268FF"/>
    <w:rsid w:val="00526C21"/>
    <w:rsid w:val="005275F2"/>
    <w:rsid w:val="0052783B"/>
    <w:rsid w:val="00530138"/>
    <w:rsid w:val="00532110"/>
    <w:rsid w:val="005325CA"/>
    <w:rsid w:val="0053319E"/>
    <w:rsid w:val="00533D02"/>
    <w:rsid w:val="0053589E"/>
    <w:rsid w:val="00536353"/>
    <w:rsid w:val="005363F6"/>
    <w:rsid w:val="00536884"/>
    <w:rsid w:val="00540C05"/>
    <w:rsid w:val="005424AB"/>
    <w:rsid w:val="00543D79"/>
    <w:rsid w:val="0054443A"/>
    <w:rsid w:val="0054470E"/>
    <w:rsid w:val="00545522"/>
    <w:rsid w:val="00545743"/>
    <w:rsid w:val="00545C36"/>
    <w:rsid w:val="005462E5"/>
    <w:rsid w:val="00546381"/>
    <w:rsid w:val="00546FC2"/>
    <w:rsid w:val="0054765E"/>
    <w:rsid w:val="00547A9F"/>
    <w:rsid w:val="00550184"/>
    <w:rsid w:val="005501DE"/>
    <w:rsid w:val="005504FE"/>
    <w:rsid w:val="005513E6"/>
    <w:rsid w:val="0055167D"/>
    <w:rsid w:val="005525D2"/>
    <w:rsid w:val="0055314B"/>
    <w:rsid w:val="0055472C"/>
    <w:rsid w:val="0055484C"/>
    <w:rsid w:val="005549EE"/>
    <w:rsid w:val="00555554"/>
    <w:rsid w:val="00555842"/>
    <w:rsid w:val="00556466"/>
    <w:rsid w:val="005566AC"/>
    <w:rsid w:val="00556EC2"/>
    <w:rsid w:val="00557D5E"/>
    <w:rsid w:val="00560514"/>
    <w:rsid w:val="005609FB"/>
    <w:rsid w:val="005615EB"/>
    <w:rsid w:val="00562263"/>
    <w:rsid w:val="005622FA"/>
    <w:rsid w:val="00562971"/>
    <w:rsid w:val="00563A5D"/>
    <w:rsid w:val="00563B09"/>
    <w:rsid w:val="00565A02"/>
    <w:rsid w:val="00565E7B"/>
    <w:rsid w:val="00566777"/>
    <w:rsid w:val="00566CF5"/>
    <w:rsid w:val="005673BD"/>
    <w:rsid w:val="005679C5"/>
    <w:rsid w:val="00567ACA"/>
    <w:rsid w:val="005701A9"/>
    <w:rsid w:val="00570351"/>
    <w:rsid w:val="005708EB"/>
    <w:rsid w:val="005712EE"/>
    <w:rsid w:val="00571E46"/>
    <w:rsid w:val="005726A9"/>
    <w:rsid w:val="0057270E"/>
    <w:rsid w:val="00572ACD"/>
    <w:rsid w:val="0057353C"/>
    <w:rsid w:val="00573BD6"/>
    <w:rsid w:val="00573C91"/>
    <w:rsid w:val="00573DD0"/>
    <w:rsid w:val="00573EA1"/>
    <w:rsid w:val="005748EA"/>
    <w:rsid w:val="00574C52"/>
    <w:rsid w:val="00574E6B"/>
    <w:rsid w:val="00576204"/>
    <w:rsid w:val="005766D5"/>
    <w:rsid w:val="0057713A"/>
    <w:rsid w:val="00577581"/>
    <w:rsid w:val="00577590"/>
    <w:rsid w:val="005800AD"/>
    <w:rsid w:val="005809A7"/>
    <w:rsid w:val="00580D9A"/>
    <w:rsid w:val="00581FCE"/>
    <w:rsid w:val="0058247C"/>
    <w:rsid w:val="005833A4"/>
    <w:rsid w:val="00583DEF"/>
    <w:rsid w:val="00583E15"/>
    <w:rsid w:val="00584208"/>
    <w:rsid w:val="00584431"/>
    <w:rsid w:val="005855A1"/>
    <w:rsid w:val="00586E79"/>
    <w:rsid w:val="005907B1"/>
    <w:rsid w:val="0059117B"/>
    <w:rsid w:val="00591DE3"/>
    <w:rsid w:val="00591EE7"/>
    <w:rsid w:val="005927B6"/>
    <w:rsid w:val="00592EFE"/>
    <w:rsid w:val="00594204"/>
    <w:rsid w:val="005945DD"/>
    <w:rsid w:val="00594929"/>
    <w:rsid w:val="0059556A"/>
    <w:rsid w:val="00595DA8"/>
    <w:rsid w:val="0059688F"/>
    <w:rsid w:val="005968E5"/>
    <w:rsid w:val="005969A5"/>
    <w:rsid w:val="00596B6F"/>
    <w:rsid w:val="00596DCD"/>
    <w:rsid w:val="00596E55"/>
    <w:rsid w:val="00597529"/>
    <w:rsid w:val="00597D6E"/>
    <w:rsid w:val="00597FE5"/>
    <w:rsid w:val="005A0251"/>
    <w:rsid w:val="005A0526"/>
    <w:rsid w:val="005A1663"/>
    <w:rsid w:val="005A23AE"/>
    <w:rsid w:val="005A2BB9"/>
    <w:rsid w:val="005A416B"/>
    <w:rsid w:val="005A5408"/>
    <w:rsid w:val="005A5897"/>
    <w:rsid w:val="005A6ECA"/>
    <w:rsid w:val="005A7794"/>
    <w:rsid w:val="005A7B66"/>
    <w:rsid w:val="005B0589"/>
    <w:rsid w:val="005B0A24"/>
    <w:rsid w:val="005B0D41"/>
    <w:rsid w:val="005B151E"/>
    <w:rsid w:val="005B1EB6"/>
    <w:rsid w:val="005B2493"/>
    <w:rsid w:val="005B2F71"/>
    <w:rsid w:val="005B390E"/>
    <w:rsid w:val="005B3B70"/>
    <w:rsid w:val="005B5D05"/>
    <w:rsid w:val="005B5DC1"/>
    <w:rsid w:val="005B7545"/>
    <w:rsid w:val="005B7895"/>
    <w:rsid w:val="005C056B"/>
    <w:rsid w:val="005C25F4"/>
    <w:rsid w:val="005C2B60"/>
    <w:rsid w:val="005C2C79"/>
    <w:rsid w:val="005C4C0A"/>
    <w:rsid w:val="005C5762"/>
    <w:rsid w:val="005C5D22"/>
    <w:rsid w:val="005C5E05"/>
    <w:rsid w:val="005C5ECC"/>
    <w:rsid w:val="005C67C4"/>
    <w:rsid w:val="005C79A2"/>
    <w:rsid w:val="005D0095"/>
    <w:rsid w:val="005D0258"/>
    <w:rsid w:val="005D1C1A"/>
    <w:rsid w:val="005D2142"/>
    <w:rsid w:val="005D21A2"/>
    <w:rsid w:val="005D2846"/>
    <w:rsid w:val="005D3052"/>
    <w:rsid w:val="005D336C"/>
    <w:rsid w:val="005D36EF"/>
    <w:rsid w:val="005D4BB8"/>
    <w:rsid w:val="005D58F9"/>
    <w:rsid w:val="005D67FA"/>
    <w:rsid w:val="005D7B92"/>
    <w:rsid w:val="005D7D50"/>
    <w:rsid w:val="005E0607"/>
    <w:rsid w:val="005E0FCC"/>
    <w:rsid w:val="005E1365"/>
    <w:rsid w:val="005E198B"/>
    <w:rsid w:val="005E1CF6"/>
    <w:rsid w:val="005E2377"/>
    <w:rsid w:val="005E3393"/>
    <w:rsid w:val="005E4386"/>
    <w:rsid w:val="005E4D60"/>
    <w:rsid w:val="005E6CBF"/>
    <w:rsid w:val="005E6D6F"/>
    <w:rsid w:val="005E7685"/>
    <w:rsid w:val="005E7828"/>
    <w:rsid w:val="005E7CB9"/>
    <w:rsid w:val="005F109D"/>
    <w:rsid w:val="005F12AD"/>
    <w:rsid w:val="005F14B5"/>
    <w:rsid w:val="005F2B42"/>
    <w:rsid w:val="005F3199"/>
    <w:rsid w:val="005F3652"/>
    <w:rsid w:val="005F36BF"/>
    <w:rsid w:val="005F3F66"/>
    <w:rsid w:val="005F4B27"/>
    <w:rsid w:val="005F57FF"/>
    <w:rsid w:val="005F5A0D"/>
    <w:rsid w:val="005F6744"/>
    <w:rsid w:val="005F6C58"/>
    <w:rsid w:val="005F73DD"/>
    <w:rsid w:val="005F7603"/>
    <w:rsid w:val="006011A4"/>
    <w:rsid w:val="00601A45"/>
    <w:rsid w:val="00602577"/>
    <w:rsid w:val="006025BC"/>
    <w:rsid w:val="0060274A"/>
    <w:rsid w:val="00602F66"/>
    <w:rsid w:val="00603176"/>
    <w:rsid w:val="0060468C"/>
    <w:rsid w:val="00604F77"/>
    <w:rsid w:val="00605160"/>
    <w:rsid w:val="00605E02"/>
    <w:rsid w:val="00606E5B"/>
    <w:rsid w:val="006072E5"/>
    <w:rsid w:val="006075E2"/>
    <w:rsid w:val="006077DA"/>
    <w:rsid w:val="00607986"/>
    <w:rsid w:val="00607E0C"/>
    <w:rsid w:val="00610C3A"/>
    <w:rsid w:val="0061103A"/>
    <w:rsid w:val="00611FEB"/>
    <w:rsid w:val="0061252E"/>
    <w:rsid w:val="00612E47"/>
    <w:rsid w:val="0061302C"/>
    <w:rsid w:val="00613F43"/>
    <w:rsid w:val="00614327"/>
    <w:rsid w:val="006149EC"/>
    <w:rsid w:val="00615179"/>
    <w:rsid w:val="00615361"/>
    <w:rsid w:val="00615716"/>
    <w:rsid w:val="00615BCD"/>
    <w:rsid w:val="00615C3D"/>
    <w:rsid w:val="00615EAF"/>
    <w:rsid w:val="00616026"/>
    <w:rsid w:val="00616A3E"/>
    <w:rsid w:val="0061748C"/>
    <w:rsid w:val="006176D9"/>
    <w:rsid w:val="0061775E"/>
    <w:rsid w:val="00617894"/>
    <w:rsid w:val="00617FCC"/>
    <w:rsid w:val="0062066E"/>
    <w:rsid w:val="0062125B"/>
    <w:rsid w:val="00622088"/>
    <w:rsid w:val="006236B5"/>
    <w:rsid w:val="006237C5"/>
    <w:rsid w:val="00623AFB"/>
    <w:rsid w:val="00623B14"/>
    <w:rsid w:val="006252B7"/>
    <w:rsid w:val="00625E79"/>
    <w:rsid w:val="0062657B"/>
    <w:rsid w:val="00626B0F"/>
    <w:rsid w:val="0062784D"/>
    <w:rsid w:val="00627AA0"/>
    <w:rsid w:val="0063001E"/>
    <w:rsid w:val="00630444"/>
    <w:rsid w:val="00630D8D"/>
    <w:rsid w:val="006325C0"/>
    <w:rsid w:val="00633331"/>
    <w:rsid w:val="006346B9"/>
    <w:rsid w:val="0063492C"/>
    <w:rsid w:val="00634C89"/>
    <w:rsid w:val="00635047"/>
    <w:rsid w:val="00635E6D"/>
    <w:rsid w:val="0063641B"/>
    <w:rsid w:val="006366F6"/>
    <w:rsid w:val="00636CC2"/>
    <w:rsid w:val="00637507"/>
    <w:rsid w:val="00637BD8"/>
    <w:rsid w:val="00640AB4"/>
    <w:rsid w:val="006411BF"/>
    <w:rsid w:val="0064182F"/>
    <w:rsid w:val="00642415"/>
    <w:rsid w:val="006424B9"/>
    <w:rsid w:val="00642F99"/>
    <w:rsid w:val="00643270"/>
    <w:rsid w:val="00644384"/>
    <w:rsid w:val="00645138"/>
    <w:rsid w:val="006472B4"/>
    <w:rsid w:val="006473FA"/>
    <w:rsid w:val="00647879"/>
    <w:rsid w:val="00647BCE"/>
    <w:rsid w:val="00650FFE"/>
    <w:rsid w:val="006515C5"/>
    <w:rsid w:val="00652425"/>
    <w:rsid w:val="00652BC9"/>
    <w:rsid w:val="00652D15"/>
    <w:rsid w:val="0065313F"/>
    <w:rsid w:val="00653407"/>
    <w:rsid w:val="006534C8"/>
    <w:rsid w:val="00653C82"/>
    <w:rsid w:val="006541D2"/>
    <w:rsid w:val="006542D1"/>
    <w:rsid w:val="006545F4"/>
    <w:rsid w:val="00654B7A"/>
    <w:rsid w:val="00654CC2"/>
    <w:rsid w:val="00656B0C"/>
    <w:rsid w:val="0065793C"/>
    <w:rsid w:val="00657FC9"/>
    <w:rsid w:val="00660F3E"/>
    <w:rsid w:val="00660FD2"/>
    <w:rsid w:val="00661BB0"/>
    <w:rsid w:val="006622FC"/>
    <w:rsid w:val="00663FF0"/>
    <w:rsid w:val="00664557"/>
    <w:rsid w:val="00665ADF"/>
    <w:rsid w:val="006661A5"/>
    <w:rsid w:val="006668CE"/>
    <w:rsid w:val="0066697D"/>
    <w:rsid w:val="00667052"/>
    <w:rsid w:val="006675E1"/>
    <w:rsid w:val="0067023A"/>
    <w:rsid w:val="00670459"/>
    <w:rsid w:val="006714EA"/>
    <w:rsid w:val="00672136"/>
    <w:rsid w:val="0067323E"/>
    <w:rsid w:val="006740C0"/>
    <w:rsid w:val="00674F5B"/>
    <w:rsid w:val="00674F5C"/>
    <w:rsid w:val="00675050"/>
    <w:rsid w:val="006754E0"/>
    <w:rsid w:val="00675BA5"/>
    <w:rsid w:val="00675DE6"/>
    <w:rsid w:val="006764B4"/>
    <w:rsid w:val="00676ED4"/>
    <w:rsid w:val="00676FFD"/>
    <w:rsid w:val="006773AC"/>
    <w:rsid w:val="00680119"/>
    <w:rsid w:val="00680490"/>
    <w:rsid w:val="00681721"/>
    <w:rsid w:val="006823FE"/>
    <w:rsid w:val="00682A1F"/>
    <w:rsid w:val="00683D27"/>
    <w:rsid w:val="006847DE"/>
    <w:rsid w:val="006848DF"/>
    <w:rsid w:val="00684B1A"/>
    <w:rsid w:val="00685FE9"/>
    <w:rsid w:val="00690120"/>
    <w:rsid w:val="0069137B"/>
    <w:rsid w:val="006923F1"/>
    <w:rsid w:val="0069296C"/>
    <w:rsid w:val="00692A8A"/>
    <w:rsid w:val="006932E2"/>
    <w:rsid w:val="00693ABA"/>
    <w:rsid w:val="00694548"/>
    <w:rsid w:val="006945BE"/>
    <w:rsid w:val="00695561"/>
    <w:rsid w:val="00696206"/>
    <w:rsid w:val="00696BF8"/>
    <w:rsid w:val="006970A0"/>
    <w:rsid w:val="006A0EA1"/>
    <w:rsid w:val="006A18B6"/>
    <w:rsid w:val="006A2391"/>
    <w:rsid w:val="006A352E"/>
    <w:rsid w:val="006A401C"/>
    <w:rsid w:val="006A4868"/>
    <w:rsid w:val="006A4D11"/>
    <w:rsid w:val="006A5005"/>
    <w:rsid w:val="006A66C8"/>
    <w:rsid w:val="006A78E9"/>
    <w:rsid w:val="006A7B00"/>
    <w:rsid w:val="006B022A"/>
    <w:rsid w:val="006B0AE7"/>
    <w:rsid w:val="006B0B5F"/>
    <w:rsid w:val="006B0C3A"/>
    <w:rsid w:val="006B1249"/>
    <w:rsid w:val="006B16CD"/>
    <w:rsid w:val="006B1C62"/>
    <w:rsid w:val="006B1D2B"/>
    <w:rsid w:val="006B204A"/>
    <w:rsid w:val="006B273F"/>
    <w:rsid w:val="006B2ADF"/>
    <w:rsid w:val="006B36B8"/>
    <w:rsid w:val="006B38F0"/>
    <w:rsid w:val="006B5555"/>
    <w:rsid w:val="006B70DB"/>
    <w:rsid w:val="006C1719"/>
    <w:rsid w:val="006C1C63"/>
    <w:rsid w:val="006C20BB"/>
    <w:rsid w:val="006C2B80"/>
    <w:rsid w:val="006C2DC4"/>
    <w:rsid w:val="006C409F"/>
    <w:rsid w:val="006C4724"/>
    <w:rsid w:val="006C4817"/>
    <w:rsid w:val="006C4C64"/>
    <w:rsid w:val="006C6F09"/>
    <w:rsid w:val="006C70F6"/>
    <w:rsid w:val="006C7A9C"/>
    <w:rsid w:val="006D101F"/>
    <w:rsid w:val="006D2C7B"/>
    <w:rsid w:val="006D2EF0"/>
    <w:rsid w:val="006D3517"/>
    <w:rsid w:val="006D4BFF"/>
    <w:rsid w:val="006D5AA1"/>
    <w:rsid w:val="006D7237"/>
    <w:rsid w:val="006D779D"/>
    <w:rsid w:val="006D7BCF"/>
    <w:rsid w:val="006D7EA5"/>
    <w:rsid w:val="006E00C3"/>
    <w:rsid w:val="006E064A"/>
    <w:rsid w:val="006E0AC4"/>
    <w:rsid w:val="006E1491"/>
    <w:rsid w:val="006E1680"/>
    <w:rsid w:val="006E275F"/>
    <w:rsid w:val="006E2D7F"/>
    <w:rsid w:val="006E3081"/>
    <w:rsid w:val="006E3405"/>
    <w:rsid w:val="006E42E7"/>
    <w:rsid w:val="006E575B"/>
    <w:rsid w:val="006E7344"/>
    <w:rsid w:val="006E7545"/>
    <w:rsid w:val="006F17FF"/>
    <w:rsid w:val="006F241B"/>
    <w:rsid w:val="006F25F9"/>
    <w:rsid w:val="006F27B1"/>
    <w:rsid w:val="006F2915"/>
    <w:rsid w:val="006F3958"/>
    <w:rsid w:val="006F3ECC"/>
    <w:rsid w:val="006F3ED7"/>
    <w:rsid w:val="006F45C2"/>
    <w:rsid w:val="006F52AB"/>
    <w:rsid w:val="006F594B"/>
    <w:rsid w:val="006F5CFC"/>
    <w:rsid w:val="006F6216"/>
    <w:rsid w:val="006F6550"/>
    <w:rsid w:val="006F6ADF"/>
    <w:rsid w:val="006F74AF"/>
    <w:rsid w:val="006F775C"/>
    <w:rsid w:val="006F7D09"/>
    <w:rsid w:val="00700107"/>
    <w:rsid w:val="007001D4"/>
    <w:rsid w:val="0070033A"/>
    <w:rsid w:val="007006E0"/>
    <w:rsid w:val="0070071B"/>
    <w:rsid w:val="00700C6A"/>
    <w:rsid w:val="00700D2C"/>
    <w:rsid w:val="00700F47"/>
    <w:rsid w:val="007010E7"/>
    <w:rsid w:val="0070138F"/>
    <w:rsid w:val="00701CC0"/>
    <w:rsid w:val="007023C2"/>
    <w:rsid w:val="00703CA9"/>
    <w:rsid w:val="00703EF0"/>
    <w:rsid w:val="00706AA5"/>
    <w:rsid w:val="00706DCB"/>
    <w:rsid w:val="007073C9"/>
    <w:rsid w:val="00707EA8"/>
    <w:rsid w:val="00707F84"/>
    <w:rsid w:val="0071098B"/>
    <w:rsid w:val="00712665"/>
    <w:rsid w:val="00712BE5"/>
    <w:rsid w:val="00713765"/>
    <w:rsid w:val="00714877"/>
    <w:rsid w:val="007154DF"/>
    <w:rsid w:val="00715651"/>
    <w:rsid w:val="00715E0A"/>
    <w:rsid w:val="007161BA"/>
    <w:rsid w:val="007166A9"/>
    <w:rsid w:val="007169AB"/>
    <w:rsid w:val="0071714D"/>
    <w:rsid w:val="007173D2"/>
    <w:rsid w:val="00717492"/>
    <w:rsid w:val="007208A3"/>
    <w:rsid w:val="00721EC1"/>
    <w:rsid w:val="00722158"/>
    <w:rsid w:val="00722600"/>
    <w:rsid w:val="00723DEC"/>
    <w:rsid w:val="00724E19"/>
    <w:rsid w:val="00725416"/>
    <w:rsid w:val="007269A5"/>
    <w:rsid w:val="007269D9"/>
    <w:rsid w:val="007279A0"/>
    <w:rsid w:val="00727A59"/>
    <w:rsid w:val="00730922"/>
    <w:rsid w:val="00731702"/>
    <w:rsid w:val="007336EF"/>
    <w:rsid w:val="00733F53"/>
    <w:rsid w:val="00734998"/>
    <w:rsid w:val="00734CA6"/>
    <w:rsid w:val="00734E6A"/>
    <w:rsid w:val="007364D4"/>
    <w:rsid w:val="0073661E"/>
    <w:rsid w:val="00736884"/>
    <w:rsid w:val="00737ECE"/>
    <w:rsid w:val="00740186"/>
    <w:rsid w:val="00740CC0"/>
    <w:rsid w:val="00741CA7"/>
    <w:rsid w:val="0074282D"/>
    <w:rsid w:val="00742DB4"/>
    <w:rsid w:val="00743AB1"/>
    <w:rsid w:val="00744089"/>
    <w:rsid w:val="007445A3"/>
    <w:rsid w:val="00745294"/>
    <w:rsid w:val="00746AB1"/>
    <w:rsid w:val="0074777E"/>
    <w:rsid w:val="007503B3"/>
    <w:rsid w:val="00750694"/>
    <w:rsid w:val="00750AD4"/>
    <w:rsid w:val="00750FDD"/>
    <w:rsid w:val="00751ADA"/>
    <w:rsid w:val="00751C27"/>
    <w:rsid w:val="00752D25"/>
    <w:rsid w:val="007532AD"/>
    <w:rsid w:val="007535A2"/>
    <w:rsid w:val="00754188"/>
    <w:rsid w:val="0075419D"/>
    <w:rsid w:val="0075449C"/>
    <w:rsid w:val="00756346"/>
    <w:rsid w:val="00756FE8"/>
    <w:rsid w:val="0075714E"/>
    <w:rsid w:val="007601ED"/>
    <w:rsid w:val="00760B80"/>
    <w:rsid w:val="0076115E"/>
    <w:rsid w:val="00761CB5"/>
    <w:rsid w:val="00762164"/>
    <w:rsid w:val="007626AE"/>
    <w:rsid w:val="007627F9"/>
    <w:rsid w:val="0076285F"/>
    <w:rsid w:val="007631A4"/>
    <w:rsid w:val="00763501"/>
    <w:rsid w:val="0076359A"/>
    <w:rsid w:val="00764032"/>
    <w:rsid w:val="007641F2"/>
    <w:rsid w:val="0076464C"/>
    <w:rsid w:val="00765AFB"/>
    <w:rsid w:val="00767023"/>
    <w:rsid w:val="0076759C"/>
    <w:rsid w:val="00767D79"/>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45E"/>
    <w:rsid w:val="007807A5"/>
    <w:rsid w:val="00780898"/>
    <w:rsid w:val="00780EBB"/>
    <w:rsid w:val="00781748"/>
    <w:rsid w:val="007828CB"/>
    <w:rsid w:val="007829C9"/>
    <w:rsid w:val="00782F2F"/>
    <w:rsid w:val="00783478"/>
    <w:rsid w:val="00783CD7"/>
    <w:rsid w:val="0078719B"/>
    <w:rsid w:val="007876FC"/>
    <w:rsid w:val="00787D12"/>
    <w:rsid w:val="007904E8"/>
    <w:rsid w:val="00790B53"/>
    <w:rsid w:val="007917EA"/>
    <w:rsid w:val="007934B4"/>
    <w:rsid w:val="00793ABA"/>
    <w:rsid w:val="0079555C"/>
    <w:rsid w:val="007975F9"/>
    <w:rsid w:val="00797B16"/>
    <w:rsid w:val="00797E32"/>
    <w:rsid w:val="00797EAE"/>
    <w:rsid w:val="007A019C"/>
    <w:rsid w:val="007A0FCC"/>
    <w:rsid w:val="007A11BD"/>
    <w:rsid w:val="007A1A76"/>
    <w:rsid w:val="007A1C89"/>
    <w:rsid w:val="007A1DCD"/>
    <w:rsid w:val="007A1F25"/>
    <w:rsid w:val="007A2554"/>
    <w:rsid w:val="007A25E3"/>
    <w:rsid w:val="007A271C"/>
    <w:rsid w:val="007A2A1A"/>
    <w:rsid w:val="007A2BBD"/>
    <w:rsid w:val="007A43C5"/>
    <w:rsid w:val="007A4A9B"/>
    <w:rsid w:val="007A5ABD"/>
    <w:rsid w:val="007A5E6B"/>
    <w:rsid w:val="007A60CD"/>
    <w:rsid w:val="007A692C"/>
    <w:rsid w:val="007A6D0A"/>
    <w:rsid w:val="007A6E47"/>
    <w:rsid w:val="007A7D15"/>
    <w:rsid w:val="007B0C21"/>
    <w:rsid w:val="007B0D27"/>
    <w:rsid w:val="007B17CC"/>
    <w:rsid w:val="007B223F"/>
    <w:rsid w:val="007B2E6F"/>
    <w:rsid w:val="007B4652"/>
    <w:rsid w:val="007B4E0A"/>
    <w:rsid w:val="007B595B"/>
    <w:rsid w:val="007B6948"/>
    <w:rsid w:val="007B7997"/>
    <w:rsid w:val="007C094C"/>
    <w:rsid w:val="007C16B6"/>
    <w:rsid w:val="007C1A7F"/>
    <w:rsid w:val="007C2C18"/>
    <w:rsid w:val="007C33D5"/>
    <w:rsid w:val="007C3A6A"/>
    <w:rsid w:val="007C4015"/>
    <w:rsid w:val="007C558A"/>
    <w:rsid w:val="007C6112"/>
    <w:rsid w:val="007C64F0"/>
    <w:rsid w:val="007C6805"/>
    <w:rsid w:val="007C734C"/>
    <w:rsid w:val="007C74FB"/>
    <w:rsid w:val="007C7D0B"/>
    <w:rsid w:val="007C7F73"/>
    <w:rsid w:val="007D008A"/>
    <w:rsid w:val="007D0099"/>
    <w:rsid w:val="007D12BB"/>
    <w:rsid w:val="007D1F0C"/>
    <w:rsid w:val="007D2DE0"/>
    <w:rsid w:val="007D3CC1"/>
    <w:rsid w:val="007D456D"/>
    <w:rsid w:val="007D4966"/>
    <w:rsid w:val="007D544D"/>
    <w:rsid w:val="007D5884"/>
    <w:rsid w:val="007D5A5C"/>
    <w:rsid w:val="007D6DF7"/>
    <w:rsid w:val="007D76A7"/>
    <w:rsid w:val="007D77EE"/>
    <w:rsid w:val="007E00C2"/>
    <w:rsid w:val="007E090F"/>
    <w:rsid w:val="007E1B64"/>
    <w:rsid w:val="007E1BAF"/>
    <w:rsid w:val="007E1F7D"/>
    <w:rsid w:val="007E20AD"/>
    <w:rsid w:val="007E287E"/>
    <w:rsid w:val="007E2929"/>
    <w:rsid w:val="007E2CCE"/>
    <w:rsid w:val="007E3DC4"/>
    <w:rsid w:val="007E3E9E"/>
    <w:rsid w:val="007E4373"/>
    <w:rsid w:val="007E45B2"/>
    <w:rsid w:val="007E5251"/>
    <w:rsid w:val="007E5897"/>
    <w:rsid w:val="007E5F7E"/>
    <w:rsid w:val="007E65BF"/>
    <w:rsid w:val="007E66B7"/>
    <w:rsid w:val="007E6D92"/>
    <w:rsid w:val="007E79F3"/>
    <w:rsid w:val="007E7D7A"/>
    <w:rsid w:val="007F01E1"/>
    <w:rsid w:val="007F0AE1"/>
    <w:rsid w:val="007F0E30"/>
    <w:rsid w:val="007F12FB"/>
    <w:rsid w:val="007F1D7B"/>
    <w:rsid w:val="007F1F11"/>
    <w:rsid w:val="007F2257"/>
    <w:rsid w:val="007F33FB"/>
    <w:rsid w:val="007F370E"/>
    <w:rsid w:val="007F37E3"/>
    <w:rsid w:val="007F39CD"/>
    <w:rsid w:val="007F3DAF"/>
    <w:rsid w:val="007F42AE"/>
    <w:rsid w:val="007F5203"/>
    <w:rsid w:val="007F60B3"/>
    <w:rsid w:val="007F6203"/>
    <w:rsid w:val="007F63D0"/>
    <w:rsid w:val="007F708F"/>
    <w:rsid w:val="007F71A9"/>
    <w:rsid w:val="007F73E0"/>
    <w:rsid w:val="00800245"/>
    <w:rsid w:val="008005AD"/>
    <w:rsid w:val="00800B55"/>
    <w:rsid w:val="00802571"/>
    <w:rsid w:val="00802605"/>
    <w:rsid w:val="008032D5"/>
    <w:rsid w:val="00803D29"/>
    <w:rsid w:val="00804C63"/>
    <w:rsid w:val="00806B79"/>
    <w:rsid w:val="008070D9"/>
    <w:rsid w:val="00811BF9"/>
    <w:rsid w:val="008122D5"/>
    <w:rsid w:val="0081312A"/>
    <w:rsid w:val="008132B3"/>
    <w:rsid w:val="00813368"/>
    <w:rsid w:val="00814C7B"/>
    <w:rsid w:val="00814D69"/>
    <w:rsid w:val="00815261"/>
    <w:rsid w:val="00816FAF"/>
    <w:rsid w:val="0081732E"/>
    <w:rsid w:val="008178DC"/>
    <w:rsid w:val="008202DF"/>
    <w:rsid w:val="0082062C"/>
    <w:rsid w:val="00820FE3"/>
    <w:rsid w:val="008214F1"/>
    <w:rsid w:val="00822187"/>
    <w:rsid w:val="00822655"/>
    <w:rsid w:val="0082277D"/>
    <w:rsid w:val="0082290E"/>
    <w:rsid w:val="00822BFA"/>
    <w:rsid w:val="00823CC9"/>
    <w:rsid w:val="00823D94"/>
    <w:rsid w:val="008241A3"/>
    <w:rsid w:val="00824231"/>
    <w:rsid w:val="008243AB"/>
    <w:rsid w:val="00824E29"/>
    <w:rsid w:val="00825265"/>
    <w:rsid w:val="00825450"/>
    <w:rsid w:val="00825FA9"/>
    <w:rsid w:val="0082615E"/>
    <w:rsid w:val="00827142"/>
    <w:rsid w:val="00827986"/>
    <w:rsid w:val="008301ED"/>
    <w:rsid w:val="00830548"/>
    <w:rsid w:val="008305C4"/>
    <w:rsid w:val="00830954"/>
    <w:rsid w:val="00830B50"/>
    <w:rsid w:val="00830F76"/>
    <w:rsid w:val="00831404"/>
    <w:rsid w:val="00831958"/>
    <w:rsid w:val="00831FDD"/>
    <w:rsid w:val="0083285A"/>
    <w:rsid w:val="00833523"/>
    <w:rsid w:val="00833B9E"/>
    <w:rsid w:val="00833DA0"/>
    <w:rsid w:val="00833FAB"/>
    <w:rsid w:val="00834EF2"/>
    <w:rsid w:val="00835630"/>
    <w:rsid w:val="008359E9"/>
    <w:rsid w:val="00836D24"/>
    <w:rsid w:val="008372CB"/>
    <w:rsid w:val="008375DC"/>
    <w:rsid w:val="00840C43"/>
    <w:rsid w:val="00841A7F"/>
    <w:rsid w:val="00842033"/>
    <w:rsid w:val="00842A3F"/>
    <w:rsid w:val="008430F5"/>
    <w:rsid w:val="00844A48"/>
    <w:rsid w:val="00844B9C"/>
    <w:rsid w:val="00844DEB"/>
    <w:rsid w:val="00845C9C"/>
    <w:rsid w:val="00846299"/>
    <w:rsid w:val="00846E70"/>
    <w:rsid w:val="008474C1"/>
    <w:rsid w:val="008476AF"/>
    <w:rsid w:val="00850DBA"/>
    <w:rsid w:val="00850FB0"/>
    <w:rsid w:val="0085267A"/>
    <w:rsid w:val="00852CC6"/>
    <w:rsid w:val="00854E43"/>
    <w:rsid w:val="00855D22"/>
    <w:rsid w:val="008569FC"/>
    <w:rsid w:val="008579BC"/>
    <w:rsid w:val="008606E7"/>
    <w:rsid w:val="00860804"/>
    <w:rsid w:val="00860FE5"/>
    <w:rsid w:val="0086106F"/>
    <w:rsid w:val="008613C7"/>
    <w:rsid w:val="008614CA"/>
    <w:rsid w:val="008637FD"/>
    <w:rsid w:val="00864C94"/>
    <w:rsid w:val="00864FBB"/>
    <w:rsid w:val="0086537A"/>
    <w:rsid w:val="00865430"/>
    <w:rsid w:val="0086590D"/>
    <w:rsid w:val="00867946"/>
    <w:rsid w:val="00867B2D"/>
    <w:rsid w:val="00867B41"/>
    <w:rsid w:val="0087008E"/>
    <w:rsid w:val="008727A1"/>
    <w:rsid w:val="00872EB9"/>
    <w:rsid w:val="00873311"/>
    <w:rsid w:val="00873ECD"/>
    <w:rsid w:val="00873F0F"/>
    <w:rsid w:val="00874B16"/>
    <w:rsid w:val="00875674"/>
    <w:rsid w:val="008763FC"/>
    <w:rsid w:val="00876676"/>
    <w:rsid w:val="00876B50"/>
    <w:rsid w:val="008777D5"/>
    <w:rsid w:val="00880A77"/>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528"/>
    <w:rsid w:val="00894FE4"/>
    <w:rsid w:val="0089515A"/>
    <w:rsid w:val="008954A9"/>
    <w:rsid w:val="008959F2"/>
    <w:rsid w:val="00897485"/>
    <w:rsid w:val="008A11A5"/>
    <w:rsid w:val="008A1737"/>
    <w:rsid w:val="008A1BBB"/>
    <w:rsid w:val="008A2F05"/>
    <w:rsid w:val="008A2F81"/>
    <w:rsid w:val="008A4028"/>
    <w:rsid w:val="008A5686"/>
    <w:rsid w:val="008A5797"/>
    <w:rsid w:val="008A61FC"/>
    <w:rsid w:val="008A66E4"/>
    <w:rsid w:val="008A72D8"/>
    <w:rsid w:val="008A7841"/>
    <w:rsid w:val="008A7EC7"/>
    <w:rsid w:val="008B0045"/>
    <w:rsid w:val="008B183D"/>
    <w:rsid w:val="008B19FA"/>
    <w:rsid w:val="008B1DBF"/>
    <w:rsid w:val="008B1EE4"/>
    <w:rsid w:val="008B261B"/>
    <w:rsid w:val="008B501D"/>
    <w:rsid w:val="008B509E"/>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7FC"/>
    <w:rsid w:val="008D4BE1"/>
    <w:rsid w:val="008D5C8D"/>
    <w:rsid w:val="008D61B0"/>
    <w:rsid w:val="008D669D"/>
    <w:rsid w:val="008D6EE4"/>
    <w:rsid w:val="008D7419"/>
    <w:rsid w:val="008D791C"/>
    <w:rsid w:val="008D79AD"/>
    <w:rsid w:val="008E019B"/>
    <w:rsid w:val="008E02DF"/>
    <w:rsid w:val="008E0F89"/>
    <w:rsid w:val="008E10AC"/>
    <w:rsid w:val="008E3C2C"/>
    <w:rsid w:val="008E3F85"/>
    <w:rsid w:val="008E4E77"/>
    <w:rsid w:val="008E583F"/>
    <w:rsid w:val="008E666A"/>
    <w:rsid w:val="008E6C32"/>
    <w:rsid w:val="008E6E82"/>
    <w:rsid w:val="008F0056"/>
    <w:rsid w:val="008F0F85"/>
    <w:rsid w:val="008F10CE"/>
    <w:rsid w:val="008F130E"/>
    <w:rsid w:val="008F1F37"/>
    <w:rsid w:val="008F39E3"/>
    <w:rsid w:val="008F3B0E"/>
    <w:rsid w:val="008F3C40"/>
    <w:rsid w:val="008F3F53"/>
    <w:rsid w:val="008F407D"/>
    <w:rsid w:val="008F4D8A"/>
    <w:rsid w:val="008F65AE"/>
    <w:rsid w:val="008F6786"/>
    <w:rsid w:val="008F6915"/>
    <w:rsid w:val="008F6B4B"/>
    <w:rsid w:val="009001F9"/>
    <w:rsid w:val="009007E8"/>
    <w:rsid w:val="00900C3E"/>
    <w:rsid w:val="00901235"/>
    <w:rsid w:val="00901D97"/>
    <w:rsid w:val="009028A0"/>
    <w:rsid w:val="00903927"/>
    <w:rsid w:val="00903C05"/>
    <w:rsid w:val="00903DAA"/>
    <w:rsid w:val="00903EE4"/>
    <w:rsid w:val="00904406"/>
    <w:rsid w:val="00904744"/>
    <w:rsid w:val="009047DE"/>
    <w:rsid w:val="00904D12"/>
    <w:rsid w:val="00905010"/>
    <w:rsid w:val="0090541C"/>
    <w:rsid w:val="009064D5"/>
    <w:rsid w:val="00906C4B"/>
    <w:rsid w:val="0090731C"/>
    <w:rsid w:val="00907B8D"/>
    <w:rsid w:val="009117C3"/>
    <w:rsid w:val="00911B5F"/>
    <w:rsid w:val="009127E0"/>
    <w:rsid w:val="0091345E"/>
    <w:rsid w:val="009137D6"/>
    <w:rsid w:val="009139C5"/>
    <w:rsid w:val="009142A2"/>
    <w:rsid w:val="00914543"/>
    <w:rsid w:val="00914E50"/>
    <w:rsid w:val="009150AD"/>
    <w:rsid w:val="009167DA"/>
    <w:rsid w:val="00916E5D"/>
    <w:rsid w:val="00917199"/>
    <w:rsid w:val="00920D58"/>
    <w:rsid w:val="00920E76"/>
    <w:rsid w:val="00922DBA"/>
    <w:rsid w:val="0092300B"/>
    <w:rsid w:val="00923020"/>
    <w:rsid w:val="00923057"/>
    <w:rsid w:val="00923CEF"/>
    <w:rsid w:val="00923FE4"/>
    <w:rsid w:val="00924A7A"/>
    <w:rsid w:val="00924D5D"/>
    <w:rsid w:val="00924E5C"/>
    <w:rsid w:val="00924FCF"/>
    <w:rsid w:val="0092516F"/>
    <w:rsid w:val="00925941"/>
    <w:rsid w:val="00926125"/>
    <w:rsid w:val="009268BE"/>
    <w:rsid w:val="00926C90"/>
    <w:rsid w:val="00927D21"/>
    <w:rsid w:val="009307EF"/>
    <w:rsid w:val="00930836"/>
    <w:rsid w:val="00930CDA"/>
    <w:rsid w:val="00931119"/>
    <w:rsid w:val="00931B06"/>
    <w:rsid w:val="00931C9E"/>
    <w:rsid w:val="009333B8"/>
    <w:rsid w:val="009357D7"/>
    <w:rsid w:val="009365B0"/>
    <w:rsid w:val="0093788C"/>
    <w:rsid w:val="00937B52"/>
    <w:rsid w:val="00937FBD"/>
    <w:rsid w:val="00940B48"/>
    <w:rsid w:val="00941034"/>
    <w:rsid w:val="00941C9E"/>
    <w:rsid w:val="009424C7"/>
    <w:rsid w:val="00943049"/>
    <w:rsid w:val="009430D9"/>
    <w:rsid w:val="009436FC"/>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2A9"/>
    <w:rsid w:val="00962E94"/>
    <w:rsid w:val="00963A2C"/>
    <w:rsid w:val="00963B5A"/>
    <w:rsid w:val="00965018"/>
    <w:rsid w:val="009654BD"/>
    <w:rsid w:val="00965F6E"/>
    <w:rsid w:val="00966211"/>
    <w:rsid w:val="00966D32"/>
    <w:rsid w:val="0097150A"/>
    <w:rsid w:val="00971CA7"/>
    <w:rsid w:val="00971F03"/>
    <w:rsid w:val="00971FC6"/>
    <w:rsid w:val="00972636"/>
    <w:rsid w:val="0097521D"/>
    <w:rsid w:val="009755EA"/>
    <w:rsid w:val="00975732"/>
    <w:rsid w:val="00975E6A"/>
    <w:rsid w:val="00975F4A"/>
    <w:rsid w:val="00976398"/>
    <w:rsid w:val="00976722"/>
    <w:rsid w:val="00976791"/>
    <w:rsid w:val="0097686A"/>
    <w:rsid w:val="00976880"/>
    <w:rsid w:val="00977221"/>
    <w:rsid w:val="00977320"/>
    <w:rsid w:val="00977B02"/>
    <w:rsid w:val="00977B1C"/>
    <w:rsid w:val="00977CB0"/>
    <w:rsid w:val="00977CDD"/>
    <w:rsid w:val="00980B26"/>
    <w:rsid w:val="00980F0D"/>
    <w:rsid w:val="00980F19"/>
    <w:rsid w:val="00982337"/>
    <w:rsid w:val="00982CC7"/>
    <w:rsid w:val="0098455F"/>
    <w:rsid w:val="00985348"/>
    <w:rsid w:val="009862E1"/>
    <w:rsid w:val="009874DC"/>
    <w:rsid w:val="009909B0"/>
    <w:rsid w:val="009910FE"/>
    <w:rsid w:val="00991E5C"/>
    <w:rsid w:val="00992413"/>
    <w:rsid w:val="0099256E"/>
    <w:rsid w:val="009934F6"/>
    <w:rsid w:val="00993603"/>
    <w:rsid w:val="00993806"/>
    <w:rsid w:val="00993D31"/>
    <w:rsid w:val="00994416"/>
    <w:rsid w:val="009944E2"/>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A16"/>
    <w:rsid w:val="009B1D1D"/>
    <w:rsid w:val="009B2BF9"/>
    <w:rsid w:val="009B37F7"/>
    <w:rsid w:val="009B5697"/>
    <w:rsid w:val="009B7D8A"/>
    <w:rsid w:val="009B7FF0"/>
    <w:rsid w:val="009C03C3"/>
    <w:rsid w:val="009C085E"/>
    <w:rsid w:val="009C1155"/>
    <w:rsid w:val="009C151D"/>
    <w:rsid w:val="009C1E17"/>
    <w:rsid w:val="009C2B34"/>
    <w:rsid w:val="009C2FF6"/>
    <w:rsid w:val="009C406D"/>
    <w:rsid w:val="009C42D4"/>
    <w:rsid w:val="009C4FC0"/>
    <w:rsid w:val="009C4FF4"/>
    <w:rsid w:val="009C703E"/>
    <w:rsid w:val="009D0DF8"/>
    <w:rsid w:val="009D2F99"/>
    <w:rsid w:val="009D3195"/>
    <w:rsid w:val="009D34EC"/>
    <w:rsid w:val="009D354F"/>
    <w:rsid w:val="009D3BF4"/>
    <w:rsid w:val="009D4B42"/>
    <w:rsid w:val="009D5EF8"/>
    <w:rsid w:val="009D72EC"/>
    <w:rsid w:val="009D744D"/>
    <w:rsid w:val="009E20CD"/>
    <w:rsid w:val="009E2267"/>
    <w:rsid w:val="009E2945"/>
    <w:rsid w:val="009E3276"/>
    <w:rsid w:val="009E4004"/>
    <w:rsid w:val="009E4897"/>
    <w:rsid w:val="009E4F4A"/>
    <w:rsid w:val="009E59FD"/>
    <w:rsid w:val="009E74CE"/>
    <w:rsid w:val="009E7BE4"/>
    <w:rsid w:val="009F24E1"/>
    <w:rsid w:val="009F455D"/>
    <w:rsid w:val="009F49F9"/>
    <w:rsid w:val="009F4B44"/>
    <w:rsid w:val="009F5232"/>
    <w:rsid w:val="009F5892"/>
    <w:rsid w:val="009F5A50"/>
    <w:rsid w:val="009F6C21"/>
    <w:rsid w:val="009F70CD"/>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6986"/>
    <w:rsid w:val="00A073A7"/>
    <w:rsid w:val="00A111A7"/>
    <w:rsid w:val="00A112CD"/>
    <w:rsid w:val="00A11349"/>
    <w:rsid w:val="00A13C64"/>
    <w:rsid w:val="00A1449B"/>
    <w:rsid w:val="00A14D75"/>
    <w:rsid w:val="00A1535E"/>
    <w:rsid w:val="00A154CE"/>
    <w:rsid w:val="00A1591D"/>
    <w:rsid w:val="00A170CB"/>
    <w:rsid w:val="00A1717D"/>
    <w:rsid w:val="00A1753F"/>
    <w:rsid w:val="00A177D3"/>
    <w:rsid w:val="00A17CBC"/>
    <w:rsid w:val="00A2081C"/>
    <w:rsid w:val="00A21615"/>
    <w:rsid w:val="00A217A0"/>
    <w:rsid w:val="00A2339A"/>
    <w:rsid w:val="00A238F6"/>
    <w:rsid w:val="00A2444D"/>
    <w:rsid w:val="00A24BB8"/>
    <w:rsid w:val="00A25A34"/>
    <w:rsid w:val="00A26205"/>
    <w:rsid w:val="00A263A2"/>
    <w:rsid w:val="00A27274"/>
    <w:rsid w:val="00A2730F"/>
    <w:rsid w:val="00A27CC0"/>
    <w:rsid w:val="00A30301"/>
    <w:rsid w:val="00A319BC"/>
    <w:rsid w:val="00A325E8"/>
    <w:rsid w:val="00A32F18"/>
    <w:rsid w:val="00A33D3D"/>
    <w:rsid w:val="00A33E6D"/>
    <w:rsid w:val="00A34014"/>
    <w:rsid w:val="00A34C8B"/>
    <w:rsid w:val="00A34F43"/>
    <w:rsid w:val="00A35873"/>
    <w:rsid w:val="00A35A37"/>
    <w:rsid w:val="00A36554"/>
    <w:rsid w:val="00A3724F"/>
    <w:rsid w:val="00A37298"/>
    <w:rsid w:val="00A377FA"/>
    <w:rsid w:val="00A37D3E"/>
    <w:rsid w:val="00A37E62"/>
    <w:rsid w:val="00A407EB"/>
    <w:rsid w:val="00A40E39"/>
    <w:rsid w:val="00A41BCE"/>
    <w:rsid w:val="00A424EB"/>
    <w:rsid w:val="00A42D3D"/>
    <w:rsid w:val="00A42EAD"/>
    <w:rsid w:val="00A460CA"/>
    <w:rsid w:val="00A4633D"/>
    <w:rsid w:val="00A46442"/>
    <w:rsid w:val="00A46609"/>
    <w:rsid w:val="00A46829"/>
    <w:rsid w:val="00A47022"/>
    <w:rsid w:val="00A4719F"/>
    <w:rsid w:val="00A47580"/>
    <w:rsid w:val="00A509D5"/>
    <w:rsid w:val="00A5138A"/>
    <w:rsid w:val="00A52137"/>
    <w:rsid w:val="00A5247E"/>
    <w:rsid w:val="00A52A6E"/>
    <w:rsid w:val="00A52B19"/>
    <w:rsid w:val="00A5306C"/>
    <w:rsid w:val="00A541E7"/>
    <w:rsid w:val="00A541EF"/>
    <w:rsid w:val="00A54BE2"/>
    <w:rsid w:val="00A54E07"/>
    <w:rsid w:val="00A55468"/>
    <w:rsid w:val="00A55579"/>
    <w:rsid w:val="00A557D6"/>
    <w:rsid w:val="00A562A9"/>
    <w:rsid w:val="00A57138"/>
    <w:rsid w:val="00A572EC"/>
    <w:rsid w:val="00A60543"/>
    <w:rsid w:val="00A6081C"/>
    <w:rsid w:val="00A61E9B"/>
    <w:rsid w:val="00A62983"/>
    <w:rsid w:val="00A632FA"/>
    <w:rsid w:val="00A66476"/>
    <w:rsid w:val="00A6676E"/>
    <w:rsid w:val="00A66926"/>
    <w:rsid w:val="00A66E99"/>
    <w:rsid w:val="00A67F0A"/>
    <w:rsid w:val="00A70235"/>
    <w:rsid w:val="00A70422"/>
    <w:rsid w:val="00A709D8"/>
    <w:rsid w:val="00A712CE"/>
    <w:rsid w:val="00A714AC"/>
    <w:rsid w:val="00A730B5"/>
    <w:rsid w:val="00A73303"/>
    <w:rsid w:val="00A7339F"/>
    <w:rsid w:val="00A75291"/>
    <w:rsid w:val="00A75C6C"/>
    <w:rsid w:val="00A76857"/>
    <w:rsid w:val="00A76974"/>
    <w:rsid w:val="00A76977"/>
    <w:rsid w:val="00A76C33"/>
    <w:rsid w:val="00A76D2D"/>
    <w:rsid w:val="00A81689"/>
    <w:rsid w:val="00A823A2"/>
    <w:rsid w:val="00A82B9E"/>
    <w:rsid w:val="00A82D7A"/>
    <w:rsid w:val="00A83588"/>
    <w:rsid w:val="00A835A9"/>
    <w:rsid w:val="00A836D8"/>
    <w:rsid w:val="00A83B1F"/>
    <w:rsid w:val="00A84430"/>
    <w:rsid w:val="00A85312"/>
    <w:rsid w:val="00A85E84"/>
    <w:rsid w:val="00A85EB8"/>
    <w:rsid w:val="00A8606A"/>
    <w:rsid w:val="00A86781"/>
    <w:rsid w:val="00A8699B"/>
    <w:rsid w:val="00A86C00"/>
    <w:rsid w:val="00A879A3"/>
    <w:rsid w:val="00A87E42"/>
    <w:rsid w:val="00A90859"/>
    <w:rsid w:val="00A90FCC"/>
    <w:rsid w:val="00A911AC"/>
    <w:rsid w:val="00A915BF"/>
    <w:rsid w:val="00A91E31"/>
    <w:rsid w:val="00A91E43"/>
    <w:rsid w:val="00A9212A"/>
    <w:rsid w:val="00A92F8D"/>
    <w:rsid w:val="00A936BD"/>
    <w:rsid w:val="00A94247"/>
    <w:rsid w:val="00A957B9"/>
    <w:rsid w:val="00A9672F"/>
    <w:rsid w:val="00A967A7"/>
    <w:rsid w:val="00A97708"/>
    <w:rsid w:val="00A97A61"/>
    <w:rsid w:val="00AA066A"/>
    <w:rsid w:val="00AA07A9"/>
    <w:rsid w:val="00AA0FF2"/>
    <w:rsid w:val="00AA1C0E"/>
    <w:rsid w:val="00AA33D3"/>
    <w:rsid w:val="00AA3613"/>
    <w:rsid w:val="00AA44F8"/>
    <w:rsid w:val="00AA4F65"/>
    <w:rsid w:val="00AA5410"/>
    <w:rsid w:val="00AA69BA"/>
    <w:rsid w:val="00AA6CA3"/>
    <w:rsid w:val="00AA73DA"/>
    <w:rsid w:val="00AA7475"/>
    <w:rsid w:val="00AA756C"/>
    <w:rsid w:val="00AA7A39"/>
    <w:rsid w:val="00AB0367"/>
    <w:rsid w:val="00AB0A1B"/>
    <w:rsid w:val="00AB1845"/>
    <w:rsid w:val="00AB2AFC"/>
    <w:rsid w:val="00AB3345"/>
    <w:rsid w:val="00AB39F7"/>
    <w:rsid w:val="00AB3E20"/>
    <w:rsid w:val="00AB47A9"/>
    <w:rsid w:val="00AB4E1F"/>
    <w:rsid w:val="00AB5CAE"/>
    <w:rsid w:val="00AB61AF"/>
    <w:rsid w:val="00AB61F7"/>
    <w:rsid w:val="00AB7A09"/>
    <w:rsid w:val="00AB7ED1"/>
    <w:rsid w:val="00AC1518"/>
    <w:rsid w:val="00AC16D4"/>
    <w:rsid w:val="00AC16FB"/>
    <w:rsid w:val="00AC17C7"/>
    <w:rsid w:val="00AC18E1"/>
    <w:rsid w:val="00AC1B8D"/>
    <w:rsid w:val="00AC1BC9"/>
    <w:rsid w:val="00AC1DAE"/>
    <w:rsid w:val="00AC2503"/>
    <w:rsid w:val="00AC292D"/>
    <w:rsid w:val="00AC53A7"/>
    <w:rsid w:val="00AC5529"/>
    <w:rsid w:val="00AC611F"/>
    <w:rsid w:val="00AC6C35"/>
    <w:rsid w:val="00AC6EB9"/>
    <w:rsid w:val="00AC6FDC"/>
    <w:rsid w:val="00AC730E"/>
    <w:rsid w:val="00AC75D2"/>
    <w:rsid w:val="00AC7FD1"/>
    <w:rsid w:val="00AD025A"/>
    <w:rsid w:val="00AD02A9"/>
    <w:rsid w:val="00AD0E12"/>
    <w:rsid w:val="00AD2E76"/>
    <w:rsid w:val="00AD3429"/>
    <w:rsid w:val="00AD3879"/>
    <w:rsid w:val="00AD4B42"/>
    <w:rsid w:val="00AD4C10"/>
    <w:rsid w:val="00AD506E"/>
    <w:rsid w:val="00AD5D93"/>
    <w:rsid w:val="00AD5ED3"/>
    <w:rsid w:val="00AD6654"/>
    <w:rsid w:val="00AD69CE"/>
    <w:rsid w:val="00AD6A09"/>
    <w:rsid w:val="00AD6B06"/>
    <w:rsid w:val="00AD6D16"/>
    <w:rsid w:val="00AD7AE2"/>
    <w:rsid w:val="00AE07B1"/>
    <w:rsid w:val="00AE0B85"/>
    <w:rsid w:val="00AE0C9B"/>
    <w:rsid w:val="00AE30E4"/>
    <w:rsid w:val="00AE316C"/>
    <w:rsid w:val="00AE56C2"/>
    <w:rsid w:val="00AE5B67"/>
    <w:rsid w:val="00AE7F76"/>
    <w:rsid w:val="00AF03D3"/>
    <w:rsid w:val="00AF062F"/>
    <w:rsid w:val="00AF09A4"/>
    <w:rsid w:val="00AF14F2"/>
    <w:rsid w:val="00AF159C"/>
    <w:rsid w:val="00AF1C85"/>
    <w:rsid w:val="00AF27D6"/>
    <w:rsid w:val="00AF292D"/>
    <w:rsid w:val="00AF2A99"/>
    <w:rsid w:val="00AF39EA"/>
    <w:rsid w:val="00AF3BE7"/>
    <w:rsid w:val="00AF451B"/>
    <w:rsid w:val="00AF4B4A"/>
    <w:rsid w:val="00AF4BAB"/>
    <w:rsid w:val="00AF4F23"/>
    <w:rsid w:val="00AF4F71"/>
    <w:rsid w:val="00AF694E"/>
    <w:rsid w:val="00AF7086"/>
    <w:rsid w:val="00AF717A"/>
    <w:rsid w:val="00B011C6"/>
    <w:rsid w:val="00B032E6"/>
    <w:rsid w:val="00B03920"/>
    <w:rsid w:val="00B040AC"/>
    <w:rsid w:val="00B05ED3"/>
    <w:rsid w:val="00B07467"/>
    <w:rsid w:val="00B07A8E"/>
    <w:rsid w:val="00B07DB4"/>
    <w:rsid w:val="00B10E43"/>
    <w:rsid w:val="00B12207"/>
    <w:rsid w:val="00B1227E"/>
    <w:rsid w:val="00B12575"/>
    <w:rsid w:val="00B13DA2"/>
    <w:rsid w:val="00B13F13"/>
    <w:rsid w:val="00B140D9"/>
    <w:rsid w:val="00B141A5"/>
    <w:rsid w:val="00B14908"/>
    <w:rsid w:val="00B14D3F"/>
    <w:rsid w:val="00B15871"/>
    <w:rsid w:val="00B1601E"/>
    <w:rsid w:val="00B170F8"/>
    <w:rsid w:val="00B17105"/>
    <w:rsid w:val="00B179E8"/>
    <w:rsid w:val="00B17FF5"/>
    <w:rsid w:val="00B208AD"/>
    <w:rsid w:val="00B2101A"/>
    <w:rsid w:val="00B21C19"/>
    <w:rsid w:val="00B226E4"/>
    <w:rsid w:val="00B233F9"/>
    <w:rsid w:val="00B24B39"/>
    <w:rsid w:val="00B253FE"/>
    <w:rsid w:val="00B25C7C"/>
    <w:rsid w:val="00B26E05"/>
    <w:rsid w:val="00B270E9"/>
    <w:rsid w:val="00B27FDD"/>
    <w:rsid w:val="00B30319"/>
    <w:rsid w:val="00B309B0"/>
    <w:rsid w:val="00B30DA5"/>
    <w:rsid w:val="00B3108F"/>
    <w:rsid w:val="00B31B3A"/>
    <w:rsid w:val="00B3257A"/>
    <w:rsid w:val="00B33C76"/>
    <w:rsid w:val="00B33C98"/>
    <w:rsid w:val="00B34D18"/>
    <w:rsid w:val="00B358C9"/>
    <w:rsid w:val="00B35BA4"/>
    <w:rsid w:val="00B35D61"/>
    <w:rsid w:val="00B36B45"/>
    <w:rsid w:val="00B36FA9"/>
    <w:rsid w:val="00B37ACC"/>
    <w:rsid w:val="00B402EE"/>
    <w:rsid w:val="00B40985"/>
    <w:rsid w:val="00B40D88"/>
    <w:rsid w:val="00B4169A"/>
    <w:rsid w:val="00B41DBB"/>
    <w:rsid w:val="00B42508"/>
    <w:rsid w:val="00B42611"/>
    <w:rsid w:val="00B42DA5"/>
    <w:rsid w:val="00B4359C"/>
    <w:rsid w:val="00B4429A"/>
    <w:rsid w:val="00B45112"/>
    <w:rsid w:val="00B452EB"/>
    <w:rsid w:val="00B460F8"/>
    <w:rsid w:val="00B465CC"/>
    <w:rsid w:val="00B471EC"/>
    <w:rsid w:val="00B47A83"/>
    <w:rsid w:val="00B47EBB"/>
    <w:rsid w:val="00B500AF"/>
    <w:rsid w:val="00B506B0"/>
    <w:rsid w:val="00B5233B"/>
    <w:rsid w:val="00B5383C"/>
    <w:rsid w:val="00B539E9"/>
    <w:rsid w:val="00B53A30"/>
    <w:rsid w:val="00B5500B"/>
    <w:rsid w:val="00B551E4"/>
    <w:rsid w:val="00B555F2"/>
    <w:rsid w:val="00B5661C"/>
    <w:rsid w:val="00B569A6"/>
    <w:rsid w:val="00B56B0D"/>
    <w:rsid w:val="00B56C79"/>
    <w:rsid w:val="00B577C8"/>
    <w:rsid w:val="00B60F87"/>
    <w:rsid w:val="00B60F8D"/>
    <w:rsid w:val="00B61FEC"/>
    <w:rsid w:val="00B621F0"/>
    <w:rsid w:val="00B625FF"/>
    <w:rsid w:val="00B62859"/>
    <w:rsid w:val="00B62B31"/>
    <w:rsid w:val="00B633A4"/>
    <w:rsid w:val="00B63A84"/>
    <w:rsid w:val="00B63B36"/>
    <w:rsid w:val="00B63C77"/>
    <w:rsid w:val="00B64423"/>
    <w:rsid w:val="00B64515"/>
    <w:rsid w:val="00B6478A"/>
    <w:rsid w:val="00B64C6D"/>
    <w:rsid w:val="00B673C1"/>
    <w:rsid w:val="00B7007C"/>
    <w:rsid w:val="00B70492"/>
    <w:rsid w:val="00B70B25"/>
    <w:rsid w:val="00B712DB"/>
    <w:rsid w:val="00B71B5B"/>
    <w:rsid w:val="00B7286A"/>
    <w:rsid w:val="00B72FA6"/>
    <w:rsid w:val="00B73BA9"/>
    <w:rsid w:val="00B747A5"/>
    <w:rsid w:val="00B748E7"/>
    <w:rsid w:val="00B74A34"/>
    <w:rsid w:val="00B74AB9"/>
    <w:rsid w:val="00B74C62"/>
    <w:rsid w:val="00B7510A"/>
    <w:rsid w:val="00B75C2B"/>
    <w:rsid w:val="00B75F2D"/>
    <w:rsid w:val="00B760D5"/>
    <w:rsid w:val="00B764C5"/>
    <w:rsid w:val="00B76B28"/>
    <w:rsid w:val="00B77409"/>
    <w:rsid w:val="00B77865"/>
    <w:rsid w:val="00B801CF"/>
    <w:rsid w:val="00B80E16"/>
    <w:rsid w:val="00B81A94"/>
    <w:rsid w:val="00B81C23"/>
    <w:rsid w:val="00B82CFB"/>
    <w:rsid w:val="00B83605"/>
    <w:rsid w:val="00B83B89"/>
    <w:rsid w:val="00B83E0B"/>
    <w:rsid w:val="00B8437E"/>
    <w:rsid w:val="00B849C4"/>
    <w:rsid w:val="00B859B3"/>
    <w:rsid w:val="00B8618E"/>
    <w:rsid w:val="00B86F28"/>
    <w:rsid w:val="00B87A6C"/>
    <w:rsid w:val="00B87C72"/>
    <w:rsid w:val="00B87DA5"/>
    <w:rsid w:val="00B91F61"/>
    <w:rsid w:val="00B929DA"/>
    <w:rsid w:val="00B92EA3"/>
    <w:rsid w:val="00B9362F"/>
    <w:rsid w:val="00B9587A"/>
    <w:rsid w:val="00B96031"/>
    <w:rsid w:val="00BA0236"/>
    <w:rsid w:val="00BA2DAB"/>
    <w:rsid w:val="00BA3630"/>
    <w:rsid w:val="00BA3DD7"/>
    <w:rsid w:val="00BA4461"/>
    <w:rsid w:val="00BA498F"/>
    <w:rsid w:val="00BA49FF"/>
    <w:rsid w:val="00BA4D94"/>
    <w:rsid w:val="00BA4EBA"/>
    <w:rsid w:val="00BA66C5"/>
    <w:rsid w:val="00BA6805"/>
    <w:rsid w:val="00BA7E7F"/>
    <w:rsid w:val="00BB0474"/>
    <w:rsid w:val="00BB0B20"/>
    <w:rsid w:val="00BB19C4"/>
    <w:rsid w:val="00BB3656"/>
    <w:rsid w:val="00BB4267"/>
    <w:rsid w:val="00BB442B"/>
    <w:rsid w:val="00BB476D"/>
    <w:rsid w:val="00BB4AC7"/>
    <w:rsid w:val="00BB4B07"/>
    <w:rsid w:val="00BB4D0E"/>
    <w:rsid w:val="00BB542E"/>
    <w:rsid w:val="00BB561C"/>
    <w:rsid w:val="00BB5C84"/>
    <w:rsid w:val="00BB6098"/>
    <w:rsid w:val="00BB6A59"/>
    <w:rsid w:val="00BB6B00"/>
    <w:rsid w:val="00BB721E"/>
    <w:rsid w:val="00BB7A1D"/>
    <w:rsid w:val="00BC021F"/>
    <w:rsid w:val="00BC0A80"/>
    <w:rsid w:val="00BC0A92"/>
    <w:rsid w:val="00BC0BD4"/>
    <w:rsid w:val="00BC0D27"/>
    <w:rsid w:val="00BC144E"/>
    <w:rsid w:val="00BC1506"/>
    <w:rsid w:val="00BC1F17"/>
    <w:rsid w:val="00BC23DB"/>
    <w:rsid w:val="00BC333C"/>
    <w:rsid w:val="00BC4095"/>
    <w:rsid w:val="00BC49E9"/>
    <w:rsid w:val="00BC4A56"/>
    <w:rsid w:val="00BC51CB"/>
    <w:rsid w:val="00BC5461"/>
    <w:rsid w:val="00BC64C1"/>
    <w:rsid w:val="00BC6702"/>
    <w:rsid w:val="00BC67A4"/>
    <w:rsid w:val="00BC6D56"/>
    <w:rsid w:val="00BC7774"/>
    <w:rsid w:val="00BC7D8D"/>
    <w:rsid w:val="00BD0A27"/>
    <w:rsid w:val="00BD2513"/>
    <w:rsid w:val="00BD2BD5"/>
    <w:rsid w:val="00BD2C5E"/>
    <w:rsid w:val="00BD2D3A"/>
    <w:rsid w:val="00BD3E6A"/>
    <w:rsid w:val="00BD4014"/>
    <w:rsid w:val="00BD457C"/>
    <w:rsid w:val="00BD594D"/>
    <w:rsid w:val="00BD5AA5"/>
    <w:rsid w:val="00BD6427"/>
    <w:rsid w:val="00BD7BB6"/>
    <w:rsid w:val="00BE00DD"/>
    <w:rsid w:val="00BE0ADD"/>
    <w:rsid w:val="00BE11BB"/>
    <w:rsid w:val="00BE1C34"/>
    <w:rsid w:val="00BE24E5"/>
    <w:rsid w:val="00BE2922"/>
    <w:rsid w:val="00BE3E5E"/>
    <w:rsid w:val="00BE405A"/>
    <w:rsid w:val="00BE4B83"/>
    <w:rsid w:val="00BE4F15"/>
    <w:rsid w:val="00BE56C1"/>
    <w:rsid w:val="00BE5744"/>
    <w:rsid w:val="00BE57EC"/>
    <w:rsid w:val="00BE65E4"/>
    <w:rsid w:val="00BE6902"/>
    <w:rsid w:val="00BE693F"/>
    <w:rsid w:val="00BE799D"/>
    <w:rsid w:val="00BE7BA8"/>
    <w:rsid w:val="00BE7E19"/>
    <w:rsid w:val="00BF0332"/>
    <w:rsid w:val="00BF0B08"/>
    <w:rsid w:val="00BF3987"/>
    <w:rsid w:val="00BF3CFE"/>
    <w:rsid w:val="00BF447A"/>
    <w:rsid w:val="00BF481C"/>
    <w:rsid w:val="00BF5564"/>
    <w:rsid w:val="00BF5733"/>
    <w:rsid w:val="00BF5CD2"/>
    <w:rsid w:val="00BF5CEF"/>
    <w:rsid w:val="00BF6F52"/>
    <w:rsid w:val="00BF7189"/>
    <w:rsid w:val="00C012A1"/>
    <w:rsid w:val="00C01986"/>
    <w:rsid w:val="00C01A60"/>
    <w:rsid w:val="00C01B61"/>
    <w:rsid w:val="00C03B79"/>
    <w:rsid w:val="00C0420F"/>
    <w:rsid w:val="00C042A3"/>
    <w:rsid w:val="00C0451F"/>
    <w:rsid w:val="00C059B3"/>
    <w:rsid w:val="00C067F2"/>
    <w:rsid w:val="00C06B54"/>
    <w:rsid w:val="00C07438"/>
    <w:rsid w:val="00C101CE"/>
    <w:rsid w:val="00C10793"/>
    <w:rsid w:val="00C10F4D"/>
    <w:rsid w:val="00C11190"/>
    <w:rsid w:val="00C117A3"/>
    <w:rsid w:val="00C12071"/>
    <w:rsid w:val="00C126CC"/>
    <w:rsid w:val="00C13597"/>
    <w:rsid w:val="00C144C7"/>
    <w:rsid w:val="00C158E7"/>
    <w:rsid w:val="00C17800"/>
    <w:rsid w:val="00C20094"/>
    <w:rsid w:val="00C206C2"/>
    <w:rsid w:val="00C2086C"/>
    <w:rsid w:val="00C208C0"/>
    <w:rsid w:val="00C20EEA"/>
    <w:rsid w:val="00C21025"/>
    <w:rsid w:val="00C22255"/>
    <w:rsid w:val="00C22266"/>
    <w:rsid w:val="00C2251A"/>
    <w:rsid w:val="00C22E6D"/>
    <w:rsid w:val="00C23734"/>
    <w:rsid w:val="00C23BCE"/>
    <w:rsid w:val="00C23BE5"/>
    <w:rsid w:val="00C249D9"/>
    <w:rsid w:val="00C24E47"/>
    <w:rsid w:val="00C253B6"/>
    <w:rsid w:val="00C25C16"/>
    <w:rsid w:val="00C261B6"/>
    <w:rsid w:val="00C300C4"/>
    <w:rsid w:val="00C3223B"/>
    <w:rsid w:val="00C32851"/>
    <w:rsid w:val="00C3348C"/>
    <w:rsid w:val="00C33A4B"/>
    <w:rsid w:val="00C35D29"/>
    <w:rsid w:val="00C37330"/>
    <w:rsid w:val="00C37A38"/>
    <w:rsid w:val="00C405F2"/>
    <w:rsid w:val="00C40639"/>
    <w:rsid w:val="00C40E8A"/>
    <w:rsid w:val="00C41F38"/>
    <w:rsid w:val="00C432BA"/>
    <w:rsid w:val="00C438B0"/>
    <w:rsid w:val="00C43D2F"/>
    <w:rsid w:val="00C441E2"/>
    <w:rsid w:val="00C4436C"/>
    <w:rsid w:val="00C44C58"/>
    <w:rsid w:val="00C44C60"/>
    <w:rsid w:val="00C45DAE"/>
    <w:rsid w:val="00C46DE6"/>
    <w:rsid w:val="00C46F16"/>
    <w:rsid w:val="00C476E4"/>
    <w:rsid w:val="00C47C99"/>
    <w:rsid w:val="00C51060"/>
    <w:rsid w:val="00C5200C"/>
    <w:rsid w:val="00C535C9"/>
    <w:rsid w:val="00C53830"/>
    <w:rsid w:val="00C540FC"/>
    <w:rsid w:val="00C54C00"/>
    <w:rsid w:val="00C55197"/>
    <w:rsid w:val="00C554C6"/>
    <w:rsid w:val="00C55736"/>
    <w:rsid w:val="00C55BC4"/>
    <w:rsid w:val="00C56592"/>
    <w:rsid w:val="00C565EF"/>
    <w:rsid w:val="00C609F5"/>
    <w:rsid w:val="00C60FD8"/>
    <w:rsid w:val="00C61829"/>
    <w:rsid w:val="00C61E8D"/>
    <w:rsid w:val="00C6201A"/>
    <w:rsid w:val="00C63254"/>
    <w:rsid w:val="00C6363D"/>
    <w:rsid w:val="00C6513B"/>
    <w:rsid w:val="00C653BE"/>
    <w:rsid w:val="00C65964"/>
    <w:rsid w:val="00C6664E"/>
    <w:rsid w:val="00C67B72"/>
    <w:rsid w:val="00C67E4F"/>
    <w:rsid w:val="00C70469"/>
    <w:rsid w:val="00C70805"/>
    <w:rsid w:val="00C7142D"/>
    <w:rsid w:val="00C72721"/>
    <w:rsid w:val="00C73383"/>
    <w:rsid w:val="00C73D0A"/>
    <w:rsid w:val="00C7494C"/>
    <w:rsid w:val="00C75109"/>
    <w:rsid w:val="00C75233"/>
    <w:rsid w:val="00C752F4"/>
    <w:rsid w:val="00C75379"/>
    <w:rsid w:val="00C7629B"/>
    <w:rsid w:val="00C7645D"/>
    <w:rsid w:val="00C76D09"/>
    <w:rsid w:val="00C76D74"/>
    <w:rsid w:val="00C809A2"/>
    <w:rsid w:val="00C81A91"/>
    <w:rsid w:val="00C81E31"/>
    <w:rsid w:val="00C8336C"/>
    <w:rsid w:val="00C8443D"/>
    <w:rsid w:val="00C8469F"/>
    <w:rsid w:val="00C8508E"/>
    <w:rsid w:val="00C8725B"/>
    <w:rsid w:val="00C875BC"/>
    <w:rsid w:val="00C91366"/>
    <w:rsid w:val="00C914D2"/>
    <w:rsid w:val="00C91705"/>
    <w:rsid w:val="00C92025"/>
    <w:rsid w:val="00C926D2"/>
    <w:rsid w:val="00C92C6F"/>
    <w:rsid w:val="00C936D9"/>
    <w:rsid w:val="00C93DF6"/>
    <w:rsid w:val="00C93EE3"/>
    <w:rsid w:val="00C940D8"/>
    <w:rsid w:val="00C9621A"/>
    <w:rsid w:val="00C96291"/>
    <w:rsid w:val="00C9678D"/>
    <w:rsid w:val="00C96EB4"/>
    <w:rsid w:val="00C97070"/>
    <w:rsid w:val="00C9739D"/>
    <w:rsid w:val="00C9794C"/>
    <w:rsid w:val="00CA050E"/>
    <w:rsid w:val="00CA0716"/>
    <w:rsid w:val="00CA0EAC"/>
    <w:rsid w:val="00CA345C"/>
    <w:rsid w:val="00CA3879"/>
    <w:rsid w:val="00CA446A"/>
    <w:rsid w:val="00CA46E9"/>
    <w:rsid w:val="00CA4B62"/>
    <w:rsid w:val="00CA5154"/>
    <w:rsid w:val="00CA5206"/>
    <w:rsid w:val="00CA5AF6"/>
    <w:rsid w:val="00CA5CE2"/>
    <w:rsid w:val="00CA77F6"/>
    <w:rsid w:val="00CA7B6B"/>
    <w:rsid w:val="00CB099D"/>
    <w:rsid w:val="00CB0D6B"/>
    <w:rsid w:val="00CB12F8"/>
    <w:rsid w:val="00CB1BB3"/>
    <w:rsid w:val="00CB2152"/>
    <w:rsid w:val="00CB21C4"/>
    <w:rsid w:val="00CB239C"/>
    <w:rsid w:val="00CB29F2"/>
    <w:rsid w:val="00CB2B49"/>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0B9"/>
    <w:rsid w:val="00CC6334"/>
    <w:rsid w:val="00CC6972"/>
    <w:rsid w:val="00CC6F21"/>
    <w:rsid w:val="00CD027C"/>
    <w:rsid w:val="00CD02FA"/>
    <w:rsid w:val="00CD0667"/>
    <w:rsid w:val="00CD2066"/>
    <w:rsid w:val="00CD2964"/>
    <w:rsid w:val="00CD3E8E"/>
    <w:rsid w:val="00CD427A"/>
    <w:rsid w:val="00CD4E72"/>
    <w:rsid w:val="00CD6044"/>
    <w:rsid w:val="00CD6F5D"/>
    <w:rsid w:val="00CD7052"/>
    <w:rsid w:val="00CD7142"/>
    <w:rsid w:val="00CE0C5F"/>
    <w:rsid w:val="00CE167A"/>
    <w:rsid w:val="00CE169E"/>
    <w:rsid w:val="00CE2F88"/>
    <w:rsid w:val="00CE3343"/>
    <w:rsid w:val="00CE36A6"/>
    <w:rsid w:val="00CE3E49"/>
    <w:rsid w:val="00CE4942"/>
    <w:rsid w:val="00CE4D53"/>
    <w:rsid w:val="00CE5533"/>
    <w:rsid w:val="00CE567D"/>
    <w:rsid w:val="00CE5847"/>
    <w:rsid w:val="00CE5C85"/>
    <w:rsid w:val="00CE5EDA"/>
    <w:rsid w:val="00CE6123"/>
    <w:rsid w:val="00CE65F4"/>
    <w:rsid w:val="00CE6C0A"/>
    <w:rsid w:val="00CE6CE2"/>
    <w:rsid w:val="00CE6CF3"/>
    <w:rsid w:val="00CE6D10"/>
    <w:rsid w:val="00CF06D0"/>
    <w:rsid w:val="00CF0C8D"/>
    <w:rsid w:val="00CF1E8B"/>
    <w:rsid w:val="00CF23B9"/>
    <w:rsid w:val="00CF26A4"/>
    <w:rsid w:val="00CF2E34"/>
    <w:rsid w:val="00CF5308"/>
    <w:rsid w:val="00CF5F70"/>
    <w:rsid w:val="00CF66F3"/>
    <w:rsid w:val="00CF6C57"/>
    <w:rsid w:val="00CF6D5B"/>
    <w:rsid w:val="00D00653"/>
    <w:rsid w:val="00D0369A"/>
    <w:rsid w:val="00D03C20"/>
    <w:rsid w:val="00D03EAC"/>
    <w:rsid w:val="00D0430C"/>
    <w:rsid w:val="00D0467A"/>
    <w:rsid w:val="00D04755"/>
    <w:rsid w:val="00D04944"/>
    <w:rsid w:val="00D0497E"/>
    <w:rsid w:val="00D049D6"/>
    <w:rsid w:val="00D06619"/>
    <w:rsid w:val="00D06797"/>
    <w:rsid w:val="00D109DF"/>
    <w:rsid w:val="00D12012"/>
    <w:rsid w:val="00D12550"/>
    <w:rsid w:val="00D12EE7"/>
    <w:rsid w:val="00D14E4F"/>
    <w:rsid w:val="00D14FA9"/>
    <w:rsid w:val="00D1641C"/>
    <w:rsid w:val="00D169B8"/>
    <w:rsid w:val="00D23BBC"/>
    <w:rsid w:val="00D249AD"/>
    <w:rsid w:val="00D24B26"/>
    <w:rsid w:val="00D24D57"/>
    <w:rsid w:val="00D25E93"/>
    <w:rsid w:val="00D266C9"/>
    <w:rsid w:val="00D2687F"/>
    <w:rsid w:val="00D27691"/>
    <w:rsid w:val="00D27950"/>
    <w:rsid w:val="00D27978"/>
    <w:rsid w:val="00D27C75"/>
    <w:rsid w:val="00D303B9"/>
    <w:rsid w:val="00D308C5"/>
    <w:rsid w:val="00D3101C"/>
    <w:rsid w:val="00D310F0"/>
    <w:rsid w:val="00D31939"/>
    <w:rsid w:val="00D32374"/>
    <w:rsid w:val="00D32775"/>
    <w:rsid w:val="00D32A3B"/>
    <w:rsid w:val="00D32F6D"/>
    <w:rsid w:val="00D34FA7"/>
    <w:rsid w:val="00D354D2"/>
    <w:rsid w:val="00D36782"/>
    <w:rsid w:val="00D36D2B"/>
    <w:rsid w:val="00D37375"/>
    <w:rsid w:val="00D379B5"/>
    <w:rsid w:val="00D37F5E"/>
    <w:rsid w:val="00D4023A"/>
    <w:rsid w:val="00D40378"/>
    <w:rsid w:val="00D41107"/>
    <w:rsid w:val="00D41363"/>
    <w:rsid w:val="00D41E28"/>
    <w:rsid w:val="00D42CA0"/>
    <w:rsid w:val="00D42EBA"/>
    <w:rsid w:val="00D430C8"/>
    <w:rsid w:val="00D462EA"/>
    <w:rsid w:val="00D46690"/>
    <w:rsid w:val="00D46979"/>
    <w:rsid w:val="00D46B1F"/>
    <w:rsid w:val="00D47BFD"/>
    <w:rsid w:val="00D47D92"/>
    <w:rsid w:val="00D50844"/>
    <w:rsid w:val="00D51094"/>
    <w:rsid w:val="00D51C38"/>
    <w:rsid w:val="00D5397F"/>
    <w:rsid w:val="00D54532"/>
    <w:rsid w:val="00D54C67"/>
    <w:rsid w:val="00D55701"/>
    <w:rsid w:val="00D5638C"/>
    <w:rsid w:val="00D566A5"/>
    <w:rsid w:val="00D57AE8"/>
    <w:rsid w:val="00D57D04"/>
    <w:rsid w:val="00D601AC"/>
    <w:rsid w:val="00D60D28"/>
    <w:rsid w:val="00D618BD"/>
    <w:rsid w:val="00D62E5C"/>
    <w:rsid w:val="00D62E77"/>
    <w:rsid w:val="00D62F84"/>
    <w:rsid w:val="00D63B3A"/>
    <w:rsid w:val="00D63ED9"/>
    <w:rsid w:val="00D6432F"/>
    <w:rsid w:val="00D649E6"/>
    <w:rsid w:val="00D64B85"/>
    <w:rsid w:val="00D64CBA"/>
    <w:rsid w:val="00D64F32"/>
    <w:rsid w:val="00D64FF2"/>
    <w:rsid w:val="00D64FF5"/>
    <w:rsid w:val="00D65D0B"/>
    <w:rsid w:val="00D66207"/>
    <w:rsid w:val="00D674F7"/>
    <w:rsid w:val="00D70D88"/>
    <w:rsid w:val="00D711DA"/>
    <w:rsid w:val="00D71D27"/>
    <w:rsid w:val="00D7241A"/>
    <w:rsid w:val="00D72C3F"/>
    <w:rsid w:val="00D73884"/>
    <w:rsid w:val="00D75780"/>
    <w:rsid w:val="00D763BF"/>
    <w:rsid w:val="00D8059F"/>
    <w:rsid w:val="00D80D61"/>
    <w:rsid w:val="00D80EF2"/>
    <w:rsid w:val="00D824C4"/>
    <w:rsid w:val="00D8301A"/>
    <w:rsid w:val="00D83B88"/>
    <w:rsid w:val="00D83BD3"/>
    <w:rsid w:val="00D83CB1"/>
    <w:rsid w:val="00D84888"/>
    <w:rsid w:val="00D84A34"/>
    <w:rsid w:val="00D85852"/>
    <w:rsid w:val="00D85BDE"/>
    <w:rsid w:val="00D85C73"/>
    <w:rsid w:val="00D86275"/>
    <w:rsid w:val="00D8685D"/>
    <w:rsid w:val="00D87500"/>
    <w:rsid w:val="00D8765A"/>
    <w:rsid w:val="00D90622"/>
    <w:rsid w:val="00D9069C"/>
    <w:rsid w:val="00D90A52"/>
    <w:rsid w:val="00D90C36"/>
    <w:rsid w:val="00D91B25"/>
    <w:rsid w:val="00D92600"/>
    <w:rsid w:val="00D9435E"/>
    <w:rsid w:val="00D9469B"/>
    <w:rsid w:val="00D954AC"/>
    <w:rsid w:val="00D95767"/>
    <w:rsid w:val="00D9651B"/>
    <w:rsid w:val="00DA012B"/>
    <w:rsid w:val="00DA05C1"/>
    <w:rsid w:val="00DA0AB5"/>
    <w:rsid w:val="00DA15EE"/>
    <w:rsid w:val="00DA1970"/>
    <w:rsid w:val="00DA21E5"/>
    <w:rsid w:val="00DA24DA"/>
    <w:rsid w:val="00DA2D71"/>
    <w:rsid w:val="00DA2F9D"/>
    <w:rsid w:val="00DA306A"/>
    <w:rsid w:val="00DA3117"/>
    <w:rsid w:val="00DA31F2"/>
    <w:rsid w:val="00DA3BDA"/>
    <w:rsid w:val="00DA3E45"/>
    <w:rsid w:val="00DA402D"/>
    <w:rsid w:val="00DA5EE2"/>
    <w:rsid w:val="00DA5FF8"/>
    <w:rsid w:val="00DA64F8"/>
    <w:rsid w:val="00DA7D14"/>
    <w:rsid w:val="00DB000B"/>
    <w:rsid w:val="00DB0744"/>
    <w:rsid w:val="00DB07B3"/>
    <w:rsid w:val="00DB099D"/>
    <w:rsid w:val="00DB10A2"/>
    <w:rsid w:val="00DB13C0"/>
    <w:rsid w:val="00DB2243"/>
    <w:rsid w:val="00DB2623"/>
    <w:rsid w:val="00DB2D86"/>
    <w:rsid w:val="00DB425E"/>
    <w:rsid w:val="00DB5809"/>
    <w:rsid w:val="00DB6322"/>
    <w:rsid w:val="00DB6A78"/>
    <w:rsid w:val="00DB75D5"/>
    <w:rsid w:val="00DB79E0"/>
    <w:rsid w:val="00DB7D75"/>
    <w:rsid w:val="00DB7DEC"/>
    <w:rsid w:val="00DB7E1B"/>
    <w:rsid w:val="00DC13F1"/>
    <w:rsid w:val="00DC2BF6"/>
    <w:rsid w:val="00DC3BCB"/>
    <w:rsid w:val="00DC4AF8"/>
    <w:rsid w:val="00DC4B0A"/>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168"/>
    <w:rsid w:val="00DD5BE1"/>
    <w:rsid w:val="00DD67B6"/>
    <w:rsid w:val="00DD6A2C"/>
    <w:rsid w:val="00DD6BCA"/>
    <w:rsid w:val="00DD7E55"/>
    <w:rsid w:val="00DE0334"/>
    <w:rsid w:val="00DE0AA6"/>
    <w:rsid w:val="00DE0F87"/>
    <w:rsid w:val="00DE18F6"/>
    <w:rsid w:val="00DE2576"/>
    <w:rsid w:val="00DE36C8"/>
    <w:rsid w:val="00DE4FF3"/>
    <w:rsid w:val="00DE62F4"/>
    <w:rsid w:val="00DE6F92"/>
    <w:rsid w:val="00DE71D4"/>
    <w:rsid w:val="00DF0A58"/>
    <w:rsid w:val="00DF170F"/>
    <w:rsid w:val="00DF192C"/>
    <w:rsid w:val="00DF22DF"/>
    <w:rsid w:val="00DF22E6"/>
    <w:rsid w:val="00DF23A9"/>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3628"/>
    <w:rsid w:val="00E06138"/>
    <w:rsid w:val="00E07567"/>
    <w:rsid w:val="00E07AD8"/>
    <w:rsid w:val="00E1014D"/>
    <w:rsid w:val="00E103A7"/>
    <w:rsid w:val="00E11F63"/>
    <w:rsid w:val="00E123F4"/>
    <w:rsid w:val="00E131CC"/>
    <w:rsid w:val="00E1386C"/>
    <w:rsid w:val="00E14A88"/>
    <w:rsid w:val="00E15A0B"/>
    <w:rsid w:val="00E162CE"/>
    <w:rsid w:val="00E16600"/>
    <w:rsid w:val="00E16971"/>
    <w:rsid w:val="00E16AC4"/>
    <w:rsid w:val="00E16F74"/>
    <w:rsid w:val="00E17893"/>
    <w:rsid w:val="00E20BAD"/>
    <w:rsid w:val="00E22050"/>
    <w:rsid w:val="00E22178"/>
    <w:rsid w:val="00E22334"/>
    <w:rsid w:val="00E22FF5"/>
    <w:rsid w:val="00E237EF"/>
    <w:rsid w:val="00E245AE"/>
    <w:rsid w:val="00E24777"/>
    <w:rsid w:val="00E24C34"/>
    <w:rsid w:val="00E25005"/>
    <w:rsid w:val="00E25401"/>
    <w:rsid w:val="00E259BC"/>
    <w:rsid w:val="00E2610E"/>
    <w:rsid w:val="00E2675A"/>
    <w:rsid w:val="00E2740D"/>
    <w:rsid w:val="00E27A95"/>
    <w:rsid w:val="00E307F8"/>
    <w:rsid w:val="00E30C36"/>
    <w:rsid w:val="00E30CC1"/>
    <w:rsid w:val="00E30E00"/>
    <w:rsid w:val="00E31427"/>
    <w:rsid w:val="00E314A8"/>
    <w:rsid w:val="00E31813"/>
    <w:rsid w:val="00E33193"/>
    <w:rsid w:val="00E33558"/>
    <w:rsid w:val="00E344BE"/>
    <w:rsid w:val="00E34B30"/>
    <w:rsid w:val="00E34D13"/>
    <w:rsid w:val="00E36477"/>
    <w:rsid w:val="00E36C6A"/>
    <w:rsid w:val="00E376FA"/>
    <w:rsid w:val="00E40430"/>
    <w:rsid w:val="00E40756"/>
    <w:rsid w:val="00E408A8"/>
    <w:rsid w:val="00E40EF0"/>
    <w:rsid w:val="00E41899"/>
    <w:rsid w:val="00E41D91"/>
    <w:rsid w:val="00E4212D"/>
    <w:rsid w:val="00E4259A"/>
    <w:rsid w:val="00E43259"/>
    <w:rsid w:val="00E43B7D"/>
    <w:rsid w:val="00E43CC9"/>
    <w:rsid w:val="00E441B4"/>
    <w:rsid w:val="00E44643"/>
    <w:rsid w:val="00E4493B"/>
    <w:rsid w:val="00E44BC2"/>
    <w:rsid w:val="00E44CD1"/>
    <w:rsid w:val="00E450CA"/>
    <w:rsid w:val="00E45137"/>
    <w:rsid w:val="00E45580"/>
    <w:rsid w:val="00E47785"/>
    <w:rsid w:val="00E512BC"/>
    <w:rsid w:val="00E518CC"/>
    <w:rsid w:val="00E52A0B"/>
    <w:rsid w:val="00E5481E"/>
    <w:rsid w:val="00E54977"/>
    <w:rsid w:val="00E54C3E"/>
    <w:rsid w:val="00E55097"/>
    <w:rsid w:val="00E55DA9"/>
    <w:rsid w:val="00E56939"/>
    <w:rsid w:val="00E605F4"/>
    <w:rsid w:val="00E60967"/>
    <w:rsid w:val="00E60C30"/>
    <w:rsid w:val="00E61820"/>
    <w:rsid w:val="00E61AB6"/>
    <w:rsid w:val="00E61DEA"/>
    <w:rsid w:val="00E62247"/>
    <w:rsid w:val="00E62AF4"/>
    <w:rsid w:val="00E63220"/>
    <w:rsid w:val="00E63DFC"/>
    <w:rsid w:val="00E64230"/>
    <w:rsid w:val="00E6458C"/>
    <w:rsid w:val="00E653EE"/>
    <w:rsid w:val="00E655EC"/>
    <w:rsid w:val="00E6607E"/>
    <w:rsid w:val="00E66326"/>
    <w:rsid w:val="00E6738D"/>
    <w:rsid w:val="00E6747B"/>
    <w:rsid w:val="00E706AB"/>
    <w:rsid w:val="00E71168"/>
    <w:rsid w:val="00E71530"/>
    <w:rsid w:val="00E71F6C"/>
    <w:rsid w:val="00E7201C"/>
    <w:rsid w:val="00E720E2"/>
    <w:rsid w:val="00E72681"/>
    <w:rsid w:val="00E72DC9"/>
    <w:rsid w:val="00E73099"/>
    <w:rsid w:val="00E73412"/>
    <w:rsid w:val="00E73D28"/>
    <w:rsid w:val="00E7560E"/>
    <w:rsid w:val="00E76562"/>
    <w:rsid w:val="00E76CF8"/>
    <w:rsid w:val="00E776A8"/>
    <w:rsid w:val="00E779D1"/>
    <w:rsid w:val="00E811E5"/>
    <w:rsid w:val="00E82BA4"/>
    <w:rsid w:val="00E82DB1"/>
    <w:rsid w:val="00E82DC3"/>
    <w:rsid w:val="00E830E6"/>
    <w:rsid w:val="00E84667"/>
    <w:rsid w:val="00E848F5"/>
    <w:rsid w:val="00E8520C"/>
    <w:rsid w:val="00E853A3"/>
    <w:rsid w:val="00E8560D"/>
    <w:rsid w:val="00E85828"/>
    <w:rsid w:val="00E85F30"/>
    <w:rsid w:val="00E8677B"/>
    <w:rsid w:val="00E86F27"/>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36F"/>
    <w:rsid w:val="00E94A1A"/>
    <w:rsid w:val="00E94A6B"/>
    <w:rsid w:val="00E9506A"/>
    <w:rsid w:val="00E95188"/>
    <w:rsid w:val="00E95BB7"/>
    <w:rsid w:val="00E96B1A"/>
    <w:rsid w:val="00E9796B"/>
    <w:rsid w:val="00E97A99"/>
    <w:rsid w:val="00EA023C"/>
    <w:rsid w:val="00EA056B"/>
    <w:rsid w:val="00EA0DDD"/>
    <w:rsid w:val="00EA1DC9"/>
    <w:rsid w:val="00EA1F88"/>
    <w:rsid w:val="00EA3790"/>
    <w:rsid w:val="00EA41D3"/>
    <w:rsid w:val="00EA43AD"/>
    <w:rsid w:val="00EA5137"/>
    <w:rsid w:val="00EA51CB"/>
    <w:rsid w:val="00EA5ACB"/>
    <w:rsid w:val="00EA5C52"/>
    <w:rsid w:val="00EA7A07"/>
    <w:rsid w:val="00EA7DD1"/>
    <w:rsid w:val="00EB1295"/>
    <w:rsid w:val="00EB1653"/>
    <w:rsid w:val="00EB1927"/>
    <w:rsid w:val="00EB2159"/>
    <w:rsid w:val="00EB3433"/>
    <w:rsid w:val="00EB3556"/>
    <w:rsid w:val="00EB385C"/>
    <w:rsid w:val="00EB4937"/>
    <w:rsid w:val="00EB5972"/>
    <w:rsid w:val="00EB65DB"/>
    <w:rsid w:val="00EB71D1"/>
    <w:rsid w:val="00EC0B1B"/>
    <w:rsid w:val="00EC0BFC"/>
    <w:rsid w:val="00EC0CDA"/>
    <w:rsid w:val="00EC15AE"/>
    <w:rsid w:val="00EC234A"/>
    <w:rsid w:val="00EC26A8"/>
    <w:rsid w:val="00EC3280"/>
    <w:rsid w:val="00EC3AF3"/>
    <w:rsid w:val="00EC3B6F"/>
    <w:rsid w:val="00EC3EE6"/>
    <w:rsid w:val="00EC4E93"/>
    <w:rsid w:val="00EC5632"/>
    <w:rsid w:val="00EC56E8"/>
    <w:rsid w:val="00EC6A5B"/>
    <w:rsid w:val="00EC72E6"/>
    <w:rsid w:val="00ED0901"/>
    <w:rsid w:val="00ED12B4"/>
    <w:rsid w:val="00ED133D"/>
    <w:rsid w:val="00ED17D9"/>
    <w:rsid w:val="00ED1D72"/>
    <w:rsid w:val="00ED2193"/>
    <w:rsid w:val="00ED2D34"/>
    <w:rsid w:val="00ED373B"/>
    <w:rsid w:val="00ED47B6"/>
    <w:rsid w:val="00ED5C67"/>
    <w:rsid w:val="00ED5E67"/>
    <w:rsid w:val="00ED60AB"/>
    <w:rsid w:val="00ED7E40"/>
    <w:rsid w:val="00EE0DCA"/>
    <w:rsid w:val="00EE196B"/>
    <w:rsid w:val="00EE1C3B"/>
    <w:rsid w:val="00EE1E24"/>
    <w:rsid w:val="00EE216F"/>
    <w:rsid w:val="00EE2F74"/>
    <w:rsid w:val="00EE31B3"/>
    <w:rsid w:val="00EE3D92"/>
    <w:rsid w:val="00EE3EDA"/>
    <w:rsid w:val="00EE415F"/>
    <w:rsid w:val="00EE4ABA"/>
    <w:rsid w:val="00EE4EAE"/>
    <w:rsid w:val="00EE5526"/>
    <w:rsid w:val="00EE55CD"/>
    <w:rsid w:val="00EE6A34"/>
    <w:rsid w:val="00EE6AB2"/>
    <w:rsid w:val="00EE7862"/>
    <w:rsid w:val="00EF0FEA"/>
    <w:rsid w:val="00EF18FD"/>
    <w:rsid w:val="00EF1D56"/>
    <w:rsid w:val="00EF2009"/>
    <w:rsid w:val="00EF26C6"/>
    <w:rsid w:val="00EF3510"/>
    <w:rsid w:val="00EF6A0D"/>
    <w:rsid w:val="00F000D1"/>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6FA0"/>
    <w:rsid w:val="00F071AE"/>
    <w:rsid w:val="00F07330"/>
    <w:rsid w:val="00F079F6"/>
    <w:rsid w:val="00F10CF4"/>
    <w:rsid w:val="00F10EAB"/>
    <w:rsid w:val="00F1120E"/>
    <w:rsid w:val="00F1130C"/>
    <w:rsid w:val="00F117F8"/>
    <w:rsid w:val="00F11802"/>
    <w:rsid w:val="00F11A59"/>
    <w:rsid w:val="00F12C0B"/>
    <w:rsid w:val="00F131BB"/>
    <w:rsid w:val="00F1408A"/>
    <w:rsid w:val="00F156C2"/>
    <w:rsid w:val="00F158B8"/>
    <w:rsid w:val="00F15C7D"/>
    <w:rsid w:val="00F15D04"/>
    <w:rsid w:val="00F15D8D"/>
    <w:rsid w:val="00F1608D"/>
    <w:rsid w:val="00F168F9"/>
    <w:rsid w:val="00F16D97"/>
    <w:rsid w:val="00F17091"/>
    <w:rsid w:val="00F17864"/>
    <w:rsid w:val="00F178DE"/>
    <w:rsid w:val="00F17B6F"/>
    <w:rsid w:val="00F2096A"/>
    <w:rsid w:val="00F20C78"/>
    <w:rsid w:val="00F20FA3"/>
    <w:rsid w:val="00F21396"/>
    <w:rsid w:val="00F2151F"/>
    <w:rsid w:val="00F215E3"/>
    <w:rsid w:val="00F223BA"/>
    <w:rsid w:val="00F22696"/>
    <w:rsid w:val="00F2282A"/>
    <w:rsid w:val="00F22832"/>
    <w:rsid w:val="00F22CE6"/>
    <w:rsid w:val="00F23248"/>
    <w:rsid w:val="00F23515"/>
    <w:rsid w:val="00F24AA5"/>
    <w:rsid w:val="00F254AA"/>
    <w:rsid w:val="00F2591D"/>
    <w:rsid w:val="00F25D3A"/>
    <w:rsid w:val="00F26711"/>
    <w:rsid w:val="00F26932"/>
    <w:rsid w:val="00F272FE"/>
    <w:rsid w:val="00F27B65"/>
    <w:rsid w:val="00F31712"/>
    <w:rsid w:val="00F32A5D"/>
    <w:rsid w:val="00F32B6A"/>
    <w:rsid w:val="00F330BE"/>
    <w:rsid w:val="00F34147"/>
    <w:rsid w:val="00F34235"/>
    <w:rsid w:val="00F35807"/>
    <w:rsid w:val="00F3645B"/>
    <w:rsid w:val="00F3666D"/>
    <w:rsid w:val="00F36B71"/>
    <w:rsid w:val="00F36E26"/>
    <w:rsid w:val="00F4054B"/>
    <w:rsid w:val="00F41A44"/>
    <w:rsid w:val="00F44CC1"/>
    <w:rsid w:val="00F458C6"/>
    <w:rsid w:val="00F468EB"/>
    <w:rsid w:val="00F46E30"/>
    <w:rsid w:val="00F47F44"/>
    <w:rsid w:val="00F50C89"/>
    <w:rsid w:val="00F513B4"/>
    <w:rsid w:val="00F51695"/>
    <w:rsid w:val="00F52C1B"/>
    <w:rsid w:val="00F5394A"/>
    <w:rsid w:val="00F53A2E"/>
    <w:rsid w:val="00F53AC0"/>
    <w:rsid w:val="00F53E06"/>
    <w:rsid w:val="00F55E89"/>
    <w:rsid w:val="00F568C2"/>
    <w:rsid w:val="00F568F3"/>
    <w:rsid w:val="00F575C4"/>
    <w:rsid w:val="00F6020C"/>
    <w:rsid w:val="00F603BD"/>
    <w:rsid w:val="00F6075F"/>
    <w:rsid w:val="00F61F0B"/>
    <w:rsid w:val="00F62E07"/>
    <w:rsid w:val="00F63010"/>
    <w:rsid w:val="00F63433"/>
    <w:rsid w:val="00F64C32"/>
    <w:rsid w:val="00F6509D"/>
    <w:rsid w:val="00F65181"/>
    <w:rsid w:val="00F65200"/>
    <w:rsid w:val="00F655DF"/>
    <w:rsid w:val="00F65834"/>
    <w:rsid w:val="00F65C14"/>
    <w:rsid w:val="00F6657D"/>
    <w:rsid w:val="00F66943"/>
    <w:rsid w:val="00F67223"/>
    <w:rsid w:val="00F6750D"/>
    <w:rsid w:val="00F67609"/>
    <w:rsid w:val="00F703D2"/>
    <w:rsid w:val="00F70802"/>
    <w:rsid w:val="00F7153D"/>
    <w:rsid w:val="00F71CC1"/>
    <w:rsid w:val="00F71EFE"/>
    <w:rsid w:val="00F72179"/>
    <w:rsid w:val="00F7257A"/>
    <w:rsid w:val="00F729D7"/>
    <w:rsid w:val="00F73DAA"/>
    <w:rsid w:val="00F73F6D"/>
    <w:rsid w:val="00F741C6"/>
    <w:rsid w:val="00F742E6"/>
    <w:rsid w:val="00F74736"/>
    <w:rsid w:val="00F75270"/>
    <w:rsid w:val="00F7529F"/>
    <w:rsid w:val="00F758AE"/>
    <w:rsid w:val="00F75F15"/>
    <w:rsid w:val="00F7659D"/>
    <w:rsid w:val="00F765FE"/>
    <w:rsid w:val="00F77128"/>
    <w:rsid w:val="00F77890"/>
    <w:rsid w:val="00F80361"/>
    <w:rsid w:val="00F808BD"/>
    <w:rsid w:val="00F80BDF"/>
    <w:rsid w:val="00F810CF"/>
    <w:rsid w:val="00F81D35"/>
    <w:rsid w:val="00F8237C"/>
    <w:rsid w:val="00F8238B"/>
    <w:rsid w:val="00F83720"/>
    <w:rsid w:val="00F84004"/>
    <w:rsid w:val="00F84335"/>
    <w:rsid w:val="00F8525B"/>
    <w:rsid w:val="00F858A7"/>
    <w:rsid w:val="00F86D7F"/>
    <w:rsid w:val="00F8716F"/>
    <w:rsid w:val="00F878E4"/>
    <w:rsid w:val="00F87EBF"/>
    <w:rsid w:val="00F90177"/>
    <w:rsid w:val="00F9043D"/>
    <w:rsid w:val="00F90597"/>
    <w:rsid w:val="00F907A0"/>
    <w:rsid w:val="00F92CCC"/>
    <w:rsid w:val="00F93289"/>
    <w:rsid w:val="00F93368"/>
    <w:rsid w:val="00F93F31"/>
    <w:rsid w:val="00F94EB3"/>
    <w:rsid w:val="00F95A91"/>
    <w:rsid w:val="00F966FC"/>
    <w:rsid w:val="00F96E71"/>
    <w:rsid w:val="00F9727A"/>
    <w:rsid w:val="00F97349"/>
    <w:rsid w:val="00FA1A45"/>
    <w:rsid w:val="00FA2234"/>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1F72"/>
    <w:rsid w:val="00FB2015"/>
    <w:rsid w:val="00FB2B76"/>
    <w:rsid w:val="00FB2CBC"/>
    <w:rsid w:val="00FB3067"/>
    <w:rsid w:val="00FB3247"/>
    <w:rsid w:val="00FB3B66"/>
    <w:rsid w:val="00FB3E69"/>
    <w:rsid w:val="00FB3F96"/>
    <w:rsid w:val="00FB41FC"/>
    <w:rsid w:val="00FB4DAE"/>
    <w:rsid w:val="00FB50AE"/>
    <w:rsid w:val="00FB6AC0"/>
    <w:rsid w:val="00FB6BB3"/>
    <w:rsid w:val="00FB7A4A"/>
    <w:rsid w:val="00FC1DA4"/>
    <w:rsid w:val="00FC1FAD"/>
    <w:rsid w:val="00FC29CB"/>
    <w:rsid w:val="00FC2F5B"/>
    <w:rsid w:val="00FC2FA6"/>
    <w:rsid w:val="00FC3EFC"/>
    <w:rsid w:val="00FC4792"/>
    <w:rsid w:val="00FC4DF4"/>
    <w:rsid w:val="00FC4EC3"/>
    <w:rsid w:val="00FC549F"/>
    <w:rsid w:val="00FC580F"/>
    <w:rsid w:val="00FC5BDB"/>
    <w:rsid w:val="00FC633F"/>
    <w:rsid w:val="00FC641C"/>
    <w:rsid w:val="00FD1929"/>
    <w:rsid w:val="00FD1BB4"/>
    <w:rsid w:val="00FD2D86"/>
    <w:rsid w:val="00FD31DB"/>
    <w:rsid w:val="00FD41EF"/>
    <w:rsid w:val="00FD4297"/>
    <w:rsid w:val="00FD46BD"/>
    <w:rsid w:val="00FD4BDA"/>
    <w:rsid w:val="00FD4C6A"/>
    <w:rsid w:val="00FD51C6"/>
    <w:rsid w:val="00FD5667"/>
    <w:rsid w:val="00FD6439"/>
    <w:rsid w:val="00FD64CF"/>
    <w:rsid w:val="00FD729C"/>
    <w:rsid w:val="00FD767D"/>
    <w:rsid w:val="00FE0AE3"/>
    <w:rsid w:val="00FE0B91"/>
    <w:rsid w:val="00FE1AB9"/>
    <w:rsid w:val="00FE1D88"/>
    <w:rsid w:val="00FE1F5C"/>
    <w:rsid w:val="00FE2419"/>
    <w:rsid w:val="00FE2C91"/>
    <w:rsid w:val="00FE2DC3"/>
    <w:rsid w:val="00FE3557"/>
    <w:rsid w:val="00FE4425"/>
    <w:rsid w:val="00FE468B"/>
    <w:rsid w:val="00FE4B42"/>
    <w:rsid w:val="00FE51D2"/>
    <w:rsid w:val="00FE5AE2"/>
    <w:rsid w:val="00FE73DF"/>
    <w:rsid w:val="00FE761B"/>
    <w:rsid w:val="00FF04E8"/>
    <w:rsid w:val="00FF13A1"/>
    <w:rsid w:val="00FF172E"/>
    <w:rsid w:val="00FF1D13"/>
    <w:rsid w:val="00FF261E"/>
    <w:rsid w:val="00FF2EC3"/>
    <w:rsid w:val="00FF3907"/>
    <w:rsid w:val="00FF463C"/>
    <w:rsid w:val="00FF4658"/>
    <w:rsid w:val="00FF46F6"/>
    <w:rsid w:val="00FF52C8"/>
    <w:rsid w:val="00FF545D"/>
    <w:rsid w:val="00FF5711"/>
    <w:rsid w:val="00FF652D"/>
    <w:rsid w:val="00FF65E1"/>
    <w:rsid w:val="00FF6D34"/>
    <w:rsid w:val="00FF6D51"/>
    <w:rsid w:val="00FF70CF"/>
    <w:rsid w:val="00FF7218"/>
    <w:rsid w:val="016491B7"/>
    <w:rsid w:val="0184BF21"/>
    <w:rsid w:val="01B521FC"/>
    <w:rsid w:val="02A70B4E"/>
    <w:rsid w:val="030BB2A6"/>
    <w:rsid w:val="035F60D2"/>
    <w:rsid w:val="04CF2CE3"/>
    <w:rsid w:val="0549E024"/>
    <w:rsid w:val="066DAD09"/>
    <w:rsid w:val="06BA7FA2"/>
    <w:rsid w:val="06EC5A31"/>
    <w:rsid w:val="0CF4CD92"/>
    <w:rsid w:val="0D27C479"/>
    <w:rsid w:val="0FCC632D"/>
    <w:rsid w:val="124D1A8C"/>
    <w:rsid w:val="13480C7D"/>
    <w:rsid w:val="14B42E7A"/>
    <w:rsid w:val="14EC1888"/>
    <w:rsid w:val="16A8272F"/>
    <w:rsid w:val="1A146021"/>
    <w:rsid w:val="1A3EB51E"/>
    <w:rsid w:val="1A762C8D"/>
    <w:rsid w:val="1A9E7ACE"/>
    <w:rsid w:val="1ADA2CEC"/>
    <w:rsid w:val="1BE4A8E7"/>
    <w:rsid w:val="1D068790"/>
    <w:rsid w:val="1ECA1115"/>
    <w:rsid w:val="1F7D7663"/>
    <w:rsid w:val="1F956363"/>
    <w:rsid w:val="23AF65EE"/>
    <w:rsid w:val="24FDA039"/>
    <w:rsid w:val="281C5733"/>
    <w:rsid w:val="2AE87E9A"/>
    <w:rsid w:val="2BF86583"/>
    <w:rsid w:val="2EE1BD8C"/>
    <w:rsid w:val="32A03B55"/>
    <w:rsid w:val="33738730"/>
    <w:rsid w:val="39A7DB2A"/>
    <w:rsid w:val="3A7E9B9F"/>
    <w:rsid w:val="3CCAC503"/>
    <w:rsid w:val="3F3B6050"/>
    <w:rsid w:val="41BCC847"/>
    <w:rsid w:val="42722EE7"/>
    <w:rsid w:val="436F3338"/>
    <w:rsid w:val="43ED729A"/>
    <w:rsid w:val="4579B09E"/>
    <w:rsid w:val="48F9934D"/>
    <w:rsid w:val="4B709B1B"/>
    <w:rsid w:val="502EA32A"/>
    <w:rsid w:val="51503E17"/>
    <w:rsid w:val="52575342"/>
    <w:rsid w:val="52F250E9"/>
    <w:rsid w:val="54722285"/>
    <w:rsid w:val="552B058D"/>
    <w:rsid w:val="552D7B74"/>
    <w:rsid w:val="55395CE4"/>
    <w:rsid w:val="557081A2"/>
    <w:rsid w:val="56571B1D"/>
    <w:rsid w:val="5B32BB46"/>
    <w:rsid w:val="5C2869F6"/>
    <w:rsid w:val="5D2D5BCB"/>
    <w:rsid w:val="6188A8D4"/>
    <w:rsid w:val="62FEEE88"/>
    <w:rsid w:val="63229108"/>
    <w:rsid w:val="648473B4"/>
    <w:rsid w:val="65165638"/>
    <w:rsid w:val="662EC68C"/>
    <w:rsid w:val="6745E083"/>
    <w:rsid w:val="69859B72"/>
    <w:rsid w:val="6D5500A7"/>
    <w:rsid w:val="72722749"/>
    <w:rsid w:val="7306CFF1"/>
    <w:rsid w:val="73E086CD"/>
    <w:rsid w:val="7453930E"/>
    <w:rsid w:val="757C2B09"/>
    <w:rsid w:val="75E759BB"/>
    <w:rsid w:val="78433E9D"/>
    <w:rsid w:val="78A0E643"/>
    <w:rsid w:val="7A2D0EE5"/>
    <w:rsid w:val="7B2F8444"/>
    <w:rsid w:val="7D1CA768"/>
    <w:rsid w:val="7D7F8263"/>
    <w:rsid w:val="7F8A2CB6"/>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E7F347"/>
  <w15:chartTrackingRefBased/>
  <w15:docId w15:val="{309F38B9-F3FF-4CBF-854A-D3BDF886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rsid w:val="009F455D"/>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semiHidden/>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26"/>
      </w:numPr>
    </w:pPr>
  </w:style>
  <w:style w:type="paragraph" w:customStyle="1" w:styleId="ListAlpha2">
    <w:name w:val="List Alpha 2"/>
    <w:basedOn w:val="List2"/>
    <w:qFormat/>
    <w:rsid w:val="00E936F6"/>
    <w:pPr>
      <w:numPr>
        <w:ilvl w:val="0"/>
        <w:numId w:val="27"/>
      </w:numPr>
      <w:spacing w:after="80"/>
      <w:contextualSpacing w:val="0"/>
    </w:pPr>
  </w:style>
  <w:style w:type="paragraph" w:customStyle="1" w:styleId="ListAlpha3">
    <w:name w:val="List Alpha 3"/>
    <w:basedOn w:val="List3"/>
    <w:qFormat/>
    <w:rsid w:val="006764B4"/>
    <w:pPr>
      <w:numPr>
        <w:ilvl w:val="0"/>
        <w:numId w:val="28"/>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1"/>
      </w:numPr>
      <w:spacing w:after="0"/>
    </w:pPr>
  </w:style>
  <w:style w:type="paragraph" w:customStyle="1" w:styleId="Outline3">
    <w:name w:val="Outline 3"/>
    <w:basedOn w:val="List3"/>
    <w:semiHidden/>
    <w:rsid w:val="00B36B45"/>
    <w:pPr>
      <w:numPr>
        <w:numId w:val="21"/>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5"/>
      </w:numPr>
    </w:pPr>
  </w:style>
  <w:style w:type="paragraph" w:customStyle="1" w:styleId="SidebarListNumber">
    <w:name w:val="Sidebar List Number"/>
    <w:basedOn w:val="Sidebar"/>
    <w:semiHidden/>
    <w:rsid w:val="00F8237C"/>
    <w:pPr>
      <w:numPr>
        <w:numId w:val="24"/>
      </w:numPr>
      <w:adjustRightInd w:val="0"/>
      <w:spacing w:line="264" w:lineRule="auto"/>
    </w:pPr>
  </w:style>
  <w:style w:type="paragraph" w:customStyle="1" w:styleId="TableListBullet2">
    <w:name w:val="Table List Bullet 2"/>
    <w:basedOn w:val="TableListBullet"/>
    <w:semiHidden/>
    <w:rsid w:val="00B36B45"/>
    <w:pPr>
      <w:numPr>
        <w:numId w:val="22"/>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D0DF8"/>
  </w:style>
  <w:style w:type="paragraph" w:customStyle="1" w:styleId="References">
    <w:name w:val="References"/>
    <w:basedOn w:val="Normal"/>
    <w:qFormat/>
    <w:rsid w:val="000B3116"/>
    <w:pPr>
      <w:keepLines/>
      <w:spacing w:after="240" w:line="240" w:lineRule="auto"/>
      <w:ind w:left="432" w:hanging="432"/>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jstor.org/stable/4502037" TargetMode="External" /><Relationship Id="rId11" Type="http://schemas.openxmlformats.org/officeDocument/2006/relationships/hyperlink" Target="https://ies.ed.gov/ncee/WWC/Docs/referenceresources/Final_WWC-HandbookVer5_0-0-508.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3a92079ecd3cb8de973a1338eea6ee62">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8c657832c1dbb27ecc27c460d3162d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18F50D-76CB-49C1-BF7B-2BB16008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5C818-0295-4AEB-95E1-70A0BC08FA46}">
  <ds:schemaRefs>
    <ds:schemaRef ds:uri="http://schemas.microsoft.com/office/2006/metadata/properties"/>
    <ds:schemaRef ds:uri="http://schemas.microsoft.com/office/infopath/2007/PartnerControls"/>
    <ds:schemaRef ds:uri="76c8eabc-f7ee-476b-b32f-049e22e524c7"/>
    <ds:schemaRef ds:uri="792d2fca-795b-45f5-a09b-32845d9ae0ca"/>
  </ds:schemaRefs>
</ds:datastoreItem>
</file>

<file path=customXml/itemProps4.xml><?xml version="1.0" encoding="utf-8"?>
<ds:datastoreItem xmlns:ds="http://schemas.openxmlformats.org/officeDocument/2006/customXml" ds:itemID="{622E9A60-96FB-47BD-87C9-0EBDF3E374BC}">
  <ds:schemaRefs>
    <ds:schemaRef ds:uri="http://schemas.openxmlformats.org/officeDocument/2006/bibliography"/>
  </ds:schemaRefs>
</ds:datastoreItem>
</file>

<file path=customXml/itemProps5.xml><?xml version="1.0" encoding="utf-8"?>
<ds:datastoreItem xmlns:ds="http://schemas.openxmlformats.org/officeDocument/2006/customXml" ds:itemID="{B75FF462-BBC5-46DF-BD5A-C6C151D76225}">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4MathUMemo</Template>
  <TotalTime>1</TotalTime>
  <Pages>8</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Diana McCallum</dc:creator>
  <cp:keywords>memo</cp:keywords>
  <cp:lastModifiedBy>De Frias, Anayma (ACF)</cp:lastModifiedBy>
  <cp:revision>2</cp:revision>
  <cp:lastPrinted>2020-09-12T03:32:00Z</cp:lastPrinted>
  <dcterms:created xsi:type="dcterms:W3CDTF">2025-06-11T14:45:00Z</dcterms:created>
  <dcterms:modified xsi:type="dcterms:W3CDTF">2025-06-11T14:45:00Z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MSIP_Label_9a5e8a9d-1b12-42bd-9856-0af2bbe0ed89_ActionId">
    <vt:lpwstr>06e88117-7a04-4aa8-8c4f-36d2a99e0bb0</vt:lpwstr>
  </property>
  <property fmtid="{D5CDD505-2E9C-101B-9397-08002B2CF9AE}" pid="14" name="MSIP_Label_9a5e8a9d-1b12-42bd-9856-0af2bbe0ed89_Enabled">
    <vt:lpwstr>True</vt:lpwstr>
  </property>
  <property fmtid="{D5CDD505-2E9C-101B-9397-08002B2CF9AE}" pid="15" name="MSIP_Label_9a5e8a9d-1b12-42bd-9856-0af2bbe0ed89_Extended_MSFT_Method">
    <vt:lpwstr>Standard</vt:lpwstr>
  </property>
  <property fmtid="{D5CDD505-2E9C-101B-9397-08002B2CF9AE}" pid="16" name="MSIP_Label_9a5e8a9d-1b12-42bd-9856-0af2bbe0ed89_Name">
    <vt:lpwstr>Confidential - Default</vt:lpwstr>
  </property>
  <property fmtid="{D5CDD505-2E9C-101B-9397-08002B2CF9AE}" pid="17" name="MSIP_Label_9a5e8a9d-1b12-42bd-9856-0af2bbe0ed89_Removed">
    <vt:lpwstr>False</vt:lpwstr>
  </property>
  <property fmtid="{D5CDD505-2E9C-101B-9397-08002B2CF9AE}" pid="18" name="MSIP_Label_9a5e8a9d-1b12-42bd-9856-0af2bbe0ed89_SetDate">
    <vt:lpwstr>2025-05-31T10:22:12Z</vt:lpwstr>
  </property>
  <property fmtid="{D5CDD505-2E9C-101B-9397-08002B2CF9AE}" pid="19" name="MSIP_Label_9a5e8a9d-1b12-42bd-9856-0af2bbe0ed89_SiteId">
    <vt:lpwstr>13af8d65-0b4b-4c0f-a446-a427419abfd6</vt:lpwstr>
  </property>
  <property fmtid="{D5CDD505-2E9C-101B-9397-08002B2CF9AE}" pid="20" name="Position Title">
    <vt:lpwstr/>
  </property>
  <property fmtid="{D5CDD505-2E9C-101B-9397-08002B2CF9AE}" pid="21" name="Project Deliverable">
    <vt:lpwstr>All</vt:lpwstr>
  </property>
  <property fmtid="{D5CDD505-2E9C-101B-9397-08002B2CF9AE}" pid="22" name="Resume Contact">
    <vt:lpwstr/>
  </property>
  <property fmtid="{D5CDD505-2E9C-101B-9397-08002B2CF9AE}" pid="23" name="Resume Status">
    <vt:lpwstr/>
  </property>
  <property fmtid="{D5CDD505-2E9C-101B-9397-08002B2CF9AE}" pid="24" name="Sensitivity">
    <vt:lpwstr>Confidential - Default</vt:lpwstr>
  </property>
  <property fmtid="{D5CDD505-2E9C-101B-9397-08002B2CF9AE}" pid="25" name="Template Category">
    <vt:lpwstr>MSW Interior text</vt:lpwstr>
  </property>
  <property fmtid="{D5CDD505-2E9C-101B-9397-08002B2CF9AE}" pid="26" name="Template Notes">
    <vt:lpwstr>Will be renamed before rollout. this will be the key Template upon which proposal and custom templates will be based.</vt:lpwstr>
  </property>
</Properties>
</file>