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0B3" w:rsidRPr="00BC7F42" w:rsidP="003F00B3" w14:paraId="40A432E7" w14:textId="2DD8FD4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A47EFB">
        <w:rPr>
          <w:rFonts w:ascii="Times New Roman" w:hAnsi="Times New Roman" w:cs="Times New Roman"/>
        </w:rPr>
        <w:t>Form SSA-454-BK</w:t>
      </w:r>
      <w:r w:rsidRPr="00BC7F42">
        <w:rPr>
          <w:rFonts w:ascii="Times New Roman" w:hAnsi="Times New Roman" w:cs="Times New Roman"/>
        </w:rPr>
        <w:t xml:space="preserve"> </w:t>
      </w:r>
    </w:p>
    <w:p w:rsidR="00146275" w:rsidP="00F107B7" w14:paraId="7641A7D3" w14:textId="5F3DE2D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Continuing Disability Review Report</w:t>
      </w:r>
    </w:p>
    <w:p w:rsidR="00A47EFB" w:rsidRPr="00A47EFB" w:rsidP="00A47EFB" w14:paraId="64331FC6" w14:textId="4442FC0F">
      <w:pPr>
        <w:jc w:val="center"/>
        <w:rPr>
          <w:rFonts w:ascii="Times New Roman" w:hAnsi="Times New Roman"/>
          <w:b/>
          <w:bCs/>
        </w:rPr>
      </w:pPr>
      <w:r w:rsidRPr="00A47EFB">
        <w:rPr>
          <w:rFonts w:ascii="Times New Roman" w:hAnsi="Times New Roman"/>
          <w:b/>
          <w:bCs/>
        </w:rPr>
        <w:t>20 CFR 404.1589 &amp; 416.989</w:t>
      </w:r>
    </w:p>
    <w:p w:rsidR="00A45D82" w:rsidRPr="00A47EFB" w:rsidP="00A47EFB" w14:paraId="01CE496B" w14:textId="076336CF">
      <w:pPr>
        <w:rPr>
          <w:rFonts w:ascii="Times New Roman" w:hAnsi="Times New Roman"/>
          <w:b/>
          <w:bCs/>
        </w:rPr>
      </w:pPr>
      <w:r>
        <w:t xml:space="preserve">                     </w:t>
      </w:r>
      <w:r w:rsidRPr="00A47EFB">
        <w:rPr>
          <w:rFonts w:ascii="Times New Roman" w:hAnsi="Times New Roman"/>
          <w:b/>
          <w:bCs/>
        </w:rPr>
        <w:t>OMB No. 0960-0072</w:t>
      </w:r>
    </w:p>
    <w:p w:rsidR="00A45D82" w:rsidRPr="00BC7F42" w:rsidP="00A45D82" w14:paraId="61E334AF" w14:textId="77777777">
      <w:pPr>
        <w:pStyle w:val="Header"/>
        <w:tabs>
          <w:tab w:val="clear" w:pos="4320"/>
          <w:tab w:val="clear" w:pos="8640"/>
        </w:tabs>
        <w:rPr>
          <w:rFonts w:ascii="Times New Roman" w:hAnsi="Times New Roman"/>
        </w:rPr>
      </w:pPr>
    </w:p>
    <w:p w:rsidR="00A45D82" w:rsidRPr="002321B0" w:rsidP="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D35331" w14:paraId="2917905F" w14:textId="043A63F1">
      <w:pPr>
        <w:numPr>
          <w:ilvl w:val="0"/>
          <w:numId w:val="7"/>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A47EFB" w:rsidP="001A3C4F" w14:paraId="4F18C5A1" w14:textId="65F7569D">
      <w:pPr>
        <w:pStyle w:val="ListParagraph"/>
        <w:rPr>
          <w:rFonts w:ascii="Times New Roman" w:hAnsi="Times New Roman"/>
          <w:b/>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Pr>
          <w:rFonts w:ascii="Times New Roman" w:hAnsi="Times New Roman"/>
        </w:rPr>
        <w:t xml:space="preserve">the </w:t>
      </w:r>
      <w:r w:rsidRPr="00E022D2">
        <w:rPr>
          <w:rFonts w:ascii="Times New Roman" w:hAnsi="Times New Roman"/>
        </w:rPr>
        <w:t>Social Security</w:t>
      </w:r>
      <w:r>
        <w:rPr>
          <w:rFonts w:ascii="Times New Roman" w:hAnsi="Times New Roman"/>
        </w:rPr>
        <w:t xml:space="preserve"> Administration (SSA)</w:t>
      </w:r>
      <w:r w:rsidRPr="00E022D2">
        <w:rPr>
          <w:rFonts w:ascii="Times New Roman" w:hAnsi="Times New Roman"/>
        </w:rPr>
        <w:t xml:space="preserve"> with </w:t>
      </w:r>
      <w:r w:rsidR="00917215">
        <w:rPr>
          <w:rFonts w:ascii="Times New Roman" w:hAnsi="Times New Roman"/>
        </w:rPr>
        <w:t xml:space="preserve">the </w:t>
      </w:r>
      <w:r w:rsidRPr="00E022D2">
        <w:rPr>
          <w:rFonts w:ascii="Times New Roman" w:hAnsi="Times New Roman"/>
        </w:rPr>
        <w:t>authority to make rules and regulations, establish procedures</w:t>
      </w:r>
      <w:r>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1614(a)(3)(H)(i)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w:t>
      </w:r>
      <w:r w:rsidRPr="00546474">
        <w:rPr>
          <w:rFonts w:ascii="Times New Roman" w:hAnsi="Times New Roman"/>
          <w:iCs/>
        </w:rPr>
        <w:t>,</w:t>
      </w:r>
      <w:r w:rsidRPr="00E022D2">
        <w:rPr>
          <w:rFonts w:ascii="Times New Roman" w:hAnsi="Times New Roman"/>
          <w:i/>
          <w:iCs/>
        </w:rPr>
        <w:t xml:space="preserve"> </w:t>
      </w:r>
      <w:r w:rsidRPr="00E022D2">
        <w:rPr>
          <w:rFonts w:ascii="Times New Roman" w:hAnsi="Times New Roman"/>
        </w:rPr>
        <w:t xml:space="preserve">as amended, provide that claimants furnish such medical and other evidence </w:t>
      </w:r>
      <w:r>
        <w:rPr>
          <w:rFonts w:ascii="Times New Roman" w:hAnsi="Times New Roman"/>
        </w:rPr>
        <w:t>the Commissioner requires</w:t>
      </w:r>
      <w:r w:rsidRPr="00E022D2">
        <w:rPr>
          <w:rFonts w:ascii="Times New Roman" w:hAnsi="Times New Roman"/>
        </w:rPr>
        <w:t xml:space="preserve"> to prove they continue to be disabled.  </w:t>
      </w:r>
      <w:r w:rsidRPr="00D157BC">
        <w:rPr>
          <w:rFonts w:ascii="Times New Roman" w:hAnsi="Times New Roman"/>
          <w:iCs/>
        </w:rPr>
        <w:t>Sections</w:t>
      </w:r>
      <w:r w:rsidRPr="00E022D2">
        <w:rPr>
          <w:rFonts w:ascii="Times New Roman" w:hAnsi="Times New Roman"/>
          <w:i/>
          <w:iCs/>
        </w:rPr>
        <w:t xml:space="preserve"> 221(i),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w:t>
      </w:r>
      <w:r>
        <w:rPr>
          <w:rFonts w:ascii="Times New Roman" w:hAnsi="Times New Roman"/>
        </w:rPr>
        <w:t xml:space="preserve">SSA </w:t>
      </w:r>
      <w:r w:rsidRPr="00E022D2">
        <w:rPr>
          <w:rFonts w:ascii="Times New Roman" w:hAnsi="Times New Roman"/>
        </w:rPr>
        <w:t xml:space="preserve">to periodically review the cases of individuals who receive benefits under </w:t>
      </w:r>
      <w:r>
        <w:rPr>
          <w:rFonts w:ascii="Times New Roman" w:hAnsi="Times New Roman"/>
        </w:rPr>
        <w:t>Title</w:t>
      </w:r>
      <w:r w:rsidRPr="00E022D2">
        <w:rPr>
          <w:rFonts w:ascii="Times New Roman" w:hAnsi="Times New Roman"/>
        </w:rPr>
        <w:t xml:space="preserve"> II or </w:t>
      </w:r>
      <w:r>
        <w:rPr>
          <w:rFonts w:ascii="Times New Roman" w:hAnsi="Times New Roman"/>
        </w:rPr>
        <w:t>Title</w:t>
      </w:r>
      <w:r w:rsidRPr="00E022D2">
        <w:rPr>
          <w:rFonts w:ascii="Times New Roman" w:hAnsi="Times New Roman"/>
        </w:rPr>
        <w:t xml:space="preserve"> XVI of the </w:t>
      </w:r>
      <w:r w:rsidRPr="00031304">
        <w:rPr>
          <w:rFonts w:ascii="Times New Roman" w:hAnsi="Times New Roman"/>
          <w:i/>
        </w:rPr>
        <w:t>Act</w:t>
      </w:r>
      <w:r w:rsidRPr="00E022D2">
        <w:rPr>
          <w:rFonts w:ascii="Times New Roman" w:hAnsi="Times New Roman"/>
        </w:rPr>
        <w:t xml:space="preserve">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Pr>
          <w:rFonts w:ascii="Times New Roman" w:hAnsi="Times New Roman"/>
          <w:i/>
          <w:iCs/>
        </w:rPr>
        <w:t xml:space="preserve"> Code of Federal Regulations</w:t>
      </w:r>
      <w:r w:rsidRPr="00546474">
        <w:rPr>
          <w:rFonts w:ascii="Times New Roman" w:hAnsi="Times New Roman"/>
          <w:iCs/>
        </w:rPr>
        <w:t>,</w:t>
      </w:r>
      <w:r>
        <w:rPr>
          <w:rFonts w:ascii="Times New Roman" w:hAnsi="Times New Roman"/>
          <w:i/>
          <w:iCs/>
        </w:rPr>
        <w:t xml:space="preserve"> </w:t>
      </w:r>
      <w:r>
        <w:rPr>
          <w:rFonts w:ascii="Times New Roman" w:hAnsi="Times New Roman"/>
        </w:rPr>
        <w:t>SSA</w:t>
      </w:r>
      <w:r w:rsidRPr="00E022D2">
        <w:rPr>
          <w:rFonts w:ascii="Times New Roman" w:hAnsi="Times New Roman"/>
        </w:rPr>
        <w:t xml:space="preserve"> may conduct a review to determine whether </w:t>
      </w:r>
      <w:r>
        <w:rPr>
          <w:rFonts w:ascii="Times New Roman" w:hAnsi="Times New Roman"/>
        </w:rPr>
        <w:t xml:space="preserve">benefit entitlement or eligibility continues for </w:t>
      </w:r>
      <w:r w:rsidRPr="00E022D2">
        <w:rPr>
          <w:rFonts w:ascii="Times New Roman" w:hAnsi="Times New Roman"/>
        </w:rPr>
        <w:t>individuals receiving disability benefits</w:t>
      </w:r>
      <w:r>
        <w:rPr>
          <w:rFonts w:ascii="Times New Roman" w:hAnsi="Times New Roman"/>
        </w:rPr>
        <w:t>.</w:t>
      </w:r>
      <w:r w:rsidR="003372D8">
        <w:rPr>
          <w:rFonts w:ascii="Times New Roman" w:hAnsi="Times New Roman"/>
        </w:rPr>
        <w:t xml:space="preserve"> </w:t>
      </w:r>
      <w:r w:rsidR="00B70735">
        <w:rPr>
          <w:rFonts w:ascii="Times New Roman" w:hAnsi="Times New Roman"/>
        </w:rPr>
        <w:t xml:space="preserve"> </w:t>
      </w:r>
      <w:r w:rsidR="003372D8">
        <w:rPr>
          <w:rFonts w:ascii="Times New Roman" w:hAnsi="Times New Roman"/>
        </w:rPr>
        <w:t>This clearance request is a simple renewal with m</w:t>
      </w:r>
      <w:r w:rsidR="00DC0E92">
        <w:rPr>
          <w:rFonts w:ascii="Times New Roman" w:hAnsi="Times New Roman"/>
        </w:rPr>
        <w:t>inimal ch</w:t>
      </w:r>
      <w:r w:rsidR="00800710">
        <w:rPr>
          <w:rFonts w:ascii="Times New Roman" w:hAnsi="Times New Roman"/>
        </w:rPr>
        <w:t xml:space="preserve">anges to an existing collection. </w:t>
      </w:r>
      <w:r w:rsidR="007F31D5">
        <w:rPr>
          <w:rFonts w:ascii="Times New Roman" w:hAnsi="Times New Roman"/>
        </w:rPr>
        <w:t xml:space="preserve"> </w:t>
      </w:r>
      <w:r w:rsidR="00800710">
        <w:rPr>
          <w:rFonts w:ascii="Times New Roman" w:hAnsi="Times New Roman"/>
        </w:rPr>
        <w:t xml:space="preserve">This request contains updated estimates based on internal </w:t>
      </w:r>
      <w:r w:rsidR="008328C6">
        <w:rPr>
          <w:rFonts w:ascii="Times New Roman" w:hAnsi="Times New Roman"/>
        </w:rPr>
        <w:t>Management Information</w:t>
      </w:r>
      <w:r w:rsidR="008D44E7">
        <w:rPr>
          <w:rFonts w:ascii="Times New Roman" w:hAnsi="Times New Roman"/>
        </w:rPr>
        <w:t xml:space="preserve"> </w:t>
      </w:r>
      <w:r w:rsidR="00800710">
        <w:rPr>
          <w:rFonts w:ascii="Times New Roman" w:hAnsi="Times New Roman"/>
        </w:rPr>
        <w:t>data</w:t>
      </w:r>
      <w:r w:rsidR="00E167E0">
        <w:rPr>
          <w:rFonts w:ascii="Times New Roman" w:hAnsi="Times New Roman"/>
        </w:rPr>
        <w:t xml:space="preserve">, updates to the </w:t>
      </w:r>
      <w:r w:rsidR="004143D6">
        <w:rPr>
          <w:rFonts w:ascii="Times New Roman" w:hAnsi="Times New Roman"/>
        </w:rPr>
        <w:t>P</w:t>
      </w:r>
      <w:r w:rsidR="00F668DE">
        <w:rPr>
          <w:rFonts w:ascii="Times New Roman" w:hAnsi="Times New Roman"/>
        </w:rPr>
        <w:t xml:space="preserve">rivacy </w:t>
      </w:r>
      <w:r w:rsidR="004143D6">
        <w:rPr>
          <w:rFonts w:ascii="Times New Roman" w:hAnsi="Times New Roman"/>
        </w:rPr>
        <w:t>A</w:t>
      </w:r>
      <w:r w:rsidR="00F668DE">
        <w:rPr>
          <w:rFonts w:ascii="Times New Roman" w:hAnsi="Times New Roman"/>
        </w:rPr>
        <w:t xml:space="preserve">ct </w:t>
      </w:r>
      <w:r w:rsidR="004143D6">
        <w:rPr>
          <w:rFonts w:ascii="Times New Roman" w:hAnsi="Times New Roman"/>
        </w:rPr>
        <w:t>S</w:t>
      </w:r>
      <w:r w:rsidR="00F668DE">
        <w:rPr>
          <w:rFonts w:ascii="Times New Roman" w:hAnsi="Times New Roman"/>
        </w:rPr>
        <w:t>tatement</w:t>
      </w:r>
      <w:r w:rsidR="00E167E0">
        <w:rPr>
          <w:rFonts w:ascii="Times New Roman" w:hAnsi="Times New Roman"/>
        </w:rPr>
        <w:t xml:space="preserve">, and updated language </w:t>
      </w:r>
      <w:r w:rsidR="00F018B8">
        <w:rPr>
          <w:rFonts w:ascii="Times New Roman" w:hAnsi="Times New Roman"/>
        </w:rPr>
        <w:t xml:space="preserve">in the Other Medical </w:t>
      </w:r>
      <w:r w:rsidR="006D6AE4">
        <w:rPr>
          <w:rFonts w:ascii="Times New Roman" w:hAnsi="Times New Roman"/>
        </w:rPr>
        <w:t xml:space="preserve">Information section </w:t>
      </w:r>
      <w:r w:rsidR="00E167E0">
        <w:rPr>
          <w:rFonts w:ascii="Times New Roman" w:hAnsi="Times New Roman"/>
        </w:rPr>
        <w:t xml:space="preserve">for </w:t>
      </w:r>
      <w:r w:rsidR="006D6AE4">
        <w:rPr>
          <w:rFonts w:ascii="Times New Roman" w:hAnsi="Times New Roman"/>
        </w:rPr>
        <w:t xml:space="preserve">additional </w:t>
      </w:r>
      <w:r w:rsidR="00E167E0">
        <w:rPr>
          <w:rFonts w:ascii="Times New Roman" w:hAnsi="Times New Roman"/>
        </w:rPr>
        <w:t>clarity</w:t>
      </w:r>
      <w:r w:rsidR="00F668DE">
        <w:rPr>
          <w:rFonts w:ascii="Times New Roman" w:hAnsi="Times New Roman"/>
        </w:rPr>
        <w:t>.</w:t>
      </w:r>
    </w:p>
    <w:p w:rsidR="00F57AD9" w:rsidRPr="00F57AD9" w:rsidP="00F57AD9" w14:paraId="606001FB" w14:textId="77777777">
      <w:pPr>
        <w:rPr>
          <w:rFonts w:ascii="Times New Roman" w:hAnsi="Times New Roman"/>
        </w:rPr>
      </w:pPr>
    </w:p>
    <w:p w:rsidR="002E18CF" w:rsidRPr="002E18CF" w:rsidP="00D35331" w14:paraId="5E38F750" w14:textId="77777777">
      <w:pPr>
        <w:numPr>
          <w:ilvl w:val="0"/>
          <w:numId w:val="4"/>
        </w:numPr>
        <w:rPr>
          <w:rFonts w:ascii="Times New Roman" w:hAnsi="Times New Roman"/>
        </w:rPr>
      </w:pPr>
      <w:r>
        <w:rPr>
          <w:rFonts w:ascii="Times New Roman" w:hAnsi="Times New Roman"/>
          <w:b/>
        </w:rPr>
        <w:t xml:space="preserve">Description of Collection </w:t>
      </w:r>
    </w:p>
    <w:p w:rsidR="005B46DE" w:rsidP="00A036AF" w14:paraId="1F0505F4" w14:textId="01F4EA71">
      <w:pPr>
        <w:ind w:left="720"/>
        <w:rPr>
          <w:rFonts w:ascii="Times New Roman" w:hAnsi="Times New Roman"/>
        </w:rPr>
      </w:pPr>
      <w:r w:rsidRPr="00A47EFB">
        <w:rPr>
          <w:rFonts w:ascii="Times New Roman" w:hAnsi="Times New Roman"/>
        </w:rPr>
        <w:t xml:space="preserve">SSA considers adults eligible for disability payments if they continue to be unable to do substantial gainful activity because of their impairments, and we consider Title XVI children eligible for disability payment if they have marked and severe functional limitations because of their impairments.  </w:t>
      </w:r>
      <w:bookmarkStart w:id="0" w:name="_Hlk76644428"/>
      <w:r w:rsidR="00320260">
        <w:rPr>
          <w:rFonts w:ascii="Times New Roman" w:hAnsi="Times New Roman"/>
        </w:rPr>
        <w:t xml:space="preserve">SSA has a statutory requirement to conduct </w:t>
      </w:r>
      <w:r w:rsidR="007A598A">
        <w:rPr>
          <w:rFonts w:ascii="Times New Roman" w:hAnsi="Times New Roman"/>
        </w:rPr>
        <w:t xml:space="preserve">periodic reviews to determine if an individual continues to be disabled. </w:t>
      </w:r>
      <w:r w:rsidRPr="00A47EFB">
        <w:rPr>
          <w:rFonts w:ascii="Times New Roman" w:hAnsi="Times New Roman"/>
        </w:rPr>
        <w:t xml:space="preserve">To assess claimants’ ongoing disability payment eligibility, SSA uses the information gathered through </w:t>
      </w:r>
      <w:r w:rsidR="00724A44">
        <w:rPr>
          <w:rFonts w:ascii="Times New Roman" w:hAnsi="Times New Roman"/>
        </w:rPr>
        <w:t xml:space="preserve">a form, </w:t>
      </w:r>
      <w:r w:rsidRPr="00A47EFB">
        <w:rPr>
          <w:rFonts w:ascii="Times New Roman" w:hAnsi="Times New Roman"/>
        </w:rPr>
        <w:t>the Continuing Disability Review Report</w:t>
      </w:r>
      <w:r w:rsidR="00707016">
        <w:rPr>
          <w:rFonts w:ascii="Times New Roman" w:hAnsi="Times New Roman"/>
        </w:rPr>
        <w:t>,</w:t>
      </w:r>
      <w:r w:rsidRPr="00A47EFB">
        <w:rPr>
          <w:rFonts w:ascii="Times New Roman" w:hAnsi="Times New Roman"/>
        </w:rPr>
        <w:t xml:space="preserve"> to complete a mandatory review for the continu</w:t>
      </w:r>
      <w:r w:rsidR="0067298F">
        <w:rPr>
          <w:rFonts w:ascii="Times New Roman" w:hAnsi="Times New Roman"/>
        </w:rPr>
        <w:t>ing</w:t>
      </w:r>
      <w:r w:rsidRPr="00A47EFB">
        <w:rPr>
          <w:rFonts w:ascii="Times New Roman" w:hAnsi="Times New Roman"/>
        </w:rPr>
        <w:t xml:space="preserve"> disability review (CDR).</w:t>
      </w:r>
      <w:r w:rsidR="00B70735">
        <w:rPr>
          <w:rFonts w:ascii="Times New Roman" w:hAnsi="Times New Roman"/>
        </w:rPr>
        <w:t xml:space="preserve">  </w:t>
      </w:r>
      <w:r w:rsidR="00AF39F3">
        <w:rPr>
          <w:rFonts w:ascii="Times New Roman" w:hAnsi="Times New Roman"/>
        </w:rPr>
        <w:t xml:space="preserve">A review is conducted at different intervals depending on the individual’s impairments, </w:t>
      </w:r>
      <w:r w:rsidR="005B736C">
        <w:rPr>
          <w:rFonts w:ascii="Times New Roman" w:hAnsi="Times New Roman"/>
        </w:rPr>
        <w:t xml:space="preserve">at least </w:t>
      </w:r>
      <w:r w:rsidR="003B5CA3">
        <w:rPr>
          <w:rFonts w:ascii="Times New Roman" w:hAnsi="Times New Roman"/>
        </w:rPr>
        <w:t>once every</w:t>
      </w:r>
      <w:r w:rsidR="005B736C">
        <w:rPr>
          <w:rFonts w:ascii="Times New Roman" w:hAnsi="Times New Roman"/>
        </w:rPr>
        <w:t xml:space="preserve"> three </w:t>
      </w:r>
      <w:r w:rsidR="0064555B">
        <w:rPr>
          <w:rFonts w:ascii="Times New Roman" w:hAnsi="Times New Roman"/>
        </w:rPr>
        <w:t xml:space="preserve">years for nonpermanent impairments and </w:t>
      </w:r>
      <w:r w:rsidR="00DC600E">
        <w:rPr>
          <w:rFonts w:ascii="Times New Roman" w:hAnsi="Times New Roman"/>
        </w:rPr>
        <w:t>no less frequently than once every sev</w:t>
      </w:r>
      <w:r w:rsidR="00B70735">
        <w:rPr>
          <w:rFonts w:ascii="Times New Roman" w:hAnsi="Times New Roman"/>
        </w:rPr>
        <w:t xml:space="preserve">en years but more frequently than once every five years. </w:t>
      </w:r>
      <w:r w:rsidRPr="00A47EFB">
        <w:rPr>
          <w:rFonts w:ascii="Times New Roman" w:hAnsi="Times New Roman"/>
        </w:rPr>
        <w:t xml:space="preserve">SSA also uses the Continuing Disability Review Report to obtain information on sources of medical treatment; participation in vocational rehabilitation programs (if any); attempts to work (if any); and recipients’ assessments when they believe their conditions improved.  </w:t>
      </w:r>
    </w:p>
    <w:p w:rsidR="005B46DE" w:rsidP="00EC3231" w14:paraId="335BFD8F" w14:textId="77777777">
      <w:pPr>
        <w:rPr>
          <w:rFonts w:ascii="Times New Roman" w:hAnsi="Times New Roman"/>
        </w:rPr>
      </w:pPr>
    </w:p>
    <w:p w:rsidR="00A47EFB" w:rsidRPr="00A47EFB" w:rsidP="00A47EFB" w14:paraId="227A5A6D" w14:textId="2F5B5F64">
      <w:pPr>
        <w:ind w:left="720"/>
        <w:rPr>
          <w:rFonts w:ascii="Times New Roman" w:hAnsi="Times New Roman"/>
        </w:rPr>
      </w:pPr>
      <w:r w:rsidRPr="003853A3">
        <w:rPr>
          <w:rFonts w:ascii="Times New Roman" w:hAnsi="Times New Roman"/>
        </w:rPr>
        <w:t>The respondents are Title II or Title XVI disability recipients or their representatives.</w:t>
      </w:r>
      <w:r>
        <w:rPr>
          <w:rFonts w:ascii="Times New Roman" w:hAnsi="Times New Roman"/>
        </w:rPr>
        <w:t xml:space="preserve"> </w:t>
      </w:r>
      <w:r w:rsidRPr="00A47EFB">
        <w:rPr>
          <w:rFonts w:ascii="Times New Roman" w:hAnsi="Times New Roman"/>
        </w:rPr>
        <w:t xml:space="preserve">Title II or Title XVI disability recipients can complete the </w:t>
      </w:r>
      <w:r w:rsidRPr="00A47EFB">
        <w:rPr>
          <w:rFonts w:ascii="Times New Roman" w:hAnsi="Times New Roman"/>
        </w:rPr>
        <w:t xml:space="preserve">Continuing Disability Review Report using one of </w:t>
      </w:r>
      <w:r w:rsidR="008D44E7">
        <w:rPr>
          <w:rFonts w:ascii="Times New Roman" w:hAnsi="Times New Roman"/>
        </w:rPr>
        <w:t>five</w:t>
      </w:r>
      <w:r w:rsidRPr="00A47EFB">
        <w:rPr>
          <w:rFonts w:ascii="Times New Roman" w:hAnsi="Times New Roman"/>
        </w:rPr>
        <w:t xml:space="preserve"> modalities:  </w:t>
      </w:r>
      <w:r w:rsidRPr="008D44E7" w:rsidR="008D44E7">
        <w:rPr>
          <w:rFonts w:ascii="Times New Roman" w:hAnsi="Times New Roman"/>
          <w:color w:val="000000" w:themeColor="text1"/>
        </w:rPr>
        <w:t xml:space="preserve">(1) </w:t>
      </w:r>
      <w:r w:rsidRPr="008D44E7" w:rsidR="008D44E7">
        <w:rPr>
          <w:rFonts w:ascii="Times New Roman" w:hAnsi="Times New Roman"/>
          <w:color w:val="000000" w:themeColor="text1"/>
        </w:rPr>
        <w:t>the</w:t>
      </w:r>
      <w:r w:rsidRPr="008D44E7" w:rsidR="008D44E7">
        <w:rPr>
          <w:rFonts w:ascii="Times New Roman" w:hAnsi="Times New Roman"/>
          <w:color w:val="000000" w:themeColor="text1"/>
        </w:rPr>
        <w:t xml:space="preserve"> paper Form SSA 454-BK</w:t>
      </w:r>
      <w:r w:rsidRPr="008D44E7" w:rsidR="008D44E7">
        <w:rPr>
          <w:rFonts w:ascii="Times New Roman" w:hAnsi="Times New Roman"/>
          <w:color w:val="000000" w:themeColor="text1"/>
        </w:rPr>
        <w:t>, which the respondent</w:t>
      </w:r>
      <w:r w:rsidRPr="008D44E7" w:rsidR="008D44E7">
        <w:rPr>
          <w:rFonts w:ascii="Times New Roman" w:hAnsi="Times New Roman"/>
          <w:color w:val="000000" w:themeColor="text1"/>
        </w:rPr>
        <w:t xml:space="preserve"> mail</w:t>
      </w:r>
      <w:r w:rsidRPr="008D44E7" w:rsidR="008D44E7">
        <w:rPr>
          <w:rFonts w:ascii="Times New Roman" w:hAnsi="Times New Roman"/>
          <w:color w:val="000000" w:themeColor="text1"/>
        </w:rPr>
        <w:t>s</w:t>
      </w:r>
      <w:r w:rsidRPr="008D44E7" w:rsidR="008D44E7">
        <w:rPr>
          <w:rFonts w:ascii="Times New Roman" w:hAnsi="Times New Roman"/>
          <w:color w:val="000000" w:themeColor="text1"/>
        </w:rPr>
        <w:t xml:space="preserve"> back to SSA in a pre</w:t>
      </w:r>
      <w:r w:rsidRPr="008D44E7" w:rsidR="008D44E7">
        <w:rPr>
          <w:rFonts w:ascii="Times New Roman" w:hAnsi="Times New Roman"/>
          <w:color w:val="000000" w:themeColor="text1"/>
        </w:rPr>
        <w:noBreakHyphen/>
        <w:t>postage paid envelope; (2) the paper Form SSA-454-BK</w:t>
      </w:r>
      <w:r w:rsidRPr="008D44E7" w:rsidR="008D44E7">
        <w:rPr>
          <w:rFonts w:ascii="Times New Roman" w:hAnsi="Times New Roman"/>
          <w:color w:val="000000" w:themeColor="text1"/>
        </w:rPr>
        <w:t xml:space="preserve">, which the respondent </w:t>
      </w:r>
      <w:r w:rsidRPr="008D44E7" w:rsidR="008D44E7">
        <w:rPr>
          <w:rFonts w:ascii="Times New Roman" w:hAnsi="Times New Roman"/>
          <w:color w:val="000000" w:themeColor="text1"/>
        </w:rPr>
        <w:t>return</w:t>
      </w:r>
      <w:r w:rsidRPr="008D44E7" w:rsidR="008D44E7">
        <w:rPr>
          <w:rFonts w:ascii="Times New Roman" w:hAnsi="Times New Roman"/>
          <w:color w:val="000000" w:themeColor="text1"/>
        </w:rPr>
        <w:t>s</w:t>
      </w:r>
      <w:r w:rsidRPr="008D44E7" w:rsidR="008D44E7">
        <w:rPr>
          <w:rFonts w:ascii="Times New Roman" w:hAnsi="Times New Roman"/>
          <w:color w:val="000000" w:themeColor="text1"/>
        </w:rPr>
        <w:t xml:space="preserve"> to a local field office; (3) the fillable PDF SSA-454-BK</w:t>
      </w:r>
      <w:r w:rsidRPr="008D44E7" w:rsidR="008D44E7">
        <w:rPr>
          <w:rFonts w:ascii="Times New Roman" w:hAnsi="Times New Roman"/>
          <w:color w:val="000000" w:themeColor="text1"/>
        </w:rPr>
        <w:t xml:space="preserve">, which respondents complete and submit </w:t>
      </w:r>
      <w:r w:rsidRPr="008D44E7" w:rsidR="008D44E7">
        <w:rPr>
          <w:rFonts w:ascii="Times New Roman" w:hAnsi="Times New Roman"/>
          <w:color w:val="000000" w:themeColor="text1"/>
        </w:rPr>
        <w:t>via our Upload Documents portal</w:t>
      </w:r>
      <w:r w:rsidRPr="008D44E7" w:rsidR="008D44E7">
        <w:rPr>
          <w:rFonts w:ascii="Times New Roman" w:hAnsi="Times New Roman"/>
          <w:color w:val="000000" w:themeColor="text1"/>
        </w:rPr>
        <w:t xml:space="preserve"> (OMB No. 0960-0830)</w:t>
      </w:r>
      <w:r w:rsidRPr="008D44E7" w:rsidR="008D44E7">
        <w:rPr>
          <w:rFonts w:ascii="Times New Roman" w:hAnsi="Times New Roman"/>
          <w:color w:val="000000" w:themeColor="text1"/>
        </w:rPr>
        <w:t>; (4) the Internet i454</w:t>
      </w:r>
      <w:r w:rsidRPr="008D44E7" w:rsidR="008D44E7">
        <w:rPr>
          <w:rFonts w:ascii="Times New Roman" w:hAnsi="Times New Roman"/>
          <w:color w:val="000000" w:themeColor="text1"/>
        </w:rPr>
        <w:t xml:space="preserve">, which respondents complete and </w:t>
      </w:r>
      <w:r w:rsidRPr="008D44E7" w:rsidR="008D44E7">
        <w:rPr>
          <w:rFonts w:ascii="Times New Roman" w:hAnsi="Times New Roman"/>
          <w:color w:val="000000" w:themeColor="text1"/>
        </w:rPr>
        <w:t xml:space="preserve">submit electronically through the </w:t>
      </w:r>
      <w:r w:rsidRPr="008D44E7" w:rsidR="008D44E7">
        <w:rPr>
          <w:rFonts w:ascii="Times New Roman" w:hAnsi="Times New Roman"/>
          <w:color w:val="000000" w:themeColor="text1"/>
        </w:rPr>
        <w:t>mySocial</w:t>
      </w:r>
      <w:r w:rsidRPr="008D44E7" w:rsidR="008D44E7">
        <w:rPr>
          <w:rFonts w:ascii="Times New Roman" w:hAnsi="Times New Roman"/>
          <w:color w:val="000000" w:themeColor="text1"/>
        </w:rPr>
        <w:t xml:space="preserve"> Security account link; or (5) a face-to-face (or </w:t>
      </w:r>
      <w:r w:rsidRPr="008D44E7" w:rsidR="008D44E7">
        <w:rPr>
          <w:rFonts w:ascii="Times New Roman" w:hAnsi="Times New Roman"/>
          <w:color w:val="000000" w:themeColor="text1"/>
        </w:rPr>
        <w:t>teleclaim</w:t>
      </w:r>
      <w:r w:rsidRPr="008D44E7" w:rsidR="008D44E7">
        <w:rPr>
          <w:rFonts w:ascii="Times New Roman" w:hAnsi="Times New Roman"/>
          <w:color w:val="000000" w:themeColor="text1"/>
        </w:rPr>
        <w:t>) interview with a claims specialist through an SSA field office</w:t>
      </w:r>
      <w:r w:rsidRPr="00A47EFB">
        <w:rPr>
          <w:rFonts w:ascii="Times New Roman" w:hAnsi="Times New Roman"/>
        </w:rPr>
        <w:t xml:space="preserve"> during which SSA </w:t>
      </w:r>
      <w:r w:rsidR="008D44E7">
        <w:rPr>
          <w:rFonts w:ascii="Times New Roman" w:hAnsi="Times New Roman"/>
        </w:rPr>
        <w:t>technicians</w:t>
      </w:r>
      <w:r w:rsidRPr="00A47EFB">
        <w:rPr>
          <w:rFonts w:ascii="Times New Roman" w:hAnsi="Times New Roman"/>
        </w:rPr>
        <w:t xml:space="preserve"> enter claimant’s data directly into the Electronic Disability Collection System (EDCS). </w:t>
      </w:r>
      <w:bookmarkEnd w:id="0"/>
      <w:r w:rsidRPr="00A47EFB">
        <w:rPr>
          <w:rFonts w:ascii="Times New Roman" w:hAnsi="Times New Roman"/>
        </w:rPr>
        <w:t xml:space="preserve"> When SSA initiates a medical CDR, SSA sends a mailed notice to the individual </w:t>
      </w:r>
      <w:r w:rsidR="00917215">
        <w:rPr>
          <w:rFonts w:ascii="Times New Roman" w:hAnsi="Times New Roman"/>
        </w:rPr>
        <w:t xml:space="preserve">with a disability </w:t>
      </w:r>
      <w:r w:rsidRPr="00A47EFB">
        <w:rPr>
          <w:rFonts w:ascii="Times New Roman" w:hAnsi="Times New Roman"/>
        </w:rPr>
        <w:t>informing that individual that SSA requires a CDR.  The mailed notice provides instructions to the recipient on how to assist the agency with initiating the CDR and gives the individual the option to complete a paper SSA-454 or an i454 for adult only disabled individuals.  When a</w:t>
      </w:r>
      <w:r w:rsidR="00917215">
        <w:rPr>
          <w:rFonts w:ascii="Times New Roman" w:hAnsi="Times New Roman"/>
        </w:rPr>
        <w:t>n</w:t>
      </w:r>
      <w:r w:rsidRPr="00A47EFB">
        <w:rPr>
          <w:rFonts w:ascii="Times New Roman" w:hAnsi="Times New Roman"/>
        </w:rPr>
        <w:t xml:space="preserve"> individual requires a CDR, a claims </w:t>
      </w:r>
      <w:r w:rsidR="00175149">
        <w:rPr>
          <w:rFonts w:ascii="Times New Roman" w:hAnsi="Times New Roman"/>
        </w:rPr>
        <w:t>specialist</w:t>
      </w:r>
      <w:r w:rsidRPr="00A47EFB">
        <w:rPr>
          <w:rFonts w:ascii="Times New Roman" w:hAnsi="Times New Roman"/>
        </w:rPr>
        <w:t xml:space="preserve"> (C</w:t>
      </w:r>
      <w:r w:rsidR="00175149">
        <w:rPr>
          <w:rFonts w:ascii="Times New Roman" w:hAnsi="Times New Roman"/>
        </w:rPr>
        <w:t>S</w:t>
      </w:r>
      <w:r w:rsidRPr="00A47EFB">
        <w:rPr>
          <w:rFonts w:ascii="Times New Roman" w:hAnsi="Times New Roman"/>
        </w:rPr>
        <w:t>) mails the paper Form SSA</w:t>
      </w:r>
      <w:r w:rsidR="008D44E7">
        <w:rPr>
          <w:rFonts w:ascii="Times New Roman" w:hAnsi="Times New Roman"/>
        </w:rPr>
        <w:noBreakHyphen/>
      </w:r>
      <w:r w:rsidRPr="00A47EFB">
        <w:rPr>
          <w:rFonts w:ascii="Times New Roman" w:hAnsi="Times New Roman"/>
        </w:rPr>
        <w:t>454-BK, and the respondent completes the form and sends or brings it back to SSA; or the C</w:t>
      </w:r>
      <w:r w:rsidR="00175149">
        <w:rPr>
          <w:rFonts w:ascii="Times New Roman" w:hAnsi="Times New Roman"/>
        </w:rPr>
        <w:t>S</w:t>
      </w:r>
      <w:r w:rsidRPr="00A47EFB">
        <w:rPr>
          <w:rFonts w:ascii="Times New Roman" w:hAnsi="Times New Roman"/>
        </w:rPr>
        <w:t xml:space="preserve"> interviews the respondent</w:t>
      </w:r>
      <w:r w:rsidR="008D44E7">
        <w:rPr>
          <w:rFonts w:ascii="Times New Roman" w:hAnsi="Times New Roman"/>
        </w:rPr>
        <w:t xml:space="preserve"> during a </w:t>
      </w:r>
      <w:r w:rsidR="008D44E7">
        <w:rPr>
          <w:rFonts w:ascii="Times New Roman" w:hAnsi="Times New Roman"/>
        </w:rPr>
        <w:t>teleclaim</w:t>
      </w:r>
      <w:r w:rsidRPr="00A47EFB">
        <w:rPr>
          <w:rFonts w:ascii="Times New Roman" w:hAnsi="Times New Roman"/>
        </w:rPr>
        <w:t xml:space="preserve"> and enters the information into the appropriate EDCS screens; or adult disabled individuals can complete the SSA</w:t>
      </w:r>
      <w:r w:rsidRPr="00A47EFB">
        <w:rPr>
          <w:rFonts w:ascii="Times New Roman" w:hAnsi="Times New Roman"/>
        </w:rPr>
        <w:noBreakHyphen/>
        <w:t>454</w:t>
      </w:r>
      <w:r w:rsidRPr="00A47EFB">
        <w:rPr>
          <w:rFonts w:ascii="Times New Roman" w:hAnsi="Times New Roman"/>
        </w:rPr>
        <w:noBreakHyphen/>
        <w:t xml:space="preserve">BK electronically using the i454 </w:t>
      </w:r>
      <w:r w:rsidR="00D64AEC">
        <w:rPr>
          <w:rFonts w:ascii="Times New Roman" w:hAnsi="Times New Roman"/>
        </w:rPr>
        <w:t>I</w:t>
      </w:r>
      <w:r w:rsidRPr="00A47EFB">
        <w:rPr>
          <w:rFonts w:ascii="Times New Roman" w:hAnsi="Times New Roman"/>
        </w:rPr>
        <w:t xml:space="preserve">nternet application.  </w:t>
      </w:r>
      <w:r w:rsidR="00B64AF6">
        <w:rPr>
          <w:rFonts w:ascii="Times New Roman" w:hAnsi="Times New Roman"/>
        </w:rPr>
        <w:t xml:space="preserve">The agency has made </w:t>
      </w:r>
      <w:r w:rsidR="00130EE5">
        <w:rPr>
          <w:rFonts w:ascii="Times New Roman" w:hAnsi="Times New Roman"/>
        </w:rPr>
        <w:t>this mandatory information collection easier by offering</w:t>
      </w:r>
      <w:r w:rsidR="00D64AEC">
        <w:rPr>
          <w:rFonts w:ascii="Times New Roman" w:hAnsi="Times New Roman"/>
        </w:rPr>
        <w:t xml:space="preserve"> the</w:t>
      </w:r>
      <w:r w:rsidR="00130EE5">
        <w:rPr>
          <w:rFonts w:ascii="Times New Roman" w:hAnsi="Times New Roman"/>
        </w:rPr>
        <w:t xml:space="preserve"> </w:t>
      </w:r>
      <w:r w:rsidR="00C2424A">
        <w:rPr>
          <w:rFonts w:ascii="Times New Roman" w:hAnsi="Times New Roman"/>
        </w:rPr>
        <w:t>different modalities</w:t>
      </w:r>
      <w:r w:rsidR="00923677">
        <w:rPr>
          <w:rFonts w:ascii="Times New Roman" w:hAnsi="Times New Roman"/>
        </w:rPr>
        <w:t xml:space="preserve"> </w:t>
      </w:r>
      <w:r w:rsidR="00D64AEC">
        <w:rPr>
          <w:rFonts w:ascii="Times New Roman" w:hAnsi="Times New Roman"/>
        </w:rPr>
        <w:t xml:space="preserve">mentioned above </w:t>
      </w:r>
      <w:r w:rsidR="00923677">
        <w:rPr>
          <w:rFonts w:ascii="Times New Roman" w:hAnsi="Times New Roman"/>
        </w:rPr>
        <w:t>for obtaining necessary information</w:t>
      </w:r>
      <w:r w:rsidR="00C2424A">
        <w:rPr>
          <w:rFonts w:ascii="Times New Roman" w:hAnsi="Times New Roman"/>
        </w:rPr>
        <w:t xml:space="preserve">; </w:t>
      </w:r>
      <w:r w:rsidR="008F0C60">
        <w:rPr>
          <w:rFonts w:ascii="Times New Roman" w:hAnsi="Times New Roman"/>
        </w:rPr>
        <w:t>with the option to complete the paper Form SSA 454-BK</w:t>
      </w:r>
      <w:r w:rsidR="00D81A25">
        <w:rPr>
          <w:rFonts w:ascii="Times New Roman" w:hAnsi="Times New Roman"/>
        </w:rPr>
        <w:t xml:space="preserve"> </w:t>
      </w:r>
      <w:r w:rsidR="00960883">
        <w:rPr>
          <w:rFonts w:ascii="Times New Roman" w:hAnsi="Times New Roman"/>
        </w:rPr>
        <w:t xml:space="preserve">and mailing it back to SSA in a pre-postage paid </w:t>
      </w:r>
      <w:r w:rsidR="00976C5B">
        <w:rPr>
          <w:rFonts w:ascii="Times New Roman" w:hAnsi="Times New Roman"/>
        </w:rPr>
        <w:t>envelope</w:t>
      </w:r>
      <w:r w:rsidR="00960883">
        <w:rPr>
          <w:rFonts w:ascii="Times New Roman" w:hAnsi="Times New Roman"/>
        </w:rPr>
        <w:t>, returning the paper form to a local office, completing</w:t>
      </w:r>
      <w:r w:rsidR="00D81A25">
        <w:rPr>
          <w:rFonts w:ascii="Times New Roman" w:hAnsi="Times New Roman"/>
        </w:rPr>
        <w:t xml:space="preserve"> the </w:t>
      </w:r>
      <w:r w:rsidR="00BB2324">
        <w:rPr>
          <w:rFonts w:ascii="Times New Roman" w:hAnsi="Times New Roman"/>
        </w:rPr>
        <w:t xml:space="preserve">fillable PDF SSA-454-BK </w:t>
      </w:r>
      <w:r w:rsidR="00046E00">
        <w:rPr>
          <w:rFonts w:ascii="Times New Roman" w:hAnsi="Times New Roman"/>
        </w:rPr>
        <w:t xml:space="preserve">at home via Upload Documents, completing the </w:t>
      </w:r>
      <w:r w:rsidR="00D81A25">
        <w:rPr>
          <w:rFonts w:ascii="Times New Roman" w:hAnsi="Times New Roman"/>
        </w:rPr>
        <w:t xml:space="preserve">internet i454 at </w:t>
      </w:r>
      <w:r w:rsidR="00072595">
        <w:rPr>
          <w:rFonts w:ascii="Times New Roman" w:hAnsi="Times New Roman"/>
        </w:rPr>
        <w:t>home</w:t>
      </w:r>
      <w:r w:rsidR="00B510B7">
        <w:rPr>
          <w:rFonts w:ascii="Times New Roman" w:hAnsi="Times New Roman"/>
        </w:rPr>
        <w:t xml:space="preserve">, </w:t>
      </w:r>
      <w:r w:rsidR="00072595">
        <w:rPr>
          <w:rFonts w:ascii="Times New Roman" w:hAnsi="Times New Roman"/>
        </w:rPr>
        <w:t xml:space="preserve"> </w:t>
      </w:r>
      <w:r w:rsidR="00976C5B">
        <w:rPr>
          <w:rFonts w:ascii="Times New Roman" w:hAnsi="Times New Roman"/>
        </w:rPr>
        <w:t xml:space="preserve">or </w:t>
      </w:r>
      <w:r w:rsidR="00D5426A">
        <w:rPr>
          <w:rFonts w:ascii="Times New Roman" w:hAnsi="Times New Roman"/>
        </w:rPr>
        <w:t xml:space="preserve">scheduling a face-to-face interview </w:t>
      </w:r>
      <w:r w:rsidR="00D64AEC">
        <w:rPr>
          <w:rFonts w:ascii="Times New Roman" w:hAnsi="Times New Roman"/>
        </w:rPr>
        <w:t>(</w:t>
      </w:r>
      <w:r w:rsidR="00D5426A">
        <w:rPr>
          <w:rFonts w:ascii="Times New Roman" w:hAnsi="Times New Roman"/>
        </w:rPr>
        <w:t xml:space="preserve">or </w:t>
      </w:r>
      <w:r w:rsidR="00D5426A">
        <w:rPr>
          <w:rFonts w:ascii="Times New Roman" w:hAnsi="Times New Roman"/>
        </w:rPr>
        <w:t>teleclaim</w:t>
      </w:r>
      <w:r w:rsidR="00D64AEC">
        <w:rPr>
          <w:rFonts w:ascii="Times New Roman" w:hAnsi="Times New Roman"/>
        </w:rPr>
        <w:t>)</w:t>
      </w:r>
      <w:r w:rsidR="00D5426A">
        <w:rPr>
          <w:rFonts w:ascii="Times New Roman" w:hAnsi="Times New Roman"/>
        </w:rPr>
        <w:t xml:space="preserve"> with a CS through a</w:t>
      </w:r>
      <w:r w:rsidR="0090057B">
        <w:rPr>
          <w:rFonts w:ascii="Times New Roman" w:hAnsi="Times New Roman"/>
        </w:rPr>
        <w:t>n</w:t>
      </w:r>
      <w:r w:rsidR="00D5426A">
        <w:rPr>
          <w:rFonts w:ascii="Times New Roman" w:hAnsi="Times New Roman"/>
        </w:rPr>
        <w:t xml:space="preserve"> SSA field office.</w:t>
      </w:r>
      <w:r w:rsidR="003A11C9">
        <w:rPr>
          <w:rFonts w:ascii="Times New Roman" w:hAnsi="Times New Roman"/>
        </w:rPr>
        <w:t xml:space="preserve"> </w:t>
      </w:r>
      <w:r w:rsidR="00D81A25">
        <w:rPr>
          <w:rFonts w:ascii="Times New Roman" w:hAnsi="Times New Roman"/>
        </w:rPr>
        <w:t xml:space="preserve"> </w:t>
      </w:r>
      <w:r w:rsidR="00283B5A">
        <w:rPr>
          <w:rFonts w:ascii="Times New Roman" w:hAnsi="Times New Roman"/>
        </w:rPr>
        <w:t xml:space="preserve">The SSA-454-BK also provides helpful examples where appropriate to assist the respondent in providing answers. </w:t>
      </w:r>
      <w:r w:rsidRPr="00A47EFB">
        <w:rPr>
          <w:rFonts w:ascii="Times New Roman" w:hAnsi="Times New Roman"/>
        </w:rPr>
        <w:t xml:space="preserve">Regardless of the modality the respondent uses to complete the information (paper, EDCS, or </w:t>
      </w:r>
      <w:r w:rsidR="00D64AEC">
        <w:rPr>
          <w:rFonts w:ascii="Times New Roman" w:hAnsi="Times New Roman"/>
        </w:rPr>
        <w:t>I</w:t>
      </w:r>
      <w:r w:rsidRPr="00A47EFB">
        <w:rPr>
          <w:rFonts w:ascii="Times New Roman" w:hAnsi="Times New Roman"/>
        </w:rPr>
        <w:t>nternet versions), SSA electronically stores the information provided in EDCS.  The respondents complete the SSA-454-BK by themselves with self-help information available, or a representative may complete the paper form or electronic application on their behalf.  The respondents generally do not need information from someone else to complete the form.</w:t>
      </w:r>
      <w:r w:rsidR="00ED335B">
        <w:rPr>
          <w:rFonts w:ascii="Times New Roman" w:hAnsi="Times New Roman"/>
        </w:rPr>
        <w:t xml:space="preserve"> </w:t>
      </w:r>
      <w:r w:rsidR="00D64AEC">
        <w:rPr>
          <w:rFonts w:ascii="Times New Roman" w:hAnsi="Times New Roman"/>
        </w:rPr>
        <w:t xml:space="preserve"> </w:t>
      </w:r>
      <w:r w:rsidR="00ED335B">
        <w:rPr>
          <w:rFonts w:ascii="Times New Roman" w:hAnsi="Times New Roman"/>
        </w:rPr>
        <w:t xml:space="preserve">In some circumstances, the respondent may need extra assistance in completing </w:t>
      </w:r>
      <w:r w:rsidR="0037783A">
        <w:rPr>
          <w:rFonts w:ascii="Times New Roman" w:hAnsi="Times New Roman"/>
        </w:rPr>
        <w:t>the form</w:t>
      </w:r>
      <w:r w:rsidR="00E14D74">
        <w:rPr>
          <w:rFonts w:ascii="Times New Roman" w:hAnsi="Times New Roman"/>
        </w:rPr>
        <w:t>.</w:t>
      </w:r>
      <w:r w:rsidR="0037783A">
        <w:rPr>
          <w:rFonts w:ascii="Times New Roman" w:hAnsi="Times New Roman"/>
        </w:rPr>
        <w:t xml:space="preserve"> </w:t>
      </w:r>
      <w:r w:rsidR="00E14D74">
        <w:rPr>
          <w:rFonts w:ascii="Times New Roman" w:hAnsi="Times New Roman"/>
        </w:rPr>
        <w:t>T</w:t>
      </w:r>
      <w:r w:rsidR="0037783A">
        <w:rPr>
          <w:rFonts w:ascii="Times New Roman" w:hAnsi="Times New Roman"/>
        </w:rPr>
        <w:t xml:space="preserve">he </w:t>
      </w:r>
      <w:r w:rsidR="00674685">
        <w:rPr>
          <w:rFonts w:ascii="Times New Roman" w:hAnsi="Times New Roman"/>
        </w:rPr>
        <w:t>SSA-454-BK</w:t>
      </w:r>
      <w:r w:rsidR="0037783A">
        <w:rPr>
          <w:rFonts w:ascii="Times New Roman" w:hAnsi="Times New Roman"/>
        </w:rPr>
        <w:t xml:space="preserve"> provides instructions on </w:t>
      </w:r>
      <w:r w:rsidR="00015F56">
        <w:rPr>
          <w:rFonts w:ascii="Times New Roman" w:hAnsi="Times New Roman"/>
        </w:rPr>
        <w:t xml:space="preserve">obtaining help, providing a </w:t>
      </w:r>
      <w:r w:rsidR="00DA66AA">
        <w:rPr>
          <w:rFonts w:ascii="Times New Roman" w:hAnsi="Times New Roman"/>
        </w:rPr>
        <w:t xml:space="preserve">telephone </w:t>
      </w:r>
      <w:r w:rsidR="00015F56">
        <w:rPr>
          <w:rFonts w:ascii="Times New Roman" w:hAnsi="Times New Roman"/>
        </w:rPr>
        <w:t>number to call</w:t>
      </w:r>
      <w:r w:rsidR="00DA66AA">
        <w:rPr>
          <w:rFonts w:ascii="Times New Roman" w:hAnsi="Times New Roman"/>
        </w:rPr>
        <w:t xml:space="preserve"> or a discussion </w:t>
      </w:r>
      <w:r w:rsidR="003A11C9">
        <w:rPr>
          <w:rFonts w:ascii="Times New Roman" w:hAnsi="Times New Roman"/>
        </w:rPr>
        <w:t xml:space="preserve">of information collected during a scheduled continuing disability review interview.  The form also explains that SSA will provide an interpreter free of charge if the respondent is unable to speak or understand English. </w:t>
      </w:r>
      <w:r w:rsidR="00674685">
        <w:rPr>
          <w:rFonts w:ascii="Times New Roman" w:hAnsi="Times New Roman"/>
        </w:rPr>
        <w:t xml:space="preserve"> </w:t>
      </w:r>
    </w:p>
    <w:p w:rsidR="00A47EFB" w:rsidP="00A47EFB" w14:paraId="4AEBBD2C" w14:textId="77777777">
      <w:pPr>
        <w:pStyle w:val="ListParagraph"/>
        <w:ind w:left="1080"/>
        <w:rPr>
          <w:rFonts w:ascii="Times New Roman" w:hAnsi="Times New Roman"/>
        </w:rPr>
      </w:pPr>
    </w:p>
    <w:p w:rsidR="00A47EFB" w:rsidRPr="00A47EFB" w:rsidP="00A47EFB" w14:paraId="50C515F4" w14:textId="77777777">
      <w:pPr>
        <w:ind w:left="720"/>
        <w:rPr>
          <w:rFonts w:ascii="Times New Roman" w:hAnsi="Times New Roman"/>
        </w:rPr>
      </w:pPr>
      <w:r w:rsidRPr="00A47EFB">
        <w:rPr>
          <w:rFonts w:ascii="Times New Roman" w:hAnsi="Times New Roman"/>
        </w:rPr>
        <w:t>The following is a list and description of each modality SSA uses to collect information for these benefit applications:</w:t>
      </w:r>
    </w:p>
    <w:p w:rsidR="00A47EFB" w:rsidP="00A47EFB" w14:paraId="33E80ABB" w14:textId="77777777">
      <w:pPr>
        <w:pStyle w:val="ListParagraph"/>
        <w:ind w:left="1080"/>
        <w:rPr>
          <w:rFonts w:ascii="Times New Roman" w:hAnsi="Times New Roman"/>
        </w:rPr>
      </w:pPr>
    </w:p>
    <w:p w:rsidR="00A47EFB" w:rsidRPr="003853A3" w:rsidP="003853A3" w14:paraId="67F080A6" w14:textId="77777777">
      <w:pPr>
        <w:ind w:firstLine="720"/>
        <w:rPr>
          <w:rFonts w:ascii="Times New Roman" w:hAnsi="Times New Roman"/>
          <w:b/>
        </w:rPr>
      </w:pPr>
      <w:r w:rsidRPr="003853A3">
        <w:rPr>
          <w:rFonts w:ascii="Times New Roman" w:hAnsi="Times New Roman"/>
          <w:b/>
          <w:u w:val="single"/>
        </w:rPr>
        <w:t>Paper Application Form</w:t>
      </w:r>
      <w:r w:rsidRPr="003853A3">
        <w:rPr>
          <w:rFonts w:ascii="Times New Roman" w:hAnsi="Times New Roman"/>
          <w:b/>
        </w:rPr>
        <w:t>:</w:t>
      </w:r>
    </w:p>
    <w:p w:rsidR="00A47EFB" w:rsidRPr="003853A3" w:rsidP="003853A3" w14:paraId="10843C8B" w14:textId="22FCB8B4">
      <w:pPr>
        <w:ind w:left="720"/>
        <w:rPr>
          <w:rFonts w:ascii="Times New Roman" w:hAnsi="Times New Roman"/>
        </w:rPr>
      </w:pPr>
      <w:r w:rsidRPr="003853A3">
        <w:rPr>
          <w:rFonts w:ascii="Times New Roman" w:hAnsi="Times New Roman"/>
        </w:rPr>
        <w:t xml:space="preserve">Title II and Title XVI recipients, or their representatives, can complete the paper SSA-454-BK, or they can download and complete the fillable PDF version of the </w:t>
      </w:r>
      <w:r w:rsidRPr="003853A3">
        <w:rPr>
          <w:rFonts w:ascii="Times New Roman" w:hAnsi="Times New Roman"/>
        </w:rPr>
        <w:t>form from our website</w:t>
      </w:r>
      <w:r w:rsidR="004A4143">
        <w:rPr>
          <w:rFonts w:ascii="Times New Roman" w:hAnsi="Times New Roman"/>
        </w:rPr>
        <w:t xml:space="preserve"> or </w:t>
      </w:r>
      <w:r w:rsidR="00D64AEC">
        <w:rPr>
          <w:rFonts w:ascii="Times New Roman" w:hAnsi="Times New Roman"/>
        </w:rPr>
        <w:t xml:space="preserve">access it </w:t>
      </w:r>
      <w:r w:rsidR="004A4143">
        <w:rPr>
          <w:rFonts w:ascii="Times New Roman" w:hAnsi="Times New Roman"/>
        </w:rPr>
        <w:t>via the Upload Documents tool</w:t>
      </w:r>
      <w:r w:rsidRPr="003853A3">
        <w:rPr>
          <w:rFonts w:ascii="Times New Roman" w:hAnsi="Times New Roman"/>
        </w:rPr>
        <w:t>.  In either case, the respondents using the paper or fillable PDF version complete the form and submit it to SSA either via USPS mail, by bringing the completed form to an SSA field office</w:t>
      </w:r>
      <w:r w:rsidR="00D64AEC">
        <w:rPr>
          <w:rFonts w:ascii="Times New Roman" w:hAnsi="Times New Roman"/>
        </w:rPr>
        <w:t>, or by submitting it through the Upload Documents portal</w:t>
      </w:r>
      <w:r w:rsidRPr="003853A3">
        <w:rPr>
          <w:rFonts w:ascii="Times New Roman" w:hAnsi="Times New Roman"/>
        </w:rPr>
        <w:t xml:space="preserve">.  Once SSA receives the paper SSA-454-BK and any supplemental </w:t>
      </w:r>
      <w:r w:rsidRPr="003853A3" w:rsidR="0065348C">
        <w:rPr>
          <w:rFonts w:ascii="Times New Roman" w:hAnsi="Times New Roman"/>
        </w:rPr>
        <w:t>information,</w:t>
      </w:r>
      <w:r w:rsidRPr="003853A3">
        <w:rPr>
          <w:rFonts w:ascii="Times New Roman" w:hAnsi="Times New Roman"/>
        </w:rPr>
        <w:t xml:space="preserve"> if necessary, we process the information and store it in EDCS.</w:t>
      </w:r>
    </w:p>
    <w:p w:rsidR="00A47EFB" w:rsidP="00A47EFB" w14:paraId="3C136AFA" w14:textId="77777777">
      <w:pPr>
        <w:pStyle w:val="ListParagraph"/>
        <w:ind w:left="1080"/>
        <w:rPr>
          <w:rFonts w:ascii="Times New Roman" w:hAnsi="Times New Roman"/>
        </w:rPr>
      </w:pPr>
    </w:p>
    <w:p w:rsidR="00A47EFB" w:rsidRPr="003853A3" w:rsidP="003853A3" w14:paraId="4FFBC16D" w14:textId="76979D88">
      <w:pPr>
        <w:ind w:left="720"/>
        <w:rPr>
          <w:rFonts w:ascii="Times New Roman" w:hAnsi="Times New Roman"/>
        </w:rPr>
      </w:pPr>
      <w:r w:rsidRPr="003853A3">
        <w:rPr>
          <w:rFonts w:ascii="Times New Roman" w:hAnsi="Times New Roman"/>
        </w:rPr>
        <w:t>SSA no longer prints and delivers paper copies of these forms to field offices since printable and fillable versions are available on our website</w:t>
      </w:r>
      <w:r w:rsidR="006D6316">
        <w:rPr>
          <w:rFonts w:ascii="Times New Roman" w:hAnsi="Times New Roman"/>
        </w:rPr>
        <w:t>;</w:t>
      </w:r>
      <w:r w:rsidRPr="003853A3">
        <w:rPr>
          <w:rFonts w:ascii="Times New Roman" w:hAnsi="Times New Roman"/>
        </w:rPr>
        <w:t xml:space="preserve"> </w:t>
      </w:r>
      <w:r w:rsidR="006D6316">
        <w:rPr>
          <w:rFonts w:ascii="Times New Roman" w:hAnsi="Times New Roman"/>
        </w:rPr>
        <w:t>h</w:t>
      </w:r>
      <w:r w:rsidRPr="003853A3">
        <w:rPr>
          <w:rFonts w:ascii="Times New Roman" w:hAnsi="Times New Roman"/>
        </w:rPr>
        <w:t>owever, local field offices often print the form in office to send to respondents.</w:t>
      </w:r>
    </w:p>
    <w:p w:rsidR="00A47EFB" w:rsidP="00A47EFB" w14:paraId="08384CD1" w14:textId="77777777">
      <w:pPr>
        <w:pStyle w:val="ListParagraph"/>
        <w:ind w:left="1080"/>
        <w:rPr>
          <w:rFonts w:ascii="Times New Roman" w:hAnsi="Times New Roman"/>
        </w:rPr>
      </w:pPr>
    </w:p>
    <w:p w:rsidR="00A47EFB" w:rsidRPr="003853A3" w:rsidP="003853A3" w14:paraId="72E795B6" w14:textId="77777777">
      <w:pPr>
        <w:ind w:firstLine="720"/>
        <w:rPr>
          <w:rFonts w:ascii="Times New Roman" w:hAnsi="Times New Roman"/>
          <w:b/>
          <w:u w:val="single"/>
        </w:rPr>
      </w:pPr>
      <w:r w:rsidRPr="003853A3">
        <w:rPr>
          <w:rFonts w:ascii="Times New Roman" w:hAnsi="Times New Roman"/>
          <w:b/>
          <w:u w:val="single"/>
        </w:rPr>
        <w:t>Interview/EDCS Screens:</w:t>
      </w:r>
    </w:p>
    <w:p w:rsidR="00A47EFB" w:rsidRPr="003853A3" w:rsidP="003853A3" w14:paraId="39675244" w14:textId="0B5AF1C6">
      <w:pPr>
        <w:ind w:left="720"/>
        <w:rPr>
          <w:rFonts w:ascii="Times New Roman" w:hAnsi="Times New Roman"/>
        </w:rPr>
      </w:pPr>
      <w:r w:rsidRPr="003853A3">
        <w:rPr>
          <w:rFonts w:ascii="Times New Roman" w:hAnsi="Times New Roman"/>
        </w:rPr>
        <w:t>EDCS mirrors the paper SSA-454-BK using an electronic collection method.  Guided by the EDCS collection screens, the C</w:t>
      </w:r>
      <w:r w:rsidR="00175149">
        <w:rPr>
          <w:rFonts w:ascii="Times New Roman" w:hAnsi="Times New Roman"/>
        </w:rPr>
        <w:t>S</w:t>
      </w:r>
      <w:r w:rsidRPr="003853A3">
        <w:rPr>
          <w:rFonts w:ascii="Times New Roman" w:hAnsi="Times New Roman"/>
        </w:rPr>
        <w:t xml:space="preserve"> interviews the applicant either by phone or in</w:t>
      </w:r>
      <w:r w:rsidR="00596DAD">
        <w:rPr>
          <w:rFonts w:ascii="Times New Roman" w:hAnsi="Times New Roman"/>
        </w:rPr>
        <w:t>-</w:t>
      </w:r>
      <w:r w:rsidRPr="003853A3">
        <w:rPr>
          <w:rFonts w:ascii="Times New Roman" w:hAnsi="Times New Roman"/>
        </w:rPr>
        <w:t xml:space="preserve">person and inputs the information directly into EDCS.  EDCS propagates information to other screens in the application, then prints an application summary for the claimant to review and sign either by attestation or wet signature.  In contrast to the paper application, the interview/EDCS process offers the following advantages: </w:t>
      </w:r>
      <w:r w:rsidR="0065348C">
        <w:rPr>
          <w:rFonts w:ascii="Times New Roman" w:hAnsi="Times New Roman"/>
        </w:rPr>
        <w:t xml:space="preserve"> </w:t>
      </w:r>
      <w:r w:rsidR="00D64AEC">
        <w:rPr>
          <w:rFonts w:ascii="Times New Roman" w:hAnsi="Times New Roman"/>
        </w:rPr>
        <w:t>(</w:t>
      </w:r>
      <w:r w:rsidRPr="003853A3">
        <w:rPr>
          <w:rFonts w:ascii="Times New Roman" w:hAnsi="Times New Roman"/>
        </w:rPr>
        <w:t xml:space="preserve">1) it improves accuracy in recording responses; </w:t>
      </w:r>
      <w:r w:rsidR="00D64AEC">
        <w:rPr>
          <w:rFonts w:ascii="Times New Roman" w:hAnsi="Times New Roman"/>
        </w:rPr>
        <w:t>(</w:t>
      </w:r>
      <w:r w:rsidRPr="003853A3">
        <w:rPr>
          <w:rFonts w:ascii="Times New Roman" w:hAnsi="Times New Roman"/>
        </w:rPr>
        <w:t xml:space="preserve">2) it reduces the overall interview time; and </w:t>
      </w:r>
      <w:r w:rsidR="00D64AEC">
        <w:rPr>
          <w:rFonts w:ascii="Times New Roman" w:hAnsi="Times New Roman"/>
        </w:rPr>
        <w:t>(</w:t>
      </w:r>
      <w:r w:rsidRPr="003853A3">
        <w:rPr>
          <w:rFonts w:ascii="Times New Roman" w:hAnsi="Times New Roman"/>
        </w:rPr>
        <w:t>3) it reduces the number of times we have to re-contact applicants to clarify responses.</w:t>
      </w:r>
    </w:p>
    <w:p w:rsidR="00A47EFB" w:rsidP="00A47EFB" w14:paraId="4BCBCAF3" w14:textId="77777777">
      <w:pPr>
        <w:pStyle w:val="ListParagraph"/>
        <w:ind w:left="1080"/>
        <w:rPr>
          <w:rFonts w:ascii="Times New Roman" w:hAnsi="Times New Roman"/>
        </w:rPr>
      </w:pPr>
    </w:p>
    <w:p w:rsidR="00A47EFB" w:rsidP="003853A3" w14:paraId="6435BAB8" w14:textId="77777777">
      <w:pPr>
        <w:pStyle w:val="ListParagraph"/>
        <w:rPr>
          <w:rFonts w:ascii="Times New Roman" w:hAnsi="Times New Roman"/>
          <w:b/>
          <w:u w:val="single"/>
        </w:rPr>
      </w:pPr>
      <w:r w:rsidRPr="00F605BA">
        <w:rPr>
          <w:rFonts w:ascii="Times New Roman" w:hAnsi="Times New Roman"/>
          <w:b/>
          <w:u w:val="single"/>
        </w:rPr>
        <w:t xml:space="preserve">Internet </w:t>
      </w:r>
      <w:r>
        <w:rPr>
          <w:rFonts w:ascii="Times New Roman" w:hAnsi="Times New Roman"/>
          <w:b/>
          <w:u w:val="single"/>
        </w:rPr>
        <w:t>i454 Application</w:t>
      </w:r>
      <w:r w:rsidRPr="00F605BA">
        <w:rPr>
          <w:rFonts w:ascii="Times New Roman" w:hAnsi="Times New Roman"/>
          <w:b/>
          <w:u w:val="single"/>
        </w:rPr>
        <w:t>:</w:t>
      </w:r>
    </w:p>
    <w:p w:rsidR="00A47EFB" w:rsidRPr="00864C9A" w:rsidP="00864C9A" w14:paraId="1B9DE05D" w14:textId="702EFAF9">
      <w:pPr>
        <w:ind w:left="720"/>
        <w:rPr>
          <w:rFonts w:ascii="Times New Roman" w:hAnsi="Times New Roman"/>
        </w:rPr>
      </w:pPr>
      <w:r w:rsidRPr="003853A3">
        <w:rPr>
          <w:rFonts w:ascii="Times New Roman" w:hAnsi="Times New Roman"/>
        </w:rPr>
        <w:t xml:space="preserve">The i454 is an online platform that mirrors the EDCS format.  At this time, only individual adult claimants, or their representatives, can use the i454 to complete a medical Continuing Disability Review Report.  Depending on their initial answers, the i454 presents </w:t>
      </w:r>
      <w:r w:rsidR="00D64AEC">
        <w:rPr>
          <w:rFonts w:ascii="Times New Roman" w:hAnsi="Times New Roman"/>
        </w:rPr>
        <w:t>respondent</w:t>
      </w:r>
      <w:r w:rsidRPr="003853A3">
        <w:rPr>
          <w:rFonts w:ascii="Times New Roman" w:hAnsi="Times New Roman"/>
        </w:rPr>
        <w:t xml:space="preserve">s with different screens, ensuring they only respond to relevant questions.  After completing the online application, claimants or their representatives can submit it electronically to SSA, avoiding the need to visit an SSA office.  The i454 is more convenient for users and reduces their application completion time by eliminating the need for an office visit.  This also saves time and resources for SSA.  Respondents using the i454 may have to submit supplementary supporting documents (e.g., medical evidence) to finalize the application.  Once SSA receives the i454 and any supplemental </w:t>
      </w:r>
      <w:r w:rsidRPr="003853A3" w:rsidR="0065348C">
        <w:rPr>
          <w:rFonts w:ascii="Times New Roman" w:hAnsi="Times New Roman"/>
        </w:rPr>
        <w:t>information,</w:t>
      </w:r>
      <w:r w:rsidRPr="003853A3">
        <w:rPr>
          <w:rFonts w:ascii="Times New Roman" w:hAnsi="Times New Roman"/>
        </w:rPr>
        <w:t xml:space="preserve"> if necessary, we process the information and store it in EDCS</w:t>
      </w:r>
      <w:r w:rsidR="00C703E3">
        <w:rPr>
          <w:rFonts w:ascii="Times New Roman" w:hAnsi="Times New Roman"/>
        </w:rPr>
        <w:t>.</w:t>
      </w:r>
    </w:p>
    <w:p w:rsidR="00C932AD" w:rsidP="00EC3231" w14:paraId="32C202B5" w14:textId="77777777">
      <w:pPr>
        <w:rPr>
          <w:rFonts w:ascii="Times New Roman" w:hAnsi="Times New Roman"/>
        </w:rPr>
      </w:pPr>
    </w:p>
    <w:p w:rsidR="00C932AD" w:rsidP="003853A3" w14:paraId="7FD3687B" w14:textId="4478FD43">
      <w:pPr>
        <w:ind w:left="720"/>
        <w:rPr>
          <w:rFonts w:ascii="Times New Roman" w:hAnsi="Times New Roman"/>
        </w:rPr>
      </w:pPr>
      <w:r>
        <w:rPr>
          <w:rFonts w:ascii="Times New Roman" w:hAnsi="Times New Roman"/>
        </w:rPr>
        <w:t>We identified the following psychological costs based on the requirements for this information collection:</w:t>
      </w:r>
    </w:p>
    <w:p w:rsidR="00C932AD" w:rsidP="003853A3" w14:paraId="76004C80" w14:textId="77777777">
      <w:pPr>
        <w:ind w:left="720"/>
        <w:rPr>
          <w:rFonts w:ascii="Times New Roman" w:hAnsi="Times New Roman"/>
        </w:rPr>
      </w:pPr>
    </w:p>
    <w:p w:rsidR="00C932AD" w:rsidRPr="002B4668" w:rsidP="00C932AD" w14:paraId="57A1E1C0" w14:textId="0D0D5CD9">
      <w:pPr>
        <w:pStyle w:val="ListParagraph"/>
        <w:numPr>
          <w:ilvl w:val="0"/>
          <w:numId w:val="13"/>
        </w:numPr>
        <w:rPr>
          <w:rFonts w:ascii="Times New Roman" w:hAnsi="Times New Roman"/>
          <w:bCs/>
        </w:rPr>
      </w:pPr>
      <w:r w:rsidRPr="002B4668">
        <w:rPr>
          <w:rFonts w:ascii="Times New Roman" w:hAnsi="Times New Roman"/>
          <w:b/>
          <w:u w:val="single"/>
        </w:rPr>
        <w:t>Psychological Cost #1</w:t>
      </w:r>
      <w:r w:rsidRPr="002B4668">
        <w:rPr>
          <w:rFonts w:ascii="Times New Roman" w:hAnsi="Times New Roman"/>
          <w:bCs/>
        </w:rPr>
        <w:t>:</w:t>
      </w:r>
    </w:p>
    <w:p w:rsidR="00C932AD" w:rsidRPr="002B4668" w:rsidP="00C932AD" w14:paraId="51A149DD" w14:textId="10F211A0">
      <w:pPr>
        <w:pStyle w:val="ListParagraph"/>
        <w:numPr>
          <w:ilvl w:val="1"/>
          <w:numId w:val="13"/>
        </w:numPr>
        <w:rPr>
          <w:rFonts w:ascii="Times New Roman" w:hAnsi="Times New Roman"/>
          <w:b/>
        </w:rPr>
      </w:pPr>
      <w:r w:rsidRPr="00C932AD">
        <w:rPr>
          <w:rFonts w:ascii="Times New Roman" w:hAnsi="Times New Roman"/>
          <w:b/>
        </w:rPr>
        <w:t xml:space="preserve">Requirement for the </w:t>
      </w:r>
      <w:r>
        <w:rPr>
          <w:rFonts w:ascii="Times New Roman" w:hAnsi="Times New Roman"/>
          <w:b/>
        </w:rPr>
        <w:t>P</w:t>
      </w:r>
      <w:r w:rsidRPr="00C932AD">
        <w:rPr>
          <w:rFonts w:ascii="Times New Roman" w:hAnsi="Times New Roman"/>
          <w:b/>
        </w:rPr>
        <w:t>rogram</w:t>
      </w:r>
      <w:r>
        <w:rPr>
          <w:rFonts w:ascii="Times New Roman" w:hAnsi="Times New Roman"/>
          <w:bCs/>
        </w:rPr>
        <w:t xml:space="preserve">: </w:t>
      </w:r>
      <w:r>
        <w:rPr>
          <w:rFonts w:ascii="Times New Roman" w:hAnsi="Times New Roman"/>
          <w:color w:val="000000"/>
        </w:rPr>
        <w:t>The SSA-454-BK requests information SSA already has on file as part of our Continuing Disability Review (CDR) requirements.</w:t>
      </w:r>
    </w:p>
    <w:p w:rsidR="00C932AD" w:rsidP="00C932AD" w14:paraId="08C5A20E" w14:textId="77777777">
      <w:pPr>
        <w:rPr>
          <w:rFonts w:ascii="Times New Roman" w:hAnsi="Times New Roman"/>
          <w:b/>
        </w:rPr>
      </w:pPr>
    </w:p>
    <w:p w:rsidR="00C932AD" w:rsidRPr="002B4668" w:rsidP="00C932AD" w14:paraId="13362FD6" w14:textId="3179381E">
      <w:pPr>
        <w:pStyle w:val="ListParagraph"/>
        <w:numPr>
          <w:ilvl w:val="1"/>
          <w:numId w:val="13"/>
        </w:numPr>
        <w:rPr>
          <w:rFonts w:ascii="Times New Roman" w:hAnsi="Times New Roman"/>
          <w:b/>
        </w:rPr>
      </w:pPr>
      <w:r w:rsidRPr="00C932AD">
        <w:rPr>
          <w:rFonts w:ascii="Times New Roman" w:hAnsi="Times New Roman"/>
          <w:b/>
        </w:rPr>
        <w:t>Psychological Cost</w:t>
      </w:r>
      <w:r>
        <w:rPr>
          <w:rFonts w:ascii="Times New Roman" w:hAnsi="Times New Roman"/>
          <w:bCs/>
        </w:rPr>
        <w:t xml:space="preserve">: </w:t>
      </w:r>
      <w:r w:rsidR="00B41A1D">
        <w:rPr>
          <w:rFonts w:ascii="Times New Roman" w:hAnsi="Times New Roman"/>
          <w:bCs/>
        </w:rPr>
        <w:t xml:space="preserve">Respondents report that </w:t>
      </w:r>
      <w:r w:rsidRPr="00D33F3F" w:rsidR="00B41A1D">
        <w:rPr>
          <w:rFonts w:ascii="Times New Roman" w:hAnsi="Times New Roman"/>
        </w:rPr>
        <w:t xml:space="preserve">they find the entire process stressful to the point that it may take them longer to </w:t>
      </w:r>
      <w:r w:rsidRPr="00D33F3F" w:rsidR="00B41A1D">
        <w:rPr>
          <w:rFonts w:ascii="Times New Roman" w:hAnsi="Times New Roman"/>
        </w:rPr>
        <w:t xml:space="preserve">complete the CDR process, or they may postpone it, or </w:t>
      </w:r>
      <w:r w:rsidR="00B41A1D">
        <w:rPr>
          <w:rFonts w:ascii="Times New Roman" w:hAnsi="Times New Roman"/>
        </w:rPr>
        <w:t>abandon form completion entirely.</w:t>
      </w:r>
    </w:p>
    <w:p w:rsidR="00B41A1D" w:rsidRPr="002B4668" w:rsidP="002B4668" w14:paraId="24ECFF21" w14:textId="77777777">
      <w:pPr>
        <w:pStyle w:val="ListParagraph"/>
        <w:rPr>
          <w:rFonts w:ascii="Times New Roman" w:hAnsi="Times New Roman"/>
          <w:b/>
        </w:rPr>
      </w:pPr>
    </w:p>
    <w:p w:rsidR="00B41A1D" w:rsidRPr="002B4668" w:rsidP="00B41A1D" w14:paraId="0C72A33C" w14:textId="46AA4B09">
      <w:pPr>
        <w:pStyle w:val="ListParagraph"/>
        <w:numPr>
          <w:ilvl w:val="0"/>
          <w:numId w:val="13"/>
        </w:numPr>
        <w:rPr>
          <w:rFonts w:ascii="Times New Roman" w:hAnsi="Times New Roman"/>
          <w:b/>
        </w:rPr>
      </w:pPr>
      <w:r>
        <w:rPr>
          <w:rFonts w:ascii="Times New Roman" w:hAnsi="Times New Roman"/>
          <w:b/>
          <w:u w:val="single"/>
        </w:rPr>
        <w:t>Psychological Cost #2</w:t>
      </w:r>
      <w:r>
        <w:rPr>
          <w:rFonts w:ascii="Times New Roman" w:hAnsi="Times New Roman"/>
          <w:bCs/>
        </w:rPr>
        <w:t>:</w:t>
      </w:r>
    </w:p>
    <w:p w:rsidR="00B41A1D" w:rsidRPr="002B4668" w:rsidP="00B41A1D" w14:paraId="767C3C62" w14:textId="332A6CAB">
      <w:pPr>
        <w:pStyle w:val="ListParagraph"/>
        <w:numPr>
          <w:ilvl w:val="1"/>
          <w:numId w:val="13"/>
        </w:numPr>
        <w:rPr>
          <w:rFonts w:ascii="Times New Roman" w:hAnsi="Times New Roman"/>
          <w:b/>
        </w:rPr>
      </w:pPr>
      <w:r>
        <w:rPr>
          <w:rFonts w:ascii="Times New Roman" w:hAnsi="Times New Roman"/>
          <w:b/>
        </w:rPr>
        <w:t>Requirement for the Program</w:t>
      </w:r>
      <w:r>
        <w:rPr>
          <w:rFonts w:ascii="Times New Roman" w:hAnsi="Times New Roman"/>
          <w:bCs/>
        </w:rPr>
        <w:t>: The SSA-454-BK asks individuals for sensitive information, such as personal identifiable information and medical information to gather necessary information to accurately process their Continuing Disability Review.</w:t>
      </w:r>
    </w:p>
    <w:p w:rsidR="00B41A1D" w:rsidP="00B41A1D" w14:paraId="6F983C8C" w14:textId="77777777">
      <w:pPr>
        <w:rPr>
          <w:rFonts w:ascii="Times New Roman" w:hAnsi="Times New Roman"/>
          <w:bCs/>
        </w:rPr>
      </w:pPr>
    </w:p>
    <w:p w:rsidR="00B41A1D" w:rsidRPr="002B4668" w:rsidP="00B41A1D" w14:paraId="7239409E" w14:textId="5DA7F6EB">
      <w:pPr>
        <w:pStyle w:val="ListParagraph"/>
        <w:numPr>
          <w:ilvl w:val="0"/>
          <w:numId w:val="14"/>
        </w:numPr>
        <w:rPr>
          <w:rFonts w:ascii="Times New Roman" w:hAnsi="Times New Roman"/>
          <w:b/>
        </w:rPr>
      </w:pPr>
      <w:r>
        <w:rPr>
          <w:rFonts w:ascii="Times New Roman" w:hAnsi="Times New Roman"/>
          <w:b/>
        </w:rPr>
        <w:t>Psychological Cost</w:t>
      </w:r>
      <w:r>
        <w:rPr>
          <w:rFonts w:ascii="Times New Roman" w:hAnsi="Times New Roman"/>
          <w:bCs/>
        </w:rPr>
        <w:t xml:space="preserve">: </w:t>
      </w:r>
      <w:r w:rsidR="00431069">
        <w:rPr>
          <w:rFonts w:ascii="Times New Roman" w:hAnsi="Times New Roman"/>
          <w:bCs/>
        </w:rPr>
        <w:t xml:space="preserve">Respondents might feel stress when providing answers to personal and sensitive questions. This may cause some respondents to take longer to complete the form, postpone form completion, or stop answering questions entirely. </w:t>
      </w:r>
    </w:p>
    <w:p w:rsidR="00431069" w:rsidP="00431069" w14:paraId="20346875" w14:textId="77777777">
      <w:pPr>
        <w:rPr>
          <w:rFonts w:ascii="Times New Roman" w:hAnsi="Times New Roman"/>
          <w:b/>
        </w:rPr>
      </w:pPr>
    </w:p>
    <w:p w:rsidR="00431069" w:rsidP="00431069" w14:paraId="3D9130B1" w14:textId="417637C4">
      <w:pPr>
        <w:pStyle w:val="ListParagraph"/>
        <w:widowControl/>
        <w:contextualSpacing w:val="0"/>
        <w:rPr>
          <w:rFonts w:ascii="Times New Roman" w:hAnsi="Times New Roman"/>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process the continuing disability review.  Therefore, we have taken these potential psychological costs into account when calculating our burden in #12 below.</w:t>
      </w:r>
    </w:p>
    <w:p w:rsidR="00A036AF" w:rsidP="00431069" w14:paraId="32BB9D94" w14:textId="77777777">
      <w:pPr>
        <w:pStyle w:val="ListParagraph"/>
        <w:widowControl/>
        <w:contextualSpacing w:val="0"/>
        <w:rPr>
          <w:rFonts w:ascii="Times New Roman" w:hAnsi="Times New Roman"/>
          <w:color w:val="000000"/>
        </w:rPr>
      </w:pPr>
    </w:p>
    <w:p w:rsidR="00431069" w:rsidRPr="00A036AF" w:rsidP="00A036AF" w14:paraId="06678525" w14:textId="1D686ED7">
      <w:pPr>
        <w:pStyle w:val="ListParagraph"/>
        <w:widowControl/>
        <w:contextualSpacing w:val="0"/>
        <w:rPr>
          <w:rFonts w:ascii="Times New Roman" w:hAnsi="Times New Roman"/>
          <w:color w:val="000000"/>
        </w:rPr>
      </w:pPr>
      <w:r w:rsidRPr="003853A3">
        <w:rPr>
          <w:rFonts w:ascii="Times New Roman" w:hAnsi="Times New Roman"/>
        </w:rPr>
        <w:t>The respondents are Title II or Title XVI disability recipients or their representatives</w:t>
      </w:r>
      <w:r>
        <w:rPr>
          <w:rFonts w:ascii="Times New Roman" w:hAnsi="Times New Roman"/>
        </w:rPr>
        <w:t>.</w:t>
      </w:r>
    </w:p>
    <w:p w:rsidR="00A45D82" w:rsidRPr="00BC7F42" w:rsidP="00A45D82" w14:paraId="3A97DA2E" w14:textId="77777777">
      <w:pPr>
        <w:rPr>
          <w:rFonts w:ascii="Times New Roman" w:hAnsi="Times New Roman"/>
        </w:rPr>
      </w:pPr>
    </w:p>
    <w:p w:rsidR="0036696D" w:rsidRPr="0036696D" w:rsidP="00D35331" w14:paraId="6E99D7BF" w14:textId="77777777">
      <w:pPr>
        <w:numPr>
          <w:ilvl w:val="0"/>
          <w:numId w:val="4"/>
        </w:numPr>
        <w:rPr>
          <w:rFonts w:ascii="Times New Roman" w:hAnsi="Times New Roman"/>
        </w:rPr>
      </w:pPr>
      <w:r w:rsidRPr="00BC7F42">
        <w:rPr>
          <w:rFonts w:ascii="Times New Roman" w:hAnsi="Times New Roman"/>
          <w:b/>
        </w:rPr>
        <w:t>Use of Information Technology to Collect the Information</w:t>
      </w:r>
    </w:p>
    <w:p w:rsidR="006249AE" w:rsidRPr="003853A3" w:rsidP="003853A3" w14:paraId="765ECED9" w14:textId="166C05DF">
      <w:pPr>
        <w:ind w:left="720"/>
        <w:rPr>
          <w:rFonts w:ascii="Times New Roman" w:hAnsi="Times New Roman"/>
        </w:rPr>
      </w:pPr>
      <w:r>
        <w:rPr>
          <w:rFonts w:ascii="Times New Roman" w:hAnsi="Times New Roman"/>
        </w:rPr>
        <w:t xml:space="preserve">Under </w:t>
      </w:r>
      <w:r w:rsidRPr="003853A3">
        <w:rPr>
          <w:rFonts w:ascii="Times New Roman" w:hAnsi="Times New Roman"/>
        </w:rPr>
        <w:t xml:space="preserve">the agency’s Government Paperwork Elimination Act plan, SSA created two electronic versions of the Form SSA-454-BK: </w:t>
      </w:r>
      <w:r w:rsidR="00D64AEC">
        <w:rPr>
          <w:rFonts w:ascii="Times New Roman" w:hAnsi="Times New Roman"/>
        </w:rPr>
        <w:t xml:space="preserve"> </w:t>
      </w:r>
      <w:r w:rsidRPr="003853A3">
        <w:rPr>
          <w:rFonts w:ascii="Times New Roman" w:hAnsi="Times New Roman"/>
        </w:rPr>
        <w:t xml:space="preserve">the EDCS interview screens, and the i454 </w:t>
      </w:r>
      <w:r w:rsidR="00D64AEC">
        <w:rPr>
          <w:rFonts w:ascii="Times New Roman" w:hAnsi="Times New Roman"/>
        </w:rPr>
        <w:t>I</w:t>
      </w:r>
      <w:r w:rsidRPr="003853A3">
        <w:rPr>
          <w:rFonts w:ascii="Times New Roman" w:hAnsi="Times New Roman"/>
        </w:rPr>
        <w:t xml:space="preserve">nternet application (which only disabled adult </w:t>
      </w:r>
      <w:r w:rsidRPr="003853A3" w:rsidR="0065348C">
        <w:rPr>
          <w:rFonts w:ascii="Times New Roman" w:hAnsi="Times New Roman"/>
        </w:rPr>
        <w:t>individuals,</w:t>
      </w:r>
      <w:r w:rsidRPr="003853A3">
        <w:rPr>
          <w:rFonts w:ascii="Times New Roman" w:hAnsi="Times New Roman"/>
        </w:rPr>
        <w:t xml:space="preserve"> or their representatives may use at this time). </w:t>
      </w:r>
      <w:r w:rsidR="00D64AEC">
        <w:rPr>
          <w:rFonts w:ascii="Times New Roman" w:hAnsi="Times New Roman"/>
        </w:rPr>
        <w:t xml:space="preserve"> </w:t>
      </w:r>
      <w:r w:rsidRPr="003853A3">
        <w:rPr>
          <w:rFonts w:ascii="Times New Roman" w:hAnsi="Times New Roman"/>
        </w:rPr>
        <w:t xml:space="preserve">Based on our data, we estimate approximately 50% of respondents under this OMB number use the electronic versions. </w:t>
      </w:r>
      <w:r w:rsidR="00D64AEC">
        <w:rPr>
          <w:rFonts w:ascii="Times New Roman" w:hAnsi="Times New Roman"/>
        </w:rPr>
        <w:t xml:space="preserve"> </w:t>
      </w:r>
      <w:r w:rsidRPr="003853A3">
        <w:rPr>
          <w:rFonts w:ascii="Times New Roman" w:hAnsi="Times New Roman"/>
        </w:rPr>
        <w:t>SSA designed the electronic modalities to collect the same information as the paper form</w:t>
      </w:r>
      <w:r w:rsidR="00E134C7">
        <w:rPr>
          <w:rFonts w:ascii="Times New Roman" w:hAnsi="Times New Roman"/>
        </w:rPr>
        <w:t>;</w:t>
      </w:r>
      <w:r w:rsidRPr="003853A3">
        <w:rPr>
          <w:rFonts w:ascii="Times New Roman" w:hAnsi="Times New Roman"/>
        </w:rPr>
        <w:t xml:space="preserve"> however</w:t>
      </w:r>
      <w:r w:rsidR="00E134C7">
        <w:rPr>
          <w:rFonts w:ascii="Times New Roman" w:hAnsi="Times New Roman"/>
        </w:rPr>
        <w:t>,</w:t>
      </w:r>
      <w:r w:rsidRPr="003853A3">
        <w:rPr>
          <w:rFonts w:ascii="Times New Roman" w:hAnsi="Times New Roman"/>
        </w:rPr>
        <w:t xml:space="preserve"> we formatted it differently for the requirements of each modality to include certain enhancements (e.g., instructions and help screens) to guide the interviewer or applicant through the application process.</w:t>
      </w:r>
    </w:p>
    <w:p w:rsidR="006249AE" w:rsidP="006249AE" w14:paraId="2E324AA0" w14:textId="77777777">
      <w:pPr>
        <w:pStyle w:val="ListParagraph"/>
        <w:ind w:left="1080"/>
        <w:rPr>
          <w:rFonts w:ascii="Times New Roman" w:hAnsi="Times New Roman"/>
        </w:rPr>
      </w:pPr>
    </w:p>
    <w:p w:rsidR="006249AE" w:rsidP="00D35331" w14:paraId="5A65B643" w14:textId="77777777">
      <w:pPr>
        <w:pStyle w:val="ListParagraph"/>
        <w:numPr>
          <w:ilvl w:val="0"/>
          <w:numId w:val="11"/>
        </w:numPr>
        <w:rPr>
          <w:rFonts w:ascii="Times New Roman" w:hAnsi="Times New Roman"/>
          <w:b/>
        </w:rPr>
      </w:pPr>
      <w:r w:rsidRPr="00EB59C7">
        <w:rPr>
          <w:rFonts w:ascii="Times New Roman" w:hAnsi="Times New Roman"/>
          <w:b/>
        </w:rPr>
        <w:t>EDCS SSA-454:</w:t>
      </w:r>
    </w:p>
    <w:p w:rsidR="006249AE" w:rsidP="006249AE" w14:paraId="0B0E15E3" w14:textId="58453EE0">
      <w:pPr>
        <w:pStyle w:val="ListParagraph"/>
        <w:ind w:left="1440"/>
        <w:rPr>
          <w:rFonts w:ascii="Times New Roman" w:hAnsi="Times New Roman"/>
        </w:rPr>
      </w:pPr>
      <w:r w:rsidRPr="00EB59C7">
        <w:rPr>
          <w:rFonts w:ascii="Times New Roman" w:hAnsi="Times New Roman"/>
        </w:rPr>
        <w:t>Applicants</w:t>
      </w:r>
      <w:r>
        <w:rPr>
          <w:rFonts w:ascii="Times New Roman" w:hAnsi="Times New Roman"/>
        </w:rPr>
        <w:t xml:space="preserve"> </w:t>
      </w:r>
      <w:r w:rsidRPr="00EB59C7">
        <w:rPr>
          <w:rFonts w:ascii="Times New Roman" w:hAnsi="Times New Roman"/>
        </w:rPr>
        <w:t xml:space="preserve">call or </w:t>
      </w:r>
      <w:r>
        <w:rPr>
          <w:rFonts w:ascii="Times New Roman" w:hAnsi="Times New Roman"/>
        </w:rPr>
        <w:t>visit an</w:t>
      </w:r>
      <w:r w:rsidRPr="00EB59C7">
        <w:rPr>
          <w:rFonts w:ascii="Times New Roman" w:hAnsi="Times New Roman"/>
        </w:rPr>
        <w:t xml:space="preserve"> SSA </w:t>
      </w:r>
      <w:r w:rsidR="00596DAD">
        <w:rPr>
          <w:rFonts w:ascii="Times New Roman" w:hAnsi="Times New Roman"/>
        </w:rPr>
        <w:t>f</w:t>
      </w:r>
      <w:r w:rsidRPr="00EB59C7">
        <w:rPr>
          <w:rFonts w:ascii="Times New Roman" w:hAnsi="Times New Roman"/>
        </w:rPr>
        <w:t xml:space="preserve">ield </w:t>
      </w:r>
      <w:r w:rsidR="00596DAD">
        <w:rPr>
          <w:rFonts w:ascii="Times New Roman" w:hAnsi="Times New Roman"/>
        </w:rPr>
        <w:t>o</w:t>
      </w:r>
      <w:r w:rsidRPr="00EB59C7">
        <w:rPr>
          <w:rFonts w:ascii="Times New Roman" w:hAnsi="Times New Roman"/>
        </w:rPr>
        <w:t>ffice to provide the information</w:t>
      </w:r>
      <w:r>
        <w:rPr>
          <w:rFonts w:ascii="Times New Roman" w:hAnsi="Times New Roman"/>
        </w:rPr>
        <w:t xml:space="preserve"> to a C</w:t>
      </w:r>
      <w:r w:rsidR="00175149">
        <w:rPr>
          <w:rFonts w:ascii="Times New Roman" w:hAnsi="Times New Roman"/>
        </w:rPr>
        <w:t>S</w:t>
      </w:r>
      <w:r>
        <w:rPr>
          <w:rFonts w:ascii="Times New Roman" w:hAnsi="Times New Roman"/>
        </w:rPr>
        <w:t xml:space="preserve"> during an in-person interview</w:t>
      </w:r>
      <w:r w:rsidR="00D64AEC">
        <w:rPr>
          <w:rFonts w:ascii="Times New Roman" w:hAnsi="Times New Roman"/>
        </w:rPr>
        <w:t xml:space="preserve"> (or </w:t>
      </w:r>
      <w:r w:rsidR="00D64AEC">
        <w:rPr>
          <w:rFonts w:ascii="Times New Roman" w:hAnsi="Times New Roman"/>
        </w:rPr>
        <w:t>teleclaim</w:t>
      </w:r>
      <w:r w:rsidR="00D64AEC">
        <w:rPr>
          <w:rFonts w:ascii="Times New Roman" w:hAnsi="Times New Roman"/>
        </w:rPr>
        <w:t>)</w:t>
      </w:r>
      <w:r w:rsidRPr="00EB59C7">
        <w:rPr>
          <w:rFonts w:ascii="Times New Roman" w:hAnsi="Times New Roman"/>
        </w:rPr>
        <w:t xml:space="preserve">.  </w:t>
      </w:r>
      <w:r>
        <w:rPr>
          <w:rFonts w:ascii="Times New Roman" w:hAnsi="Times New Roman"/>
        </w:rPr>
        <w:t>The C</w:t>
      </w:r>
      <w:r w:rsidR="00175149">
        <w:rPr>
          <w:rFonts w:ascii="Times New Roman" w:hAnsi="Times New Roman"/>
        </w:rPr>
        <w:t>S</w:t>
      </w:r>
      <w:r w:rsidRPr="00EB59C7">
        <w:rPr>
          <w:rFonts w:ascii="Times New Roman" w:hAnsi="Times New Roman"/>
        </w:rPr>
        <w:t xml:space="preserve"> interviews the </w:t>
      </w:r>
      <w:r>
        <w:rPr>
          <w:rFonts w:ascii="Times New Roman" w:hAnsi="Times New Roman"/>
        </w:rPr>
        <w:t>claiman</w:t>
      </w:r>
      <w:r w:rsidRPr="00EB59C7">
        <w:rPr>
          <w:rFonts w:ascii="Times New Roman" w:hAnsi="Times New Roman"/>
        </w:rPr>
        <w:t>t and enters</w:t>
      </w:r>
      <w:r>
        <w:rPr>
          <w:rFonts w:ascii="Times New Roman" w:hAnsi="Times New Roman"/>
        </w:rPr>
        <w:t xml:space="preserve"> the </w:t>
      </w:r>
      <w:r w:rsidRPr="00EB59C7">
        <w:rPr>
          <w:rFonts w:ascii="Times New Roman" w:hAnsi="Times New Roman"/>
        </w:rPr>
        <w:t>answers directly into the EDCS</w:t>
      </w:r>
      <w:r>
        <w:rPr>
          <w:rFonts w:ascii="Times New Roman" w:hAnsi="Times New Roman"/>
        </w:rPr>
        <w:t xml:space="preserve"> version of the </w:t>
      </w:r>
      <w:r w:rsidRPr="00EB59C7">
        <w:rPr>
          <w:rFonts w:ascii="Times New Roman" w:hAnsi="Times New Roman"/>
        </w:rPr>
        <w:t>SSA-454</w:t>
      </w:r>
      <w:r>
        <w:rPr>
          <w:rFonts w:ascii="Times New Roman" w:hAnsi="Times New Roman"/>
        </w:rPr>
        <w:t>-BK</w:t>
      </w:r>
      <w:r w:rsidRPr="00EB59C7">
        <w:rPr>
          <w:rFonts w:ascii="Times New Roman" w:hAnsi="Times New Roman"/>
        </w:rPr>
        <w:t xml:space="preserve">.  Approximately </w:t>
      </w:r>
      <w:r w:rsidR="00927949">
        <w:rPr>
          <w:rFonts w:ascii="Times New Roman" w:hAnsi="Times New Roman"/>
        </w:rPr>
        <w:t>47</w:t>
      </w:r>
      <w:r>
        <w:rPr>
          <w:rFonts w:ascii="Times New Roman" w:hAnsi="Times New Roman"/>
        </w:rPr>
        <w:t>%</w:t>
      </w:r>
      <w:r w:rsidRPr="00EB59C7">
        <w:rPr>
          <w:rFonts w:ascii="Times New Roman" w:hAnsi="Times New Roman"/>
        </w:rPr>
        <w:t xml:space="preserve"> of respondents use this option</w:t>
      </w:r>
      <w:r>
        <w:rPr>
          <w:rFonts w:ascii="Times New Roman" w:hAnsi="Times New Roman"/>
        </w:rPr>
        <w:t>.</w:t>
      </w:r>
    </w:p>
    <w:p w:rsidR="006249AE" w:rsidP="006249AE" w14:paraId="366A6E5F" w14:textId="77777777">
      <w:pPr>
        <w:pStyle w:val="ListParagraph"/>
        <w:ind w:left="1440"/>
        <w:rPr>
          <w:rFonts w:ascii="Times New Roman" w:hAnsi="Times New Roman"/>
          <w:b/>
        </w:rPr>
      </w:pPr>
    </w:p>
    <w:p w:rsidR="006249AE" w:rsidP="00D35331" w14:paraId="2C19023D" w14:textId="77777777">
      <w:pPr>
        <w:pStyle w:val="ListParagraph"/>
        <w:numPr>
          <w:ilvl w:val="0"/>
          <w:numId w:val="11"/>
        </w:numPr>
        <w:rPr>
          <w:rFonts w:ascii="Times New Roman" w:hAnsi="Times New Roman"/>
          <w:b/>
        </w:rPr>
      </w:pPr>
      <w:r w:rsidRPr="00CD0CB4">
        <w:rPr>
          <w:rFonts w:ascii="Times New Roman" w:hAnsi="Times New Roman"/>
          <w:b/>
        </w:rPr>
        <w:t>Internet 454 (i454):</w:t>
      </w:r>
    </w:p>
    <w:p w:rsidR="006249AE" w:rsidP="006249AE" w14:paraId="56779BD3" w14:textId="79161E6B">
      <w:pPr>
        <w:pStyle w:val="ListParagraph"/>
        <w:ind w:left="1440"/>
        <w:rPr>
          <w:rFonts w:ascii="Times New Roman" w:hAnsi="Times New Roman"/>
        </w:rPr>
      </w:pPr>
      <w:r w:rsidRPr="00F862EB">
        <w:rPr>
          <w:rFonts w:ascii="Times New Roman" w:hAnsi="Times New Roman"/>
        </w:rPr>
        <w:t>The i454</w:t>
      </w:r>
      <w:r w:rsidRPr="00CD0CB4">
        <w:rPr>
          <w:rFonts w:ascii="Times New Roman" w:hAnsi="Times New Roman"/>
        </w:rPr>
        <w:t xml:space="preserve"> is a fully electronic</w:t>
      </w:r>
      <w:r>
        <w:rPr>
          <w:rFonts w:ascii="Times New Roman" w:hAnsi="Times New Roman"/>
        </w:rPr>
        <w:t xml:space="preserve">, </w:t>
      </w:r>
      <w:r w:rsidR="00D64AEC">
        <w:rPr>
          <w:rFonts w:ascii="Times New Roman" w:hAnsi="Times New Roman"/>
        </w:rPr>
        <w:t>I</w:t>
      </w:r>
      <w:r>
        <w:rPr>
          <w:rFonts w:ascii="Times New Roman" w:hAnsi="Times New Roman"/>
        </w:rPr>
        <w:t>nternet application</w:t>
      </w:r>
      <w:r w:rsidRPr="00CD0CB4">
        <w:rPr>
          <w:rFonts w:ascii="Times New Roman" w:hAnsi="Times New Roman"/>
        </w:rPr>
        <w:t xml:space="preserve"> version of </w:t>
      </w:r>
      <w:r>
        <w:rPr>
          <w:rFonts w:ascii="Times New Roman" w:hAnsi="Times New Roman"/>
        </w:rPr>
        <w:t>Form</w:t>
      </w:r>
      <w:r w:rsidR="0065348C">
        <w:rPr>
          <w:rFonts w:ascii="Times New Roman" w:hAnsi="Times New Roman"/>
        </w:rPr>
        <w:t xml:space="preserve"> </w:t>
      </w:r>
      <w:r>
        <w:rPr>
          <w:rFonts w:ascii="Times New Roman" w:hAnsi="Times New Roman"/>
        </w:rPr>
        <w:t>SSA</w:t>
      </w:r>
      <w:r>
        <w:rPr>
          <w:rFonts w:ascii="Times New Roman" w:hAnsi="Times New Roman"/>
        </w:rPr>
        <w:noBreakHyphen/>
        <w:t>454</w:t>
      </w:r>
      <w:r>
        <w:rPr>
          <w:rFonts w:ascii="Times New Roman" w:hAnsi="Times New Roman"/>
        </w:rPr>
        <w:noBreakHyphen/>
        <w:t>BK</w:t>
      </w:r>
      <w:r w:rsidRPr="00CD0CB4">
        <w:rPr>
          <w:rFonts w:ascii="Times New Roman" w:hAnsi="Times New Roman"/>
        </w:rPr>
        <w:t xml:space="preserve">.  </w:t>
      </w:r>
      <w:r>
        <w:rPr>
          <w:rFonts w:ascii="Times New Roman" w:hAnsi="Times New Roman"/>
        </w:rPr>
        <w:t>Individual a</w:t>
      </w:r>
      <w:r w:rsidRPr="00CD0CB4">
        <w:rPr>
          <w:rFonts w:ascii="Times New Roman" w:hAnsi="Times New Roman"/>
        </w:rPr>
        <w:t>dult</w:t>
      </w:r>
      <w:r>
        <w:rPr>
          <w:rFonts w:ascii="Times New Roman" w:hAnsi="Times New Roman"/>
        </w:rPr>
        <w:t>s</w:t>
      </w:r>
      <w:r w:rsidRPr="00CD0CB4">
        <w:rPr>
          <w:rFonts w:ascii="Times New Roman" w:hAnsi="Times New Roman"/>
        </w:rPr>
        <w:t xml:space="preserve"> </w:t>
      </w:r>
      <w:r>
        <w:rPr>
          <w:rFonts w:ascii="Times New Roman" w:hAnsi="Times New Roman"/>
        </w:rPr>
        <w:t>undergoing a medical continuing disability review,</w:t>
      </w:r>
      <w:r w:rsidRPr="00CD0CB4">
        <w:rPr>
          <w:rFonts w:ascii="Times New Roman" w:hAnsi="Times New Roman"/>
        </w:rPr>
        <w:t xml:space="preserve"> or their representatives</w:t>
      </w:r>
      <w:r>
        <w:rPr>
          <w:rFonts w:ascii="Times New Roman" w:hAnsi="Times New Roman"/>
        </w:rPr>
        <w:t>,</w:t>
      </w:r>
      <w:r w:rsidRPr="00CD0CB4">
        <w:rPr>
          <w:rFonts w:ascii="Times New Roman" w:hAnsi="Times New Roman"/>
        </w:rPr>
        <w:t xml:space="preserve"> may access, complete, and </w:t>
      </w:r>
      <w:r w:rsidRPr="00CD0CB4">
        <w:rPr>
          <w:rFonts w:ascii="Times New Roman" w:hAnsi="Times New Roman"/>
        </w:rPr>
        <w:t xml:space="preserve">submit the </w:t>
      </w:r>
      <w:r>
        <w:rPr>
          <w:rFonts w:ascii="Times New Roman" w:hAnsi="Times New Roman"/>
        </w:rPr>
        <w:t>i454</w:t>
      </w:r>
      <w:r w:rsidRPr="00CD0CB4">
        <w:rPr>
          <w:rFonts w:ascii="Times New Roman" w:hAnsi="Times New Roman"/>
        </w:rPr>
        <w:t xml:space="preserve"> electronically through th</w:t>
      </w:r>
      <w:r>
        <w:rPr>
          <w:rFonts w:ascii="Times New Roman" w:hAnsi="Times New Roman"/>
        </w:rPr>
        <w:t>e</w:t>
      </w:r>
      <w:r w:rsidRPr="00CD0CB4">
        <w:rPr>
          <w:rFonts w:ascii="Times New Roman" w:hAnsi="Times New Roman"/>
        </w:rPr>
        <w:t xml:space="preserve"> </w:t>
      </w:r>
      <w:r w:rsidR="00A344D2">
        <w:rPr>
          <w:rFonts w:ascii="Times New Roman" w:hAnsi="Times New Roman"/>
        </w:rPr>
        <w:t>i</w:t>
      </w:r>
      <w:r w:rsidRPr="00CD0CB4">
        <w:rPr>
          <w:rFonts w:ascii="Times New Roman" w:hAnsi="Times New Roman"/>
        </w:rPr>
        <w:t>nternet-based application.  SSA designed the i</w:t>
      </w:r>
      <w:r>
        <w:rPr>
          <w:rFonts w:ascii="Times New Roman" w:hAnsi="Times New Roman"/>
        </w:rPr>
        <w:t>454</w:t>
      </w:r>
      <w:r w:rsidRPr="00CD0CB4">
        <w:rPr>
          <w:rFonts w:ascii="Times New Roman" w:hAnsi="Times New Roman"/>
        </w:rPr>
        <w:t xml:space="preserve"> to walk first</w:t>
      </w:r>
      <w:r>
        <w:rPr>
          <w:rFonts w:ascii="Times New Roman" w:hAnsi="Times New Roman"/>
        </w:rPr>
        <w:noBreakHyphen/>
      </w:r>
      <w:r w:rsidRPr="00CD0CB4">
        <w:rPr>
          <w:rFonts w:ascii="Times New Roman" w:hAnsi="Times New Roman"/>
        </w:rPr>
        <w:t>time users through th</w:t>
      </w:r>
      <w:r>
        <w:rPr>
          <w:rFonts w:ascii="Times New Roman" w:hAnsi="Times New Roman"/>
        </w:rPr>
        <w:t>e</w:t>
      </w:r>
      <w:r w:rsidRPr="00CD0CB4">
        <w:rPr>
          <w:rFonts w:ascii="Times New Roman" w:hAnsi="Times New Roman"/>
        </w:rPr>
        <w:t xml:space="preserve"> information collection.  It contains numerous help screens and explanations </w:t>
      </w:r>
      <w:r>
        <w:rPr>
          <w:rFonts w:ascii="Times New Roman" w:hAnsi="Times New Roman"/>
        </w:rPr>
        <w:t>regarding</w:t>
      </w:r>
      <w:r w:rsidRPr="00CD0CB4">
        <w:rPr>
          <w:rFonts w:ascii="Times New Roman" w:hAnsi="Times New Roman"/>
        </w:rPr>
        <w:t xml:space="preserve"> why we ask certain questions on the form.  </w:t>
      </w:r>
      <w:r w:rsidR="00927949">
        <w:rPr>
          <w:rFonts w:ascii="Times New Roman" w:hAnsi="Times New Roman"/>
        </w:rPr>
        <w:t xml:space="preserve">Based on updated </w:t>
      </w:r>
      <w:r w:rsidR="00D64AEC">
        <w:rPr>
          <w:rFonts w:ascii="Times New Roman" w:hAnsi="Times New Roman"/>
        </w:rPr>
        <w:t xml:space="preserve">management information </w:t>
      </w:r>
      <w:r w:rsidR="00CC6A14">
        <w:rPr>
          <w:rFonts w:ascii="Times New Roman" w:hAnsi="Times New Roman"/>
        </w:rPr>
        <w:t>data</w:t>
      </w:r>
      <w:r w:rsidR="00927949">
        <w:rPr>
          <w:rFonts w:ascii="Times New Roman" w:hAnsi="Times New Roman"/>
        </w:rPr>
        <w:t xml:space="preserve">, </w:t>
      </w:r>
      <w:r>
        <w:rPr>
          <w:rFonts w:ascii="Times New Roman" w:hAnsi="Times New Roman"/>
        </w:rPr>
        <w:t xml:space="preserve">about </w:t>
      </w:r>
      <w:r w:rsidR="002B653A">
        <w:rPr>
          <w:rFonts w:ascii="Times New Roman" w:hAnsi="Times New Roman"/>
        </w:rPr>
        <w:t>8</w:t>
      </w:r>
      <w:r>
        <w:rPr>
          <w:rFonts w:ascii="Times New Roman" w:hAnsi="Times New Roman"/>
        </w:rPr>
        <w:t>% of respondents use this option.</w:t>
      </w:r>
    </w:p>
    <w:p w:rsidR="006249AE" w:rsidP="006249AE" w14:paraId="45A1DA4C" w14:textId="77777777">
      <w:pPr>
        <w:pStyle w:val="ListParagraph"/>
        <w:ind w:left="1440"/>
        <w:rPr>
          <w:rFonts w:ascii="Times New Roman" w:hAnsi="Times New Roman"/>
        </w:rPr>
      </w:pPr>
    </w:p>
    <w:p w:rsidR="006249AE" w:rsidRPr="005E7479" w:rsidP="006249AE" w14:paraId="6D407DFB" w14:textId="15D243B1">
      <w:pPr>
        <w:pStyle w:val="ListParagraph"/>
        <w:ind w:left="1440"/>
        <w:rPr>
          <w:rFonts w:ascii="Times New Roman" w:hAnsi="Times New Roman"/>
          <w:b/>
        </w:rPr>
      </w:pPr>
      <w:r w:rsidRPr="003A6D10">
        <w:rPr>
          <w:rFonts w:ascii="Times New Roman" w:hAnsi="Times New Roman"/>
          <w:b/>
          <w:bCs/>
        </w:rPr>
        <w:t>Note:</w:t>
      </w:r>
      <w:r>
        <w:rPr>
          <w:rFonts w:ascii="Times New Roman" w:hAnsi="Times New Roman"/>
        </w:rPr>
        <w:t xml:space="preserve">  </w:t>
      </w:r>
      <w:r w:rsidR="004A0AB4">
        <w:rPr>
          <w:rFonts w:ascii="Times New Roman" w:hAnsi="Times New Roman"/>
        </w:rPr>
        <w:t>This data is subject to change</w:t>
      </w:r>
      <w:r>
        <w:rPr>
          <w:rFonts w:ascii="Times New Roman" w:hAnsi="Times New Roman"/>
        </w:rPr>
        <w:t xml:space="preserve"> </w:t>
      </w:r>
      <w:r w:rsidR="00D423AE">
        <w:rPr>
          <w:rFonts w:ascii="Times New Roman" w:hAnsi="Times New Roman"/>
        </w:rPr>
        <w:t>in future renewals</w:t>
      </w:r>
      <w:r w:rsidR="00175842">
        <w:rPr>
          <w:rFonts w:ascii="Times New Roman" w:hAnsi="Times New Roman"/>
        </w:rPr>
        <w:t xml:space="preserve"> </w:t>
      </w:r>
      <w:r w:rsidR="00690595">
        <w:rPr>
          <w:rFonts w:ascii="Times New Roman" w:hAnsi="Times New Roman"/>
        </w:rPr>
        <w:t>as we</w:t>
      </w:r>
      <w:r>
        <w:rPr>
          <w:rFonts w:ascii="Times New Roman" w:hAnsi="Times New Roman"/>
        </w:rPr>
        <w:t xml:space="preserve"> collect more management information data on the use of this modality</w:t>
      </w:r>
      <w:r w:rsidR="00690595">
        <w:rPr>
          <w:rFonts w:ascii="Times New Roman" w:hAnsi="Times New Roman"/>
        </w:rPr>
        <w:t xml:space="preserve"> implemented within the last three years</w:t>
      </w:r>
      <w:r>
        <w:rPr>
          <w:rFonts w:ascii="Times New Roman" w:hAnsi="Times New Roman"/>
        </w:rPr>
        <w:t>.</w:t>
      </w:r>
    </w:p>
    <w:p w:rsidR="006249AE" w:rsidP="006249AE" w14:paraId="5E2E075C" w14:textId="77777777">
      <w:pPr>
        <w:pStyle w:val="ListParagraph"/>
        <w:ind w:left="1080"/>
        <w:rPr>
          <w:rFonts w:ascii="Times New Roman" w:hAnsi="Times New Roman"/>
          <w:b/>
          <w:u w:val="single"/>
        </w:rPr>
      </w:pPr>
    </w:p>
    <w:p w:rsidR="006249AE" w:rsidP="001A3C4F" w14:paraId="26DD33F5" w14:textId="1E471566">
      <w:pPr>
        <w:pStyle w:val="ListParagraph"/>
        <w:rPr>
          <w:rFonts w:ascii="Times New Roman" w:hAnsi="Times New Roman"/>
        </w:rPr>
      </w:pPr>
      <w:bookmarkStart w:id="1" w:name="_Hlk109117409"/>
      <w:r w:rsidRPr="003A6D10">
        <w:rPr>
          <w:rFonts w:ascii="Times New Roman" w:hAnsi="Times New Roman"/>
        </w:rPr>
        <w:t xml:space="preserve">SSA created a fillable PDF version of this form for respondents to download, complete, print, and submit to SSA.  </w:t>
      </w:r>
      <w:r w:rsidR="00324DD1">
        <w:rPr>
          <w:rFonts w:ascii="Times New Roman" w:hAnsi="Times New Roman"/>
        </w:rPr>
        <w:t>W</w:t>
      </w:r>
      <w:r w:rsidRPr="003A6D10">
        <w:rPr>
          <w:rFonts w:ascii="Times New Roman" w:hAnsi="Times New Roman"/>
        </w:rPr>
        <w:t xml:space="preserve">e </w:t>
      </w:r>
      <w:r w:rsidR="000D1506">
        <w:rPr>
          <w:rFonts w:ascii="Times New Roman" w:hAnsi="Times New Roman"/>
        </w:rPr>
        <w:t>do not require a</w:t>
      </w:r>
      <w:r w:rsidRPr="003A6D10">
        <w:rPr>
          <w:rFonts w:ascii="Times New Roman" w:hAnsi="Times New Roman"/>
        </w:rPr>
        <w:t xml:space="preserve"> signature on this form</w:t>
      </w:r>
      <w:r w:rsidR="00324DD1">
        <w:rPr>
          <w:rFonts w:ascii="Times New Roman" w:hAnsi="Times New Roman"/>
        </w:rPr>
        <w:t>.  In addition</w:t>
      </w:r>
      <w:r w:rsidR="0065348C">
        <w:rPr>
          <w:rFonts w:ascii="Times New Roman" w:hAnsi="Times New Roman"/>
        </w:rPr>
        <w:t>, as mentioned above, we offer two electronic modalities for respondents to use to submit this information to</w:t>
      </w:r>
      <w:r w:rsidR="0029552B">
        <w:rPr>
          <w:rFonts w:ascii="Times New Roman" w:hAnsi="Times New Roman"/>
        </w:rPr>
        <w:t xml:space="preserve"> SSA</w:t>
      </w:r>
      <w:r w:rsidR="00324DD1">
        <w:rPr>
          <w:rFonts w:ascii="Times New Roman" w:hAnsi="Times New Roman"/>
        </w:rPr>
        <w:t>: o</w:t>
      </w:r>
      <w:r w:rsidR="0065348C">
        <w:rPr>
          <w:rFonts w:ascii="Times New Roman" w:hAnsi="Times New Roman"/>
        </w:rPr>
        <w:t xml:space="preserve">ne which allows </w:t>
      </w:r>
      <w:r w:rsidR="00B61ED3">
        <w:rPr>
          <w:rFonts w:ascii="Times New Roman" w:hAnsi="Times New Roman"/>
        </w:rPr>
        <w:t xml:space="preserve">submission </w:t>
      </w:r>
      <w:r w:rsidR="007553BA">
        <w:rPr>
          <w:rFonts w:ascii="Times New Roman" w:hAnsi="Times New Roman"/>
        </w:rPr>
        <w:t>via Upload Documents</w:t>
      </w:r>
      <w:r w:rsidR="00201C71">
        <w:rPr>
          <w:rFonts w:ascii="Times New Roman" w:hAnsi="Times New Roman"/>
        </w:rPr>
        <w:t xml:space="preserve"> </w:t>
      </w:r>
      <w:r w:rsidR="003A1826">
        <w:rPr>
          <w:rFonts w:ascii="Times New Roman" w:hAnsi="Times New Roman"/>
        </w:rPr>
        <w:t xml:space="preserve">though a </w:t>
      </w:r>
      <w:r w:rsidR="003F7184">
        <w:rPr>
          <w:rFonts w:ascii="Times New Roman" w:hAnsi="Times New Roman"/>
        </w:rPr>
        <w:t>“my Social Security”</w:t>
      </w:r>
      <w:r w:rsidR="003A1826">
        <w:rPr>
          <w:rFonts w:ascii="Times New Roman" w:hAnsi="Times New Roman"/>
        </w:rPr>
        <w:t xml:space="preserve"> account</w:t>
      </w:r>
      <w:r w:rsidR="007553BA">
        <w:rPr>
          <w:rFonts w:ascii="Times New Roman" w:hAnsi="Times New Roman"/>
        </w:rPr>
        <w:t xml:space="preserve">, </w:t>
      </w:r>
      <w:r w:rsidR="00D916F4">
        <w:rPr>
          <w:rFonts w:ascii="Times New Roman" w:hAnsi="Times New Roman"/>
        </w:rPr>
        <w:t xml:space="preserve">or </w:t>
      </w:r>
      <w:r w:rsidR="00B61ED3">
        <w:rPr>
          <w:rFonts w:ascii="Times New Roman" w:hAnsi="Times New Roman"/>
        </w:rPr>
        <w:t>by mail or</w:t>
      </w:r>
      <w:r w:rsidR="00324DD1">
        <w:rPr>
          <w:rFonts w:ascii="Times New Roman" w:hAnsi="Times New Roman"/>
        </w:rPr>
        <w:t xml:space="preserve"> via an</w:t>
      </w:r>
      <w:r w:rsidR="00B61ED3">
        <w:rPr>
          <w:rFonts w:ascii="Times New Roman" w:hAnsi="Times New Roman"/>
        </w:rPr>
        <w:t xml:space="preserve"> </w:t>
      </w:r>
      <w:r w:rsidR="00D112EC">
        <w:rPr>
          <w:rFonts w:ascii="Times New Roman" w:hAnsi="Times New Roman"/>
        </w:rPr>
        <w:t>in-office</w:t>
      </w:r>
      <w:r w:rsidR="00B61ED3">
        <w:rPr>
          <w:rFonts w:ascii="Times New Roman" w:hAnsi="Times New Roman"/>
        </w:rPr>
        <w:t xml:space="preserve"> </w:t>
      </w:r>
      <w:r w:rsidR="00324DD1">
        <w:rPr>
          <w:rFonts w:ascii="Times New Roman" w:hAnsi="Times New Roman"/>
        </w:rPr>
        <w:t>interview,</w:t>
      </w:r>
      <w:r w:rsidR="00C80373">
        <w:rPr>
          <w:rFonts w:ascii="Times New Roman" w:hAnsi="Times New Roman"/>
        </w:rPr>
        <w:t xml:space="preserve"> if completed with the local office</w:t>
      </w:r>
      <w:r w:rsidR="00324DD1">
        <w:rPr>
          <w:rFonts w:ascii="Times New Roman" w:hAnsi="Times New Roman"/>
        </w:rPr>
        <w:t>; and one which</w:t>
      </w:r>
      <w:r w:rsidR="0065348C">
        <w:rPr>
          <w:rFonts w:ascii="Times New Roman" w:hAnsi="Times New Roman"/>
        </w:rPr>
        <w:t xml:space="preserve"> allows for </w:t>
      </w:r>
      <w:r w:rsidR="00C80373">
        <w:rPr>
          <w:rFonts w:ascii="Times New Roman" w:hAnsi="Times New Roman"/>
        </w:rPr>
        <w:t xml:space="preserve">an </w:t>
      </w:r>
      <w:r w:rsidR="0065348C">
        <w:rPr>
          <w:rFonts w:ascii="Times New Roman" w:hAnsi="Times New Roman"/>
        </w:rPr>
        <w:t xml:space="preserve">electronic </w:t>
      </w:r>
      <w:r w:rsidR="00C80373">
        <w:rPr>
          <w:rFonts w:ascii="Times New Roman" w:hAnsi="Times New Roman"/>
        </w:rPr>
        <w:t>agreement</w:t>
      </w:r>
      <w:r w:rsidR="0065348C">
        <w:rPr>
          <w:rFonts w:ascii="Times New Roman" w:hAnsi="Times New Roman"/>
        </w:rPr>
        <w:t xml:space="preserve"> via </w:t>
      </w:r>
      <w:r w:rsidR="00D64AEC">
        <w:rPr>
          <w:rFonts w:ascii="Times New Roman" w:hAnsi="Times New Roman"/>
        </w:rPr>
        <w:t>I</w:t>
      </w:r>
      <w:r w:rsidR="0065348C">
        <w:rPr>
          <w:rFonts w:ascii="Times New Roman" w:hAnsi="Times New Roman"/>
        </w:rPr>
        <w:t>nternet submission</w:t>
      </w:r>
      <w:r w:rsidRPr="00EC3231" w:rsidR="00EC3231">
        <w:rPr>
          <w:rFonts w:ascii="Times New Roman" w:hAnsi="Times New Roman"/>
        </w:rPr>
        <w:t xml:space="preserve">.  </w:t>
      </w:r>
      <w:r w:rsidR="005E2333">
        <w:rPr>
          <w:rFonts w:ascii="Times New Roman" w:hAnsi="Times New Roman"/>
        </w:rPr>
        <w:t>The i454 i</w:t>
      </w:r>
      <w:r w:rsidR="00A353C9">
        <w:rPr>
          <w:rFonts w:ascii="Times New Roman" w:hAnsi="Times New Roman"/>
        </w:rPr>
        <w:t>s</w:t>
      </w:r>
      <w:r w:rsidR="005E2333">
        <w:rPr>
          <w:rFonts w:ascii="Times New Roman" w:hAnsi="Times New Roman"/>
        </w:rPr>
        <w:t xml:space="preserve"> </w:t>
      </w:r>
      <w:r w:rsidR="00D0756C">
        <w:rPr>
          <w:rFonts w:ascii="Times New Roman" w:hAnsi="Times New Roman"/>
        </w:rPr>
        <w:t xml:space="preserve">currently the only fully </w:t>
      </w:r>
      <w:r w:rsidR="00C552DA">
        <w:rPr>
          <w:rFonts w:ascii="Times New Roman" w:hAnsi="Times New Roman"/>
        </w:rPr>
        <w:t>public</w:t>
      </w:r>
      <w:r w:rsidR="00220D60">
        <w:rPr>
          <w:rFonts w:ascii="Times New Roman" w:hAnsi="Times New Roman"/>
        </w:rPr>
        <w:t xml:space="preserve">-facing </w:t>
      </w:r>
      <w:r w:rsidR="00D64AEC">
        <w:rPr>
          <w:rFonts w:ascii="Times New Roman" w:hAnsi="Times New Roman"/>
        </w:rPr>
        <w:t>I</w:t>
      </w:r>
      <w:r w:rsidR="00220D60">
        <w:rPr>
          <w:rFonts w:ascii="Times New Roman" w:hAnsi="Times New Roman"/>
        </w:rPr>
        <w:t xml:space="preserve">nternet version that is </w:t>
      </w:r>
      <w:r w:rsidR="00D0756C">
        <w:rPr>
          <w:rFonts w:ascii="Times New Roman" w:hAnsi="Times New Roman"/>
        </w:rPr>
        <w:t xml:space="preserve">electronic and submittable </w:t>
      </w:r>
      <w:r w:rsidR="004C575F">
        <w:rPr>
          <w:rFonts w:ascii="Times New Roman" w:hAnsi="Times New Roman"/>
        </w:rPr>
        <w:t>online</w:t>
      </w:r>
      <w:r w:rsidR="00D0756C">
        <w:rPr>
          <w:rFonts w:ascii="Times New Roman" w:hAnsi="Times New Roman"/>
        </w:rPr>
        <w:t>.</w:t>
      </w:r>
    </w:p>
    <w:bookmarkEnd w:id="1"/>
    <w:p w:rsidR="001A3C4F" w:rsidRPr="00BC7F42" w:rsidP="00C25A78" w14:paraId="1B7D6F86" w14:textId="77777777">
      <w:pPr>
        <w:rPr>
          <w:rFonts w:ascii="Times New Roman" w:hAnsi="Times New Roman"/>
        </w:rPr>
      </w:pPr>
    </w:p>
    <w:p w:rsidR="000C1D18" w:rsidP="00D35331" w14:paraId="04E8DD7F" w14:textId="77777777">
      <w:pPr>
        <w:numPr>
          <w:ilvl w:val="0"/>
          <w:numId w:val="4"/>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B2506" w:rsidP="00EB2506" w14:paraId="7B66E839" w14:textId="329D0A83">
      <w:pPr>
        <w:pStyle w:val="ListParagraph"/>
        <w:rPr>
          <w:rFonts w:ascii="Times New Roman" w:hAnsi="Times New Roman"/>
        </w:rPr>
      </w:pPr>
      <w:r w:rsidRPr="008B2A43">
        <w:rPr>
          <w:rFonts w:ascii="Times New Roman" w:hAnsi="Times New Roman"/>
        </w:rPr>
        <w:t xml:space="preserve">The nature of the information we collect and the manner in which we collect it preclude duplication.  </w:t>
      </w:r>
      <w:r>
        <w:rPr>
          <w:rFonts w:ascii="Times New Roman" w:hAnsi="Times New Roman"/>
        </w:rPr>
        <w:t xml:space="preserve">We collect some similar information on the SSA-455, Disability Update Report (OMB </w:t>
      </w:r>
      <w:r w:rsidR="0065348C">
        <w:rPr>
          <w:rFonts w:ascii="Times New Roman" w:hAnsi="Times New Roman"/>
        </w:rPr>
        <w:t>No.</w:t>
      </w:r>
      <w:r>
        <w:rPr>
          <w:rFonts w:ascii="Times New Roman" w:hAnsi="Times New Roman"/>
        </w:rPr>
        <w:t xml:space="preserve"> 0960-0511)</w:t>
      </w:r>
      <w:r w:rsidR="004C575F">
        <w:rPr>
          <w:rFonts w:ascii="Times New Roman" w:hAnsi="Times New Roman"/>
        </w:rPr>
        <w:t>;</w:t>
      </w:r>
      <w:r>
        <w:rPr>
          <w:rFonts w:ascii="Times New Roman" w:hAnsi="Times New Roman"/>
        </w:rPr>
        <w:t xml:space="preserve"> </w:t>
      </w:r>
      <w:r w:rsidR="004C575F">
        <w:rPr>
          <w:rFonts w:ascii="Times New Roman" w:hAnsi="Times New Roman"/>
        </w:rPr>
        <w:t>h</w:t>
      </w:r>
      <w:r>
        <w:rPr>
          <w:rFonts w:ascii="Times New Roman" w:hAnsi="Times New Roman"/>
        </w:rPr>
        <w:t>owever, collecting the information on the SSA-454-BK is mandatory to complete the CDR, and we do not require respondents to complete both the SSA-455 and the SSA-454-BK in the same year</w:t>
      </w:r>
      <w:r w:rsidR="004C575F">
        <w:rPr>
          <w:rFonts w:ascii="Times New Roman" w:hAnsi="Times New Roman"/>
        </w:rPr>
        <w:t>.</w:t>
      </w:r>
      <w:r>
        <w:rPr>
          <w:rFonts w:ascii="Times New Roman" w:hAnsi="Times New Roman"/>
        </w:rPr>
        <w:t xml:space="preserve"> </w:t>
      </w:r>
    </w:p>
    <w:p w:rsidR="00A45D82" w:rsidRPr="00BC7F42" w:rsidP="00A45D82" w14:paraId="06DF33FF" w14:textId="77777777">
      <w:pPr>
        <w:pStyle w:val="Header"/>
        <w:tabs>
          <w:tab w:val="clear" w:pos="4320"/>
          <w:tab w:val="clear" w:pos="8640"/>
        </w:tabs>
        <w:ind w:left="720"/>
        <w:rPr>
          <w:rFonts w:ascii="Times New Roman" w:hAnsi="Times New Roman"/>
        </w:rPr>
      </w:pPr>
    </w:p>
    <w:p w:rsidR="00077E0E" w:rsidRPr="0042463F" w:rsidP="00D35331" w14:paraId="3BDA7516" w14:textId="77777777">
      <w:pPr>
        <w:numPr>
          <w:ilvl w:val="0"/>
          <w:numId w:val="6"/>
        </w:numPr>
        <w:tabs>
          <w:tab w:val="clear" w:pos="360"/>
        </w:tabs>
        <w:ind w:left="720" w:hanging="720"/>
        <w:rPr>
          <w:rFonts w:ascii="Times New Roman" w:hAnsi="Times New Roman"/>
        </w:rPr>
      </w:pPr>
      <w:r w:rsidRPr="0042463F">
        <w:rPr>
          <w:rFonts w:ascii="Times New Roman" w:hAnsi="Times New Roman"/>
          <w:b/>
        </w:rPr>
        <w:t>Minimizing Burden on Small Respondents</w:t>
      </w:r>
    </w:p>
    <w:p w:rsidR="0042463F" w:rsidP="0042463F" w14:paraId="6444AD2B" w14:textId="7388BD2C">
      <w:pPr>
        <w:pStyle w:val="ListParagraph"/>
        <w:ind w:left="360"/>
        <w:rPr>
          <w:rFonts w:ascii="Times New Roman" w:hAnsi="Times New Roman"/>
          <w:b/>
        </w:rPr>
      </w:pPr>
      <w:r>
        <w:rPr>
          <w:rFonts w:ascii="Times New Roman" w:hAnsi="Times New Roman"/>
        </w:rPr>
        <w:t xml:space="preserve">      T</w:t>
      </w:r>
      <w:r w:rsidRPr="00D71BB7">
        <w:rPr>
          <w:rFonts w:ascii="Times New Roman" w:hAnsi="Times New Roman"/>
        </w:rPr>
        <w:t>his collection does not affect small businesses or other small entities</w:t>
      </w:r>
      <w:r>
        <w:rPr>
          <w:rFonts w:ascii="Times New Roman" w:hAnsi="Times New Roman"/>
        </w:rPr>
        <w:t>.</w:t>
      </w:r>
    </w:p>
    <w:p w:rsidR="00E75DB0" w:rsidRPr="00077E0E" w:rsidP="00077E0E" w14:paraId="020A1B88" w14:textId="77777777">
      <w:pPr>
        <w:ind w:left="720"/>
        <w:rPr>
          <w:rFonts w:ascii="Times New Roman" w:hAnsi="Times New Roman"/>
          <w:b/>
          <w:u w:val="single"/>
        </w:rPr>
      </w:pPr>
    </w:p>
    <w:p w:rsidR="00A45D82" w:rsidRPr="00BC7F42" w:rsidP="005772E8" w14:paraId="17C52609" w14:textId="09E862F0">
      <w:pPr>
        <w:ind w:left="72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P="005772E8" w14:paraId="0150E457" w14:textId="6DEC9CE1">
      <w:pPr>
        <w:ind w:left="720"/>
        <w:rPr>
          <w:rFonts w:ascii="Times New Roman" w:hAnsi="Times New Roman"/>
        </w:rPr>
      </w:pPr>
      <w:r w:rsidRPr="005772E8">
        <w:rPr>
          <w:rFonts w:ascii="Times New Roman" w:hAnsi="Times New Roman"/>
        </w:rPr>
        <w:t>If we did not collect the information on the Continuing Disability Review Report (using any of the modalities mentioned in #2 above), we would be unable to make a timely determination regarding if and when recipients should stop receiving disability payments (either because adults are able to work, or Title XVI children no longer have marked and severe functional limitations).  Because we collect the information on an as needed basis, we cannot collect it less frequently.  There are no technical or legal obstacles to burden reduction.</w:t>
      </w:r>
    </w:p>
    <w:p w:rsidR="005772E8" w:rsidRPr="00BC7F42" w:rsidP="005772E8" w14:paraId="294B5B53" w14:textId="77777777">
      <w:pPr>
        <w:ind w:left="720"/>
        <w:rPr>
          <w:rFonts w:ascii="Times New Roman" w:hAnsi="Times New Roman"/>
        </w:rPr>
      </w:pPr>
    </w:p>
    <w:p w:rsidR="00A45D82" w:rsidRPr="00C07CA9" w:rsidP="00C07CA9" w14:paraId="0B078D8E" w14:textId="6086FD06">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C07CA9" w:rsidP="00A45D82" w14:paraId="3BCE2FB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C07CA9">
        <w:rPr>
          <w:rFonts w:ascii="Times New Roman" w:hAnsi="Times New Roman"/>
          <w:b w:val="0"/>
          <w:i w:val="0"/>
          <w:iCs w:val="0"/>
        </w:rPr>
        <w:t xml:space="preserve">There are no special circumstances that would cause </w:t>
      </w:r>
      <w:r w:rsidRPr="00C07CA9" w:rsidR="002A4C30">
        <w:rPr>
          <w:rFonts w:ascii="Times New Roman" w:hAnsi="Times New Roman"/>
          <w:b w:val="0"/>
          <w:i w:val="0"/>
          <w:iCs w:val="0"/>
        </w:rPr>
        <w:t xml:space="preserve">SSA to conduct this information collection in a manner inconsistent with </w:t>
      </w:r>
      <w:r w:rsidRPr="00324DD1">
        <w:rPr>
          <w:rFonts w:ascii="Times New Roman" w:hAnsi="Times New Roman"/>
          <w:b w:val="0"/>
        </w:rPr>
        <w:t>5 CFR 1320.5</w:t>
      </w:r>
      <w:r w:rsidRPr="00C07CA9">
        <w:rPr>
          <w:rFonts w:ascii="Times New Roman" w:hAnsi="Times New Roman"/>
          <w:b w:val="0"/>
          <w:i w:val="0"/>
          <w:iCs w:val="0"/>
        </w:rPr>
        <w:t>.</w:t>
      </w:r>
    </w:p>
    <w:p w:rsidR="00A45D82" w:rsidRPr="00BC7F42" w:rsidP="00A45D82" w14:paraId="700962FC" w14:textId="77777777">
      <w:pPr>
        <w:rPr>
          <w:rFonts w:ascii="Times New Roman" w:hAnsi="Times New Roman"/>
          <w:b/>
          <w:i/>
        </w:rPr>
      </w:pPr>
    </w:p>
    <w:p w:rsidR="00FD549D" w:rsidP="00D35331" w14:paraId="6690C207" w14:textId="0092C665">
      <w:pPr>
        <w:numPr>
          <w:ilvl w:val="0"/>
          <w:numId w:val="3"/>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017B19" w:rsidP="006533DA" w14:paraId="73B8BCC9" w14:textId="76F8DF77">
      <w:pPr>
        <w:pStyle w:val="ListParagraph"/>
        <w:tabs>
          <w:tab w:val="left" w:pos="1440"/>
        </w:tabs>
        <w:rPr>
          <w:rFonts w:ascii="Times New Roman" w:hAnsi="Times New Roman"/>
          <w:noProof/>
          <w:lang w:bidi="en-US"/>
        </w:rPr>
      </w:pPr>
      <w:r w:rsidRPr="00201CD3">
        <w:rPr>
          <w:rFonts w:ascii="Times New Roman" w:hAnsi="Times New Roman"/>
          <w:noProof/>
          <w:lang w:bidi="en-US"/>
        </w:rPr>
        <w:t xml:space="preserve">The 60-day advance Federal Register Notice published on </w:t>
      </w:r>
      <w:r>
        <w:rPr>
          <w:rFonts w:ascii="Times New Roman" w:hAnsi="Times New Roman"/>
          <w:noProof/>
          <w:lang w:bidi="en-US"/>
        </w:rPr>
        <w:t>July 21</w:t>
      </w:r>
      <w:r w:rsidRPr="00201CD3">
        <w:rPr>
          <w:rFonts w:ascii="Times New Roman" w:hAnsi="Times New Roman"/>
          <w:noProof/>
          <w:lang w:bidi="en-US"/>
        </w:rPr>
        <w:t>, 2025</w:t>
      </w:r>
      <w:r w:rsidRPr="00201CD3">
        <w:rPr>
          <w:rFonts w:ascii="Times New Roman" w:hAnsi="Times New Roman"/>
        </w:rPr>
        <w:t xml:space="preserve">, at 90 FR </w:t>
      </w:r>
      <w:r>
        <w:rPr>
          <w:rFonts w:ascii="Times New Roman" w:hAnsi="Times New Roman"/>
        </w:rPr>
        <w:t>34327</w:t>
      </w:r>
      <w:r w:rsidRPr="00201CD3">
        <w:rPr>
          <w:rFonts w:ascii="Times New Roman" w:hAnsi="Times New Roman"/>
        </w:rPr>
        <w:t xml:space="preserve">, </w:t>
      </w:r>
      <w:r w:rsidRPr="00201CD3">
        <w:rPr>
          <w:rFonts w:ascii="Times New Roman" w:hAnsi="Times New Roman"/>
          <w:noProof/>
          <w:lang w:bidi="en-US"/>
        </w:rPr>
        <w:t xml:space="preserve">and we received </w:t>
      </w:r>
      <w:r>
        <w:rPr>
          <w:rFonts w:ascii="Times New Roman" w:hAnsi="Times New Roman"/>
          <w:noProof/>
          <w:lang w:bidi="en-US"/>
        </w:rPr>
        <w:t>public comments from a total of 5 commenters.  Please see the Addendum for the summary of the public comments and SSA’s responses</w:t>
      </w:r>
      <w:r w:rsidRPr="00201CD3">
        <w:rPr>
          <w:rFonts w:ascii="Times New Roman" w:hAnsi="Times New Roman"/>
          <w:noProof/>
          <w:lang w:bidi="en-US"/>
        </w:rPr>
        <w:t xml:space="preserve">.  </w:t>
      </w:r>
    </w:p>
    <w:p w:rsidR="00017B19" w:rsidP="006533DA" w14:paraId="5F20AA45" w14:textId="77777777">
      <w:pPr>
        <w:pStyle w:val="ListParagraph"/>
        <w:tabs>
          <w:tab w:val="left" w:pos="1440"/>
        </w:tabs>
        <w:rPr>
          <w:rFonts w:ascii="Times New Roman" w:hAnsi="Times New Roman"/>
          <w:noProof/>
          <w:lang w:bidi="en-US"/>
        </w:rPr>
      </w:pPr>
    </w:p>
    <w:p w:rsidR="00EB6B50" w:rsidP="006533DA" w14:paraId="7E114F6C" w14:textId="112F501A">
      <w:pPr>
        <w:pStyle w:val="ListParagraph"/>
        <w:tabs>
          <w:tab w:val="left" w:pos="1440"/>
        </w:tabs>
        <w:rPr>
          <w:rFonts w:ascii="Times New Roman" w:hAnsi="Times New Roman"/>
        </w:rPr>
      </w:pPr>
      <w:r w:rsidRPr="00201CD3">
        <w:rPr>
          <w:rFonts w:ascii="Times New Roman" w:hAnsi="Times New Roman"/>
        </w:rPr>
        <w:t xml:space="preserve">The 30-day FRN published on </w:t>
      </w:r>
      <w:r>
        <w:rPr>
          <w:rFonts w:ascii="Times New Roman" w:hAnsi="Times New Roman"/>
        </w:rPr>
        <w:t>December 17, 2025</w:t>
      </w:r>
      <w:r w:rsidRPr="00201CD3">
        <w:rPr>
          <w:rFonts w:ascii="Times New Roman" w:hAnsi="Times New Roman"/>
        </w:rPr>
        <w:t xml:space="preserve">, at 90 FR </w:t>
      </w:r>
      <w:r>
        <w:rPr>
          <w:rFonts w:ascii="Times New Roman" w:hAnsi="Times New Roman"/>
        </w:rPr>
        <w:t>58678</w:t>
      </w:r>
      <w:r w:rsidRPr="00201CD3">
        <w:rPr>
          <w:rFonts w:ascii="Times New Roman" w:hAnsi="Times New Roman"/>
        </w:rPr>
        <w:t>.  If we receive any comments in response to this Notice, we will forward them to OMB.  We did not consult with the public in the revision of this form.  We did not consult with the public in the revision/maintenance of this form</w:t>
      </w:r>
      <w:r w:rsidR="00C3773C">
        <w:rPr>
          <w:rFonts w:ascii="Times New Roman" w:hAnsi="Times New Roman"/>
        </w:rPr>
        <w:t xml:space="preserve">. </w:t>
      </w:r>
    </w:p>
    <w:p w:rsidR="00A45D82" w:rsidRPr="00BC7F42" w:rsidP="00A45D82" w14:paraId="315CB818" w14:textId="77777777">
      <w:pPr>
        <w:rPr>
          <w:rFonts w:ascii="Times New Roman" w:hAnsi="Times New Roman"/>
        </w:rPr>
      </w:pPr>
    </w:p>
    <w:p w:rsidR="00640A26" w:rsidP="00D35331" w14:paraId="4D0F4157" w14:textId="77777777">
      <w:pPr>
        <w:numPr>
          <w:ilvl w:val="0"/>
          <w:numId w:val="3"/>
        </w:numPr>
        <w:rPr>
          <w:rFonts w:ascii="Times New Roman" w:hAnsi="Times New Roman"/>
          <w:b/>
        </w:rPr>
      </w:pPr>
      <w:r w:rsidRPr="00BC7F42">
        <w:rPr>
          <w:rFonts w:ascii="Times New Roman" w:hAnsi="Times New Roman"/>
          <w:b/>
        </w:rPr>
        <w:t>Payment or Gifts to Respondents</w:t>
      </w:r>
    </w:p>
    <w:p w:rsidR="00864C9A" w:rsidP="00017B19" w14:paraId="47E30175" w14:textId="44A1DB0E">
      <w:pPr>
        <w:ind w:left="720"/>
        <w:rPr>
          <w:rFonts w:ascii="Times New Roman" w:hAnsi="Times New Roman"/>
          <w:iCs/>
        </w:rPr>
      </w:pPr>
      <w:r w:rsidRPr="00D829F7">
        <w:rPr>
          <w:rFonts w:ascii="Times New Roman" w:hAnsi="Times New Roman"/>
          <w:iCs/>
        </w:rPr>
        <w:t>SSA does not provide payments or gifts</w:t>
      </w:r>
      <w:r w:rsidRPr="00D829F7" w:rsidR="00A45D82">
        <w:rPr>
          <w:rFonts w:ascii="Times New Roman" w:hAnsi="Times New Roman"/>
          <w:iCs/>
        </w:rPr>
        <w:t xml:space="preserve"> to the respondents. </w:t>
      </w:r>
    </w:p>
    <w:p w:rsidR="00017B19" w:rsidRPr="00017B19" w:rsidP="00017B19" w14:paraId="6F28A8F0" w14:textId="77777777">
      <w:pPr>
        <w:ind w:left="720"/>
        <w:rPr>
          <w:rFonts w:ascii="Times New Roman" w:hAnsi="Times New Roman"/>
          <w:iCs/>
        </w:rPr>
      </w:pPr>
    </w:p>
    <w:p w:rsidR="00795BAB" w:rsidP="00D35331" w14:paraId="79DE3392" w14:textId="77777777">
      <w:pPr>
        <w:numPr>
          <w:ilvl w:val="0"/>
          <w:numId w:val="3"/>
        </w:numPr>
        <w:rPr>
          <w:rFonts w:ascii="Times New Roman" w:hAnsi="Times New Roman"/>
          <w:b/>
        </w:rPr>
      </w:pPr>
      <w:r w:rsidRPr="00BC7F42">
        <w:rPr>
          <w:rFonts w:ascii="Times New Roman" w:hAnsi="Times New Roman"/>
          <w:b/>
        </w:rPr>
        <w:t>Assurances of Confidentiality</w:t>
      </w:r>
    </w:p>
    <w:p w:rsidR="00A45D82" w:rsidRPr="00BC7F42" w:rsidP="00A45D82" w14:paraId="5B6C9256" w14:textId="77777777">
      <w:pPr>
        <w:ind w:left="720"/>
        <w:rPr>
          <w:rFonts w:ascii="Times New Roman" w:hAnsi="Times New Roman"/>
          <w:i/>
        </w:rPr>
      </w:pPr>
      <w:r w:rsidRPr="00A43EA8">
        <w:rPr>
          <w:rFonts w:ascii="Times New Roman" w:hAnsi="Times New Roman"/>
          <w:iCs/>
        </w:rPr>
        <w:t>SSA pro</w:t>
      </w:r>
      <w:r w:rsidRPr="00A43EA8" w:rsidR="00D0011E">
        <w:rPr>
          <w:rFonts w:ascii="Times New Roman" w:hAnsi="Times New Roman"/>
          <w:iCs/>
        </w:rPr>
        <w:t xml:space="preserve">tects and holds confidential the information it </w:t>
      </w:r>
      <w:r w:rsidRPr="00A43EA8" w:rsidR="00E0137B">
        <w:rPr>
          <w:rFonts w:ascii="Times New Roman" w:hAnsi="Times New Roman"/>
          <w:iCs/>
        </w:rPr>
        <w:t>collects</w:t>
      </w:r>
      <w:r w:rsidRPr="00A43EA8" w:rsidR="00D0011E">
        <w:rPr>
          <w:rFonts w:ascii="Times New Roman" w:hAnsi="Times New Roman"/>
          <w:iCs/>
        </w:rPr>
        <w:t xml:space="preserve"> i</w:t>
      </w:r>
      <w:r w:rsidRPr="00A43EA8">
        <w:rPr>
          <w:rFonts w:ascii="Times New Roman" w:hAnsi="Times New Roman"/>
          <w:iCs/>
        </w:rPr>
        <w:t xml:space="preserve">n accordance with </w:t>
      </w:r>
      <w:r w:rsidRPr="00BC7F42">
        <w:rPr>
          <w:rFonts w:ascii="Times New Roman" w:hAnsi="Times New Roman"/>
          <w:i/>
        </w:rPr>
        <w:t xml:space="preserve">42 U.S.C. 1306, 20 CFR 401 </w:t>
      </w:r>
      <w:r w:rsidRPr="00A43EA8">
        <w:rPr>
          <w:rFonts w:ascii="Times New Roman" w:hAnsi="Times New Roman"/>
          <w:iCs/>
        </w:rPr>
        <w:t>and</w:t>
      </w:r>
      <w:r w:rsidRPr="00BC7F42">
        <w:rPr>
          <w:rFonts w:ascii="Times New Roman" w:hAnsi="Times New Roman"/>
          <w:i/>
        </w:rPr>
        <w:t xml:space="preserve"> 402, 5 U.S.C. 552 </w:t>
      </w:r>
      <w:r w:rsidRPr="00A43EA8">
        <w:rPr>
          <w:rFonts w:ascii="Times New Roman" w:hAnsi="Times New Roman"/>
          <w:iCs/>
        </w:rPr>
        <w:t>(Freedom of Information Act)</w:t>
      </w:r>
      <w:r w:rsidRPr="00BC7F42">
        <w:rPr>
          <w:rFonts w:ascii="Times New Roman" w:hAnsi="Times New Roman"/>
          <w:i/>
        </w:rPr>
        <w:t xml:space="preserve">, 5 U.S.C. 552a </w:t>
      </w:r>
      <w:r w:rsidRPr="00A43EA8">
        <w:rPr>
          <w:rFonts w:ascii="Times New Roman" w:hAnsi="Times New Roman"/>
          <w:iCs/>
        </w:rPr>
        <w:t>(Privacy Act of 1974)</w:t>
      </w:r>
      <w:r w:rsidRPr="00A43EA8" w:rsidR="00D0011E">
        <w:rPr>
          <w:rFonts w:ascii="Times New Roman" w:hAnsi="Times New Roman"/>
          <w:iCs/>
        </w:rPr>
        <w:t>,</w:t>
      </w:r>
      <w:r w:rsidRPr="00A43EA8">
        <w:rPr>
          <w:rFonts w:ascii="Times New Roman" w:hAnsi="Times New Roman"/>
          <w:iCs/>
        </w:rPr>
        <w:t xml:space="preserve"> and OMB Circular No. A-130</w:t>
      </w:r>
      <w:r w:rsidRPr="00A43EA8">
        <w:rPr>
          <w:rFonts w:ascii="Times New Roman" w:hAnsi="Times New Roman"/>
          <w:iCs/>
          <w:color w:val="0000FF"/>
        </w:rPr>
        <w:t>.</w:t>
      </w:r>
    </w:p>
    <w:p w:rsidR="00A45D82" w:rsidRPr="00BC7F42" w:rsidP="00A45D82" w14:paraId="6F36D59D" w14:textId="77777777">
      <w:pPr>
        <w:pStyle w:val="Header"/>
        <w:tabs>
          <w:tab w:val="clear" w:pos="4320"/>
          <w:tab w:val="clear" w:pos="8640"/>
        </w:tabs>
        <w:rPr>
          <w:rFonts w:ascii="Times New Roman" w:hAnsi="Times New Roman"/>
        </w:rPr>
      </w:pPr>
    </w:p>
    <w:p w:rsidR="00D0011E" w:rsidP="00D35331" w14:paraId="25ADE937" w14:textId="77777777">
      <w:pPr>
        <w:numPr>
          <w:ilvl w:val="0"/>
          <w:numId w:val="3"/>
        </w:numPr>
        <w:rPr>
          <w:rFonts w:ascii="Times New Roman" w:hAnsi="Times New Roman"/>
          <w:b/>
        </w:rPr>
      </w:pPr>
      <w:r w:rsidRPr="00BC7F42">
        <w:rPr>
          <w:rFonts w:ascii="Times New Roman" w:hAnsi="Times New Roman"/>
          <w:b/>
        </w:rPr>
        <w:t>Justification for Sensitive Questions</w:t>
      </w:r>
    </w:p>
    <w:p w:rsidR="00A45D82" w:rsidRPr="00337DA0" w:rsidP="00A45D82" w14:paraId="67D5985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337DA0">
        <w:rPr>
          <w:rFonts w:ascii="Times New Roman" w:hAnsi="Times New Roman"/>
          <w:b w:val="0"/>
          <w:i w:val="0"/>
          <w:iCs w:val="0"/>
        </w:rPr>
        <w:t>The information collection does not contain any questions of a sensitive nature.</w:t>
      </w:r>
    </w:p>
    <w:p w:rsidR="00324DD1" w:rsidP="00A45D82" w14:paraId="5131181F" w14:textId="2FD47F34">
      <w:pPr>
        <w:rPr>
          <w:rFonts w:ascii="Times New Roman" w:hAnsi="Times New Roman"/>
        </w:rPr>
      </w:pPr>
    </w:p>
    <w:p w:rsidR="001A3C4F" w:rsidP="00864C9A" w14:paraId="525D3084" w14:textId="1301B7EB">
      <w:pPr>
        <w:ind w:left="720"/>
        <w:rPr>
          <w:rFonts w:ascii="Times New Roman" w:hAnsi="Times New Roman"/>
        </w:rPr>
      </w:pPr>
      <w:r>
        <w:rPr>
          <w:rFonts w:ascii="Times New Roman" w:hAnsi="Times New Roman"/>
        </w:rPr>
        <w:t>As mention</w:t>
      </w:r>
      <w:r w:rsidR="003F4B04">
        <w:rPr>
          <w:rFonts w:ascii="Times New Roman" w:hAnsi="Times New Roman"/>
        </w:rPr>
        <w:t>ed</w:t>
      </w:r>
      <w:r>
        <w:rPr>
          <w:rFonts w:ascii="Times New Roman" w:hAnsi="Times New Roman"/>
        </w:rPr>
        <w:t xml:space="preserve"> in </w:t>
      </w:r>
      <w:r w:rsidR="005E308D">
        <w:rPr>
          <w:rFonts w:ascii="Times New Roman" w:hAnsi="Times New Roman"/>
        </w:rPr>
        <w:t>#2 above</w:t>
      </w:r>
      <w:r>
        <w:rPr>
          <w:rFonts w:ascii="Times New Roman" w:hAnsi="Times New Roman"/>
        </w:rPr>
        <w:t xml:space="preserve">, we understand that there are psychological costs associated with this information collection. </w:t>
      </w:r>
      <w:r w:rsidRPr="00D33F3F">
        <w:rPr>
          <w:rFonts w:ascii="Times New Roman" w:hAnsi="Times New Roman"/>
        </w:rPr>
        <w:t xml:space="preserve">SSA </w:t>
      </w:r>
      <w:r>
        <w:rPr>
          <w:rFonts w:ascii="Times New Roman" w:hAnsi="Times New Roman"/>
        </w:rPr>
        <w:t xml:space="preserve">has </w:t>
      </w:r>
      <w:r w:rsidRPr="00D33F3F">
        <w:rPr>
          <w:rFonts w:ascii="Times New Roman" w:hAnsi="Times New Roman"/>
        </w:rPr>
        <w:t xml:space="preserve">received </w:t>
      </w:r>
      <w:r>
        <w:rPr>
          <w:rFonts w:ascii="Times New Roman" w:hAnsi="Times New Roman"/>
        </w:rPr>
        <w:t xml:space="preserve">public comments in the past remarking on </w:t>
      </w:r>
      <w:r w:rsidRPr="00D33F3F">
        <w:rPr>
          <w:rFonts w:ascii="Times New Roman" w:hAnsi="Times New Roman"/>
        </w:rPr>
        <w:t xml:space="preserve">CDR </w:t>
      </w:r>
      <w:r>
        <w:rPr>
          <w:rFonts w:ascii="Times New Roman" w:hAnsi="Times New Roman"/>
        </w:rPr>
        <w:t xml:space="preserve">information </w:t>
      </w:r>
      <w:r w:rsidRPr="00D33F3F">
        <w:rPr>
          <w:rFonts w:ascii="Times New Roman" w:hAnsi="Times New Roman"/>
        </w:rPr>
        <w:t>collections</w:t>
      </w:r>
      <w:r>
        <w:rPr>
          <w:rFonts w:ascii="Times New Roman" w:hAnsi="Times New Roman"/>
        </w:rPr>
        <w:t xml:space="preserve">, including comments that </w:t>
      </w:r>
      <w:r w:rsidR="00401CB1">
        <w:rPr>
          <w:rFonts w:ascii="Times New Roman" w:hAnsi="Times New Roman"/>
        </w:rPr>
        <w:t>members of the public feel we already have information on file and should not be asking for additional information</w:t>
      </w:r>
      <w:r w:rsidR="00DC647A">
        <w:rPr>
          <w:rFonts w:ascii="Times New Roman" w:hAnsi="Times New Roman"/>
        </w:rPr>
        <w:t xml:space="preserve"> and</w:t>
      </w:r>
      <w:r w:rsidR="00527FAF">
        <w:rPr>
          <w:rFonts w:ascii="Times New Roman" w:hAnsi="Times New Roman"/>
        </w:rPr>
        <w:t xml:space="preserve"> they feel the CDR process is stressful and may dissuade respondents</w:t>
      </w:r>
      <w:r w:rsidR="00DC647A">
        <w:rPr>
          <w:rFonts w:ascii="Times New Roman" w:hAnsi="Times New Roman"/>
        </w:rPr>
        <w:t xml:space="preserve"> from providing responses to questions</w:t>
      </w:r>
      <w:r w:rsidR="003F4B04">
        <w:rPr>
          <w:rFonts w:ascii="Times New Roman" w:hAnsi="Times New Roman"/>
        </w:rPr>
        <w:t>.</w:t>
      </w:r>
      <w:r w:rsidR="00527FAF">
        <w:rPr>
          <w:rFonts w:ascii="Times New Roman" w:hAnsi="Times New Roman"/>
        </w:rPr>
        <w:t xml:space="preserve"> </w:t>
      </w:r>
      <w:r w:rsidRPr="00D33F3F">
        <w:rPr>
          <w:rFonts w:ascii="Times New Roman" w:hAnsi="Times New Roman"/>
        </w:rPr>
        <w:t xml:space="preserve"> </w:t>
      </w:r>
      <w:r w:rsidRPr="00441961">
        <w:rPr>
          <w:rFonts w:ascii="Times New Roman" w:hAnsi="Times New Roman"/>
        </w:rPr>
        <w:t>We understand these psychological costs may cause respondents to delay their completion of the information collection or cause them to abandon the information collection entirely.  However, we require full completion of this collection to [continue to] receive benefits</w:t>
      </w:r>
      <w:r w:rsidR="00A86A29">
        <w:rPr>
          <w:rFonts w:ascii="Times New Roman" w:hAnsi="Times New Roman"/>
        </w:rPr>
        <w:t xml:space="preserve"> and have </w:t>
      </w:r>
      <w:r w:rsidRPr="00441961" w:rsidR="00A86A29">
        <w:rPr>
          <w:rFonts w:ascii="Times New Roman" w:hAnsi="Times New Roman"/>
        </w:rPr>
        <w:t>taken this potential psychological cost into account when calculating our burden in #12 below.</w:t>
      </w:r>
    </w:p>
    <w:p w:rsidR="00157E4E" w:rsidRPr="00BC7F42" w:rsidP="00A45D82" w14:paraId="12380CF4" w14:textId="77777777">
      <w:pPr>
        <w:rPr>
          <w:rFonts w:ascii="Times New Roman" w:hAnsi="Times New Roman"/>
        </w:rPr>
      </w:pPr>
    </w:p>
    <w:p w:rsidR="003E145C" w:rsidP="00D35331" w14:paraId="6D799B2F" w14:textId="5D3E1A2B">
      <w:pPr>
        <w:numPr>
          <w:ilvl w:val="0"/>
          <w:numId w:val="3"/>
        </w:numPr>
        <w:rPr>
          <w:rFonts w:ascii="Times New Roman" w:hAnsi="Times New Roman"/>
          <w:b/>
        </w:rPr>
      </w:pPr>
      <w:r w:rsidRPr="00BC7F42">
        <w:rPr>
          <w:rFonts w:ascii="Times New Roman" w:hAnsi="Times New Roman"/>
          <w:b/>
        </w:rPr>
        <w:t>Estimates of Public Reporting Burden</w:t>
      </w:r>
    </w:p>
    <w:p w:rsidR="00D112EC" w:rsidP="00D112EC" w14:paraId="327ECEC5" w14:textId="45CF2BAA">
      <w:pPr>
        <w:ind w:left="720"/>
        <w:rPr>
          <w:rFonts w:ascii="Times New Roman" w:hAnsi="Times New Roman"/>
          <w:b/>
        </w:rPr>
      </w:pPr>
    </w:p>
    <w:tbl>
      <w:tblPr>
        <w:tblStyle w:val="TableGrid"/>
        <w:tblpPr w:leftFromText="180" w:rightFromText="180" w:vertAnchor="text" w:horzAnchor="page" w:tblpXSpec="center" w:tblpY="1"/>
        <w:tblOverlap w:val="never"/>
        <w:tblW w:w="11170" w:type="dxa"/>
        <w:jc w:val="center"/>
        <w:tblLook w:val="04A0"/>
      </w:tblPr>
      <w:tblGrid>
        <w:gridCol w:w="1416"/>
        <w:gridCol w:w="1523"/>
        <w:gridCol w:w="1310"/>
        <w:gridCol w:w="1190"/>
        <w:gridCol w:w="1256"/>
        <w:gridCol w:w="1389"/>
        <w:gridCol w:w="1190"/>
        <w:gridCol w:w="1896"/>
      </w:tblGrid>
      <w:tr w14:paraId="297AE92C" w14:textId="77777777" w:rsidTr="00017B19">
        <w:tblPrEx>
          <w:tblW w:w="11170" w:type="dxa"/>
          <w:jc w:val="center"/>
          <w:tblLook w:val="04A0"/>
        </w:tblPrEx>
        <w:trPr>
          <w:jc w:val="center"/>
        </w:trPr>
        <w:tc>
          <w:tcPr>
            <w:tcW w:w="1416" w:type="dxa"/>
          </w:tcPr>
          <w:p w:rsidR="00D112EC" w:rsidRPr="00D112EC" w:rsidP="00A97D57" w14:paraId="3EBF7478" w14:textId="43AF7D3E">
            <w:pPr>
              <w:rPr>
                <w:rFonts w:ascii="Times New Roman" w:hAnsi="Times New Roman"/>
                <w:b/>
              </w:rPr>
            </w:pPr>
            <w:r w:rsidRPr="00D112EC">
              <w:rPr>
                <w:rFonts w:ascii="Times New Roman" w:hAnsi="Times New Roman"/>
                <w:b/>
                <w:lang w:eastAsia="ar-SA"/>
              </w:rPr>
              <w:t>Modality of Completion</w:t>
            </w:r>
          </w:p>
        </w:tc>
        <w:tc>
          <w:tcPr>
            <w:tcW w:w="0" w:type="auto"/>
          </w:tcPr>
          <w:p w:rsidR="00D112EC" w:rsidRPr="00D112EC" w:rsidP="00A97D57" w14:paraId="51E3E50D" w14:textId="3E649A1A">
            <w:pPr>
              <w:rPr>
                <w:rFonts w:ascii="Times New Roman" w:hAnsi="Times New Roman"/>
                <w:b/>
              </w:rPr>
            </w:pPr>
            <w:r w:rsidRPr="00D112EC">
              <w:rPr>
                <w:rFonts w:ascii="Times New Roman" w:hAnsi="Times New Roman"/>
                <w:b/>
                <w:lang w:eastAsia="ar-SA"/>
              </w:rPr>
              <w:t>Number of Respondents</w:t>
            </w:r>
          </w:p>
        </w:tc>
        <w:tc>
          <w:tcPr>
            <w:tcW w:w="0" w:type="auto"/>
          </w:tcPr>
          <w:p w:rsidR="00D112EC" w:rsidRPr="00D112EC" w:rsidP="00A97D57" w14:paraId="2ED70C2D" w14:textId="3478A479">
            <w:pPr>
              <w:rPr>
                <w:rFonts w:ascii="Times New Roman" w:hAnsi="Times New Roman"/>
                <w:b/>
              </w:rPr>
            </w:pPr>
            <w:r w:rsidRPr="00D112EC">
              <w:rPr>
                <w:rFonts w:ascii="Times New Roman" w:hAnsi="Times New Roman"/>
                <w:b/>
                <w:lang w:eastAsia="ar-SA"/>
              </w:rPr>
              <w:t>Frequency of Response</w:t>
            </w:r>
          </w:p>
        </w:tc>
        <w:tc>
          <w:tcPr>
            <w:tcW w:w="0" w:type="auto"/>
          </w:tcPr>
          <w:p w:rsidR="00D112EC" w:rsidRPr="00D112EC" w:rsidP="00A97D57" w14:paraId="0AFAD5C5" w14:textId="134A854F">
            <w:pPr>
              <w:rPr>
                <w:rFonts w:ascii="Times New Roman" w:hAnsi="Times New Roman"/>
                <w:b/>
              </w:rPr>
            </w:pPr>
            <w:r w:rsidRPr="00D112EC">
              <w:rPr>
                <w:rFonts w:ascii="Times New Roman" w:hAnsi="Times New Roman"/>
                <w:b/>
                <w:lang w:eastAsia="ar-SA"/>
              </w:rPr>
              <w:t>Average Burden per Response (minutes)</w:t>
            </w:r>
          </w:p>
        </w:tc>
        <w:tc>
          <w:tcPr>
            <w:tcW w:w="0" w:type="auto"/>
          </w:tcPr>
          <w:p w:rsidR="00D112EC" w:rsidRPr="00D112EC" w:rsidP="00A97D57" w14:paraId="53E79B9D" w14:textId="2CE8E8E3">
            <w:pPr>
              <w:rPr>
                <w:rFonts w:ascii="Times New Roman" w:hAnsi="Times New Roman"/>
                <w:b/>
              </w:rPr>
            </w:pPr>
            <w:r w:rsidRPr="00D112EC">
              <w:rPr>
                <w:rFonts w:ascii="Times New Roman" w:hAnsi="Times New Roman"/>
                <w:b/>
                <w:lang w:eastAsia="ar-SA"/>
              </w:rPr>
              <w:t>Estimated Total Annual Burden (hours)</w:t>
            </w:r>
          </w:p>
        </w:tc>
        <w:tc>
          <w:tcPr>
            <w:tcW w:w="0" w:type="auto"/>
          </w:tcPr>
          <w:p w:rsidR="00D112EC" w:rsidRPr="00D112EC" w:rsidP="00A97D57" w14:paraId="7749C6F3" w14:textId="7E3B2759">
            <w:pPr>
              <w:rPr>
                <w:rFonts w:ascii="Times New Roman" w:hAnsi="Times New Roman"/>
                <w:b/>
              </w:rPr>
            </w:pPr>
            <w:r w:rsidRPr="00D112EC">
              <w:rPr>
                <w:rFonts w:ascii="Times New Roman" w:hAnsi="Times New Roman"/>
                <w:b/>
                <w:lang w:eastAsia="ar-SA"/>
              </w:rPr>
              <w:t>Average Theoretical Hourly Cost Amount (dollars)**</w:t>
            </w:r>
          </w:p>
        </w:tc>
        <w:tc>
          <w:tcPr>
            <w:tcW w:w="0" w:type="auto"/>
          </w:tcPr>
          <w:p w:rsidR="00D112EC" w:rsidRPr="00D112EC" w:rsidP="00A97D57" w14:paraId="3E618E33" w14:textId="77777777">
            <w:pPr>
              <w:autoSpaceDE w:val="0"/>
              <w:autoSpaceDN w:val="0"/>
              <w:adjustRightInd w:val="0"/>
              <w:rPr>
                <w:rFonts w:ascii="Times New Roman" w:hAnsi="Times New Roman"/>
                <w:b/>
              </w:rPr>
            </w:pPr>
            <w:r w:rsidRPr="00D112EC">
              <w:rPr>
                <w:rFonts w:ascii="Times New Roman" w:hAnsi="Times New Roman"/>
                <w:b/>
              </w:rPr>
              <w:t>Average Wait Time in Field Office</w:t>
            </w:r>
          </w:p>
          <w:p w:rsidR="00D112EC" w:rsidRPr="00D112EC" w:rsidP="00A97D57" w14:paraId="3F990096" w14:textId="77777777">
            <w:pPr>
              <w:autoSpaceDE w:val="0"/>
              <w:autoSpaceDN w:val="0"/>
              <w:adjustRightInd w:val="0"/>
              <w:rPr>
                <w:rFonts w:ascii="Times New Roman" w:hAnsi="Times New Roman"/>
                <w:b/>
              </w:rPr>
            </w:pPr>
            <w:r w:rsidRPr="00D112EC">
              <w:rPr>
                <w:rFonts w:ascii="Times New Roman" w:hAnsi="Times New Roman"/>
                <w:b/>
              </w:rPr>
              <w:t>(minutes)</w:t>
            </w:r>
          </w:p>
          <w:p w:rsidR="00D112EC" w:rsidRPr="00D112EC" w:rsidP="00A97D57" w14:paraId="64624E36" w14:textId="6BB84DF6">
            <w:pPr>
              <w:rPr>
                <w:rFonts w:ascii="Times New Roman" w:hAnsi="Times New Roman"/>
                <w:b/>
              </w:rPr>
            </w:pPr>
            <w:r w:rsidRPr="00D112EC">
              <w:rPr>
                <w:rFonts w:ascii="Times New Roman" w:hAnsi="Times New Roman"/>
                <w:b/>
                <w:lang w:val="x-none"/>
              </w:rPr>
              <w:t>**</w:t>
            </w:r>
            <w:r w:rsidRPr="00D112EC">
              <w:rPr>
                <w:rFonts w:ascii="Times New Roman" w:hAnsi="Times New Roman"/>
                <w:b/>
              </w:rPr>
              <w:t>*</w:t>
            </w:r>
          </w:p>
        </w:tc>
        <w:tc>
          <w:tcPr>
            <w:tcW w:w="0" w:type="auto"/>
          </w:tcPr>
          <w:p w:rsidR="00D112EC" w:rsidRPr="00D112EC" w:rsidP="00A97D57" w14:paraId="2A5F6A39" w14:textId="1893BD8C">
            <w:pPr>
              <w:rPr>
                <w:rFonts w:ascii="Times New Roman" w:hAnsi="Times New Roman"/>
                <w:b/>
              </w:rPr>
            </w:pPr>
            <w:r w:rsidRPr="00D112EC">
              <w:rPr>
                <w:rFonts w:ascii="Times New Roman" w:hAnsi="Times New Roman"/>
                <w:b/>
                <w:lang w:eastAsia="ar-SA"/>
              </w:rPr>
              <w:t>Total Annual Opportunity Cost (dollars)****</w:t>
            </w:r>
          </w:p>
        </w:tc>
      </w:tr>
      <w:tr w14:paraId="147B3E95" w14:textId="77777777" w:rsidTr="00017B19">
        <w:tblPrEx>
          <w:tblW w:w="11170" w:type="dxa"/>
          <w:jc w:val="center"/>
          <w:tblLook w:val="04A0"/>
        </w:tblPrEx>
        <w:trPr>
          <w:jc w:val="center"/>
        </w:trPr>
        <w:tc>
          <w:tcPr>
            <w:tcW w:w="1416" w:type="dxa"/>
          </w:tcPr>
          <w:p w:rsidR="00D112EC" w:rsidRPr="00D112EC" w:rsidP="00A97D57" w14:paraId="6B4FF601" w14:textId="76DB5BFA">
            <w:pPr>
              <w:rPr>
                <w:rFonts w:ascii="Times New Roman" w:hAnsi="Times New Roman"/>
                <w:b/>
              </w:rPr>
            </w:pPr>
            <w:r w:rsidRPr="00D112EC">
              <w:rPr>
                <w:rFonts w:ascii="Times New Roman" w:hAnsi="Times New Roman"/>
              </w:rPr>
              <w:t>SSA-454- BK (paper version)</w:t>
            </w:r>
          </w:p>
        </w:tc>
        <w:tc>
          <w:tcPr>
            <w:tcW w:w="0" w:type="auto"/>
          </w:tcPr>
          <w:p w:rsidR="00D112EC" w:rsidRPr="00D112EC" w:rsidP="00A97D57" w14:paraId="759D66F7" w14:textId="26883B97">
            <w:pPr>
              <w:jc w:val="right"/>
              <w:rPr>
                <w:rFonts w:ascii="Times New Roman" w:hAnsi="Times New Roman"/>
                <w:b/>
              </w:rPr>
            </w:pPr>
            <w:r>
              <w:rPr>
                <w:rFonts w:ascii="Times New Roman" w:hAnsi="Times New Roman"/>
              </w:rPr>
              <w:t>249,194</w:t>
            </w:r>
          </w:p>
        </w:tc>
        <w:tc>
          <w:tcPr>
            <w:tcW w:w="0" w:type="auto"/>
          </w:tcPr>
          <w:p w:rsidR="00D112EC" w:rsidRPr="00D112EC" w:rsidP="00A97D57" w14:paraId="3284136F" w14:textId="23BE429F">
            <w:pPr>
              <w:jc w:val="right"/>
              <w:rPr>
                <w:rFonts w:ascii="Times New Roman" w:hAnsi="Times New Roman"/>
                <w:b/>
              </w:rPr>
            </w:pPr>
            <w:r w:rsidRPr="00D112EC">
              <w:rPr>
                <w:rFonts w:ascii="Times New Roman" w:hAnsi="Times New Roman"/>
              </w:rPr>
              <w:t>1</w:t>
            </w:r>
          </w:p>
        </w:tc>
        <w:tc>
          <w:tcPr>
            <w:tcW w:w="0" w:type="auto"/>
          </w:tcPr>
          <w:p w:rsidR="00D112EC" w:rsidRPr="00D112EC" w:rsidP="00A97D57" w14:paraId="0FEA4CFD" w14:textId="5362E81F">
            <w:pPr>
              <w:jc w:val="right"/>
              <w:rPr>
                <w:rFonts w:ascii="Times New Roman" w:hAnsi="Times New Roman"/>
                <w:b/>
              </w:rPr>
            </w:pPr>
            <w:r>
              <w:rPr>
                <w:rFonts w:ascii="Times New Roman" w:hAnsi="Times New Roman"/>
              </w:rPr>
              <w:t>600</w:t>
            </w:r>
            <w:r w:rsidRPr="00D112EC">
              <w:rPr>
                <w:rFonts w:ascii="Times New Roman" w:hAnsi="Times New Roman"/>
              </w:rPr>
              <w:t>*</w:t>
            </w:r>
          </w:p>
        </w:tc>
        <w:tc>
          <w:tcPr>
            <w:tcW w:w="0" w:type="auto"/>
          </w:tcPr>
          <w:p w:rsidR="00D112EC" w:rsidRPr="00D112EC" w:rsidP="00A97D57" w14:paraId="2A983A36" w14:textId="146FC60E">
            <w:pPr>
              <w:jc w:val="right"/>
              <w:rPr>
                <w:rFonts w:ascii="Times New Roman" w:hAnsi="Times New Roman"/>
                <w:b/>
              </w:rPr>
            </w:pPr>
            <w:r>
              <w:rPr>
                <w:rFonts w:ascii="Times New Roman" w:hAnsi="Times New Roman"/>
              </w:rPr>
              <w:t>2,491, 940</w:t>
            </w:r>
          </w:p>
        </w:tc>
        <w:tc>
          <w:tcPr>
            <w:tcW w:w="0" w:type="auto"/>
          </w:tcPr>
          <w:p w:rsidR="00D112EC" w:rsidRPr="00D112EC" w:rsidP="00A97D57" w14:paraId="2CFDFB37" w14:textId="54719FE5">
            <w:pPr>
              <w:jc w:val="right"/>
              <w:rPr>
                <w:rFonts w:ascii="Times New Roman" w:hAnsi="Times New Roman"/>
                <w:b/>
              </w:rPr>
            </w:pPr>
            <w:r w:rsidRPr="00D112EC">
              <w:rPr>
                <w:rFonts w:ascii="Times New Roman" w:eastAsia="Calibri" w:hAnsi="Times New Roman"/>
              </w:rPr>
              <w:t>$</w:t>
            </w:r>
            <w:r w:rsidR="003655AB">
              <w:rPr>
                <w:rFonts w:ascii="Times New Roman" w:hAnsi="Times New Roman"/>
              </w:rPr>
              <w:t>14.27</w:t>
            </w:r>
            <w:r w:rsidRPr="00D112EC">
              <w:rPr>
                <w:rFonts w:ascii="Times New Roman" w:eastAsia="Calibri" w:hAnsi="Times New Roman"/>
              </w:rPr>
              <w:t>**</w:t>
            </w:r>
          </w:p>
        </w:tc>
        <w:tc>
          <w:tcPr>
            <w:tcW w:w="0" w:type="auto"/>
          </w:tcPr>
          <w:p w:rsidR="00D112EC" w:rsidRPr="00D112EC" w:rsidP="00A97D57" w14:paraId="269B3F67" w14:textId="679112DA">
            <w:pPr>
              <w:jc w:val="right"/>
              <w:rPr>
                <w:rFonts w:ascii="Times New Roman" w:hAnsi="Times New Roman"/>
                <w:b/>
              </w:rPr>
            </w:pPr>
            <w:r>
              <w:rPr>
                <w:rFonts w:ascii="Times New Roman" w:hAnsi="Times New Roman"/>
              </w:rPr>
              <w:t>1</w:t>
            </w:r>
            <w:r w:rsidR="00017B19">
              <w:rPr>
                <w:rFonts w:ascii="Times New Roman" w:hAnsi="Times New Roman"/>
              </w:rPr>
              <w:t>7</w:t>
            </w:r>
            <w:r w:rsidRPr="00D112EC">
              <w:rPr>
                <w:rFonts w:ascii="Times New Roman" w:hAnsi="Times New Roman"/>
              </w:rPr>
              <w:t>***</w:t>
            </w:r>
          </w:p>
        </w:tc>
        <w:tc>
          <w:tcPr>
            <w:tcW w:w="0" w:type="auto"/>
          </w:tcPr>
          <w:p w:rsidR="00D112EC" w:rsidRPr="00D112EC" w:rsidP="00A97D57" w14:paraId="2CDC24C4" w14:textId="5516F2FC">
            <w:pPr>
              <w:jc w:val="right"/>
              <w:rPr>
                <w:rFonts w:ascii="Times New Roman" w:hAnsi="Times New Roman"/>
                <w:b/>
              </w:rPr>
            </w:pPr>
            <w:r>
              <w:rPr>
                <w:rFonts w:ascii="Times New Roman" w:eastAsia="Calibri" w:hAnsi="Times New Roman"/>
              </w:rPr>
              <w:t>$</w:t>
            </w:r>
            <w:r w:rsidR="00CC15F7">
              <w:rPr>
                <w:rFonts w:ascii="Times New Roman" w:eastAsia="Calibri" w:hAnsi="Times New Roman"/>
              </w:rPr>
              <w:t>3</w:t>
            </w:r>
            <w:r w:rsidR="003655AB">
              <w:rPr>
                <w:rFonts w:ascii="Times New Roman" w:eastAsia="Calibri" w:hAnsi="Times New Roman"/>
              </w:rPr>
              <w:t>6</w:t>
            </w:r>
            <w:r w:rsidR="00CC15F7">
              <w:rPr>
                <w:rFonts w:ascii="Times New Roman" w:eastAsia="Calibri" w:hAnsi="Times New Roman"/>
              </w:rPr>
              <w:t>,</w:t>
            </w:r>
            <w:r w:rsidR="003655AB">
              <w:rPr>
                <w:rFonts w:ascii="Times New Roman" w:eastAsia="Calibri" w:hAnsi="Times New Roman"/>
              </w:rPr>
              <w:t>5</w:t>
            </w:r>
            <w:r w:rsidR="00664071">
              <w:rPr>
                <w:rFonts w:ascii="Times New Roman" w:eastAsia="Calibri" w:hAnsi="Times New Roman"/>
              </w:rPr>
              <w:t>67</w:t>
            </w:r>
            <w:r w:rsidR="00CC15F7">
              <w:rPr>
                <w:rFonts w:ascii="Times New Roman" w:eastAsia="Calibri" w:hAnsi="Times New Roman"/>
              </w:rPr>
              <w:t>,</w:t>
            </w:r>
            <w:r w:rsidR="00664071">
              <w:rPr>
                <w:rFonts w:ascii="Times New Roman" w:eastAsia="Calibri" w:hAnsi="Times New Roman"/>
              </w:rPr>
              <w:t>517</w:t>
            </w:r>
            <w:r w:rsidRPr="00D112EC">
              <w:rPr>
                <w:rFonts w:ascii="Times New Roman" w:eastAsia="Calibri" w:hAnsi="Times New Roman"/>
              </w:rPr>
              <w:t>****</w:t>
            </w:r>
          </w:p>
        </w:tc>
      </w:tr>
      <w:tr w14:paraId="16A9AB62" w14:textId="77777777" w:rsidTr="00017B19">
        <w:tblPrEx>
          <w:tblW w:w="11170" w:type="dxa"/>
          <w:jc w:val="center"/>
          <w:tblLook w:val="04A0"/>
        </w:tblPrEx>
        <w:trPr>
          <w:jc w:val="center"/>
        </w:trPr>
        <w:tc>
          <w:tcPr>
            <w:tcW w:w="1416" w:type="dxa"/>
          </w:tcPr>
          <w:p w:rsidR="00D112EC" w:rsidRPr="00D112EC" w:rsidP="00A97D57" w14:paraId="6D12E8F9" w14:textId="77777777">
            <w:pPr>
              <w:rPr>
                <w:rFonts w:ascii="Times New Roman" w:hAnsi="Times New Roman"/>
              </w:rPr>
            </w:pPr>
            <w:r w:rsidRPr="00D112EC">
              <w:rPr>
                <w:rFonts w:ascii="Times New Roman" w:hAnsi="Times New Roman"/>
              </w:rPr>
              <w:t xml:space="preserve">Electronic Disability Collect </w:t>
            </w:r>
            <w:r w:rsidRPr="00D112EC">
              <w:rPr>
                <w:rFonts w:ascii="Times New Roman" w:hAnsi="Times New Roman"/>
              </w:rPr>
              <w:t>System</w:t>
            </w:r>
          </w:p>
          <w:p w:rsidR="00D112EC" w:rsidRPr="00D112EC" w:rsidP="00A97D57" w14:paraId="571CA9A0" w14:textId="09808F26">
            <w:pPr>
              <w:rPr>
                <w:rFonts w:ascii="Times New Roman" w:hAnsi="Times New Roman"/>
                <w:b/>
              </w:rPr>
            </w:pPr>
            <w:r w:rsidRPr="00D112EC">
              <w:rPr>
                <w:rFonts w:ascii="Times New Roman" w:hAnsi="Times New Roman"/>
              </w:rPr>
              <w:t>(EDCS)</w:t>
            </w:r>
          </w:p>
        </w:tc>
        <w:tc>
          <w:tcPr>
            <w:tcW w:w="0" w:type="auto"/>
          </w:tcPr>
          <w:p w:rsidR="00D112EC" w:rsidRPr="00D112EC" w:rsidP="00A97D57" w14:paraId="01A4549E" w14:textId="4C2589E8">
            <w:pPr>
              <w:jc w:val="right"/>
              <w:rPr>
                <w:rFonts w:ascii="Times New Roman" w:hAnsi="Times New Roman"/>
                <w:b/>
              </w:rPr>
            </w:pPr>
            <w:r>
              <w:rPr>
                <w:rFonts w:ascii="Times New Roman" w:hAnsi="Times New Roman"/>
              </w:rPr>
              <w:t>267,975</w:t>
            </w:r>
          </w:p>
        </w:tc>
        <w:tc>
          <w:tcPr>
            <w:tcW w:w="0" w:type="auto"/>
          </w:tcPr>
          <w:p w:rsidR="00D112EC" w:rsidRPr="00D112EC" w:rsidP="00A97D57" w14:paraId="184EDDAF" w14:textId="3AA9A674">
            <w:pPr>
              <w:jc w:val="right"/>
              <w:rPr>
                <w:rFonts w:ascii="Times New Roman" w:hAnsi="Times New Roman"/>
                <w:b/>
              </w:rPr>
            </w:pPr>
            <w:r w:rsidRPr="00D112EC">
              <w:rPr>
                <w:rFonts w:ascii="Times New Roman" w:hAnsi="Times New Roman"/>
              </w:rPr>
              <w:t>1</w:t>
            </w:r>
          </w:p>
        </w:tc>
        <w:tc>
          <w:tcPr>
            <w:tcW w:w="0" w:type="auto"/>
          </w:tcPr>
          <w:p w:rsidR="00D112EC" w:rsidRPr="00D112EC" w:rsidP="00A97D57" w14:paraId="249B4377" w14:textId="57287720">
            <w:pPr>
              <w:jc w:val="right"/>
              <w:rPr>
                <w:rFonts w:ascii="Times New Roman" w:hAnsi="Times New Roman"/>
                <w:b/>
              </w:rPr>
            </w:pPr>
            <w:r>
              <w:rPr>
                <w:rFonts w:ascii="Times New Roman" w:hAnsi="Times New Roman"/>
              </w:rPr>
              <w:t>600</w:t>
            </w:r>
            <w:r>
              <w:rPr>
                <w:rFonts w:ascii="Times New Roman" w:hAnsi="Times New Roman"/>
              </w:rPr>
              <w:t>*</w:t>
            </w:r>
          </w:p>
        </w:tc>
        <w:tc>
          <w:tcPr>
            <w:tcW w:w="0" w:type="auto"/>
          </w:tcPr>
          <w:p w:rsidR="00D112EC" w:rsidRPr="00D112EC" w:rsidP="00A97D57" w14:paraId="7377F6BE" w14:textId="466EEB67">
            <w:pPr>
              <w:jc w:val="right"/>
              <w:rPr>
                <w:rFonts w:ascii="Times New Roman" w:hAnsi="Times New Roman"/>
                <w:b/>
              </w:rPr>
            </w:pPr>
            <w:r>
              <w:rPr>
                <w:rFonts w:ascii="Times New Roman" w:hAnsi="Times New Roman"/>
              </w:rPr>
              <w:t>2,679,750</w:t>
            </w:r>
          </w:p>
        </w:tc>
        <w:tc>
          <w:tcPr>
            <w:tcW w:w="0" w:type="auto"/>
          </w:tcPr>
          <w:p w:rsidR="00D112EC" w:rsidRPr="00D112EC" w:rsidP="00A97D57" w14:paraId="5C41DCA8" w14:textId="04DEA091">
            <w:pPr>
              <w:jc w:val="right"/>
              <w:rPr>
                <w:rFonts w:ascii="Times New Roman" w:hAnsi="Times New Roman"/>
                <w:b/>
              </w:rPr>
            </w:pPr>
            <w:r w:rsidRPr="00D112EC">
              <w:rPr>
                <w:rFonts w:ascii="Times New Roman" w:eastAsia="Calibri" w:hAnsi="Times New Roman"/>
              </w:rPr>
              <w:t>$</w:t>
            </w:r>
            <w:r w:rsidR="003655AB">
              <w:rPr>
                <w:rFonts w:ascii="Times New Roman" w:hAnsi="Times New Roman"/>
              </w:rPr>
              <w:t>14.27</w:t>
            </w:r>
            <w:r w:rsidRPr="00D112EC">
              <w:rPr>
                <w:rFonts w:ascii="Times New Roman" w:eastAsia="Calibri" w:hAnsi="Times New Roman"/>
              </w:rPr>
              <w:t>**</w:t>
            </w:r>
          </w:p>
        </w:tc>
        <w:tc>
          <w:tcPr>
            <w:tcW w:w="0" w:type="auto"/>
          </w:tcPr>
          <w:p w:rsidR="00D112EC" w:rsidRPr="00D112EC" w:rsidP="00A97D57" w14:paraId="65BB0467" w14:textId="769C1599">
            <w:pPr>
              <w:jc w:val="right"/>
              <w:rPr>
                <w:rFonts w:ascii="Times New Roman" w:hAnsi="Times New Roman"/>
                <w:b/>
              </w:rPr>
            </w:pPr>
            <w:r>
              <w:rPr>
                <w:rFonts w:ascii="Times New Roman" w:eastAsia="Calibri" w:hAnsi="Times New Roman"/>
              </w:rPr>
              <w:t>50</w:t>
            </w:r>
            <w:r w:rsidRPr="00D112EC">
              <w:rPr>
                <w:rFonts w:ascii="Times New Roman" w:eastAsia="Calibri" w:hAnsi="Times New Roman"/>
              </w:rPr>
              <w:t>***</w:t>
            </w:r>
          </w:p>
        </w:tc>
        <w:tc>
          <w:tcPr>
            <w:tcW w:w="0" w:type="auto"/>
          </w:tcPr>
          <w:p w:rsidR="00D112EC" w:rsidP="00017B19" w14:paraId="0E997886" w14:textId="3865D77C">
            <w:pPr>
              <w:jc w:val="right"/>
              <w:rPr>
                <w:rFonts w:ascii="Times New Roman" w:eastAsia="Calibri" w:hAnsi="Times New Roman"/>
              </w:rPr>
            </w:pPr>
            <w:r>
              <w:rPr>
                <w:rFonts w:ascii="Times New Roman" w:eastAsia="Calibri" w:hAnsi="Times New Roman"/>
              </w:rPr>
              <w:t>$</w:t>
            </w:r>
            <w:r w:rsidR="003655AB">
              <w:rPr>
                <w:rFonts w:ascii="Times New Roman" w:eastAsia="Calibri" w:hAnsi="Times New Roman"/>
              </w:rPr>
              <w:t>41,</w:t>
            </w:r>
            <w:r w:rsidR="00664071">
              <w:rPr>
                <w:rFonts w:ascii="Times New Roman" w:eastAsia="Calibri" w:hAnsi="Times New Roman"/>
              </w:rPr>
              <w:t>426</w:t>
            </w:r>
            <w:r w:rsidR="003655AB">
              <w:rPr>
                <w:rFonts w:ascii="Times New Roman" w:eastAsia="Calibri" w:hAnsi="Times New Roman"/>
              </w:rPr>
              <w:t>,</w:t>
            </w:r>
            <w:r w:rsidR="00664071">
              <w:rPr>
                <w:rFonts w:ascii="Times New Roman" w:eastAsia="Calibri" w:hAnsi="Times New Roman"/>
              </w:rPr>
              <w:t>709</w:t>
            </w:r>
            <w:r w:rsidRPr="00C703E3">
              <w:rPr>
                <w:rFonts w:ascii="Times New Roman" w:eastAsia="Calibri" w:hAnsi="Times New Roman"/>
              </w:rPr>
              <w:t>****</w:t>
            </w:r>
          </w:p>
          <w:p w:rsidR="00CC15F7" w:rsidRPr="00380733" w:rsidP="00A97D57" w14:paraId="52A4C86C" w14:textId="5ACF63CB">
            <w:pPr>
              <w:rPr>
                <w:rFonts w:ascii="Times New Roman" w:hAnsi="Times New Roman"/>
              </w:rPr>
            </w:pPr>
          </w:p>
        </w:tc>
      </w:tr>
      <w:tr w14:paraId="7FED5ED2" w14:textId="77777777" w:rsidTr="00017B19">
        <w:tblPrEx>
          <w:tblW w:w="11170" w:type="dxa"/>
          <w:jc w:val="center"/>
          <w:tblLook w:val="04A0"/>
        </w:tblPrEx>
        <w:trPr>
          <w:jc w:val="center"/>
        </w:trPr>
        <w:tc>
          <w:tcPr>
            <w:tcW w:w="1416" w:type="dxa"/>
          </w:tcPr>
          <w:p w:rsidR="00D112EC" w:rsidRPr="00D112EC" w:rsidP="00A97D57" w14:paraId="579E838A" w14:textId="77777777">
            <w:pPr>
              <w:rPr>
                <w:rFonts w:ascii="Times New Roman" w:hAnsi="Times New Roman"/>
              </w:rPr>
            </w:pPr>
            <w:r w:rsidRPr="00D112EC">
              <w:rPr>
                <w:rFonts w:ascii="Times New Roman" w:hAnsi="Times New Roman"/>
              </w:rPr>
              <w:t>i454</w:t>
            </w:r>
          </w:p>
          <w:p w:rsidR="00D112EC" w:rsidRPr="00D112EC" w:rsidP="00A97D57" w14:paraId="06208168" w14:textId="77292DCE">
            <w:pPr>
              <w:rPr>
                <w:rFonts w:ascii="Times New Roman" w:hAnsi="Times New Roman"/>
                <w:b/>
              </w:rPr>
            </w:pPr>
            <w:r w:rsidRPr="00D112EC">
              <w:rPr>
                <w:rFonts w:ascii="Times New Roman" w:hAnsi="Times New Roman"/>
              </w:rPr>
              <w:t>(Internet)</w:t>
            </w:r>
          </w:p>
        </w:tc>
        <w:tc>
          <w:tcPr>
            <w:tcW w:w="0" w:type="auto"/>
          </w:tcPr>
          <w:p w:rsidR="00D112EC" w:rsidRPr="00D112EC" w:rsidP="00A97D57" w14:paraId="28112C1A" w14:textId="110D4F84">
            <w:pPr>
              <w:jc w:val="right"/>
              <w:rPr>
                <w:rFonts w:ascii="Times New Roman" w:hAnsi="Times New Roman"/>
                <w:b/>
              </w:rPr>
            </w:pPr>
            <w:r>
              <w:rPr>
                <w:rFonts w:ascii="Times New Roman" w:hAnsi="Times New Roman"/>
              </w:rPr>
              <w:t>45,763</w:t>
            </w:r>
          </w:p>
        </w:tc>
        <w:tc>
          <w:tcPr>
            <w:tcW w:w="0" w:type="auto"/>
          </w:tcPr>
          <w:p w:rsidR="00D112EC" w:rsidRPr="00D112EC" w:rsidP="00A97D57" w14:paraId="35D5B990" w14:textId="043899BC">
            <w:pPr>
              <w:jc w:val="right"/>
              <w:rPr>
                <w:rFonts w:ascii="Times New Roman" w:hAnsi="Times New Roman"/>
                <w:b/>
              </w:rPr>
            </w:pPr>
            <w:r w:rsidRPr="00D112EC">
              <w:rPr>
                <w:rFonts w:ascii="Times New Roman" w:hAnsi="Times New Roman"/>
              </w:rPr>
              <w:t>1</w:t>
            </w:r>
          </w:p>
        </w:tc>
        <w:tc>
          <w:tcPr>
            <w:tcW w:w="0" w:type="auto"/>
          </w:tcPr>
          <w:p w:rsidR="00D112EC" w:rsidRPr="00D112EC" w:rsidP="00A97D57" w14:paraId="633C942A" w14:textId="46B03A6B">
            <w:pPr>
              <w:jc w:val="right"/>
              <w:rPr>
                <w:rFonts w:ascii="Times New Roman" w:hAnsi="Times New Roman"/>
                <w:b/>
              </w:rPr>
            </w:pPr>
            <w:r>
              <w:rPr>
                <w:rFonts w:ascii="Times New Roman" w:hAnsi="Times New Roman"/>
              </w:rPr>
              <w:t>600</w:t>
            </w:r>
            <w:r w:rsidRPr="00D112EC">
              <w:rPr>
                <w:rFonts w:ascii="Times New Roman" w:hAnsi="Times New Roman"/>
              </w:rPr>
              <w:t>*</w:t>
            </w:r>
          </w:p>
        </w:tc>
        <w:tc>
          <w:tcPr>
            <w:tcW w:w="0" w:type="auto"/>
          </w:tcPr>
          <w:p w:rsidR="00D112EC" w:rsidRPr="00D112EC" w:rsidP="00A97D57" w14:paraId="260CFAB5" w14:textId="71BDEEF0">
            <w:pPr>
              <w:jc w:val="right"/>
              <w:rPr>
                <w:rFonts w:ascii="Times New Roman" w:hAnsi="Times New Roman"/>
                <w:b/>
              </w:rPr>
            </w:pPr>
            <w:r>
              <w:rPr>
                <w:rFonts w:ascii="Times New Roman" w:hAnsi="Times New Roman"/>
              </w:rPr>
              <w:t>457,630</w:t>
            </w:r>
          </w:p>
        </w:tc>
        <w:tc>
          <w:tcPr>
            <w:tcW w:w="0" w:type="auto"/>
          </w:tcPr>
          <w:p w:rsidR="00D112EC" w:rsidRPr="00D112EC" w:rsidP="00A97D57" w14:paraId="5AFAB75C" w14:textId="23301032">
            <w:pPr>
              <w:jc w:val="right"/>
              <w:rPr>
                <w:rFonts w:ascii="Times New Roman" w:hAnsi="Times New Roman"/>
                <w:b/>
              </w:rPr>
            </w:pPr>
            <w:r w:rsidRPr="00D112EC">
              <w:rPr>
                <w:rFonts w:ascii="Times New Roman" w:eastAsia="Calibri" w:hAnsi="Times New Roman"/>
              </w:rPr>
              <w:t>$</w:t>
            </w:r>
            <w:r w:rsidR="003655AB">
              <w:rPr>
                <w:rFonts w:ascii="Times New Roman" w:hAnsi="Times New Roman"/>
              </w:rPr>
              <w:t>14.27</w:t>
            </w:r>
            <w:r w:rsidRPr="00D112EC">
              <w:rPr>
                <w:rFonts w:ascii="Times New Roman" w:eastAsia="Calibri" w:hAnsi="Times New Roman"/>
              </w:rPr>
              <w:t>**</w:t>
            </w:r>
          </w:p>
        </w:tc>
        <w:tc>
          <w:tcPr>
            <w:tcW w:w="0" w:type="auto"/>
          </w:tcPr>
          <w:p w:rsidR="00D112EC" w:rsidRPr="00D112EC" w:rsidP="00A97D57" w14:paraId="5F593ACF" w14:textId="77777777">
            <w:pPr>
              <w:jc w:val="right"/>
              <w:rPr>
                <w:rFonts w:ascii="Times New Roman" w:hAnsi="Times New Roman"/>
                <w:b/>
              </w:rPr>
            </w:pPr>
          </w:p>
        </w:tc>
        <w:tc>
          <w:tcPr>
            <w:tcW w:w="0" w:type="auto"/>
          </w:tcPr>
          <w:p w:rsidR="00D112EC" w:rsidRPr="00D112EC" w:rsidP="00A97D57" w14:paraId="7D31F0BC" w14:textId="21446190">
            <w:pPr>
              <w:jc w:val="right"/>
              <w:rPr>
                <w:rFonts w:ascii="Times New Roman" w:hAnsi="Times New Roman"/>
                <w:b/>
              </w:rPr>
            </w:pPr>
            <w:r>
              <w:rPr>
                <w:rFonts w:ascii="Times New Roman" w:eastAsia="Calibri" w:hAnsi="Times New Roman"/>
              </w:rPr>
              <w:t>$6,530,380</w:t>
            </w:r>
            <w:r w:rsidRPr="00D112EC">
              <w:rPr>
                <w:rFonts w:ascii="Times New Roman" w:eastAsia="Calibri" w:hAnsi="Times New Roman"/>
              </w:rPr>
              <w:t>****</w:t>
            </w:r>
          </w:p>
        </w:tc>
      </w:tr>
      <w:tr w14:paraId="2B328FA5" w14:textId="77777777" w:rsidTr="00017B19">
        <w:tblPrEx>
          <w:tblW w:w="11170" w:type="dxa"/>
          <w:jc w:val="center"/>
          <w:tblLook w:val="04A0"/>
        </w:tblPrEx>
        <w:trPr>
          <w:jc w:val="center"/>
        </w:trPr>
        <w:tc>
          <w:tcPr>
            <w:tcW w:w="1416" w:type="dxa"/>
          </w:tcPr>
          <w:p w:rsidR="00D112EC" w:rsidRPr="00D112EC" w:rsidP="00A97D57" w14:paraId="34A2047C" w14:textId="6959C9DB">
            <w:pPr>
              <w:rPr>
                <w:rFonts w:ascii="Times New Roman" w:hAnsi="Times New Roman"/>
              </w:rPr>
            </w:pPr>
            <w:r w:rsidRPr="00D678F8">
              <w:rPr>
                <w:rFonts w:ascii="Times New Roman" w:hAnsi="Times New Roman"/>
                <w:b/>
              </w:rPr>
              <w:t>Totals</w:t>
            </w:r>
          </w:p>
        </w:tc>
        <w:tc>
          <w:tcPr>
            <w:tcW w:w="0" w:type="auto"/>
          </w:tcPr>
          <w:p w:rsidR="00D112EC" w:rsidRPr="00D112EC" w:rsidP="00A97D57" w14:paraId="4692E62F" w14:textId="3221F36A">
            <w:pPr>
              <w:jc w:val="right"/>
              <w:rPr>
                <w:rFonts w:ascii="Times New Roman" w:hAnsi="Times New Roman"/>
              </w:rPr>
            </w:pPr>
            <w:r>
              <w:rPr>
                <w:rFonts w:ascii="Times New Roman" w:hAnsi="Times New Roman"/>
                <w:b/>
                <w:bCs/>
              </w:rPr>
              <w:t>562,932</w:t>
            </w:r>
          </w:p>
        </w:tc>
        <w:tc>
          <w:tcPr>
            <w:tcW w:w="0" w:type="auto"/>
          </w:tcPr>
          <w:p w:rsidR="00D112EC" w:rsidRPr="00D112EC" w:rsidP="00A97D57" w14:paraId="0C956A73" w14:textId="77777777">
            <w:pPr>
              <w:jc w:val="right"/>
              <w:rPr>
                <w:rFonts w:ascii="Times New Roman" w:hAnsi="Times New Roman"/>
              </w:rPr>
            </w:pPr>
          </w:p>
        </w:tc>
        <w:tc>
          <w:tcPr>
            <w:tcW w:w="0" w:type="auto"/>
          </w:tcPr>
          <w:p w:rsidR="00D112EC" w:rsidRPr="00D112EC" w:rsidP="00A97D57" w14:paraId="5B217B4B" w14:textId="77777777">
            <w:pPr>
              <w:jc w:val="right"/>
              <w:rPr>
                <w:rFonts w:ascii="Times New Roman" w:hAnsi="Times New Roman"/>
              </w:rPr>
            </w:pPr>
          </w:p>
        </w:tc>
        <w:tc>
          <w:tcPr>
            <w:tcW w:w="0" w:type="auto"/>
          </w:tcPr>
          <w:p w:rsidR="00D112EC" w:rsidRPr="00D112EC" w:rsidP="00A97D57" w14:paraId="2E83CAF5" w14:textId="5B83F3C3">
            <w:pPr>
              <w:jc w:val="right"/>
              <w:rPr>
                <w:rFonts w:ascii="Times New Roman" w:hAnsi="Times New Roman"/>
              </w:rPr>
            </w:pPr>
            <w:bookmarkStart w:id="2" w:name="_Hlk196993959"/>
            <w:r>
              <w:rPr>
                <w:rFonts w:ascii="Times New Roman" w:hAnsi="Times New Roman"/>
                <w:b/>
              </w:rPr>
              <w:t>5,629,320</w:t>
            </w:r>
            <w:bookmarkEnd w:id="2"/>
          </w:p>
        </w:tc>
        <w:tc>
          <w:tcPr>
            <w:tcW w:w="0" w:type="auto"/>
          </w:tcPr>
          <w:p w:rsidR="00D112EC" w:rsidRPr="00D112EC" w:rsidP="00A97D57" w14:paraId="110DE343" w14:textId="77777777">
            <w:pPr>
              <w:jc w:val="right"/>
              <w:rPr>
                <w:rFonts w:ascii="Times New Roman" w:eastAsia="Calibri" w:hAnsi="Times New Roman"/>
              </w:rPr>
            </w:pPr>
          </w:p>
        </w:tc>
        <w:tc>
          <w:tcPr>
            <w:tcW w:w="0" w:type="auto"/>
          </w:tcPr>
          <w:p w:rsidR="00D112EC" w:rsidRPr="00D112EC" w:rsidP="00A97D57" w14:paraId="5CD4350A" w14:textId="77777777">
            <w:pPr>
              <w:jc w:val="right"/>
              <w:rPr>
                <w:rFonts w:ascii="Times New Roman" w:hAnsi="Times New Roman"/>
                <w:b/>
              </w:rPr>
            </w:pPr>
          </w:p>
        </w:tc>
        <w:tc>
          <w:tcPr>
            <w:tcW w:w="0" w:type="auto"/>
          </w:tcPr>
          <w:p w:rsidR="00D112EC" w:rsidRPr="00D112EC" w:rsidP="00A97D57" w14:paraId="5403A735" w14:textId="6B5BAEF0">
            <w:pPr>
              <w:jc w:val="right"/>
              <w:rPr>
                <w:rFonts w:ascii="Times New Roman" w:eastAsia="Calibri" w:hAnsi="Times New Roman"/>
              </w:rPr>
            </w:pPr>
            <w:r>
              <w:rPr>
                <w:rFonts w:ascii="Times New Roman" w:hAnsi="Times New Roman"/>
                <w:b/>
              </w:rPr>
              <w:t>$</w:t>
            </w:r>
            <w:r w:rsidR="003655AB">
              <w:rPr>
                <w:rFonts w:ascii="Times New Roman" w:hAnsi="Times New Roman"/>
                <w:b/>
              </w:rPr>
              <w:t>84,</w:t>
            </w:r>
            <w:r w:rsidR="00664071">
              <w:rPr>
                <w:rFonts w:ascii="Times New Roman" w:hAnsi="Times New Roman"/>
                <w:b/>
              </w:rPr>
              <w:t>524</w:t>
            </w:r>
            <w:r w:rsidR="003655AB">
              <w:rPr>
                <w:rFonts w:ascii="Times New Roman" w:hAnsi="Times New Roman"/>
                <w:b/>
              </w:rPr>
              <w:t>,</w:t>
            </w:r>
            <w:r w:rsidR="00664071">
              <w:rPr>
                <w:rFonts w:ascii="Times New Roman" w:hAnsi="Times New Roman"/>
                <w:b/>
              </w:rPr>
              <w:t>606</w:t>
            </w:r>
            <w:r>
              <w:rPr>
                <w:rFonts w:ascii="Times New Roman" w:eastAsia="Calibri" w:hAnsi="Times New Roman"/>
                <w:b/>
              </w:rPr>
              <w:t>****</w:t>
            </w:r>
          </w:p>
        </w:tc>
      </w:tr>
    </w:tbl>
    <w:p w:rsidR="004564A2" w:rsidP="00B33B52" w14:paraId="390CA663" w14:textId="1F23D261">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bookmarkStart w:id="3" w:name="_Hlk109392155"/>
      <w:r w:rsidRPr="001B6D77">
        <w:rPr>
          <w:rFonts w:ascii="Times New Roman" w:hAnsi="Times New Roman"/>
        </w:rPr>
        <w:t xml:space="preserve">* </w:t>
      </w:r>
      <w:r w:rsidRPr="00B67695">
        <w:rPr>
          <w:rFonts w:ascii="Times New Roman" w:hAnsi="Times New Roman"/>
        </w:rPr>
        <w:t xml:space="preserve">The estimated time of </w:t>
      </w:r>
      <w:r w:rsidR="00380733">
        <w:rPr>
          <w:rFonts w:ascii="Times New Roman" w:hAnsi="Times New Roman"/>
        </w:rPr>
        <w:t>600</w:t>
      </w:r>
      <w:r w:rsidRPr="00B67695" w:rsidR="00380733">
        <w:rPr>
          <w:rFonts w:ascii="Times New Roman" w:hAnsi="Times New Roman"/>
        </w:rPr>
        <w:t xml:space="preserve"> </w:t>
      </w:r>
      <w:r w:rsidRPr="00B67695">
        <w:rPr>
          <w:rFonts w:ascii="Times New Roman" w:hAnsi="Times New Roman"/>
        </w:rPr>
        <w:t>minutes to complete Form SSA-454</w:t>
      </w:r>
      <w:r>
        <w:rPr>
          <w:rFonts w:ascii="Times New Roman" w:hAnsi="Times New Roman"/>
        </w:rPr>
        <w:t xml:space="preserve">-BK </w:t>
      </w:r>
      <w:r w:rsidRPr="00B67695">
        <w:rPr>
          <w:rFonts w:ascii="Times New Roman" w:hAnsi="Times New Roman"/>
        </w:rPr>
        <w:t xml:space="preserve">is an average for the respondents, who are </w:t>
      </w:r>
      <w:r>
        <w:rPr>
          <w:rFonts w:ascii="Times New Roman" w:hAnsi="Times New Roman"/>
        </w:rPr>
        <w:t>T</w:t>
      </w:r>
      <w:r w:rsidRPr="00B67695">
        <w:rPr>
          <w:rFonts w:ascii="Times New Roman" w:hAnsi="Times New Roman"/>
        </w:rPr>
        <w:t xml:space="preserve">itle II or </w:t>
      </w:r>
      <w:r>
        <w:rPr>
          <w:rFonts w:ascii="Times New Roman" w:hAnsi="Times New Roman"/>
        </w:rPr>
        <w:t>T</w:t>
      </w:r>
      <w:r w:rsidRPr="00B67695">
        <w:rPr>
          <w:rFonts w:ascii="Times New Roman" w:hAnsi="Times New Roman"/>
        </w:rPr>
        <w:t xml:space="preserve">itle XVI disability recipients or their representatives. </w:t>
      </w:r>
      <w:r w:rsidR="00017B19">
        <w:rPr>
          <w:rFonts w:ascii="Times New Roman" w:hAnsi="Times New Roman"/>
        </w:rPr>
        <w:t xml:space="preserve"> </w:t>
      </w:r>
      <w:r w:rsidRPr="00B67695">
        <w:rPr>
          <w:rFonts w:ascii="Times New Roman" w:hAnsi="Times New Roman"/>
        </w:rPr>
        <w:t>Some of these respondents may take longer to complete the form</w:t>
      </w:r>
      <w:r w:rsidR="00017B19">
        <w:rPr>
          <w:rFonts w:ascii="Times New Roman" w:hAnsi="Times New Roman"/>
        </w:rPr>
        <w:t xml:space="preserve"> or alternate modality</w:t>
      </w:r>
      <w:r w:rsidRPr="00B67695">
        <w:rPr>
          <w:rFonts w:ascii="Times New Roman" w:hAnsi="Times New Roman"/>
        </w:rPr>
        <w:t xml:space="preserve"> and submit the information, while others will complete the form</w:t>
      </w:r>
      <w:r w:rsidR="00017B19">
        <w:rPr>
          <w:rFonts w:ascii="Times New Roman" w:hAnsi="Times New Roman"/>
        </w:rPr>
        <w:t xml:space="preserve"> or alternate modality</w:t>
      </w:r>
      <w:r w:rsidRPr="00B67695">
        <w:rPr>
          <w:rFonts w:ascii="Times New Roman" w:hAnsi="Times New Roman"/>
        </w:rPr>
        <w:t xml:space="preserve"> faster, which is why we use average time estimates to calculate time burdens for these information collections. </w:t>
      </w:r>
      <w:r>
        <w:rPr>
          <w:rFonts w:ascii="Times New Roman" w:hAnsi="Times New Roman"/>
        </w:rPr>
        <w:t xml:space="preserve"> </w:t>
      </w:r>
      <w:r w:rsidRPr="00B67695">
        <w:rPr>
          <w:rFonts w:ascii="Times New Roman" w:hAnsi="Times New Roman"/>
        </w:rPr>
        <w:t xml:space="preserve">These estimates were originally developed and are still based on, our </w:t>
      </w:r>
      <w:r>
        <w:rPr>
          <w:rFonts w:ascii="Times New Roman" w:hAnsi="Times New Roman"/>
        </w:rPr>
        <w:t xml:space="preserve">current </w:t>
      </w:r>
      <w:r w:rsidRPr="00B67695">
        <w:rPr>
          <w:rFonts w:ascii="Times New Roman" w:hAnsi="Times New Roman"/>
        </w:rPr>
        <w:t>management information data</w:t>
      </w:r>
      <w:bookmarkEnd w:id="3"/>
      <w:r w:rsidR="00017B19">
        <w:rPr>
          <w:rFonts w:ascii="Times New Roman" w:hAnsi="Times New Roman"/>
        </w:rPr>
        <w:t>, and feedback from the public</w:t>
      </w:r>
      <w:r w:rsidRPr="00B67695">
        <w:rPr>
          <w:rFonts w:ascii="Times New Roman" w:hAnsi="Times New Roman"/>
        </w:rPr>
        <w:t>.</w:t>
      </w:r>
    </w:p>
    <w:p w:rsidR="004564A2" w:rsidP="004564A2" w14:paraId="355806A5" w14:textId="7777777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rPr>
      </w:pPr>
    </w:p>
    <w:p w:rsidR="004564A2" w:rsidRPr="00C703E3" w:rsidP="00B33B52" w14:paraId="0D03CA40" w14:textId="6FE023A8">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Pr>
          <w:rFonts w:ascii="Times New Roman" w:hAnsi="Times New Roman"/>
        </w:rPr>
        <w:t>*</w:t>
      </w:r>
      <w:r w:rsidR="00C703E3">
        <w:rPr>
          <w:rFonts w:ascii="Times New Roman" w:hAnsi="Times New Roman"/>
        </w:rPr>
        <w:t xml:space="preserve">* </w:t>
      </w:r>
      <w:r w:rsidRPr="00C703E3" w:rsidR="00C703E3">
        <w:rPr>
          <w:rFonts w:ascii="Times New Roman" w:eastAsia="Calibri" w:hAnsi="Times New Roman"/>
        </w:rPr>
        <w:t xml:space="preserve">We based </w:t>
      </w:r>
      <w:r w:rsidRPr="00C703E3" w:rsidR="00C703E3">
        <w:rPr>
          <w:rFonts w:ascii="Times New Roman" w:hAnsi="Times New Roman"/>
        </w:rPr>
        <w:t xml:space="preserve">this figure on </w:t>
      </w:r>
      <w:r w:rsidRPr="00C703E3" w:rsidR="00C703E3">
        <w:rPr>
          <w:rFonts w:ascii="Times New Roman" w:eastAsia="Calibri" w:hAnsi="Times New Roman"/>
        </w:rPr>
        <w:t>the average DI payments based on SSA's current FY 202</w:t>
      </w:r>
      <w:r w:rsidR="00B33B52">
        <w:rPr>
          <w:rFonts w:ascii="Times New Roman" w:eastAsia="Calibri" w:hAnsi="Times New Roman"/>
        </w:rPr>
        <w:t>6</w:t>
      </w:r>
      <w:r w:rsidRPr="00C703E3" w:rsidR="00C703E3">
        <w:rPr>
          <w:rFonts w:ascii="Times New Roman" w:eastAsia="Calibri" w:hAnsi="Times New Roman"/>
        </w:rPr>
        <w:t xml:space="preserve"> data (</w:t>
      </w:r>
      <w:hyperlink r:id="rId9" w:history="1">
        <w:r w:rsidRPr="00AC49ED" w:rsidR="00B33B52">
          <w:rPr>
            <w:rStyle w:val="Hyperlink"/>
            <w:rFonts w:ascii="Times New Roman" w:hAnsi="Times New Roman"/>
          </w:rPr>
          <w:t>Effect of COLA on Average Social Security Benefits</w:t>
        </w:r>
      </w:hyperlink>
      <w:r w:rsidRPr="00C703E3" w:rsidR="00C703E3">
        <w:rPr>
          <w:rFonts w:ascii="Times New Roman" w:hAnsi="Times New Roman"/>
          <w:color w:val="0000FF"/>
          <w:u w:val="single"/>
        </w:rPr>
        <w:t>)</w:t>
      </w:r>
      <w:r w:rsidRPr="00C703E3">
        <w:rPr>
          <w:rFonts w:ascii="Times New Roman" w:hAnsi="Times New Roman"/>
        </w:rPr>
        <w:t>.</w:t>
      </w:r>
    </w:p>
    <w:p w:rsidR="004564A2" w:rsidRPr="00C703E3" w:rsidP="004564A2" w14:paraId="6572B8B6" w14:textId="7777777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rPr>
      </w:pPr>
    </w:p>
    <w:p w:rsidR="004564A2" w:rsidRPr="004564A2" w:rsidP="003655AB" w14:paraId="7D25188C" w14:textId="7BC55C2D">
      <w:pPr>
        <w:ind w:left="720"/>
        <w:rPr>
          <w:rFonts w:ascii="Times New Roman" w:hAnsi="Times New Roman"/>
        </w:rPr>
      </w:pPr>
      <w:r w:rsidRPr="004564A2">
        <w:rPr>
          <w:rFonts w:ascii="Times New Roman" w:hAnsi="Times New Roman"/>
        </w:rPr>
        <w:t xml:space="preserve">*** </w:t>
      </w:r>
      <w:r w:rsidRPr="003655AB" w:rsidR="003655AB">
        <w:rPr>
          <w:rFonts w:ascii="Times New Roman" w:hAnsi="Times New Roman"/>
        </w:rPr>
        <w:t>We based this figure on the average combined FY 2026 wait times for field offices (16 minutes) and for teleservice centers (47 minutes which includes the average</w:t>
      </w:r>
      <w:r w:rsidR="003655AB">
        <w:rPr>
          <w:rFonts w:ascii="Times New Roman" w:hAnsi="Times New Roman"/>
        </w:rPr>
        <w:t xml:space="preserve"> </w:t>
      </w:r>
      <w:r w:rsidRPr="003655AB" w:rsidR="003655AB">
        <w:rPr>
          <w:rFonts w:ascii="Times New Roman" w:hAnsi="Times New Roman"/>
        </w:rPr>
        <w:t xml:space="preserve">speed of answer of 6 minutes as well as the average </w:t>
      </w:r>
      <w:r w:rsidRPr="003655AB" w:rsidR="003655AB">
        <w:rPr>
          <w:rFonts w:ascii="Times New Roman" w:hAnsi="Times New Roman"/>
        </w:rPr>
        <w:t>41 minute</w:t>
      </w:r>
      <w:r w:rsidRPr="003655AB" w:rsidR="003655AB">
        <w:rPr>
          <w:rFonts w:ascii="Times New Roman" w:hAnsi="Times New Roman"/>
        </w:rPr>
        <w:t xml:space="preserve"> wait time for a call back from an SSA technician), based on SSA’s current management information</w:t>
      </w:r>
      <w:r w:rsidR="003655AB">
        <w:rPr>
          <w:rFonts w:ascii="Times New Roman" w:hAnsi="Times New Roman"/>
        </w:rPr>
        <w:t xml:space="preserve"> </w:t>
      </w:r>
      <w:r w:rsidRPr="003655AB" w:rsidR="003655AB">
        <w:rPr>
          <w:rFonts w:ascii="Times New Roman" w:hAnsi="Times New Roman"/>
        </w:rPr>
        <w:t xml:space="preserve">data. </w:t>
      </w:r>
      <w:r w:rsidR="00017B19">
        <w:rPr>
          <w:rFonts w:ascii="Times New Roman" w:hAnsi="Times New Roman"/>
        </w:rPr>
        <w:t xml:space="preserve"> </w:t>
      </w:r>
      <w:r w:rsidRPr="003655AB" w:rsidR="003655AB">
        <w:rPr>
          <w:rFonts w:ascii="Times New Roman" w:hAnsi="Times New Roman"/>
        </w:rPr>
        <w:t xml:space="preserve">This figure reflects both data from our systems and the data posted on our public facing website (800 number performance </w:t>
      </w:r>
      <w:r w:rsidRPr="003655AB" w:rsidR="003655AB">
        <w:rPr>
          <w:rFonts w:ascii="Times New Roman" w:hAnsi="Times New Roman" w:hint="eastAsia"/>
        </w:rPr>
        <w:t xml:space="preserve">| </w:t>
      </w:r>
      <w:r w:rsidRPr="003655AB" w:rsidR="003655AB">
        <w:rPr>
          <w:rFonts w:ascii="Times New Roman" w:hAnsi="Times New Roman"/>
        </w:rPr>
        <w:t>SSA) on the date we drafted</w:t>
      </w:r>
      <w:r w:rsidR="003655AB">
        <w:rPr>
          <w:rFonts w:ascii="Times New Roman" w:hAnsi="Times New Roman"/>
        </w:rPr>
        <w:t xml:space="preserve"> </w:t>
      </w:r>
      <w:r w:rsidRPr="003655AB" w:rsidR="003655AB">
        <w:rPr>
          <w:rFonts w:ascii="Times New Roman" w:hAnsi="Times New Roman"/>
        </w:rPr>
        <w:t>this notice.</w:t>
      </w:r>
      <w:r w:rsidR="00017B19">
        <w:rPr>
          <w:rFonts w:ascii="Times New Roman" w:hAnsi="Times New Roman"/>
        </w:rPr>
        <w:t xml:space="preserve"> </w:t>
      </w:r>
      <w:r w:rsidRPr="003655AB" w:rsidR="003655AB">
        <w:rPr>
          <w:rFonts w:ascii="Times New Roman" w:hAnsi="Times New Roman"/>
        </w:rPr>
        <w:t xml:space="preserve"> As the figures fluctuate daily, the wait times may be different on the publication date of </w:t>
      </w:r>
      <w:r w:rsidR="00017B19">
        <w:rPr>
          <w:rFonts w:ascii="Times New Roman" w:hAnsi="Times New Roman"/>
        </w:rPr>
        <w:t>the federal register</w:t>
      </w:r>
      <w:r w:rsidRPr="003655AB" w:rsidR="003655AB">
        <w:rPr>
          <w:rFonts w:ascii="Times New Roman" w:hAnsi="Times New Roman"/>
        </w:rPr>
        <w:t xml:space="preserve"> notice.</w:t>
      </w:r>
    </w:p>
    <w:p w:rsidR="004564A2" w:rsidRPr="001B6D77" w:rsidP="004564A2" w14:paraId="132BAB6C" w14:textId="77777777">
      <w:pPr>
        <w:pStyle w:val="ListParagraph"/>
        <w:ind w:left="1080"/>
        <w:rPr>
          <w:rFonts w:ascii="Times New Roman" w:hAnsi="Times New Roman"/>
        </w:rPr>
      </w:pPr>
    </w:p>
    <w:p w:rsidR="004564A2" w:rsidRPr="004564A2" w:rsidP="00B33B52" w14:paraId="0D5C0BC1" w14:textId="77777777">
      <w:pPr>
        <w:ind w:left="720"/>
        <w:rPr>
          <w:rFonts w:ascii="Times New Roman" w:hAnsi="Times New Roman"/>
          <w:bCs/>
        </w:rPr>
      </w:pPr>
      <w:r w:rsidRPr="004564A2">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564A2">
        <w:rPr>
          <w:rFonts w:ascii="Times New Roman" w:hAnsi="Times New Roman"/>
          <w:b/>
          <w:u w:val="single"/>
        </w:rPr>
        <w:t>There is no actual charge to respondents to complete the application</w:t>
      </w:r>
      <w:r w:rsidRPr="004564A2">
        <w:rPr>
          <w:rFonts w:ascii="Times New Roman" w:hAnsi="Times New Roman"/>
          <w:bCs/>
        </w:rPr>
        <w:t>.</w:t>
      </w:r>
    </w:p>
    <w:p w:rsidR="004564A2" w:rsidP="004564A2" w14:paraId="1F3BA376" w14:textId="77777777">
      <w:pPr>
        <w:pStyle w:val="ListParagraph"/>
        <w:ind w:left="1080"/>
        <w:rPr>
          <w:rFonts w:ascii="Times New Roman" w:hAnsi="Times New Roman"/>
          <w:bCs/>
        </w:rPr>
      </w:pPr>
    </w:p>
    <w:p w:rsidR="00C0096B" w:rsidP="00B33B52" w14:paraId="782C7BFF" w14:textId="20CCE41A">
      <w:pPr>
        <w:ind w:left="72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6C2A8B" w:rsidR="00EC3231">
        <w:rPr>
          <w:rFonts w:ascii="Times New Roman" w:hAnsi="Times New Roman"/>
        </w:rPr>
        <w:t>13.97-mile</w:t>
      </w:r>
      <w:r w:rsidRPr="006C2A8B">
        <w:rPr>
          <w:rFonts w:ascii="Times New Roman" w:hAnsi="Times New Roman"/>
        </w:rPr>
        <w:t xml:space="preserve"> driving distance for one-way travel.  We depict this on the chart below:</w:t>
      </w:r>
    </w:p>
    <w:p w:rsidR="00E6420B" w:rsidP="004238CA" w14:paraId="2AD57748" w14:textId="77777777">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428"/>
        <w:gridCol w:w="1483"/>
        <w:gridCol w:w="1521"/>
        <w:gridCol w:w="1960"/>
      </w:tblGrid>
      <w:tr w14:paraId="1F811570" w14:textId="77777777" w:rsidTr="00B33B52">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10" w:type="dxa"/>
            <w:shd w:val="clear" w:color="auto" w:fill="auto"/>
          </w:tcPr>
          <w:p w:rsidR="00E6420B" w:rsidRPr="0016591F" w:rsidP="0016591F" w14:paraId="5A4DD1CE" w14:textId="77777777">
            <w:pPr>
              <w:rPr>
                <w:rFonts w:ascii="Times New Roman" w:hAnsi="Times New Roman"/>
                <w:b/>
              </w:rPr>
            </w:pPr>
            <w:r w:rsidRPr="0016591F">
              <w:rPr>
                <w:rFonts w:ascii="Times New Roman" w:hAnsi="Times New Roman"/>
                <w:b/>
              </w:rPr>
              <w:t>Total Number of Respondents Who Visit a Field Office</w:t>
            </w:r>
          </w:p>
        </w:tc>
        <w:tc>
          <w:tcPr>
            <w:tcW w:w="1456" w:type="dxa"/>
            <w:shd w:val="clear" w:color="auto" w:fill="auto"/>
          </w:tcPr>
          <w:p w:rsidR="00E6420B" w:rsidRPr="0016591F" w:rsidP="0016591F" w14:paraId="7676C511" w14:textId="77777777">
            <w:pPr>
              <w:rPr>
                <w:rFonts w:ascii="Times New Roman" w:hAnsi="Times New Roman"/>
                <w:b/>
              </w:rPr>
            </w:pPr>
            <w:r w:rsidRPr="0016591F">
              <w:rPr>
                <w:rFonts w:ascii="Times New Roman" w:hAnsi="Times New Roman"/>
                <w:b/>
              </w:rPr>
              <w:t>Frequency of Response</w:t>
            </w:r>
          </w:p>
        </w:tc>
        <w:tc>
          <w:tcPr>
            <w:tcW w:w="1551" w:type="dxa"/>
            <w:shd w:val="clear" w:color="auto" w:fill="auto"/>
          </w:tcPr>
          <w:p w:rsidR="00E6420B" w:rsidRPr="0016591F" w:rsidP="0016591F" w14:paraId="45731955" w14:textId="77777777">
            <w:pPr>
              <w:rPr>
                <w:rFonts w:ascii="Times New Roman" w:hAnsi="Times New Roman"/>
                <w:b/>
              </w:rPr>
            </w:pPr>
            <w:r w:rsidRPr="0016591F">
              <w:rPr>
                <w:rFonts w:ascii="Times New Roman" w:hAnsi="Times New Roman"/>
                <w:b/>
              </w:rPr>
              <w:t>Average One-Way Travel Time to a Field Office (minutes)</w:t>
            </w:r>
          </w:p>
        </w:tc>
        <w:tc>
          <w:tcPr>
            <w:tcW w:w="1582" w:type="dxa"/>
            <w:shd w:val="clear" w:color="auto" w:fill="auto"/>
          </w:tcPr>
          <w:p w:rsidR="00E6420B" w:rsidRPr="0016591F" w:rsidP="0016591F" w14:paraId="6B9FAAF7" w14:textId="77777777">
            <w:pPr>
              <w:rPr>
                <w:rFonts w:ascii="Times New Roman" w:hAnsi="Times New Roman"/>
                <w:b/>
              </w:rPr>
            </w:pPr>
            <w:r w:rsidRPr="0016591F">
              <w:rPr>
                <w:rFonts w:ascii="Times New Roman" w:hAnsi="Times New Roman"/>
                <w:b/>
              </w:rPr>
              <w:t>Estimated Total Travel Time to a Field Office (hours)</w:t>
            </w:r>
          </w:p>
        </w:tc>
        <w:tc>
          <w:tcPr>
            <w:tcW w:w="2016" w:type="dxa"/>
            <w:shd w:val="clear" w:color="auto" w:fill="auto"/>
          </w:tcPr>
          <w:p w:rsidR="00E6420B" w:rsidRPr="0016591F" w:rsidP="0016591F" w14:paraId="676EC4CF" w14:textId="373C7AF0">
            <w:pPr>
              <w:rPr>
                <w:rFonts w:ascii="Times New Roman" w:hAnsi="Times New Roman"/>
                <w:b/>
              </w:rPr>
            </w:pPr>
            <w:r w:rsidRPr="0016591F">
              <w:rPr>
                <w:rFonts w:ascii="Times New Roman" w:hAnsi="Times New Roman"/>
                <w:b/>
              </w:rPr>
              <w:t>Total Annual Opportunity Cost for Travel Time (dollars)****</w:t>
            </w:r>
            <w:r w:rsidR="00141B2D">
              <w:rPr>
                <w:rFonts w:ascii="Times New Roman" w:hAnsi="Times New Roman"/>
                <w:b/>
              </w:rPr>
              <w:t>*</w:t>
            </w:r>
          </w:p>
        </w:tc>
      </w:tr>
      <w:tr w14:paraId="5DB00950" w14:textId="77777777" w:rsidTr="00B33B52">
        <w:tblPrEx>
          <w:tblW w:w="0" w:type="auto"/>
          <w:tblInd w:w="715" w:type="dxa"/>
          <w:tblLook w:val="04A0"/>
        </w:tblPrEx>
        <w:trPr>
          <w:trHeight w:val="341"/>
        </w:trPr>
        <w:tc>
          <w:tcPr>
            <w:tcW w:w="1310" w:type="dxa"/>
            <w:shd w:val="clear" w:color="auto" w:fill="auto"/>
          </w:tcPr>
          <w:p w:rsidR="00E6420B" w:rsidRPr="0016591F" w:rsidP="0016591F" w14:paraId="3620342B" w14:textId="30021B39">
            <w:pPr>
              <w:jc w:val="right"/>
              <w:rPr>
                <w:rFonts w:ascii="Times New Roman" w:hAnsi="Times New Roman"/>
              </w:rPr>
            </w:pPr>
            <w:r>
              <w:rPr>
                <w:rFonts w:ascii="Times New Roman" w:hAnsi="Times New Roman"/>
              </w:rPr>
              <w:t>134,977</w:t>
            </w:r>
          </w:p>
        </w:tc>
        <w:tc>
          <w:tcPr>
            <w:tcW w:w="1456" w:type="dxa"/>
            <w:shd w:val="clear" w:color="auto" w:fill="auto"/>
          </w:tcPr>
          <w:p w:rsidR="00E6420B" w:rsidRPr="0016591F" w:rsidP="0016591F" w14:paraId="0C7E1E3B" w14:textId="77AB5446">
            <w:pPr>
              <w:jc w:val="right"/>
              <w:rPr>
                <w:rFonts w:ascii="Times New Roman" w:hAnsi="Times New Roman"/>
              </w:rPr>
            </w:pPr>
            <w:r>
              <w:rPr>
                <w:rFonts w:ascii="Times New Roman" w:hAnsi="Times New Roman"/>
              </w:rPr>
              <w:t>1</w:t>
            </w:r>
          </w:p>
        </w:tc>
        <w:tc>
          <w:tcPr>
            <w:tcW w:w="1551" w:type="dxa"/>
            <w:shd w:val="clear" w:color="auto" w:fill="auto"/>
          </w:tcPr>
          <w:p w:rsidR="00E6420B" w:rsidRPr="0016591F" w:rsidP="0016591F" w14:paraId="5D5A7148" w14:textId="77777777">
            <w:pPr>
              <w:jc w:val="right"/>
              <w:rPr>
                <w:rFonts w:ascii="Times New Roman" w:hAnsi="Times New Roman"/>
              </w:rPr>
            </w:pPr>
            <w:r w:rsidRPr="0016591F">
              <w:rPr>
                <w:rFonts w:ascii="Times New Roman" w:hAnsi="Times New Roman"/>
              </w:rPr>
              <w:t>30</w:t>
            </w:r>
          </w:p>
        </w:tc>
        <w:tc>
          <w:tcPr>
            <w:tcW w:w="1582" w:type="dxa"/>
            <w:shd w:val="clear" w:color="auto" w:fill="auto"/>
          </w:tcPr>
          <w:p w:rsidR="00E6420B" w:rsidRPr="0016591F" w:rsidP="0016591F" w14:paraId="71B8CBAB" w14:textId="5BDB1B6B">
            <w:pPr>
              <w:jc w:val="right"/>
              <w:rPr>
                <w:rFonts w:ascii="Times New Roman" w:hAnsi="Times New Roman"/>
              </w:rPr>
            </w:pPr>
            <w:r>
              <w:rPr>
                <w:rFonts w:ascii="Times New Roman" w:hAnsi="Times New Roman"/>
              </w:rPr>
              <w:t>67,489</w:t>
            </w:r>
          </w:p>
        </w:tc>
        <w:tc>
          <w:tcPr>
            <w:tcW w:w="2016" w:type="dxa"/>
            <w:shd w:val="clear" w:color="auto" w:fill="auto"/>
          </w:tcPr>
          <w:p w:rsidR="00E6420B" w:rsidRPr="0016591F" w:rsidP="0016591F" w14:paraId="596A4A44" w14:textId="265A94EF">
            <w:pPr>
              <w:jc w:val="right"/>
              <w:rPr>
                <w:rFonts w:ascii="Times New Roman" w:hAnsi="Times New Roman"/>
              </w:rPr>
            </w:pPr>
            <w:r w:rsidRPr="0016591F">
              <w:rPr>
                <w:rFonts w:ascii="Times New Roman" w:hAnsi="Times New Roman"/>
              </w:rPr>
              <w:t>$</w:t>
            </w:r>
            <w:r w:rsidR="00664071">
              <w:rPr>
                <w:rFonts w:ascii="Times New Roman" w:hAnsi="Times New Roman"/>
              </w:rPr>
              <w:t>963,068</w:t>
            </w:r>
            <w:r w:rsidRPr="0016591F">
              <w:rPr>
                <w:rFonts w:ascii="Times New Roman" w:hAnsi="Times New Roman"/>
              </w:rPr>
              <w:t>****</w:t>
            </w:r>
            <w:r w:rsidR="00141B2D">
              <w:rPr>
                <w:rFonts w:ascii="Times New Roman" w:hAnsi="Times New Roman"/>
              </w:rPr>
              <w:t>*</w:t>
            </w:r>
          </w:p>
        </w:tc>
      </w:tr>
    </w:tbl>
    <w:p w:rsidR="00E6420B" w:rsidP="004238CA" w14:paraId="45623082" w14:textId="27BA758D">
      <w:pPr>
        <w:ind w:left="720"/>
        <w:rPr>
          <w:rFonts w:ascii="Times New Roman" w:hAnsi="Times New Roman"/>
        </w:rPr>
      </w:pPr>
      <w:r>
        <w:rPr>
          <w:rFonts w:ascii="Times New Roman" w:hAnsi="Times New Roman"/>
        </w:rPr>
        <w:t>*</w:t>
      </w:r>
      <w:r>
        <w:rPr>
          <w:rFonts w:ascii="Times New Roman" w:hAnsi="Times New Roman"/>
        </w:rPr>
        <w:t>****We based this dollar amount on the Average Theoretical Hourly Cost Amount in dollars shown on the burden chart above.</w:t>
      </w:r>
    </w:p>
    <w:p w:rsidR="00E6420B" w:rsidP="004238CA" w14:paraId="62EBBB06" w14:textId="77777777">
      <w:pPr>
        <w:ind w:left="720"/>
        <w:rPr>
          <w:rFonts w:ascii="Times New Roman" w:hAnsi="Times New Roman"/>
        </w:rPr>
      </w:pPr>
    </w:p>
    <w:p w:rsidR="00E6420B" w:rsidP="004238CA" w14:paraId="0872C02E" w14:textId="77777777">
      <w:pPr>
        <w:ind w:left="72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E6420B" w:rsidP="004238CA" w14:paraId="354366E0" w14:textId="77777777">
      <w:pPr>
        <w:ind w:left="720"/>
        <w:rPr>
          <w:rFonts w:ascii="Times New Roman" w:hAnsi="Times New Roman"/>
        </w:rPr>
      </w:pPr>
    </w:p>
    <w:p w:rsidR="00E6420B" w:rsidP="004238CA" w14:paraId="75CE61C2" w14:textId="77777777">
      <w:pPr>
        <w:ind w:left="720"/>
        <w:rPr>
          <w:rFonts w:ascii="Times New Roman" w:hAnsi="Times New Roman"/>
        </w:rPr>
      </w:pPr>
      <w:r w:rsidRPr="00662DA6">
        <w:rPr>
          <w:rFonts w:ascii="Times New Roman" w:hAnsi="Times New Roman"/>
          <w:b/>
          <w:bCs/>
        </w:rPr>
        <w:t>NOTE:</w:t>
      </w:r>
      <w:r>
        <w:rPr>
          <w:rFonts w:ascii="Times New Roman" w:hAnsi="Times New Roman"/>
        </w:rPr>
        <w:t xml:space="preserve">  We included the total opportunity cost estimate from this chart in our calculations when showing the total time and opportunity cost estimates in the paragraph below.</w:t>
      </w:r>
    </w:p>
    <w:p w:rsidR="00D11D0F" w:rsidRPr="00B33B52" w:rsidP="00B33B52" w14:paraId="344BFB93" w14:textId="77777777">
      <w:pPr>
        <w:rPr>
          <w:rFonts w:ascii="Times New Roman" w:hAnsi="Times New Roman"/>
        </w:rPr>
      </w:pPr>
    </w:p>
    <w:p w:rsidR="00BC6AE3" w:rsidRPr="002B4668" w:rsidP="00BC6AE3" w14:paraId="1926F068" w14:textId="77777777">
      <w:pPr>
        <w:ind w:left="720"/>
        <w:rPr>
          <w:rFonts w:ascii="Times New Roman" w:hAnsi="Times New Roman"/>
          <w:b/>
          <w:bCs/>
        </w:rPr>
      </w:pPr>
      <w:r w:rsidRPr="002B4668">
        <w:rPr>
          <w:rFonts w:ascii="Times New Roman" w:hAnsi="Times New Roman"/>
          <w:b/>
          <w:bCs/>
        </w:rPr>
        <w:t>Learning Cost</w:t>
      </w:r>
    </w:p>
    <w:p w:rsidR="00BC6AE3" w:rsidP="00BC6AE3" w14:paraId="5A423405" w14:textId="144E412C">
      <w:pPr>
        <w:ind w:left="72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BC6AE3" w:rsidP="00BC6AE3" w14:paraId="38D28872" w14:textId="77777777"/>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361"/>
        <w:gridCol w:w="1532"/>
        <w:gridCol w:w="1609"/>
        <w:gridCol w:w="1609"/>
      </w:tblGrid>
      <w:tr w14:paraId="25BA3419" w14:textId="77777777">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BC6AE3" w:rsidRPr="0016591F" w14:paraId="7FC95514"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shd w:val="clear" w:color="auto" w:fill="auto"/>
          </w:tcPr>
          <w:p w:rsidR="00BC6AE3" w:rsidRPr="0016591F" w14:paraId="69D1CE09"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shd w:val="clear" w:color="auto" w:fill="auto"/>
          </w:tcPr>
          <w:p w:rsidR="00BC6AE3" w:rsidRPr="0016591F" w14:paraId="30DA0D28" w14:textId="77777777">
            <w:pPr>
              <w:rPr>
                <w:rFonts w:ascii="Times New Roman" w:hAnsi="Times New Roman"/>
                <w:b/>
              </w:rPr>
            </w:pPr>
            <w:r>
              <w:rPr>
                <w:rFonts w:ascii="Times New Roman" w:hAnsi="Times New Roman"/>
                <w:b/>
              </w:rPr>
              <w:t>Estimate Learning Cost (minutes)</w:t>
            </w:r>
          </w:p>
        </w:tc>
        <w:tc>
          <w:tcPr>
            <w:tcW w:w="1609" w:type="dxa"/>
          </w:tcPr>
          <w:p w:rsidR="00BC6AE3" w14:paraId="383781DC"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shd w:val="clear" w:color="auto" w:fill="auto"/>
          </w:tcPr>
          <w:p w:rsidR="00BC6AE3" w:rsidRPr="0016591F" w14:paraId="447DB5F4"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038E8906" w14:textId="77777777">
        <w:tblPrEx>
          <w:tblW w:w="7663" w:type="dxa"/>
          <w:tblInd w:w="788" w:type="dxa"/>
          <w:tblLook w:val="04A0"/>
        </w:tblPrEx>
        <w:trPr>
          <w:trHeight w:val="306"/>
        </w:trPr>
        <w:tc>
          <w:tcPr>
            <w:tcW w:w="1552" w:type="dxa"/>
            <w:shd w:val="clear" w:color="auto" w:fill="auto"/>
          </w:tcPr>
          <w:p w:rsidR="00BC6AE3" w:rsidRPr="0016591F" w:rsidP="00664071" w14:paraId="736D707B" w14:textId="30BBCB0C">
            <w:pPr>
              <w:jc w:val="right"/>
              <w:rPr>
                <w:rFonts w:ascii="Times New Roman" w:hAnsi="Times New Roman"/>
              </w:rPr>
            </w:pPr>
            <w:r>
              <w:rPr>
                <w:rFonts w:ascii="Times New Roman" w:hAnsi="Times New Roman"/>
              </w:rPr>
              <w:t>562,932</w:t>
            </w:r>
          </w:p>
        </w:tc>
        <w:tc>
          <w:tcPr>
            <w:tcW w:w="1361" w:type="dxa"/>
            <w:shd w:val="clear" w:color="auto" w:fill="auto"/>
          </w:tcPr>
          <w:p w:rsidR="00BC6AE3" w:rsidRPr="0016591F" w14:paraId="488110E0" w14:textId="77777777">
            <w:pPr>
              <w:jc w:val="right"/>
              <w:rPr>
                <w:rFonts w:ascii="Times New Roman" w:hAnsi="Times New Roman"/>
              </w:rPr>
            </w:pPr>
            <w:r>
              <w:rPr>
                <w:rFonts w:ascii="Times New Roman" w:hAnsi="Times New Roman"/>
              </w:rPr>
              <w:t>1</w:t>
            </w:r>
          </w:p>
        </w:tc>
        <w:tc>
          <w:tcPr>
            <w:tcW w:w="1532" w:type="dxa"/>
            <w:shd w:val="clear" w:color="auto" w:fill="auto"/>
          </w:tcPr>
          <w:p w:rsidR="00BC6AE3" w:rsidRPr="0016591F" w14:paraId="1A713453" w14:textId="4A0C8AF6">
            <w:pPr>
              <w:jc w:val="right"/>
              <w:rPr>
                <w:rFonts w:ascii="Times New Roman" w:hAnsi="Times New Roman"/>
              </w:rPr>
            </w:pPr>
            <w:r>
              <w:rPr>
                <w:rFonts w:ascii="Times New Roman" w:hAnsi="Times New Roman"/>
              </w:rPr>
              <w:t>5</w:t>
            </w:r>
          </w:p>
        </w:tc>
        <w:tc>
          <w:tcPr>
            <w:tcW w:w="1609" w:type="dxa"/>
          </w:tcPr>
          <w:p w:rsidR="00BC6AE3" w14:paraId="03F10A8E" w14:textId="2F695B29">
            <w:pPr>
              <w:jc w:val="right"/>
              <w:rPr>
                <w:rFonts w:ascii="Times New Roman" w:hAnsi="Times New Roman"/>
              </w:rPr>
            </w:pPr>
            <w:r>
              <w:rPr>
                <w:rFonts w:ascii="Times New Roman" w:hAnsi="Times New Roman"/>
              </w:rPr>
              <w:t>46,911</w:t>
            </w:r>
          </w:p>
        </w:tc>
        <w:tc>
          <w:tcPr>
            <w:tcW w:w="1609" w:type="dxa"/>
            <w:shd w:val="clear" w:color="auto" w:fill="auto"/>
          </w:tcPr>
          <w:p w:rsidR="00BC6AE3" w:rsidRPr="0016591F" w14:paraId="512E981E" w14:textId="41812BD1">
            <w:pPr>
              <w:jc w:val="right"/>
              <w:rPr>
                <w:rFonts w:ascii="Times New Roman" w:hAnsi="Times New Roman"/>
              </w:rPr>
            </w:pPr>
            <w:r w:rsidRPr="0016591F">
              <w:rPr>
                <w:rFonts w:ascii="Times New Roman" w:hAnsi="Times New Roman"/>
              </w:rPr>
              <w:t>$</w:t>
            </w:r>
            <w:r w:rsidR="00664071">
              <w:rPr>
                <w:rFonts w:ascii="Times New Roman" w:hAnsi="Times New Roman"/>
              </w:rPr>
              <w:t>669,420</w:t>
            </w:r>
            <w:r w:rsidRPr="0016591F">
              <w:rPr>
                <w:rFonts w:ascii="Times New Roman" w:hAnsi="Times New Roman"/>
              </w:rPr>
              <w:t>**</w:t>
            </w:r>
            <w:r>
              <w:rPr>
                <w:rFonts w:ascii="Times New Roman" w:hAnsi="Times New Roman"/>
              </w:rPr>
              <w:t>**</w:t>
            </w:r>
          </w:p>
        </w:tc>
      </w:tr>
    </w:tbl>
    <w:p w:rsidR="00BC6AE3" w:rsidP="00BC6AE3" w14:paraId="0E2B61A8" w14:textId="77777777">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D11D0F" w:rsidP="004238CA" w14:paraId="566A90ED" w14:textId="77777777">
      <w:pPr>
        <w:pStyle w:val="ListParagraph"/>
        <w:rPr>
          <w:rFonts w:ascii="Times New Roman" w:hAnsi="Times New Roman"/>
        </w:rPr>
      </w:pPr>
    </w:p>
    <w:p w:rsidR="00DE4C26" w:rsidP="004238CA" w14:paraId="698E8AA4" w14:textId="3EA21958">
      <w:pPr>
        <w:pStyle w:val="ListParagraph"/>
        <w:rPr>
          <w:rFonts w:ascii="Times New Roman" w:hAnsi="Times New Roman"/>
        </w:rPr>
      </w:pPr>
      <w:r w:rsidRPr="00DE4C26">
        <w:rPr>
          <w:rFonts w:ascii="Times New Roman" w:hAnsi="Times New Roman"/>
        </w:rPr>
        <w:t>NOTE:  We included the total opportunity cost estimate from this chart in our calculations when showing the total time and opportunity cost estimates in the paragraph below.</w:t>
      </w:r>
    </w:p>
    <w:p w:rsidR="002A0E66" w:rsidP="004238CA" w14:paraId="51741137" w14:textId="77777777">
      <w:pPr>
        <w:pStyle w:val="ListParagraph"/>
        <w:rPr>
          <w:rFonts w:ascii="Times New Roman" w:hAnsi="Times New Roman"/>
        </w:rPr>
      </w:pPr>
    </w:p>
    <w:p w:rsidR="002A0E66" w:rsidRPr="00BC64F1" w:rsidP="004238CA" w14:paraId="67ABC0E3" w14:textId="2ADC92CE">
      <w:pPr>
        <w:pStyle w:val="ListParagraph"/>
        <w:rPr>
          <w:rFonts w:ascii="Times New Roman" w:hAnsi="Times New Roman"/>
        </w:rPr>
      </w:pPr>
      <w:r w:rsidRPr="00625B71">
        <w:rPr>
          <w:rFonts w:ascii="Times New Roman" w:hAnsi="Times New Roman"/>
        </w:rPr>
        <w:t xml:space="preserve">We base our burden estimates on current management information data, which includes data from actual interviews, as well as from years of conducting this information collection.  Per our management information data, we believe that </w:t>
      </w:r>
      <w:r w:rsidR="008B4181">
        <w:rPr>
          <w:rFonts w:ascii="Times New Roman" w:hAnsi="Times New Roman"/>
        </w:rPr>
        <w:t>600</w:t>
      </w:r>
      <w:r w:rsidRPr="00625B71">
        <w:rPr>
          <w:rFonts w:ascii="Times New Roman" w:hAnsi="Times New Roman"/>
        </w:rPr>
        <w:t xml:space="preserve"> minutes accurately shows the average </w:t>
      </w:r>
      <w:bookmarkStart w:id="4" w:name="_Hlk218494754"/>
      <w:r w:rsidRPr="00625B71">
        <w:rPr>
          <w:rFonts w:ascii="Times New Roman" w:hAnsi="Times New Roman"/>
        </w:rPr>
        <w:t xml:space="preserve">burden per response for learning about the program; receiving notices as needed; reading and understanding instructions; gathering the data and documents needed; answering the questions and </w:t>
      </w:r>
      <w:r w:rsidRPr="00625B71">
        <w:rPr>
          <w:rFonts w:ascii="Times New Roman" w:hAnsi="Times New Roman"/>
        </w:rPr>
        <w:t>completing the information collection instrument; scheduling any necessary appointment or required phone call; consulting with any third parties (as needed); and waiting to speak with SSA employees (as needed)</w:t>
      </w:r>
      <w:bookmarkEnd w:id="4"/>
      <w:r w:rsidRPr="00625B71">
        <w:rPr>
          <w:rFonts w:ascii="Times New Roman" w:hAnsi="Times New Roman"/>
        </w:rPr>
        <w:t xml:space="preserve">.  </w:t>
      </w:r>
      <w:r w:rsidR="00B8606B">
        <w:rPr>
          <w:rFonts w:ascii="Times New Roman" w:hAnsi="Times New Roman"/>
        </w:rPr>
        <w:t xml:space="preserve">This figure does not account for specific time keying in entries or responses, </w:t>
      </w:r>
      <w:r w:rsidR="00D26E23">
        <w:rPr>
          <w:rFonts w:ascii="Times New Roman" w:hAnsi="Times New Roman"/>
        </w:rPr>
        <w:t xml:space="preserve">rather, the amount of time the form is </w:t>
      </w:r>
      <w:r w:rsidR="000D2D0D">
        <w:rPr>
          <w:rFonts w:ascii="Times New Roman" w:hAnsi="Times New Roman"/>
        </w:rPr>
        <w:t xml:space="preserve">initiated until it is submitted. As such, </w:t>
      </w:r>
      <w:r w:rsidR="00B8606B">
        <w:rPr>
          <w:rFonts w:ascii="Times New Roman" w:hAnsi="Times New Roman"/>
        </w:rPr>
        <w:t xml:space="preserve">we </w:t>
      </w:r>
      <w:r w:rsidR="00F303C5">
        <w:rPr>
          <w:rFonts w:ascii="Times New Roman" w:hAnsi="Times New Roman"/>
        </w:rPr>
        <w:t>believe</w:t>
      </w:r>
      <w:r w:rsidR="00B8606B">
        <w:rPr>
          <w:rFonts w:ascii="Times New Roman" w:hAnsi="Times New Roman"/>
        </w:rPr>
        <w:t xml:space="preserve"> this </w:t>
      </w:r>
      <w:r w:rsidR="00CF7975">
        <w:rPr>
          <w:rFonts w:ascii="Times New Roman" w:hAnsi="Times New Roman"/>
        </w:rPr>
        <w:t xml:space="preserve">likely represents an overestimate of the amount of time to </w:t>
      </w:r>
      <w:r w:rsidR="0050305A">
        <w:rPr>
          <w:rFonts w:ascii="Times New Roman" w:hAnsi="Times New Roman"/>
        </w:rPr>
        <w:t>fill out</w:t>
      </w:r>
      <w:r w:rsidR="00CF7975">
        <w:rPr>
          <w:rFonts w:ascii="Times New Roman" w:hAnsi="Times New Roman"/>
        </w:rPr>
        <w:t xml:space="preserve"> the form. </w:t>
      </w:r>
      <w:r w:rsidRPr="00625B71">
        <w:rPr>
          <w:rFonts w:ascii="Times New Roman" w:hAnsi="Times New Roman"/>
        </w:rPr>
        <w:t xml:space="preserve">Based on our current management information data, the current burden information we provided is accurate.  The total burden for this ICR is </w:t>
      </w:r>
      <w:r w:rsidRPr="00664071" w:rsidR="00664071">
        <w:rPr>
          <w:rFonts w:ascii="Times New Roman" w:hAnsi="Times New Roman"/>
          <w:bCs/>
        </w:rPr>
        <w:t>5,629,320</w:t>
      </w:r>
      <w:r w:rsidR="00664071">
        <w:rPr>
          <w:rFonts w:ascii="Times New Roman" w:hAnsi="Times New Roman"/>
          <w:b/>
        </w:rPr>
        <w:t xml:space="preserve"> </w:t>
      </w:r>
      <w:r w:rsidRPr="00625B71">
        <w:rPr>
          <w:rFonts w:ascii="Times New Roman" w:hAnsi="Times New Roman"/>
        </w:rPr>
        <w:t>burden hours (reflecting SSA management information data), which results in an associated theoretical (not actual) opportunity cost financial burden of $</w:t>
      </w:r>
      <w:r w:rsidR="00664071">
        <w:rPr>
          <w:rFonts w:ascii="Times New Roman" w:hAnsi="Times New Roman"/>
        </w:rPr>
        <w:t>86,157,094</w:t>
      </w:r>
      <w:r w:rsidRPr="00625B71">
        <w:rPr>
          <w:rFonts w:ascii="Times New Roman" w:hAnsi="Times New Roman"/>
        </w:rPr>
        <w:t>.  SSA does not charge respondents to complete our applications.</w:t>
      </w:r>
    </w:p>
    <w:p w:rsidR="004238CA" w:rsidP="004238CA" w14:paraId="1EA97CFF" w14:textId="77777777">
      <w:pPr>
        <w:tabs>
          <w:tab w:val="left" w:pos="360"/>
        </w:tabs>
        <w:ind w:left="720"/>
        <w:rPr>
          <w:rFonts w:ascii="Times New Roman" w:hAnsi="Times New Roman"/>
        </w:rPr>
      </w:pPr>
    </w:p>
    <w:p w:rsidR="00A45D82" w:rsidRPr="00BC7F42" w:rsidP="00B33B52" w14:paraId="3A40A4EE" w14:textId="77777777">
      <w:pPr>
        <w:ind w:left="720" w:hanging="63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P="00B33B52" w14:paraId="19E0F6A1" w14:textId="77777777">
      <w:pPr>
        <w:ind w:firstLine="720"/>
        <w:rPr>
          <w:rFonts w:ascii="Times New Roman" w:hAnsi="Times New Roman"/>
          <w:i/>
        </w:rPr>
      </w:pPr>
      <w:r w:rsidRPr="00EC7D31">
        <w:rPr>
          <w:rFonts w:ascii="Times New Roman" w:hAnsi="Times New Roman"/>
          <w:iCs/>
        </w:rPr>
        <w:t xml:space="preserve">This collection does not impose a known cost burden </w:t>
      </w:r>
      <w:r w:rsidRPr="00EC7D31" w:rsidR="00AC39FD">
        <w:rPr>
          <w:rFonts w:ascii="Times New Roman" w:hAnsi="Times New Roman"/>
          <w:iCs/>
        </w:rPr>
        <w:t>on</w:t>
      </w:r>
      <w:r w:rsidRPr="00EC7D31">
        <w:rPr>
          <w:rFonts w:ascii="Times New Roman" w:hAnsi="Times New Roman"/>
          <w:iCs/>
        </w:rPr>
        <w:t xml:space="preserve"> the respondents</w:t>
      </w:r>
      <w:r>
        <w:rPr>
          <w:rFonts w:ascii="Times New Roman" w:hAnsi="Times New Roman"/>
          <w:i/>
        </w:rPr>
        <w:t xml:space="preserve">. </w:t>
      </w:r>
      <w:r w:rsidRPr="00BC7F42">
        <w:rPr>
          <w:rFonts w:ascii="Times New Roman" w:hAnsi="Times New Roman"/>
          <w:i/>
        </w:rPr>
        <w:t xml:space="preserve">  </w:t>
      </w:r>
    </w:p>
    <w:p w:rsidR="00A45D82" w:rsidRPr="00BC7F42" w:rsidP="00A45D82" w14:paraId="66622BE5" w14:textId="77777777">
      <w:pPr>
        <w:rPr>
          <w:rFonts w:ascii="Times New Roman" w:hAnsi="Times New Roman"/>
        </w:rPr>
      </w:pPr>
    </w:p>
    <w:p w:rsidR="007D30F5" w:rsidRPr="00611AE8" w:rsidP="00B33B52" w14:paraId="3A0B36C0" w14:textId="3C93D07A">
      <w:pPr>
        <w:numPr>
          <w:ilvl w:val="0"/>
          <w:numId w:val="5"/>
        </w:numPr>
        <w:tabs>
          <w:tab w:val="clear" w:pos="360"/>
          <w:tab w:val="left" w:pos="720"/>
        </w:tabs>
        <w:ind w:left="810" w:hanging="810"/>
        <w:rPr>
          <w:rFonts w:ascii="Times New Roman" w:hAnsi="Times New Roman"/>
        </w:rPr>
      </w:pPr>
      <w:r w:rsidRPr="00611AE8">
        <w:rPr>
          <w:rFonts w:ascii="Times New Roman" w:hAnsi="Times New Roman"/>
          <w:b/>
        </w:rPr>
        <w:t xml:space="preserve">Annual Cost </w:t>
      </w:r>
      <w:r w:rsidRPr="00611AE8">
        <w:rPr>
          <w:rFonts w:ascii="Times New Roman" w:hAnsi="Times New Roman"/>
          <w:b/>
        </w:rPr>
        <w:t>To</w:t>
      </w:r>
      <w:r w:rsidRPr="00611AE8">
        <w:rPr>
          <w:rFonts w:ascii="Times New Roman" w:hAnsi="Times New Roman"/>
          <w:b/>
        </w:rPr>
        <w:t xml:space="preserve"> Federal Government</w:t>
      </w:r>
    </w:p>
    <w:p w:rsidR="00D112EC" w:rsidP="00B33B52" w14:paraId="1F25D19F" w14:textId="71FAC5B9">
      <w:pPr>
        <w:ind w:left="720" w:hanging="90"/>
        <w:rPr>
          <w:rFonts w:ascii="Times New Roman" w:hAnsi="Times New Roman"/>
          <w:color w:val="000000"/>
        </w:rPr>
      </w:pPr>
      <w:r w:rsidRPr="00611AE8">
        <w:rPr>
          <w:rFonts w:ascii="Times New Roman" w:hAnsi="Times New Roman"/>
        </w:rPr>
        <w:t xml:space="preserve"> </w:t>
      </w:r>
      <w:r w:rsidRPr="00611AE8">
        <w:rPr>
          <w:rFonts w:ascii="Times New Roman" w:hAnsi="Times New Roman"/>
          <w:color w:val="000000"/>
        </w:rPr>
        <w:t xml:space="preserve">The annual cost to the Federal Government is approximately </w:t>
      </w:r>
      <w:r w:rsidRPr="002B4668" w:rsidR="00824BE2">
        <w:rPr>
          <w:rFonts w:ascii="Times New Roman" w:hAnsi="Times New Roman"/>
          <w:b/>
          <w:bCs/>
          <w:color w:val="000000"/>
        </w:rPr>
        <w:t>$</w:t>
      </w:r>
      <w:r w:rsidRPr="002B4668" w:rsidR="002B4668">
        <w:rPr>
          <w:rFonts w:ascii="Times New Roman" w:hAnsi="Times New Roman"/>
          <w:b/>
          <w:bCs/>
          <w:color w:val="000000"/>
        </w:rPr>
        <w:t>14,205,10</w:t>
      </w:r>
      <w:r w:rsidR="00664071">
        <w:rPr>
          <w:rFonts w:ascii="Times New Roman" w:hAnsi="Times New Roman"/>
          <w:b/>
          <w:bCs/>
          <w:color w:val="000000"/>
        </w:rPr>
        <w:t>1</w:t>
      </w:r>
      <w:r w:rsidRPr="002B4668">
        <w:rPr>
          <w:rFonts w:ascii="Times New Roman" w:hAnsi="Times New Roman"/>
          <w:color w:val="000000"/>
        </w:rPr>
        <w:t>.</w:t>
      </w:r>
      <w:r w:rsidRPr="00611AE8">
        <w:rPr>
          <w:rFonts w:ascii="Times New Roman" w:hAnsi="Times New Roman"/>
          <w:color w:val="000000"/>
        </w:rPr>
        <w:t xml:space="preserve">  This estimate accounts for costs from the following areas:</w:t>
      </w:r>
    </w:p>
    <w:p w:rsidR="00D112EC" w:rsidP="005623CF" w14:paraId="36E3C5F9" w14:textId="77777777">
      <w:pPr>
        <w:rPr>
          <w:rFonts w:ascii="Times New Roman" w:hAnsi="Times New Roman"/>
          <w:color w:val="000000"/>
        </w:rPr>
      </w:pP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3077"/>
        <w:gridCol w:w="3043"/>
      </w:tblGrid>
      <w:tr w14:paraId="4576AF15" w14:textId="77777777" w:rsidTr="00B33B52">
        <w:tblPrEx>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50" w:type="dxa"/>
            <w:shd w:val="clear" w:color="auto" w:fill="auto"/>
          </w:tcPr>
          <w:p w:rsidR="005623CF" w:rsidRPr="00003983" w:rsidP="00003983" w14:paraId="5A951151"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077" w:type="dxa"/>
            <w:shd w:val="clear" w:color="auto" w:fill="auto"/>
          </w:tcPr>
          <w:p w:rsidR="005623CF" w:rsidRPr="00003983" w:rsidP="00003983" w14:paraId="23C6309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043" w:type="dxa"/>
            <w:shd w:val="clear" w:color="auto" w:fill="auto"/>
          </w:tcPr>
          <w:p w:rsidR="005623CF" w:rsidRPr="00003983" w:rsidP="00003983" w14:paraId="0541B984"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4AA55BB" w14:textId="77777777" w:rsidTr="00B33B52">
        <w:tblPrEx>
          <w:tblW w:w="8370" w:type="dxa"/>
          <w:tblInd w:w="445" w:type="dxa"/>
          <w:tblLook w:val="04A0"/>
        </w:tblPrEx>
        <w:tc>
          <w:tcPr>
            <w:tcW w:w="2250" w:type="dxa"/>
            <w:shd w:val="clear" w:color="auto" w:fill="auto"/>
          </w:tcPr>
          <w:p w:rsidR="005623CF" w:rsidRPr="00003983" w:rsidP="00003983" w14:paraId="75277FF5"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077" w:type="dxa"/>
            <w:shd w:val="clear" w:color="auto" w:fill="auto"/>
          </w:tcPr>
          <w:p w:rsidR="005623CF" w:rsidRPr="00003983" w:rsidP="00003983" w14:paraId="0764D736" w14:textId="6CA97DA5">
            <w:pPr>
              <w:pStyle w:val="ListParagraph"/>
              <w:ind w:left="0"/>
              <w:rPr>
                <w:rFonts w:ascii="Times New Roman" w:hAnsi="Times New Roman"/>
                <w:color w:val="000000"/>
              </w:rPr>
            </w:pPr>
            <w:r w:rsidRPr="00003983">
              <w:rPr>
                <w:rFonts w:ascii="Times New Roman" w:hAnsi="Times New Roman"/>
                <w:color w:val="000000"/>
              </w:rPr>
              <w:t>Design Cost</w:t>
            </w:r>
            <w:r w:rsidR="00650878">
              <w:rPr>
                <w:rFonts w:ascii="Times New Roman" w:hAnsi="Times New Roman"/>
                <w:color w:val="000000"/>
              </w:rPr>
              <w:t xml:space="preserve"> ($</w:t>
            </w:r>
            <w:r w:rsidR="006D6A8E">
              <w:rPr>
                <w:rFonts w:ascii="Times New Roman" w:hAnsi="Times New Roman"/>
                <w:color w:val="000000"/>
              </w:rPr>
              <w:t>4</w:t>
            </w:r>
            <w:r w:rsidR="00B231D1">
              <w:rPr>
                <w:rFonts w:ascii="Times New Roman" w:hAnsi="Times New Roman"/>
                <w:color w:val="000000"/>
              </w:rPr>
              <w:t>,874.45</w:t>
            </w:r>
            <w:r w:rsidR="00650878">
              <w:rPr>
                <w:rFonts w:ascii="Times New Roman" w:hAnsi="Times New Roman"/>
                <w:color w:val="000000"/>
              </w:rPr>
              <w:t xml:space="preserve">) </w:t>
            </w:r>
            <w:r w:rsidRPr="00003983">
              <w:rPr>
                <w:rFonts w:ascii="Times New Roman" w:hAnsi="Times New Roman"/>
                <w:color w:val="000000"/>
              </w:rPr>
              <w:t>+ Printing Cost</w:t>
            </w:r>
            <w:r w:rsidR="00650878">
              <w:rPr>
                <w:rFonts w:ascii="Times New Roman" w:hAnsi="Times New Roman"/>
                <w:color w:val="000000"/>
              </w:rPr>
              <w:t xml:space="preserve"> ($</w:t>
            </w:r>
            <w:r w:rsidR="0095241E">
              <w:rPr>
                <w:rFonts w:ascii="Times New Roman" w:hAnsi="Times New Roman"/>
                <w:color w:val="000000"/>
              </w:rPr>
              <w:t>3</w:t>
            </w:r>
            <w:r w:rsidR="006E242C">
              <w:rPr>
                <w:rFonts w:ascii="Times New Roman" w:hAnsi="Times New Roman"/>
                <w:color w:val="000000"/>
              </w:rPr>
              <w:t>,436.61</w:t>
            </w:r>
            <w:r w:rsidR="00650878">
              <w:rPr>
                <w:rFonts w:ascii="Times New Roman" w:hAnsi="Times New Roman"/>
                <w:color w:val="000000"/>
              </w:rPr>
              <w:t>)</w:t>
            </w:r>
          </w:p>
        </w:tc>
        <w:tc>
          <w:tcPr>
            <w:tcW w:w="3043" w:type="dxa"/>
            <w:shd w:val="clear" w:color="auto" w:fill="auto"/>
          </w:tcPr>
          <w:p w:rsidR="005623CF" w:rsidRPr="00003983" w:rsidP="009225B6" w14:paraId="42A0FA2D" w14:textId="5D59DA22">
            <w:pPr>
              <w:pStyle w:val="ListParagraph"/>
              <w:ind w:left="0"/>
              <w:jc w:val="right"/>
              <w:rPr>
                <w:rFonts w:ascii="Times New Roman" w:hAnsi="Times New Roman"/>
                <w:color w:val="000000"/>
              </w:rPr>
            </w:pPr>
            <w:r>
              <w:rPr>
                <w:rFonts w:ascii="Times New Roman" w:hAnsi="Times New Roman"/>
                <w:color w:val="000000"/>
              </w:rPr>
              <w:t>$</w:t>
            </w:r>
            <w:r w:rsidR="006E242C">
              <w:rPr>
                <w:rFonts w:ascii="Times New Roman" w:hAnsi="Times New Roman"/>
                <w:color w:val="000000"/>
              </w:rPr>
              <w:t>8,</w:t>
            </w:r>
            <w:r w:rsidR="00432226">
              <w:rPr>
                <w:rFonts w:ascii="Times New Roman" w:hAnsi="Times New Roman"/>
                <w:color w:val="000000"/>
              </w:rPr>
              <w:t>311</w:t>
            </w:r>
          </w:p>
        </w:tc>
      </w:tr>
      <w:tr w14:paraId="7CA8A425" w14:textId="77777777" w:rsidTr="00B33B52">
        <w:tblPrEx>
          <w:tblW w:w="8370" w:type="dxa"/>
          <w:tblInd w:w="445" w:type="dxa"/>
          <w:tblLook w:val="04A0"/>
        </w:tblPrEx>
        <w:tc>
          <w:tcPr>
            <w:tcW w:w="2250" w:type="dxa"/>
            <w:shd w:val="clear" w:color="auto" w:fill="auto"/>
          </w:tcPr>
          <w:p w:rsidR="005623CF" w:rsidRPr="00003983" w:rsidP="00003983" w14:paraId="05A7C86B"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077" w:type="dxa"/>
            <w:shd w:val="clear" w:color="auto" w:fill="auto"/>
          </w:tcPr>
          <w:p w:rsidR="005623CF" w:rsidRPr="00003983" w:rsidP="00003983" w14:paraId="10C0706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043" w:type="dxa"/>
            <w:shd w:val="clear" w:color="auto" w:fill="auto"/>
          </w:tcPr>
          <w:p w:rsidR="005623CF" w:rsidRPr="00003983" w:rsidP="009C6E13" w14:paraId="41A5472F" w14:textId="3923BF07">
            <w:pPr>
              <w:pStyle w:val="ListParagraph"/>
              <w:ind w:left="0"/>
              <w:jc w:val="right"/>
              <w:rPr>
                <w:rFonts w:ascii="Times New Roman" w:hAnsi="Times New Roman"/>
                <w:color w:val="000000"/>
              </w:rPr>
            </w:pPr>
            <w:r>
              <w:rPr>
                <w:rFonts w:ascii="Times New Roman" w:hAnsi="Times New Roman"/>
                <w:color w:val="000000"/>
              </w:rPr>
              <w:t>$</w:t>
            </w:r>
            <w:r w:rsidR="00432226">
              <w:rPr>
                <w:rFonts w:ascii="Times New Roman" w:hAnsi="Times New Roman"/>
                <w:color w:val="000000"/>
              </w:rPr>
              <w:t>0</w:t>
            </w:r>
          </w:p>
        </w:tc>
      </w:tr>
      <w:tr w14:paraId="04B847A5" w14:textId="77777777" w:rsidTr="00B33B52">
        <w:tblPrEx>
          <w:tblW w:w="8370" w:type="dxa"/>
          <w:tblInd w:w="445" w:type="dxa"/>
          <w:tblLook w:val="04A0"/>
        </w:tblPrEx>
        <w:tc>
          <w:tcPr>
            <w:tcW w:w="2250" w:type="dxa"/>
            <w:shd w:val="clear" w:color="auto" w:fill="auto"/>
          </w:tcPr>
          <w:p w:rsidR="005623CF" w:rsidRPr="00003983" w:rsidP="00003983" w14:paraId="6CAE29F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077" w:type="dxa"/>
            <w:shd w:val="clear" w:color="auto" w:fill="auto"/>
          </w:tcPr>
          <w:p w:rsidR="005623CF" w:rsidRPr="00003983" w:rsidP="00003983" w14:paraId="708D7CD7" w14:textId="69D61759">
            <w:pPr>
              <w:pStyle w:val="ListParagraph"/>
              <w:ind w:left="0"/>
              <w:rPr>
                <w:rFonts w:ascii="Times New Roman" w:hAnsi="Times New Roman"/>
                <w:color w:val="000000"/>
              </w:rPr>
            </w:pPr>
            <w:r w:rsidRPr="00003983">
              <w:rPr>
                <w:rFonts w:ascii="Times New Roman" w:hAnsi="Times New Roman"/>
                <w:color w:val="000000"/>
              </w:rPr>
              <w:t>GS-</w:t>
            </w:r>
            <w:r w:rsidR="009225B6">
              <w:rPr>
                <w:rFonts w:ascii="Times New Roman" w:hAnsi="Times New Roman"/>
                <w:color w:val="000000"/>
              </w:rPr>
              <w:t>11</w:t>
            </w:r>
            <w:r w:rsidRPr="00003983">
              <w:rPr>
                <w:rFonts w:ascii="Times New Roman" w:hAnsi="Times New Roman"/>
                <w:color w:val="000000"/>
              </w:rPr>
              <w:t xml:space="preserve"> employee x # of responses x processing time</w:t>
            </w:r>
          </w:p>
        </w:tc>
        <w:tc>
          <w:tcPr>
            <w:tcW w:w="3043" w:type="dxa"/>
            <w:shd w:val="clear" w:color="auto" w:fill="auto"/>
          </w:tcPr>
          <w:p w:rsidR="005623CF" w:rsidRPr="00003983" w:rsidP="009C6E13" w14:paraId="7EFB2B47" w14:textId="43CD21EE">
            <w:pPr>
              <w:pStyle w:val="ListParagraph"/>
              <w:ind w:left="0"/>
              <w:jc w:val="right"/>
              <w:rPr>
                <w:rFonts w:ascii="Times New Roman" w:hAnsi="Times New Roman"/>
                <w:color w:val="000000"/>
              </w:rPr>
            </w:pPr>
            <w:r>
              <w:rPr>
                <w:rFonts w:ascii="Times New Roman" w:hAnsi="Times New Roman"/>
                <w:color w:val="000000"/>
              </w:rPr>
              <w:t>$</w:t>
            </w:r>
            <w:r w:rsidR="00095BF9">
              <w:rPr>
                <w:rFonts w:ascii="Times New Roman" w:hAnsi="Times New Roman"/>
                <w:color w:val="000000"/>
              </w:rPr>
              <w:t>12,775,74</w:t>
            </w:r>
            <w:r w:rsidR="00664071">
              <w:rPr>
                <w:rFonts w:ascii="Times New Roman" w:hAnsi="Times New Roman"/>
                <w:color w:val="000000"/>
              </w:rPr>
              <w:t>2</w:t>
            </w:r>
          </w:p>
        </w:tc>
      </w:tr>
      <w:tr w14:paraId="035812F7" w14:textId="77777777" w:rsidTr="00B33B52">
        <w:tblPrEx>
          <w:tblW w:w="8370" w:type="dxa"/>
          <w:tblInd w:w="445" w:type="dxa"/>
          <w:tblLook w:val="04A0"/>
        </w:tblPrEx>
        <w:tc>
          <w:tcPr>
            <w:tcW w:w="2250" w:type="dxa"/>
            <w:shd w:val="clear" w:color="auto" w:fill="auto"/>
          </w:tcPr>
          <w:p w:rsidR="005623CF" w:rsidRPr="00003983" w:rsidP="00003983" w14:paraId="2CA13A5E"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077" w:type="dxa"/>
            <w:shd w:val="clear" w:color="auto" w:fill="auto"/>
          </w:tcPr>
          <w:p w:rsidR="005623CF" w:rsidRPr="00003983" w:rsidP="00003983" w14:paraId="4048EF2E"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043" w:type="dxa"/>
            <w:shd w:val="clear" w:color="auto" w:fill="auto"/>
          </w:tcPr>
          <w:p w:rsidR="005623CF" w:rsidRPr="00003983" w:rsidP="009C6E13" w14:paraId="490C990B" w14:textId="0781DE16">
            <w:pPr>
              <w:pStyle w:val="ListParagraph"/>
              <w:ind w:left="0"/>
              <w:jc w:val="right"/>
              <w:rPr>
                <w:rFonts w:ascii="Times New Roman" w:hAnsi="Times New Roman"/>
                <w:color w:val="000000"/>
              </w:rPr>
            </w:pPr>
            <w:r>
              <w:rPr>
                <w:rFonts w:ascii="Times New Roman" w:hAnsi="Times New Roman"/>
                <w:color w:val="000000"/>
              </w:rPr>
              <w:t>$0*</w:t>
            </w:r>
          </w:p>
        </w:tc>
      </w:tr>
      <w:tr w14:paraId="3BAA6342" w14:textId="77777777" w:rsidTr="00B33B52">
        <w:tblPrEx>
          <w:tblW w:w="8370" w:type="dxa"/>
          <w:tblInd w:w="445" w:type="dxa"/>
          <w:tblLook w:val="04A0"/>
        </w:tblPrEx>
        <w:tc>
          <w:tcPr>
            <w:tcW w:w="2250" w:type="dxa"/>
            <w:shd w:val="clear" w:color="auto" w:fill="auto"/>
          </w:tcPr>
          <w:p w:rsidR="005623CF" w:rsidRPr="00003983" w:rsidP="00003983" w14:paraId="64DC4AA5"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077" w:type="dxa"/>
            <w:shd w:val="clear" w:color="auto" w:fill="auto"/>
          </w:tcPr>
          <w:p w:rsidR="005623CF" w:rsidRPr="00003983" w:rsidP="00003983" w14:paraId="72288FA1" w14:textId="41C8A29D">
            <w:pPr>
              <w:pStyle w:val="ListParagraph"/>
              <w:ind w:left="0"/>
              <w:rPr>
                <w:rFonts w:ascii="Times New Roman" w:hAnsi="Times New Roman"/>
                <w:color w:val="000000"/>
              </w:rPr>
            </w:pPr>
            <w:r w:rsidRPr="00003983">
              <w:rPr>
                <w:rFonts w:ascii="Times New Roman" w:hAnsi="Times New Roman"/>
                <w:color w:val="000000"/>
              </w:rPr>
              <w:t>GS-</w:t>
            </w:r>
            <w:r w:rsidR="00FF2660">
              <w:rPr>
                <w:rFonts w:ascii="Times New Roman" w:hAnsi="Times New Roman"/>
                <w:color w:val="000000"/>
              </w:rPr>
              <w:t>12</w:t>
            </w:r>
            <w:r w:rsidRPr="00003983" w:rsidR="00FF2660">
              <w:rPr>
                <w:rFonts w:ascii="Times New Roman" w:hAnsi="Times New Roman"/>
                <w:color w:val="000000"/>
              </w:rPr>
              <w:t xml:space="preserve"> </w:t>
            </w:r>
            <w:r w:rsidRPr="00003983">
              <w:rPr>
                <w:rFonts w:ascii="Times New Roman" w:hAnsi="Times New Roman"/>
                <w:color w:val="000000"/>
              </w:rPr>
              <w:t>employee x man hours for development, updating, maintenance</w:t>
            </w:r>
          </w:p>
        </w:tc>
        <w:tc>
          <w:tcPr>
            <w:tcW w:w="3043" w:type="dxa"/>
            <w:shd w:val="clear" w:color="auto" w:fill="auto"/>
          </w:tcPr>
          <w:p w:rsidR="005623CF" w:rsidRPr="00003983" w:rsidP="009C6E13" w14:paraId="191AFEB7" w14:textId="5F2697CB">
            <w:pPr>
              <w:pStyle w:val="ListParagraph"/>
              <w:ind w:left="0"/>
              <w:jc w:val="right"/>
              <w:rPr>
                <w:rFonts w:ascii="Times New Roman" w:hAnsi="Times New Roman"/>
                <w:color w:val="000000"/>
              </w:rPr>
            </w:pPr>
            <w:r w:rsidRPr="00EC3231">
              <w:rPr>
                <w:rFonts w:ascii="Times New Roman" w:hAnsi="Times New Roman"/>
                <w:color w:val="000000"/>
              </w:rPr>
              <w:t>$</w:t>
            </w:r>
            <w:r w:rsidR="009E3C5C">
              <w:rPr>
                <w:rFonts w:ascii="Times New Roman" w:hAnsi="Times New Roman"/>
                <w:color w:val="000000"/>
              </w:rPr>
              <w:t>1,421,04</w:t>
            </w:r>
            <w:r w:rsidR="00664071">
              <w:rPr>
                <w:rFonts w:ascii="Times New Roman" w:hAnsi="Times New Roman"/>
                <w:color w:val="000000"/>
              </w:rPr>
              <w:t>8</w:t>
            </w:r>
          </w:p>
        </w:tc>
      </w:tr>
      <w:tr w14:paraId="27F8D56F" w14:textId="77777777" w:rsidTr="00B33B52">
        <w:tblPrEx>
          <w:tblW w:w="8370" w:type="dxa"/>
          <w:tblInd w:w="445" w:type="dxa"/>
          <w:tblLook w:val="04A0"/>
        </w:tblPrEx>
        <w:tc>
          <w:tcPr>
            <w:tcW w:w="2250" w:type="dxa"/>
            <w:shd w:val="clear" w:color="auto" w:fill="auto"/>
          </w:tcPr>
          <w:p w:rsidR="005623CF" w:rsidRPr="00003983" w:rsidP="00003983" w14:paraId="12AEBE5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077" w:type="dxa"/>
            <w:shd w:val="clear" w:color="auto" w:fill="auto"/>
          </w:tcPr>
          <w:p w:rsidR="005623CF" w:rsidRPr="00003983" w:rsidP="00003983" w14:paraId="54C8972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043" w:type="dxa"/>
            <w:shd w:val="clear" w:color="auto" w:fill="auto"/>
          </w:tcPr>
          <w:p w:rsidR="005623CF" w:rsidRPr="00003983" w:rsidP="009C6E13" w14:paraId="2E5C5A16" w14:textId="1F58A677">
            <w:pPr>
              <w:pStyle w:val="ListParagraph"/>
              <w:ind w:left="0"/>
              <w:jc w:val="right"/>
              <w:rPr>
                <w:rFonts w:ascii="Times New Roman" w:hAnsi="Times New Roman"/>
                <w:color w:val="000000"/>
              </w:rPr>
            </w:pPr>
            <w:r>
              <w:rPr>
                <w:rFonts w:ascii="Times New Roman" w:hAnsi="Times New Roman"/>
                <w:color w:val="000000"/>
              </w:rPr>
              <w:t>$0*</w:t>
            </w:r>
          </w:p>
        </w:tc>
      </w:tr>
      <w:tr w14:paraId="5362D00D" w14:textId="77777777" w:rsidTr="00B33B52">
        <w:tblPrEx>
          <w:tblW w:w="8370" w:type="dxa"/>
          <w:tblInd w:w="445" w:type="dxa"/>
          <w:tblLook w:val="04A0"/>
        </w:tblPrEx>
        <w:tc>
          <w:tcPr>
            <w:tcW w:w="2250" w:type="dxa"/>
            <w:shd w:val="clear" w:color="auto" w:fill="auto"/>
          </w:tcPr>
          <w:p w:rsidR="005623CF" w:rsidRPr="00003983" w:rsidP="00003983" w14:paraId="5839D44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077" w:type="dxa"/>
            <w:shd w:val="clear" w:color="auto" w:fill="auto"/>
          </w:tcPr>
          <w:p w:rsidR="005623CF" w:rsidRPr="00003983" w:rsidP="00824BE2" w14:paraId="3D9106FA" w14:textId="77777777">
            <w:pPr>
              <w:pStyle w:val="ListParagraph"/>
              <w:ind w:left="0"/>
              <w:jc w:val="right"/>
              <w:rPr>
                <w:rFonts w:ascii="Times New Roman" w:hAnsi="Times New Roman"/>
                <w:b/>
                <w:bCs/>
                <w:color w:val="000000"/>
              </w:rPr>
            </w:pPr>
          </w:p>
        </w:tc>
        <w:tc>
          <w:tcPr>
            <w:tcW w:w="3043" w:type="dxa"/>
            <w:shd w:val="clear" w:color="auto" w:fill="auto"/>
          </w:tcPr>
          <w:p w:rsidR="005623CF" w:rsidRPr="00003983" w:rsidP="00824BE2" w14:paraId="7FC5693A" w14:textId="6C9FCECE">
            <w:pPr>
              <w:pStyle w:val="ListParagraph"/>
              <w:ind w:left="0"/>
              <w:jc w:val="right"/>
              <w:rPr>
                <w:rFonts w:ascii="Times New Roman" w:hAnsi="Times New Roman"/>
                <w:b/>
                <w:bCs/>
                <w:color w:val="000000"/>
              </w:rPr>
            </w:pPr>
            <w:r w:rsidRPr="00EC3231">
              <w:rPr>
                <w:rFonts w:ascii="Times New Roman" w:hAnsi="Times New Roman"/>
                <w:b/>
                <w:bCs/>
                <w:color w:val="000000"/>
              </w:rPr>
              <w:t>$</w:t>
            </w:r>
            <w:r w:rsidR="00F66943">
              <w:rPr>
                <w:rFonts w:ascii="Times New Roman" w:hAnsi="Times New Roman"/>
                <w:b/>
                <w:bCs/>
                <w:color w:val="000000"/>
              </w:rPr>
              <w:t>14</w:t>
            </w:r>
            <w:r w:rsidR="002B4668">
              <w:rPr>
                <w:rFonts w:ascii="Times New Roman" w:hAnsi="Times New Roman"/>
                <w:b/>
                <w:bCs/>
                <w:color w:val="000000"/>
              </w:rPr>
              <w:t>,205,10</w:t>
            </w:r>
            <w:r w:rsidR="00664071">
              <w:rPr>
                <w:rFonts w:ascii="Times New Roman" w:hAnsi="Times New Roman"/>
                <w:b/>
                <w:bCs/>
                <w:color w:val="000000"/>
              </w:rPr>
              <w:t>1</w:t>
            </w:r>
          </w:p>
        </w:tc>
      </w:tr>
    </w:tbl>
    <w:p w:rsidR="005623CF" w:rsidP="00E415E4" w14:paraId="10D477D7" w14:textId="7777777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7D30F5" w:rsidP="005623CF" w14:paraId="420622E9" w14:textId="77777777">
      <w:pPr>
        <w:rPr>
          <w:rFonts w:ascii="Times New Roman" w:hAnsi="Times New Roman"/>
          <w:color w:val="000000"/>
        </w:rPr>
      </w:pPr>
    </w:p>
    <w:p w:rsidR="005623CF" w:rsidP="00E415E4" w14:paraId="00761A24" w14:textId="7F5B2143">
      <w:pPr>
        <w:ind w:left="72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First, we often do bulk </w:t>
      </w:r>
      <w:r w:rsidR="00EC3231">
        <w:rPr>
          <w:rFonts w:ascii="Times New Roman" w:hAnsi="Times New Roman"/>
          <w:color w:val="000000"/>
        </w:rPr>
        <w:t>mailings and</w:t>
      </w:r>
      <w:r>
        <w:rPr>
          <w:rFonts w:ascii="Times New Roman" w:hAnsi="Times New Roman"/>
          <w:color w:val="000000"/>
        </w:rPr>
        <w:t xml:space="preserve">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w:t>
      </w:r>
      <w:r w:rsidR="00960C6A">
        <w:rPr>
          <w:rFonts w:ascii="Times New Roman" w:hAnsi="Times New Roman"/>
          <w:color w:val="000000"/>
        </w:rPr>
        <w:t>a GS-11 and GS-12 FO employee</w:t>
      </w:r>
      <w:r>
        <w:rPr>
          <w:rFonts w:ascii="Times New Roman" w:hAnsi="Times New Roman"/>
          <w:color w:val="000000"/>
        </w:rPr>
        <w:t xml:space="preserve"> for these calculations.  However, we have calculated these costs as accurately as possible based on the information we collect for creating, updating, and maintaining these information collections.</w:t>
      </w:r>
    </w:p>
    <w:p w:rsidR="005623CF" w:rsidP="005623CF" w14:paraId="4DD59438" w14:textId="77777777">
      <w:pPr>
        <w:rPr>
          <w:rFonts w:ascii="Times New Roman" w:hAnsi="Times New Roman"/>
          <w:color w:val="000000"/>
        </w:rPr>
      </w:pPr>
    </w:p>
    <w:p w:rsidR="00063A05" w:rsidRPr="00A03476" w:rsidP="00A160D4" w14:paraId="63EB11C8" w14:textId="057A84FA">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FA640B" w:rsidP="00605D67" w14:paraId="4C16057D" w14:textId="170A29E9">
      <w:pPr>
        <w:pStyle w:val="NoSpacing"/>
        <w:ind w:left="720"/>
        <w:rPr>
          <w:iCs/>
        </w:rPr>
      </w:pPr>
      <w:r w:rsidRPr="00A03476">
        <w:rPr>
          <w:iCs/>
        </w:rPr>
        <w:t>When</w:t>
      </w:r>
      <w:r w:rsidRPr="00A03476" w:rsidR="00B1614B">
        <w:rPr>
          <w:iCs/>
        </w:rPr>
        <w:t xml:space="preserve"> we last cleared this IC in 20</w:t>
      </w:r>
      <w:r w:rsidR="00611AE8">
        <w:rPr>
          <w:iCs/>
        </w:rPr>
        <w:t>23</w:t>
      </w:r>
      <w:r w:rsidRPr="00A03476">
        <w:rPr>
          <w:iCs/>
        </w:rPr>
        <w:t>, the burden was</w:t>
      </w:r>
      <w:r w:rsidR="00615E8F">
        <w:rPr>
          <w:iCs/>
        </w:rPr>
        <w:t xml:space="preserve"> </w:t>
      </w:r>
      <w:r w:rsidR="00611AE8">
        <w:rPr>
          <w:iCs/>
        </w:rPr>
        <w:t>480</w:t>
      </w:r>
      <w:r w:rsidRPr="00A03476">
        <w:rPr>
          <w:iCs/>
        </w:rPr>
        <w:t xml:space="preserve"> </w:t>
      </w:r>
      <w:r w:rsidRPr="00A03476" w:rsidR="005D7BD8">
        <w:rPr>
          <w:iCs/>
        </w:rPr>
        <w:t>minute</w:t>
      </w:r>
      <w:r w:rsidRPr="00A03476">
        <w:rPr>
          <w:iCs/>
        </w:rPr>
        <w:t xml:space="preserve">s. </w:t>
      </w:r>
      <w:r w:rsidR="00615E8F">
        <w:rPr>
          <w:iCs/>
        </w:rPr>
        <w:t>W</w:t>
      </w:r>
      <w:r w:rsidRPr="00A03476">
        <w:rPr>
          <w:iCs/>
        </w:rPr>
        <w:t xml:space="preserve">e are currently reporting a burden of </w:t>
      </w:r>
      <w:r w:rsidR="00611AE8">
        <w:rPr>
          <w:iCs/>
        </w:rPr>
        <w:t>600</w:t>
      </w:r>
      <w:r w:rsidRPr="00A03476" w:rsidR="00611AE8">
        <w:rPr>
          <w:iCs/>
        </w:rPr>
        <w:t xml:space="preserve"> </w:t>
      </w:r>
      <w:r w:rsidRPr="00A03476" w:rsidR="00F87BEB">
        <w:rPr>
          <w:iCs/>
        </w:rPr>
        <w:t>minutes</w:t>
      </w:r>
      <w:r w:rsidRPr="00A03476">
        <w:rPr>
          <w:iCs/>
        </w:rPr>
        <w:t xml:space="preserve">. </w:t>
      </w:r>
      <w:r w:rsidR="00CC7CF3">
        <w:rPr>
          <w:iCs/>
        </w:rPr>
        <w:t xml:space="preserve"> </w:t>
      </w:r>
      <w:r w:rsidRPr="00A03476">
        <w:rPr>
          <w:iCs/>
        </w:rPr>
        <w:t xml:space="preserve">This </w:t>
      </w:r>
      <w:r w:rsidR="00611AE8">
        <w:rPr>
          <w:iCs/>
        </w:rPr>
        <w:t>burden estimate increased based on our internal management data</w:t>
      </w:r>
      <w:r w:rsidR="00CC7CF3">
        <w:rPr>
          <w:iCs/>
        </w:rPr>
        <w:t xml:space="preserve"> and response to public comments</w:t>
      </w:r>
      <w:r w:rsidR="00611AE8">
        <w:rPr>
          <w:iCs/>
        </w:rPr>
        <w:t xml:space="preserve">. </w:t>
      </w:r>
      <w:r w:rsidR="00CC7CF3">
        <w:rPr>
          <w:iCs/>
        </w:rPr>
        <w:t>We included an additional</w:t>
      </w:r>
      <w:r w:rsidR="00611AE8">
        <w:rPr>
          <w:iCs/>
        </w:rPr>
        <w:t xml:space="preserve"> explanation of the increased time burden in item </w:t>
      </w:r>
      <w:r w:rsidR="00CC7CF3">
        <w:rPr>
          <w:iCs/>
        </w:rPr>
        <w:t>#</w:t>
      </w:r>
      <w:r w:rsidR="00611AE8">
        <w:rPr>
          <w:iCs/>
        </w:rPr>
        <w:t>12</w:t>
      </w:r>
      <w:r w:rsidR="00CC7CF3">
        <w:rPr>
          <w:iCs/>
        </w:rPr>
        <w:t xml:space="preserve"> above</w:t>
      </w:r>
      <w:r w:rsidR="00611AE8">
        <w:rPr>
          <w:iCs/>
        </w:rPr>
        <w:t xml:space="preserve">. </w:t>
      </w:r>
    </w:p>
    <w:p w:rsidR="00CC7CF3" w:rsidP="00605D67" w14:paraId="5CB92DB2" w14:textId="77777777">
      <w:pPr>
        <w:pStyle w:val="NoSpacing"/>
        <w:ind w:left="720"/>
        <w:rPr>
          <w:iCs/>
        </w:rPr>
      </w:pPr>
    </w:p>
    <w:p w:rsidR="00CC7CF3" w:rsidRPr="00CC7CF3" w:rsidP="00CC7CF3" w14:paraId="6C8FEE72" w14:textId="133342D9">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r>
        <w:rPr>
          <w:rFonts w:ascii="Times New Roman" w:hAnsi="Times New Roman"/>
          <w:color w:val="000000" w:themeColor="text1"/>
        </w:rPr>
        <w:t xml:space="preserve">* </w:t>
      </w:r>
      <w:r w:rsidRPr="009556E5">
        <w:rPr>
          <w:rFonts w:ascii="Times New Roman" w:hAnsi="Times New Roman"/>
          <w:b/>
          <w:bCs/>
          <w:color w:val="000000" w:themeColor="text1"/>
        </w:rPr>
        <w:t>Note:</w:t>
      </w:r>
      <w:r>
        <w:rPr>
          <w:rFonts w:ascii="Times New Roman" w:hAnsi="Times New Roman"/>
          <w:color w:val="000000" w:themeColor="text1"/>
        </w:rPr>
        <w:t xml:space="preserve">  The total burden reflected in ROCIS shows the additional totals for the field office and telephone call system wait times (for those ICs that require them) as well as the </w:t>
      </w:r>
      <w:r>
        <w:rPr>
          <w:rFonts w:ascii="Times New Roman" w:hAnsi="Times New Roman"/>
          <w:color w:val="000000"/>
        </w:rPr>
        <w:t xml:space="preserve">rough estimate of a 30-minute, one-way, drive time in our calculation of the time burden (for </w:t>
      </w:r>
      <w:r>
        <w:rPr>
          <w:rFonts w:ascii="Times New Roman" w:hAnsi="Times New Roman"/>
          <w:color w:val="000000"/>
        </w:rPr>
        <w:t xml:space="preserve">half of the </w:t>
      </w:r>
      <w:r>
        <w:rPr>
          <w:rFonts w:ascii="Times New Roman" w:hAnsi="Times New Roman"/>
          <w:color w:val="000000"/>
        </w:rPr>
        <w:t>teleclaim</w:t>
      </w:r>
      <w:r>
        <w:rPr>
          <w:rFonts w:ascii="Times New Roman" w:hAnsi="Times New Roman"/>
          <w:color w:val="000000"/>
        </w:rPr>
        <w:t xml:space="preserve"> interviews which are done in office rather than via telephone</w:t>
      </w:r>
      <w:r>
        <w:rPr>
          <w:rFonts w:ascii="Times New Roman" w:hAnsi="Times New Roman"/>
          <w:color w:val="000000"/>
        </w:rPr>
        <w:t xml:space="preserve">), </w:t>
      </w:r>
      <w:r w:rsidRPr="00AB4FD8">
        <w:rPr>
          <w:rFonts w:ascii="Times New Roman" w:hAnsi="Times New Roman"/>
          <w:color w:val="000000"/>
        </w:rPr>
        <w:t>and a 30</w:t>
      </w:r>
      <w:r w:rsidRPr="00AB4FD8">
        <w:rPr>
          <w:rFonts w:ascii="Times New Roman" w:hAnsi="Times New Roman"/>
          <w:color w:val="000000"/>
        </w:rPr>
        <w:noBreakHyphen/>
        <w:t>minute learning cost.</w:t>
      </w:r>
      <w:r>
        <w:rPr>
          <w:rFonts w:ascii="Times New Roman" w:hAnsi="Times New Roman"/>
          <w:color w:val="000000"/>
        </w:rPr>
        <w:t xml:space="preserve">  As a note, SSA has decreased the wait times for field office and telephone calls since 2023, which is reflected in these figures.  This is why the burden estimates on ROCIS do not match the chart in #12 above.</w:t>
      </w:r>
    </w:p>
    <w:p w:rsidR="00FA640B" w:rsidRPr="00BC7F42" w:rsidP="00864C9A" w14:paraId="03DD7277" w14:textId="77777777">
      <w:pPr>
        <w:pStyle w:val="NoSpacing"/>
      </w:pPr>
    </w:p>
    <w:p w:rsidR="00063A05" w:rsidP="00A160D4" w14:paraId="617D01D7"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242595" w:rsidP="003B30B4" w14:paraId="683ACD9C" w14:textId="77777777">
      <w:pPr>
        <w:pStyle w:val="NoSpacing"/>
        <w:ind w:firstLine="720"/>
        <w:rPr>
          <w:bCs/>
        </w:rPr>
      </w:pPr>
      <w:r w:rsidRPr="00242595">
        <w:rPr>
          <w:bCs/>
        </w:rPr>
        <w:t>SSA will not publish the results of the information collection.</w:t>
      </w:r>
    </w:p>
    <w:p w:rsidR="00864C9A" w:rsidRPr="00BC7F42" w:rsidP="00A45D82" w14:paraId="2812D38A" w14:textId="77777777">
      <w:pPr>
        <w:pStyle w:val="Header"/>
        <w:tabs>
          <w:tab w:val="clear" w:pos="4320"/>
          <w:tab w:val="clear" w:pos="8640"/>
        </w:tabs>
        <w:rPr>
          <w:rFonts w:ascii="Times New Roman" w:hAnsi="Times New Roman"/>
        </w:rPr>
      </w:pPr>
    </w:p>
    <w:p w:rsidR="003B30B4" w:rsidP="00A45D82" w14:paraId="0CD37E76"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137CF3" w:rsidRPr="00137CF3" w:rsidP="00137CF3" w14:paraId="4B7E39CD" w14:textId="4BB8F57A">
      <w:pPr>
        <w:ind w:left="720"/>
        <w:rPr>
          <w:rFonts w:ascii="Times New Roman" w:hAnsi="Times New Roman"/>
          <w:bCs/>
          <w:iCs/>
        </w:rPr>
      </w:pPr>
      <w:bookmarkStart w:id="5" w:name="_Hlk106980679"/>
      <w:r w:rsidRPr="00137CF3">
        <w:rPr>
          <w:rFonts w:ascii="Times New Roman" w:hAnsi="Times New Roman"/>
        </w:rPr>
        <w:t xml:space="preserve">For the paper form SSA-454-BK, we will not publish the OMB approval expiration date. </w:t>
      </w:r>
      <w:r w:rsidRPr="00137CF3">
        <w:rPr>
          <w:rFonts w:ascii="Times New Roman" w:hAnsi="Times New Roman"/>
          <w:bCs/>
          <w:iCs/>
        </w:rPr>
        <w:t>OMB granted SSA an exemption from the requirement to print the OMB expiration date on its program forms.  SSA produces millions of public</w:t>
      </w:r>
      <w:r w:rsidRPr="00137CF3">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bookmarkEnd w:id="5"/>
    <w:p w:rsidR="00137CF3" w:rsidRPr="00137CF3" w:rsidP="00137CF3" w14:paraId="447C388D" w14:textId="77777777">
      <w:pPr>
        <w:ind w:left="1080"/>
        <w:contextualSpacing/>
        <w:rPr>
          <w:rFonts w:ascii="Times New Roman" w:hAnsi="Times New Roman"/>
          <w:bCs/>
          <w:iCs/>
        </w:rPr>
      </w:pPr>
    </w:p>
    <w:p w:rsidR="00A45D82" w:rsidP="00137CF3" w14:paraId="507633EE" w14:textId="37BCD1DE">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137CF3">
        <w:rPr>
          <w:rFonts w:ascii="Times New Roman" w:hAnsi="Times New Roman"/>
          <w:b w:val="0"/>
          <w:i w:val="0"/>
        </w:rPr>
        <w:t xml:space="preserve">For the </w:t>
      </w:r>
      <w:r w:rsidR="00864C9A">
        <w:rPr>
          <w:rFonts w:ascii="Times New Roman" w:hAnsi="Times New Roman"/>
          <w:i w:val="0"/>
        </w:rPr>
        <w:t>I</w:t>
      </w:r>
      <w:r w:rsidRPr="00137CF3">
        <w:rPr>
          <w:rFonts w:ascii="Times New Roman" w:hAnsi="Times New Roman"/>
          <w:i w:val="0"/>
        </w:rPr>
        <w:t>nternet and EDCS versions</w:t>
      </w:r>
      <w:r w:rsidRPr="00137CF3">
        <w:rPr>
          <w:rFonts w:ascii="Times New Roman" w:hAnsi="Times New Roman"/>
          <w:b w:val="0"/>
          <w:i w:val="0"/>
        </w:rPr>
        <w:t xml:space="preserve"> of Form SSA-454-BK, SSA is not requesting an exception to the requirement to display the OMB approval expiration date.</w:t>
      </w:r>
    </w:p>
    <w:p w:rsidR="00137CF3" w:rsidP="00137CF3" w14:paraId="6C1CBE9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CC7CF3" w:rsidRPr="00BC7F42" w:rsidP="00137CF3" w14:paraId="58C09E8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3B30B4" w:rsidP="00D35331" w14:paraId="61B30AB3" w14:textId="77777777">
      <w:pPr>
        <w:numPr>
          <w:ilvl w:val="0"/>
          <w:numId w:val="8"/>
        </w:numPr>
        <w:rPr>
          <w:rFonts w:ascii="Times New Roman" w:hAnsi="Times New Roman"/>
          <w:b/>
        </w:rPr>
      </w:pPr>
      <w:r w:rsidRPr="00BC7F42">
        <w:rPr>
          <w:rFonts w:ascii="Times New Roman" w:hAnsi="Times New Roman"/>
          <w:b/>
        </w:rPr>
        <w:t>Exceptions to Certification Statement</w:t>
      </w:r>
    </w:p>
    <w:p w:rsidR="0041131C" w:rsidRPr="00242595" w:rsidP="0041131C" w14:paraId="516B74B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242595">
        <w:rPr>
          <w:rFonts w:ascii="Times New Roman" w:hAnsi="Times New Roman"/>
          <w:b w:val="0"/>
          <w:i w:val="0"/>
          <w:iCs w:val="0"/>
        </w:rPr>
        <w:t xml:space="preserve">SSA is not requesting an exception to the certification requirements at </w:t>
      </w:r>
      <w:r w:rsidRPr="00242595">
        <w:rPr>
          <w:rFonts w:ascii="Times New Roman" w:hAnsi="Times New Roman"/>
          <w:b w:val="0"/>
        </w:rPr>
        <w:t>5 CFR 1320.9</w:t>
      </w:r>
      <w:r w:rsidRPr="00242595">
        <w:rPr>
          <w:rFonts w:ascii="Times New Roman" w:hAnsi="Times New Roman"/>
          <w:b w:val="0"/>
          <w:i w:val="0"/>
          <w:iCs w:val="0"/>
        </w:rPr>
        <w:t xml:space="preserve"> and related provisions at</w:t>
      </w:r>
      <w:r w:rsidRPr="00242595">
        <w:rPr>
          <w:rFonts w:ascii="Times New Roman" w:hAnsi="Times New Roman"/>
          <w:b w:val="0"/>
        </w:rPr>
        <w:t xml:space="preserve"> 5 CFR 1320.8(b)(3).</w:t>
      </w:r>
      <w:r w:rsidRPr="00242595">
        <w:rPr>
          <w:rFonts w:ascii="Times New Roman" w:hAnsi="Times New Roman"/>
          <w:b w:val="0"/>
          <w:i w:val="0"/>
          <w:iCs w:val="0"/>
        </w:rPr>
        <w:t xml:space="preserve"> </w:t>
      </w:r>
    </w:p>
    <w:p w:rsidR="00A45D82" w:rsidRPr="00BC7F42" w:rsidP="00A45D82" w14:paraId="5EC2682B" w14:textId="77777777">
      <w:pPr>
        <w:rPr>
          <w:rFonts w:ascii="Times New Roman" w:hAnsi="Times New Roman"/>
        </w:rPr>
      </w:pPr>
    </w:p>
    <w:p w:rsidR="0041131C" w:rsidRPr="00242595" w:rsidP="0041131C" w14:paraId="5691264D" w14:textId="17C9310B">
      <w:pPr>
        <w:rPr>
          <w:rFonts w:ascii="Times New Roman" w:hAnsi="Times New Roman"/>
          <w:b/>
          <w:u w:val="single"/>
        </w:rPr>
      </w:pPr>
      <w:r w:rsidRPr="0041131C">
        <w:rPr>
          <w:rFonts w:ascii="Times New Roman" w:hAnsi="Times New Roman"/>
          <w:b/>
        </w:rPr>
        <w:t xml:space="preserve">B. </w:t>
      </w:r>
      <w:r w:rsidR="00B33B52">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1977406D" w14:textId="77777777">
      <w:pPr>
        <w:rPr>
          <w:rFonts w:ascii="Times New Roman" w:hAnsi="Times New Roman"/>
        </w:rPr>
      </w:pPr>
    </w:p>
    <w:p w:rsidR="00A45D82" w:rsidRPr="00D112EC" w:rsidP="00D112EC" w14:paraId="2B553806" w14:textId="442CAA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sidRPr="00242595">
        <w:rPr>
          <w:rFonts w:ascii="Times New Roman" w:hAnsi="Times New Roman"/>
          <w:b w:val="0"/>
          <w:i w:val="0"/>
          <w:iCs w:val="0"/>
        </w:rPr>
        <w:t xml:space="preserve">SSA does not use statistical methods for this information collection.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E927BF"/>
    <w:multiLevelType w:val="hybridMultilevel"/>
    <w:tmpl w:val="AB58BF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4">
    <w:nsid w:val="44FF3A36"/>
    <w:multiLevelType w:val="hybridMultilevel"/>
    <w:tmpl w:val="23A02D6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0185517"/>
    <w:multiLevelType w:val="hybridMultilevel"/>
    <w:tmpl w:val="37CCE7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1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1">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2">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3">
    <w:nsid w:val="7DD81126"/>
    <w:multiLevelType w:val="hybridMultilevel"/>
    <w:tmpl w:val="CAEEAF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22585203">
    <w:abstractNumId w:val="9"/>
  </w:num>
  <w:num w:numId="2" w16cid:durableId="1143542060">
    <w:abstractNumId w:val="3"/>
  </w:num>
  <w:num w:numId="3" w16cid:durableId="690649216">
    <w:abstractNumId w:val="12"/>
  </w:num>
  <w:num w:numId="4" w16cid:durableId="1809399618">
    <w:abstractNumId w:val="11"/>
  </w:num>
  <w:num w:numId="5" w16cid:durableId="2071877668">
    <w:abstractNumId w:val="10"/>
  </w:num>
  <w:num w:numId="6" w16cid:durableId="1284649388">
    <w:abstractNumId w:val="5"/>
  </w:num>
  <w:num w:numId="7" w16cid:durableId="1141265282">
    <w:abstractNumId w:val="8"/>
  </w:num>
  <w:num w:numId="8" w16cid:durableId="1535655529">
    <w:abstractNumId w:val="0"/>
  </w:num>
  <w:num w:numId="9" w16cid:durableId="2029720528">
    <w:abstractNumId w:val="6"/>
  </w:num>
  <w:num w:numId="10" w16cid:durableId="1261331062">
    <w:abstractNumId w:val="1"/>
  </w:num>
  <w:num w:numId="11" w16cid:durableId="1339312600">
    <w:abstractNumId w:val="7"/>
  </w:num>
  <w:num w:numId="12" w16cid:durableId="618950034">
    <w:abstractNumId w:val="2"/>
  </w:num>
  <w:num w:numId="13" w16cid:durableId="1067192744">
    <w:abstractNumId w:val="13"/>
  </w:num>
  <w:num w:numId="14" w16cid:durableId="19052210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10FCB"/>
    <w:rsid w:val="00015F56"/>
    <w:rsid w:val="00017B19"/>
    <w:rsid w:val="000222A7"/>
    <w:rsid w:val="00023F51"/>
    <w:rsid w:val="00025216"/>
    <w:rsid w:val="00025D75"/>
    <w:rsid w:val="0002677F"/>
    <w:rsid w:val="00030D1E"/>
    <w:rsid w:val="00031304"/>
    <w:rsid w:val="00032050"/>
    <w:rsid w:val="000366BE"/>
    <w:rsid w:val="00046E00"/>
    <w:rsid w:val="00051265"/>
    <w:rsid w:val="00061926"/>
    <w:rsid w:val="00063A05"/>
    <w:rsid w:val="00064229"/>
    <w:rsid w:val="0006715D"/>
    <w:rsid w:val="0007189E"/>
    <w:rsid w:val="00072595"/>
    <w:rsid w:val="00077720"/>
    <w:rsid w:val="00077E0E"/>
    <w:rsid w:val="00086E84"/>
    <w:rsid w:val="0009317C"/>
    <w:rsid w:val="000958AA"/>
    <w:rsid w:val="00095BF9"/>
    <w:rsid w:val="000A6AE3"/>
    <w:rsid w:val="000B2B68"/>
    <w:rsid w:val="000B3B12"/>
    <w:rsid w:val="000B6608"/>
    <w:rsid w:val="000C151C"/>
    <w:rsid w:val="000C1D18"/>
    <w:rsid w:val="000C30D4"/>
    <w:rsid w:val="000C6ACE"/>
    <w:rsid w:val="000D1506"/>
    <w:rsid w:val="000D2D0D"/>
    <w:rsid w:val="000D5F5C"/>
    <w:rsid w:val="00100257"/>
    <w:rsid w:val="00121032"/>
    <w:rsid w:val="00122EE2"/>
    <w:rsid w:val="00127980"/>
    <w:rsid w:val="00130EE5"/>
    <w:rsid w:val="00134FB2"/>
    <w:rsid w:val="00137268"/>
    <w:rsid w:val="00137CF3"/>
    <w:rsid w:val="00141B2D"/>
    <w:rsid w:val="00145796"/>
    <w:rsid w:val="00146275"/>
    <w:rsid w:val="0015576E"/>
    <w:rsid w:val="00157AD6"/>
    <w:rsid w:val="00157E4E"/>
    <w:rsid w:val="00161A18"/>
    <w:rsid w:val="0016591F"/>
    <w:rsid w:val="00175149"/>
    <w:rsid w:val="001751D3"/>
    <w:rsid w:val="00175842"/>
    <w:rsid w:val="001779F3"/>
    <w:rsid w:val="00184942"/>
    <w:rsid w:val="00186C90"/>
    <w:rsid w:val="00192897"/>
    <w:rsid w:val="00197E16"/>
    <w:rsid w:val="001A3317"/>
    <w:rsid w:val="001A3C4F"/>
    <w:rsid w:val="001A65F9"/>
    <w:rsid w:val="001B2B88"/>
    <w:rsid w:val="001B6D77"/>
    <w:rsid w:val="001B7CF4"/>
    <w:rsid w:val="001C57CE"/>
    <w:rsid w:val="001C6D3A"/>
    <w:rsid w:val="001D0B21"/>
    <w:rsid w:val="001D2BEA"/>
    <w:rsid w:val="001D74EB"/>
    <w:rsid w:val="001E1037"/>
    <w:rsid w:val="001E1076"/>
    <w:rsid w:val="00201C71"/>
    <w:rsid w:val="00201CD3"/>
    <w:rsid w:val="00202C06"/>
    <w:rsid w:val="00202FEC"/>
    <w:rsid w:val="002055CF"/>
    <w:rsid w:val="00211D9E"/>
    <w:rsid w:val="00220D60"/>
    <w:rsid w:val="002321B0"/>
    <w:rsid w:val="00236EAC"/>
    <w:rsid w:val="0024030F"/>
    <w:rsid w:val="002412F9"/>
    <w:rsid w:val="00242595"/>
    <w:rsid w:val="00246836"/>
    <w:rsid w:val="00247D34"/>
    <w:rsid w:val="0026052B"/>
    <w:rsid w:val="00261834"/>
    <w:rsid w:val="00261904"/>
    <w:rsid w:val="00261CCD"/>
    <w:rsid w:val="00273964"/>
    <w:rsid w:val="00276AAF"/>
    <w:rsid w:val="002801F8"/>
    <w:rsid w:val="00283B5A"/>
    <w:rsid w:val="0029552B"/>
    <w:rsid w:val="002A0E66"/>
    <w:rsid w:val="002A4C30"/>
    <w:rsid w:val="002A67C0"/>
    <w:rsid w:val="002B0820"/>
    <w:rsid w:val="002B3D01"/>
    <w:rsid w:val="002B4668"/>
    <w:rsid w:val="002B5578"/>
    <w:rsid w:val="002B653A"/>
    <w:rsid w:val="002C01A3"/>
    <w:rsid w:val="002C0736"/>
    <w:rsid w:val="002D26B1"/>
    <w:rsid w:val="002D534E"/>
    <w:rsid w:val="002E18CF"/>
    <w:rsid w:val="002E335E"/>
    <w:rsid w:val="002F1C11"/>
    <w:rsid w:val="00302545"/>
    <w:rsid w:val="003176E1"/>
    <w:rsid w:val="00320260"/>
    <w:rsid w:val="003208E4"/>
    <w:rsid w:val="00324DD1"/>
    <w:rsid w:val="00331821"/>
    <w:rsid w:val="00333D3D"/>
    <w:rsid w:val="003372D8"/>
    <w:rsid w:val="00337DA0"/>
    <w:rsid w:val="00340D7D"/>
    <w:rsid w:val="003413CC"/>
    <w:rsid w:val="003444C2"/>
    <w:rsid w:val="003465DC"/>
    <w:rsid w:val="003469CA"/>
    <w:rsid w:val="00347044"/>
    <w:rsid w:val="0035187E"/>
    <w:rsid w:val="00356D2C"/>
    <w:rsid w:val="003604D6"/>
    <w:rsid w:val="003655AB"/>
    <w:rsid w:val="0036696D"/>
    <w:rsid w:val="00370FC1"/>
    <w:rsid w:val="0037529B"/>
    <w:rsid w:val="0037783A"/>
    <w:rsid w:val="0038050B"/>
    <w:rsid w:val="00380733"/>
    <w:rsid w:val="0038313E"/>
    <w:rsid w:val="003853A3"/>
    <w:rsid w:val="00387758"/>
    <w:rsid w:val="0039132D"/>
    <w:rsid w:val="0039672D"/>
    <w:rsid w:val="003A11C9"/>
    <w:rsid w:val="003A1826"/>
    <w:rsid w:val="003A2EEE"/>
    <w:rsid w:val="003A6D10"/>
    <w:rsid w:val="003A6E57"/>
    <w:rsid w:val="003A71A9"/>
    <w:rsid w:val="003B15EC"/>
    <w:rsid w:val="003B30B4"/>
    <w:rsid w:val="003B5CA3"/>
    <w:rsid w:val="003C10BD"/>
    <w:rsid w:val="003C4998"/>
    <w:rsid w:val="003C4DF6"/>
    <w:rsid w:val="003C53DF"/>
    <w:rsid w:val="003E145C"/>
    <w:rsid w:val="003E3DC6"/>
    <w:rsid w:val="003F00B3"/>
    <w:rsid w:val="003F4B04"/>
    <w:rsid w:val="003F7184"/>
    <w:rsid w:val="0040100A"/>
    <w:rsid w:val="00401CB1"/>
    <w:rsid w:val="00401DE1"/>
    <w:rsid w:val="00403202"/>
    <w:rsid w:val="00405548"/>
    <w:rsid w:val="0041131C"/>
    <w:rsid w:val="004143D6"/>
    <w:rsid w:val="004145D2"/>
    <w:rsid w:val="004238CA"/>
    <w:rsid w:val="0042463F"/>
    <w:rsid w:val="00431069"/>
    <w:rsid w:val="004317CB"/>
    <w:rsid w:val="00432226"/>
    <w:rsid w:val="00432B54"/>
    <w:rsid w:val="00441961"/>
    <w:rsid w:val="00447EE9"/>
    <w:rsid w:val="0045065A"/>
    <w:rsid w:val="004509AD"/>
    <w:rsid w:val="00453883"/>
    <w:rsid w:val="004564A2"/>
    <w:rsid w:val="00475350"/>
    <w:rsid w:val="00481B44"/>
    <w:rsid w:val="00484662"/>
    <w:rsid w:val="004915B5"/>
    <w:rsid w:val="004938D4"/>
    <w:rsid w:val="00495B43"/>
    <w:rsid w:val="004A0AB4"/>
    <w:rsid w:val="004A4143"/>
    <w:rsid w:val="004A6852"/>
    <w:rsid w:val="004B637C"/>
    <w:rsid w:val="004C5327"/>
    <w:rsid w:val="004C575F"/>
    <w:rsid w:val="004D1CFF"/>
    <w:rsid w:val="004E146D"/>
    <w:rsid w:val="004F3313"/>
    <w:rsid w:val="0050197F"/>
    <w:rsid w:val="0050304C"/>
    <w:rsid w:val="0050305A"/>
    <w:rsid w:val="005040EC"/>
    <w:rsid w:val="00506486"/>
    <w:rsid w:val="00511C5E"/>
    <w:rsid w:val="00525A0D"/>
    <w:rsid w:val="00527FAF"/>
    <w:rsid w:val="00530BF0"/>
    <w:rsid w:val="00531075"/>
    <w:rsid w:val="005438F0"/>
    <w:rsid w:val="00546474"/>
    <w:rsid w:val="00557E27"/>
    <w:rsid w:val="0056163C"/>
    <w:rsid w:val="005623CF"/>
    <w:rsid w:val="005721D4"/>
    <w:rsid w:val="00574BA4"/>
    <w:rsid w:val="00575B35"/>
    <w:rsid w:val="005772E8"/>
    <w:rsid w:val="005906B5"/>
    <w:rsid w:val="005926F8"/>
    <w:rsid w:val="00593A36"/>
    <w:rsid w:val="00594CB3"/>
    <w:rsid w:val="00596DAD"/>
    <w:rsid w:val="005A1198"/>
    <w:rsid w:val="005B15E5"/>
    <w:rsid w:val="005B46DE"/>
    <w:rsid w:val="005B5668"/>
    <w:rsid w:val="005B736C"/>
    <w:rsid w:val="005C224E"/>
    <w:rsid w:val="005C229C"/>
    <w:rsid w:val="005C2C39"/>
    <w:rsid w:val="005D3D23"/>
    <w:rsid w:val="005D4107"/>
    <w:rsid w:val="005D5B33"/>
    <w:rsid w:val="005D7BD8"/>
    <w:rsid w:val="005E2333"/>
    <w:rsid w:val="005E308D"/>
    <w:rsid w:val="005E7479"/>
    <w:rsid w:val="005F208A"/>
    <w:rsid w:val="005F3215"/>
    <w:rsid w:val="006002DD"/>
    <w:rsid w:val="006013A3"/>
    <w:rsid w:val="00605D67"/>
    <w:rsid w:val="00607D54"/>
    <w:rsid w:val="00611AE8"/>
    <w:rsid w:val="00615E8F"/>
    <w:rsid w:val="006160ED"/>
    <w:rsid w:val="00621903"/>
    <w:rsid w:val="00621994"/>
    <w:rsid w:val="00621E6B"/>
    <w:rsid w:val="006249AE"/>
    <w:rsid w:val="00625B71"/>
    <w:rsid w:val="00626C22"/>
    <w:rsid w:val="00631F1B"/>
    <w:rsid w:val="0063304D"/>
    <w:rsid w:val="00636969"/>
    <w:rsid w:val="00637AF5"/>
    <w:rsid w:val="00640A26"/>
    <w:rsid w:val="00642842"/>
    <w:rsid w:val="0064555B"/>
    <w:rsid w:val="00650878"/>
    <w:rsid w:val="006533DA"/>
    <w:rsid w:val="0065348C"/>
    <w:rsid w:val="00662DA6"/>
    <w:rsid w:val="00663881"/>
    <w:rsid w:val="00664071"/>
    <w:rsid w:val="00664553"/>
    <w:rsid w:val="0067298F"/>
    <w:rsid w:val="00674685"/>
    <w:rsid w:val="006806E1"/>
    <w:rsid w:val="0068378A"/>
    <w:rsid w:val="00690595"/>
    <w:rsid w:val="0069667B"/>
    <w:rsid w:val="006A19D0"/>
    <w:rsid w:val="006B173F"/>
    <w:rsid w:val="006B17EF"/>
    <w:rsid w:val="006B1946"/>
    <w:rsid w:val="006B297F"/>
    <w:rsid w:val="006B7A92"/>
    <w:rsid w:val="006C2A8B"/>
    <w:rsid w:val="006D6316"/>
    <w:rsid w:val="006D6A8E"/>
    <w:rsid w:val="006D6AE4"/>
    <w:rsid w:val="006D76B7"/>
    <w:rsid w:val="006E242C"/>
    <w:rsid w:val="006E2FB4"/>
    <w:rsid w:val="006E59B6"/>
    <w:rsid w:val="006F2B8B"/>
    <w:rsid w:val="006F2EAC"/>
    <w:rsid w:val="006F4D0F"/>
    <w:rsid w:val="0070479A"/>
    <w:rsid w:val="00707016"/>
    <w:rsid w:val="00711439"/>
    <w:rsid w:val="00712F1B"/>
    <w:rsid w:val="0071437B"/>
    <w:rsid w:val="007232BB"/>
    <w:rsid w:val="007245C9"/>
    <w:rsid w:val="00724A44"/>
    <w:rsid w:val="007256B3"/>
    <w:rsid w:val="00740FE2"/>
    <w:rsid w:val="00742B56"/>
    <w:rsid w:val="00745462"/>
    <w:rsid w:val="007553BA"/>
    <w:rsid w:val="00756BB8"/>
    <w:rsid w:val="00760EEB"/>
    <w:rsid w:val="007611CB"/>
    <w:rsid w:val="007752C0"/>
    <w:rsid w:val="00782243"/>
    <w:rsid w:val="007925E7"/>
    <w:rsid w:val="00795BAB"/>
    <w:rsid w:val="007A08D1"/>
    <w:rsid w:val="007A2DEE"/>
    <w:rsid w:val="007A598A"/>
    <w:rsid w:val="007B007C"/>
    <w:rsid w:val="007C0384"/>
    <w:rsid w:val="007D019A"/>
    <w:rsid w:val="007D061D"/>
    <w:rsid w:val="007D110B"/>
    <w:rsid w:val="007D22EB"/>
    <w:rsid w:val="007D30F5"/>
    <w:rsid w:val="007D4712"/>
    <w:rsid w:val="007E17BD"/>
    <w:rsid w:val="007F31D5"/>
    <w:rsid w:val="00800710"/>
    <w:rsid w:val="008041B4"/>
    <w:rsid w:val="00805CA9"/>
    <w:rsid w:val="00806984"/>
    <w:rsid w:val="00810485"/>
    <w:rsid w:val="00814772"/>
    <w:rsid w:val="00824BE2"/>
    <w:rsid w:val="00824D72"/>
    <w:rsid w:val="00825B97"/>
    <w:rsid w:val="00831CCD"/>
    <w:rsid w:val="008328C6"/>
    <w:rsid w:val="00835B5E"/>
    <w:rsid w:val="0084775D"/>
    <w:rsid w:val="008569D1"/>
    <w:rsid w:val="0086463A"/>
    <w:rsid w:val="00864C9A"/>
    <w:rsid w:val="008754ED"/>
    <w:rsid w:val="00876482"/>
    <w:rsid w:val="0089038F"/>
    <w:rsid w:val="00891CA8"/>
    <w:rsid w:val="00892089"/>
    <w:rsid w:val="00892E12"/>
    <w:rsid w:val="008A1465"/>
    <w:rsid w:val="008A66BE"/>
    <w:rsid w:val="008B2A43"/>
    <w:rsid w:val="008B4181"/>
    <w:rsid w:val="008B6774"/>
    <w:rsid w:val="008D158E"/>
    <w:rsid w:val="008D44E7"/>
    <w:rsid w:val="008D4D4C"/>
    <w:rsid w:val="008E3A3A"/>
    <w:rsid w:val="008E71A4"/>
    <w:rsid w:val="008F0C60"/>
    <w:rsid w:val="0090057B"/>
    <w:rsid w:val="00906892"/>
    <w:rsid w:val="00917215"/>
    <w:rsid w:val="009225B6"/>
    <w:rsid w:val="00923677"/>
    <w:rsid w:val="00924673"/>
    <w:rsid w:val="009252AB"/>
    <w:rsid w:val="00927949"/>
    <w:rsid w:val="00934D27"/>
    <w:rsid w:val="009440B6"/>
    <w:rsid w:val="00951258"/>
    <w:rsid w:val="0095241E"/>
    <w:rsid w:val="00952C5B"/>
    <w:rsid w:val="009556E5"/>
    <w:rsid w:val="00955EC4"/>
    <w:rsid w:val="0096030D"/>
    <w:rsid w:val="00960883"/>
    <w:rsid w:val="00960C6A"/>
    <w:rsid w:val="00961D46"/>
    <w:rsid w:val="009748B6"/>
    <w:rsid w:val="00975DD8"/>
    <w:rsid w:val="00976C5B"/>
    <w:rsid w:val="00976CC0"/>
    <w:rsid w:val="00980853"/>
    <w:rsid w:val="00983CD5"/>
    <w:rsid w:val="00997554"/>
    <w:rsid w:val="009A0B16"/>
    <w:rsid w:val="009A2286"/>
    <w:rsid w:val="009C6664"/>
    <w:rsid w:val="009C6E13"/>
    <w:rsid w:val="009E3C50"/>
    <w:rsid w:val="009E3C5C"/>
    <w:rsid w:val="009F23D6"/>
    <w:rsid w:val="009F7BB3"/>
    <w:rsid w:val="00A02F22"/>
    <w:rsid w:val="00A03476"/>
    <w:rsid w:val="00A036AF"/>
    <w:rsid w:val="00A044D9"/>
    <w:rsid w:val="00A06BE2"/>
    <w:rsid w:val="00A06ECC"/>
    <w:rsid w:val="00A11D6B"/>
    <w:rsid w:val="00A160D4"/>
    <w:rsid w:val="00A16C62"/>
    <w:rsid w:val="00A21464"/>
    <w:rsid w:val="00A32C8F"/>
    <w:rsid w:val="00A337E4"/>
    <w:rsid w:val="00A33C65"/>
    <w:rsid w:val="00A34222"/>
    <w:rsid w:val="00A344D2"/>
    <w:rsid w:val="00A353C9"/>
    <w:rsid w:val="00A43EA8"/>
    <w:rsid w:val="00A45D82"/>
    <w:rsid w:val="00A47EFB"/>
    <w:rsid w:val="00A5574D"/>
    <w:rsid w:val="00A651A7"/>
    <w:rsid w:val="00A6680B"/>
    <w:rsid w:val="00A67D76"/>
    <w:rsid w:val="00A706B8"/>
    <w:rsid w:val="00A72056"/>
    <w:rsid w:val="00A75E40"/>
    <w:rsid w:val="00A805BA"/>
    <w:rsid w:val="00A814B4"/>
    <w:rsid w:val="00A86A29"/>
    <w:rsid w:val="00A90DE2"/>
    <w:rsid w:val="00A97D57"/>
    <w:rsid w:val="00AA06A4"/>
    <w:rsid w:val="00AA0858"/>
    <w:rsid w:val="00AA0C27"/>
    <w:rsid w:val="00AA6250"/>
    <w:rsid w:val="00AB0CA7"/>
    <w:rsid w:val="00AB124A"/>
    <w:rsid w:val="00AB4952"/>
    <w:rsid w:val="00AB4FD8"/>
    <w:rsid w:val="00AB6E4A"/>
    <w:rsid w:val="00AC2E93"/>
    <w:rsid w:val="00AC39FD"/>
    <w:rsid w:val="00AC49ED"/>
    <w:rsid w:val="00AD0977"/>
    <w:rsid w:val="00AE0527"/>
    <w:rsid w:val="00AE7EF8"/>
    <w:rsid w:val="00AF3983"/>
    <w:rsid w:val="00AF39F3"/>
    <w:rsid w:val="00AF3BEA"/>
    <w:rsid w:val="00AF7234"/>
    <w:rsid w:val="00B007C5"/>
    <w:rsid w:val="00B01D57"/>
    <w:rsid w:val="00B05E0A"/>
    <w:rsid w:val="00B1614B"/>
    <w:rsid w:val="00B231D1"/>
    <w:rsid w:val="00B259EB"/>
    <w:rsid w:val="00B31487"/>
    <w:rsid w:val="00B33B52"/>
    <w:rsid w:val="00B33CB5"/>
    <w:rsid w:val="00B35478"/>
    <w:rsid w:val="00B41A1D"/>
    <w:rsid w:val="00B47D31"/>
    <w:rsid w:val="00B50E0A"/>
    <w:rsid w:val="00B510B7"/>
    <w:rsid w:val="00B51EF0"/>
    <w:rsid w:val="00B525CA"/>
    <w:rsid w:val="00B52B42"/>
    <w:rsid w:val="00B61ED3"/>
    <w:rsid w:val="00B63E9D"/>
    <w:rsid w:val="00B64AF6"/>
    <w:rsid w:val="00B67695"/>
    <w:rsid w:val="00B70735"/>
    <w:rsid w:val="00B741F6"/>
    <w:rsid w:val="00B76442"/>
    <w:rsid w:val="00B8606B"/>
    <w:rsid w:val="00B92550"/>
    <w:rsid w:val="00B95ADE"/>
    <w:rsid w:val="00BA1653"/>
    <w:rsid w:val="00BA401A"/>
    <w:rsid w:val="00BB2324"/>
    <w:rsid w:val="00BB38E4"/>
    <w:rsid w:val="00BC177F"/>
    <w:rsid w:val="00BC5531"/>
    <w:rsid w:val="00BC64F1"/>
    <w:rsid w:val="00BC6AE3"/>
    <w:rsid w:val="00BC7F42"/>
    <w:rsid w:val="00BD04F0"/>
    <w:rsid w:val="00BD74FC"/>
    <w:rsid w:val="00BF026F"/>
    <w:rsid w:val="00BF4955"/>
    <w:rsid w:val="00C0096B"/>
    <w:rsid w:val="00C0290B"/>
    <w:rsid w:val="00C07CA9"/>
    <w:rsid w:val="00C22097"/>
    <w:rsid w:val="00C2424A"/>
    <w:rsid w:val="00C25A78"/>
    <w:rsid w:val="00C25FDC"/>
    <w:rsid w:val="00C34553"/>
    <w:rsid w:val="00C34A91"/>
    <w:rsid w:val="00C3773C"/>
    <w:rsid w:val="00C377BC"/>
    <w:rsid w:val="00C5104E"/>
    <w:rsid w:val="00C552DA"/>
    <w:rsid w:val="00C60E61"/>
    <w:rsid w:val="00C64088"/>
    <w:rsid w:val="00C653EF"/>
    <w:rsid w:val="00C67C8A"/>
    <w:rsid w:val="00C67F83"/>
    <w:rsid w:val="00C703E3"/>
    <w:rsid w:val="00C74924"/>
    <w:rsid w:val="00C74A43"/>
    <w:rsid w:val="00C80373"/>
    <w:rsid w:val="00C93220"/>
    <w:rsid w:val="00C932AD"/>
    <w:rsid w:val="00C941E2"/>
    <w:rsid w:val="00CA0B15"/>
    <w:rsid w:val="00CA5F75"/>
    <w:rsid w:val="00CA6CAE"/>
    <w:rsid w:val="00CB57F1"/>
    <w:rsid w:val="00CB6CD2"/>
    <w:rsid w:val="00CB7253"/>
    <w:rsid w:val="00CB7557"/>
    <w:rsid w:val="00CC15F7"/>
    <w:rsid w:val="00CC6A14"/>
    <w:rsid w:val="00CC7CF3"/>
    <w:rsid w:val="00CD07B4"/>
    <w:rsid w:val="00CD0CB4"/>
    <w:rsid w:val="00CD1E2A"/>
    <w:rsid w:val="00CD4020"/>
    <w:rsid w:val="00CD667A"/>
    <w:rsid w:val="00CE1D4E"/>
    <w:rsid w:val="00CE23C1"/>
    <w:rsid w:val="00CE64E6"/>
    <w:rsid w:val="00CF0595"/>
    <w:rsid w:val="00CF46FB"/>
    <w:rsid w:val="00CF7975"/>
    <w:rsid w:val="00D0011E"/>
    <w:rsid w:val="00D03E8A"/>
    <w:rsid w:val="00D0756C"/>
    <w:rsid w:val="00D112EC"/>
    <w:rsid w:val="00D11D0F"/>
    <w:rsid w:val="00D157BC"/>
    <w:rsid w:val="00D24718"/>
    <w:rsid w:val="00D25E20"/>
    <w:rsid w:val="00D26E23"/>
    <w:rsid w:val="00D33F3F"/>
    <w:rsid w:val="00D35331"/>
    <w:rsid w:val="00D423AE"/>
    <w:rsid w:val="00D42EFE"/>
    <w:rsid w:val="00D44900"/>
    <w:rsid w:val="00D5426A"/>
    <w:rsid w:val="00D5531A"/>
    <w:rsid w:val="00D569B8"/>
    <w:rsid w:val="00D64AEC"/>
    <w:rsid w:val="00D678F8"/>
    <w:rsid w:val="00D702A8"/>
    <w:rsid w:val="00D7069E"/>
    <w:rsid w:val="00D71BB7"/>
    <w:rsid w:val="00D72472"/>
    <w:rsid w:val="00D764DF"/>
    <w:rsid w:val="00D81A25"/>
    <w:rsid w:val="00D829F7"/>
    <w:rsid w:val="00D8655B"/>
    <w:rsid w:val="00D916F4"/>
    <w:rsid w:val="00DA66AA"/>
    <w:rsid w:val="00DB1DB4"/>
    <w:rsid w:val="00DC0E92"/>
    <w:rsid w:val="00DC2FA7"/>
    <w:rsid w:val="00DC600E"/>
    <w:rsid w:val="00DC647A"/>
    <w:rsid w:val="00DD494D"/>
    <w:rsid w:val="00DD571F"/>
    <w:rsid w:val="00DE156B"/>
    <w:rsid w:val="00DE468A"/>
    <w:rsid w:val="00DE4C26"/>
    <w:rsid w:val="00DE6186"/>
    <w:rsid w:val="00DF5CB0"/>
    <w:rsid w:val="00E0137B"/>
    <w:rsid w:val="00E022D2"/>
    <w:rsid w:val="00E041DD"/>
    <w:rsid w:val="00E065DA"/>
    <w:rsid w:val="00E134C7"/>
    <w:rsid w:val="00E14D74"/>
    <w:rsid w:val="00E167E0"/>
    <w:rsid w:val="00E3164F"/>
    <w:rsid w:val="00E31D7D"/>
    <w:rsid w:val="00E34236"/>
    <w:rsid w:val="00E415E4"/>
    <w:rsid w:val="00E437C5"/>
    <w:rsid w:val="00E44B7F"/>
    <w:rsid w:val="00E61623"/>
    <w:rsid w:val="00E6420B"/>
    <w:rsid w:val="00E75DB0"/>
    <w:rsid w:val="00E80456"/>
    <w:rsid w:val="00E9225A"/>
    <w:rsid w:val="00E956F3"/>
    <w:rsid w:val="00E972E9"/>
    <w:rsid w:val="00EA6845"/>
    <w:rsid w:val="00EB0A71"/>
    <w:rsid w:val="00EB2506"/>
    <w:rsid w:val="00EB59C7"/>
    <w:rsid w:val="00EB6B50"/>
    <w:rsid w:val="00EC3231"/>
    <w:rsid w:val="00EC40C4"/>
    <w:rsid w:val="00EC7D31"/>
    <w:rsid w:val="00EC7EFD"/>
    <w:rsid w:val="00ED335B"/>
    <w:rsid w:val="00ED36D8"/>
    <w:rsid w:val="00ED37F1"/>
    <w:rsid w:val="00ED57B1"/>
    <w:rsid w:val="00EE265F"/>
    <w:rsid w:val="00EE6086"/>
    <w:rsid w:val="00EF4071"/>
    <w:rsid w:val="00EF765F"/>
    <w:rsid w:val="00F018B8"/>
    <w:rsid w:val="00F028DE"/>
    <w:rsid w:val="00F0585C"/>
    <w:rsid w:val="00F107B7"/>
    <w:rsid w:val="00F11F57"/>
    <w:rsid w:val="00F14BA8"/>
    <w:rsid w:val="00F15EF8"/>
    <w:rsid w:val="00F165CD"/>
    <w:rsid w:val="00F2154D"/>
    <w:rsid w:val="00F303C5"/>
    <w:rsid w:val="00F36E53"/>
    <w:rsid w:val="00F4316C"/>
    <w:rsid w:val="00F46176"/>
    <w:rsid w:val="00F5149E"/>
    <w:rsid w:val="00F56A74"/>
    <w:rsid w:val="00F57AD9"/>
    <w:rsid w:val="00F605BA"/>
    <w:rsid w:val="00F668DE"/>
    <w:rsid w:val="00F66943"/>
    <w:rsid w:val="00F76476"/>
    <w:rsid w:val="00F77B76"/>
    <w:rsid w:val="00F81CDB"/>
    <w:rsid w:val="00F832E5"/>
    <w:rsid w:val="00F862EB"/>
    <w:rsid w:val="00F870A3"/>
    <w:rsid w:val="00F87BEB"/>
    <w:rsid w:val="00F91762"/>
    <w:rsid w:val="00F927E8"/>
    <w:rsid w:val="00F9405B"/>
    <w:rsid w:val="00FA0FE2"/>
    <w:rsid w:val="00FA208A"/>
    <w:rsid w:val="00FA34E8"/>
    <w:rsid w:val="00FA640B"/>
    <w:rsid w:val="00FA69F0"/>
    <w:rsid w:val="00FA7D4E"/>
    <w:rsid w:val="00FB0091"/>
    <w:rsid w:val="00FB54F6"/>
    <w:rsid w:val="00FC3B31"/>
    <w:rsid w:val="00FD19C1"/>
    <w:rsid w:val="00FD40ED"/>
    <w:rsid w:val="00FD549D"/>
    <w:rsid w:val="00FD6374"/>
    <w:rsid w:val="00FF2660"/>
    <w:rsid w:val="00FF4F8C"/>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2DB7B1D8-D2AB-4C32-AD91-2F45E997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uiPriority w:val="99"/>
    <w:semiHidden/>
    <w:rsid w:val="00D112EC"/>
    <w:rPr>
      <w:rFonts w:ascii="Courier" w:eastAsia="Times New Roman" w:hAnsi="Courier"/>
      <w:snapToGrid w:val="0"/>
    </w:rPr>
  </w:style>
  <w:style w:type="paragraph" w:styleId="Revision">
    <w:name w:val="Revision"/>
    <w:hidden/>
    <w:uiPriority w:val="99"/>
    <w:semiHidden/>
    <w:rsid w:val="00ED37F1"/>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sa.gov/oact/COLA/colaeffec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D25B396C29C4BAB4365C6430030D4" ma:contentTypeVersion="6" ma:contentTypeDescription="Create a new document." ma:contentTypeScope="" ma:versionID="b3f839450edf5e942cf888ccf8908cb6">
  <xsd:schema xmlns:xsd="http://www.w3.org/2001/XMLSchema" xmlns:xs="http://www.w3.org/2001/XMLSchema" xmlns:p="http://schemas.microsoft.com/office/2006/metadata/properties" xmlns:ns2="8db49be1-09eb-4a45-93ca-985e733226fc" targetNamespace="http://schemas.microsoft.com/office/2006/metadata/properties" ma:root="true" ma:fieldsID="d0d4d1e881b2de43ea8f5e5ebef826a1" ns2:_="">
    <xsd:import namespace="8db49be1-09eb-4a45-93ca-985e733226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9be1-09eb-4a45-93ca-985e73322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8BA2-1507-422B-8400-397763A2C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49be1-09eb-4a45-93ca-985e73322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5BB84-331E-462F-968B-7603515D9428}">
  <ds:schemaRefs>
    <ds:schemaRef ds:uri="http://schemas.microsoft.com/sharepoint/v3/contenttype/forms"/>
  </ds:schemaRefs>
</ds:datastoreItem>
</file>

<file path=customXml/itemProps3.xml><?xml version="1.0" encoding="utf-8"?>
<ds:datastoreItem xmlns:ds="http://schemas.openxmlformats.org/officeDocument/2006/customXml" ds:itemID="{89DEF509-A957-4F31-8AC7-99116C2F6379}">
  <ds:schemaRefs>
    <ds:schemaRef ds:uri="http://schemas.microsoft.com/sharepoint/events"/>
  </ds:schemaRefs>
</ds:datastoreItem>
</file>

<file path=customXml/itemProps4.xml><?xml version="1.0" encoding="utf-8"?>
<ds:datastoreItem xmlns:ds="http://schemas.openxmlformats.org/officeDocument/2006/customXml" ds:itemID="{B0FA54F7-D928-4ACD-BB86-EFA75647CA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4001</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Reports Clearance</cp:lastModifiedBy>
  <cp:revision>2</cp:revision>
  <dcterms:created xsi:type="dcterms:W3CDTF">2026-01-07T20:18:00Z</dcterms:created>
  <dcterms:modified xsi:type="dcterms:W3CDTF">2026-01-07T20:18:00Z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0x010100802D25B396C29C4BAB4365C6430030D4</vt:lpwstr>
  </property>
  <property fmtid="{D5CDD505-2E9C-101B-9397-08002B2CF9AE}" pid="3" name="_AdHocReviewCycleID">
    <vt:i4>-1539538525</vt:i4>
  </property>
  <property fmtid="{D5CDD505-2E9C-101B-9397-08002B2CF9AE}" pid="4" name="_AuthorEmail">
    <vt:lpwstr>Stefanie.Bolls@ssa.gov</vt:lpwstr>
  </property>
  <property fmtid="{D5CDD505-2E9C-101B-9397-08002B2CF9AE}" pid="5" name="_AuthorEmailDisplayName">
    <vt:lpwstr>Bolls, Stefanie</vt:lpwstr>
  </property>
  <property fmtid="{D5CDD505-2E9C-101B-9397-08002B2CF9AE}" pid="6" name="_EmailSubject">
    <vt:lpwstr>Burden Estimates for the SSA-454</vt:lpwstr>
  </property>
  <property fmtid="{D5CDD505-2E9C-101B-9397-08002B2CF9AE}" pid="7" name="_NewReviewCycle">
    <vt:lpwstr/>
  </property>
  <property fmtid="{D5CDD505-2E9C-101B-9397-08002B2CF9AE}" pid="8" name="_PreviousAdHocReviewCycleID">
    <vt:i4>922596952</vt:i4>
  </property>
  <property fmtid="{D5CDD505-2E9C-101B-9397-08002B2CF9AE}" pid="9" name="_ReviewingToolsShownOnce">
    <vt:lpwstr/>
  </property>
</Properties>
</file>