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9932F6" w:rsidRPr="00414201" w:rsidP="009932F6" w14:paraId="017B7340" w14:textId="502AB4DF">
      <w:pPr>
        <w:keepNext/>
        <w:widowControl w:val="0"/>
        <w:spacing w:after="0"/>
        <w:jc w:val="center"/>
        <w:outlineLvl w:val="0"/>
        <w:rPr>
          <w:rFonts w:ascii="Times New Roman" w:hAnsi="Times New Roman"/>
          <w:b/>
          <w:bCs/>
          <w:snapToGrid w:val="0"/>
          <w:szCs w:val="24"/>
        </w:rPr>
      </w:pPr>
      <w:r w:rsidRPr="00414201">
        <w:rPr>
          <w:rFonts w:ascii="Times New Roman" w:hAnsi="Times New Roman"/>
          <w:b/>
          <w:bCs/>
          <w:snapToGrid w:val="0"/>
          <w:szCs w:val="24"/>
        </w:rPr>
        <w:t>Supporting Statement for</w:t>
      </w:r>
      <w:r>
        <w:rPr>
          <w:rFonts w:ascii="Times New Roman" w:hAnsi="Times New Roman"/>
          <w:b/>
          <w:bCs/>
          <w:snapToGrid w:val="0"/>
          <w:szCs w:val="24"/>
        </w:rPr>
        <w:t xml:space="preserve"> </w:t>
      </w:r>
      <w:r w:rsidRPr="00414201">
        <w:rPr>
          <w:rFonts w:ascii="Times New Roman" w:hAnsi="Times New Roman"/>
          <w:b/>
          <w:bCs/>
          <w:snapToGrid w:val="0"/>
          <w:szCs w:val="24"/>
        </w:rPr>
        <w:t>Form Number</w:t>
      </w:r>
      <w:r>
        <w:rPr>
          <w:rFonts w:ascii="Times New Roman" w:hAnsi="Times New Roman"/>
          <w:b/>
          <w:bCs/>
          <w:snapToGrid w:val="0"/>
          <w:szCs w:val="24"/>
        </w:rPr>
        <w:t xml:space="preserve"> SSA-308</w:t>
      </w:r>
    </w:p>
    <w:p w:rsidR="005C3A10" w:rsidRPr="005C3A10" w:rsidP="005C3A10" w14:paraId="539A5CA1" w14:textId="2075ED24">
      <w:pPr>
        <w:keepNext/>
        <w:widowControl w:val="0"/>
        <w:snapToGrid w:val="0"/>
        <w:spacing w:after="0"/>
        <w:jc w:val="center"/>
        <w:outlineLvl w:val="0"/>
        <w:rPr>
          <w:rFonts w:ascii="Times New Roman" w:hAnsi="Times New Roman"/>
          <w:b/>
          <w:bCs/>
          <w:szCs w:val="24"/>
        </w:rPr>
      </w:pPr>
      <w:r w:rsidRPr="005C3A10">
        <w:rPr>
          <w:rFonts w:ascii="Times New Roman" w:hAnsi="Times New Roman"/>
          <w:b/>
          <w:bCs/>
          <w:szCs w:val="24"/>
        </w:rPr>
        <w:t>Modified Benefit Formula Questionnaire</w:t>
      </w:r>
      <w:r w:rsidR="009A0561">
        <w:rPr>
          <w:rFonts w:ascii="Times New Roman" w:hAnsi="Times New Roman"/>
          <w:b/>
          <w:bCs/>
          <w:szCs w:val="24"/>
        </w:rPr>
        <w:t xml:space="preserve"> – Foreign Pension</w:t>
      </w:r>
    </w:p>
    <w:p w:rsidR="00321412" w:rsidRPr="00321412" w:rsidP="00707AE7" w14:paraId="63E066B3" w14:textId="77777777">
      <w:pPr>
        <w:spacing w:after="0"/>
        <w:jc w:val="center"/>
        <w:rPr>
          <w:rFonts w:ascii="Times New Roman" w:hAnsi="Times New Roman"/>
          <w:b/>
        </w:rPr>
      </w:pPr>
      <w:r w:rsidRPr="00B10124">
        <w:rPr>
          <w:rFonts w:ascii="Times New Roman" w:hAnsi="Times New Roman"/>
          <w:b/>
        </w:rPr>
        <w:t xml:space="preserve">20 CFR </w:t>
      </w:r>
      <w:r w:rsidRPr="00B10124" w:rsidR="00B10124">
        <w:rPr>
          <w:rFonts w:ascii="Times New Roman" w:hAnsi="Times New Roman"/>
          <w:b/>
        </w:rPr>
        <w:t>404.213 and 404.243</w:t>
      </w:r>
    </w:p>
    <w:p w:rsidR="00B24A5E" w:rsidRPr="00B24A5E" w:rsidP="00B24A5E" w14:paraId="32D0D58B" w14:textId="77777777">
      <w:pPr>
        <w:keepNext/>
        <w:widowControl w:val="0"/>
        <w:tabs>
          <w:tab w:val="left" w:pos="-14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snapToGrid w:val="0"/>
        <w:spacing w:after="0"/>
        <w:jc w:val="center"/>
        <w:outlineLvl w:val="0"/>
        <w:rPr>
          <w:rFonts w:ascii="Times New Roman" w:hAnsi="Times New Roman"/>
          <w:bCs/>
          <w:szCs w:val="24"/>
        </w:rPr>
      </w:pPr>
      <w:r w:rsidRPr="00B24A5E">
        <w:rPr>
          <w:rFonts w:ascii="Times New Roman" w:hAnsi="Times New Roman"/>
          <w:b/>
          <w:bCs/>
          <w:snapToGrid w:val="0"/>
          <w:szCs w:val="24"/>
        </w:rPr>
        <w:t>OMB No. 0960-</w:t>
      </w:r>
      <w:r w:rsidRPr="00B24A5E">
        <w:rPr>
          <w:rFonts w:ascii="Times New Roman" w:hAnsi="Times New Roman"/>
          <w:b/>
          <w:bCs/>
          <w:szCs w:val="24"/>
        </w:rPr>
        <w:t>0561</w:t>
      </w:r>
    </w:p>
    <w:p w:rsidR="00321412" w:rsidP="00707AE7" w14:paraId="109CFA49" w14:textId="77777777">
      <w:pPr>
        <w:spacing w:after="0"/>
        <w:rPr>
          <w:rFonts w:ascii="Times New Roman" w:hAnsi="Times New Roman"/>
          <w:b/>
          <w:szCs w:val="24"/>
        </w:rPr>
      </w:pPr>
    </w:p>
    <w:p w:rsidR="00321412" w:rsidRPr="00321412" w:rsidP="00707AE7" w14:paraId="713A6C40" w14:textId="77777777">
      <w:pPr>
        <w:numPr>
          <w:ilvl w:val="0"/>
          <w:numId w:val="1"/>
        </w:numPr>
        <w:spacing w:after="0"/>
        <w:ind w:left="720" w:hanging="540"/>
        <w:rPr>
          <w:b/>
          <w:szCs w:val="24"/>
          <w:u w:val="single"/>
        </w:rPr>
      </w:pPr>
      <w:r w:rsidRPr="00321412">
        <w:rPr>
          <w:rFonts w:ascii="Times New Roman" w:hAnsi="Times New Roman"/>
          <w:b/>
          <w:szCs w:val="24"/>
          <w:u w:val="single"/>
        </w:rPr>
        <w:t>Justification</w:t>
      </w:r>
    </w:p>
    <w:p w:rsidR="00321412" w:rsidRPr="00321412" w:rsidP="00707AE7" w14:paraId="6957DA1E" w14:textId="77777777">
      <w:pPr>
        <w:spacing w:after="0"/>
        <w:ind w:left="360"/>
        <w:rPr>
          <w:b/>
          <w:szCs w:val="24"/>
        </w:rPr>
      </w:pPr>
    </w:p>
    <w:p w:rsidR="0049403E" w:rsidRPr="0049403E" w:rsidP="005D15AC" w14:paraId="6A57AF4D" w14:textId="77777777">
      <w:pPr>
        <w:numPr>
          <w:ilvl w:val="0"/>
          <w:numId w:val="2"/>
        </w:numPr>
        <w:spacing w:after="0"/>
        <w:ind w:left="900" w:firstLine="0"/>
        <w:rPr>
          <w:b/>
          <w:szCs w:val="24"/>
        </w:rPr>
      </w:pPr>
      <w:r>
        <w:rPr>
          <w:rFonts w:ascii="Times New Roman" w:hAnsi="Times New Roman"/>
          <w:b/>
        </w:rPr>
        <w:t>Introduction/</w:t>
      </w:r>
      <w:r w:rsidRPr="00BC7F42">
        <w:rPr>
          <w:rFonts w:ascii="Times New Roman" w:hAnsi="Times New Roman"/>
          <w:b/>
        </w:rPr>
        <w:t>Authoring Laws and Regulations</w:t>
      </w:r>
    </w:p>
    <w:p w:rsidR="009109B6" w:rsidP="00E44191" w14:paraId="40ED0739" w14:textId="4DAFE80B">
      <w:pPr>
        <w:spacing w:after="0"/>
        <w:ind w:left="1440"/>
        <w:rPr>
          <w:rFonts w:ascii="Times New Roman" w:eastAsia="Calibri" w:hAnsi="Times New Roman"/>
          <w:szCs w:val="24"/>
        </w:rPr>
      </w:pPr>
      <w:r w:rsidRPr="004831ED">
        <w:rPr>
          <w:rFonts w:ascii="Times New Roman" w:hAnsi="Times New Roman"/>
          <w:szCs w:val="24"/>
        </w:rPr>
        <w:t>Sections</w:t>
      </w:r>
      <w:r w:rsidRPr="004831ED">
        <w:rPr>
          <w:rFonts w:ascii="Times New Roman" w:hAnsi="Times New Roman"/>
          <w:i/>
          <w:szCs w:val="24"/>
        </w:rPr>
        <w:t xml:space="preserve"> 215(a)(7) </w:t>
      </w:r>
      <w:r w:rsidRPr="004831ED">
        <w:rPr>
          <w:rFonts w:ascii="Times New Roman" w:hAnsi="Times New Roman"/>
          <w:szCs w:val="24"/>
        </w:rPr>
        <w:t>and</w:t>
      </w:r>
      <w:r w:rsidRPr="004831ED">
        <w:rPr>
          <w:rFonts w:ascii="Times New Roman" w:hAnsi="Times New Roman"/>
          <w:i/>
          <w:szCs w:val="24"/>
        </w:rPr>
        <w:t xml:space="preserve"> 215(d)(3) </w:t>
      </w:r>
      <w:r w:rsidRPr="00536188" w:rsidR="00536188">
        <w:rPr>
          <w:rFonts w:ascii="Times New Roman" w:hAnsi="Times New Roman"/>
        </w:rPr>
        <w:t>of the</w:t>
      </w:r>
      <w:r w:rsidR="00536188">
        <w:rPr>
          <w:rFonts w:ascii="Times New Roman" w:hAnsi="Times New Roman"/>
        </w:rPr>
        <w:t xml:space="preserve"> </w:t>
      </w:r>
      <w:r w:rsidRPr="00536188" w:rsidR="00536188">
        <w:rPr>
          <w:rFonts w:ascii="Times New Roman" w:hAnsi="Times New Roman"/>
          <w:i/>
        </w:rPr>
        <w:t>Social Security Act (Act)</w:t>
      </w:r>
      <w:r w:rsidRPr="00536188" w:rsidR="00536188">
        <w:rPr>
          <w:rFonts w:ascii="Times New Roman" w:hAnsi="Times New Roman"/>
        </w:rPr>
        <w:t xml:space="preserve"> set</w:t>
      </w:r>
      <w:r w:rsidRPr="00536188" w:rsidR="00536188">
        <w:rPr>
          <w:rFonts w:ascii="Times New Roman" w:hAnsi="Times New Roman"/>
        </w:rPr>
        <w:t xml:space="preserve"> forth the requirements for </w:t>
      </w:r>
      <w:r w:rsidR="00D550E0">
        <w:rPr>
          <w:rFonts w:ascii="Times New Roman" w:eastAsia="Calibri" w:hAnsi="Times New Roman"/>
          <w:szCs w:val="24"/>
        </w:rPr>
        <w:t>the agency</w:t>
      </w:r>
      <w:r w:rsidR="009B0A01">
        <w:rPr>
          <w:rFonts w:ascii="Times New Roman" w:hAnsi="Times New Roman"/>
        </w:rPr>
        <w:t xml:space="preserve"> </w:t>
      </w:r>
      <w:r w:rsidRPr="008C2A31" w:rsidR="008C2A31">
        <w:rPr>
          <w:rFonts w:ascii="Times New Roman" w:eastAsia="Calibri" w:hAnsi="Times New Roman"/>
          <w:szCs w:val="24"/>
        </w:rPr>
        <w:t xml:space="preserve">to </w:t>
      </w:r>
      <w:r w:rsidR="00E44191">
        <w:rPr>
          <w:rFonts w:ascii="Times New Roman" w:eastAsia="Calibri" w:hAnsi="Times New Roman"/>
          <w:szCs w:val="24"/>
        </w:rPr>
        <w:t>apply the Windfall Elimination Provision (WEP)</w:t>
      </w:r>
      <w:r w:rsidR="006A6A7C">
        <w:rPr>
          <w:rFonts w:ascii="Times New Roman" w:eastAsia="Calibri" w:hAnsi="Times New Roman"/>
          <w:szCs w:val="24"/>
        </w:rPr>
        <w:t xml:space="preserve">.  WEP affects the </w:t>
      </w:r>
      <w:r w:rsidR="00B81838">
        <w:rPr>
          <w:rFonts w:ascii="Times New Roman" w:eastAsia="Calibri" w:hAnsi="Times New Roman"/>
          <w:szCs w:val="24"/>
        </w:rPr>
        <w:t>P</w:t>
      </w:r>
      <w:r w:rsidR="00EC7F54">
        <w:rPr>
          <w:rFonts w:ascii="Times New Roman" w:eastAsia="Calibri" w:hAnsi="Times New Roman"/>
          <w:szCs w:val="24"/>
        </w:rPr>
        <w:t xml:space="preserve">rimary </w:t>
      </w:r>
      <w:r w:rsidR="00B81838">
        <w:rPr>
          <w:rFonts w:ascii="Times New Roman" w:eastAsia="Calibri" w:hAnsi="Times New Roman"/>
          <w:szCs w:val="24"/>
        </w:rPr>
        <w:t>I</w:t>
      </w:r>
      <w:r w:rsidR="00EC7F54">
        <w:rPr>
          <w:rFonts w:ascii="Times New Roman" w:eastAsia="Calibri" w:hAnsi="Times New Roman"/>
          <w:szCs w:val="24"/>
        </w:rPr>
        <w:t xml:space="preserve">nsurance </w:t>
      </w:r>
      <w:r w:rsidR="00B81838">
        <w:rPr>
          <w:rFonts w:ascii="Times New Roman" w:eastAsia="Calibri" w:hAnsi="Times New Roman"/>
          <w:szCs w:val="24"/>
        </w:rPr>
        <w:t>A</w:t>
      </w:r>
      <w:r w:rsidR="00EC7F54">
        <w:rPr>
          <w:rFonts w:ascii="Times New Roman" w:eastAsia="Calibri" w:hAnsi="Times New Roman"/>
          <w:szCs w:val="24"/>
        </w:rPr>
        <w:t>mount (PIA), and thus the benefits, of beneficiaries that receive both a pension or annuity (</w:t>
      </w:r>
      <w:r w:rsidR="003B05FA">
        <w:rPr>
          <w:rFonts w:ascii="Times New Roman" w:eastAsia="Calibri" w:hAnsi="Times New Roman"/>
          <w:szCs w:val="24"/>
        </w:rPr>
        <w:t>domestic or foreign) based on non-covered employment after 1956</w:t>
      </w:r>
      <w:r w:rsidRPr="00EE033C" w:rsidR="003B05FA">
        <w:rPr>
          <w:rFonts w:ascii="Times New Roman" w:eastAsia="Calibri" w:hAnsi="Times New Roman"/>
          <w:szCs w:val="24"/>
        </w:rPr>
        <w:t xml:space="preserve"> and </w:t>
      </w:r>
      <w:r w:rsidRPr="00EE033C" w:rsidR="00B70B0A">
        <w:rPr>
          <w:rFonts w:ascii="Times New Roman" w:eastAsia="Calibri" w:hAnsi="Times New Roman"/>
          <w:szCs w:val="24"/>
        </w:rPr>
        <w:t>r</w:t>
      </w:r>
      <w:r w:rsidR="00B70B0A">
        <w:rPr>
          <w:rFonts w:ascii="Times New Roman" w:eastAsia="Calibri" w:hAnsi="Times New Roman"/>
          <w:szCs w:val="24"/>
        </w:rPr>
        <w:t xml:space="preserve">etirement or disability benefits from Social Security.  </w:t>
      </w:r>
      <w:r w:rsidRPr="004831ED">
        <w:rPr>
          <w:rFonts w:ascii="Times New Roman" w:hAnsi="Times New Roman"/>
          <w:color w:val="212121"/>
          <w:szCs w:val="24"/>
          <w:lang w:val="en"/>
        </w:rPr>
        <w:t xml:space="preserve">A </w:t>
      </w:r>
      <w:r w:rsidRPr="004831ED">
        <w:rPr>
          <w:rFonts w:ascii="Times New Roman" w:hAnsi="Times New Roman"/>
          <w:bCs/>
          <w:color w:val="212121"/>
          <w:szCs w:val="24"/>
          <w:lang w:val="en"/>
        </w:rPr>
        <w:t>non-covered pension</w:t>
      </w:r>
      <w:r>
        <w:rPr>
          <w:rFonts w:ascii="Times New Roman" w:hAnsi="Times New Roman"/>
          <w:bCs/>
          <w:color w:val="212121"/>
          <w:szCs w:val="24"/>
          <w:lang w:val="en"/>
        </w:rPr>
        <w:t xml:space="preserve"> or annuity </w:t>
      </w:r>
      <w:r w:rsidRPr="004831ED">
        <w:rPr>
          <w:rFonts w:ascii="Times New Roman" w:hAnsi="Times New Roman"/>
          <w:color w:val="212121"/>
          <w:szCs w:val="24"/>
          <w:lang w:val="en"/>
        </w:rPr>
        <w:t xml:space="preserve">is </w:t>
      </w:r>
      <w:r>
        <w:rPr>
          <w:rFonts w:ascii="Times New Roman" w:hAnsi="Times New Roman"/>
          <w:color w:val="212121"/>
          <w:szCs w:val="24"/>
          <w:lang w:val="en"/>
        </w:rPr>
        <w:t>one that</w:t>
      </w:r>
      <w:r w:rsidRPr="004831ED">
        <w:rPr>
          <w:rFonts w:ascii="Times New Roman" w:hAnsi="Times New Roman"/>
          <w:color w:val="212121"/>
          <w:szCs w:val="24"/>
          <w:lang w:val="en"/>
        </w:rPr>
        <w:t xml:space="preserve"> </w:t>
      </w:r>
      <w:r>
        <w:rPr>
          <w:rFonts w:ascii="Times New Roman" w:hAnsi="Times New Roman"/>
          <w:color w:val="212121"/>
          <w:szCs w:val="24"/>
          <w:lang w:val="en"/>
        </w:rPr>
        <w:t>is based on earnings whereby the employer did</w:t>
      </w:r>
      <w:r w:rsidRPr="004831ED">
        <w:rPr>
          <w:rFonts w:ascii="Times New Roman" w:hAnsi="Times New Roman"/>
          <w:color w:val="212121"/>
          <w:szCs w:val="24"/>
          <w:lang w:val="en"/>
        </w:rPr>
        <w:t xml:space="preserve"> not withhold Social Security taxes.  </w:t>
      </w:r>
    </w:p>
    <w:p w:rsidR="009109B6" w:rsidP="00E44191" w14:paraId="603ADEE9" w14:textId="77777777">
      <w:pPr>
        <w:spacing w:after="0"/>
        <w:ind w:left="1440"/>
        <w:rPr>
          <w:rFonts w:ascii="Times New Roman" w:eastAsia="Calibri" w:hAnsi="Times New Roman"/>
          <w:szCs w:val="24"/>
        </w:rPr>
      </w:pPr>
    </w:p>
    <w:p w:rsidR="008C2A31" w:rsidRPr="00BF6301" w:rsidP="00BF6301" w14:paraId="3B592A12" w14:textId="5997E585">
      <w:pPr>
        <w:spacing w:after="0"/>
        <w:ind w:left="1440"/>
        <w:rPr>
          <w:rFonts w:ascii="Times New Roman" w:hAnsi="Times New Roman"/>
          <w:snapToGrid w:val="0"/>
          <w:szCs w:val="24"/>
        </w:rPr>
      </w:pPr>
      <w:r>
        <w:rPr>
          <w:rFonts w:ascii="Times New Roman" w:hAnsi="Times New Roman"/>
          <w:i/>
        </w:rPr>
        <w:t xml:space="preserve">20 CFR 404.213 </w:t>
      </w:r>
      <w:r w:rsidRPr="00536188">
        <w:rPr>
          <w:rFonts w:ascii="Times New Roman" w:hAnsi="Times New Roman"/>
        </w:rPr>
        <w:t xml:space="preserve">of the </w:t>
      </w:r>
      <w:r w:rsidRPr="00536188">
        <w:rPr>
          <w:rFonts w:ascii="Times New Roman" w:hAnsi="Times New Roman"/>
          <w:i/>
        </w:rPr>
        <w:t>Code of Federal Regulations</w:t>
      </w:r>
      <w:r>
        <w:rPr>
          <w:rFonts w:ascii="Times New Roman" w:hAnsi="Times New Roman"/>
          <w:i/>
        </w:rPr>
        <w:t xml:space="preserve"> (Code)</w:t>
      </w:r>
      <w:r>
        <w:rPr>
          <w:rFonts w:ascii="Times New Roman" w:hAnsi="Times New Roman"/>
        </w:rPr>
        <w:t xml:space="preserve"> state t</w:t>
      </w:r>
      <w:r w:rsidRPr="00536188">
        <w:rPr>
          <w:rFonts w:ascii="Times New Roman" w:hAnsi="Times New Roman"/>
        </w:rPr>
        <w:t xml:space="preserve">he policies for implementing the requirements </w:t>
      </w:r>
      <w:r>
        <w:rPr>
          <w:rFonts w:ascii="Times New Roman" w:hAnsi="Times New Roman"/>
        </w:rPr>
        <w:t>from</w:t>
      </w:r>
      <w:r w:rsidRPr="00536188">
        <w:rPr>
          <w:rFonts w:ascii="Times New Roman" w:hAnsi="Times New Roman"/>
        </w:rPr>
        <w:t xml:space="preserve"> </w:t>
      </w:r>
      <w:r>
        <w:rPr>
          <w:rFonts w:ascii="Times New Roman" w:hAnsi="Times New Roman"/>
        </w:rPr>
        <w:t>S</w:t>
      </w:r>
      <w:r w:rsidRPr="00536188">
        <w:rPr>
          <w:rFonts w:ascii="Times New Roman" w:hAnsi="Times New Roman"/>
        </w:rPr>
        <w:t xml:space="preserve">ections </w:t>
      </w:r>
      <w:r w:rsidRPr="004831ED">
        <w:rPr>
          <w:rFonts w:ascii="Times New Roman" w:hAnsi="Times New Roman"/>
          <w:i/>
          <w:szCs w:val="24"/>
        </w:rPr>
        <w:t xml:space="preserve">215(a)(7) </w:t>
      </w:r>
      <w:r w:rsidRPr="004831ED">
        <w:rPr>
          <w:rFonts w:ascii="Times New Roman" w:hAnsi="Times New Roman"/>
          <w:szCs w:val="24"/>
        </w:rPr>
        <w:t>and</w:t>
      </w:r>
      <w:r w:rsidRPr="004831ED">
        <w:rPr>
          <w:rFonts w:ascii="Times New Roman" w:hAnsi="Times New Roman"/>
          <w:i/>
          <w:szCs w:val="24"/>
        </w:rPr>
        <w:t xml:space="preserve"> 215(d)(3) </w:t>
      </w:r>
      <w:r w:rsidRPr="00536188">
        <w:rPr>
          <w:rFonts w:ascii="Times New Roman" w:hAnsi="Times New Roman"/>
        </w:rPr>
        <w:t xml:space="preserve">of the </w:t>
      </w:r>
      <w:r w:rsidRPr="00536188">
        <w:rPr>
          <w:rFonts w:ascii="Times New Roman" w:hAnsi="Times New Roman"/>
          <w:i/>
        </w:rPr>
        <w:t>Act</w:t>
      </w:r>
      <w:r w:rsidRPr="00536188">
        <w:rPr>
          <w:rFonts w:ascii="Times New Roman" w:hAnsi="Times New Roman"/>
        </w:rPr>
        <w:t>, including the req</w:t>
      </w:r>
      <w:r>
        <w:rPr>
          <w:rFonts w:ascii="Times New Roman" w:hAnsi="Times New Roman"/>
        </w:rPr>
        <w:t>uirement to use the special benefit formula when WEP applies</w:t>
      </w:r>
      <w:r w:rsidR="00952294">
        <w:rPr>
          <w:rFonts w:ascii="Times New Roman" w:hAnsi="Times New Roman"/>
        </w:rPr>
        <w:t xml:space="preserve">.  </w:t>
      </w:r>
      <w:r w:rsidRPr="00536188" w:rsidR="00B81838">
        <w:rPr>
          <w:rFonts w:ascii="Times New Roman" w:hAnsi="Times New Roman"/>
          <w:i/>
        </w:rPr>
        <w:t>20 CFR 404.</w:t>
      </w:r>
      <w:r w:rsidR="00B81838">
        <w:rPr>
          <w:rFonts w:ascii="Times New Roman" w:hAnsi="Times New Roman"/>
          <w:i/>
        </w:rPr>
        <w:t>243</w:t>
      </w:r>
      <w:r w:rsidR="00B81838">
        <w:rPr>
          <w:rFonts w:ascii="Times New Roman" w:hAnsi="Times New Roman"/>
        </w:rPr>
        <w:t xml:space="preserve"> of the </w:t>
      </w:r>
      <w:r w:rsidR="00B81838">
        <w:rPr>
          <w:rFonts w:ascii="Times New Roman" w:hAnsi="Times New Roman"/>
          <w:i/>
        </w:rPr>
        <w:t xml:space="preserve">Code </w:t>
      </w:r>
      <w:r w:rsidR="00B81838">
        <w:rPr>
          <w:rFonts w:ascii="Times New Roman" w:hAnsi="Times New Roman"/>
        </w:rPr>
        <w:t xml:space="preserve">provides how </w:t>
      </w:r>
      <w:r w:rsidR="007236FE">
        <w:rPr>
          <w:rFonts w:ascii="Times New Roman" w:hAnsi="Times New Roman"/>
        </w:rPr>
        <w:t>the Social Security Administration (</w:t>
      </w:r>
      <w:r w:rsidR="00B81838">
        <w:rPr>
          <w:rFonts w:ascii="Times New Roman" w:hAnsi="Times New Roman"/>
        </w:rPr>
        <w:t>SSA</w:t>
      </w:r>
      <w:r w:rsidR="007236FE">
        <w:rPr>
          <w:rFonts w:ascii="Times New Roman" w:hAnsi="Times New Roman"/>
        </w:rPr>
        <w:t>)</w:t>
      </w:r>
      <w:r w:rsidR="00B81838">
        <w:rPr>
          <w:rFonts w:ascii="Times New Roman" w:hAnsi="Times New Roman"/>
        </w:rPr>
        <w:t xml:space="preserve"> calculates the PIA for affected beneficiaries</w:t>
      </w:r>
      <w:r w:rsidRPr="00536188" w:rsidR="00B81838">
        <w:rPr>
          <w:rFonts w:ascii="Times New Roman" w:hAnsi="Times New Roman"/>
        </w:rPr>
        <w:t xml:space="preserve">. </w:t>
      </w:r>
      <w:r w:rsidR="00B81838">
        <w:rPr>
          <w:rFonts w:ascii="Times New Roman" w:hAnsi="Times New Roman"/>
        </w:rPr>
        <w:t xml:space="preserve"> </w:t>
      </w:r>
      <w:r w:rsidR="00757B34">
        <w:rPr>
          <w:rFonts w:ascii="Times New Roman" w:hAnsi="Times New Roman"/>
        </w:rPr>
        <w:t>S</w:t>
      </w:r>
      <w:r w:rsidRPr="008C2A31">
        <w:rPr>
          <w:rFonts w:ascii="Times New Roman" w:eastAsia="Calibri" w:hAnsi="Times New Roman"/>
          <w:szCs w:val="24"/>
        </w:rPr>
        <w:t>ections</w:t>
      </w:r>
      <w:r w:rsidRPr="008C2A31">
        <w:rPr>
          <w:rFonts w:ascii="Times New Roman" w:eastAsia="Calibri" w:hAnsi="Times New Roman"/>
          <w:i/>
          <w:szCs w:val="24"/>
        </w:rPr>
        <w:t xml:space="preserve"> 205(a) </w:t>
      </w:r>
      <w:r w:rsidRPr="008C2A31">
        <w:rPr>
          <w:rFonts w:ascii="Times New Roman" w:eastAsia="Calibri" w:hAnsi="Times New Roman"/>
          <w:szCs w:val="24"/>
        </w:rPr>
        <w:t>and</w:t>
      </w:r>
      <w:r w:rsidR="00D25347">
        <w:rPr>
          <w:rFonts w:ascii="Times New Roman" w:eastAsia="Calibri" w:hAnsi="Times New Roman"/>
          <w:szCs w:val="24"/>
        </w:rPr>
        <w:t xml:space="preserve"> </w:t>
      </w:r>
      <w:r w:rsidRPr="008C2A31" w:rsidR="00D25347">
        <w:rPr>
          <w:rFonts w:ascii="Times New Roman" w:eastAsia="Calibri" w:hAnsi="Times New Roman"/>
          <w:i/>
          <w:szCs w:val="24"/>
        </w:rPr>
        <w:t>205</w:t>
      </w:r>
      <w:r w:rsidRPr="008C2A31">
        <w:rPr>
          <w:rFonts w:ascii="Times New Roman" w:eastAsia="Calibri" w:hAnsi="Times New Roman"/>
          <w:i/>
          <w:szCs w:val="24"/>
        </w:rPr>
        <w:t>(c)</w:t>
      </w:r>
      <w:r w:rsidR="00D25347">
        <w:rPr>
          <w:rFonts w:ascii="Times New Roman" w:eastAsia="Calibri" w:hAnsi="Times New Roman"/>
          <w:i/>
          <w:szCs w:val="24"/>
        </w:rPr>
        <w:t xml:space="preserve"> </w:t>
      </w:r>
      <w:r w:rsidRPr="008C2A31">
        <w:rPr>
          <w:rFonts w:ascii="Times New Roman" w:eastAsia="Calibri" w:hAnsi="Times New Roman"/>
          <w:szCs w:val="24"/>
        </w:rPr>
        <w:t>of the</w:t>
      </w:r>
      <w:r w:rsidRPr="008C2A31">
        <w:rPr>
          <w:rFonts w:ascii="Times New Roman" w:eastAsia="Calibri" w:hAnsi="Times New Roman"/>
          <w:i/>
          <w:szCs w:val="24"/>
        </w:rPr>
        <w:t xml:space="preserve"> Act </w:t>
      </w:r>
      <w:r w:rsidRPr="008C2A31">
        <w:rPr>
          <w:rFonts w:ascii="Times New Roman" w:eastAsia="Calibri" w:hAnsi="Times New Roman"/>
          <w:szCs w:val="24"/>
        </w:rPr>
        <w:t>authorize</w:t>
      </w:r>
      <w:r w:rsidR="00D25347">
        <w:rPr>
          <w:rFonts w:ascii="Times New Roman" w:eastAsia="Calibri" w:hAnsi="Times New Roman"/>
          <w:szCs w:val="24"/>
        </w:rPr>
        <w:t>s</w:t>
      </w:r>
      <w:r w:rsidRPr="008C2A31">
        <w:rPr>
          <w:rFonts w:ascii="Times New Roman" w:eastAsia="Calibri" w:hAnsi="Times New Roman"/>
          <w:szCs w:val="24"/>
        </w:rPr>
        <w:t xml:space="preserve"> the solicitation and collection of evidence to establish the right to benefits</w:t>
      </w:r>
      <w:r>
        <w:rPr>
          <w:rFonts w:ascii="Times New Roman" w:eastAsia="Calibri" w:hAnsi="Times New Roman"/>
          <w:szCs w:val="24"/>
        </w:rPr>
        <w:t xml:space="preserve"> by which we use </w:t>
      </w:r>
      <w:r w:rsidRPr="00BF6301">
        <w:rPr>
          <w:rFonts w:ascii="Times New Roman" w:hAnsi="Times New Roman"/>
        </w:rPr>
        <w:t xml:space="preserve">Form SSA-308, </w:t>
      </w:r>
      <w:r w:rsidRPr="00BF6301">
        <w:rPr>
          <w:rFonts w:ascii="Times New Roman" w:hAnsi="Times New Roman"/>
          <w:kern w:val="32"/>
          <w:szCs w:val="24"/>
        </w:rPr>
        <w:t>Modified Benefit Formula Questionnaire</w:t>
      </w:r>
      <w:r w:rsidRPr="00BF6301" w:rsidR="008915BC">
        <w:rPr>
          <w:rFonts w:ascii="Times New Roman" w:hAnsi="Times New Roman"/>
          <w:kern w:val="32"/>
          <w:szCs w:val="24"/>
        </w:rPr>
        <w:t>, to collect information on foreign pensions.</w:t>
      </w:r>
      <w:r w:rsidRPr="00BF6301" w:rsidR="00E71AC5">
        <w:rPr>
          <w:rFonts w:ascii="Times New Roman" w:hAnsi="Times New Roman"/>
          <w:kern w:val="32"/>
          <w:szCs w:val="24"/>
        </w:rPr>
        <w:t xml:space="preserve">  </w:t>
      </w:r>
    </w:p>
    <w:p w:rsidR="00BF20D7" w:rsidP="008C2A31" w14:paraId="31E01528" w14:textId="10164D14">
      <w:pPr>
        <w:pStyle w:val="ListParagraph"/>
        <w:widowControl w:val="0"/>
        <w:ind w:left="1440"/>
        <w:rPr>
          <w:rFonts w:ascii="Times New Roman" w:hAnsi="Times New Roman"/>
          <w:kern w:val="32"/>
          <w:szCs w:val="24"/>
        </w:rPr>
      </w:pPr>
    </w:p>
    <w:p w:rsidR="00C336A6" w:rsidP="008C2A31" w14:paraId="38C4D9E0" w14:textId="12E03F94">
      <w:pPr>
        <w:pStyle w:val="ListParagraph"/>
        <w:widowControl w:val="0"/>
        <w:ind w:left="1440"/>
        <w:rPr>
          <w:rFonts w:ascii="Times New Roman" w:hAnsi="Times New Roman"/>
          <w:kern w:val="32"/>
          <w:szCs w:val="24"/>
        </w:rPr>
      </w:pPr>
      <w:r>
        <w:rPr>
          <w:rFonts w:ascii="Times New Roman" w:hAnsi="Times New Roman"/>
          <w:kern w:val="32"/>
          <w:szCs w:val="24"/>
        </w:rPr>
        <w:t xml:space="preserve">SSA signed the </w:t>
      </w:r>
      <w:r w:rsidR="00BF20D7">
        <w:rPr>
          <w:rFonts w:ascii="Times New Roman" w:hAnsi="Times New Roman"/>
          <w:kern w:val="32"/>
          <w:szCs w:val="24"/>
        </w:rPr>
        <w:t>Social Security Fairness Act of 2023</w:t>
      </w:r>
      <w:r w:rsidR="00504260">
        <w:rPr>
          <w:rFonts w:ascii="Times New Roman" w:hAnsi="Times New Roman"/>
          <w:kern w:val="32"/>
          <w:szCs w:val="24"/>
        </w:rPr>
        <w:t xml:space="preserve">, </w:t>
      </w:r>
      <w:r w:rsidRPr="006D0B2C" w:rsidR="00B308E1">
        <w:rPr>
          <w:rFonts w:ascii="Times New Roman" w:hAnsi="Times New Roman"/>
          <w:i/>
          <w:iCs/>
          <w:kern w:val="32"/>
          <w:szCs w:val="24"/>
        </w:rPr>
        <w:t>Public Law 118-273, 138 Stat. 3232 (2025)</w:t>
      </w:r>
      <w:r w:rsidRPr="00B308E1" w:rsidR="00B308E1">
        <w:rPr>
          <w:rFonts w:ascii="Times New Roman" w:hAnsi="Times New Roman"/>
          <w:kern w:val="32"/>
          <w:szCs w:val="24"/>
        </w:rPr>
        <w:t xml:space="preserve"> (SSFA)</w:t>
      </w:r>
      <w:r>
        <w:rPr>
          <w:rFonts w:ascii="Times New Roman" w:hAnsi="Times New Roman"/>
          <w:kern w:val="32"/>
          <w:szCs w:val="24"/>
        </w:rPr>
        <w:t xml:space="preserve"> </w:t>
      </w:r>
      <w:r w:rsidR="00BF20D7">
        <w:rPr>
          <w:rFonts w:ascii="Times New Roman" w:hAnsi="Times New Roman"/>
          <w:kern w:val="32"/>
          <w:szCs w:val="24"/>
        </w:rPr>
        <w:t xml:space="preserve">into law on January 5, 2025.  </w:t>
      </w:r>
      <w:r>
        <w:rPr>
          <w:rFonts w:ascii="Times New Roman" w:hAnsi="Times New Roman"/>
          <w:kern w:val="32"/>
          <w:szCs w:val="24"/>
        </w:rPr>
        <w:t>The SSFA</w:t>
      </w:r>
      <w:r w:rsidR="00BF20D7">
        <w:rPr>
          <w:rFonts w:ascii="Times New Roman" w:hAnsi="Times New Roman"/>
          <w:kern w:val="32"/>
          <w:szCs w:val="24"/>
        </w:rPr>
        <w:t xml:space="preserve"> </w:t>
      </w:r>
      <w:r w:rsidR="00436321">
        <w:rPr>
          <w:rFonts w:ascii="Times New Roman" w:hAnsi="Times New Roman"/>
          <w:kern w:val="32"/>
          <w:szCs w:val="24"/>
        </w:rPr>
        <w:t xml:space="preserve">eliminates the reduction of </w:t>
      </w:r>
      <w:r w:rsidR="00F846CD">
        <w:rPr>
          <w:rFonts w:ascii="Times New Roman" w:hAnsi="Times New Roman"/>
          <w:kern w:val="32"/>
          <w:szCs w:val="24"/>
        </w:rPr>
        <w:t>Social Security benefits under</w:t>
      </w:r>
      <w:r w:rsidR="00581AD7">
        <w:rPr>
          <w:rFonts w:ascii="Times New Roman" w:hAnsi="Times New Roman"/>
          <w:kern w:val="32"/>
          <w:szCs w:val="24"/>
        </w:rPr>
        <w:t xml:space="preserve"> </w:t>
      </w:r>
      <w:r w:rsidR="00436321">
        <w:rPr>
          <w:rFonts w:ascii="Times New Roman" w:hAnsi="Times New Roman"/>
          <w:kern w:val="32"/>
          <w:szCs w:val="24"/>
        </w:rPr>
        <w:t>the</w:t>
      </w:r>
      <w:r w:rsidR="00DF7631">
        <w:rPr>
          <w:rFonts w:ascii="Times New Roman" w:hAnsi="Times New Roman"/>
          <w:kern w:val="32"/>
          <w:szCs w:val="24"/>
        </w:rPr>
        <w:t xml:space="preserve"> </w:t>
      </w:r>
      <w:r w:rsidR="000865F9">
        <w:rPr>
          <w:rFonts w:ascii="Times New Roman" w:hAnsi="Times New Roman"/>
          <w:kern w:val="32"/>
          <w:szCs w:val="24"/>
        </w:rPr>
        <w:t xml:space="preserve">WEP </w:t>
      </w:r>
      <w:r w:rsidR="006E0563">
        <w:rPr>
          <w:rFonts w:ascii="Times New Roman" w:hAnsi="Times New Roman"/>
          <w:kern w:val="32"/>
          <w:szCs w:val="24"/>
        </w:rPr>
        <w:t xml:space="preserve">while entitled to certain pensions from work not covered by Social Security with respect to </w:t>
      </w:r>
      <w:r w:rsidR="000865F9">
        <w:rPr>
          <w:rFonts w:ascii="Times New Roman" w:hAnsi="Times New Roman"/>
          <w:kern w:val="32"/>
          <w:szCs w:val="24"/>
        </w:rPr>
        <w:t xml:space="preserve">benefits </w:t>
      </w:r>
      <w:r w:rsidR="00AC5980">
        <w:rPr>
          <w:rFonts w:ascii="Times New Roman" w:hAnsi="Times New Roman"/>
          <w:kern w:val="32"/>
          <w:szCs w:val="24"/>
        </w:rPr>
        <w:t>due January 2024 and later</w:t>
      </w:r>
      <w:r w:rsidR="000865F9">
        <w:rPr>
          <w:rFonts w:ascii="Times New Roman" w:hAnsi="Times New Roman"/>
          <w:kern w:val="32"/>
          <w:szCs w:val="24"/>
        </w:rPr>
        <w:t>.</w:t>
      </w:r>
      <w:r w:rsidR="00E12D74">
        <w:rPr>
          <w:rFonts w:ascii="Times New Roman" w:hAnsi="Times New Roman"/>
          <w:kern w:val="32"/>
          <w:szCs w:val="24"/>
        </w:rPr>
        <w:t xml:space="preserve">  </w:t>
      </w:r>
      <w:r w:rsidR="00E12D74">
        <w:rPr>
          <w:rFonts w:ascii="Times New Roman" w:hAnsi="Times New Roman"/>
          <w:kern w:val="32"/>
          <w:szCs w:val="24"/>
        </w:rPr>
        <w:t>WEP wi</w:t>
      </w:r>
      <w:r w:rsidR="00524FD3">
        <w:rPr>
          <w:rFonts w:ascii="Times New Roman" w:hAnsi="Times New Roman"/>
          <w:kern w:val="32"/>
          <w:szCs w:val="24"/>
        </w:rPr>
        <w:t xml:space="preserve">ll continue to apply to benefits due for months </w:t>
      </w:r>
      <w:r w:rsidR="00580492">
        <w:rPr>
          <w:rFonts w:ascii="Times New Roman" w:hAnsi="Times New Roman"/>
          <w:kern w:val="32"/>
          <w:szCs w:val="24"/>
        </w:rPr>
        <w:t>prior to January 2024, and</w:t>
      </w:r>
      <w:r w:rsidR="00765ADD">
        <w:rPr>
          <w:rFonts w:ascii="Times New Roman" w:hAnsi="Times New Roman"/>
          <w:kern w:val="32"/>
          <w:szCs w:val="24"/>
        </w:rPr>
        <w:t xml:space="preserve"> SSA will continue to collect</w:t>
      </w:r>
      <w:r w:rsidR="00580492">
        <w:rPr>
          <w:rFonts w:ascii="Times New Roman" w:hAnsi="Times New Roman"/>
          <w:kern w:val="32"/>
          <w:szCs w:val="24"/>
        </w:rPr>
        <w:t xml:space="preserve"> </w:t>
      </w:r>
      <w:r w:rsidR="00C8722F">
        <w:rPr>
          <w:rFonts w:ascii="Times New Roman" w:hAnsi="Times New Roman"/>
          <w:kern w:val="32"/>
          <w:szCs w:val="24"/>
        </w:rPr>
        <w:t>pension evidence for months due through December 2023.</w:t>
      </w:r>
      <w:r w:rsidRPr="00C336A6">
        <w:rPr>
          <w:rFonts w:ascii="Times New Roman" w:hAnsi="Times New Roman"/>
          <w:kern w:val="32"/>
          <w:szCs w:val="24"/>
        </w:rPr>
        <w:t xml:space="preserve"> </w:t>
      </w:r>
    </w:p>
    <w:p w:rsidR="00321412" w:rsidRPr="008E2E3A" w:rsidP="00707AE7" w14:paraId="66AFBC51" w14:textId="77777777">
      <w:pPr>
        <w:numPr>
          <w:ilvl w:val="0"/>
          <w:numId w:val="2"/>
        </w:numPr>
        <w:spacing w:after="0"/>
        <w:ind w:left="1440" w:hanging="720"/>
        <w:rPr>
          <w:b/>
          <w:szCs w:val="24"/>
        </w:rPr>
      </w:pPr>
      <w:r>
        <w:rPr>
          <w:rFonts w:ascii="Times New Roman" w:hAnsi="Times New Roman"/>
          <w:b/>
        </w:rPr>
        <w:t>Description of Collection</w:t>
      </w:r>
    </w:p>
    <w:p w:rsidR="00765ADD" w:rsidP="00765ADD" w14:paraId="7CD6CEA0" w14:textId="1600FB5F">
      <w:pPr>
        <w:spacing w:after="0"/>
        <w:ind w:left="1440"/>
        <w:rPr>
          <w:rFonts w:ascii="Times New Roman" w:hAnsi="Times New Roman"/>
        </w:rPr>
      </w:pPr>
      <w:r>
        <w:rPr>
          <w:rFonts w:ascii="Times New Roman" w:hAnsi="Times New Roman"/>
        </w:rPr>
        <w:t>W</w:t>
      </w:r>
      <w:r w:rsidRPr="00765ADD">
        <w:rPr>
          <w:rFonts w:ascii="Times New Roman" w:hAnsi="Times New Roman"/>
        </w:rPr>
        <w:t>hen a claimant or beneficiary indicates</w:t>
      </w:r>
      <w:r>
        <w:rPr>
          <w:rFonts w:ascii="Times New Roman" w:hAnsi="Times New Roman"/>
        </w:rPr>
        <w:t xml:space="preserve"> receipt of </w:t>
      </w:r>
      <w:r w:rsidRPr="00765ADD">
        <w:rPr>
          <w:rFonts w:ascii="Times New Roman" w:hAnsi="Times New Roman"/>
        </w:rPr>
        <w:t>both a foreign pension/annuity and a Title II Social Security</w:t>
      </w:r>
      <w:r w:rsidRPr="00765ADD">
        <w:rPr>
          <w:rFonts w:ascii="Times New Roman" w:hAnsi="Times New Roman"/>
          <w:i/>
          <w:iCs/>
        </w:rPr>
        <w:t xml:space="preserve"> </w:t>
      </w:r>
      <w:r w:rsidRPr="00BF6301">
        <w:rPr>
          <w:rFonts w:ascii="Times New Roman" w:hAnsi="Times New Roman"/>
          <w:i w:val="0"/>
          <w:iCs w:val="0"/>
        </w:rPr>
        <w:t>r</w:t>
      </w:r>
      <w:r w:rsidRPr="00592584">
        <w:rPr>
          <w:rFonts w:ascii="Times New Roman" w:hAnsi="Times New Roman"/>
        </w:rPr>
        <w:t xml:space="preserve">etirement or disability </w:t>
      </w:r>
      <w:r w:rsidRPr="00592584">
        <w:rPr>
          <w:rFonts w:ascii="Times New Roman" w:hAnsi="Times New Roman"/>
        </w:rPr>
        <w:t xml:space="preserve">benefit prior to January 2024 </w:t>
      </w:r>
      <w:r w:rsidRPr="00592584">
        <w:rPr>
          <w:rFonts w:ascii="Times New Roman" w:hAnsi="Times New Roman"/>
        </w:rPr>
        <w:t>SSA request</w:t>
      </w:r>
      <w:r w:rsidR="00BF6301">
        <w:rPr>
          <w:rFonts w:ascii="Times New Roman" w:hAnsi="Times New Roman"/>
        </w:rPr>
        <w:t>s</w:t>
      </w:r>
      <w:r w:rsidRPr="00592584">
        <w:rPr>
          <w:rFonts w:ascii="Times New Roman" w:hAnsi="Times New Roman"/>
        </w:rPr>
        <w:t xml:space="preserve"> the claimant or beneficiary to complete form SSA-308.  The claimant or beneficiary complete</w:t>
      </w:r>
      <w:r w:rsidR="00BF6301">
        <w:rPr>
          <w:rFonts w:ascii="Times New Roman" w:hAnsi="Times New Roman"/>
        </w:rPr>
        <w:t>s</w:t>
      </w:r>
      <w:r w:rsidRPr="00592584">
        <w:rPr>
          <w:rFonts w:ascii="Times New Roman" w:hAnsi="Times New Roman"/>
        </w:rPr>
        <w:t xml:space="preserve"> Form S</w:t>
      </w:r>
      <w:r w:rsidRPr="00495A7A">
        <w:rPr>
          <w:rFonts w:ascii="Times New Roman" w:hAnsi="Times New Roman"/>
        </w:rPr>
        <w:t>SA-308 during the initial claims process</w:t>
      </w:r>
      <w:r>
        <w:rPr>
          <w:rFonts w:ascii="Times New Roman" w:hAnsi="Times New Roman"/>
        </w:rPr>
        <w:t xml:space="preserve">; </w:t>
      </w:r>
      <w:r w:rsidRPr="00495A7A">
        <w:rPr>
          <w:rFonts w:ascii="Times New Roman" w:hAnsi="Times New Roman"/>
        </w:rPr>
        <w:t>only if filed before January 202</w:t>
      </w:r>
      <w:r>
        <w:rPr>
          <w:rFonts w:ascii="Times New Roman" w:hAnsi="Times New Roman"/>
        </w:rPr>
        <w:t xml:space="preserve">4, and </w:t>
      </w:r>
      <w:r w:rsidRPr="00495A7A">
        <w:rPr>
          <w:rFonts w:ascii="Times New Roman" w:hAnsi="Times New Roman"/>
        </w:rPr>
        <w:t xml:space="preserve">in post-entitlement situations </w:t>
      </w:r>
      <w:r>
        <w:rPr>
          <w:rFonts w:ascii="Times New Roman" w:hAnsi="Times New Roman"/>
        </w:rPr>
        <w:t>when reporting a new foreign pension re</w:t>
      </w:r>
      <w:r w:rsidRPr="00495A7A">
        <w:rPr>
          <w:rFonts w:ascii="Times New Roman" w:hAnsi="Times New Roman"/>
        </w:rPr>
        <w:t xml:space="preserve">ceived before January 2024.  </w:t>
      </w:r>
      <w:r>
        <w:rPr>
          <w:rFonts w:ascii="Times New Roman" w:hAnsi="Times New Roman"/>
        </w:rPr>
        <w:t xml:space="preserve">If SSA determines individual’s meet the criteria for foreign pensions entitlement before January 2024, </w:t>
      </w:r>
      <w:r w:rsidRPr="00FC3D64">
        <w:rPr>
          <w:rFonts w:ascii="Times New Roman" w:hAnsi="Times New Roman"/>
        </w:rPr>
        <w:t>SSA</w:t>
      </w:r>
      <w:r>
        <w:rPr>
          <w:rFonts w:ascii="Times New Roman" w:hAnsi="Times New Roman"/>
        </w:rPr>
        <w:t xml:space="preserve">’s </w:t>
      </w:r>
      <w:r w:rsidRPr="00495A7A">
        <w:rPr>
          <w:rFonts w:ascii="Times New Roman" w:hAnsi="Times New Roman"/>
        </w:rPr>
        <w:t>Division of International Operations mails the</w:t>
      </w:r>
      <w:r>
        <w:rPr>
          <w:rFonts w:ascii="Times New Roman" w:hAnsi="Times New Roman"/>
        </w:rPr>
        <w:t xml:space="preserve"> SSA-308 to individuals to complete</w:t>
      </w:r>
      <w:r w:rsidR="00065DD2">
        <w:rPr>
          <w:rFonts w:ascii="Times New Roman" w:hAnsi="Times New Roman"/>
        </w:rPr>
        <w:t xml:space="preserve"> with a prepaid envelope to mail</w:t>
      </w:r>
      <w:r>
        <w:rPr>
          <w:rFonts w:ascii="Times New Roman" w:hAnsi="Times New Roman"/>
        </w:rPr>
        <w:t xml:space="preserve"> back to SSA, or to submit through SSA’s Upload Documents</w:t>
      </w:r>
      <w:r w:rsidR="00BF6301">
        <w:rPr>
          <w:rFonts w:ascii="Times New Roman" w:hAnsi="Times New Roman"/>
        </w:rPr>
        <w:t xml:space="preserve"> (OMB No. 0960-0830)</w:t>
      </w:r>
      <w:r>
        <w:rPr>
          <w:rFonts w:ascii="Times New Roman" w:hAnsi="Times New Roman"/>
        </w:rPr>
        <w:t>.</w:t>
      </w:r>
    </w:p>
    <w:p w:rsidR="00765ADD" w:rsidRPr="00765ADD" w:rsidP="00765ADD" w14:paraId="1E2A9472" w14:textId="57C1DCFD">
      <w:pPr>
        <w:pStyle w:val="ListParagraph"/>
        <w:spacing w:after="0"/>
        <w:ind w:left="1440"/>
        <w:rPr>
          <w:rFonts w:ascii="Times New Roman" w:hAnsi="Times New Roman"/>
        </w:rPr>
      </w:pPr>
      <w:r>
        <w:rPr>
          <w:rFonts w:ascii="Times New Roman" w:hAnsi="Times New Roman"/>
        </w:rPr>
        <w:t xml:space="preserve"> </w:t>
      </w:r>
    </w:p>
    <w:p w:rsidR="00765ADD" w:rsidP="00BF0A9F" w14:paraId="015E0C83" w14:textId="77777777">
      <w:pPr>
        <w:spacing w:after="0"/>
        <w:ind w:left="1440"/>
        <w:rPr>
          <w:rFonts w:ascii="Times New Roman" w:hAnsi="Times New Roman"/>
          <w:i/>
          <w:iCs/>
        </w:rPr>
      </w:pPr>
    </w:p>
    <w:p w:rsidR="00FB2220" w:rsidP="00BF0A9F" w14:paraId="2E700406" w14:textId="37177F65">
      <w:pPr>
        <w:spacing w:after="0"/>
        <w:ind w:left="1440"/>
        <w:rPr>
          <w:rFonts w:ascii="Times New Roman" w:hAnsi="Times New Roman"/>
        </w:rPr>
      </w:pPr>
      <w:r>
        <w:rPr>
          <w:rFonts w:ascii="Times New Roman" w:hAnsi="Times New Roman"/>
          <w:i/>
          <w:iCs/>
        </w:rPr>
        <w:t xml:space="preserve"> </w:t>
      </w:r>
    </w:p>
    <w:p w:rsidR="00100A78" w:rsidP="00BF0A9F" w14:paraId="3AD6B1D2" w14:textId="377569FE">
      <w:pPr>
        <w:spacing w:after="0"/>
        <w:ind w:left="1440"/>
        <w:rPr>
          <w:rFonts w:ascii="Times New Roman" w:hAnsi="Times New Roman"/>
        </w:rPr>
      </w:pPr>
      <w:r w:rsidRPr="001C0990">
        <w:rPr>
          <w:rFonts w:ascii="Times New Roman" w:hAnsi="Times New Roman"/>
        </w:rPr>
        <w:t xml:space="preserve">SSA applies the Windfall Elimination Provision (WEP), a modified benefit formula for calculating Title II Social Security retirement or disability benefits, for months payable before January 2024.   For those months, WEP affects the benefits of certain beneficiaries who received both a non-covered pension or annuity (domestic or foreign) as well as a Title II Social Security retirement or disability benefit.   A non-covered pension or annuity is based on earnings where the employer did not withhold Social Security taxes.  </w:t>
      </w:r>
    </w:p>
    <w:p w:rsidR="00100A78" w:rsidP="00BF0A9F" w14:paraId="5255F27C" w14:textId="77777777">
      <w:pPr>
        <w:spacing w:after="0"/>
        <w:ind w:left="1440"/>
        <w:rPr>
          <w:rFonts w:ascii="Times New Roman" w:hAnsi="Times New Roman"/>
        </w:rPr>
      </w:pPr>
    </w:p>
    <w:p w:rsidR="00FB2220" w:rsidP="00BF0A9F" w14:paraId="1A7A9079" w14:textId="30703AF6">
      <w:pPr>
        <w:spacing w:after="0"/>
        <w:ind w:left="1440"/>
        <w:rPr>
          <w:rFonts w:ascii="Times New Roman" w:hAnsi="Times New Roman"/>
        </w:rPr>
      </w:pPr>
      <w:r w:rsidRPr="001C0990">
        <w:rPr>
          <w:rFonts w:ascii="Times New Roman" w:hAnsi="Times New Roman"/>
        </w:rPr>
        <w:t>SSA uses the information collected on Form SSA-308 to determine how much</w:t>
      </w:r>
      <w:r w:rsidR="00100A78">
        <w:rPr>
          <w:rFonts w:ascii="Times New Roman" w:hAnsi="Times New Roman"/>
        </w:rPr>
        <w:t xml:space="preserve">, if any, </w:t>
      </w:r>
      <w:r w:rsidRPr="001C0990">
        <w:rPr>
          <w:rFonts w:ascii="Times New Roman" w:hAnsi="Times New Roman"/>
        </w:rPr>
        <w:t>a foreign pension reduces the amount of the Social Security benefit before January 2024.</w:t>
      </w:r>
      <w:r w:rsidRPr="00495A7A" w:rsidR="00495A7A">
        <w:rPr>
          <w:rFonts w:ascii="Times New Roman" w:hAnsi="Times New Roman"/>
        </w:rPr>
        <w:t xml:space="preserve">   </w:t>
      </w:r>
      <w:r w:rsidR="00765ADD">
        <w:rPr>
          <w:rFonts w:ascii="Times New Roman" w:hAnsi="Times New Roman"/>
        </w:rPr>
        <w:t>If SSA does ot receive the request form SSA-308 by SSA’s requested due date, SSA’s claims authorizer applies the maximum WEP.</w:t>
      </w:r>
    </w:p>
    <w:p w:rsidR="00765ADD" w:rsidP="00FE4C56" w14:paraId="76C71474" w14:textId="77777777">
      <w:pPr>
        <w:spacing w:after="0"/>
        <w:ind w:left="1440"/>
        <w:rPr>
          <w:rFonts w:ascii="Times New Roman" w:hAnsi="Times New Roman"/>
        </w:rPr>
      </w:pPr>
    </w:p>
    <w:p w:rsidR="000217B0" w:rsidP="00FE4C56" w14:paraId="2D07E4C5" w14:textId="068D5373">
      <w:pPr>
        <w:spacing w:after="0"/>
        <w:ind w:left="1440"/>
        <w:rPr>
          <w:rFonts w:ascii="Times New Roman" w:hAnsi="Times New Roman"/>
        </w:rPr>
      </w:pPr>
      <w:r>
        <w:rPr>
          <w:rFonts w:ascii="Times New Roman" w:hAnsi="Times New Roman"/>
        </w:rPr>
        <w:t xml:space="preserve">SSA plans to </w:t>
      </w:r>
      <w:r w:rsidR="003A5828">
        <w:rPr>
          <w:rFonts w:ascii="Times New Roman" w:hAnsi="Times New Roman"/>
        </w:rPr>
        <w:t xml:space="preserve">discontinue </w:t>
      </w:r>
      <w:r w:rsidR="00BF0A9F">
        <w:rPr>
          <w:rFonts w:ascii="Times New Roman" w:hAnsi="Times New Roman"/>
        </w:rPr>
        <w:t>the SSA-308</w:t>
      </w:r>
      <w:r>
        <w:rPr>
          <w:rFonts w:ascii="Times New Roman" w:hAnsi="Times New Roman"/>
        </w:rPr>
        <w:t xml:space="preserve"> once </w:t>
      </w:r>
      <w:r w:rsidR="00BF0A9F">
        <w:rPr>
          <w:rFonts w:ascii="Times New Roman" w:hAnsi="Times New Roman"/>
        </w:rPr>
        <w:t xml:space="preserve">SSA processes </w:t>
      </w:r>
      <w:r>
        <w:rPr>
          <w:rFonts w:ascii="Times New Roman" w:hAnsi="Times New Roman"/>
        </w:rPr>
        <w:t xml:space="preserve">all </w:t>
      </w:r>
      <w:r w:rsidR="00E16C4A">
        <w:rPr>
          <w:rFonts w:ascii="Times New Roman" w:hAnsi="Times New Roman"/>
        </w:rPr>
        <w:t>pending claims involving the receipt of a foreign pension prior to January 2024</w:t>
      </w:r>
      <w:r w:rsidR="00BF0A9F">
        <w:rPr>
          <w:rFonts w:ascii="Times New Roman" w:hAnsi="Times New Roman"/>
        </w:rPr>
        <w:t>.</w:t>
      </w:r>
    </w:p>
    <w:p w:rsidR="00FE4C56" w:rsidP="00FE4C56" w14:paraId="772E6BA5" w14:textId="77777777">
      <w:pPr>
        <w:spacing w:after="0"/>
        <w:ind w:left="1440"/>
        <w:rPr>
          <w:rFonts w:ascii="Times New Roman" w:hAnsi="Times New Roman"/>
        </w:rPr>
      </w:pPr>
    </w:p>
    <w:p w:rsidR="008D5701" w:rsidRPr="00A0758D" w:rsidP="00707AE7" w14:paraId="1B0A2F86" w14:textId="77777777">
      <w:pPr>
        <w:spacing w:after="0"/>
        <w:ind w:left="1440"/>
        <w:rPr>
          <w:rFonts w:ascii="Times New Roman" w:hAnsi="Times New Roman"/>
        </w:rPr>
      </w:pPr>
      <w:r w:rsidRPr="00A0758D">
        <w:rPr>
          <w:rFonts w:ascii="Times New Roman" w:hAnsi="Times New Roman"/>
        </w:rPr>
        <w:t>We identified the following psychological costs based on the requirements for this information collection:</w:t>
      </w:r>
    </w:p>
    <w:p w:rsidR="008D5701" w:rsidRPr="008D5701" w:rsidP="00707AE7" w14:paraId="70CDF2D5" w14:textId="77777777">
      <w:pPr>
        <w:spacing w:after="0"/>
        <w:ind w:left="1440"/>
        <w:rPr>
          <w:rFonts w:ascii="Times New Roman" w:hAnsi="Times New Roman"/>
        </w:rPr>
      </w:pPr>
    </w:p>
    <w:p w:rsidR="008D5701" w:rsidP="00707AE7" w14:paraId="27E9B657" w14:textId="77777777">
      <w:pPr>
        <w:numPr>
          <w:ilvl w:val="0"/>
          <w:numId w:val="3"/>
        </w:numPr>
        <w:spacing w:after="0"/>
        <w:ind w:left="1980" w:hanging="270"/>
        <w:rPr>
          <w:rFonts w:ascii="Times New Roman" w:hAnsi="Times New Roman"/>
        </w:rPr>
      </w:pPr>
      <w:r w:rsidRPr="008D5701">
        <w:rPr>
          <w:rFonts w:ascii="Times New Roman" w:hAnsi="Times New Roman"/>
          <w:b/>
          <w:bCs/>
          <w:u w:val="single"/>
        </w:rPr>
        <w:t>Psychological Cost #1</w:t>
      </w:r>
      <w:r w:rsidRPr="008D5701">
        <w:rPr>
          <w:rFonts w:ascii="Times New Roman" w:hAnsi="Times New Roman"/>
        </w:rPr>
        <w:t xml:space="preserve">:  </w:t>
      </w:r>
    </w:p>
    <w:p w:rsidR="004E4E81" w:rsidRPr="008D5701" w:rsidP="004E4E81" w14:paraId="5E0FC5C5" w14:textId="77777777">
      <w:pPr>
        <w:spacing w:after="0"/>
        <w:ind w:left="1980"/>
        <w:rPr>
          <w:rFonts w:ascii="Times New Roman" w:hAnsi="Times New Roman"/>
        </w:rPr>
      </w:pPr>
    </w:p>
    <w:p w:rsidR="008D5701" w:rsidP="00707AE7" w14:paraId="4C04DCE1" w14:textId="23EF21C8">
      <w:pPr>
        <w:numPr>
          <w:ilvl w:val="1"/>
          <w:numId w:val="3"/>
        </w:numPr>
        <w:spacing w:after="0"/>
        <w:ind w:left="2430" w:hanging="270"/>
        <w:rPr>
          <w:rFonts w:ascii="Times New Roman" w:hAnsi="Times New Roman"/>
        </w:rPr>
      </w:pPr>
      <w:r w:rsidRPr="008D5701">
        <w:rPr>
          <w:rFonts w:ascii="Times New Roman" w:hAnsi="Times New Roman"/>
          <w:b/>
          <w:bCs/>
        </w:rPr>
        <w:t>Requirement for the Program:</w:t>
      </w:r>
      <w:r w:rsidR="00FF758A">
        <w:rPr>
          <w:rFonts w:ascii="Times New Roman" w:hAnsi="Times New Roman"/>
        </w:rPr>
        <w:t xml:space="preserve">  </w:t>
      </w:r>
      <w:r w:rsidR="005C5A9E">
        <w:rPr>
          <w:rFonts w:ascii="Times New Roman" w:hAnsi="Times New Roman"/>
        </w:rPr>
        <w:t xml:space="preserve">The </w:t>
      </w:r>
      <w:r w:rsidR="00B3688C">
        <w:rPr>
          <w:rFonts w:ascii="Times New Roman" w:hAnsi="Times New Roman"/>
        </w:rPr>
        <w:t xml:space="preserve">SSA-308 </w:t>
      </w:r>
      <w:r w:rsidRPr="00FF758A" w:rsidR="00FF758A">
        <w:rPr>
          <w:rFonts w:ascii="Times New Roman" w:hAnsi="Times New Roman"/>
        </w:rPr>
        <w:t>process asks individual</w:t>
      </w:r>
      <w:r w:rsidR="005C5A9E">
        <w:rPr>
          <w:rFonts w:ascii="Times New Roman" w:hAnsi="Times New Roman"/>
        </w:rPr>
        <w:t>s</w:t>
      </w:r>
      <w:r w:rsidRPr="00FF758A" w:rsidR="00FF758A">
        <w:rPr>
          <w:rFonts w:ascii="Times New Roman" w:hAnsi="Times New Roman"/>
        </w:rPr>
        <w:t xml:space="preserve"> to provide personal information about </w:t>
      </w:r>
      <w:r w:rsidR="00DB6169">
        <w:rPr>
          <w:rFonts w:ascii="Times New Roman" w:hAnsi="Times New Roman"/>
        </w:rPr>
        <w:t xml:space="preserve">their </w:t>
      </w:r>
      <w:r w:rsidR="004F2BD0">
        <w:rPr>
          <w:rFonts w:ascii="Times New Roman" w:hAnsi="Times New Roman"/>
        </w:rPr>
        <w:t>finances</w:t>
      </w:r>
      <w:r w:rsidR="00963AA4">
        <w:rPr>
          <w:rFonts w:ascii="Times New Roman" w:hAnsi="Times New Roman"/>
        </w:rPr>
        <w:t xml:space="preserve"> so </w:t>
      </w:r>
      <w:r w:rsidR="0065130F">
        <w:rPr>
          <w:rFonts w:ascii="Times New Roman" w:hAnsi="Times New Roman"/>
        </w:rPr>
        <w:t>we</w:t>
      </w:r>
      <w:r w:rsidR="00963AA4">
        <w:rPr>
          <w:rFonts w:ascii="Times New Roman" w:hAnsi="Times New Roman"/>
        </w:rPr>
        <w:t xml:space="preserve"> can determine whether they are </w:t>
      </w:r>
      <w:r w:rsidR="00DB305F">
        <w:rPr>
          <w:rFonts w:ascii="Times New Roman" w:hAnsi="Times New Roman"/>
        </w:rPr>
        <w:t>subject to WEP</w:t>
      </w:r>
      <w:r w:rsidR="00D71130">
        <w:rPr>
          <w:rFonts w:ascii="Times New Roman" w:hAnsi="Times New Roman"/>
        </w:rPr>
        <w:t xml:space="preserve"> for benefits payable b</w:t>
      </w:r>
      <w:r w:rsidR="001113B5">
        <w:rPr>
          <w:rFonts w:ascii="Times New Roman" w:hAnsi="Times New Roman"/>
        </w:rPr>
        <w:t>efore January 2024</w:t>
      </w:r>
      <w:r w:rsidR="00DB305F">
        <w:rPr>
          <w:rFonts w:ascii="Times New Roman" w:hAnsi="Times New Roman"/>
        </w:rPr>
        <w:t>.</w:t>
      </w:r>
    </w:p>
    <w:p w:rsidR="00FF758A" w:rsidP="00707AE7" w14:paraId="719A8332" w14:textId="77777777">
      <w:pPr>
        <w:spacing w:after="0"/>
        <w:ind w:left="2430"/>
        <w:rPr>
          <w:rFonts w:ascii="Times New Roman" w:hAnsi="Times New Roman"/>
        </w:rPr>
      </w:pPr>
    </w:p>
    <w:p w:rsidR="008D5701" w:rsidRPr="002A393B" w:rsidP="00707AE7" w14:paraId="4FA7FEBD" w14:textId="77777777">
      <w:pPr>
        <w:numPr>
          <w:ilvl w:val="1"/>
          <w:numId w:val="3"/>
        </w:numPr>
        <w:spacing w:after="0"/>
        <w:ind w:left="2430" w:hanging="270"/>
        <w:rPr>
          <w:rFonts w:ascii="Times New Roman" w:hAnsi="Times New Roman"/>
          <w:b/>
          <w:bCs/>
        </w:rPr>
      </w:pPr>
      <w:r w:rsidRPr="008D5701">
        <w:rPr>
          <w:rFonts w:ascii="Times New Roman" w:hAnsi="Times New Roman"/>
          <w:b/>
          <w:bCs/>
        </w:rPr>
        <w:t>Psychological Cost:</w:t>
      </w:r>
      <w:r w:rsidR="005C5A9E">
        <w:rPr>
          <w:rFonts w:ascii="Times New Roman" w:hAnsi="Times New Roman"/>
          <w:b/>
          <w:bCs/>
        </w:rPr>
        <w:t xml:space="preserve">  </w:t>
      </w:r>
      <w:r w:rsidRPr="005C5A9E" w:rsidR="005C5A9E">
        <w:rPr>
          <w:rFonts w:ascii="Times New Roman" w:hAnsi="Times New Roman"/>
        </w:rPr>
        <w:t>T</w:t>
      </w:r>
      <w:r w:rsidRPr="005C5A9E" w:rsidR="005C5A9E">
        <w:rPr>
          <w:rFonts w:ascii="Times New Roman" w:hAnsi="Times New Roman"/>
          <w:snapToGrid w:val="0"/>
          <w:color w:val="000000"/>
          <w:szCs w:val="24"/>
        </w:rPr>
        <w:t xml:space="preserve">he respondent may perceive these questions as unduly invasive, and these factors can lead to individuals choosing to delay or abandon completing </w:t>
      </w:r>
      <w:r w:rsidR="005C5A9E">
        <w:rPr>
          <w:rFonts w:ascii="Times New Roman" w:hAnsi="Times New Roman"/>
          <w:snapToGrid w:val="0"/>
          <w:color w:val="000000"/>
          <w:szCs w:val="24"/>
        </w:rPr>
        <w:t>this</w:t>
      </w:r>
      <w:r w:rsidRPr="005C5A9E" w:rsidR="005C5A9E">
        <w:rPr>
          <w:rFonts w:ascii="Times New Roman" w:hAnsi="Times New Roman"/>
          <w:snapToGrid w:val="0"/>
          <w:color w:val="000000"/>
          <w:szCs w:val="24"/>
        </w:rPr>
        <w:t xml:space="preserve"> form</w:t>
      </w:r>
      <w:r w:rsidR="005C5A9E">
        <w:rPr>
          <w:rFonts w:ascii="Times New Roman" w:hAnsi="Times New Roman"/>
          <w:snapToGrid w:val="0"/>
          <w:color w:val="000000"/>
          <w:szCs w:val="24"/>
        </w:rPr>
        <w:t>.</w:t>
      </w:r>
    </w:p>
    <w:p w:rsidR="004E4E81" w:rsidRPr="004E4E81" w:rsidP="004E4E81" w14:paraId="255C74AE" w14:textId="77777777">
      <w:pPr>
        <w:spacing w:after="0"/>
        <w:ind w:left="1980"/>
        <w:rPr>
          <w:rFonts w:ascii="Times New Roman" w:hAnsi="Times New Roman"/>
        </w:rPr>
      </w:pPr>
    </w:p>
    <w:p w:rsidR="002A393B" w:rsidRPr="008D5701" w:rsidP="002A393B" w14:paraId="28A7AE92" w14:textId="3A533672">
      <w:pPr>
        <w:numPr>
          <w:ilvl w:val="0"/>
          <w:numId w:val="3"/>
        </w:numPr>
        <w:spacing w:after="0"/>
        <w:ind w:left="1980" w:hanging="270"/>
        <w:rPr>
          <w:rFonts w:ascii="Times New Roman" w:hAnsi="Times New Roman"/>
        </w:rPr>
      </w:pPr>
      <w:r w:rsidRPr="008D5701">
        <w:rPr>
          <w:rFonts w:ascii="Times New Roman" w:hAnsi="Times New Roman"/>
          <w:b/>
          <w:bCs/>
          <w:u w:val="single"/>
        </w:rPr>
        <w:t>Psychological Cost #</w:t>
      </w:r>
      <w:r>
        <w:rPr>
          <w:rFonts w:ascii="Times New Roman" w:hAnsi="Times New Roman"/>
          <w:b/>
          <w:bCs/>
          <w:u w:val="single"/>
        </w:rPr>
        <w:t>2</w:t>
      </w:r>
      <w:r w:rsidRPr="008D5701">
        <w:rPr>
          <w:rFonts w:ascii="Times New Roman" w:hAnsi="Times New Roman"/>
        </w:rPr>
        <w:t xml:space="preserve">:  </w:t>
      </w:r>
    </w:p>
    <w:p w:rsidR="002A393B" w:rsidP="002A393B" w14:paraId="43E0E317" w14:textId="59B7F252">
      <w:pPr>
        <w:numPr>
          <w:ilvl w:val="1"/>
          <w:numId w:val="3"/>
        </w:numPr>
        <w:spacing w:after="0"/>
        <w:ind w:left="2430" w:hanging="270"/>
        <w:rPr>
          <w:rFonts w:ascii="Times New Roman" w:hAnsi="Times New Roman"/>
        </w:rPr>
      </w:pPr>
      <w:r w:rsidRPr="008D5701">
        <w:rPr>
          <w:rFonts w:ascii="Times New Roman" w:hAnsi="Times New Roman"/>
          <w:b/>
          <w:bCs/>
        </w:rPr>
        <w:t>Requirement for the Program:</w:t>
      </w:r>
      <w:r>
        <w:rPr>
          <w:rFonts w:ascii="Times New Roman" w:hAnsi="Times New Roman"/>
        </w:rPr>
        <w:t xml:space="preserve">  The SSA-308 </w:t>
      </w:r>
      <w:r w:rsidRPr="00FF758A">
        <w:rPr>
          <w:rFonts w:ascii="Times New Roman" w:hAnsi="Times New Roman"/>
        </w:rPr>
        <w:t>process asks individual</w:t>
      </w:r>
      <w:r>
        <w:rPr>
          <w:rFonts w:ascii="Times New Roman" w:hAnsi="Times New Roman"/>
        </w:rPr>
        <w:t>s</w:t>
      </w:r>
      <w:r w:rsidRPr="00FF758A">
        <w:rPr>
          <w:rFonts w:ascii="Times New Roman" w:hAnsi="Times New Roman"/>
        </w:rPr>
        <w:t xml:space="preserve"> to provide </w:t>
      </w:r>
      <w:r w:rsidR="0065130F">
        <w:rPr>
          <w:rFonts w:ascii="Times New Roman" w:hAnsi="Times New Roman"/>
        </w:rPr>
        <w:t xml:space="preserve">information about their pension so </w:t>
      </w:r>
      <w:r w:rsidR="00EE033C">
        <w:rPr>
          <w:rFonts w:ascii="Times New Roman" w:hAnsi="Times New Roman"/>
        </w:rPr>
        <w:t>SSA</w:t>
      </w:r>
      <w:r>
        <w:rPr>
          <w:rFonts w:ascii="Times New Roman" w:hAnsi="Times New Roman"/>
        </w:rPr>
        <w:t xml:space="preserve"> can determine whether they are subject to WEP.</w:t>
      </w:r>
      <w:r w:rsidR="0065130F">
        <w:rPr>
          <w:rFonts w:ascii="Times New Roman" w:hAnsi="Times New Roman"/>
        </w:rPr>
        <w:t xml:space="preserve">  They may not always have the information and may need to obtain the information from a pension payer or employer.</w:t>
      </w:r>
    </w:p>
    <w:p w:rsidR="002A393B" w:rsidP="002A393B" w14:paraId="2574D135" w14:textId="77777777">
      <w:pPr>
        <w:spacing w:after="0"/>
        <w:ind w:left="2430"/>
        <w:rPr>
          <w:rFonts w:ascii="Times New Roman" w:hAnsi="Times New Roman"/>
        </w:rPr>
      </w:pPr>
    </w:p>
    <w:p w:rsidR="002A393B" w:rsidRPr="008D5701" w:rsidP="002A393B" w14:paraId="0D8AAEA8" w14:textId="77777777">
      <w:pPr>
        <w:numPr>
          <w:ilvl w:val="1"/>
          <w:numId w:val="3"/>
        </w:numPr>
        <w:spacing w:after="0"/>
        <w:ind w:left="2430" w:hanging="270"/>
        <w:rPr>
          <w:rFonts w:ascii="Times New Roman" w:hAnsi="Times New Roman"/>
          <w:b/>
          <w:bCs/>
        </w:rPr>
      </w:pPr>
      <w:r w:rsidRPr="008D5701">
        <w:rPr>
          <w:rFonts w:ascii="Times New Roman" w:hAnsi="Times New Roman"/>
          <w:b/>
          <w:bCs/>
        </w:rPr>
        <w:t>Psychological Cost:</w:t>
      </w:r>
      <w:r>
        <w:rPr>
          <w:rFonts w:ascii="Times New Roman" w:hAnsi="Times New Roman"/>
          <w:b/>
          <w:bCs/>
        </w:rPr>
        <w:t xml:space="preserve">  </w:t>
      </w:r>
      <w:r w:rsidRPr="005C5A9E">
        <w:rPr>
          <w:rFonts w:ascii="Times New Roman" w:hAnsi="Times New Roman"/>
        </w:rPr>
        <w:t>T</w:t>
      </w:r>
      <w:r w:rsidRPr="005C5A9E">
        <w:rPr>
          <w:rFonts w:ascii="Times New Roman" w:hAnsi="Times New Roman"/>
          <w:snapToGrid w:val="0"/>
          <w:color w:val="000000"/>
          <w:szCs w:val="24"/>
        </w:rPr>
        <w:t xml:space="preserve">he respondent may </w:t>
      </w:r>
      <w:r w:rsidR="00607AF5">
        <w:rPr>
          <w:rFonts w:ascii="Times New Roman" w:hAnsi="Times New Roman"/>
          <w:snapToGrid w:val="0"/>
          <w:color w:val="000000"/>
          <w:szCs w:val="24"/>
        </w:rPr>
        <w:t>experience discomfort or anxiety</w:t>
      </w:r>
      <w:r w:rsidR="00AD51EB">
        <w:rPr>
          <w:rFonts w:ascii="Times New Roman" w:hAnsi="Times New Roman"/>
          <w:snapToGrid w:val="0"/>
          <w:color w:val="000000"/>
          <w:szCs w:val="24"/>
        </w:rPr>
        <w:t xml:space="preserve"> as</w:t>
      </w:r>
      <w:r w:rsidRPr="005C5A9E">
        <w:rPr>
          <w:rFonts w:ascii="Times New Roman" w:hAnsi="Times New Roman"/>
          <w:snapToGrid w:val="0"/>
          <w:color w:val="000000"/>
          <w:szCs w:val="24"/>
        </w:rPr>
        <w:t xml:space="preserve"> these questions </w:t>
      </w:r>
      <w:r w:rsidR="00AD51EB">
        <w:rPr>
          <w:rFonts w:ascii="Times New Roman" w:hAnsi="Times New Roman"/>
          <w:snapToGrid w:val="0"/>
          <w:color w:val="000000"/>
          <w:szCs w:val="24"/>
        </w:rPr>
        <w:t>may prompt the need for them to look up records</w:t>
      </w:r>
      <w:r w:rsidR="0065130F">
        <w:rPr>
          <w:rFonts w:ascii="Times New Roman" w:hAnsi="Times New Roman"/>
          <w:snapToGrid w:val="0"/>
          <w:color w:val="000000"/>
          <w:szCs w:val="24"/>
        </w:rPr>
        <w:t xml:space="preserve"> or contact their pension payer or employer</w:t>
      </w:r>
      <w:r w:rsidRPr="005C5A9E">
        <w:rPr>
          <w:rFonts w:ascii="Times New Roman" w:hAnsi="Times New Roman"/>
          <w:snapToGrid w:val="0"/>
          <w:color w:val="000000"/>
          <w:szCs w:val="24"/>
        </w:rPr>
        <w:t xml:space="preserve">, and these factors can lead to individuals choosing to delay or abandon completing </w:t>
      </w:r>
      <w:r>
        <w:rPr>
          <w:rFonts w:ascii="Times New Roman" w:hAnsi="Times New Roman"/>
          <w:snapToGrid w:val="0"/>
          <w:color w:val="000000"/>
          <w:szCs w:val="24"/>
        </w:rPr>
        <w:t>this</w:t>
      </w:r>
      <w:r w:rsidRPr="005C5A9E">
        <w:rPr>
          <w:rFonts w:ascii="Times New Roman" w:hAnsi="Times New Roman"/>
          <w:snapToGrid w:val="0"/>
          <w:color w:val="000000"/>
          <w:szCs w:val="24"/>
        </w:rPr>
        <w:t xml:space="preserve"> form</w:t>
      </w:r>
      <w:r>
        <w:rPr>
          <w:rFonts w:ascii="Times New Roman" w:hAnsi="Times New Roman"/>
          <w:snapToGrid w:val="0"/>
          <w:color w:val="000000"/>
          <w:szCs w:val="24"/>
        </w:rPr>
        <w:t>.</w:t>
      </w:r>
    </w:p>
    <w:p w:rsidR="008D5701" w:rsidP="00707AE7" w14:paraId="1C5B12B0" w14:textId="77777777">
      <w:pPr>
        <w:spacing w:after="0"/>
        <w:ind w:left="1440"/>
        <w:rPr>
          <w:rFonts w:ascii="Times New Roman" w:hAnsi="Times New Roman"/>
        </w:rPr>
      </w:pPr>
    </w:p>
    <w:p w:rsidR="008D5701" w:rsidRPr="00BF0A9F" w:rsidP="00707AE7" w14:paraId="6CE8B17E" w14:textId="77777777">
      <w:pPr>
        <w:spacing w:after="0"/>
        <w:ind w:left="1440"/>
        <w:rPr>
          <w:rFonts w:ascii="Times New Roman" w:hAnsi="Times New Roman"/>
        </w:rPr>
      </w:pPr>
      <w:r w:rsidRPr="008D5701">
        <w:rPr>
          <w:rFonts w:ascii="Times New Roman" w:hAnsi="Times New Roman"/>
        </w:rPr>
        <w:t xml:space="preserve">We understand these psychological costs may cause respondents to delay their completion of the information collection or cause them to abandon the information collection entirely.  However, we require full completion of this </w:t>
      </w:r>
      <w:r w:rsidRPr="008D5701">
        <w:rPr>
          <w:rFonts w:ascii="Times New Roman" w:hAnsi="Times New Roman"/>
        </w:rPr>
        <w:t>co</w:t>
      </w:r>
      <w:r w:rsidRPr="00BF0A9F">
        <w:rPr>
          <w:rFonts w:ascii="Times New Roman" w:hAnsi="Times New Roman"/>
        </w:rPr>
        <w:t>llection to receive benefits.  Therefore, we have taken this potential psychological cost into account when calculating our burden in #12 below.</w:t>
      </w:r>
    </w:p>
    <w:p w:rsidR="008D5701" w:rsidRPr="00BF0A9F" w:rsidP="00707AE7" w14:paraId="35EE1A85" w14:textId="77777777">
      <w:pPr>
        <w:spacing w:after="0"/>
        <w:ind w:left="1440"/>
        <w:rPr>
          <w:rFonts w:ascii="Times New Roman" w:hAnsi="Times New Roman"/>
        </w:rPr>
      </w:pPr>
    </w:p>
    <w:p w:rsidR="00BF0A9F" w:rsidP="00BF0A9F" w14:paraId="0F45A8D6" w14:textId="77777777">
      <w:pPr>
        <w:ind w:left="1440"/>
        <w:rPr>
          <w:rFonts w:ascii="Times New Roman" w:hAnsi="Times New Roman"/>
        </w:rPr>
      </w:pPr>
      <w:r w:rsidRPr="00BF0A9F">
        <w:rPr>
          <w:rFonts w:ascii="Times New Roman" w:hAnsi="Times New Roman"/>
        </w:rPr>
        <w:t>The respondents are Title II Social Security retirement and disability applicants and beneficiaries who became entitled to their benefit after 1985 and who also received a foreign pension before January 2024 while entitled to their Social Security benefit.</w:t>
      </w:r>
    </w:p>
    <w:p w:rsidR="00321412" w:rsidRPr="0010524E" w:rsidP="00707AE7" w14:paraId="40C0C2E9" w14:textId="77777777">
      <w:pPr>
        <w:pStyle w:val="ListParagraph"/>
        <w:numPr>
          <w:ilvl w:val="0"/>
          <w:numId w:val="2"/>
        </w:numPr>
        <w:spacing w:after="0"/>
        <w:ind w:left="1440" w:hanging="720"/>
        <w:rPr>
          <w:rFonts w:ascii="Times New Roman" w:hAnsi="Times New Roman"/>
        </w:rPr>
      </w:pPr>
      <w:r w:rsidRPr="0010524E">
        <w:rPr>
          <w:rFonts w:ascii="Times New Roman" w:hAnsi="Times New Roman"/>
          <w:b/>
        </w:rPr>
        <w:t>Use of Information Technology to Collect the Information</w:t>
      </w:r>
    </w:p>
    <w:p w:rsidR="00512B8F" w:rsidP="00512B8F" w14:paraId="40A4CD0A" w14:textId="76D41687">
      <w:pPr>
        <w:spacing w:after="0"/>
        <w:ind w:left="1440"/>
        <w:rPr>
          <w:rFonts w:ascii="Times New Roman" w:hAnsi="Times New Roman"/>
        </w:rPr>
      </w:pPr>
      <w:bookmarkStart w:id="0" w:name="_Hlk198797189"/>
      <w:r w:rsidRPr="00FC3D64">
        <w:rPr>
          <w:rFonts w:ascii="Times New Roman" w:hAnsi="Times New Roman"/>
        </w:rPr>
        <w:t>SSA</w:t>
      </w:r>
      <w:r>
        <w:rPr>
          <w:rFonts w:ascii="Times New Roman" w:hAnsi="Times New Roman"/>
        </w:rPr>
        <w:t xml:space="preserve"> </w:t>
      </w:r>
      <w:r w:rsidRPr="00495A7A">
        <w:rPr>
          <w:rFonts w:ascii="Times New Roman" w:hAnsi="Times New Roman"/>
        </w:rPr>
        <w:t>mails the</w:t>
      </w:r>
      <w:r>
        <w:rPr>
          <w:rFonts w:ascii="Times New Roman" w:hAnsi="Times New Roman"/>
        </w:rPr>
        <w:t xml:space="preserve"> SSA-308 to individuals to complete and mail back to SSA, or </w:t>
      </w:r>
      <w:r w:rsidR="00765ADD">
        <w:rPr>
          <w:rFonts w:ascii="Times New Roman" w:hAnsi="Times New Roman"/>
        </w:rPr>
        <w:t xml:space="preserve">the claimant or beneficiary can submit the SSA-308 </w:t>
      </w:r>
      <w:r>
        <w:rPr>
          <w:rFonts w:ascii="Times New Roman" w:hAnsi="Times New Roman"/>
        </w:rPr>
        <w:t>through SSA’s Upload Documents</w:t>
      </w:r>
      <w:r>
        <w:rPr>
          <w:rFonts w:ascii="Times New Roman" w:hAnsi="Times New Roman"/>
        </w:rPr>
        <w:t xml:space="preserve"> (0960-0830)</w:t>
      </w:r>
      <w:r>
        <w:rPr>
          <w:rFonts w:ascii="Times New Roman" w:hAnsi="Times New Roman"/>
        </w:rPr>
        <w:t>.</w:t>
      </w:r>
    </w:p>
    <w:p w:rsidR="00512B8F" w:rsidP="00512B8F" w14:paraId="0D5AE0C9" w14:textId="77777777">
      <w:pPr>
        <w:spacing w:after="0"/>
        <w:ind w:left="1440"/>
        <w:rPr>
          <w:rFonts w:ascii="Times New Roman" w:hAnsi="Times New Roman"/>
        </w:rPr>
      </w:pPr>
    </w:p>
    <w:bookmarkEnd w:id="0"/>
    <w:p w:rsidR="00512B8F" w:rsidP="00512B8F" w14:paraId="39AC58FE" w14:textId="13BFBA58">
      <w:pPr>
        <w:pStyle w:val="ListParagraph"/>
        <w:ind w:left="1440"/>
        <w:rPr>
          <w:rFonts w:ascii="Times New Roman" w:eastAsia="Arial" w:hAnsi="Times New Roman"/>
          <w:color w:val="000000"/>
        </w:rPr>
      </w:pPr>
      <w:r w:rsidRPr="007C36BA">
        <w:rPr>
          <w:rFonts w:ascii="Times New Roman" w:hAnsi="Times New Roman"/>
          <w:iCs/>
        </w:rPr>
        <w:t xml:space="preserve">This collection has a public-facing fillable and submittable </w:t>
      </w:r>
      <w:r>
        <w:rPr>
          <w:rFonts w:ascii="Times New Roman" w:hAnsi="Times New Roman"/>
          <w:iCs/>
        </w:rPr>
        <w:t>version which the respondent can submit using SSA’s Upload Documents Portal (</w:t>
      </w:r>
      <w:r>
        <w:rPr>
          <w:rFonts w:ascii="Times New Roman" w:hAnsi="Times New Roman"/>
          <w:iCs/>
        </w:rPr>
        <w:t>0960</w:t>
      </w:r>
      <w:r>
        <w:rPr>
          <w:rFonts w:ascii="Times New Roman" w:hAnsi="Times New Roman"/>
          <w:iCs/>
        </w:rPr>
        <w:noBreakHyphen/>
        <w:t>0830)</w:t>
      </w:r>
      <w:r w:rsidRPr="007C36BA">
        <w:rPr>
          <w:rFonts w:ascii="Times New Roman" w:hAnsi="Times New Roman"/>
          <w:color w:val="000000"/>
        </w:rPr>
        <w:t xml:space="preserve">.  </w:t>
      </w:r>
      <w:r>
        <w:rPr>
          <w:rFonts w:ascii="Times New Roman" w:hAnsi="Times New Roman"/>
          <w:color w:val="000000"/>
        </w:rPr>
        <w:t>Upload Documents allows the respondent to complete the fillable PDF, and submit the information through the Upload Documents Portal.  The</w:t>
      </w:r>
      <w:r w:rsidRPr="007C36BA">
        <w:rPr>
          <w:rFonts w:ascii="Times New Roman" w:hAnsi="Times New Roman"/>
          <w:color w:val="000000"/>
        </w:rPr>
        <w:t xml:space="preserve"> </w:t>
      </w:r>
      <w:r>
        <w:rPr>
          <w:rFonts w:ascii="Times New Roman" w:hAnsi="Times New Roman"/>
          <w:color w:val="000000"/>
        </w:rPr>
        <w:t>submittable version</w:t>
      </w:r>
      <w:r w:rsidRPr="007C36BA">
        <w:rPr>
          <w:rFonts w:ascii="Times New Roman" w:hAnsi="Times New Roman"/>
          <w:color w:val="000000"/>
        </w:rPr>
        <w:t xml:space="preserve"> mirrors the paper version and provides respondents with an online service option as an alternative to mailing</w:t>
      </w:r>
      <w:r>
        <w:rPr>
          <w:rFonts w:ascii="Times New Roman" w:hAnsi="Times New Roman"/>
          <w:color w:val="000000"/>
        </w:rPr>
        <w:t>,</w:t>
      </w:r>
      <w:r w:rsidRPr="007C36BA">
        <w:rPr>
          <w:rFonts w:ascii="Times New Roman" w:hAnsi="Times New Roman"/>
          <w:color w:val="000000"/>
        </w:rPr>
        <w:t xml:space="preserve"> faxing</w:t>
      </w:r>
      <w:r>
        <w:rPr>
          <w:rFonts w:ascii="Times New Roman" w:hAnsi="Times New Roman"/>
          <w:color w:val="000000"/>
        </w:rPr>
        <w:t>, or bringing</w:t>
      </w:r>
      <w:r w:rsidRPr="007C36BA">
        <w:rPr>
          <w:rFonts w:ascii="Times New Roman" w:hAnsi="Times New Roman"/>
          <w:color w:val="000000"/>
        </w:rPr>
        <w:t xml:space="preserve"> the form </w:t>
      </w:r>
      <w:r>
        <w:rPr>
          <w:rFonts w:ascii="Times New Roman" w:hAnsi="Times New Roman"/>
          <w:color w:val="000000"/>
        </w:rPr>
        <w:t>to an SSA field office</w:t>
      </w:r>
      <w:r w:rsidRPr="007C36BA">
        <w:rPr>
          <w:rFonts w:ascii="Times New Roman" w:hAnsi="Times New Roman"/>
          <w:color w:val="000000"/>
        </w:rPr>
        <w:t xml:space="preserve">. </w:t>
      </w:r>
      <w:r>
        <w:rPr>
          <w:rFonts w:ascii="Times New Roman" w:hAnsi="Times New Roman"/>
          <w:color w:val="000000"/>
        </w:rPr>
        <w:t xml:space="preserve"> </w:t>
      </w:r>
      <w:r w:rsidRPr="007C36BA">
        <w:rPr>
          <w:rFonts w:ascii="Times New Roman" w:hAnsi="Times New Roman"/>
          <w:color w:val="000000"/>
        </w:rPr>
        <w:t>Use of th</w:t>
      </w:r>
      <w:r>
        <w:rPr>
          <w:rFonts w:ascii="Times New Roman" w:hAnsi="Times New Roman"/>
          <w:color w:val="000000"/>
        </w:rPr>
        <w:t xml:space="preserve">e Upload Documents Portal </w:t>
      </w:r>
      <w:r w:rsidRPr="007C36BA">
        <w:rPr>
          <w:rFonts w:ascii="Times New Roman" w:hAnsi="Times New Roman"/>
          <w:color w:val="000000"/>
        </w:rPr>
        <w:t xml:space="preserve">does not </w:t>
      </w:r>
      <w:r>
        <w:rPr>
          <w:rFonts w:ascii="Times New Roman" w:hAnsi="Times New Roman"/>
          <w:color w:val="000000"/>
        </w:rPr>
        <w:t>require respondents</w:t>
      </w:r>
      <w:r w:rsidRPr="007C36BA">
        <w:rPr>
          <w:rFonts w:ascii="Times New Roman" w:hAnsi="Times New Roman"/>
          <w:color w:val="000000"/>
        </w:rPr>
        <w:t xml:space="preserve"> to download and install the application locally on their device or pay any subscription or licensing fees</w:t>
      </w:r>
      <w:r>
        <w:rPr>
          <w:rFonts w:ascii="Times New Roman" w:hAnsi="Times New Roman"/>
          <w:color w:val="000000"/>
        </w:rPr>
        <w:t>, and we account for the burden for using Upload Documents under OMB No. 0960-0830</w:t>
      </w:r>
      <w:r w:rsidRPr="007C36BA">
        <w:rPr>
          <w:rFonts w:ascii="Times New Roman" w:hAnsi="Times New Roman"/>
          <w:color w:val="000000"/>
        </w:rPr>
        <w:t xml:space="preserve">.  </w:t>
      </w:r>
    </w:p>
    <w:p w:rsidR="00321412" w:rsidRPr="00321412" w:rsidP="00707AE7" w14:paraId="386B465E" w14:textId="77777777">
      <w:pPr>
        <w:numPr>
          <w:ilvl w:val="0"/>
          <w:numId w:val="2"/>
        </w:numPr>
        <w:spacing w:after="0"/>
        <w:ind w:left="1440" w:hanging="720"/>
        <w:rPr>
          <w:b/>
          <w:szCs w:val="24"/>
        </w:rPr>
      </w:pPr>
      <w:r w:rsidRPr="00BC7F42">
        <w:rPr>
          <w:rFonts w:ascii="Times New Roman" w:hAnsi="Times New Roman"/>
          <w:b/>
        </w:rPr>
        <w:t xml:space="preserve">Why </w:t>
      </w:r>
      <w:r>
        <w:rPr>
          <w:rFonts w:ascii="Times New Roman" w:hAnsi="Times New Roman"/>
          <w:b/>
        </w:rPr>
        <w:t>We Cannot Use Duplicate Information</w:t>
      </w:r>
    </w:p>
    <w:p w:rsidR="00321412" w:rsidP="00707AE7" w14:paraId="06774A6F" w14:textId="77777777">
      <w:pPr>
        <w:pStyle w:val="ListParagraph"/>
        <w:spacing w:after="0"/>
        <w:ind w:left="1440"/>
        <w:rPr>
          <w:rFonts w:ascii="Times New Roman" w:hAnsi="Times New Roman"/>
        </w:rPr>
      </w:pPr>
      <w:r w:rsidRPr="0095217F">
        <w:rPr>
          <w:rFonts w:ascii="Times New Roman" w:hAnsi="Times New Roman"/>
        </w:rPr>
        <w:t>The nature of the information we collect and the manner in which we collect it precludes duplication.  SSA does not use another collection instrument to obtain similar data.</w:t>
      </w:r>
    </w:p>
    <w:p w:rsidR="00707AE7" w:rsidRPr="00321412" w:rsidP="00707AE7" w14:paraId="296F4656" w14:textId="77777777">
      <w:pPr>
        <w:pStyle w:val="ListParagraph"/>
        <w:spacing w:after="0"/>
        <w:ind w:left="1440"/>
        <w:rPr>
          <w:b/>
          <w:szCs w:val="24"/>
        </w:rPr>
      </w:pPr>
    </w:p>
    <w:p w:rsidR="00321412" w:rsidRPr="00321412" w:rsidP="00707AE7" w14:paraId="2CEA2C0F" w14:textId="77777777">
      <w:pPr>
        <w:numPr>
          <w:ilvl w:val="0"/>
          <w:numId w:val="2"/>
        </w:numPr>
        <w:spacing w:after="0"/>
        <w:ind w:left="1440" w:hanging="720"/>
        <w:rPr>
          <w:b/>
          <w:szCs w:val="24"/>
        </w:rPr>
      </w:pPr>
      <w:r>
        <w:rPr>
          <w:rFonts w:ascii="Times New Roman" w:hAnsi="Times New Roman"/>
          <w:b/>
        </w:rPr>
        <w:t>Minimizing Burden on Small Respondents</w:t>
      </w:r>
    </w:p>
    <w:p w:rsidR="00321412" w:rsidP="00707AE7" w14:paraId="2EA8F49F" w14:textId="77777777">
      <w:pPr>
        <w:spacing w:after="0"/>
        <w:ind w:left="1440"/>
        <w:rPr>
          <w:rFonts w:ascii="Times New Roman" w:hAnsi="Times New Roman"/>
        </w:rPr>
      </w:pPr>
      <w:r w:rsidRPr="00321412">
        <w:rPr>
          <w:rFonts w:ascii="Times New Roman" w:hAnsi="Times New Roman"/>
        </w:rPr>
        <w:t>This collection does not affect small businesses or other small entities.</w:t>
      </w:r>
    </w:p>
    <w:p w:rsidR="00787710" w:rsidRPr="00321412" w:rsidP="00707AE7" w14:paraId="22BD41F1" w14:textId="77777777">
      <w:pPr>
        <w:spacing w:after="0"/>
        <w:ind w:left="1440"/>
        <w:rPr>
          <w:rFonts w:ascii="Times New Roman" w:hAnsi="Times New Roman"/>
        </w:rPr>
      </w:pPr>
    </w:p>
    <w:p w:rsidR="00321412" w:rsidRPr="00321412" w:rsidP="00707AE7" w14:paraId="51978DA5" w14:textId="77777777">
      <w:pPr>
        <w:numPr>
          <w:ilvl w:val="0"/>
          <w:numId w:val="2"/>
        </w:numPr>
        <w:spacing w:after="0"/>
        <w:ind w:left="1440" w:hanging="720"/>
        <w:rPr>
          <w:b/>
          <w:szCs w:val="24"/>
        </w:rPr>
      </w:pPr>
      <w:bookmarkStart w:id="1" w:name="_Hlk95144091"/>
      <w:r w:rsidRPr="00BC7F42">
        <w:rPr>
          <w:rFonts w:ascii="Times New Roman" w:hAnsi="Times New Roman"/>
          <w:b/>
        </w:rPr>
        <w:t>Consequence of Not Collecting Information or Collecting it Less Frequently</w:t>
      </w:r>
    </w:p>
    <w:p w:rsidR="00321412" w:rsidP="007236FE" w14:paraId="3440A93B" w14:textId="2FA75D21">
      <w:pPr>
        <w:widowControl w:val="0"/>
        <w:spacing w:after="0"/>
        <w:ind w:left="1440"/>
        <w:rPr>
          <w:rFonts w:ascii="Times New Roman" w:hAnsi="Times New Roman"/>
        </w:rPr>
      </w:pPr>
      <w:r>
        <w:rPr>
          <w:rFonts w:ascii="Times New Roman" w:hAnsi="Times New Roman"/>
        </w:rPr>
        <w:t xml:space="preserve">If we did not use </w:t>
      </w:r>
      <w:r w:rsidR="000E5762">
        <w:rPr>
          <w:rFonts w:ascii="Times New Roman" w:hAnsi="Times New Roman"/>
        </w:rPr>
        <w:t>F</w:t>
      </w:r>
      <w:r w:rsidRPr="00A7523B">
        <w:rPr>
          <w:rFonts w:ascii="Times New Roman" w:hAnsi="Times New Roman"/>
        </w:rPr>
        <w:t xml:space="preserve">orm </w:t>
      </w:r>
      <w:r w:rsidR="00B3688C">
        <w:rPr>
          <w:rFonts w:ascii="Times New Roman" w:hAnsi="Times New Roman"/>
        </w:rPr>
        <w:t>SSA-308</w:t>
      </w:r>
      <w:r w:rsidRPr="00A7523B">
        <w:rPr>
          <w:rFonts w:ascii="Times New Roman" w:hAnsi="Times New Roman"/>
        </w:rPr>
        <w:t xml:space="preserve">, </w:t>
      </w:r>
      <w:r w:rsidR="000E5762">
        <w:rPr>
          <w:rFonts w:ascii="Times New Roman" w:hAnsi="Times New Roman"/>
        </w:rPr>
        <w:t>the respondents</w:t>
      </w:r>
      <w:r w:rsidRPr="00A7523B">
        <w:rPr>
          <w:rFonts w:ascii="Times New Roman" w:hAnsi="Times New Roman"/>
        </w:rPr>
        <w:t xml:space="preserve"> </w:t>
      </w:r>
      <w:r w:rsidR="000E5762">
        <w:rPr>
          <w:rFonts w:ascii="Times New Roman" w:hAnsi="Times New Roman"/>
        </w:rPr>
        <w:t>would not</w:t>
      </w:r>
      <w:r w:rsidR="007236FE">
        <w:rPr>
          <w:rFonts w:ascii="Times New Roman" w:hAnsi="Times New Roman"/>
        </w:rPr>
        <w:t xml:space="preserve"> be able to </w:t>
      </w:r>
      <w:r w:rsidR="00523FE1">
        <w:rPr>
          <w:rFonts w:ascii="Times New Roman" w:hAnsi="Times New Roman"/>
        </w:rPr>
        <w:t xml:space="preserve">report a foreign pension </w:t>
      </w:r>
      <w:r>
        <w:rPr>
          <w:rFonts w:ascii="Times New Roman" w:hAnsi="Times New Roman"/>
        </w:rPr>
        <w:t xml:space="preserve">from before January 2024 </w:t>
      </w:r>
      <w:r w:rsidR="00523FE1">
        <w:rPr>
          <w:rFonts w:ascii="Times New Roman" w:hAnsi="Times New Roman"/>
        </w:rPr>
        <w:t>that</w:t>
      </w:r>
      <w:r w:rsidR="00952294">
        <w:rPr>
          <w:rFonts w:ascii="Times New Roman" w:hAnsi="Times New Roman"/>
        </w:rPr>
        <w:t xml:space="preserve"> SSA</w:t>
      </w:r>
      <w:r w:rsidR="00523FE1">
        <w:rPr>
          <w:rFonts w:ascii="Times New Roman" w:hAnsi="Times New Roman"/>
        </w:rPr>
        <w:t xml:space="preserve"> may </w:t>
      </w:r>
      <w:r w:rsidR="00952294">
        <w:rPr>
          <w:rFonts w:ascii="Times New Roman" w:hAnsi="Times New Roman"/>
        </w:rPr>
        <w:t xml:space="preserve">use </w:t>
      </w:r>
      <w:r w:rsidR="00523FE1">
        <w:rPr>
          <w:rFonts w:ascii="Times New Roman" w:hAnsi="Times New Roman"/>
        </w:rPr>
        <w:t>to reduce the</w:t>
      </w:r>
      <w:r w:rsidRPr="00523FE1" w:rsidR="00523FE1">
        <w:rPr>
          <w:rFonts w:ascii="Times New Roman" w:eastAsia="Calibri" w:hAnsi="Times New Roman"/>
          <w:szCs w:val="24"/>
        </w:rPr>
        <w:t xml:space="preserve"> </w:t>
      </w:r>
      <w:r w:rsidRPr="00FE451D" w:rsidR="00523FE1">
        <w:rPr>
          <w:rFonts w:ascii="Times New Roman" w:eastAsia="Calibri" w:hAnsi="Times New Roman"/>
          <w:szCs w:val="24"/>
        </w:rPr>
        <w:t>amount of</w:t>
      </w:r>
      <w:r w:rsidR="007236FE">
        <w:rPr>
          <w:rFonts w:ascii="Times New Roman" w:eastAsia="Calibri" w:hAnsi="Times New Roman"/>
          <w:szCs w:val="24"/>
        </w:rPr>
        <w:t xml:space="preserve"> </w:t>
      </w:r>
      <w:r w:rsidRPr="00FE451D" w:rsidR="00523FE1">
        <w:rPr>
          <w:rFonts w:ascii="Times New Roman" w:eastAsia="Calibri" w:hAnsi="Times New Roman"/>
          <w:szCs w:val="24"/>
        </w:rPr>
        <w:t xml:space="preserve">Title II Social Security retirement or disability benefits under the </w:t>
      </w:r>
      <w:r w:rsidR="00523FE1">
        <w:rPr>
          <w:rFonts w:ascii="Times New Roman" w:eastAsia="Calibri" w:hAnsi="Times New Roman"/>
          <w:szCs w:val="24"/>
        </w:rPr>
        <w:t>special</w:t>
      </w:r>
      <w:r w:rsidRPr="00FE451D" w:rsidR="00523FE1">
        <w:rPr>
          <w:rFonts w:ascii="Times New Roman" w:eastAsia="Calibri" w:hAnsi="Times New Roman"/>
          <w:szCs w:val="24"/>
        </w:rPr>
        <w:t xml:space="preserve"> benefit formula.  </w:t>
      </w:r>
      <w:r w:rsidR="00DC10C0">
        <w:rPr>
          <w:rFonts w:ascii="Times New Roman" w:hAnsi="Times New Roman"/>
        </w:rPr>
        <w:t>Because we collect this information on an as</w:t>
      </w:r>
      <w:r w:rsidR="00655552">
        <w:rPr>
          <w:rFonts w:ascii="Times New Roman" w:hAnsi="Times New Roman"/>
        </w:rPr>
        <w:t>-</w:t>
      </w:r>
      <w:r w:rsidR="00DC10C0">
        <w:rPr>
          <w:rFonts w:ascii="Times New Roman" w:hAnsi="Times New Roman"/>
        </w:rPr>
        <w:t xml:space="preserve">needed basis, </w:t>
      </w:r>
      <w:r w:rsidRPr="00204D03" w:rsidR="00204D03">
        <w:rPr>
          <w:rFonts w:ascii="Times New Roman" w:hAnsi="Times New Roman"/>
        </w:rPr>
        <w:t>we cannot collect it less frequently</w:t>
      </w:r>
      <w:r w:rsidRPr="00A7523B">
        <w:rPr>
          <w:rFonts w:ascii="Times New Roman" w:hAnsi="Times New Roman"/>
        </w:rPr>
        <w:t>.</w:t>
      </w:r>
      <w:r>
        <w:rPr>
          <w:rFonts w:ascii="Times New Roman" w:hAnsi="Times New Roman"/>
        </w:rPr>
        <w:t xml:space="preserve">  </w:t>
      </w:r>
      <w:r w:rsidRPr="00B249AD" w:rsidR="00204D03">
        <w:rPr>
          <w:rFonts w:ascii="Times New Roman" w:hAnsi="Times New Roman"/>
        </w:rPr>
        <w:t>There are no technical or legal obstacles to burden reduction.</w:t>
      </w:r>
    </w:p>
    <w:bookmarkEnd w:id="1"/>
    <w:p w:rsidR="00D256FA" w:rsidRPr="00321412" w:rsidP="00707AE7" w14:paraId="2FA90F4E" w14:textId="77777777">
      <w:pPr>
        <w:spacing w:after="0"/>
        <w:ind w:left="1440"/>
        <w:rPr>
          <w:b/>
          <w:szCs w:val="24"/>
        </w:rPr>
      </w:pPr>
    </w:p>
    <w:p w:rsidR="00321412" w:rsidRPr="00321412" w:rsidP="00707AE7" w14:paraId="03BCF922" w14:textId="77777777">
      <w:pPr>
        <w:numPr>
          <w:ilvl w:val="0"/>
          <w:numId w:val="2"/>
        </w:numPr>
        <w:spacing w:after="0"/>
        <w:ind w:left="1440" w:hanging="720"/>
        <w:rPr>
          <w:b/>
          <w:szCs w:val="24"/>
        </w:rPr>
      </w:pPr>
      <w:r>
        <w:rPr>
          <w:rFonts w:ascii="Times New Roman" w:hAnsi="Times New Roman"/>
          <w:b/>
        </w:rPr>
        <w:t>S</w:t>
      </w:r>
      <w:r w:rsidRPr="00BC7F42">
        <w:rPr>
          <w:rFonts w:ascii="Times New Roman" w:hAnsi="Times New Roman"/>
          <w:b/>
        </w:rPr>
        <w:t>pecial Circumstances</w:t>
      </w:r>
    </w:p>
    <w:p w:rsidR="00321412" w:rsidRPr="00321412" w:rsidP="00707AE7" w14:paraId="03AE4002" w14:textId="0A101EE9">
      <w:pPr>
        <w:spacing w:after="0"/>
        <w:ind w:left="1440"/>
        <w:rPr>
          <w:rFonts w:ascii="Times New Roman" w:hAnsi="Times New Roman"/>
        </w:rPr>
      </w:pPr>
      <w:r w:rsidRPr="00321412">
        <w:rPr>
          <w:rFonts w:ascii="Times New Roman" w:hAnsi="Times New Roman"/>
        </w:rPr>
        <w:t xml:space="preserve">There are no special circumstances that would cause SSA to conduct this information collection in a manner inconsistent with </w:t>
      </w:r>
      <w:r w:rsidRPr="00321412">
        <w:rPr>
          <w:rFonts w:ascii="Times New Roman" w:hAnsi="Times New Roman"/>
          <w:i/>
        </w:rPr>
        <w:t>5 CFR 1320.5</w:t>
      </w:r>
      <w:r w:rsidRPr="00321412">
        <w:rPr>
          <w:rFonts w:ascii="Times New Roman" w:hAnsi="Times New Roman"/>
        </w:rPr>
        <w:t>.</w:t>
      </w:r>
      <w:r w:rsidR="00EA7BE7">
        <w:rPr>
          <w:rFonts w:ascii="Times New Roman" w:hAnsi="Times New Roman"/>
        </w:rPr>
        <w:t xml:space="preserve">  </w:t>
      </w:r>
      <w:r w:rsidR="0024046C">
        <w:rPr>
          <w:rFonts w:ascii="Times New Roman" w:hAnsi="Times New Roman"/>
        </w:rPr>
        <w:t>However, due to the implementation of the SSFA</w:t>
      </w:r>
      <w:r w:rsidR="00794025">
        <w:rPr>
          <w:rFonts w:ascii="Times New Roman" w:hAnsi="Times New Roman"/>
        </w:rPr>
        <w:t xml:space="preserve"> </w:t>
      </w:r>
      <w:r w:rsidRPr="008C598E" w:rsidR="00794025">
        <w:rPr>
          <w:rFonts w:ascii="Times New Roman" w:hAnsi="Times New Roman"/>
          <w:snapToGrid w:val="0"/>
          <w:color w:val="000000" w:themeColor="text1"/>
          <w:szCs w:val="24"/>
        </w:rPr>
        <w:t>(which we also discussed in #</w:t>
      </w:r>
      <w:r w:rsidR="00794025">
        <w:rPr>
          <w:rFonts w:ascii="Times New Roman" w:hAnsi="Times New Roman"/>
          <w:snapToGrid w:val="0"/>
          <w:color w:val="000000" w:themeColor="text1"/>
          <w:szCs w:val="24"/>
        </w:rPr>
        <w:t>1</w:t>
      </w:r>
      <w:r w:rsidRPr="008C598E" w:rsidR="00794025">
        <w:rPr>
          <w:rFonts w:ascii="Times New Roman" w:hAnsi="Times New Roman"/>
          <w:snapToGrid w:val="0"/>
          <w:color w:val="000000" w:themeColor="text1"/>
          <w:szCs w:val="24"/>
        </w:rPr>
        <w:t xml:space="preserve"> above)</w:t>
      </w:r>
      <w:r w:rsidR="00185946">
        <w:rPr>
          <w:rFonts w:ascii="Times New Roman" w:hAnsi="Times New Roman"/>
        </w:rPr>
        <w:t xml:space="preserve">, we anticipate the discontinuation of his form in the upcoming years, </w:t>
      </w:r>
      <w:r w:rsidR="00A258D9">
        <w:rPr>
          <w:rFonts w:ascii="Times New Roman" w:hAnsi="Times New Roman"/>
        </w:rPr>
        <w:t xml:space="preserve">which is </w:t>
      </w:r>
      <w:r w:rsidR="00794025">
        <w:rPr>
          <w:rFonts w:ascii="Times New Roman" w:hAnsi="Times New Roman"/>
        </w:rPr>
        <w:t>dependent</w:t>
      </w:r>
      <w:r w:rsidR="00A258D9">
        <w:rPr>
          <w:rFonts w:ascii="Times New Roman" w:hAnsi="Times New Roman"/>
        </w:rPr>
        <w:t xml:space="preserve"> upon</w:t>
      </w:r>
      <w:r w:rsidR="00185946">
        <w:rPr>
          <w:rFonts w:ascii="Times New Roman" w:hAnsi="Times New Roman"/>
        </w:rPr>
        <w:t xml:space="preserve"> the </w:t>
      </w:r>
      <w:r w:rsidR="001A349F">
        <w:rPr>
          <w:rFonts w:ascii="Times New Roman" w:hAnsi="Times New Roman"/>
        </w:rPr>
        <w:t xml:space="preserve">processing </w:t>
      </w:r>
      <w:r w:rsidR="00185946">
        <w:rPr>
          <w:rFonts w:ascii="Times New Roman" w:hAnsi="Times New Roman"/>
        </w:rPr>
        <w:t xml:space="preserve">of </w:t>
      </w:r>
      <w:r w:rsidR="00794025">
        <w:rPr>
          <w:rFonts w:ascii="Times New Roman" w:hAnsi="Times New Roman"/>
        </w:rPr>
        <w:t xml:space="preserve">pending </w:t>
      </w:r>
      <w:r w:rsidR="001A349F">
        <w:rPr>
          <w:rFonts w:ascii="Times New Roman" w:hAnsi="Times New Roman"/>
        </w:rPr>
        <w:t>cases involving receipt of a foreign pension prior to January 2024</w:t>
      </w:r>
      <w:r w:rsidR="00794025">
        <w:rPr>
          <w:rFonts w:ascii="Times New Roman" w:hAnsi="Times New Roman"/>
        </w:rPr>
        <w:t xml:space="preserve">. </w:t>
      </w:r>
    </w:p>
    <w:p w:rsidR="000E5762" w:rsidRPr="000E5762" w:rsidP="00707AE7" w14:paraId="24A76A88" w14:textId="77777777">
      <w:pPr>
        <w:numPr>
          <w:ilvl w:val="0"/>
          <w:numId w:val="2"/>
        </w:numPr>
        <w:spacing w:after="0"/>
        <w:ind w:left="1440" w:hanging="720"/>
        <w:rPr>
          <w:b/>
          <w:szCs w:val="24"/>
        </w:rPr>
      </w:pPr>
      <w:r>
        <w:rPr>
          <w:rFonts w:ascii="Times New Roman" w:hAnsi="Times New Roman"/>
          <w:b/>
        </w:rPr>
        <w:t>S</w:t>
      </w:r>
      <w:r w:rsidRPr="00BC7F42">
        <w:rPr>
          <w:rFonts w:ascii="Times New Roman" w:hAnsi="Times New Roman"/>
          <w:b/>
        </w:rPr>
        <w:t xml:space="preserve">olicitation </w:t>
      </w:r>
      <w:r w:rsidRPr="00BC7F42">
        <w:rPr>
          <w:rFonts w:ascii="Times New Roman" w:hAnsi="Times New Roman"/>
          <w:b/>
        </w:rPr>
        <w:t>of Public Comment and Other Consultations with the Public</w:t>
      </w:r>
      <w:r w:rsidR="00415B39">
        <w:rPr>
          <w:rFonts w:ascii="Times New Roman" w:hAnsi="Times New Roman"/>
          <w:b/>
        </w:rPr>
        <w:t xml:space="preserve"> </w:t>
      </w:r>
    </w:p>
    <w:p w:rsidR="009C4E96" w:rsidP="009C4E96" w14:paraId="23D6FFFD" w14:textId="77777777">
      <w:pPr>
        <w:pStyle w:val="ListParagraph"/>
        <w:ind w:left="810" w:firstLine="630"/>
        <w:rPr>
          <w:rFonts w:ascii="Times New Roman" w:hAnsi="Times New Roman"/>
        </w:rPr>
      </w:pPr>
      <w:r w:rsidRPr="00976552">
        <w:rPr>
          <w:rFonts w:ascii="Times New Roman" w:hAnsi="Times New Roman"/>
          <w:noProof/>
          <w:lang w:eastAsia="zh-CN" w:bidi="en-US"/>
        </w:rPr>
        <w:t xml:space="preserve">The 60-day advance Federal Register Notice published on </w:t>
      </w:r>
      <w:r w:rsidRPr="0067356B">
        <w:rPr>
          <w:rFonts w:ascii="Times New Roman" w:hAnsi="Times New Roman"/>
        </w:rPr>
        <w:t xml:space="preserve">April 4, 2025, at </w:t>
      </w:r>
    </w:p>
    <w:p w:rsidR="00415B39" w:rsidRPr="00415B39" w:rsidP="009C4E96" w14:paraId="594346B7" w14:textId="002004DB">
      <w:pPr>
        <w:pStyle w:val="ListParagraph"/>
        <w:tabs>
          <w:tab w:val="num" w:pos="1440"/>
        </w:tabs>
        <w:ind w:left="1440"/>
        <w:rPr>
          <w:b/>
          <w:szCs w:val="24"/>
        </w:rPr>
      </w:pPr>
      <w:r w:rsidRPr="009C4E96">
        <w:rPr>
          <w:rFonts w:ascii="Times New Roman" w:hAnsi="Times New Roman"/>
        </w:rPr>
        <w:t xml:space="preserve">90 FR 14891, </w:t>
      </w:r>
      <w:r w:rsidRPr="009C4E96">
        <w:rPr>
          <w:rFonts w:ascii="Times New Roman" w:hAnsi="Times New Roman"/>
          <w:noProof/>
          <w:lang w:eastAsia="zh-CN" w:bidi="en-US"/>
        </w:rPr>
        <w:t xml:space="preserve">and we received no public comments.  The 30-day FRN published on </w:t>
      </w:r>
      <w:r w:rsidR="009C7AF2">
        <w:rPr>
          <w:rFonts w:ascii="Times New Roman" w:hAnsi="Times New Roman"/>
          <w:noProof/>
          <w:lang w:eastAsia="zh-CN" w:bidi="en-US"/>
        </w:rPr>
        <w:t>June 17, 2025</w:t>
      </w:r>
      <w:r w:rsidRPr="009C4E96">
        <w:rPr>
          <w:rFonts w:ascii="Times New Roman" w:hAnsi="Times New Roman"/>
          <w:noProof/>
          <w:lang w:eastAsia="zh-CN" w:bidi="en-US"/>
        </w:rPr>
        <w:t xml:space="preserve">, at 90 FR </w:t>
      </w:r>
      <w:r w:rsidR="009C7AF2">
        <w:rPr>
          <w:rFonts w:ascii="Times New Roman" w:hAnsi="Times New Roman"/>
          <w:noProof/>
          <w:lang w:eastAsia="zh-CN" w:bidi="en-US"/>
        </w:rPr>
        <w:t>25734</w:t>
      </w:r>
      <w:r w:rsidRPr="009C4E96">
        <w:rPr>
          <w:rFonts w:ascii="Times New Roman" w:hAnsi="Times New Roman"/>
          <w:noProof/>
          <w:lang w:eastAsia="zh-CN" w:bidi="en-US"/>
        </w:rPr>
        <w:t>.  If we receive any comments in response to this Notice, we will forward them to OMB</w:t>
      </w:r>
      <w:r w:rsidRPr="009C4E96">
        <w:rPr>
          <w:rFonts w:ascii="Times New Roman" w:hAnsi="Times New Roman"/>
          <w:b/>
        </w:rPr>
        <w:t>.</w:t>
      </w:r>
      <w:r>
        <w:rPr>
          <w:rFonts w:ascii="Times New Roman" w:hAnsi="Times New Roman"/>
          <w:b/>
        </w:rPr>
        <w:t xml:space="preserve">  </w:t>
      </w:r>
      <w:r w:rsidRPr="009C4E96">
        <w:rPr>
          <w:rFonts w:ascii="Times New Roman" w:hAnsi="Times New Roman"/>
          <w:bCs/>
        </w:rPr>
        <w:t>W</w:t>
      </w:r>
      <w:r w:rsidRPr="009C4E96" w:rsidR="00655C96">
        <w:rPr>
          <w:rFonts w:ascii="Times New Roman" w:hAnsi="Times New Roman"/>
          <w:bCs/>
        </w:rPr>
        <w:t xml:space="preserve">e </w:t>
      </w:r>
      <w:r w:rsidRPr="00EF222C" w:rsidR="00655C96">
        <w:rPr>
          <w:rFonts w:ascii="Times New Roman" w:hAnsi="Times New Roman"/>
        </w:rPr>
        <w:t>did not consult with the public in the</w:t>
      </w:r>
      <w:r w:rsidR="00655C96">
        <w:rPr>
          <w:rFonts w:ascii="Times New Roman" w:hAnsi="Times New Roman"/>
        </w:rPr>
        <w:t xml:space="preserve"> </w:t>
      </w:r>
      <w:r>
        <w:rPr>
          <w:rFonts w:ascii="Times New Roman" w:hAnsi="Times New Roman"/>
        </w:rPr>
        <w:t xml:space="preserve"> o</w:t>
      </w:r>
      <w:r w:rsidR="00655C96">
        <w:rPr>
          <w:rFonts w:ascii="Times New Roman" w:hAnsi="Times New Roman"/>
        </w:rPr>
        <w:t>r</w:t>
      </w:r>
      <w:r w:rsidRPr="00EF222C" w:rsidR="00655C96">
        <w:rPr>
          <w:rFonts w:ascii="Times New Roman" w:hAnsi="Times New Roman"/>
        </w:rPr>
        <w:t xml:space="preserve"> </w:t>
      </w:r>
      <w:r w:rsidR="00655C96">
        <w:rPr>
          <w:rFonts w:ascii="Times New Roman" w:hAnsi="Times New Roman"/>
        </w:rPr>
        <w:t xml:space="preserve">maintenance </w:t>
      </w:r>
      <w:r w:rsidRPr="00EF222C" w:rsidR="00655C96">
        <w:rPr>
          <w:rFonts w:ascii="Times New Roman" w:hAnsi="Times New Roman"/>
        </w:rPr>
        <w:t>of this form</w:t>
      </w:r>
      <w:r w:rsidR="00655C96">
        <w:rPr>
          <w:rFonts w:ascii="Times New Roman" w:hAnsi="Times New Roman"/>
        </w:rPr>
        <w:t>.</w:t>
      </w:r>
    </w:p>
    <w:p w:rsidR="00321412" w:rsidRPr="00321412" w:rsidP="00707AE7" w14:paraId="04FCC94E" w14:textId="77777777">
      <w:pPr>
        <w:numPr>
          <w:ilvl w:val="0"/>
          <w:numId w:val="2"/>
        </w:numPr>
        <w:spacing w:after="0"/>
        <w:ind w:left="1440" w:hanging="720"/>
        <w:rPr>
          <w:b/>
          <w:szCs w:val="24"/>
        </w:rPr>
      </w:pPr>
      <w:r w:rsidRPr="00BC7F42">
        <w:rPr>
          <w:rFonts w:ascii="Times New Roman" w:hAnsi="Times New Roman"/>
          <w:b/>
        </w:rPr>
        <w:t>Payment or Gifts to Respondents</w:t>
      </w:r>
    </w:p>
    <w:p w:rsidR="00321412" w:rsidP="00707AE7" w14:paraId="70C35B3F" w14:textId="77777777">
      <w:pPr>
        <w:spacing w:after="0"/>
        <w:ind w:left="1440"/>
        <w:rPr>
          <w:rFonts w:ascii="Times New Roman" w:hAnsi="Times New Roman"/>
        </w:rPr>
      </w:pPr>
      <w:r w:rsidRPr="00321412">
        <w:rPr>
          <w:rFonts w:ascii="Times New Roman" w:hAnsi="Times New Roman"/>
        </w:rPr>
        <w:t>SSA does not provide payments or gifts to the respondents.</w:t>
      </w:r>
    </w:p>
    <w:p w:rsidR="009C4E96" w:rsidRPr="00321412" w:rsidP="00707AE7" w14:paraId="7D188E6A" w14:textId="77777777">
      <w:pPr>
        <w:spacing w:after="0"/>
        <w:ind w:left="1440"/>
        <w:rPr>
          <w:rFonts w:ascii="Times New Roman" w:hAnsi="Times New Roman"/>
        </w:rPr>
      </w:pPr>
    </w:p>
    <w:p w:rsidR="00321412" w:rsidRPr="00321412" w:rsidP="00707AE7" w14:paraId="6F0A8A0C" w14:textId="77777777">
      <w:pPr>
        <w:numPr>
          <w:ilvl w:val="0"/>
          <w:numId w:val="2"/>
        </w:numPr>
        <w:spacing w:after="0"/>
        <w:ind w:left="1440" w:hanging="720"/>
        <w:rPr>
          <w:b/>
          <w:szCs w:val="24"/>
        </w:rPr>
      </w:pPr>
      <w:r w:rsidRPr="00BC7F42">
        <w:rPr>
          <w:rFonts w:ascii="Times New Roman" w:hAnsi="Times New Roman"/>
          <w:b/>
        </w:rPr>
        <w:t>Assurances of Confidentiality</w:t>
      </w:r>
    </w:p>
    <w:p w:rsidR="00321412" w:rsidRPr="00321412" w:rsidP="00707AE7" w14:paraId="025EF2D6" w14:textId="77777777">
      <w:pPr>
        <w:spacing w:after="0"/>
        <w:ind w:left="1440"/>
        <w:rPr>
          <w:rFonts w:ascii="Times New Roman" w:hAnsi="Times New Roman"/>
        </w:rPr>
      </w:pPr>
      <w:r w:rsidRPr="00321412">
        <w:rPr>
          <w:rFonts w:ascii="Times New Roman" w:hAnsi="Times New Roman"/>
        </w:rPr>
        <w:t>SSA protects and holds confidential the information it collects in accordance with</w:t>
      </w:r>
      <w:r w:rsidRPr="00BC7F42">
        <w:rPr>
          <w:rFonts w:ascii="Times New Roman" w:hAnsi="Times New Roman"/>
          <w:i/>
        </w:rPr>
        <w:t xml:space="preserve"> 42 U.S.C. 1306, 20 CFR 401 </w:t>
      </w:r>
      <w:r w:rsidRPr="00321412">
        <w:rPr>
          <w:rFonts w:ascii="Times New Roman" w:hAnsi="Times New Roman"/>
        </w:rPr>
        <w:t xml:space="preserve">and </w:t>
      </w:r>
      <w:r w:rsidRPr="00BC7F42">
        <w:rPr>
          <w:rFonts w:ascii="Times New Roman" w:hAnsi="Times New Roman"/>
          <w:i/>
        </w:rPr>
        <w:t xml:space="preserve">402, 5 U.S.C. 552 </w:t>
      </w:r>
      <w:r w:rsidRPr="00321412">
        <w:rPr>
          <w:rFonts w:ascii="Times New Roman" w:hAnsi="Times New Roman"/>
        </w:rPr>
        <w:t>(Freedom of Information Act),</w:t>
      </w:r>
      <w:r w:rsidRPr="00BC7F42">
        <w:rPr>
          <w:rFonts w:ascii="Times New Roman" w:hAnsi="Times New Roman"/>
          <w:i/>
        </w:rPr>
        <w:t xml:space="preserve"> 5 U.S.C. 552a </w:t>
      </w:r>
      <w:r w:rsidRPr="00321412">
        <w:rPr>
          <w:rFonts w:ascii="Times New Roman" w:hAnsi="Times New Roman"/>
        </w:rPr>
        <w:t>(Privacy Act of 1974), and OMB Circular No. A-130.</w:t>
      </w:r>
    </w:p>
    <w:p w:rsidR="00321412" w:rsidRPr="00321412" w:rsidP="00707AE7" w14:paraId="0F96B49E" w14:textId="77777777">
      <w:pPr>
        <w:spacing w:after="0"/>
        <w:ind w:left="1440"/>
        <w:rPr>
          <w:b/>
          <w:szCs w:val="24"/>
        </w:rPr>
      </w:pPr>
    </w:p>
    <w:p w:rsidR="00321412" w:rsidRPr="00321412" w:rsidP="00707AE7" w14:paraId="239BBFB5" w14:textId="77777777">
      <w:pPr>
        <w:numPr>
          <w:ilvl w:val="0"/>
          <w:numId w:val="2"/>
        </w:numPr>
        <w:spacing w:after="0"/>
        <w:ind w:left="1440" w:hanging="720"/>
        <w:rPr>
          <w:b/>
          <w:szCs w:val="24"/>
        </w:rPr>
      </w:pPr>
      <w:r w:rsidRPr="00BC7F42">
        <w:rPr>
          <w:rFonts w:ascii="Times New Roman" w:hAnsi="Times New Roman"/>
          <w:b/>
        </w:rPr>
        <w:t>Justification for Sensitive Questions</w:t>
      </w:r>
    </w:p>
    <w:p w:rsidR="00460271" w:rsidRPr="00460271" w:rsidP="00460271" w14:paraId="2B56540C"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810" w:firstLine="630"/>
        <w:rPr>
          <w:rFonts w:ascii="Times New Roman" w:hAnsi="Times New Roman"/>
          <w:b w:val="0"/>
          <w:i w:val="0"/>
          <w:iCs w:val="0"/>
        </w:rPr>
      </w:pPr>
      <w:r w:rsidRPr="00460271">
        <w:rPr>
          <w:rFonts w:ascii="Times New Roman" w:hAnsi="Times New Roman"/>
          <w:b w:val="0"/>
          <w:i w:val="0"/>
          <w:iCs w:val="0"/>
        </w:rPr>
        <w:t>The information collection does not contain any questions of a sensitive nature.</w:t>
      </w:r>
    </w:p>
    <w:p w:rsidR="00BD454D" w:rsidRPr="00EF7813" w:rsidP="009F2800" w14:paraId="59136E97" w14:textId="77777777">
      <w:pPr>
        <w:spacing w:after="0"/>
        <w:ind w:left="1440"/>
        <w:rPr>
          <w:rFonts w:ascii="Times New Roman" w:hAnsi="Times New Roman"/>
          <w:color w:val="0000FF"/>
        </w:rPr>
      </w:pPr>
    </w:p>
    <w:p w:rsidR="00321412" w:rsidRPr="00275EB1" w:rsidP="00707AE7" w14:paraId="5986726B" w14:textId="77777777">
      <w:pPr>
        <w:numPr>
          <w:ilvl w:val="0"/>
          <w:numId w:val="2"/>
        </w:numPr>
        <w:spacing w:after="0"/>
        <w:ind w:left="1440" w:hanging="720"/>
        <w:rPr>
          <w:b/>
          <w:szCs w:val="24"/>
        </w:rPr>
      </w:pPr>
      <w:r w:rsidRPr="00BC7F42">
        <w:rPr>
          <w:rFonts w:ascii="Times New Roman" w:hAnsi="Times New Roman"/>
          <w:b/>
        </w:rPr>
        <w:t>Estimates of Public Reporting Burden</w:t>
      </w:r>
    </w:p>
    <w:p w:rsidR="00021A2E" w:rsidP="009C4E96" w14:paraId="6F926A86" w14:textId="77777777">
      <w:pPr>
        <w:spacing w:after="0"/>
        <w:ind w:left="1440"/>
        <w:rPr>
          <w:rFonts w:ascii="Times New Roman" w:hAnsi="Times New Roman"/>
          <w:szCs w:val="24"/>
        </w:rPr>
      </w:pPr>
    </w:p>
    <w:tbl>
      <w:tblPr>
        <w:tblpPr w:leftFromText="180" w:rightFromText="180" w:vertAnchor="text" w:horzAnchor="margin" w:tblpXSpec="center" w:tblpY="-34"/>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0"/>
        <w:gridCol w:w="1440"/>
        <w:gridCol w:w="1350"/>
        <w:gridCol w:w="1530"/>
        <w:gridCol w:w="1170"/>
        <w:gridCol w:w="1350"/>
        <w:gridCol w:w="2160"/>
      </w:tblGrid>
      <w:tr w14:paraId="19865346" w14:textId="77777777" w:rsidTr="009747D4">
        <w:tblPrEx>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063"/>
        </w:trPr>
        <w:tc>
          <w:tcPr>
            <w:tcW w:w="1350" w:type="dxa"/>
          </w:tcPr>
          <w:p w:rsidR="009747D4" w:rsidRPr="009C4E96" w:rsidP="00021A2E" w14:paraId="167F808A" w14:textId="77777777">
            <w:pPr>
              <w:suppressAutoHyphens/>
              <w:spacing w:after="0"/>
              <w:rPr>
                <w:rFonts w:ascii="Times New Roman" w:eastAsia="SimSun" w:hAnsi="Times New Roman"/>
                <w:b/>
                <w:sz w:val="22"/>
                <w:szCs w:val="22"/>
                <w:lang w:eastAsia="ar-SA"/>
              </w:rPr>
            </w:pPr>
            <w:r w:rsidRPr="009C4E96">
              <w:rPr>
                <w:rFonts w:ascii="Times New Roman" w:eastAsia="SimSun" w:hAnsi="Times New Roman"/>
                <w:b/>
                <w:sz w:val="22"/>
                <w:szCs w:val="22"/>
                <w:lang w:eastAsia="ar-SA"/>
              </w:rPr>
              <w:t>Modality</w:t>
            </w:r>
          </w:p>
          <w:p w:rsidR="009747D4" w:rsidRPr="009C4E96" w:rsidP="00021A2E" w14:paraId="5F0D78FC" w14:textId="27D59CFA">
            <w:pPr>
              <w:suppressAutoHyphens/>
              <w:spacing w:after="0"/>
              <w:rPr>
                <w:rFonts w:ascii="Times New Roman" w:eastAsia="SimSun" w:hAnsi="Times New Roman"/>
                <w:b/>
                <w:sz w:val="22"/>
                <w:szCs w:val="22"/>
                <w:lang w:eastAsia="ar-SA"/>
              </w:rPr>
            </w:pPr>
            <w:r w:rsidRPr="009C4E96">
              <w:rPr>
                <w:rFonts w:ascii="Times New Roman" w:eastAsia="SimSun" w:hAnsi="Times New Roman"/>
                <w:b/>
                <w:sz w:val="22"/>
                <w:szCs w:val="22"/>
                <w:lang w:eastAsia="ar-SA"/>
              </w:rPr>
              <w:t>of Completion</w:t>
            </w:r>
          </w:p>
        </w:tc>
        <w:tc>
          <w:tcPr>
            <w:tcW w:w="1440" w:type="dxa"/>
          </w:tcPr>
          <w:p w:rsidR="009747D4" w:rsidRPr="009C4E96" w:rsidP="00021A2E" w14:paraId="22E74160" w14:textId="77777777">
            <w:pPr>
              <w:suppressAutoHyphens/>
              <w:spacing w:after="0"/>
              <w:rPr>
                <w:rFonts w:ascii="Times New Roman" w:eastAsia="SimSun" w:hAnsi="Times New Roman"/>
                <w:b/>
                <w:sz w:val="22"/>
                <w:szCs w:val="22"/>
                <w:lang w:eastAsia="ar-SA"/>
              </w:rPr>
            </w:pPr>
            <w:r w:rsidRPr="009C4E96">
              <w:rPr>
                <w:rFonts w:ascii="Times New Roman" w:eastAsia="SimSun" w:hAnsi="Times New Roman"/>
                <w:b/>
                <w:sz w:val="22"/>
                <w:szCs w:val="22"/>
                <w:lang w:eastAsia="ar-SA"/>
              </w:rPr>
              <w:t>Number of Respondents</w:t>
            </w:r>
          </w:p>
        </w:tc>
        <w:tc>
          <w:tcPr>
            <w:tcW w:w="1350" w:type="dxa"/>
          </w:tcPr>
          <w:p w:rsidR="009747D4" w:rsidRPr="009C4E96" w:rsidP="00021A2E" w14:paraId="1CC3D3F2" w14:textId="77777777">
            <w:pPr>
              <w:suppressAutoHyphens/>
              <w:spacing w:after="0"/>
              <w:rPr>
                <w:rFonts w:ascii="Times New Roman" w:eastAsia="SimSun" w:hAnsi="Times New Roman"/>
                <w:b/>
                <w:sz w:val="22"/>
                <w:szCs w:val="22"/>
                <w:lang w:eastAsia="ar-SA"/>
              </w:rPr>
            </w:pPr>
            <w:r w:rsidRPr="009C4E96">
              <w:rPr>
                <w:rFonts w:ascii="Times New Roman" w:eastAsia="SimSun" w:hAnsi="Times New Roman"/>
                <w:b/>
                <w:sz w:val="22"/>
                <w:szCs w:val="22"/>
                <w:lang w:eastAsia="ar-SA"/>
              </w:rPr>
              <w:t>Frequency of Response</w:t>
            </w:r>
          </w:p>
        </w:tc>
        <w:tc>
          <w:tcPr>
            <w:tcW w:w="1530" w:type="dxa"/>
          </w:tcPr>
          <w:p w:rsidR="009747D4" w:rsidRPr="009C4E96" w:rsidP="00021A2E" w14:paraId="1FA6BD1D" w14:textId="77777777">
            <w:pPr>
              <w:suppressAutoHyphens/>
              <w:spacing w:after="0"/>
              <w:rPr>
                <w:rFonts w:ascii="Times New Roman" w:eastAsia="SimSun" w:hAnsi="Times New Roman"/>
                <w:b/>
                <w:sz w:val="22"/>
                <w:szCs w:val="22"/>
                <w:lang w:eastAsia="ar-SA"/>
              </w:rPr>
            </w:pPr>
            <w:r w:rsidRPr="009C4E96">
              <w:rPr>
                <w:rFonts w:ascii="Times New Roman" w:eastAsia="SimSun" w:hAnsi="Times New Roman"/>
                <w:b/>
                <w:sz w:val="22"/>
                <w:szCs w:val="22"/>
                <w:lang w:eastAsia="ar-SA"/>
              </w:rPr>
              <w:t>Average Burden per Response (minutes)</w:t>
            </w:r>
          </w:p>
        </w:tc>
        <w:tc>
          <w:tcPr>
            <w:tcW w:w="1170" w:type="dxa"/>
          </w:tcPr>
          <w:p w:rsidR="009747D4" w:rsidRPr="009C4E96" w:rsidP="00021A2E" w14:paraId="5AB1BEFA" w14:textId="77777777">
            <w:pPr>
              <w:suppressAutoHyphens/>
              <w:spacing w:after="0"/>
              <w:rPr>
                <w:rFonts w:ascii="Times New Roman" w:eastAsia="SimSun" w:hAnsi="Times New Roman"/>
                <w:b/>
                <w:sz w:val="22"/>
                <w:szCs w:val="22"/>
                <w:lang w:eastAsia="ar-SA"/>
              </w:rPr>
            </w:pPr>
            <w:r w:rsidRPr="009C4E96">
              <w:rPr>
                <w:rFonts w:ascii="Times New Roman" w:eastAsia="SimSun" w:hAnsi="Times New Roman"/>
                <w:b/>
                <w:sz w:val="22"/>
                <w:szCs w:val="22"/>
                <w:lang w:eastAsia="ar-SA"/>
              </w:rPr>
              <w:t>Estimated Total Annual Burden (hours)</w:t>
            </w:r>
          </w:p>
        </w:tc>
        <w:tc>
          <w:tcPr>
            <w:tcW w:w="1350" w:type="dxa"/>
          </w:tcPr>
          <w:p w:rsidR="009747D4" w:rsidRPr="009C4E96" w:rsidP="00021A2E" w14:paraId="6FF8548F" w14:textId="15EA5E3D">
            <w:pPr>
              <w:suppressAutoHyphens/>
              <w:spacing w:after="0"/>
              <w:rPr>
                <w:rFonts w:ascii="Times New Roman" w:eastAsia="SimSun" w:hAnsi="Times New Roman"/>
                <w:b/>
                <w:sz w:val="22"/>
                <w:szCs w:val="22"/>
                <w:lang w:eastAsia="ar-SA"/>
              </w:rPr>
            </w:pPr>
            <w:r w:rsidRPr="009C4E96">
              <w:rPr>
                <w:rFonts w:ascii="Times New Roman" w:eastAsia="SimSun" w:hAnsi="Times New Roman"/>
                <w:b/>
                <w:sz w:val="22"/>
                <w:szCs w:val="22"/>
                <w:lang w:eastAsia="ar-SA"/>
              </w:rPr>
              <w:t>Average Theoretical Hourly Cost Amount (dollars)*</w:t>
            </w:r>
          </w:p>
        </w:tc>
        <w:tc>
          <w:tcPr>
            <w:tcW w:w="2160" w:type="dxa"/>
          </w:tcPr>
          <w:p w:rsidR="009747D4" w:rsidRPr="009C4E96" w:rsidP="00601589" w14:paraId="06B2EEF8" w14:textId="24CC44F4">
            <w:pPr>
              <w:suppressAutoHyphens/>
              <w:spacing w:after="0"/>
              <w:ind w:right="708"/>
              <w:rPr>
                <w:rFonts w:ascii="Times New Roman" w:eastAsia="SimSun" w:hAnsi="Times New Roman"/>
                <w:b/>
                <w:sz w:val="22"/>
                <w:szCs w:val="22"/>
                <w:lang w:eastAsia="ar-SA"/>
              </w:rPr>
            </w:pPr>
            <w:r w:rsidRPr="009C4E96">
              <w:rPr>
                <w:rFonts w:ascii="Times New Roman" w:eastAsia="SimSun" w:hAnsi="Times New Roman"/>
                <w:b/>
                <w:sz w:val="22"/>
                <w:szCs w:val="22"/>
                <w:lang w:eastAsia="ar-SA"/>
              </w:rPr>
              <w:t>Total Annual Opportunity Cost (dollars)***</w:t>
            </w:r>
          </w:p>
        </w:tc>
      </w:tr>
      <w:tr w14:paraId="7E580699" w14:textId="77777777" w:rsidTr="009747D4">
        <w:tblPrEx>
          <w:tblW w:w="10350" w:type="dxa"/>
          <w:tblLayout w:type="fixed"/>
          <w:tblLook w:val="01E0"/>
        </w:tblPrEx>
        <w:trPr>
          <w:trHeight w:val="169"/>
        </w:trPr>
        <w:tc>
          <w:tcPr>
            <w:tcW w:w="1350" w:type="dxa"/>
          </w:tcPr>
          <w:p w:rsidR="009747D4" w:rsidRPr="009C4E96" w:rsidP="00021A2E" w14:paraId="06D34CF3" w14:textId="3C94FA22">
            <w:pPr>
              <w:suppressAutoHyphens/>
              <w:spacing w:after="0"/>
              <w:rPr>
                <w:rFonts w:ascii="Times New Roman" w:eastAsia="SimSun" w:hAnsi="Times New Roman"/>
                <w:sz w:val="22"/>
                <w:szCs w:val="22"/>
                <w:lang w:eastAsia="ar-SA"/>
              </w:rPr>
            </w:pPr>
            <w:r w:rsidRPr="009C4E96">
              <w:rPr>
                <w:rFonts w:ascii="Times New Roman" w:eastAsia="SimSun" w:hAnsi="Times New Roman"/>
                <w:sz w:val="22"/>
                <w:szCs w:val="22"/>
                <w:lang w:eastAsia="ar-SA"/>
              </w:rPr>
              <w:t xml:space="preserve">SSA-308 </w:t>
            </w:r>
          </w:p>
        </w:tc>
        <w:tc>
          <w:tcPr>
            <w:tcW w:w="1440" w:type="dxa"/>
          </w:tcPr>
          <w:p w:rsidR="009747D4" w:rsidRPr="009C4E96" w:rsidP="009C4E96" w14:paraId="733BACA3" w14:textId="5FD1EA4C">
            <w:pPr>
              <w:suppressAutoHyphens/>
              <w:spacing w:after="0"/>
              <w:jc w:val="right"/>
              <w:rPr>
                <w:rFonts w:ascii="Times New Roman" w:eastAsia="SimSun" w:hAnsi="Times New Roman"/>
                <w:sz w:val="22"/>
                <w:szCs w:val="22"/>
                <w:lang w:eastAsia="ar-SA"/>
              </w:rPr>
            </w:pPr>
            <w:r w:rsidRPr="009C4E96">
              <w:rPr>
                <w:rFonts w:ascii="Times New Roman" w:eastAsia="SimSun" w:hAnsi="Times New Roman"/>
                <w:sz w:val="22"/>
                <w:szCs w:val="22"/>
                <w:lang w:eastAsia="zh-CN"/>
              </w:rPr>
              <w:t>2,081</w:t>
            </w:r>
          </w:p>
        </w:tc>
        <w:tc>
          <w:tcPr>
            <w:tcW w:w="1350" w:type="dxa"/>
          </w:tcPr>
          <w:p w:rsidR="009747D4" w:rsidRPr="009C4E96" w:rsidP="009C4E96" w14:paraId="535AE96B" w14:textId="77777777">
            <w:pPr>
              <w:suppressAutoHyphens/>
              <w:spacing w:after="0"/>
              <w:jc w:val="right"/>
              <w:rPr>
                <w:rFonts w:ascii="Times New Roman" w:eastAsia="SimSun" w:hAnsi="Times New Roman"/>
                <w:sz w:val="22"/>
                <w:szCs w:val="22"/>
                <w:lang w:eastAsia="ar-SA"/>
              </w:rPr>
            </w:pPr>
            <w:r w:rsidRPr="009C4E96">
              <w:rPr>
                <w:rFonts w:ascii="Times New Roman" w:eastAsia="SimSun" w:hAnsi="Times New Roman"/>
                <w:sz w:val="22"/>
                <w:szCs w:val="22"/>
                <w:lang w:eastAsia="zh-CN"/>
              </w:rPr>
              <w:t>1</w:t>
            </w:r>
          </w:p>
        </w:tc>
        <w:tc>
          <w:tcPr>
            <w:tcW w:w="1530" w:type="dxa"/>
          </w:tcPr>
          <w:p w:rsidR="009747D4" w:rsidRPr="009C4E96" w:rsidP="009C4E96" w14:paraId="61B97F9E" w14:textId="3F1CC7E2">
            <w:pPr>
              <w:suppressAutoHyphens/>
              <w:spacing w:after="0"/>
              <w:jc w:val="right"/>
              <w:rPr>
                <w:rFonts w:ascii="Times New Roman" w:eastAsia="SimSun" w:hAnsi="Times New Roman"/>
                <w:sz w:val="22"/>
                <w:szCs w:val="22"/>
                <w:lang w:eastAsia="ar-SA"/>
              </w:rPr>
            </w:pPr>
            <w:r w:rsidRPr="009C4E96">
              <w:rPr>
                <w:rFonts w:ascii="Times New Roman" w:eastAsia="SimSun" w:hAnsi="Times New Roman"/>
                <w:sz w:val="22"/>
                <w:szCs w:val="22"/>
                <w:lang w:eastAsia="ar-SA"/>
              </w:rPr>
              <w:t>30</w:t>
            </w:r>
          </w:p>
        </w:tc>
        <w:tc>
          <w:tcPr>
            <w:tcW w:w="1170" w:type="dxa"/>
          </w:tcPr>
          <w:p w:rsidR="009747D4" w:rsidRPr="009C4E96" w:rsidP="009C4E96" w14:paraId="2461B0C2" w14:textId="6A730EFF">
            <w:pPr>
              <w:suppressAutoHyphens/>
              <w:spacing w:after="0"/>
              <w:jc w:val="right"/>
              <w:rPr>
                <w:rFonts w:ascii="Times New Roman" w:eastAsia="SimSun" w:hAnsi="Times New Roman"/>
                <w:sz w:val="22"/>
                <w:szCs w:val="22"/>
                <w:lang w:eastAsia="ar-SA"/>
              </w:rPr>
            </w:pPr>
            <w:r w:rsidRPr="009C4E96">
              <w:rPr>
                <w:rFonts w:ascii="Times New Roman" w:eastAsia="SimSun" w:hAnsi="Times New Roman"/>
                <w:sz w:val="22"/>
                <w:szCs w:val="22"/>
                <w:lang w:eastAsia="ar-SA"/>
              </w:rPr>
              <w:t>1</w:t>
            </w:r>
            <w:r>
              <w:rPr>
                <w:rFonts w:ascii="Times New Roman" w:eastAsia="SimSun" w:hAnsi="Times New Roman"/>
                <w:sz w:val="22"/>
                <w:szCs w:val="22"/>
                <w:lang w:eastAsia="ar-SA"/>
              </w:rPr>
              <w:t>,</w:t>
            </w:r>
            <w:r w:rsidRPr="009C4E96">
              <w:rPr>
                <w:rFonts w:ascii="Times New Roman" w:eastAsia="SimSun" w:hAnsi="Times New Roman"/>
                <w:sz w:val="22"/>
                <w:szCs w:val="22"/>
                <w:lang w:eastAsia="ar-SA"/>
              </w:rPr>
              <w:t>041</w:t>
            </w:r>
          </w:p>
        </w:tc>
        <w:tc>
          <w:tcPr>
            <w:tcW w:w="1350" w:type="dxa"/>
          </w:tcPr>
          <w:p w:rsidR="009747D4" w:rsidRPr="009C4E96" w:rsidP="009C4E96" w14:paraId="52C6CC94" w14:textId="5DD12517">
            <w:pPr>
              <w:suppressAutoHyphens/>
              <w:spacing w:after="0"/>
              <w:jc w:val="right"/>
              <w:rPr>
                <w:rFonts w:ascii="Times New Roman" w:eastAsia="SimSun" w:hAnsi="Times New Roman"/>
                <w:sz w:val="22"/>
                <w:szCs w:val="22"/>
                <w:lang w:eastAsia="ar-SA"/>
              </w:rPr>
            </w:pPr>
            <w:r w:rsidRPr="009C4E96">
              <w:rPr>
                <w:rFonts w:ascii="Times New Roman" w:eastAsia="SimSun" w:hAnsi="Times New Roman"/>
                <w:sz w:val="22"/>
                <w:szCs w:val="22"/>
                <w:lang w:eastAsia="ar-SA"/>
              </w:rPr>
              <w:t>$22.98*</w:t>
            </w:r>
          </w:p>
        </w:tc>
        <w:tc>
          <w:tcPr>
            <w:tcW w:w="2160" w:type="dxa"/>
          </w:tcPr>
          <w:p w:rsidR="009747D4" w:rsidRPr="009C4E96" w:rsidP="009C4E96" w14:paraId="244B786F" w14:textId="7B8FD9A4">
            <w:pPr>
              <w:suppressAutoHyphens/>
              <w:spacing w:after="0"/>
              <w:jc w:val="right"/>
              <w:rPr>
                <w:rFonts w:ascii="Times New Roman" w:eastAsia="SimSun" w:hAnsi="Times New Roman"/>
                <w:sz w:val="22"/>
                <w:szCs w:val="22"/>
                <w:lang w:eastAsia="ar-SA"/>
              </w:rPr>
            </w:pPr>
            <w:r w:rsidRPr="009C4E96">
              <w:rPr>
                <w:rFonts w:ascii="Times New Roman" w:eastAsia="SimSun" w:hAnsi="Times New Roman"/>
                <w:sz w:val="22"/>
                <w:szCs w:val="22"/>
                <w:lang w:eastAsia="ar-SA"/>
              </w:rPr>
              <w:t>$</w:t>
            </w:r>
            <w:r>
              <w:rPr>
                <w:rFonts w:ascii="Times New Roman" w:eastAsia="SimSun" w:hAnsi="Times New Roman"/>
                <w:sz w:val="22"/>
                <w:szCs w:val="22"/>
                <w:lang w:eastAsia="ar-SA"/>
              </w:rPr>
              <w:t>23,922</w:t>
            </w:r>
            <w:r w:rsidRPr="009C4E96">
              <w:rPr>
                <w:rFonts w:ascii="Times New Roman" w:eastAsia="SimSun" w:hAnsi="Times New Roman"/>
                <w:sz w:val="22"/>
                <w:szCs w:val="22"/>
                <w:lang w:eastAsia="ar-SA"/>
              </w:rPr>
              <w:t>***</w:t>
            </w:r>
          </w:p>
        </w:tc>
      </w:tr>
    </w:tbl>
    <w:p w:rsidR="003A5AC7" w:rsidRPr="003A5AC7" w:rsidP="009C4E96" w14:paraId="384FAB3B" w14:textId="77777777">
      <w:pPr>
        <w:autoSpaceDE w:val="0"/>
        <w:autoSpaceDN w:val="0"/>
        <w:adjustRightInd w:val="0"/>
        <w:ind w:left="1440"/>
        <w:rPr>
          <w:rFonts w:ascii="Times New Roman" w:hAnsi="Times New Roman"/>
        </w:rPr>
      </w:pPr>
      <w:r w:rsidRPr="003A5AC7">
        <w:rPr>
          <w:rFonts w:ascii="Times New Roman" w:hAnsi="Times New Roman"/>
        </w:rPr>
        <w:t>* We based this figure on the combined average DI payments based on SSA's current  FY 2025 data (</w:t>
      </w:r>
      <w:hyperlink r:id="rId5" w:history="1">
        <w:r w:rsidRPr="003A5AC7">
          <w:rPr>
            <w:rStyle w:val="Hyperlink"/>
            <w:rFonts w:ascii="Times New Roman" w:hAnsi="Times New Roman"/>
          </w:rPr>
          <w:t>https://www.ssa.gov/legislation/2024FactSheet.pdf</w:t>
        </w:r>
      </w:hyperlink>
      <w:r w:rsidRPr="003A5AC7">
        <w:rPr>
          <w:rFonts w:ascii="Times New Roman" w:hAnsi="Times New Roman"/>
          <w:snapToGrid w:val="0"/>
          <w:u w:val="single"/>
        </w:rPr>
        <w:t>)</w:t>
      </w:r>
      <w:r w:rsidRPr="003A5AC7">
        <w:rPr>
          <w:rFonts w:ascii="Times New Roman" w:hAnsi="Times New Roman"/>
        </w:rPr>
        <w:t xml:space="preserve"> and on the average U.S worker’s hourly wages, as reported by Bureau of Labor Statistics data (</w:t>
      </w:r>
      <w:hyperlink r:id="rId6" w:anchor="/industry/000000" w:history="1">
        <w:r w:rsidRPr="003A5AC7">
          <w:rPr>
            <w:rStyle w:val="Hyperlink"/>
            <w:rFonts w:ascii="Times New Roman" w:hAnsi="Times New Roman"/>
          </w:rPr>
          <w:t>Occupational Employment and Wage Statistics</w:t>
        </w:r>
      </w:hyperlink>
      <w:r w:rsidRPr="003A5AC7">
        <w:rPr>
          <w:rFonts w:ascii="Times New Roman" w:hAnsi="Times New Roman"/>
          <w:u w:val="single"/>
        </w:rPr>
        <w:t>)</w:t>
      </w:r>
      <w:r w:rsidRPr="003A5AC7">
        <w:rPr>
          <w:rFonts w:ascii="Times New Roman" w:hAnsi="Times New Roman"/>
          <w:lang w:eastAsia="ar-SA"/>
        </w:rPr>
        <w:t>.</w:t>
      </w:r>
    </w:p>
    <w:p w:rsidR="003A5AC7" w:rsidP="003A5AC7" w14:paraId="4592500B" w14:textId="0E03CC26">
      <w:pPr>
        <w:tabs>
          <w:tab w:val="left" w:pos="1800"/>
        </w:tabs>
        <w:ind w:left="1440"/>
      </w:pPr>
      <w:r w:rsidRPr="003A5AC7">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3A5AC7">
        <w:rPr>
          <w:rFonts w:ascii="Times New Roman" w:hAnsi="Times New Roman"/>
          <w:b/>
          <w:u w:val="single"/>
        </w:rPr>
        <w:t>There is no actual charge to respondents to complete the application</w:t>
      </w:r>
      <w:r w:rsidRPr="00A73E2D">
        <w:t>.</w:t>
      </w:r>
    </w:p>
    <w:p w:rsidR="0066065E" w:rsidP="009C4E96" w14:paraId="1D1CF7B2" w14:textId="5B134F76">
      <w:pPr>
        <w:tabs>
          <w:tab w:val="left" w:pos="1440"/>
        </w:tabs>
        <w:spacing w:after="0"/>
        <w:ind w:left="1440"/>
        <w:rPr>
          <w:rFonts w:ascii="Times New Roman" w:hAnsi="Times New Roman"/>
          <w:snapToGrid w:val="0"/>
          <w:szCs w:val="24"/>
        </w:rPr>
      </w:pPr>
      <w:r>
        <w:rPr>
          <w:rFonts w:ascii="Times New Roman" w:hAnsi="Times New Roman"/>
          <w:bCs/>
          <w:szCs w:val="24"/>
          <w:lang w:eastAsia="ar-SA"/>
        </w:rPr>
        <w:t xml:space="preserve"> </w:t>
      </w:r>
      <w:r w:rsidRPr="00601589">
        <w:rPr>
          <w:rFonts w:ascii="Times New Roman" w:hAnsi="Times New Roman"/>
          <w:snapToGrid w:val="0"/>
          <w:szCs w:val="24"/>
        </w:rPr>
        <w:t xml:space="preserve">We calculated the following Learning Cost </w:t>
      </w:r>
      <w:r w:rsidRPr="003C3D54">
        <w:rPr>
          <w:rFonts w:ascii="Times New Roman" w:hAnsi="Times New Roman"/>
          <w:snapToGrid w:val="0"/>
          <w:szCs w:val="24"/>
        </w:rPr>
        <w:t xml:space="preserve">time </w:t>
      </w:r>
      <w:r w:rsidRPr="0066065E">
        <w:rPr>
          <w:rFonts w:ascii="Times New Roman" w:hAnsi="Times New Roman"/>
          <w:snapToGrid w:val="0"/>
          <w:szCs w:val="24"/>
        </w:rPr>
        <w:t xml:space="preserve">burden based on the estimated time and effort we expect respondents will take to learn about this program, its applicability to their circumstances, and to cover any additional research we believe respondents may need to take to understand how to comply with the </w:t>
      </w:r>
      <w:r w:rsidRPr="0066065E">
        <w:rPr>
          <w:rFonts w:ascii="Times New Roman" w:hAnsi="Times New Roman"/>
          <w:snapToGrid w:val="0"/>
          <w:szCs w:val="24"/>
        </w:rPr>
        <w:t>program requirements (beyond reading the instructions on the collection instrument):</w:t>
      </w:r>
    </w:p>
    <w:p w:rsidR="00EF7813" w:rsidP="0066065E" w14:paraId="7B5722EE" w14:textId="77777777">
      <w:pPr>
        <w:widowControl w:val="0"/>
        <w:spacing w:after="0"/>
        <w:ind w:left="1440"/>
        <w:rPr>
          <w:rFonts w:ascii="Courier" w:hAnsi="Courier"/>
          <w:snapToGrid w:val="0"/>
          <w:szCs w:val="24"/>
        </w:rPr>
      </w:pPr>
    </w:p>
    <w:tbl>
      <w:tblPr>
        <w:tblW w:w="8190"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3"/>
        <w:gridCol w:w="1417"/>
        <w:gridCol w:w="1260"/>
        <w:gridCol w:w="1350"/>
        <w:gridCol w:w="2520"/>
      </w:tblGrid>
      <w:tr w14:paraId="2624115A" w14:textId="77777777" w:rsidTr="00601589">
        <w:tblPrEx>
          <w:tblW w:w="8190"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43"/>
        </w:trPr>
        <w:tc>
          <w:tcPr>
            <w:tcW w:w="1643" w:type="dxa"/>
            <w:shd w:val="clear" w:color="auto" w:fill="auto"/>
          </w:tcPr>
          <w:p w:rsidR="0066065E" w:rsidRPr="00601589" w:rsidP="0066065E" w14:paraId="31C73822" w14:textId="194E979E">
            <w:pPr>
              <w:widowControl w:val="0"/>
              <w:spacing w:after="0"/>
              <w:rPr>
                <w:rFonts w:ascii="Times New Roman" w:hAnsi="Times New Roman"/>
                <w:b/>
                <w:snapToGrid w:val="0"/>
                <w:szCs w:val="24"/>
              </w:rPr>
            </w:pPr>
            <w:r w:rsidRPr="00601589">
              <w:rPr>
                <w:rFonts w:ascii="Times New Roman" w:hAnsi="Times New Roman"/>
                <w:b/>
                <w:snapToGrid w:val="0"/>
                <w:szCs w:val="24"/>
              </w:rPr>
              <w:t xml:space="preserve">Total Number of Respondents </w:t>
            </w:r>
          </w:p>
        </w:tc>
        <w:tc>
          <w:tcPr>
            <w:tcW w:w="1417" w:type="dxa"/>
            <w:shd w:val="clear" w:color="auto" w:fill="auto"/>
          </w:tcPr>
          <w:p w:rsidR="0066065E" w:rsidRPr="00601589" w:rsidP="0066065E" w14:paraId="42C1453F" w14:textId="77777777">
            <w:pPr>
              <w:widowControl w:val="0"/>
              <w:spacing w:after="0"/>
              <w:rPr>
                <w:rFonts w:ascii="Times New Roman" w:hAnsi="Times New Roman"/>
                <w:b/>
                <w:snapToGrid w:val="0"/>
                <w:szCs w:val="24"/>
              </w:rPr>
            </w:pPr>
            <w:r w:rsidRPr="00601589">
              <w:rPr>
                <w:rFonts w:ascii="Times New Roman" w:hAnsi="Times New Roman"/>
                <w:b/>
                <w:snapToGrid w:val="0"/>
                <w:szCs w:val="24"/>
              </w:rPr>
              <w:t>Frequency of Response</w:t>
            </w:r>
          </w:p>
        </w:tc>
        <w:tc>
          <w:tcPr>
            <w:tcW w:w="1260" w:type="dxa"/>
            <w:shd w:val="clear" w:color="auto" w:fill="auto"/>
          </w:tcPr>
          <w:p w:rsidR="0066065E" w:rsidRPr="00601589" w:rsidP="0066065E" w14:paraId="0B8A5403" w14:textId="77777777">
            <w:pPr>
              <w:widowControl w:val="0"/>
              <w:spacing w:after="0"/>
              <w:rPr>
                <w:rFonts w:ascii="Times New Roman" w:hAnsi="Times New Roman"/>
                <w:b/>
                <w:snapToGrid w:val="0"/>
                <w:szCs w:val="24"/>
              </w:rPr>
            </w:pPr>
            <w:r w:rsidRPr="00601589">
              <w:rPr>
                <w:rFonts w:ascii="Times New Roman" w:hAnsi="Times New Roman"/>
                <w:b/>
                <w:snapToGrid w:val="0"/>
                <w:szCs w:val="24"/>
              </w:rPr>
              <w:t>Estimate Learning Cost (minutes)</w:t>
            </w:r>
          </w:p>
        </w:tc>
        <w:tc>
          <w:tcPr>
            <w:tcW w:w="1350" w:type="dxa"/>
          </w:tcPr>
          <w:p w:rsidR="0066065E" w:rsidRPr="00601589" w:rsidP="0066065E" w14:paraId="54C5AD90" w14:textId="77777777">
            <w:pPr>
              <w:widowControl w:val="0"/>
              <w:spacing w:after="0"/>
              <w:rPr>
                <w:rFonts w:ascii="Times New Roman" w:hAnsi="Times New Roman"/>
                <w:b/>
                <w:snapToGrid w:val="0"/>
                <w:szCs w:val="24"/>
              </w:rPr>
            </w:pPr>
            <w:r w:rsidRPr="00601589">
              <w:rPr>
                <w:rFonts w:ascii="Times New Roman" w:hAnsi="Times New Roman"/>
                <w:b/>
                <w:snapToGrid w:val="0"/>
                <w:szCs w:val="24"/>
              </w:rPr>
              <w:t>Estimated Total Annual Burden (hours)</w:t>
            </w:r>
          </w:p>
        </w:tc>
        <w:tc>
          <w:tcPr>
            <w:tcW w:w="2520" w:type="dxa"/>
            <w:shd w:val="clear" w:color="auto" w:fill="auto"/>
          </w:tcPr>
          <w:p w:rsidR="0066065E" w:rsidRPr="00601589" w:rsidP="0066065E" w14:paraId="3EA0492D" w14:textId="244D3713">
            <w:pPr>
              <w:widowControl w:val="0"/>
              <w:spacing w:after="0"/>
              <w:rPr>
                <w:rFonts w:ascii="Times New Roman" w:hAnsi="Times New Roman"/>
                <w:b/>
                <w:snapToGrid w:val="0"/>
                <w:szCs w:val="24"/>
              </w:rPr>
            </w:pPr>
            <w:r w:rsidRPr="00601589">
              <w:rPr>
                <w:rFonts w:ascii="Times New Roman" w:hAnsi="Times New Roman"/>
                <w:b/>
                <w:snapToGrid w:val="0"/>
                <w:szCs w:val="24"/>
              </w:rPr>
              <w:t>Total Annual Learning Cost (dollars)**</w:t>
            </w:r>
            <w:r w:rsidR="009C4E96">
              <w:rPr>
                <w:rFonts w:ascii="Times New Roman" w:hAnsi="Times New Roman"/>
                <w:b/>
                <w:snapToGrid w:val="0"/>
                <w:szCs w:val="24"/>
              </w:rPr>
              <w:t>**</w:t>
            </w:r>
          </w:p>
        </w:tc>
      </w:tr>
      <w:tr w14:paraId="30324988" w14:textId="77777777" w:rsidTr="00601589">
        <w:tblPrEx>
          <w:tblW w:w="8190" w:type="dxa"/>
          <w:tblInd w:w="1345" w:type="dxa"/>
          <w:tblLayout w:type="fixed"/>
          <w:tblLook w:val="04A0"/>
        </w:tblPrEx>
        <w:trPr>
          <w:trHeight w:val="306"/>
        </w:trPr>
        <w:tc>
          <w:tcPr>
            <w:tcW w:w="1643" w:type="dxa"/>
            <w:shd w:val="clear" w:color="auto" w:fill="auto"/>
          </w:tcPr>
          <w:p w:rsidR="0066065E" w:rsidRPr="00601589" w:rsidP="009C4E96" w14:paraId="50BA608B" w14:textId="16DC7ADA">
            <w:pPr>
              <w:widowControl w:val="0"/>
              <w:spacing w:after="0"/>
              <w:jc w:val="right"/>
              <w:rPr>
                <w:rFonts w:ascii="Times New Roman" w:hAnsi="Times New Roman"/>
                <w:snapToGrid w:val="0"/>
                <w:szCs w:val="24"/>
              </w:rPr>
            </w:pPr>
            <w:r>
              <w:rPr>
                <w:rFonts w:ascii="Times New Roman" w:hAnsi="Times New Roman"/>
                <w:snapToGrid w:val="0"/>
                <w:szCs w:val="24"/>
              </w:rPr>
              <w:t>2</w:t>
            </w:r>
            <w:r w:rsidR="009C4E96">
              <w:rPr>
                <w:rFonts w:ascii="Times New Roman" w:hAnsi="Times New Roman"/>
                <w:snapToGrid w:val="0"/>
                <w:szCs w:val="24"/>
              </w:rPr>
              <w:t>,</w:t>
            </w:r>
            <w:r>
              <w:rPr>
                <w:rFonts w:ascii="Times New Roman" w:hAnsi="Times New Roman"/>
                <w:snapToGrid w:val="0"/>
                <w:szCs w:val="24"/>
              </w:rPr>
              <w:t>081</w:t>
            </w:r>
          </w:p>
        </w:tc>
        <w:tc>
          <w:tcPr>
            <w:tcW w:w="1417" w:type="dxa"/>
            <w:shd w:val="clear" w:color="auto" w:fill="auto"/>
          </w:tcPr>
          <w:p w:rsidR="0066065E" w:rsidRPr="00601589" w:rsidP="009C4E96" w14:paraId="19168CD7" w14:textId="77777777">
            <w:pPr>
              <w:widowControl w:val="0"/>
              <w:spacing w:after="0"/>
              <w:jc w:val="right"/>
              <w:rPr>
                <w:rFonts w:ascii="Times New Roman" w:hAnsi="Times New Roman"/>
                <w:snapToGrid w:val="0"/>
                <w:szCs w:val="24"/>
              </w:rPr>
            </w:pPr>
            <w:r w:rsidRPr="00601589">
              <w:rPr>
                <w:rFonts w:ascii="Times New Roman" w:hAnsi="Times New Roman"/>
                <w:snapToGrid w:val="0"/>
                <w:szCs w:val="24"/>
              </w:rPr>
              <w:t>1</w:t>
            </w:r>
          </w:p>
        </w:tc>
        <w:tc>
          <w:tcPr>
            <w:tcW w:w="1260" w:type="dxa"/>
            <w:shd w:val="clear" w:color="auto" w:fill="auto"/>
          </w:tcPr>
          <w:p w:rsidR="0066065E" w:rsidRPr="00601589" w:rsidP="009C4E96" w14:paraId="1125CD81" w14:textId="7ED35E0E">
            <w:pPr>
              <w:widowControl w:val="0"/>
              <w:spacing w:after="0"/>
              <w:jc w:val="right"/>
              <w:rPr>
                <w:rFonts w:ascii="Times New Roman" w:hAnsi="Times New Roman"/>
                <w:snapToGrid w:val="0"/>
                <w:szCs w:val="24"/>
              </w:rPr>
            </w:pPr>
            <w:r>
              <w:rPr>
                <w:rFonts w:ascii="Times New Roman" w:hAnsi="Times New Roman"/>
                <w:snapToGrid w:val="0"/>
                <w:szCs w:val="24"/>
              </w:rPr>
              <w:t>15</w:t>
            </w:r>
          </w:p>
        </w:tc>
        <w:tc>
          <w:tcPr>
            <w:tcW w:w="1350" w:type="dxa"/>
          </w:tcPr>
          <w:p w:rsidR="0066065E" w:rsidRPr="00601589" w:rsidP="009C4E96" w14:paraId="72498695" w14:textId="4A165D9E">
            <w:pPr>
              <w:widowControl w:val="0"/>
              <w:spacing w:after="0"/>
              <w:jc w:val="right"/>
              <w:rPr>
                <w:rFonts w:ascii="Times New Roman" w:hAnsi="Times New Roman"/>
                <w:snapToGrid w:val="0"/>
                <w:szCs w:val="24"/>
              </w:rPr>
            </w:pPr>
            <w:r>
              <w:rPr>
                <w:rFonts w:ascii="Times New Roman" w:hAnsi="Times New Roman"/>
                <w:snapToGrid w:val="0"/>
                <w:szCs w:val="24"/>
              </w:rPr>
              <w:t>520</w:t>
            </w:r>
          </w:p>
        </w:tc>
        <w:tc>
          <w:tcPr>
            <w:tcW w:w="2520" w:type="dxa"/>
            <w:shd w:val="clear" w:color="auto" w:fill="auto"/>
          </w:tcPr>
          <w:p w:rsidR="0066065E" w:rsidRPr="00601589" w:rsidP="009C4E96" w14:paraId="09BCEF3A" w14:textId="32037AB5">
            <w:pPr>
              <w:widowControl w:val="0"/>
              <w:spacing w:after="0"/>
              <w:jc w:val="right"/>
              <w:rPr>
                <w:rFonts w:ascii="Times New Roman" w:hAnsi="Times New Roman"/>
                <w:snapToGrid w:val="0"/>
                <w:szCs w:val="24"/>
              </w:rPr>
            </w:pPr>
            <w:r w:rsidRPr="00601589">
              <w:rPr>
                <w:rFonts w:ascii="Times New Roman" w:hAnsi="Times New Roman"/>
                <w:snapToGrid w:val="0"/>
                <w:szCs w:val="24"/>
              </w:rPr>
              <w:t>$</w:t>
            </w:r>
            <w:r w:rsidR="00F646A3">
              <w:rPr>
                <w:rFonts w:ascii="Times New Roman" w:hAnsi="Times New Roman"/>
                <w:snapToGrid w:val="0"/>
                <w:szCs w:val="24"/>
              </w:rPr>
              <w:t>11,950</w:t>
            </w:r>
            <w:r w:rsidRPr="00601589">
              <w:rPr>
                <w:rFonts w:ascii="Times New Roman" w:hAnsi="Times New Roman"/>
                <w:snapToGrid w:val="0"/>
                <w:szCs w:val="24"/>
              </w:rPr>
              <w:t>*</w:t>
            </w:r>
            <w:r w:rsidR="009C4E96">
              <w:rPr>
                <w:rFonts w:ascii="Times New Roman" w:hAnsi="Times New Roman"/>
                <w:snapToGrid w:val="0"/>
                <w:szCs w:val="24"/>
              </w:rPr>
              <w:t>***</w:t>
            </w:r>
          </w:p>
        </w:tc>
      </w:tr>
    </w:tbl>
    <w:p w:rsidR="0066065E" w:rsidRPr="00601589" w:rsidP="0066065E" w14:paraId="143BA87F" w14:textId="64C54617">
      <w:pPr>
        <w:widowControl w:val="0"/>
        <w:spacing w:after="0"/>
        <w:ind w:left="1440"/>
        <w:rPr>
          <w:rFonts w:ascii="Times New Roman" w:hAnsi="Times New Roman"/>
          <w:snapToGrid w:val="0"/>
          <w:szCs w:val="24"/>
        </w:rPr>
      </w:pPr>
      <w:r w:rsidRPr="00601589">
        <w:rPr>
          <w:rFonts w:ascii="Times New Roman" w:hAnsi="Times New Roman"/>
          <w:snapToGrid w:val="0"/>
          <w:szCs w:val="24"/>
        </w:rPr>
        <w:t>**</w:t>
      </w:r>
      <w:r w:rsidR="009C4E96">
        <w:rPr>
          <w:rFonts w:ascii="Times New Roman" w:hAnsi="Times New Roman"/>
          <w:snapToGrid w:val="0"/>
          <w:szCs w:val="24"/>
        </w:rPr>
        <w:t>**</w:t>
      </w:r>
      <w:r w:rsidRPr="00601589">
        <w:rPr>
          <w:rFonts w:ascii="Times New Roman" w:hAnsi="Times New Roman"/>
          <w:snapToGrid w:val="0"/>
          <w:szCs w:val="24"/>
        </w:rPr>
        <w:t xml:space="preserve"> We based this dollar amount on the Average Theoretical Hourly Cost Amount in dollars shown on the burden chart above.</w:t>
      </w:r>
    </w:p>
    <w:p w:rsidR="0066065E" w:rsidRPr="00601589" w:rsidP="0066065E" w14:paraId="4FBBCB8E" w14:textId="77777777">
      <w:pPr>
        <w:widowControl w:val="0"/>
        <w:spacing w:after="0"/>
        <w:ind w:left="1440"/>
        <w:rPr>
          <w:rFonts w:ascii="Times New Roman" w:hAnsi="Times New Roman"/>
          <w:snapToGrid w:val="0"/>
          <w:szCs w:val="24"/>
        </w:rPr>
      </w:pPr>
    </w:p>
    <w:p w:rsidR="0066065E" w:rsidRPr="00601589" w:rsidP="0066065E" w14:paraId="727CE1FF" w14:textId="77777777">
      <w:pPr>
        <w:widowControl w:val="0"/>
        <w:spacing w:after="0"/>
        <w:ind w:left="1440"/>
        <w:rPr>
          <w:rFonts w:ascii="Times New Roman" w:hAnsi="Times New Roman"/>
          <w:snapToGrid w:val="0"/>
          <w:szCs w:val="24"/>
        </w:rPr>
      </w:pPr>
      <w:r w:rsidRPr="00601589">
        <w:rPr>
          <w:rFonts w:ascii="Times New Roman" w:hAnsi="Times New Roman"/>
          <w:snapToGrid w:val="0"/>
          <w:szCs w:val="24"/>
        </w:rPr>
        <w:t>NOTE:  We included the total opportunity cost estimate from this chart in our calculations when showing the total time and opportunity cost estimates in the paragraph below.</w:t>
      </w:r>
    </w:p>
    <w:p w:rsidR="009830B7" w:rsidP="006020F2" w14:paraId="3BF6E48E" w14:textId="77777777">
      <w:pPr>
        <w:tabs>
          <w:tab w:val="left" w:pos="1440"/>
        </w:tabs>
        <w:spacing w:after="0"/>
        <w:ind w:left="1440"/>
        <w:rPr>
          <w:rFonts w:ascii="Times New Roman" w:eastAsia="Calibri" w:hAnsi="Times New Roman"/>
          <w:szCs w:val="24"/>
        </w:rPr>
      </w:pPr>
    </w:p>
    <w:p w:rsidR="00DF7666" w:rsidRPr="00DF7666" w:rsidP="00DF7666" w14:paraId="674DEBB9" w14:textId="2CF50F23">
      <w:pPr>
        <w:pStyle w:val="ListParagraph"/>
        <w:ind w:left="1440"/>
        <w:rPr>
          <w:rFonts w:ascii="Times New Roman" w:hAnsi="Times New Roman"/>
        </w:rPr>
      </w:pPr>
      <w:r w:rsidRPr="00DF7666">
        <w:rPr>
          <w:rFonts w:ascii="Times New Roman" w:hAnsi="Times New Roman"/>
          <w:noProof/>
        </w:rPr>
        <w:t xml:space="preserve">We base our burden estimates on current management information data, which includes data from actual interviews, as well as from years of conducting this information collection.  Per our management information data, we believe that </w:t>
      </w:r>
      <w:r w:rsidRPr="00DF7666">
        <w:rPr>
          <w:rFonts w:ascii="Times New Roman" w:hAnsi="Times New Roman"/>
          <w:b/>
          <w:bCs/>
          <w:noProof/>
        </w:rPr>
        <w:t>30</w:t>
      </w:r>
      <w:r w:rsidRPr="00DF7666">
        <w:rPr>
          <w:rFonts w:ascii="Times New Roman" w:hAnsi="Times New Roman"/>
          <w:noProof/>
        </w:rPr>
        <w:t xml:space="preserve"> minutes accurately shows the average burden per response for </w:t>
      </w:r>
      <w:r w:rsidRPr="00DF7666">
        <w:rPr>
          <w:rFonts w:ascii="Times New Roman" w:hAnsi="Times New Roman"/>
        </w:rPr>
        <w:t>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00DF7666">
        <w:rPr>
          <w:rFonts w:ascii="Times New Roman" w:hAnsi="Times New Roman"/>
          <w:noProof/>
        </w:rPr>
        <w:t>.  Based on our current management information data, the current burden information we provided is accurate</w:t>
      </w:r>
      <w:r w:rsidRPr="00DF7666">
        <w:rPr>
          <w:rFonts w:ascii="Times New Roman" w:hAnsi="Times New Roman"/>
        </w:rPr>
        <w:t xml:space="preserve">.  The total burden for this ICR is </w:t>
      </w:r>
      <w:r w:rsidRPr="00DF7666">
        <w:rPr>
          <w:rFonts w:ascii="Times New Roman" w:hAnsi="Times New Roman"/>
          <w:b/>
          <w:bCs/>
        </w:rPr>
        <w:t>1,041</w:t>
      </w:r>
      <w:r>
        <w:rPr>
          <w:rFonts w:ascii="Times New Roman" w:hAnsi="Times New Roman"/>
        </w:rPr>
        <w:t xml:space="preserve"> </w:t>
      </w:r>
      <w:r w:rsidRPr="00DF7666">
        <w:rPr>
          <w:rFonts w:ascii="Times New Roman" w:hAnsi="Times New Roman"/>
        </w:rPr>
        <w:t xml:space="preserve">burden hours (reflecting SSA management information data), which results in an associated theoretical (not actual) opportunity cost financial burden of </w:t>
      </w:r>
      <w:r w:rsidRPr="00DF7666">
        <w:rPr>
          <w:rFonts w:ascii="Times New Roman" w:hAnsi="Times New Roman"/>
          <w:b/>
          <w:bCs/>
        </w:rPr>
        <w:t>$</w:t>
      </w:r>
      <w:r w:rsidR="009747D4">
        <w:rPr>
          <w:rFonts w:ascii="Times New Roman" w:hAnsi="Times New Roman"/>
          <w:b/>
          <w:bCs/>
        </w:rPr>
        <w:t>35,872</w:t>
      </w:r>
      <w:r w:rsidRPr="00DF7666">
        <w:rPr>
          <w:rFonts w:ascii="Times New Roman" w:hAnsi="Times New Roman"/>
        </w:rPr>
        <w:t>.  SSA does not charge respondents to complete our applications</w:t>
      </w:r>
      <w:r w:rsidRPr="00DF7666">
        <w:rPr>
          <w:rFonts w:ascii="Times New Roman" w:hAnsi="Times New Roman"/>
          <w:noProof/>
        </w:rPr>
        <w:t>.</w:t>
      </w:r>
    </w:p>
    <w:p w:rsidR="00321412" w:rsidRPr="00536188" w:rsidP="00707AE7" w14:paraId="51E61587" w14:textId="77777777">
      <w:pPr>
        <w:numPr>
          <w:ilvl w:val="0"/>
          <w:numId w:val="2"/>
        </w:numPr>
        <w:spacing w:after="0"/>
        <w:ind w:left="1440" w:hanging="720"/>
        <w:rPr>
          <w:b/>
          <w:szCs w:val="24"/>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p>
    <w:p w:rsidR="00536188" w:rsidP="00707AE7" w14:paraId="02D4CB17" w14:textId="77777777">
      <w:pPr>
        <w:spacing w:after="0"/>
        <w:ind w:left="1440"/>
        <w:rPr>
          <w:rFonts w:ascii="Times New Roman" w:hAnsi="Times New Roman"/>
        </w:rPr>
      </w:pPr>
      <w:r w:rsidRPr="00536188">
        <w:rPr>
          <w:rFonts w:ascii="Times New Roman" w:hAnsi="Times New Roman"/>
        </w:rPr>
        <w:t>This collection does not impose a known cost burden on the respondents.</w:t>
      </w:r>
    </w:p>
    <w:p w:rsidR="006C40C4" w:rsidRPr="00536188" w:rsidP="00707AE7" w14:paraId="387FEC2D" w14:textId="77777777">
      <w:pPr>
        <w:spacing w:after="0"/>
        <w:ind w:left="1440"/>
        <w:rPr>
          <w:rFonts w:ascii="Times New Roman" w:hAnsi="Times New Roman"/>
        </w:rPr>
      </w:pPr>
    </w:p>
    <w:p w:rsidR="00321412" w:rsidRPr="00536188" w:rsidP="00707AE7" w14:paraId="1E944462" w14:textId="77777777">
      <w:pPr>
        <w:numPr>
          <w:ilvl w:val="0"/>
          <w:numId w:val="2"/>
        </w:numPr>
        <w:spacing w:after="0"/>
        <w:ind w:left="1440" w:hanging="720"/>
        <w:rPr>
          <w:b/>
          <w:szCs w:val="24"/>
        </w:rPr>
      </w:pPr>
      <w:r w:rsidRPr="00BC7F42">
        <w:rPr>
          <w:rFonts w:ascii="Times New Roman" w:hAnsi="Times New Roman"/>
          <w:b/>
        </w:rPr>
        <w:t>Annual Cost To Federal Government</w:t>
      </w:r>
    </w:p>
    <w:p w:rsidR="00FE4D6D" w:rsidP="00707AE7" w14:paraId="577BFA65" w14:textId="6D87BDCB">
      <w:pPr>
        <w:pStyle w:val="ListParagraph"/>
        <w:spacing w:after="0"/>
        <w:ind w:left="1440"/>
        <w:rPr>
          <w:rFonts w:ascii="Times New Roman" w:hAnsi="Times New Roman" w:eastAsiaTheme="minorHAnsi"/>
          <w:color w:val="000000"/>
          <w:szCs w:val="24"/>
        </w:rPr>
      </w:pPr>
      <w:r w:rsidRPr="0092602C">
        <w:rPr>
          <w:rFonts w:ascii="Times New Roman" w:hAnsi="Times New Roman" w:eastAsiaTheme="minorHAnsi"/>
          <w:color w:val="000000"/>
          <w:szCs w:val="24"/>
        </w:rPr>
        <w:t xml:space="preserve">The annual cost to the Federal Government is approximately </w:t>
      </w:r>
      <w:r w:rsidRPr="00443EEC">
        <w:rPr>
          <w:rFonts w:ascii="Times New Roman" w:hAnsi="Times New Roman" w:eastAsiaTheme="minorHAnsi"/>
          <w:b/>
          <w:bCs/>
          <w:color w:val="000000"/>
          <w:szCs w:val="24"/>
        </w:rPr>
        <w:t>$</w:t>
      </w:r>
      <w:r w:rsidR="00471BD8">
        <w:rPr>
          <w:rFonts w:ascii="Times New Roman" w:hAnsi="Times New Roman"/>
          <w:b/>
          <w:bCs/>
          <w:color w:val="000000"/>
          <w:szCs w:val="24"/>
        </w:rPr>
        <w:t>1,394,878</w:t>
      </w:r>
      <w:r w:rsidRPr="0092602C">
        <w:rPr>
          <w:rFonts w:ascii="Times New Roman" w:hAnsi="Times New Roman" w:eastAsiaTheme="minorHAnsi"/>
          <w:color w:val="000000"/>
          <w:szCs w:val="24"/>
        </w:rPr>
        <w:t>.  This estimate accounts for costs from the following areas:</w:t>
      </w:r>
    </w:p>
    <w:p w:rsidR="00707AE7" w:rsidRPr="00C0780F" w:rsidP="00707AE7" w14:paraId="064DAEE1" w14:textId="77777777">
      <w:pPr>
        <w:pStyle w:val="ListParagraph"/>
        <w:spacing w:after="0"/>
        <w:ind w:left="1440"/>
        <w:rPr>
          <w:rFonts w:ascii="Times New Roman" w:hAnsi="Times New Roman" w:eastAsiaTheme="minorHAnsi"/>
          <w:color w:val="000000"/>
          <w:szCs w:val="24"/>
        </w:rPr>
      </w:pPr>
    </w:p>
    <w:tbl>
      <w:tblPr>
        <w:tblStyle w:val="TableGrid1"/>
        <w:tblW w:w="8370" w:type="dxa"/>
        <w:tblInd w:w="1435" w:type="dxa"/>
        <w:tblLook w:val="04A0"/>
      </w:tblPr>
      <w:tblGrid>
        <w:gridCol w:w="2288"/>
        <w:gridCol w:w="3117"/>
        <w:gridCol w:w="2965"/>
      </w:tblGrid>
      <w:tr w14:paraId="7351A4D8" w14:textId="77777777" w:rsidTr="00DF7666">
        <w:tblPrEx>
          <w:tblW w:w="8370" w:type="dxa"/>
          <w:tblInd w:w="1435" w:type="dxa"/>
          <w:tblLook w:val="04A0"/>
        </w:tblPrEx>
        <w:trPr>
          <w:trHeight w:val="647"/>
        </w:trPr>
        <w:tc>
          <w:tcPr>
            <w:tcW w:w="2288" w:type="dxa"/>
          </w:tcPr>
          <w:p w:rsidR="0092602C" w:rsidRPr="00F701EF" w:rsidP="00C0780F" w14:paraId="6D3AA568" w14:textId="77777777">
            <w:pPr>
              <w:spacing w:after="0"/>
              <w:rPr>
                <w:rFonts w:ascii="Times New Roman" w:hAnsi="Times New Roman"/>
                <w:b/>
                <w:bCs/>
                <w:color w:val="000000"/>
                <w:szCs w:val="24"/>
              </w:rPr>
            </w:pPr>
            <w:r w:rsidRPr="00F701EF">
              <w:rPr>
                <w:rFonts w:ascii="Times New Roman" w:hAnsi="Times New Roman"/>
                <w:b/>
                <w:bCs/>
                <w:color w:val="000000"/>
                <w:szCs w:val="24"/>
              </w:rPr>
              <w:t>Description of Cost Factor</w:t>
            </w:r>
          </w:p>
        </w:tc>
        <w:tc>
          <w:tcPr>
            <w:tcW w:w="3117" w:type="dxa"/>
          </w:tcPr>
          <w:p w:rsidR="0092602C" w:rsidRPr="00F701EF" w:rsidP="00C0780F" w14:paraId="7DE88568" w14:textId="77777777">
            <w:pPr>
              <w:spacing w:after="0"/>
              <w:rPr>
                <w:rFonts w:ascii="Times New Roman" w:hAnsi="Times New Roman"/>
                <w:b/>
                <w:bCs/>
                <w:color w:val="000000"/>
                <w:szCs w:val="24"/>
              </w:rPr>
            </w:pPr>
            <w:r w:rsidRPr="00F701EF">
              <w:rPr>
                <w:rFonts w:ascii="Times New Roman" w:hAnsi="Times New Roman"/>
                <w:b/>
                <w:bCs/>
                <w:color w:val="000000"/>
                <w:szCs w:val="24"/>
              </w:rPr>
              <w:t>Methodology for Estimating Cost</w:t>
            </w:r>
          </w:p>
        </w:tc>
        <w:tc>
          <w:tcPr>
            <w:tcW w:w="2965" w:type="dxa"/>
          </w:tcPr>
          <w:p w:rsidR="0092602C" w:rsidRPr="00F701EF" w:rsidP="00C0780F" w14:paraId="5C52E615" w14:textId="77777777">
            <w:pPr>
              <w:spacing w:after="0"/>
              <w:rPr>
                <w:rFonts w:ascii="Times New Roman" w:hAnsi="Times New Roman"/>
                <w:b/>
                <w:bCs/>
                <w:color w:val="000000"/>
                <w:szCs w:val="24"/>
              </w:rPr>
            </w:pPr>
            <w:r w:rsidRPr="00F701EF">
              <w:rPr>
                <w:rFonts w:ascii="Times New Roman" w:hAnsi="Times New Roman"/>
                <w:b/>
                <w:bCs/>
                <w:color w:val="000000"/>
                <w:szCs w:val="24"/>
              </w:rPr>
              <w:t>Cost in Dollars*</w:t>
            </w:r>
          </w:p>
        </w:tc>
      </w:tr>
      <w:tr w14:paraId="31676493" w14:textId="77777777" w:rsidTr="00DF7666">
        <w:tblPrEx>
          <w:tblW w:w="8370" w:type="dxa"/>
          <w:tblInd w:w="1435" w:type="dxa"/>
          <w:tblLook w:val="04A0"/>
        </w:tblPrEx>
        <w:tc>
          <w:tcPr>
            <w:tcW w:w="2288" w:type="dxa"/>
          </w:tcPr>
          <w:p w:rsidR="0092602C" w:rsidRPr="00F701EF" w:rsidP="00C0780F" w14:paraId="1E2DDDEB" w14:textId="77777777">
            <w:pPr>
              <w:spacing w:after="0"/>
              <w:rPr>
                <w:rFonts w:ascii="Times New Roman" w:hAnsi="Times New Roman"/>
                <w:color w:val="000000"/>
                <w:szCs w:val="24"/>
              </w:rPr>
            </w:pPr>
            <w:r w:rsidRPr="00F701EF">
              <w:rPr>
                <w:rFonts w:ascii="Times New Roman" w:hAnsi="Times New Roman"/>
                <w:color w:val="000000"/>
                <w:szCs w:val="24"/>
              </w:rPr>
              <w:t>Designing and Printing the Form</w:t>
            </w:r>
          </w:p>
        </w:tc>
        <w:tc>
          <w:tcPr>
            <w:tcW w:w="3117" w:type="dxa"/>
          </w:tcPr>
          <w:p w:rsidR="0092602C" w:rsidRPr="00F701EF" w:rsidP="00C0780F" w14:paraId="60A74621" w14:textId="77777777">
            <w:pPr>
              <w:spacing w:after="0"/>
              <w:rPr>
                <w:rFonts w:ascii="Times New Roman" w:hAnsi="Times New Roman"/>
                <w:color w:val="000000"/>
                <w:szCs w:val="24"/>
              </w:rPr>
            </w:pPr>
            <w:r w:rsidRPr="00F701EF">
              <w:rPr>
                <w:rFonts w:ascii="Times New Roman" w:hAnsi="Times New Roman"/>
                <w:color w:val="000000"/>
                <w:szCs w:val="24"/>
              </w:rPr>
              <w:t>Design Cost + Printing Cost</w:t>
            </w:r>
          </w:p>
        </w:tc>
        <w:tc>
          <w:tcPr>
            <w:tcW w:w="2965" w:type="dxa"/>
          </w:tcPr>
          <w:p w:rsidR="0092602C" w:rsidRPr="00F701EF" w:rsidP="00C9584E" w14:paraId="0C3A3DF4" w14:textId="117C6BEA">
            <w:pPr>
              <w:spacing w:after="0"/>
              <w:jc w:val="right"/>
              <w:rPr>
                <w:rFonts w:ascii="Times New Roman" w:hAnsi="Times New Roman"/>
                <w:color w:val="000000"/>
                <w:szCs w:val="24"/>
              </w:rPr>
            </w:pPr>
            <w:r>
              <w:rPr>
                <w:rFonts w:ascii="Times New Roman" w:hAnsi="Times New Roman"/>
                <w:color w:val="000000"/>
                <w:szCs w:val="24"/>
              </w:rPr>
              <w:t>$</w:t>
            </w:r>
            <w:r w:rsidR="00564497">
              <w:rPr>
                <w:rFonts w:ascii="Times New Roman" w:hAnsi="Times New Roman"/>
                <w:color w:val="000000"/>
                <w:szCs w:val="24"/>
              </w:rPr>
              <w:t>350</w:t>
            </w:r>
          </w:p>
        </w:tc>
      </w:tr>
      <w:tr w14:paraId="21CB8E20" w14:textId="77777777" w:rsidTr="00DF7666">
        <w:tblPrEx>
          <w:tblW w:w="8370" w:type="dxa"/>
          <w:tblInd w:w="1435" w:type="dxa"/>
          <w:tblLook w:val="04A0"/>
        </w:tblPrEx>
        <w:tc>
          <w:tcPr>
            <w:tcW w:w="2288" w:type="dxa"/>
          </w:tcPr>
          <w:p w:rsidR="0092602C" w:rsidRPr="00F701EF" w:rsidP="00C0780F" w14:paraId="668A3850" w14:textId="77777777">
            <w:pPr>
              <w:spacing w:after="0"/>
              <w:rPr>
                <w:rFonts w:ascii="Times New Roman" w:hAnsi="Times New Roman"/>
                <w:color w:val="000000"/>
                <w:szCs w:val="24"/>
              </w:rPr>
            </w:pPr>
            <w:r w:rsidRPr="00F701EF">
              <w:rPr>
                <w:rFonts w:ascii="Times New Roman" w:hAnsi="Times New Roman"/>
                <w:color w:val="000000"/>
                <w:szCs w:val="24"/>
              </w:rPr>
              <w:t>Distributing, Shipping, and Material Costs for the Form</w:t>
            </w:r>
          </w:p>
        </w:tc>
        <w:tc>
          <w:tcPr>
            <w:tcW w:w="3117" w:type="dxa"/>
          </w:tcPr>
          <w:p w:rsidR="0092602C" w:rsidRPr="00F701EF" w:rsidP="00C0780F" w14:paraId="5F9F37E4" w14:textId="77777777">
            <w:pPr>
              <w:spacing w:after="0"/>
              <w:rPr>
                <w:rFonts w:ascii="Times New Roman" w:hAnsi="Times New Roman"/>
                <w:color w:val="000000"/>
                <w:szCs w:val="24"/>
              </w:rPr>
            </w:pPr>
            <w:r w:rsidRPr="00F701EF">
              <w:rPr>
                <w:rFonts w:ascii="Times New Roman" w:hAnsi="Times New Roman"/>
                <w:color w:val="000000"/>
                <w:szCs w:val="24"/>
              </w:rPr>
              <w:t>Distribution + Shipping + Material Cost</w:t>
            </w:r>
          </w:p>
        </w:tc>
        <w:tc>
          <w:tcPr>
            <w:tcW w:w="2965" w:type="dxa"/>
          </w:tcPr>
          <w:p w:rsidR="0092602C" w:rsidRPr="00F701EF" w:rsidP="00C9584E" w14:paraId="7A301611" w14:textId="64E9BC41">
            <w:pPr>
              <w:spacing w:after="0"/>
              <w:jc w:val="right"/>
              <w:rPr>
                <w:rFonts w:ascii="Times New Roman" w:hAnsi="Times New Roman"/>
                <w:color w:val="000000"/>
                <w:szCs w:val="24"/>
              </w:rPr>
            </w:pPr>
            <w:r>
              <w:rPr>
                <w:rFonts w:ascii="Times New Roman" w:hAnsi="Times New Roman"/>
                <w:color w:val="000000"/>
                <w:szCs w:val="24"/>
              </w:rPr>
              <w:t>$</w:t>
            </w:r>
            <w:r w:rsidR="00352B2D">
              <w:rPr>
                <w:rFonts w:ascii="Times New Roman" w:hAnsi="Times New Roman"/>
                <w:color w:val="000000"/>
                <w:szCs w:val="24"/>
              </w:rPr>
              <w:t>932</w:t>
            </w:r>
          </w:p>
        </w:tc>
      </w:tr>
      <w:tr w14:paraId="7F83AF8A" w14:textId="77777777" w:rsidTr="00DF7666">
        <w:tblPrEx>
          <w:tblW w:w="8370" w:type="dxa"/>
          <w:tblInd w:w="1435" w:type="dxa"/>
          <w:tblLook w:val="04A0"/>
        </w:tblPrEx>
        <w:tc>
          <w:tcPr>
            <w:tcW w:w="2288" w:type="dxa"/>
          </w:tcPr>
          <w:p w:rsidR="0092602C" w:rsidRPr="00F701EF" w:rsidP="00C0780F" w14:paraId="19183685" w14:textId="77777777">
            <w:pPr>
              <w:spacing w:after="0"/>
              <w:rPr>
                <w:rFonts w:ascii="Times New Roman" w:hAnsi="Times New Roman"/>
                <w:color w:val="000000"/>
                <w:szCs w:val="24"/>
              </w:rPr>
            </w:pPr>
            <w:r w:rsidRPr="00F701EF">
              <w:rPr>
                <w:rFonts w:ascii="Times New Roman" w:hAnsi="Times New Roman"/>
                <w:color w:val="000000"/>
                <w:szCs w:val="24"/>
              </w:rPr>
              <w:t>SSA Employee (e.g., field office, 800 number, DDS staff) Information Collection and Processing Time</w:t>
            </w:r>
          </w:p>
        </w:tc>
        <w:tc>
          <w:tcPr>
            <w:tcW w:w="3117" w:type="dxa"/>
          </w:tcPr>
          <w:p w:rsidR="0092602C" w:rsidRPr="00F701EF" w:rsidP="00C0780F" w14:paraId="50F05E70" w14:textId="77777777">
            <w:pPr>
              <w:spacing w:after="0"/>
              <w:rPr>
                <w:rFonts w:ascii="Times New Roman" w:hAnsi="Times New Roman"/>
                <w:color w:val="000000"/>
                <w:szCs w:val="24"/>
              </w:rPr>
            </w:pPr>
            <w:r w:rsidRPr="00F701EF">
              <w:rPr>
                <w:rFonts w:ascii="Times New Roman" w:hAnsi="Times New Roman"/>
                <w:color w:val="000000"/>
                <w:szCs w:val="24"/>
              </w:rPr>
              <w:t>GS-9 employee x # of responses x processing time</w:t>
            </w:r>
          </w:p>
        </w:tc>
        <w:tc>
          <w:tcPr>
            <w:tcW w:w="2965" w:type="dxa"/>
          </w:tcPr>
          <w:p w:rsidR="0092602C" w:rsidRPr="00F701EF" w:rsidP="00C9584E" w14:paraId="3063CB86" w14:textId="5E94D721">
            <w:pPr>
              <w:spacing w:after="0"/>
              <w:jc w:val="right"/>
              <w:rPr>
                <w:rFonts w:ascii="Times New Roman" w:hAnsi="Times New Roman"/>
                <w:color w:val="000000"/>
                <w:szCs w:val="24"/>
              </w:rPr>
            </w:pPr>
            <w:r>
              <w:rPr>
                <w:rFonts w:ascii="Times New Roman" w:hAnsi="Times New Roman"/>
                <w:color w:val="000000"/>
                <w:szCs w:val="24"/>
              </w:rPr>
              <w:t>$</w:t>
            </w:r>
            <w:r w:rsidR="00925701">
              <w:rPr>
                <w:rFonts w:ascii="Times New Roman" w:hAnsi="Times New Roman"/>
                <w:color w:val="000000"/>
                <w:szCs w:val="24"/>
              </w:rPr>
              <w:t>25,596</w:t>
            </w:r>
          </w:p>
        </w:tc>
      </w:tr>
      <w:tr w14:paraId="42057C01" w14:textId="77777777" w:rsidTr="00DF7666">
        <w:tblPrEx>
          <w:tblW w:w="8370" w:type="dxa"/>
          <w:tblInd w:w="1435" w:type="dxa"/>
          <w:tblLook w:val="04A0"/>
        </w:tblPrEx>
        <w:tc>
          <w:tcPr>
            <w:tcW w:w="2288" w:type="dxa"/>
          </w:tcPr>
          <w:p w:rsidR="0092602C" w:rsidRPr="00F701EF" w:rsidP="00C0780F" w14:paraId="79F2357E" w14:textId="77777777">
            <w:pPr>
              <w:spacing w:after="0"/>
              <w:rPr>
                <w:rFonts w:ascii="Times New Roman" w:hAnsi="Times New Roman"/>
                <w:color w:val="000000"/>
                <w:szCs w:val="24"/>
              </w:rPr>
            </w:pPr>
            <w:r w:rsidRPr="00F701EF">
              <w:rPr>
                <w:rFonts w:ascii="Times New Roman" w:hAnsi="Times New Roman"/>
                <w:color w:val="000000"/>
                <w:szCs w:val="24"/>
              </w:rPr>
              <w:t>Full-Time Equivalent Costs</w:t>
            </w:r>
          </w:p>
        </w:tc>
        <w:tc>
          <w:tcPr>
            <w:tcW w:w="3117" w:type="dxa"/>
          </w:tcPr>
          <w:p w:rsidR="0092602C" w:rsidRPr="00F701EF" w:rsidP="00C0780F" w14:paraId="5BFB266C" w14:textId="77777777">
            <w:pPr>
              <w:spacing w:after="0"/>
              <w:rPr>
                <w:rFonts w:ascii="Times New Roman" w:hAnsi="Times New Roman"/>
                <w:color w:val="000000"/>
                <w:szCs w:val="24"/>
              </w:rPr>
            </w:pPr>
            <w:r w:rsidRPr="00F701EF">
              <w:rPr>
                <w:rFonts w:ascii="Times New Roman" w:hAnsi="Times New Roman"/>
                <w:color w:val="000000"/>
                <w:szCs w:val="24"/>
              </w:rPr>
              <w:t>Out of pocket costs + Other expenses for providing this service</w:t>
            </w:r>
          </w:p>
        </w:tc>
        <w:tc>
          <w:tcPr>
            <w:tcW w:w="2965" w:type="dxa"/>
          </w:tcPr>
          <w:p w:rsidR="0092602C" w:rsidRPr="00F701EF" w:rsidP="00C9584E" w14:paraId="4CFDDC9E" w14:textId="634651B6">
            <w:pPr>
              <w:spacing w:after="0"/>
              <w:jc w:val="right"/>
              <w:rPr>
                <w:rFonts w:ascii="Times New Roman" w:hAnsi="Times New Roman"/>
                <w:color w:val="000000"/>
                <w:szCs w:val="24"/>
              </w:rPr>
            </w:pPr>
            <w:r>
              <w:rPr>
                <w:rFonts w:ascii="Times New Roman" w:hAnsi="Times New Roman"/>
                <w:color w:val="000000"/>
                <w:szCs w:val="24"/>
              </w:rPr>
              <w:t>$</w:t>
            </w:r>
            <w:r w:rsidR="00D53FD6">
              <w:rPr>
                <w:rFonts w:ascii="Times New Roman" w:hAnsi="Times New Roman"/>
                <w:color w:val="000000"/>
                <w:szCs w:val="24"/>
              </w:rPr>
              <w:t>0</w:t>
            </w:r>
            <w:r w:rsidR="00DF7666">
              <w:rPr>
                <w:rFonts w:ascii="Times New Roman" w:hAnsi="Times New Roman"/>
                <w:color w:val="000000"/>
                <w:szCs w:val="24"/>
              </w:rPr>
              <w:t>*</w:t>
            </w:r>
          </w:p>
        </w:tc>
      </w:tr>
      <w:tr w14:paraId="7DC75CAB" w14:textId="77777777" w:rsidTr="00DF7666">
        <w:tblPrEx>
          <w:tblW w:w="8370" w:type="dxa"/>
          <w:tblInd w:w="1435" w:type="dxa"/>
          <w:tblLook w:val="04A0"/>
        </w:tblPrEx>
        <w:tc>
          <w:tcPr>
            <w:tcW w:w="2288" w:type="dxa"/>
          </w:tcPr>
          <w:p w:rsidR="0092602C" w:rsidRPr="00F701EF" w:rsidP="00C0780F" w14:paraId="67730DB3" w14:textId="77777777">
            <w:pPr>
              <w:spacing w:after="0"/>
              <w:rPr>
                <w:rFonts w:ascii="Times New Roman" w:hAnsi="Times New Roman"/>
                <w:color w:val="000000"/>
                <w:szCs w:val="24"/>
              </w:rPr>
            </w:pPr>
            <w:r w:rsidRPr="00F701EF">
              <w:rPr>
                <w:rFonts w:ascii="Times New Roman" w:hAnsi="Times New Roman"/>
                <w:color w:val="000000"/>
                <w:szCs w:val="24"/>
              </w:rPr>
              <w:t>Systems Development, Updating, and Maintenance</w:t>
            </w:r>
          </w:p>
        </w:tc>
        <w:tc>
          <w:tcPr>
            <w:tcW w:w="3117" w:type="dxa"/>
          </w:tcPr>
          <w:p w:rsidR="0092602C" w:rsidRPr="00F701EF" w:rsidP="00C0780F" w14:paraId="43E175FA" w14:textId="77777777">
            <w:pPr>
              <w:spacing w:after="0"/>
              <w:rPr>
                <w:rFonts w:ascii="Times New Roman" w:hAnsi="Times New Roman"/>
                <w:color w:val="000000"/>
                <w:szCs w:val="24"/>
              </w:rPr>
            </w:pPr>
            <w:r w:rsidRPr="00F701EF">
              <w:rPr>
                <w:rFonts w:ascii="Times New Roman" w:hAnsi="Times New Roman"/>
                <w:color w:val="000000"/>
                <w:szCs w:val="24"/>
              </w:rPr>
              <w:t>GS-9 employee x man hours for development, updating, maintenance</w:t>
            </w:r>
          </w:p>
        </w:tc>
        <w:tc>
          <w:tcPr>
            <w:tcW w:w="2965" w:type="dxa"/>
          </w:tcPr>
          <w:p w:rsidR="0092602C" w:rsidRPr="00F701EF" w:rsidP="00C9584E" w14:paraId="3B77CB84" w14:textId="4EEB3E2E">
            <w:pPr>
              <w:spacing w:after="0"/>
              <w:jc w:val="right"/>
              <w:rPr>
                <w:rFonts w:ascii="Times New Roman" w:hAnsi="Times New Roman"/>
                <w:color w:val="000000"/>
                <w:szCs w:val="24"/>
              </w:rPr>
            </w:pPr>
            <w:r>
              <w:rPr>
                <w:rFonts w:ascii="Times New Roman" w:hAnsi="Times New Roman"/>
                <w:color w:val="000000"/>
                <w:szCs w:val="24"/>
              </w:rPr>
              <w:t>$</w:t>
            </w:r>
            <w:r w:rsidR="00D53FD6">
              <w:rPr>
                <w:rFonts w:ascii="Times New Roman" w:hAnsi="Times New Roman"/>
                <w:color w:val="000000"/>
                <w:szCs w:val="24"/>
              </w:rPr>
              <w:t>1,368,000</w:t>
            </w:r>
          </w:p>
        </w:tc>
      </w:tr>
      <w:tr w14:paraId="10A42607" w14:textId="77777777" w:rsidTr="00DF7666">
        <w:tblPrEx>
          <w:tblW w:w="8370" w:type="dxa"/>
          <w:tblInd w:w="1435" w:type="dxa"/>
          <w:tblLook w:val="04A0"/>
        </w:tblPrEx>
        <w:tc>
          <w:tcPr>
            <w:tcW w:w="2288" w:type="dxa"/>
          </w:tcPr>
          <w:p w:rsidR="0092602C" w:rsidRPr="00F701EF" w:rsidP="00C0780F" w14:paraId="643B0487" w14:textId="77777777">
            <w:pPr>
              <w:spacing w:after="0"/>
              <w:rPr>
                <w:rFonts w:ascii="Times New Roman" w:hAnsi="Times New Roman"/>
                <w:color w:val="000000"/>
                <w:szCs w:val="24"/>
              </w:rPr>
            </w:pPr>
            <w:r w:rsidRPr="00F701EF">
              <w:rPr>
                <w:rFonts w:ascii="Times New Roman" w:hAnsi="Times New Roman"/>
                <w:color w:val="000000"/>
                <w:szCs w:val="24"/>
              </w:rPr>
              <w:t>Quantifiable IT Costs</w:t>
            </w:r>
          </w:p>
        </w:tc>
        <w:tc>
          <w:tcPr>
            <w:tcW w:w="3117" w:type="dxa"/>
          </w:tcPr>
          <w:p w:rsidR="0092602C" w:rsidRPr="00F701EF" w:rsidP="00C0780F" w14:paraId="4729AB59" w14:textId="77777777">
            <w:pPr>
              <w:spacing w:after="0"/>
              <w:rPr>
                <w:rFonts w:ascii="Times New Roman" w:hAnsi="Times New Roman"/>
                <w:color w:val="000000"/>
                <w:szCs w:val="24"/>
              </w:rPr>
            </w:pPr>
            <w:r w:rsidRPr="00F701EF">
              <w:rPr>
                <w:rFonts w:ascii="Times New Roman" w:hAnsi="Times New Roman"/>
                <w:color w:val="000000"/>
                <w:szCs w:val="24"/>
              </w:rPr>
              <w:t>Any additional IT costs</w:t>
            </w:r>
          </w:p>
        </w:tc>
        <w:tc>
          <w:tcPr>
            <w:tcW w:w="2965" w:type="dxa"/>
          </w:tcPr>
          <w:p w:rsidR="0092602C" w:rsidRPr="00F701EF" w:rsidP="00C9584E" w14:paraId="249F5C49" w14:textId="1BB9A097">
            <w:pPr>
              <w:spacing w:after="0"/>
              <w:jc w:val="right"/>
              <w:rPr>
                <w:rFonts w:ascii="Times New Roman" w:hAnsi="Times New Roman"/>
                <w:color w:val="000000"/>
                <w:szCs w:val="24"/>
              </w:rPr>
            </w:pPr>
            <w:r>
              <w:rPr>
                <w:rFonts w:ascii="Times New Roman" w:hAnsi="Times New Roman"/>
                <w:color w:val="000000"/>
                <w:szCs w:val="24"/>
              </w:rPr>
              <w:t>$</w:t>
            </w:r>
            <w:r w:rsidR="00D53FD6">
              <w:rPr>
                <w:rFonts w:ascii="Times New Roman" w:hAnsi="Times New Roman"/>
                <w:color w:val="000000"/>
                <w:szCs w:val="24"/>
              </w:rPr>
              <w:t>0</w:t>
            </w:r>
            <w:r w:rsidR="00DF7666">
              <w:rPr>
                <w:rFonts w:ascii="Times New Roman" w:hAnsi="Times New Roman"/>
                <w:color w:val="000000"/>
                <w:szCs w:val="24"/>
              </w:rPr>
              <w:t>*</w:t>
            </w:r>
          </w:p>
        </w:tc>
      </w:tr>
      <w:tr w14:paraId="3CCC4D5E" w14:textId="77777777" w:rsidTr="00DF7666">
        <w:tblPrEx>
          <w:tblW w:w="8370" w:type="dxa"/>
          <w:tblInd w:w="1435" w:type="dxa"/>
          <w:tblLook w:val="04A0"/>
        </w:tblPrEx>
        <w:tc>
          <w:tcPr>
            <w:tcW w:w="2288" w:type="dxa"/>
          </w:tcPr>
          <w:p w:rsidR="0092602C" w:rsidRPr="00F701EF" w:rsidP="00C0780F" w14:paraId="0453954A" w14:textId="77777777">
            <w:pPr>
              <w:spacing w:after="0"/>
              <w:rPr>
                <w:rFonts w:ascii="Times New Roman" w:hAnsi="Times New Roman"/>
                <w:b/>
                <w:bCs/>
                <w:color w:val="000000"/>
                <w:szCs w:val="24"/>
              </w:rPr>
            </w:pPr>
            <w:r w:rsidRPr="00F701EF">
              <w:rPr>
                <w:rFonts w:ascii="Times New Roman" w:hAnsi="Times New Roman"/>
                <w:b/>
                <w:bCs/>
                <w:color w:val="000000"/>
                <w:szCs w:val="24"/>
              </w:rPr>
              <w:t>Total</w:t>
            </w:r>
          </w:p>
        </w:tc>
        <w:tc>
          <w:tcPr>
            <w:tcW w:w="3117" w:type="dxa"/>
          </w:tcPr>
          <w:p w:rsidR="0092602C" w:rsidRPr="00F701EF" w:rsidP="00C0780F" w14:paraId="1592FAF2" w14:textId="77777777">
            <w:pPr>
              <w:spacing w:after="0"/>
              <w:rPr>
                <w:rFonts w:ascii="Times New Roman" w:hAnsi="Times New Roman"/>
                <w:b/>
                <w:bCs/>
                <w:color w:val="000000"/>
                <w:szCs w:val="24"/>
              </w:rPr>
            </w:pPr>
          </w:p>
        </w:tc>
        <w:tc>
          <w:tcPr>
            <w:tcW w:w="2965" w:type="dxa"/>
          </w:tcPr>
          <w:p w:rsidR="0092602C" w:rsidRPr="00F701EF" w:rsidP="00C9584E" w14:paraId="42B1DF32" w14:textId="4B1E2820">
            <w:pPr>
              <w:spacing w:after="0"/>
              <w:jc w:val="right"/>
              <w:rPr>
                <w:rFonts w:ascii="Times New Roman" w:hAnsi="Times New Roman"/>
                <w:b/>
                <w:bCs/>
                <w:color w:val="000000"/>
                <w:szCs w:val="24"/>
              </w:rPr>
            </w:pPr>
            <w:r>
              <w:rPr>
                <w:rFonts w:ascii="Times New Roman" w:hAnsi="Times New Roman"/>
                <w:b/>
                <w:bCs/>
                <w:color w:val="000000"/>
                <w:szCs w:val="24"/>
              </w:rPr>
              <w:t>$</w:t>
            </w:r>
            <w:r w:rsidR="002252AE">
              <w:rPr>
                <w:rFonts w:ascii="Times New Roman" w:hAnsi="Times New Roman"/>
                <w:b/>
                <w:bCs/>
                <w:color w:val="000000"/>
                <w:szCs w:val="24"/>
              </w:rPr>
              <w:t>1,3</w:t>
            </w:r>
            <w:r w:rsidR="00352B2D">
              <w:rPr>
                <w:rFonts w:ascii="Times New Roman" w:hAnsi="Times New Roman"/>
                <w:b/>
                <w:bCs/>
                <w:color w:val="000000"/>
                <w:szCs w:val="24"/>
              </w:rPr>
              <w:t>94,878</w:t>
            </w:r>
          </w:p>
        </w:tc>
      </w:tr>
    </w:tbl>
    <w:p w:rsidR="003E67C1" w:rsidRPr="009F2800" w:rsidP="009F2800" w14:paraId="04C0DE94" w14:textId="77777777">
      <w:pPr>
        <w:pStyle w:val="ListParagraph"/>
        <w:spacing w:after="160" w:line="259" w:lineRule="auto"/>
        <w:ind w:left="1440"/>
        <w:rPr>
          <w:rFonts w:ascii="Times New Roman" w:hAnsi="Times New Roman" w:eastAsiaTheme="minorHAnsi"/>
          <w:color w:val="000000"/>
          <w:szCs w:val="24"/>
        </w:rPr>
      </w:pPr>
      <w:r w:rsidRPr="0092602C">
        <w:rPr>
          <w:rFonts w:ascii="Times New Roman" w:hAnsi="Times New Roman" w:eastAsiaTheme="minorHAnsi"/>
          <w:color w:val="000000"/>
          <w:szCs w:val="24"/>
        </w:rPr>
        <w:t>* We have inserted a $0 amount for cost factors that do not apply to this collection.</w:t>
      </w:r>
    </w:p>
    <w:p w:rsidR="00707AE7" w:rsidRPr="00593D07" w:rsidP="00593D07" w14:paraId="7627758E" w14:textId="661CE193">
      <w:pPr>
        <w:pStyle w:val="ListParagraph"/>
        <w:spacing w:after="0"/>
        <w:ind w:left="1440"/>
        <w:rPr>
          <w:rFonts w:ascii="Times New Roman" w:hAnsi="Times New Roman" w:eastAsiaTheme="minorHAnsi"/>
          <w:color w:val="000000"/>
          <w:szCs w:val="24"/>
        </w:rPr>
      </w:pPr>
      <w:r w:rsidRPr="002E3F2D">
        <w:rPr>
          <w:rFonts w:ascii="Times New Roman" w:hAnsi="Times New Roman"/>
          <w:snapToGrid w:val="0"/>
          <w:color w:val="000000"/>
          <w:szCs w:val="24"/>
        </w:rPr>
        <w:t>SSA is unable to break down the costs to the Federal government further than we already have</w:t>
      </w:r>
      <w:r w:rsidR="00F77AE8">
        <w:rPr>
          <w:rFonts w:ascii="Times New Roman" w:hAnsi="Times New Roman"/>
          <w:snapToGrid w:val="0"/>
          <w:color w:val="000000"/>
          <w:szCs w:val="24"/>
        </w:rPr>
        <w:t>.  F</w:t>
      </w:r>
      <w:r w:rsidR="00F77AE8">
        <w:rPr>
          <w:rFonts w:ascii="Times New Roman" w:hAnsi="Times New Roman"/>
          <w:color w:val="000000"/>
        </w:rPr>
        <w:t>irst, since we work with almost every US citizen, we often do bulk mailings, and cannot track the cost for a single mailing</w:t>
      </w:r>
      <w:r w:rsidR="009747D4">
        <w:rPr>
          <w:rFonts w:ascii="Times New Roman" w:hAnsi="Times New Roman"/>
          <w:color w:val="000000"/>
        </w:rPr>
        <w:t>.</w:t>
      </w:r>
      <w:r w:rsidRPr="002E3F2D" w:rsidR="009747D4">
        <w:rPr>
          <w:rFonts w:ascii="Times New Roman" w:hAnsi="Times New Roman"/>
          <w:snapToGrid w:val="0"/>
          <w:color w:val="000000"/>
          <w:szCs w:val="24"/>
        </w:rPr>
        <w:t xml:space="preserve">  </w:t>
      </w:r>
      <w:r w:rsidRPr="002E3F2D" w:rsidR="00F77AE8">
        <w:rPr>
          <w:rFonts w:ascii="Times New Roman" w:hAnsi="Times New Roman"/>
          <w:snapToGrid w:val="0"/>
          <w:color w:val="000000"/>
          <w:szCs w:val="24"/>
        </w:rPr>
        <w:t>It</w:t>
      </w:r>
      <w:r w:rsidRPr="002E3F2D">
        <w:rPr>
          <w:rFonts w:ascii="Times New Roman" w:hAnsi="Times New Roman"/>
          <w:snapToGrid w:val="0"/>
          <w:color w:val="000000"/>
          <w:szCs w:val="24"/>
        </w:rPr>
        <w:t xml:space="preserve">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sidRPr="0092602C" w:rsidR="0092602C">
        <w:rPr>
          <w:rFonts w:ascii="Times New Roman" w:hAnsi="Times New Roman" w:eastAsiaTheme="minorHAnsi"/>
          <w:color w:val="000000"/>
          <w:szCs w:val="24"/>
        </w:rPr>
        <w:t>.</w:t>
      </w:r>
    </w:p>
    <w:p w:rsidR="00707AE7" w:rsidRPr="0092602C" w:rsidP="00707AE7" w14:paraId="62D5C5B7" w14:textId="77777777">
      <w:pPr>
        <w:pStyle w:val="ListParagraph"/>
        <w:spacing w:after="0"/>
        <w:ind w:left="1440"/>
        <w:rPr>
          <w:rFonts w:ascii="Times New Roman" w:hAnsi="Times New Roman" w:eastAsiaTheme="minorHAnsi"/>
          <w:color w:val="000000"/>
          <w:szCs w:val="24"/>
        </w:rPr>
      </w:pPr>
    </w:p>
    <w:p w:rsidR="00321412" w:rsidRPr="00084A03" w:rsidP="00707AE7" w14:paraId="3E0EE482" w14:textId="77777777">
      <w:pPr>
        <w:numPr>
          <w:ilvl w:val="0"/>
          <w:numId w:val="2"/>
        </w:numPr>
        <w:spacing w:after="0"/>
        <w:ind w:left="1440" w:hanging="720"/>
        <w:rPr>
          <w:b/>
          <w:szCs w:val="24"/>
        </w:rPr>
      </w:pPr>
      <w:r w:rsidRPr="00BC7F42">
        <w:rPr>
          <w:rFonts w:ascii="Times New Roman" w:hAnsi="Times New Roman"/>
          <w:b/>
        </w:rPr>
        <w:t xml:space="preserve">Program Changes or Adjustments to the Information Collection </w:t>
      </w:r>
      <w:r>
        <w:rPr>
          <w:rFonts w:ascii="Times New Roman" w:hAnsi="Times New Roman"/>
          <w:b/>
        </w:rPr>
        <w:t>Request</w:t>
      </w:r>
    </w:p>
    <w:p w:rsidR="00756955" w:rsidRPr="00622831" w14:paraId="5C611FB3" w14:textId="00C389A0">
      <w:pPr>
        <w:spacing w:after="0"/>
        <w:ind w:left="1440"/>
        <w:rPr>
          <w:rFonts w:ascii="Times New Roman" w:hAnsi="Times New Roman"/>
        </w:rPr>
      </w:pPr>
      <w:r w:rsidRPr="00622831">
        <w:rPr>
          <w:rFonts w:ascii="Times New Roman" w:hAnsi="Times New Roman"/>
        </w:rPr>
        <w:t xml:space="preserve">When we last cleared this </w:t>
      </w:r>
      <w:r w:rsidRPr="00622831" w:rsidR="0097277C">
        <w:rPr>
          <w:rFonts w:ascii="Times New Roman" w:hAnsi="Times New Roman"/>
        </w:rPr>
        <w:t>IC</w:t>
      </w:r>
      <w:r w:rsidRPr="00622831">
        <w:rPr>
          <w:rFonts w:ascii="Times New Roman" w:hAnsi="Times New Roman"/>
        </w:rPr>
        <w:t xml:space="preserve"> in </w:t>
      </w:r>
      <w:r w:rsidRPr="008C0301" w:rsidR="002C6CF0">
        <w:rPr>
          <w:rFonts w:ascii="Times New Roman" w:hAnsi="Times New Roman"/>
        </w:rPr>
        <w:t>2021</w:t>
      </w:r>
      <w:r w:rsidRPr="00622831">
        <w:rPr>
          <w:rFonts w:ascii="Times New Roman" w:hAnsi="Times New Roman"/>
        </w:rPr>
        <w:t xml:space="preserve">, the burden was </w:t>
      </w:r>
      <w:r w:rsidRPr="00622831" w:rsidR="00904E2E">
        <w:rPr>
          <w:rFonts w:ascii="Times New Roman" w:hAnsi="Times New Roman"/>
          <w:bCs/>
          <w:szCs w:val="24"/>
        </w:rPr>
        <w:t>2,465</w:t>
      </w:r>
      <w:r w:rsidRPr="00622831" w:rsidR="00904E2E">
        <w:rPr>
          <w:rFonts w:ascii="Times New Roman" w:hAnsi="Times New Roman"/>
          <w:b/>
          <w:szCs w:val="24"/>
        </w:rPr>
        <w:t xml:space="preserve"> </w:t>
      </w:r>
      <w:r w:rsidRPr="00622831">
        <w:rPr>
          <w:rFonts w:ascii="Times New Roman" w:hAnsi="Times New Roman"/>
        </w:rPr>
        <w:t xml:space="preserve">hours. </w:t>
      </w:r>
      <w:r w:rsidRPr="00622831" w:rsidR="003E5C93">
        <w:rPr>
          <w:rFonts w:ascii="Times New Roman" w:hAnsi="Times New Roman"/>
        </w:rPr>
        <w:t xml:space="preserve"> </w:t>
      </w:r>
      <w:r w:rsidRPr="00622831">
        <w:rPr>
          <w:rFonts w:ascii="Times New Roman" w:hAnsi="Times New Roman"/>
        </w:rPr>
        <w:t xml:space="preserve">However, we are currently reporting a burden of </w:t>
      </w:r>
      <w:r>
        <w:rPr>
          <w:rFonts w:ascii="Times New Roman" w:hAnsi="Times New Roman"/>
        </w:rPr>
        <w:t>1,041</w:t>
      </w:r>
      <w:r w:rsidRPr="00622831">
        <w:rPr>
          <w:rFonts w:ascii="Times New Roman" w:hAnsi="Times New Roman"/>
        </w:rPr>
        <w:t xml:space="preserve"> </w:t>
      </w:r>
      <w:r w:rsidRPr="00622831">
        <w:rPr>
          <w:rFonts w:ascii="Times New Roman" w:hAnsi="Times New Roman"/>
        </w:rPr>
        <w:t xml:space="preserve">hours. </w:t>
      </w:r>
      <w:r w:rsidRPr="00622831" w:rsidR="003E5C93">
        <w:rPr>
          <w:rFonts w:ascii="Times New Roman" w:hAnsi="Times New Roman"/>
        </w:rPr>
        <w:t xml:space="preserve"> </w:t>
      </w:r>
      <w:r w:rsidRPr="00622831">
        <w:rPr>
          <w:rFonts w:ascii="Times New Roman" w:hAnsi="Times New Roman"/>
        </w:rPr>
        <w:t xml:space="preserve">This change </w:t>
      </w:r>
      <w:r w:rsidR="00B872B7">
        <w:rPr>
          <w:rFonts w:ascii="Times New Roman" w:hAnsi="Times New Roman"/>
        </w:rPr>
        <w:t xml:space="preserve">mainly stems from </w:t>
      </w:r>
      <w:r w:rsidR="001C216E">
        <w:rPr>
          <w:rFonts w:ascii="Times New Roman" w:hAnsi="Times New Roman"/>
        </w:rPr>
        <w:t>a decrease in respondents using form SSA-308.</w:t>
      </w:r>
      <w:r w:rsidRPr="00622831">
        <w:rPr>
          <w:rFonts w:ascii="Times New Roman" w:hAnsi="Times New Roman"/>
        </w:rPr>
        <w:t xml:space="preserve">  </w:t>
      </w:r>
      <w:r w:rsidR="001C216E">
        <w:rPr>
          <w:rFonts w:ascii="Times New Roman" w:hAnsi="Times New Roman"/>
        </w:rPr>
        <w:t>W</w:t>
      </w:r>
      <w:r w:rsidRPr="008C0301" w:rsidR="00207ACA">
        <w:rPr>
          <w:rFonts w:ascii="Times New Roman" w:hAnsi="Times New Roman"/>
        </w:rPr>
        <w:t xml:space="preserve">e anticipate a </w:t>
      </w:r>
      <w:r w:rsidR="00B872B7">
        <w:rPr>
          <w:rFonts w:ascii="Times New Roman" w:hAnsi="Times New Roman"/>
        </w:rPr>
        <w:t xml:space="preserve">drastic </w:t>
      </w:r>
      <w:r w:rsidRPr="008C0301" w:rsidR="00207ACA">
        <w:rPr>
          <w:rFonts w:ascii="Times New Roman" w:hAnsi="Times New Roman"/>
        </w:rPr>
        <w:t xml:space="preserve">decline in the number of responses </w:t>
      </w:r>
      <w:r w:rsidR="00B872B7">
        <w:rPr>
          <w:rFonts w:ascii="Times New Roman" w:hAnsi="Times New Roman"/>
        </w:rPr>
        <w:t xml:space="preserve">to this form going forward </w:t>
      </w:r>
      <w:r w:rsidRPr="008C0301" w:rsidR="00207ACA">
        <w:rPr>
          <w:rFonts w:ascii="Times New Roman" w:hAnsi="Times New Roman"/>
        </w:rPr>
        <w:t xml:space="preserve">due to the implementation of the </w:t>
      </w:r>
      <w:r w:rsidRPr="008C0301" w:rsidR="00500732">
        <w:rPr>
          <w:rFonts w:ascii="Times New Roman" w:hAnsi="Times New Roman"/>
        </w:rPr>
        <w:t>SSFA.</w:t>
      </w:r>
      <w:r w:rsidRPr="008C0301" w:rsidR="00A77FDA">
        <w:rPr>
          <w:rFonts w:ascii="Times New Roman" w:hAnsi="Times New Roman"/>
        </w:rPr>
        <w:t xml:space="preserve">  </w:t>
      </w:r>
      <w:r w:rsidRPr="008C0301" w:rsidR="001C0A92">
        <w:rPr>
          <w:rFonts w:ascii="Times New Roman" w:hAnsi="Times New Roman"/>
        </w:rPr>
        <w:t xml:space="preserve">Since we are no longer collecting WEP data </w:t>
      </w:r>
      <w:r w:rsidRPr="008C0301" w:rsidR="00646506">
        <w:rPr>
          <w:rFonts w:ascii="Times New Roman" w:hAnsi="Times New Roman"/>
        </w:rPr>
        <w:t xml:space="preserve">for initial awards payable beginning January 2024, </w:t>
      </w:r>
      <w:r w:rsidRPr="008C0301" w:rsidR="002A373E">
        <w:rPr>
          <w:rFonts w:ascii="Times New Roman" w:hAnsi="Times New Roman"/>
        </w:rPr>
        <w:t>the collection of this data will soon be obsolete.</w:t>
      </w:r>
    </w:p>
    <w:p w:rsidR="00970A05" w:rsidRPr="00622831" w14:paraId="1509F304" w14:textId="77777777">
      <w:pPr>
        <w:spacing w:after="0"/>
        <w:ind w:left="1440"/>
        <w:rPr>
          <w:rFonts w:ascii="Times New Roman" w:hAnsi="Times New Roman"/>
        </w:rPr>
      </w:pPr>
    </w:p>
    <w:p w:rsidR="00970A05" w14:paraId="39BCA3E4" w14:textId="6CC8D4B9">
      <w:pPr>
        <w:spacing w:after="0"/>
        <w:ind w:left="1440"/>
        <w:rPr>
          <w:rFonts w:ascii="Times New Roman" w:hAnsi="Times New Roman"/>
        </w:rPr>
      </w:pPr>
      <w:r w:rsidRPr="00622831">
        <w:rPr>
          <w:rFonts w:ascii="Times New Roman" w:hAnsi="Times New Roman"/>
        </w:rPr>
        <w:t xml:space="preserve">Note: </w:t>
      </w:r>
      <w:r w:rsidRPr="00622831" w:rsidR="00611BFE">
        <w:rPr>
          <w:rFonts w:ascii="Times New Roman" w:hAnsi="Times New Roman"/>
        </w:rPr>
        <w:t xml:space="preserve"> </w:t>
      </w:r>
      <w:r w:rsidRPr="00622831">
        <w:rPr>
          <w:rFonts w:ascii="Times New Roman" w:hAnsi="Times New Roman"/>
        </w:rPr>
        <w:t xml:space="preserve">The total burden reflected in ROCIS is </w:t>
      </w:r>
      <w:r w:rsidR="00F646A3">
        <w:rPr>
          <w:rFonts w:ascii="Times New Roman" w:hAnsi="Times New Roman"/>
          <w:b/>
          <w:bCs/>
        </w:rPr>
        <w:t>1,561</w:t>
      </w:r>
      <w:r w:rsidRPr="00622831">
        <w:rPr>
          <w:rFonts w:ascii="Times New Roman" w:hAnsi="Times New Roman"/>
        </w:rPr>
        <w:t xml:space="preserve">, while the burden cited in #12 of the Supporting Statement is </w:t>
      </w:r>
      <w:r w:rsidR="00F646A3">
        <w:rPr>
          <w:rFonts w:ascii="Times New Roman" w:eastAsia="SimSun" w:hAnsi="Times New Roman"/>
          <w:b/>
          <w:bCs/>
          <w:szCs w:val="24"/>
          <w:lang w:eastAsia="ar-SA"/>
        </w:rPr>
        <w:t>1,041</w:t>
      </w:r>
      <w:r w:rsidRPr="00622831">
        <w:rPr>
          <w:rFonts w:ascii="Times New Roman" w:hAnsi="Times New Roman"/>
        </w:rPr>
        <w:t xml:space="preserve">.  This discrepancy is because the ROCIS burden reflects the </w:t>
      </w:r>
      <w:r w:rsidRPr="00622831" w:rsidR="006230AA">
        <w:rPr>
          <w:rFonts w:ascii="Times New Roman" w:hAnsi="Times New Roman"/>
        </w:rPr>
        <w:t>learning costs</w:t>
      </w:r>
      <w:r w:rsidRPr="00622831">
        <w:rPr>
          <w:rFonts w:ascii="Times New Roman" w:hAnsi="Times New Roman"/>
        </w:rPr>
        <w:t>.  In contrast, the chart in #12 of the Supporting Statement reflects actual burden.</w:t>
      </w:r>
    </w:p>
    <w:p w:rsidR="00EF7813" w14:paraId="14E82797" w14:textId="77777777">
      <w:pPr>
        <w:spacing w:after="0"/>
        <w:ind w:left="1440"/>
        <w:rPr>
          <w:rFonts w:ascii="Times New Roman" w:hAnsi="Times New Roman"/>
        </w:rPr>
      </w:pPr>
    </w:p>
    <w:p w:rsidR="00321412" w:rsidRPr="00536188" w:rsidP="009D6066" w14:paraId="7258BB76" w14:textId="77777777">
      <w:pPr>
        <w:numPr>
          <w:ilvl w:val="0"/>
          <w:numId w:val="2"/>
        </w:numPr>
        <w:spacing w:after="0"/>
        <w:ind w:left="1440" w:hanging="720"/>
        <w:rPr>
          <w:rFonts w:ascii="Times New Roman" w:hAnsi="Times New Roman"/>
          <w:b/>
          <w:szCs w:val="24"/>
        </w:rPr>
      </w:pPr>
      <w:r w:rsidRPr="00536188">
        <w:rPr>
          <w:rFonts w:ascii="Times New Roman" w:hAnsi="Times New Roman"/>
          <w:b/>
        </w:rPr>
        <w:t>Plans for Publication Information Collection Results</w:t>
      </w:r>
    </w:p>
    <w:p w:rsidR="00536188" w:rsidP="009D6066" w14:paraId="511C826C" w14:textId="77777777">
      <w:pPr>
        <w:spacing w:after="0"/>
        <w:ind w:left="1440"/>
        <w:rPr>
          <w:rFonts w:ascii="Times New Roman" w:hAnsi="Times New Roman"/>
          <w:bCs/>
          <w:iCs/>
        </w:rPr>
      </w:pPr>
      <w:r w:rsidRPr="00536188">
        <w:rPr>
          <w:rFonts w:ascii="Times New Roman" w:hAnsi="Times New Roman"/>
          <w:bCs/>
          <w:iCs/>
        </w:rPr>
        <w:t>SSA will not publish the results of the information collection.</w:t>
      </w:r>
    </w:p>
    <w:p w:rsidR="009747D4" w:rsidRPr="00536188" w:rsidP="009D6066" w14:paraId="06FA9834" w14:textId="77777777">
      <w:pPr>
        <w:spacing w:after="0"/>
        <w:ind w:left="1440"/>
        <w:rPr>
          <w:rFonts w:ascii="Times New Roman" w:hAnsi="Times New Roman"/>
          <w:bCs/>
          <w:iCs/>
        </w:rPr>
      </w:pPr>
    </w:p>
    <w:p w:rsidR="00536188" w:rsidRPr="00536188" w:rsidP="009D6066" w14:paraId="4DC43A15" w14:textId="77777777">
      <w:pPr>
        <w:spacing w:after="0"/>
        <w:ind w:left="1440"/>
        <w:rPr>
          <w:rFonts w:ascii="Times New Roman" w:hAnsi="Times New Roman"/>
          <w:b/>
          <w:szCs w:val="24"/>
        </w:rPr>
      </w:pPr>
    </w:p>
    <w:p w:rsidR="00321412" w:rsidRPr="00536188" w:rsidP="009D6066" w14:paraId="7BF51117" w14:textId="77777777">
      <w:pPr>
        <w:numPr>
          <w:ilvl w:val="0"/>
          <w:numId w:val="2"/>
        </w:numPr>
        <w:spacing w:after="0"/>
        <w:ind w:left="1440" w:hanging="720"/>
        <w:rPr>
          <w:b/>
          <w:szCs w:val="24"/>
        </w:rPr>
      </w:pPr>
      <w:r>
        <w:rPr>
          <w:rFonts w:ascii="Times New Roman" w:hAnsi="Times New Roman"/>
          <w:b/>
        </w:rPr>
        <w:t>Displaying t</w:t>
      </w:r>
      <w:r>
        <w:rPr>
          <w:rFonts w:ascii="Times New Roman" w:hAnsi="Times New Roman"/>
          <w:b/>
        </w:rPr>
        <w:t>he OMB Approval Expiration Date</w:t>
      </w:r>
    </w:p>
    <w:p w:rsidR="006819D3" w:rsidP="009D6066" w14:paraId="598DCA9A" w14:textId="0A296F28">
      <w:pPr>
        <w:spacing w:after="0"/>
        <w:ind w:left="1440"/>
      </w:pPr>
      <w:r>
        <w:rPr>
          <w:rFonts w:ascii="Times New Roman" w:hAnsi="Times New Roman"/>
          <w:bCs/>
          <w:iCs/>
        </w:rPr>
        <w:t xml:space="preserve">For the paper form SSA-308, we will not publish the OMB approval expiration date.  </w:t>
      </w:r>
      <w:r w:rsidRPr="00536188" w:rsidR="00536188">
        <w:rPr>
          <w:rFonts w:ascii="Times New Roman" w:hAnsi="Times New Roman"/>
          <w:bCs/>
          <w:iCs/>
        </w:rPr>
        <w:t>OMB granted SSA an exemption from the requirement to print the OMB expiration date on its program forms</w:t>
      </w:r>
      <w:r w:rsidRPr="00536188" w:rsidR="00952294">
        <w:rPr>
          <w:rFonts w:ascii="Times New Roman" w:hAnsi="Times New Roman"/>
          <w:bCs/>
          <w:iCs/>
        </w:rPr>
        <w:t xml:space="preserve">.  </w:t>
      </w:r>
      <w:r w:rsidRPr="00536188" w:rsidR="00536188">
        <w:rPr>
          <w:rFonts w:ascii="Times New Roman" w:hAnsi="Times New Roman"/>
          <w:bCs/>
          <w:iCs/>
        </w:rPr>
        <w:t>SSA produces millions of public-use forms with life cycles exceeding those of an OMB approval</w:t>
      </w:r>
      <w:r w:rsidRPr="00536188" w:rsidR="00952294">
        <w:rPr>
          <w:rFonts w:ascii="Times New Roman" w:hAnsi="Times New Roman"/>
          <w:bCs/>
          <w:iCs/>
        </w:rPr>
        <w:t xml:space="preserve">.  </w:t>
      </w:r>
      <w:r w:rsidRPr="00536188" w:rsidR="00536188">
        <w:rPr>
          <w:rFonts w:ascii="Times New Roman" w:hAnsi="Times New Roman"/>
          <w:bCs/>
          <w:iCs/>
        </w:rPr>
        <w:t>Since SSA does not periodically revise and reprint its public-use forms (e.g., on an annual basis), OMB granted this exemption so SSA would not have to destroy stocks of otherwise useable forms with expired OMB approval dates, avoiding Government waste.</w:t>
      </w:r>
      <w:r w:rsidRPr="006819D3">
        <w:t xml:space="preserve"> </w:t>
      </w:r>
    </w:p>
    <w:p w:rsidR="006819D3" w:rsidP="009D6066" w14:paraId="47B66741" w14:textId="77777777">
      <w:pPr>
        <w:spacing w:after="0"/>
        <w:ind w:left="1440"/>
      </w:pPr>
    </w:p>
    <w:p w:rsidR="00EF7813" w:rsidRPr="00536188" w:rsidP="003B5EBE" w14:paraId="65910EB6" w14:textId="77777777">
      <w:pPr>
        <w:spacing w:after="0"/>
        <w:rPr>
          <w:rFonts w:ascii="Times New Roman" w:hAnsi="Times New Roman"/>
          <w:b/>
          <w:szCs w:val="24"/>
        </w:rPr>
      </w:pPr>
    </w:p>
    <w:p w:rsidR="00321412" w:rsidRPr="00536188" w:rsidP="009D6066" w14:paraId="08EE42C6" w14:textId="77777777">
      <w:pPr>
        <w:numPr>
          <w:ilvl w:val="0"/>
          <w:numId w:val="2"/>
        </w:numPr>
        <w:spacing w:after="0"/>
        <w:ind w:left="1440" w:hanging="720"/>
        <w:rPr>
          <w:b/>
          <w:szCs w:val="24"/>
        </w:rPr>
      </w:pPr>
      <w:r w:rsidRPr="00BC7F42">
        <w:rPr>
          <w:rFonts w:ascii="Times New Roman" w:hAnsi="Times New Roman"/>
          <w:b/>
        </w:rPr>
        <w:t>Exceptions to Certification Statement</w:t>
      </w:r>
    </w:p>
    <w:p w:rsidR="00536188" w:rsidRPr="00536188" w:rsidP="009D6066" w14:paraId="37845390" w14:textId="77777777">
      <w:pPr>
        <w:spacing w:after="0"/>
        <w:ind w:left="1440"/>
        <w:rPr>
          <w:szCs w:val="24"/>
        </w:rPr>
      </w:pPr>
      <w:r w:rsidRPr="00536188">
        <w:rPr>
          <w:rFonts w:ascii="Times New Roman" w:hAnsi="Times New Roman"/>
        </w:rPr>
        <w:t xml:space="preserve">SSA is not requesting an exception to the certification requirements at </w:t>
      </w:r>
      <w:r w:rsidRPr="00536188">
        <w:rPr>
          <w:rFonts w:ascii="Times New Roman" w:hAnsi="Times New Roman"/>
          <w:i/>
        </w:rPr>
        <w:t>5 CFR</w:t>
      </w:r>
      <w:r w:rsidR="00740C55">
        <w:rPr>
          <w:rFonts w:ascii="Times New Roman" w:hAnsi="Times New Roman"/>
          <w:i/>
        </w:rPr>
        <w:t> </w:t>
      </w:r>
      <w:r w:rsidRPr="00536188">
        <w:rPr>
          <w:rFonts w:ascii="Times New Roman" w:hAnsi="Times New Roman"/>
          <w:i/>
        </w:rPr>
        <w:t>1320.9</w:t>
      </w:r>
      <w:r w:rsidRPr="00536188">
        <w:rPr>
          <w:rFonts w:ascii="Times New Roman" w:hAnsi="Times New Roman"/>
        </w:rPr>
        <w:t xml:space="preserve"> and related provisions at </w:t>
      </w:r>
      <w:r w:rsidRPr="00536188">
        <w:rPr>
          <w:rFonts w:ascii="Times New Roman" w:hAnsi="Times New Roman"/>
          <w:i/>
        </w:rPr>
        <w:t>5 CFR 1320.8(b)(3)</w:t>
      </w:r>
      <w:r w:rsidRPr="00536188">
        <w:rPr>
          <w:rFonts w:ascii="Times New Roman" w:hAnsi="Times New Roman"/>
        </w:rPr>
        <w:t>.</w:t>
      </w:r>
    </w:p>
    <w:p w:rsidR="00321412" w:rsidRPr="00321412" w:rsidP="00321412" w14:paraId="6A86868A" w14:textId="77777777">
      <w:pPr>
        <w:spacing w:after="0"/>
        <w:ind w:left="360"/>
        <w:rPr>
          <w:b/>
          <w:szCs w:val="24"/>
        </w:rPr>
      </w:pPr>
    </w:p>
    <w:p w:rsidR="00321412" w:rsidRPr="00536188" w:rsidP="009D6066" w14:paraId="45E4440F" w14:textId="77777777">
      <w:pPr>
        <w:numPr>
          <w:ilvl w:val="0"/>
          <w:numId w:val="1"/>
        </w:numPr>
        <w:spacing w:after="0"/>
        <w:ind w:left="720" w:hanging="540"/>
        <w:rPr>
          <w:b/>
          <w:szCs w:val="24"/>
        </w:rPr>
      </w:pP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536188" w:rsidP="00536188" w14:paraId="6113CAD0" w14:textId="77777777">
      <w:pPr>
        <w:spacing w:after="0"/>
        <w:ind w:left="720"/>
        <w:rPr>
          <w:rFonts w:ascii="Times New Roman" w:hAnsi="Times New Roman"/>
          <w:b/>
          <w:u w:val="single"/>
        </w:rPr>
      </w:pPr>
    </w:p>
    <w:p w:rsidR="00536188" w:rsidRPr="00536188" w:rsidP="009D6066" w14:paraId="4F5885D2" w14:textId="77777777">
      <w:pPr>
        <w:spacing w:after="0"/>
        <w:ind w:left="1440"/>
        <w:rPr>
          <w:szCs w:val="24"/>
        </w:rPr>
      </w:pPr>
      <w:r w:rsidRPr="00536188">
        <w:rPr>
          <w:rFonts w:ascii="Times New Roman" w:hAnsi="Times New Roman"/>
        </w:rPr>
        <w:t>SSA does not use statistical methods for this information collection</w:t>
      </w:r>
      <w:r>
        <w:rPr>
          <w:rFonts w:ascii="Times New Roman" w:hAnsi="Times New Roman"/>
        </w:rPr>
        <w:t>.</w:t>
      </w:r>
    </w:p>
    <w:sectPr w:rsidSect="004E4E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1FE2675C"/>
    <w:multiLevelType w:val="hybridMultilevel"/>
    <w:tmpl w:val="F80C8A9E"/>
    <w:lvl w:ilvl="0">
      <w:start w:val="1"/>
      <w:numFmt w:val="decimal"/>
      <w:lvlText w:val="%1."/>
      <w:lvlJc w:val="left"/>
      <w:pPr>
        <w:ind w:left="810" w:hanging="360"/>
      </w:pPr>
      <w:rPr>
        <w:rFonts w:ascii="Times New Roman" w:hAnsi="Times New Roman" w:cs="Times New Roman" w:hint="default"/>
        <w:b/>
      </w:rPr>
    </w:lvl>
    <w:lvl w:ilvl="1">
      <w:start w:val="1"/>
      <w:numFmt w:val="lowerLetter"/>
      <w:lvlText w:val="%2."/>
      <w:lvlJc w:val="lef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tentative="1">
      <w:start w:val="1"/>
      <w:numFmt w:val="lowerLetter"/>
      <w:lvlText w:val="%5."/>
      <w:lvlJc w:val="left"/>
      <w:pPr>
        <w:ind w:left="2700" w:hanging="360"/>
      </w:pPr>
    </w:lvl>
    <w:lvl w:ilvl="5" w:tentative="1">
      <w:start w:val="1"/>
      <w:numFmt w:val="lowerRoman"/>
      <w:lvlText w:val="%6."/>
      <w:lvlJc w:val="right"/>
      <w:pPr>
        <w:ind w:left="3420" w:hanging="180"/>
      </w:pPr>
    </w:lvl>
    <w:lvl w:ilvl="6" w:tentative="1">
      <w:start w:val="1"/>
      <w:numFmt w:val="decimal"/>
      <w:lvlText w:val="%7."/>
      <w:lvlJc w:val="left"/>
      <w:pPr>
        <w:ind w:left="4140" w:hanging="360"/>
      </w:pPr>
    </w:lvl>
    <w:lvl w:ilvl="7" w:tentative="1">
      <w:start w:val="1"/>
      <w:numFmt w:val="lowerLetter"/>
      <w:lvlText w:val="%8."/>
      <w:lvlJc w:val="left"/>
      <w:pPr>
        <w:ind w:left="4860" w:hanging="360"/>
      </w:pPr>
    </w:lvl>
    <w:lvl w:ilvl="8" w:tentative="1">
      <w:start w:val="1"/>
      <w:numFmt w:val="lowerRoman"/>
      <w:lvlText w:val="%9."/>
      <w:lvlJc w:val="right"/>
      <w:pPr>
        <w:ind w:left="5580" w:hanging="180"/>
      </w:pPr>
    </w:lvl>
  </w:abstractNum>
  <w:abstractNum w:abstractNumId="1">
    <w:nsid w:val="36B16B70"/>
    <w:multiLevelType w:val="multilevel"/>
    <w:tmpl w:val="01CC53DA"/>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2">
    <w:nsid w:val="40C33D13"/>
    <w:multiLevelType w:val="hybridMultilevel"/>
    <w:tmpl w:val="6D9438D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43265221"/>
    <w:multiLevelType w:val="hybridMultilevel"/>
    <w:tmpl w:val="544C726E"/>
    <w:lvl w:ilvl="0">
      <w:start w:val="1"/>
      <w:numFmt w:val="upperLetter"/>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70DC0082"/>
    <w:multiLevelType w:val="hybridMultilevel"/>
    <w:tmpl w:val="00F0674E"/>
    <w:lvl w:ilvl="0">
      <w:start w:val="0"/>
      <w:numFmt w:val="bullet"/>
      <w:lvlText w:val="-"/>
      <w:lvlJc w:val="left"/>
      <w:pPr>
        <w:ind w:left="1080" w:hanging="360"/>
      </w:pPr>
      <w:rPr>
        <w:rFonts w:ascii="Times New Roman" w:eastAsia="Aptos"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039545376">
    <w:abstractNumId w:val="3"/>
  </w:num>
  <w:num w:numId="2" w16cid:durableId="1821457023">
    <w:abstractNumId w:val="0"/>
  </w:num>
  <w:num w:numId="3" w16cid:durableId="949700437">
    <w:abstractNumId w:val="2"/>
  </w:num>
  <w:num w:numId="4" w16cid:durableId="170339395">
    <w:abstractNumId w:val="1"/>
  </w:num>
  <w:num w:numId="5" w16cid:durableId="192788513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Naomi Sipple">
    <w15:presenceInfo w15:providerId="None" w15:userId="Naomi Sipple"/>
  </w15:person>
  <w15:person w15:author=" SSA Response">
    <w15:presenceInfo w15:providerId="None" w15:userId=" SSA Respon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412"/>
    <w:rsid w:val="00011110"/>
    <w:rsid w:val="0002068B"/>
    <w:rsid w:val="000217B0"/>
    <w:rsid w:val="0002193D"/>
    <w:rsid w:val="00021A2E"/>
    <w:rsid w:val="00021ABB"/>
    <w:rsid w:val="00021CA7"/>
    <w:rsid w:val="000320B8"/>
    <w:rsid w:val="0003254A"/>
    <w:rsid w:val="00032664"/>
    <w:rsid w:val="00041401"/>
    <w:rsid w:val="00043F8C"/>
    <w:rsid w:val="000507CF"/>
    <w:rsid w:val="0005535F"/>
    <w:rsid w:val="00065DD2"/>
    <w:rsid w:val="0006689A"/>
    <w:rsid w:val="000753F6"/>
    <w:rsid w:val="00077919"/>
    <w:rsid w:val="0008119F"/>
    <w:rsid w:val="00083C83"/>
    <w:rsid w:val="00084A03"/>
    <w:rsid w:val="00085416"/>
    <w:rsid w:val="00085C57"/>
    <w:rsid w:val="00086157"/>
    <w:rsid w:val="000865F9"/>
    <w:rsid w:val="00091C2F"/>
    <w:rsid w:val="00092569"/>
    <w:rsid w:val="000A01CD"/>
    <w:rsid w:val="000A3F78"/>
    <w:rsid w:val="000C79E3"/>
    <w:rsid w:val="000D3D8E"/>
    <w:rsid w:val="000E5762"/>
    <w:rsid w:val="000E7FB0"/>
    <w:rsid w:val="000F0CFF"/>
    <w:rsid w:val="000F593B"/>
    <w:rsid w:val="0010064A"/>
    <w:rsid w:val="00100A78"/>
    <w:rsid w:val="00102034"/>
    <w:rsid w:val="0010524E"/>
    <w:rsid w:val="00106A56"/>
    <w:rsid w:val="00110226"/>
    <w:rsid w:val="001113B5"/>
    <w:rsid w:val="00121E75"/>
    <w:rsid w:val="001410BE"/>
    <w:rsid w:val="001442ED"/>
    <w:rsid w:val="001456A6"/>
    <w:rsid w:val="00146F85"/>
    <w:rsid w:val="00154820"/>
    <w:rsid w:val="001552E4"/>
    <w:rsid w:val="001605EB"/>
    <w:rsid w:val="0016390E"/>
    <w:rsid w:val="00166288"/>
    <w:rsid w:val="0017205D"/>
    <w:rsid w:val="00181D38"/>
    <w:rsid w:val="00184F5A"/>
    <w:rsid w:val="0018516A"/>
    <w:rsid w:val="00185946"/>
    <w:rsid w:val="001866D6"/>
    <w:rsid w:val="00186899"/>
    <w:rsid w:val="001914F4"/>
    <w:rsid w:val="0019177F"/>
    <w:rsid w:val="00194116"/>
    <w:rsid w:val="001A349F"/>
    <w:rsid w:val="001B4595"/>
    <w:rsid w:val="001C0990"/>
    <w:rsid w:val="001C0A92"/>
    <w:rsid w:val="001C1334"/>
    <w:rsid w:val="001C216E"/>
    <w:rsid w:val="001C3D2F"/>
    <w:rsid w:val="001C431F"/>
    <w:rsid w:val="001C4779"/>
    <w:rsid w:val="001C4DB4"/>
    <w:rsid w:val="001C53E2"/>
    <w:rsid w:val="001D0E83"/>
    <w:rsid w:val="001F23C8"/>
    <w:rsid w:val="001F3EE2"/>
    <w:rsid w:val="001F49E4"/>
    <w:rsid w:val="00204D03"/>
    <w:rsid w:val="00205FAE"/>
    <w:rsid w:val="00207ACA"/>
    <w:rsid w:val="00210F68"/>
    <w:rsid w:val="002146BF"/>
    <w:rsid w:val="0022261B"/>
    <w:rsid w:val="00222B72"/>
    <w:rsid w:val="002252AE"/>
    <w:rsid w:val="00225832"/>
    <w:rsid w:val="002276DC"/>
    <w:rsid w:val="002361C9"/>
    <w:rsid w:val="0024046C"/>
    <w:rsid w:val="002520A0"/>
    <w:rsid w:val="00263641"/>
    <w:rsid w:val="00264274"/>
    <w:rsid w:val="00264ED9"/>
    <w:rsid w:val="002713F4"/>
    <w:rsid w:val="002728F9"/>
    <w:rsid w:val="00273911"/>
    <w:rsid w:val="00275EB1"/>
    <w:rsid w:val="002767B1"/>
    <w:rsid w:val="00276BEC"/>
    <w:rsid w:val="0028190D"/>
    <w:rsid w:val="00283813"/>
    <w:rsid w:val="002875E9"/>
    <w:rsid w:val="00294E7E"/>
    <w:rsid w:val="00295BB1"/>
    <w:rsid w:val="00297BD6"/>
    <w:rsid w:val="002A0E91"/>
    <w:rsid w:val="002A2B18"/>
    <w:rsid w:val="002A373E"/>
    <w:rsid w:val="002A393B"/>
    <w:rsid w:val="002C2108"/>
    <w:rsid w:val="002C6CF0"/>
    <w:rsid w:val="002D22FB"/>
    <w:rsid w:val="002D4EA6"/>
    <w:rsid w:val="002D59E9"/>
    <w:rsid w:val="002E3F2D"/>
    <w:rsid w:val="002F7AD4"/>
    <w:rsid w:val="003001E4"/>
    <w:rsid w:val="003139FF"/>
    <w:rsid w:val="00315B65"/>
    <w:rsid w:val="00321412"/>
    <w:rsid w:val="0032609C"/>
    <w:rsid w:val="00326371"/>
    <w:rsid w:val="00327E2C"/>
    <w:rsid w:val="003338AB"/>
    <w:rsid w:val="00333C86"/>
    <w:rsid w:val="003354BA"/>
    <w:rsid w:val="0034109B"/>
    <w:rsid w:val="00350C81"/>
    <w:rsid w:val="00352B2D"/>
    <w:rsid w:val="003543E0"/>
    <w:rsid w:val="0035556B"/>
    <w:rsid w:val="00361592"/>
    <w:rsid w:val="003616E4"/>
    <w:rsid w:val="00363A35"/>
    <w:rsid w:val="00377A70"/>
    <w:rsid w:val="00386D70"/>
    <w:rsid w:val="00390D55"/>
    <w:rsid w:val="00393C7C"/>
    <w:rsid w:val="00394C5F"/>
    <w:rsid w:val="003955D6"/>
    <w:rsid w:val="003A0C5E"/>
    <w:rsid w:val="003A28ED"/>
    <w:rsid w:val="003A4930"/>
    <w:rsid w:val="003A5828"/>
    <w:rsid w:val="003A5AC7"/>
    <w:rsid w:val="003A7508"/>
    <w:rsid w:val="003B05FA"/>
    <w:rsid w:val="003B2241"/>
    <w:rsid w:val="003B5EBE"/>
    <w:rsid w:val="003C3D54"/>
    <w:rsid w:val="003C74CD"/>
    <w:rsid w:val="003D020E"/>
    <w:rsid w:val="003D3F87"/>
    <w:rsid w:val="003E00D3"/>
    <w:rsid w:val="003E4A3F"/>
    <w:rsid w:val="003E4ED9"/>
    <w:rsid w:val="003E59C8"/>
    <w:rsid w:val="003E5C93"/>
    <w:rsid w:val="003E67C1"/>
    <w:rsid w:val="003E7AA5"/>
    <w:rsid w:val="003F0553"/>
    <w:rsid w:val="003F49AE"/>
    <w:rsid w:val="004004FE"/>
    <w:rsid w:val="0041131C"/>
    <w:rsid w:val="00414201"/>
    <w:rsid w:val="00415B39"/>
    <w:rsid w:val="00416508"/>
    <w:rsid w:val="00416759"/>
    <w:rsid w:val="00416AB1"/>
    <w:rsid w:val="00420A20"/>
    <w:rsid w:val="00427CA3"/>
    <w:rsid w:val="00431F62"/>
    <w:rsid w:val="00436321"/>
    <w:rsid w:val="0043687F"/>
    <w:rsid w:val="00440483"/>
    <w:rsid w:val="00440572"/>
    <w:rsid w:val="00443EEC"/>
    <w:rsid w:val="004441D8"/>
    <w:rsid w:val="00445AC6"/>
    <w:rsid w:val="00460271"/>
    <w:rsid w:val="00461250"/>
    <w:rsid w:val="00463606"/>
    <w:rsid w:val="00464406"/>
    <w:rsid w:val="004667FC"/>
    <w:rsid w:val="00471BD8"/>
    <w:rsid w:val="004831ED"/>
    <w:rsid w:val="004855D5"/>
    <w:rsid w:val="0048759C"/>
    <w:rsid w:val="00491C93"/>
    <w:rsid w:val="0049403E"/>
    <w:rsid w:val="00495A7A"/>
    <w:rsid w:val="004A32D2"/>
    <w:rsid w:val="004A5C88"/>
    <w:rsid w:val="004A6425"/>
    <w:rsid w:val="004A7A68"/>
    <w:rsid w:val="004B007F"/>
    <w:rsid w:val="004B2D23"/>
    <w:rsid w:val="004C2130"/>
    <w:rsid w:val="004C5A34"/>
    <w:rsid w:val="004D5804"/>
    <w:rsid w:val="004E0ACE"/>
    <w:rsid w:val="004E4E81"/>
    <w:rsid w:val="004F22F1"/>
    <w:rsid w:val="004F2BD0"/>
    <w:rsid w:val="004F2E20"/>
    <w:rsid w:val="00500732"/>
    <w:rsid w:val="00500876"/>
    <w:rsid w:val="00500F0E"/>
    <w:rsid w:val="00502C70"/>
    <w:rsid w:val="00504260"/>
    <w:rsid w:val="00504723"/>
    <w:rsid w:val="00512170"/>
    <w:rsid w:val="00512B8F"/>
    <w:rsid w:val="00516EFC"/>
    <w:rsid w:val="00523FE1"/>
    <w:rsid w:val="00524352"/>
    <w:rsid w:val="00524FD3"/>
    <w:rsid w:val="00535845"/>
    <w:rsid w:val="00536188"/>
    <w:rsid w:val="005431B6"/>
    <w:rsid w:val="0054395A"/>
    <w:rsid w:val="00545742"/>
    <w:rsid w:val="00553B36"/>
    <w:rsid w:val="0056135C"/>
    <w:rsid w:val="00564497"/>
    <w:rsid w:val="00570D3B"/>
    <w:rsid w:val="00572067"/>
    <w:rsid w:val="00572ABE"/>
    <w:rsid w:val="00572FDC"/>
    <w:rsid w:val="00576B14"/>
    <w:rsid w:val="00580492"/>
    <w:rsid w:val="00581AD7"/>
    <w:rsid w:val="0058295F"/>
    <w:rsid w:val="0059019F"/>
    <w:rsid w:val="005910C1"/>
    <w:rsid w:val="00592584"/>
    <w:rsid w:val="00593D07"/>
    <w:rsid w:val="00597E29"/>
    <w:rsid w:val="005A48E1"/>
    <w:rsid w:val="005A4C34"/>
    <w:rsid w:val="005A579B"/>
    <w:rsid w:val="005A6CD0"/>
    <w:rsid w:val="005A7BEA"/>
    <w:rsid w:val="005B2B8A"/>
    <w:rsid w:val="005C077B"/>
    <w:rsid w:val="005C0854"/>
    <w:rsid w:val="005C3A10"/>
    <w:rsid w:val="005C5A9E"/>
    <w:rsid w:val="005D15AC"/>
    <w:rsid w:val="005E1C16"/>
    <w:rsid w:val="005E503F"/>
    <w:rsid w:val="005F02EB"/>
    <w:rsid w:val="005F2D3C"/>
    <w:rsid w:val="00601589"/>
    <w:rsid w:val="006020F2"/>
    <w:rsid w:val="00605D69"/>
    <w:rsid w:val="00607A9D"/>
    <w:rsid w:val="00607AF5"/>
    <w:rsid w:val="00611BFE"/>
    <w:rsid w:val="00612A4F"/>
    <w:rsid w:val="00622831"/>
    <w:rsid w:val="006230AA"/>
    <w:rsid w:val="006405A9"/>
    <w:rsid w:val="00642EC5"/>
    <w:rsid w:val="00644526"/>
    <w:rsid w:val="00645C29"/>
    <w:rsid w:val="00646506"/>
    <w:rsid w:val="00647E79"/>
    <w:rsid w:val="0065130F"/>
    <w:rsid w:val="006516F6"/>
    <w:rsid w:val="00655552"/>
    <w:rsid w:val="00655C96"/>
    <w:rsid w:val="00656DC6"/>
    <w:rsid w:val="0066065E"/>
    <w:rsid w:val="00663139"/>
    <w:rsid w:val="0067356B"/>
    <w:rsid w:val="00681927"/>
    <w:rsid w:val="006819D3"/>
    <w:rsid w:val="00686576"/>
    <w:rsid w:val="0069319A"/>
    <w:rsid w:val="006A1A32"/>
    <w:rsid w:val="006A4A37"/>
    <w:rsid w:val="006A6A7C"/>
    <w:rsid w:val="006B0570"/>
    <w:rsid w:val="006B689E"/>
    <w:rsid w:val="006C36EE"/>
    <w:rsid w:val="006C40C4"/>
    <w:rsid w:val="006C69A4"/>
    <w:rsid w:val="006D0B2C"/>
    <w:rsid w:val="006E0563"/>
    <w:rsid w:val="006E0B00"/>
    <w:rsid w:val="006E2CE8"/>
    <w:rsid w:val="006E4ED0"/>
    <w:rsid w:val="006F101D"/>
    <w:rsid w:val="006F737B"/>
    <w:rsid w:val="00700F00"/>
    <w:rsid w:val="007014FE"/>
    <w:rsid w:val="007067BE"/>
    <w:rsid w:val="00707AE7"/>
    <w:rsid w:val="00710936"/>
    <w:rsid w:val="00714683"/>
    <w:rsid w:val="0071569A"/>
    <w:rsid w:val="007236FE"/>
    <w:rsid w:val="00723A0A"/>
    <w:rsid w:val="00724100"/>
    <w:rsid w:val="00724912"/>
    <w:rsid w:val="0073057D"/>
    <w:rsid w:val="0073626A"/>
    <w:rsid w:val="00736C6B"/>
    <w:rsid w:val="00740C55"/>
    <w:rsid w:val="007418BC"/>
    <w:rsid w:val="00741CD6"/>
    <w:rsid w:val="00747123"/>
    <w:rsid w:val="00756955"/>
    <w:rsid w:val="00757B34"/>
    <w:rsid w:val="00761984"/>
    <w:rsid w:val="00765ADD"/>
    <w:rsid w:val="00765BEC"/>
    <w:rsid w:val="007749D9"/>
    <w:rsid w:val="0078170A"/>
    <w:rsid w:val="007844A6"/>
    <w:rsid w:val="007852BC"/>
    <w:rsid w:val="00785BA8"/>
    <w:rsid w:val="00787710"/>
    <w:rsid w:val="00790C71"/>
    <w:rsid w:val="007912E5"/>
    <w:rsid w:val="00794025"/>
    <w:rsid w:val="00794759"/>
    <w:rsid w:val="00794ACC"/>
    <w:rsid w:val="007A0319"/>
    <w:rsid w:val="007A08AC"/>
    <w:rsid w:val="007A14B6"/>
    <w:rsid w:val="007B04E4"/>
    <w:rsid w:val="007C36BA"/>
    <w:rsid w:val="007D201A"/>
    <w:rsid w:val="007D4513"/>
    <w:rsid w:val="007D520D"/>
    <w:rsid w:val="007E4AFE"/>
    <w:rsid w:val="007E61F0"/>
    <w:rsid w:val="007E6764"/>
    <w:rsid w:val="007F0E37"/>
    <w:rsid w:val="008031B1"/>
    <w:rsid w:val="008033F9"/>
    <w:rsid w:val="008044EB"/>
    <w:rsid w:val="00806DDE"/>
    <w:rsid w:val="00825187"/>
    <w:rsid w:val="008255A6"/>
    <w:rsid w:val="00827D1E"/>
    <w:rsid w:val="008357B8"/>
    <w:rsid w:val="00844B44"/>
    <w:rsid w:val="00851C20"/>
    <w:rsid w:val="00853187"/>
    <w:rsid w:val="008531A2"/>
    <w:rsid w:val="00856E94"/>
    <w:rsid w:val="00857928"/>
    <w:rsid w:val="00863E94"/>
    <w:rsid w:val="008643B4"/>
    <w:rsid w:val="00875333"/>
    <w:rsid w:val="0088173F"/>
    <w:rsid w:val="008821F9"/>
    <w:rsid w:val="00885EDC"/>
    <w:rsid w:val="008914CD"/>
    <w:rsid w:val="008915BC"/>
    <w:rsid w:val="00894BF8"/>
    <w:rsid w:val="008A58AF"/>
    <w:rsid w:val="008B24E1"/>
    <w:rsid w:val="008B368E"/>
    <w:rsid w:val="008B3D81"/>
    <w:rsid w:val="008B6B0D"/>
    <w:rsid w:val="008C0301"/>
    <w:rsid w:val="008C24DD"/>
    <w:rsid w:val="008C2A31"/>
    <w:rsid w:val="008C3C6E"/>
    <w:rsid w:val="008C598E"/>
    <w:rsid w:val="008D40B6"/>
    <w:rsid w:val="008D5701"/>
    <w:rsid w:val="008E2E3A"/>
    <w:rsid w:val="008E4C7D"/>
    <w:rsid w:val="008E58CE"/>
    <w:rsid w:val="008E7FAC"/>
    <w:rsid w:val="008F3662"/>
    <w:rsid w:val="008F4A10"/>
    <w:rsid w:val="008F4AD0"/>
    <w:rsid w:val="00904E2E"/>
    <w:rsid w:val="009109B6"/>
    <w:rsid w:val="009145D9"/>
    <w:rsid w:val="00917490"/>
    <w:rsid w:val="00925701"/>
    <w:rsid w:val="0092602C"/>
    <w:rsid w:val="00927285"/>
    <w:rsid w:val="00943566"/>
    <w:rsid w:val="0095217F"/>
    <w:rsid w:val="00952294"/>
    <w:rsid w:val="009567BE"/>
    <w:rsid w:val="00963AA4"/>
    <w:rsid w:val="00963D4B"/>
    <w:rsid w:val="00970A05"/>
    <w:rsid w:val="0097277C"/>
    <w:rsid w:val="009747D4"/>
    <w:rsid w:val="00976552"/>
    <w:rsid w:val="009813B9"/>
    <w:rsid w:val="00981CE4"/>
    <w:rsid w:val="009830B7"/>
    <w:rsid w:val="00985658"/>
    <w:rsid w:val="00986978"/>
    <w:rsid w:val="00990E9A"/>
    <w:rsid w:val="009928DF"/>
    <w:rsid w:val="009932F6"/>
    <w:rsid w:val="0099407D"/>
    <w:rsid w:val="00997C06"/>
    <w:rsid w:val="009A0113"/>
    <w:rsid w:val="009A0561"/>
    <w:rsid w:val="009B0A01"/>
    <w:rsid w:val="009B6A8A"/>
    <w:rsid w:val="009C4E96"/>
    <w:rsid w:val="009C6985"/>
    <w:rsid w:val="009C7AF2"/>
    <w:rsid w:val="009D0AAB"/>
    <w:rsid w:val="009D268A"/>
    <w:rsid w:val="009D4761"/>
    <w:rsid w:val="009D6066"/>
    <w:rsid w:val="009D75AA"/>
    <w:rsid w:val="009E2A58"/>
    <w:rsid w:val="009E468E"/>
    <w:rsid w:val="009E7A75"/>
    <w:rsid w:val="009F0B23"/>
    <w:rsid w:val="009F144C"/>
    <w:rsid w:val="009F2800"/>
    <w:rsid w:val="009F49AF"/>
    <w:rsid w:val="009F5C3D"/>
    <w:rsid w:val="00A0758D"/>
    <w:rsid w:val="00A20386"/>
    <w:rsid w:val="00A258D9"/>
    <w:rsid w:val="00A260E2"/>
    <w:rsid w:val="00A272D1"/>
    <w:rsid w:val="00A347BB"/>
    <w:rsid w:val="00A364D9"/>
    <w:rsid w:val="00A41510"/>
    <w:rsid w:val="00A4284D"/>
    <w:rsid w:val="00A4318E"/>
    <w:rsid w:val="00A4461D"/>
    <w:rsid w:val="00A46863"/>
    <w:rsid w:val="00A47ABA"/>
    <w:rsid w:val="00A51F00"/>
    <w:rsid w:val="00A6372D"/>
    <w:rsid w:val="00A66655"/>
    <w:rsid w:val="00A73E2D"/>
    <w:rsid w:val="00A7523B"/>
    <w:rsid w:val="00A75365"/>
    <w:rsid w:val="00A77AB6"/>
    <w:rsid w:val="00A77FDA"/>
    <w:rsid w:val="00A83DBC"/>
    <w:rsid w:val="00AB2B11"/>
    <w:rsid w:val="00AB6178"/>
    <w:rsid w:val="00AC5980"/>
    <w:rsid w:val="00AC72D0"/>
    <w:rsid w:val="00AC7405"/>
    <w:rsid w:val="00AD51EB"/>
    <w:rsid w:val="00AD5F86"/>
    <w:rsid w:val="00AD68F5"/>
    <w:rsid w:val="00AE41E9"/>
    <w:rsid w:val="00AF0708"/>
    <w:rsid w:val="00AF09AB"/>
    <w:rsid w:val="00AF404D"/>
    <w:rsid w:val="00B02ACB"/>
    <w:rsid w:val="00B05053"/>
    <w:rsid w:val="00B10124"/>
    <w:rsid w:val="00B12FE8"/>
    <w:rsid w:val="00B1535D"/>
    <w:rsid w:val="00B174E0"/>
    <w:rsid w:val="00B20C61"/>
    <w:rsid w:val="00B249AD"/>
    <w:rsid w:val="00B24A5E"/>
    <w:rsid w:val="00B24DA4"/>
    <w:rsid w:val="00B271A3"/>
    <w:rsid w:val="00B30860"/>
    <w:rsid w:val="00B308E1"/>
    <w:rsid w:val="00B3123B"/>
    <w:rsid w:val="00B3688C"/>
    <w:rsid w:val="00B37055"/>
    <w:rsid w:val="00B42C35"/>
    <w:rsid w:val="00B43658"/>
    <w:rsid w:val="00B5292E"/>
    <w:rsid w:val="00B5383A"/>
    <w:rsid w:val="00B54D4F"/>
    <w:rsid w:val="00B5550A"/>
    <w:rsid w:val="00B70B0A"/>
    <w:rsid w:val="00B72DE3"/>
    <w:rsid w:val="00B74CF5"/>
    <w:rsid w:val="00B75C21"/>
    <w:rsid w:val="00B767F8"/>
    <w:rsid w:val="00B81838"/>
    <w:rsid w:val="00B81B31"/>
    <w:rsid w:val="00B8448D"/>
    <w:rsid w:val="00B872B7"/>
    <w:rsid w:val="00B90BD1"/>
    <w:rsid w:val="00B91B30"/>
    <w:rsid w:val="00B9206B"/>
    <w:rsid w:val="00B96EAF"/>
    <w:rsid w:val="00B97369"/>
    <w:rsid w:val="00BA37EA"/>
    <w:rsid w:val="00BA3975"/>
    <w:rsid w:val="00BA7606"/>
    <w:rsid w:val="00BA7E3D"/>
    <w:rsid w:val="00BC080E"/>
    <w:rsid w:val="00BC44B0"/>
    <w:rsid w:val="00BC5446"/>
    <w:rsid w:val="00BC5DFB"/>
    <w:rsid w:val="00BC78AA"/>
    <w:rsid w:val="00BC7F42"/>
    <w:rsid w:val="00BD09ED"/>
    <w:rsid w:val="00BD13AD"/>
    <w:rsid w:val="00BD3DF4"/>
    <w:rsid w:val="00BD454D"/>
    <w:rsid w:val="00BE112C"/>
    <w:rsid w:val="00BE72AE"/>
    <w:rsid w:val="00BF0671"/>
    <w:rsid w:val="00BF0A9F"/>
    <w:rsid w:val="00BF0F27"/>
    <w:rsid w:val="00BF20D7"/>
    <w:rsid w:val="00BF55D6"/>
    <w:rsid w:val="00BF6301"/>
    <w:rsid w:val="00C0287C"/>
    <w:rsid w:val="00C04869"/>
    <w:rsid w:val="00C0780F"/>
    <w:rsid w:val="00C1425A"/>
    <w:rsid w:val="00C1594C"/>
    <w:rsid w:val="00C17C28"/>
    <w:rsid w:val="00C20A10"/>
    <w:rsid w:val="00C2195D"/>
    <w:rsid w:val="00C21CB9"/>
    <w:rsid w:val="00C22F3F"/>
    <w:rsid w:val="00C239E0"/>
    <w:rsid w:val="00C3127B"/>
    <w:rsid w:val="00C336A6"/>
    <w:rsid w:val="00C3467C"/>
    <w:rsid w:val="00C42A5F"/>
    <w:rsid w:val="00C42EFD"/>
    <w:rsid w:val="00C519B6"/>
    <w:rsid w:val="00C5201F"/>
    <w:rsid w:val="00C54232"/>
    <w:rsid w:val="00C5610E"/>
    <w:rsid w:val="00C61487"/>
    <w:rsid w:val="00C665A4"/>
    <w:rsid w:val="00C67A85"/>
    <w:rsid w:val="00C67E43"/>
    <w:rsid w:val="00C709DE"/>
    <w:rsid w:val="00C75C49"/>
    <w:rsid w:val="00C83046"/>
    <w:rsid w:val="00C86696"/>
    <w:rsid w:val="00C86E24"/>
    <w:rsid w:val="00C8722F"/>
    <w:rsid w:val="00C87C54"/>
    <w:rsid w:val="00C9584E"/>
    <w:rsid w:val="00C97D85"/>
    <w:rsid w:val="00CA1B21"/>
    <w:rsid w:val="00CB4FE6"/>
    <w:rsid w:val="00CB6553"/>
    <w:rsid w:val="00CB7BEF"/>
    <w:rsid w:val="00CC394E"/>
    <w:rsid w:val="00CC4E05"/>
    <w:rsid w:val="00CC684E"/>
    <w:rsid w:val="00CC7512"/>
    <w:rsid w:val="00CC7755"/>
    <w:rsid w:val="00CD3360"/>
    <w:rsid w:val="00CD3805"/>
    <w:rsid w:val="00CD4F93"/>
    <w:rsid w:val="00CE05D9"/>
    <w:rsid w:val="00CE08CC"/>
    <w:rsid w:val="00CE462C"/>
    <w:rsid w:val="00CE5D3B"/>
    <w:rsid w:val="00CF42BE"/>
    <w:rsid w:val="00CF55F4"/>
    <w:rsid w:val="00CF5663"/>
    <w:rsid w:val="00CF64DC"/>
    <w:rsid w:val="00CF6744"/>
    <w:rsid w:val="00D01BA7"/>
    <w:rsid w:val="00D03740"/>
    <w:rsid w:val="00D0539E"/>
    <w:rsid w:val="00D14089"/>
    <w:rsid w:val="00D15D88"/>
    <w:rsid w:val="00D21370"/>
    <w:rsid w:val="00D21671"/>
    <w:rsid w:val="00D226CE"/>
    <w:rsid w:val="00D23D87"/>
    <w:rsid w:val="00D246AF"/>
    <w:rsid w:val="00D25347"/>
    <w:rsid w:val="00D256FA"/>
    <w:rsid w:val="00D27B0E"/>
    <w:rsid w:val="00D339E9"/>
    <w:rsid w:val="00D34531"/>
    <w:rsid w:val="00D36353"/>
    <w:rsid w:val="00D364B0"/>
    <w:rsid w:val="00D36DE4"/>
    <w:rsid w:val="00D4088A"/>
    <w:rsid w:val="00D42F6E"/>
    <w:rsid w:val="00D43B52"/>
    <w:rsid w:val="00D45A3F"/>
    <w:rsid w:val="00D52805"/>
    <w:rsid w:val="00D53FD6"/>
    <w:rsid w:val="00D550E0"/>
    <w:rsid w:val="00D56E88"/>
    <w:rsid w:val="00D61CA9"/>
    <w:rsid w:val="00D61F60"/>
    <w:rsid w:val="00D71130"/>
    <w:rsid w:val="00D713E9"/>
    <w:rsid w:val="00D71AD3"/>
    <w:rsid w:val="00D732FE"/>
    <w:rsid w:val="00D81C9B"/>
    <w:rsid w:val="00D82BFF"/>
    <w:rsid w:val="00D84A41"/>
    <w:rsid w:val="00D92BD2"/>
    <w:rsid w:val="00D94E26"/>
    <w:rsid w:val="00D97C85"/>
    <w:rsid w:val="00DA1C38"/>
    <w:rsid w:val="00DA1C60"/>
    <w:rsid w:val="00DA20E3"/>
    <w:rsid w:val="00DA2DAF"/>
    <w:rsid w:val="00DA2E1F"/>
    <w:rsid w:val="00DA4D88"/>
    <w:rsid w:val="00DB28C9"/>
    <w:rsid w:val="00DB305F"/>
    <w:rsid w:val="00DB429E"/>
    <w:rsid w:val="00DB4DE5"/>
    <w:rsid w:val="00DB4FFA"/>
    <w:rsid w:val="00DB601D"/>
    <w:rsid w:val="00DB6169"/>
    <w:rsid w:val="00DC10C0"/>
    <w:rsid w:val="00DC3C88"/>
    <w:rsid w:val="00DC4597"/>
    <w:rsid w:val="00DC6820"/>
    <w:rsid w:val="00DC7590"/>
    <w:rsid w:val="00DD04D4"/>
    <w:rsid w:val="00DD1941"/>
    <w:rsid w:val="00DD2DDD"/>
    <w:rsid w:val="00DD4176"/>
    <w:rsid w:val="00DD4FFC"/>
    <w:rsid w:val="00DD64FC"/>
    <w:rsid w:val="00DD77CA"/>
    <w:rsid w:val="00DD7DB6"/>
    <w:rsid w:val="00DE0D64"/>
    <w:rsid w:val="00DE4E39"/>
    <w:rsid w:val="00DF33C3"/>
    <w:rsid w:val="00DF4CC4"/>
    <w:rsid w:val="00DF66AD"/>
    <w:rsid w:val="00DF7631"/>
    <w:rsid w:val="00DF7666"/>
    <w:rsid w:val="00E049EB"/>
    <w:rsid w:val="00E10408"/>
    <w:rsid w:val="00E12D74"/>
    <w:rsid w:val="00E15E57"/>
    <w:rsid w:val="00E16C4A"/>
    <w:rsid w:val="00E2210D"/>
    <w:rsid w:val="00E26011"/>
    <w:rsid w:val="00E44191"/>
    <w:rsid w:val="00E45FB8"/>
    <w:rsid w:val="00E5700A"/>
    <w:rsid w:val="00E5707B"/>
    <w:rsid w:val="00E577F0"/>
    <w:rsid w:val="00E60394"/>
    <w:rsid w:val="00E61744"/>
    <w:rsid w:val="00E71AC5"/>
    <w:rsid w:val="00E767CA"/>
    <w:rsid w:val="00E9045F"/>
    <w:rsid w:val="00E904C6"/>
    <w:rsid w:val="00E959E8"/>
    <w:rsid w:val="00E95CFD"/>
    <w:rsid w:val="00EA1638"/>
    <w:rsid w:val="00EA209B"/>
    <w:rsid w:val="00EA2D97"/>
    <w:rsid w:val="00EA3192"/>
    <w:rsid w:val="00EA3C4E"/>
    <w:rsid w:val="00EA6383"/>
    <w:rsid w:val="00EA7BE7"/>
    <w:rsid w:val="00EB73A8"/>
    <w:rsid w:val="00EC5BFF"/>
    <w:rsid w:val="00EC7F2D"/>
    <w:rsid w:val="00EC7F54"/>
    <w:rsid w:val="00ED4E46"/>
    <w:rsid w:val="00ED5094"/>
    <w:rsid w:val="00EE033C"/>
    <w:rsid w:val="00EE1F6D"/>
    <w:rsid w:val="00EE55DF"/>
    <w:rsid w:val="00EF222C"/>
    <w:rsid w:val="00EF494F"/>
    <w:rsid w:val="00EF4A82"/>
    <w:rsid w:val="00EF6529"/>
    <w:rsid w:val="00EF7813"/>
    <w:rsid w:val="00EF7962"/>
    <w:rsid w:val="00F021DE"/>
    <w:rsid w:val="00F03A56"/>
    <w:rsid w:val="00F077BD"/>
    <w:rsid w:val="00F1565F"/>
    <w:rsid w:val="00F23393"/>
    <w:rsid w:val="00F27169"/>
    <w:rsid w:val="00F32871"/>
    <w:rsid w:val="00F336FE"/>
    <w:rsid w:val="00F430B9"/>
    <w:rsid w:val="00F5389C"/>
    <w:rsid w:val="00F646A3"/>
    <w:rsid w:val="00F66C86"/>
    <w:rsid w:val="00F701EF"/>
    <w:rsid w:val="00F72C2D"/>
    <w:rsid w:val="00F77AE8"/>
    <w:rsid w:val="00F846CD"/>
    <w:rsid w:val="00F9067D"/>
    <w:rsid w:val="00F91075"/>
    <w:rsid w:val="00F934B2"/>
    <w:rsid w:val="00F95F7A"/>
    <w:rsid w:val="00F97387"/>
    <w:rsid w:val="00FA1F87"/>
    <w:rsid w:val="00FA3941"/>
    <w:rsid w:val="00FA3C86"/>
    <w:rsid w:val="00FA6AD6"/>
    <w:rsid w:val="00FA72B7"/>
    <w:rsid w:val="00FB2220"/>
    <w:rsid w:val="00FB2C45"/>
    <w:rsid w:val="00FB7230"/>
    <w:rsid w:val="00FB7525"/>
    <w:rsid w:val="00FC0220"/>
    <w:rsid w:val="00FC1487"/>
    <w:rsid w:val="00FC3D64"/>
    <w:rsid w:val="00FC5157"/>
    <w:rsid w:val="00FD0E66"/>
    <w:rsid w:val="00FD4C9E"/>
    <w:rsid w:val="00FD64E2"/>
    <w:rsid w:val="00FE1F51"/>
    <w:rsid w:val="00FE22B2"/>
    <w:rsid w:val="00FE451D"/>
    <w:rsid w:val="00FE4C56"/>
    <w:rsid w:val="00FE4D6D"/>
    <w:rsid w:val="00FE502F"/>
    <w:rsid w:val="00FF00B4"/>
    <w:rsid w:val="00FF0F2D"/>
    <w:rsid w:val="00FF573B"/>
    <w:rsid w:val="00FF75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F3F10E"/>
  <w15:docId w15:val="{943047B8-F021-45FC-8202-67864424A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Calibri" w:eastAsia="Times New Roman" w:hAnsi="Calibri" w:cs="Arial Unicode MS"/>
        <w:lang w:val="en-US" w:eastAsia="en-US" w:bidi="ar-SA"/>
      </w:rPr>
    </w:rPrDefault>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paragraph" w:styleId="Heading5">
    <w:name w:val="heading 5"/>
    <w:basedOn w:val="Normal"/>
    <w:next w:val="Normal"/>
    <w:link w:val="Heading5Char"/>
    <w:uiPriority w:val="9"/>
    <w:unhideWhenUsed/>
    <w:qFormat/>
    <w:rsid w:val="004E4E8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qFormat/>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styleId="CommentReference">
    <w:name w:val="annotation reference"/>
    <w:basedOn w:val="DefaultParagraphFont"/>
    <w:uiPriority w:val="99"/>
    <w:semiHidden/>
    <w:unhideWhenUsed/>
    <w:rsid w:val="00C2195D"/>
    <w:rPr>
      <w:sz w:val="16"/>
      <w:szCs w:val="16"/>
    </w:rPr>
  </w:style>
  <w:style w:type="paragraph" w:styleId="CommentText">
    <w:name w:val="annotation text"/>
    <w:basedOn w:val="Normal"/>
    <w:link w:val="CommentTextChar"/>
    <w:uiPriority w:val="99"/>
    <w:unhideWhenUsed/>
    <w:rsid w:val="00C2195D"/>
    <w:rPr>
      <w:sz w:val="20"/>
    </w:rPr>
  </w:style>
  <w:style w:type="character" w:customStyle="1" w:styleId="CommentTextChar">
    <w:name w:val="Comment Text Char"/>
    <w:basedOn w:val="DefaultParagraphFont"/>
    <w:link w:val="CommentText"/>
    <w:uiPriority w:val="99"/>
    <w:rsid w:val="00C2195D"/>
    <w:rPr>
      <w:rFonts w:cs="Times New Roman"/>
    </w:rPr>
  </w:style>
  <w:style w:type="paragraph" w:styleId="CommentSubject">
    <w:name w:val="annotation subject"/>
    <w:basedOn w:val="CommentText"/>
    <w:next w:val="CommentText"/>
    <w:link w:val="CommentSubjectChar"/>
    <w:uiPriority w:val="99"/>
    <w:semiHidden/>
    <w:unhideWhenUsed/>
    <w:rsid w:val="00C2195D"/>
    <w:rPr>
      <w:b/>
      <w:bCs/>
    </w:rPr>
  </w:style>
  <w:style w:type="character" w:customStyle="1" w:styleId="CommentSubjectChar">
    <w:name w:val="Comment Subject Char"/>
    <w:basedOn w:val="CommentTextChar"/>
    <w:link w:val="CommentSubject"/>
    <w:uiPriority w:val="99"/>
    <w:semiHidden/>
    <w:rsid w:val="00C2195D"/>
    <w:rPr>
      <w:rFonts w:cs="Times New Roman"/>
      <w:b/>
      <w:bCs/>
    </w:rPr>
  </w:style>
  <w:style w:type="paragraph" w:styleId="ListParagraph">
    <w:name w:val="List Paragraph"/>
    <w:basedOn w:val="Normal"/>
    <w:uiPriority w:val="34"/>
    <w:qFormat/>
    <w:rsid w:val="0010524E"/>
    <w:pPr>
      <w:ind w:left="720"/>
      <w:contextualSpacing/>
    </w:pPr>
  </w:style>
  <w:style w:type="table" w:customStyle="1" w:styleId="TableGrid1">
    <w:name w:val="Table Grid1"/>
    <w:basedOn w:val="TableNormal"/>
    <w:next w:val="TableGrid"/>
    <w:uiPriority w:val="39"/>
    <w:rsid w:val="0092602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3D3F87"/>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B601D"/>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A0113"/>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8AA"/>
    <w:rPr>
      <w:color w:val="0563C1" w:themeColor="hyperlink"/>
      <w:u w:val="single"/>
    </w:rPr>
  </w:style>
  <w:style w:type="character" w:styleId="UnresolvedMention">
    <w:name w:val="Unresolved Mention"/>
    <w:basedOn w:val="DefaultParagraphFont"/>
    <w:uiPriority w:val="99"/>
    <w:semiHidden/>
    <w:unhideWhenUsed/>
    <w:rsid w:val="00BC78AA"/>
    <w:rPr>
      <w:color w:val="605E5C"/>
      <w:shd w:val="clear" w:color="auto" w:fill="E1DFDD"/>
    </w:rPr>
  </w:style>
  <w:style w:type="character" w:styleId="FollowedHyperlink">
    <w:name w:val="FollowedHyperlink"/>
    <w:basedOn w:val="DefaultParagraphFont"/>
    <w:uiPriority w:val="99"/>
    <w:semiHidden/>
    <w:unhideWhenUsed/>
    <w:rsid w:val="00264274"/>
    <w:rPr>
      <w:color w:val="954F72" w:themeColor="followedHyperlink"/>
      <w:u w:val="single"/>
    </w:rPr>
  </w:style>
  <w:style w:type="paragraph" w:styleId="Revision">
    <w:name w:val="Revision"/>
    <w:hidden/>
    <w:uiPriority w:val="99"/>
    <w:semiHidden/>
    <w:rsid w:val="00043F8C"/>
    <w:rPr>
      <w:rFonts w:cs="Times New Roman"/>
      <w:sz w:val="24"/>
    </w:rPr>
  </w:style>
  <w:style w:type="character" w:customStyle="1" w:styleId="Heading5Char">
    <w:name w:val="Heading 5 Char"/>
    <w:basedOn w:val="DefaultParagraphFont"/>
    <w:link w:val="Heading5"/>
    <w:uiPriority w:val="9"/>
    <w:rsid w:val="004E4E81"/>
    <w:rPr>
      <w:rFonts w:asciiTheme="majorHAnsi" w:eastAsiaTheme="majorEastAsia" w:hAnsiTheme="majorHAnsi" w:cstheme="majorBidi"/>
      <w:color w:val="2E74B5" w:themeColor="accent1" w:themeShade="BF"/>
      <w:sz w:val="24"/>
    </w:rPr>
  </w:style>
  <w:style w:type="paragraph" w:styleId="BodyText2">
    <w:name w:val="Body Text 2"/>
    <w:basedOn w:val="Normal"/>
    <w:link w:val="BodyText2Char"/>
    <w:rsid w:val="0046027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pPr>
    <w:rPr>
      <w:rFonts w:ascii="Courier" w:hAnsi="Courier"/>
      <w:b/>
      <w:bCs/>
      <w:i/>
      <w:iCs/>
      <w:snapToGrid w:val="0"/>
      <w:szCs w:val="24"/>
    </w:rPr>
  </w:style>
  <w:style w:type="character" w:customStyle="1" w:styleId="BodyText2Char">
    <w:name w:val="Body Text 2 Char"/>
    <w:basedOn w:val="DefaultParagraphFont"/>
    <w:link w:val="BodyText2"/>
    <w:rsid w:val="00460271"/>
    <w:rPr>
      <w:rFonts w:ascii="Courier" w:hAnsi="Courier" w:cs="Times New Roman"/>
      <w:b/>
      <w:bCs/>
      <w:i/>
      <w:iCs/>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sa.gov/legislation/2024FactSheet.pdf" TargetMode="External" /><Relationship Id="rId6" Type="http://schemas.openxmlformats.org/officeDocument/2006/relationships/hyperlink" Target="https://data.bls.gov/oes/"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4A3C2-AB3C-407C-A8E3-7361780A2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Pages>
  <Words>2313</Words>
  <Characters>13185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889123</dc:creator>
  <cp:lastModifiedBy>SSA Response</cp:lastModifiedBy>
  <cp:revision>2</cp:revision>
  <dcterms:created xsi:type="dcterms:W3CDTF">2025-06-26T11:14:00Z</dcterms:created>
  <dcterms:modified xsi:type="dcterms:W3CDTF">2025-06-26T11:14:00Z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-739367057</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OMB 0960-0561</vt:lpwstr>
  </property>
  <property fmtid="{D5CDD505-2E9C-101B-9397-08002B2CF9AE}" pid="6" name="_NewReviewCycle">
    <vt:lpwstr/>
  </property>
  <property fmtid="{D5CDD505-2E9C-101B-9397-08002B2CF9AE}" pid="7" name="_ReviewingToolsShownOnce">
    <vt:lpwstr/>
  </property>
</Properties>
</file>