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3E" w:rsidRPr="00FC633E" w:rsidP="005453AD" w14:paraId="62640ECE" w14:textId="77777777">
      <w:pPr>
        <w:jc w:val="center"/>
        <w:rPr>
          <w:sz w:val="28"/>
          <w:szCs w:val="28"/>
        </w:rPr>
      </w:pPr>
    </w:p>
    <w:p w:rsidR="00FC633E" w:rsidP="005453AD" w14:paraId="3398DFAF" w14:textId="77777777">
      <w:pPr>
        <w:jc w:val="center"/>
        <w:rPr>
          <w:b/>
          <w:sz w:val="28"/>
          <w:szCs w:val="28"/>
        </w:rPr>
      </w:pPr>
    </w:p>
    <w:p w:rsidR="008358C1" w:rsidP="008358C1" w14:paraId="0ACA172B" w14:textId="77777777">
      <w:pPr>
        <w:jc w:val="center"/>
        <w:rPr>
          <w:b/>
          <w:sz w:val="28"/>
          <w:szCs w:val="28"/>
        </w:rPr>
      </w:pPr>
      <w:r w:rsidRPr="00456179">
        <w:rPr>
          <w:b/>
          <w:sz w:val="28"/>
          <w:szCs w:val="28"/>
        </w:rPr>
        <w:t>SUPPORTING STATEMENT</w:t>
      </w:r>
    </w:p>
    <w:p w:rsidR="008358C1" w:rsidP="008358C1" w14:paraId="05E770E4" w14:textId="77777777">
      <w:pPr>
        <w:jc w:val="center"/>
        <w:rPr>
          <w:b/>
          <w:sz w:val="28"/>
          <w:szCs w:val="28"/>
        </w:rPr>
      </w:pPr>
    </w:p>
    <w:p w:rsidR="008358C1" w:rsidP="008358C1" w14:paraId="1AE28B02" w14:textId="77777777">
      <w:pPr>
        <w:jc w:val="center"/>
        <w:rPr>
          <w:sz w:val="28"/>
          <w:szCs w:val="28"/>
        </w:rPr>
      </w:pPr>
      <w:r>
        <w:rPr>
          <w:b/>
          <w:sz w:val="28"/>
          <w:szCs w:val="28"/>
        </w:rPr>
        <w:t>Part B</w:t>
      </w:r>
    </w:p>
    <w:p w:rsidR="008358C1" w:rsidP="008358C1" w14:paraId="7FFB9DB2" w14:textId="77777777">
      <w:pPr>
        <w:jc w:val="center"/>
        <w:rPr>
          <w:sz w:val="28"/>
          <w:szCs w:val="28"/>
        </w:rPr>
      </w:pPr>
    </w:p>
    <w:p w:rsidR="008358C1" w:rsidP="008358C1" w14:paraId="72DDAAED" w14:textId="77777777">
      <w:pPr>
        <w:jc w:val="center"/>
        <w:rPr>
          <w:sz w:val="28"/>
          <w:szCs w:val="28"/>
        </w:rPr>
      </w:pPr>
    </w:p>
    <w:p w:rsidR="008358C1" w:rsidP="008358C1" w14:paraId="3CF32A47" w14:textId="77777777">
      <w:pPr>
        <w:jc w:val="center"/>
        <w:rPr>
          <w:sz w:val="28"/>
          <w:szCs w:val="28"/>
        </w:rPr>
      </w:pPr>
    </w:p>
    <w:p w:rsidR="008358C1" w:rsidP="008358C1" w14:paraId="57A9BA16" w14:textId="77777777">
      <w:pPr>
        <w:jc w:val="center"/>
        <w:rPr>
          <w:sz w:val="28"/>
          <w:szCs w:val="28"/>
        </w:rPr>
      </w:pPr>
    </w:p>
    <w:p w:rsidR="008358C1" w:rsidP="008358C1" w14:paraId="2554C518" w14:textId="77777777">
      <w:pPr>
        <w:jc w:val="center"/>
        <w:rPr>
          <w:sz w:val="28"/>
          <w:szCs w:val="28"/>
        </w:rPr>
      </w:pPr>
    </w:p>
    <w:p w:rsidR="008358C1" w:rsidRPr="00C84600" w:rsidP="00092E6B" w14:paraId="401A0129" w14:textId="77777777">
      <w:pPr>
        <w:jc w:val="center"/>
        <w:rPr>
          <w:b/>
          <w:sz w:val="28"/>
          <w:szCs w:val="28"/>
        </w:rPr>
      </w:pPr>
      <w:r w:rsidRPr="00C84600">
        <w:rPr>
          <w:b/>
          <w:sz w:val="28"/>
          <w:szCs w:val="28"/>
        </w:rPr>
        <w:t>Medical Expenditure Panel Survey –</w:t>
      </w:r>
      <w:r>
        <w:rPr>
          <w:b/>
          <w:sz w:val="28"/>
          <w:szCs w:val="28"/>
        </w:rPr>
        <w:t xml:space="preserve"> </w:t>
      </w:r>
      <w:r w:rsidRPr="00C84600">
        <w:rPr>
          <w:b/>
          <w:sz w:val="28"/>
          <w:szCs w:val="28"/>
        </w:rPr>
        <w:t xml:space="preserve">Insurance Component </w:t>
      </w:r>
      <w:r w:rsidR="007179D0">
        <w:rPr>
          <w:b/>
          <w:sz w:val="28"/>
          <w:szCs w:val="28"/>
        </w:rPr>
        <w:t>202</w:t>
      </w:r>
      <w:r w:rsidR="008F47A2">
        <w:rPr>
          <w:b/>
          <w:sz w:val="28"/>
          <w:szCs w:val="28"/>
        </w:rPr>
        <w:t>5</w:t>
      </w:r>
      <w:r w:rsidR="007179D0">
        <w:rPr>
          <w:b/>
          <w:sz w:val="28"/>
          <w:szCs w:val="28"/>
        </w:rPr>
        <w:t>-202</w:t>
      </w:r>
      <w:r w:rsidR="008F47A2">
        <w:rPr>
          <w:b/>
          <w:sz w:val="28"/>
          <w:szCs w:val="28"/>
        </w:rPr>
        <w:t>7</w:t>
      </w:r>
    </w:p>
    <w:p w:rsidR="008358C1" w:rsidRPr="00C84600" w:rsidP="008358C1" w14:paraId="40AB5AC3" w14:textId="77777777">
      <w:pPr>
        <w:jc w:val="center"/>
        <w:rPr>
          <w:b/>
          <w:i/>
          <w:sz w:val="28"/>
          <w:szCs w:val="28"/>
        </w:rPr>
      </w:pPr>
    </w:p>
    <w:p w:rsidR="008358C1" w:rsidRPr="00082047" w:rsidP="008358C1" w14:paraId="08C5AEA7" w14:textId="77777777">
      <w:pPr>
        <w:jc w:val="center"/>
        <w:rPr>
          <w:i/>
          <w:sz w:val="28"/>
          <w:szCs w:val="28"/>
        </w:rPr>
      </w:pPr>
    </w:p>
    <w:p w:rsidR="008358C1" w:rsidP="008358C1" w14:paraId="22C9FEE8" w14:textId="77777777">
      <w:pPr>
        <w:jc w:val="center"/>
        <w:rPr>
          <w:sz w:val="28"/>
          <w:szCs w:val="28"/>
        </w:rPr>
      </w:pPr>
      <w:r>
        <w:t>Reauthorization of</w:t>
      </w:r>
      <w:r w:rsidRPr="00C309A6">
        <w:t xml:space="preserve"> OMB #0935-0110</w:t>
      </w:r>
    </w:p>
    <w:p w:rsidR="008358C1" w:rsidP="008358C1" w14:paraId="3A44D3A3" w14:textId="77777777">
      <w:pPr>
        <w:jc w:val="center"/>
        <w:rPr>
          <w:sz w:val="28"/>
          <w:szCs w:val="28"/>
        </w:rPr>
      </w:pPr>
    </w:p>
    <w:p w:rsidR="008358C1" w:rsidP="008358C1" w14:paraId="7D77E762" w14:textId="77777777">
      <w:pPr>
        <w:jc w:val="center"/>
        <w:rPr>
          <w:sz w:val="28"/>
          <w:szCs w:val="28"/>
        </w:rPr>
      </w:pPr>
    </w:p>
    <w:p w:rsidR="008358C1" w:rsidP="008358C1" w14:paraId="7BF48C44" w14:textId="77777777">
      <w:pPr>
        <w:jc w:val="center"/>
        <w:rPr>
          <w:sz w:val="28"/>
          <w:szCs w:val="28"/>
        </w:rPr>
      </w:pPr>
    </w:p>
    <w:p w:rsidR="008358C1" w:rsidP="008358C1" w14:paraId="6FB5FBAB" w14:textId="77777777">
      <w:pPr>
        <w:jc w:val="center"/>
        <w:rPr>
          <w:sz w:val="28"/>
          <w:szCs w:val="28"/>
        </w:rPr>
      </w:pPr>
    </w:p>
    <w:p w:rsidR="008358C1" w:rsidP="008358C1" w14:paraId="3384CFC6" w14:textId="77777777">
      <w:pPr>
        <w:jc w:val="center"/>
        <w:rPr>
          <w:sz w:val="28"/>
          <w:szCs w:val="28"/>
        </w:rPr>
      </w:pPr>
    </w:p>
    <w:p w:rsidR="008358C1" w:rsidP="008358C1" w14:paraId="0923B420" w14:textId="77777777">
      <w:pPr>
        <w:jc w:val="center"/>
        <w:rPr>
          <w:sz w:val="28"/>
          <w:szCs w:val="28"/>
        </w:rPr>
      </w:pPr>
    </w:p>
    <w:p w:rsidR="008358C1" w:rsidRPr="00432724" w:rsidP="008358C1" w14:paraId="39C1F742" w14:textId="77777777">
      <w:pPr>
        <w:jc w:val="center"/>
        <w:rPr>
          <w:b/>
          <w:sz w:val="28"/>
          <w:szCs w:val="28"/>
        </w:rPr>
      </w:pPr>
      <w:r w:rsidRPr="00432724">
        <w:rPr>
          <w:b/>
          <w:sz w:val="28"/>
          <w:szCs w:val="28"/>
        </w:rPr>
        <w:t>Agency of Healthcare Research and Quality (AHRQ)</w:t>
      </w:r>
    </w:p>
    <w:p w:rsidR="008358C1" w:rsidP="008358C1" w14:paraId="61376B54" w14:textId="77777777">
      <w:pPr>
        <w:rPr>
          <w:sz w:val="28"/>
          <w:szCs w:val="28"/>
        </w:rPr>
      </w:pPr>
    </w:p>
    <w:p w:rsidR="008358C1" w:rsidRPr="00EF183F" w:rsidP="008358C1" w14:paraId="261D52E1" w14:textId="77777777">
      <w:pPr>
        <w:rPr>
          <w:color w:val="FF0000"/>
          <w:sz w:val="28"/>
          <w:szCs w:val="28"/>
        </w:rPr>
      </w:pPr>
    </w:p>
    <w:p w:rsidR="00EF183F" w:rsidRPr="008F47A2" w:rsidP="00F042D8" w14:paraId="4E0141A7" w14:textId="77777777">
      <w:pPr>
        <w:jc w:val="center"/>
      </w:pPr>
      <w:r w:rsidRPr="008F47A2">
        <w:t>Version:</w:t>
      </w:r>
      <w:r w:rsidRPr="008F47A2" w:rsidR="002A5123">
        <w:t xml:space="preserve"> </w:t>
      </w:r>
      <w:r w:rsidRPr="008F47A2" w:rsidR="008F47A2">
        <w:t>April 1, 2025</w:t>
      </w:r>
    </w:p>
    <w:p w:rsidR="00EF183F" w:rsidP="00F042D8" w14:paraId="21407B30" w14:textId="77777777">
      <w:pPr>
        <w:jc w:val="center"/>
      </w:pPr>
    </w:p>
    <w:p w:rsidR="004947DC" w:rsidP="00F042D8" w14:paraId="41C299E8" w14:textId="77777777">
      <w:pPr>
        <w:jc w:val="center"/>
      </w:pPr>
    </w:p>
    <w:p w:rsidR="004947DC" w:rsidP="00F042D8" w14:paraId="61973F55" w14:textId="77777777">
      <w:pPr>
        <w:jc w:val="center"/>
      </w:pPr>
    </w:p>
    <w:p w:rsidR="004947DC" w:rsidP="00F042D8" w14:paraId="026588DC" w14:textId="77777777">
      <w:pPr>
        <w:jc w:val="center"/>
      </w:pPr>
    </w:p>
    <w:p w:rsidR="004947DC" w:rsidP="00F042D8" w14:paraId="0C3FFF65" w14:textId="77777777">
      <w:pPr>
        <w:jc w:val="center"/>
      </w:pPr>
    </w:p>
    <w:p w:rsidR="004947DC" w:rsidP="00F042D8" w14:paraId="0E358443" w14:textId="77777777">
      <w:pPr>
        <w:jc w:val="center"/>
      </w:pPr>
    </w:p>
    <w:p w:rsidR="004947DC" w:rsidP="00F042D8" w14:paraId="361FBC26" w14:textId="77777777">
      <w:pPr>
        <w:jc w:val="center"/>
      </w:pPr>
    </w:p>
    <w:p w:rsidR="004947DC" w:rsidP="00F042D8" w14:paraId="7A81C2C6" w14:textId="77777777">
      <w:pPr>
        <w:jc w:val="center"/>
      </w:pPr>
    </w:p>
    <w:p w:rsidR="004947DC" w:rsidP="00F042D8" w14:paraId="5F1A1AAB" w14:textId="77777777">
      <w:pPr>
        <w:jc w:val="center"/>
      </w:pPr>
    </w:p>
    <w:p w:rsidR="004947DC" w:rsidP="00F042D8" w14:paraId="077DEBF7" w14:textId="77777777">
      <w:pPr>
        <w:jc w:val="center"/>
      </w:pPr>
    </w:p>
    <w:p w:rsidR="004947DC" w:rsidP="00F042D8" w14:paraId="04D20E0B" w14:textId="77777777">
      <w:pPr>
        <w:jc w:val="center"/>
      </w:pPr>
    </w:p>
    <w:p w:rsidR="004947DC" w:rsidP="00F042D8" w14:paraId="09716F07" w14:textId="77777777">
      <w:pPr>
        <w:jc w:val="center"/>
      </w:pPr>
    </w:p>
    <w:p w:rsidR="004947DC" w:rsidP="00F042D8" w14:paraId="5FBD0767" w14:textId="77777777">
      <w:pPr>
        <w:jc w:val="center"/>
      </w:pPr>
    </w:p>
    <w:p w:rsidR="004947DC" w:rsidP="00F042D8" w14:paraId="71D1EC88" w14:textId="77777777">
      <w:pPr>
        <w:jc w:val="center"/>
      </w:pPr>
    </w:p>
    <w:p w:rsidR="004947DC" w:rsidP="00F042D8" w14:paraId="1D6C0FC0" w14:textId="77777777">
      <w:pPr>
        <w:jc w:val="center"/>
      </w:pPr>
    </w:p>
    <w:p w:rsidR="004947DC" w:rsidP="00F042D8" w14:paraId="55A4F36B" w14:textId="77777777">
      <w:pPr>
        <w:jc w:val="center"/>
      </w:pPr>
    </w:p>
    <w:p w:rsidR="004947DC" w:rsidP="00F042D8" w14:paraId="341B3254" w14:textId="77777777">
      <w:pPr>
        <w:jc w:val="center"/>
      </w:pPr>
    </w:p>
    <w:p w:rsidR="004947DC" w:rsidP="00F042D8" w14:paraId="12668DEB" w14:textId="77777777">
      <w:pPr>
        <w:jc w:val="center"/>
      </w:pPr>
    </w:p>
    <w:p w:rsidR="004947DC" w:rsidP="00F042D8" w14:paraId="035F3C34" w14:textId="77777777">
      <w:pPr>
        <w:jc w:val="center"/>
      </w:pPr>
    </w:p>
    <w:p w:rsidR="004947DC" w:rsidP="00F042D8" w14:paraId="77954378" w14:textId="77777777">
      <w:pPr>
        <w:jc w:val="center"/>
      </w:pPr>
    </w:p>
    <w:p w:rsidR="004947DC" w:rsidP="00F042D8" w14:paraId="344A55B8" w14:textId="77777777">
      <w:pPr>
        <w:jc w:val="center"/>
      </w:pPr>
    </w:p>
    <w:p w:rsidR="004947DC" w:rsidP="00F042D8" w14:paraId="22C748E4" w14:textId="77777777">
      <w:pPr>
        <w:jc w:val="center"/>
      </w:pPr>
    </w:p>
    <w:p w:rsidR="004947DC" w:rsidP="00F042D8" w14:paraId="52440C86" w14:textId="77777777">
      <w:pPr>
        <w:jc w:val="center"/>
      </w:pPr>
    </w:p>
    <w:p w:rsidR="004947DC" w:rsidP="00F042D8" w14:paraId="17A14547" w14:textId="77777777">
      <w:pPr>
        <w:jc w:val="center"/>
      </w:pPr>
    </w:p>
    <w:p w:rsidR="004947DC" w:rsidP="00F042D8" w14:paraId="20EB6B0B" w14:textId="77777777">
      <w:pPr>
        <w:jc w:val="center"/>
      </w:pPr>
    </w:p>
    <w:p w:rsidR="005453AD" w:rsidP="00F042D8" w14:paraId="02764BF5" w14:textId="77777777">
      <w:pPr>
        <w:jc w:val="center"/>
        <w:rPr>
          <w:b/>
        </w:rPr>
      </w:pPr>
      <w:r w:rsidRPr="001D0454">
        <w:rPr>
          <w:b/>
        </w:rPr>
        <w:t>Table of contents</w:t>
      </w:r>
    </w:p>
    <w:p w:rsidR="005453AD" w:rsidP="00FC633E" w14:paraId="0F4CAA02" w14:textId="77777777"/>
    <w:p w:rsidR="00FC633E" w:rsidP="00FC633E" w14:paraId="0B22C475" w14:textId="77777777">
      <w:pPr>
        <w:tabs>
          <w:tab w:val="left" w:leader="dot" w:pos="8460"/>
        </w:tabs>
      </w:pPr>
      <w:r w:rsidRPr="00FC633E">
        <w:t>B. Collections of Information Employing Statistical Methods</w:t>
      </w:r>
      <w:r>
        <w:tab/>
      </w:r>
      <w:r w:rsidR="008D56AE">
        <w:t>3</w:t>
      </w:r>
    </w:p>
    <w:p w:rsidR="00FC633E" w:rsidP="00FC633E" w14:paraId="4FD769AF" w14:textId="77777777">
      <w:pPr>
        <w:tabs>
          <w:tab w:val="left" w:pos="360"/>
          <w:tab w:val="left" w:leader="dot" w:pos="8460"/>
        </w:tabs>
      </w:pPr>
      <w:r>
        <w:tab/>
        <w:t xml:space="preserve">1. </w:t>
      </w:r>
      <w:r w:rsidRPr="00FC633E">
        <w:t xml:space="preserve">Respondent </w:t>
      </w:r>
      <w:r w:rsidR="0007359E">
        <w:t>U</w:t>
      </w:r>
      <w:r w:rsidRPr="00FC633E" w:rsidR="0007359E">
        <w:t xml:space="preserve">niverse </w:t>
      </w:r>
      <w:r w:rsidRPr="00FC633E">
        <w:t xml:space="preserve">and </w:t>
      </w:r>
      <w:r w:rsidR="0007359E">
        <w:t>S</w:t>
      </w:r>
      <w:r w:rsidRPr="00FC633E" w:rsidR="0007359E">
        <w:t xml:space="preserve">ampling </w:t>
      </w:r>
      <w:r w:rsidR="0007359E">
        <w:t>M</w:t>
      </w:r>
      <w:r w:rsidRPr="00FC633E" w:rsidR="0007359E">
        <w:t>ethods</w:t>
      </w:r>
      <w:r>
        <w:tab/>
      </w:r>
      <w:r w:rsidR="00842955">
        <w:t>3</w:t>
      </w:r>
    </w:p>
    <w:p w:rsidR="00FC633E" w:rsidP="00FC633E" w14:paraId="15FE4CB9" w14:textId="77777777">
      <w:pPr>
        <w:tabs>
          <w:tab w:val="left" w:pos="360"/>
          <w:tab w:val="left" w:leader="dot" w:pos="8460"/>
        </w:tabs>
      </w:pPr>
      <w:r>
        <w:tab/>
        <w:t xml:space="preserve">2. </w:t>
      </w:r>
      <w:r w:rsidRPr="00FC633E">
        <w:t>Information Collection Procedures</w:t>
      </w:r>
      <w:r w:rsidR="00681E27">
        <w:t>………………………………………………</w:t>
      </w:r>
      <w:r w:rsidR="00A45098">
        <w:t xml:space="preserve">    8</w:t>
      </w:r>
    </w:p>
    <w:p w:rsidR="00FC633E" w:rsidP="007B2176" w14:paraId="57D20922" w14:textId="77777777">
      <w:pPr>
        <w:tabs>
          <w:tab w:val="left" w:pos="360"/>
          <w:tab w:val="left" w:leader="dot" w:pos="8460"/>
        </w:tabs>
      </w:pPr>
      <w:r>
        <w:tab/>
        <w:t xml:space="preserve">3. </w:t>
      </w:r>
      <w:r w:rsidRPr="00FC633E">
        <w:t>Methods to Maximize Response Rates</w:t>
      </w:r>
      <w:r>
        <w:t xml:space="preserve"> …………………………………………...</w:t>
      </w:r>
      <w:r w:rsidR="00A45098">
        <w:t xml:space="preserve">  9</w:t>
      </w:r>
    </w:p>
    <w:p w:rsidR="00FC633E" w:rsidP="007B2176" w14:paraId="2FB53279" w14:textId="77777777">
      <w:pPr>
        <w:tabs>
          <w:tab w:val="left" w:pos="360"/>
          <w:tab w:val="left" w:pos="8280"/>
          <w:tab w:val="left" w:leader="dot" w:pos="8460"/>
        </w:tabs>
      </w:pPr>
      <w:r>
        <w:tab/>
        <w:t xml:space="preserve">4. </w:t>
      </w:r>
      <w:r w:rsidRPr="00FC633E">
        <w:t>Tests of Procedures</w:t>
      </w:r>
      <w:r w:rsidR="007B2176">
        <w:t xml:space="preserve"> ……………………………………………………………….</w:t>
      </w:r>
      <w:r w:rsidR="00A45098">
        <w:t xml:space="preserve"> 10</w:t>
      </w:r>
    </w:p>
    <w:p w:rsidR="00FC633E" w:rsidRPr="00FC633E" w:rsidP="007B2176" w14:paraId="555E0C9F" w14:textId="77777777">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A45098">
        <w:t xml:space="preserve"> 10</w:t>
      </w:r>
    </w:p>
    <w:p w:rsidR="00874B68" w:rsidP="00874B68" w14:paraId="1417003D" w14:textId="77777777">
      <w:bookmarkStart w:id="0" w:name="_Toc151782198"/>
      <w:bookmarkStart w:id="1" w:name="_Toc158526234"/>
    </w:p>
    <w:p w:rsidR="00874B68" w:rsidP="00874B68" w14:paraId="5170DAC8" w14:textId="77777777"/>
    <w:p w:rsidR="00874B68" w:rsidP="00874B68" w14:paraId="71861474" w14:textId="77777777"/>
    <w:p w:rsidR="00874B68" w:rsidP="00874B68" w14:paraId="3FCB9243" w14:textId="77777777"/>
    <w:p w:rsidR="00874B68" w:rsidP="00874B68" w14:paraId="7FB6F25F" w14:textId="77777777"/>
    <w:p w:rsidR="00874B68" w:rsidP="00874B68" w14:paraId="287D2524" w14:textId="77777777"/>
    <w:p w:rsidR="00874B68" w:rsidP="00874B68" w14:paraId="6406AF04" w14:textId="77777777"/>
    <w:p w:rsidR="00874B68" w:rsidP="00874B68" w14:paraId="6F751D98" w14:textId="77777777"/>
    <w:p w:rsidR="00874B68" w:rsidP="00874B68" w14:paraId="7AFD34B2" w14:textId="77777777"/>
    <w:p w:rsidR="00874B68" w:rsidP="00874B68" w14:paraId="5EDB80D5" w14:textId="77777777"/>
    <w:p w:rsidR="00874B68" w:rsidP="00874B68" w14:paraId="25EA4213" w14:textId="77777777"/>
    <w:p w:rsidR="00874B68" w:rsidP="00874B68" w14:paraId="26F58C73" w14:textId="77777777"/>
    <w:p w:rsidR="00874B68" w:rsidP="00874B68" w14:paraId="3519DE70" w14:textId="77777777"/>
    <w:p w:rsidR="00874B68" w:rsidP="00874B68" w14:paraId="3C772D2E" w14:textId="77777777"/>
    <w:p w:rsidR="00874B68" w:rsidP="00874B68" w14:paraId="430D03EB" w14:textId="77777777"/>
    <w:p w:rsidR="00874B68" w:rsidP="00874B68" w14:paraId="655C2FC7" w14:textId="77777777"/>
    <w:p w:rsidR="00874B68" w:rsidP="00874B68" w14:paraId="1CA1C43B" w14:textId="77777777"/>
    <w:p w:rsidR="00874B68" w:rsidP="00874B68" w14:paraId="04F1C43C" w14:textId="77777777"/>
    <w:p w:rsidR="00874B68" w:rsidP="00874B68" w14:paraId="4A01D922" w14:textId="77777777"/>
    <w:p w:rsidR="00874B68" w:rsidP="00874B68" w14:paraId="43F3D50D" w14:textId="77777777"/>
    <w:p w:rsidR="00874B68" w:rsidP="00874B68" w14:paraId="7C413C8B" w14:textId="77777777"/>
    <w:p w:rsidR="00874B68" w:rsidP="00874B68" w14:paraId="6DBCA51E" w14:textId="77777777"/>
    <w:p w:rsidR="00874B68" w:rsidP="00874B68" w14:paraId="79175D37" w14:textId="77777777"/>
    <w:p w:rsidR="00874B68" w:rsidP="00874B68" w14:paraId="106007C9" w14:textId="77777777"/>
    <w:p w:rsidR="00874B68" w:rsidP="00874B68" w14:paraId="4F1766C9" w14:textId="77777777"/>
    <w:p w:rsidR="00874B68" w:rsidP="00874B68" w14:paraId="4FCF12C6" w14:textId="77777777"/>
    <w:p w:rsidR="00874B68" w:rsidP="00874B68" w14:paraId="56100308" w14:textId="77777777"/>
    <w:p w:rsidR="00874B68" w:rsidP="00874B68" w14:paraId="3F512039" w14:textId="77777777"/>
    <w:p w:rsidR="00874B68" w:rsidP="00874B68" w14:paraId="264E0E24" w14:textId="77777777"/>
    <w:p w:rsidR="00874B68" w:rsidP="00874B68" w14:paraId="1B812FFB" w14:textId="77777777"/>
    <w:p w:rsidR="00874B68" w:rsidP="00874B68" w14:paraId="461A6CCD" w14:textId="77777777"/>
    <w:p w:rsidR="00874B68" w:rsidP="00874B68" w14:paraId="7ECCCC49" w14:textId="77777777"/>
    <w:p w:rsidR="00874B68" w:rsidP="00874B68" w14:paraId="11C6083B" w14:textId="77777777"/>
    <w:p w:rsidR="00874B68" w:rsidP="00874B68" w14:paraId="75366EB6" w14:textId="77777777"/>
    <w:p w:rsidR="00874B68" w:rsidP="00874B68" w14:paraId="44422D8F" w14:textId="77777777"/>
    <w:p w:rsidR="00D17DA6" w:rsidP="005453AD" w14:paraId="39DAA117" w14:textId="77777777">
      <w:pPr>
        <w:pStyle w:val="Heading1"/>
        <w:rPr>
          <w:sz w:val="24"/>
          <w:szCs w:val="24"/>
        </w:rPr>
      </w:pPr>
    </w:p>
    <w:p w:rsidR="00871DCB" w:rsidP="005453AD" w14:paraId="1362B68A" w14:textId="77777777">
      <w:pPr>
        <w:pStyle w:val="Heading1"/>
        <w:rPr>
          <w:sz w:val="24"/>
          <w:szCs w:val="24"/>
        </w:rPr>
      </w:pPr>
      <w:r>
        <w:rPr>
          <w:sz w:val="24"/>
          <w:szCs w:val="24"/>
        </w:rPr>
        <w:br/>
      </w:r>
      <w:r>
        <w:rPr>
          <w:sz w:val="24"/>
          <w:szCs w:val="24"/>
        </w:rPr>
        <w:br/>
      </w:r>
    </w:p>
    <w:p w:rsidR="00871DCB" w14:paraId="4D01950A" w14:textId="77777777">
      <w:pPr>
        <w:rPr>
          <w:rFonts w:ascii="Arial" w:hAnsi="Arial" w:cs="Arial"/>
          <w:b/>
          <w:bCs/>
          <w:kern w:val="32"/>
        </w:rPr>
      </w:pPr>
      <w:r>
        <w:br w:type="page"/>
      </w:r>
    </w:p>
    <w:p w:rsidR="005453AD" w:rsidRPr="00FC633E" w:rsidP="005453AD" w14:paraId="50BF705B" w14:textId="77777777">
      <w:pPr>
        <w:pStyle w:val="Heading1"/>
        <w:rPr>
          <w:sz w:val="24"/>
          <w:szCs w:val="24"/>
        </w:rPr>
      </w:pPr>
      <w:r w:rsidRPr="00FC633E">
        <w:rPr>
          <w:sz w:val="24"/>
          <w:szCs w:val="24"/>
        </w:rPr>
        <w:t>B. Collections of Information Employing Statistical Methods</w:t>
      </w:r>
      <w:bookmarkEnd w:id="0"/>
      <w:bookmarkEnd w:id="1"/>
    </w:p>
    <w:p w:rsidR="00874B68" w:rsidP="00874B68" w14:paraId="5B463716" w14:textId="77777777"/>
    <w:p w:rsidR="006A09B7" w:rsidRPr="00874B68" w:rsidP="00874B68" w14:paraId="2FBC33A4" w14:textId="77777777"/>
    <w:p w:rsidR="005453AD" w:rsidRPr="001D0454" w:rsidP="005453AD" w14:paraId="6215DC97" w14:textId="77777777">
      <w:pPr>
        <w:pStyle w:val="Heading2"/>
        <w:spacing w:before="0" w:after="0"/>
        <w:rPr>
          <w:sz w:val="24"/>
        </w:rPr>
      </w:pPr>
      <w:bookmarkStart w:id="2" w:name="_Toc151782199"/>
      <w:bookmarkStart w:id="3" w:name="_Toc158526235"/>
      <w:r w:rsidRPr="001D0454">
        <w:rPr>
          <w:sz w:val="24"/>
        </w:rPr>
        <w:t xml:space="preserve">1. Respondent </w:t>
      </w:r>
      <w:r w:rsidR="00FA7779">
        <w:rPr>
          <w:sz w:val="24"/>
        </w:rPr>
        <w:t>U</w:t>
      </w:r>
      <w:r w:rsidRPr="001D0454" w:rsidR="00FA7779">
        <w:rPr>
          <w:sz w:val="24"/>
        </w:rPr>
        <w:t xml:space="preserve">niverse </w:t>
      </w:r>
      <w:r w:rsidRPr="001D0454">
        <w:rPr>
          <w:sz w:val="24"/>
        </w:rPr>
        <w:t xml:space="preserve">and </w:t>
      </w:r>
      <w:r w:rsidR="00FA7779">
        <w:rPr>
          <w:sz w:val="24"/>
        </w:rPr>
        <w:t>S</w:t>
      </w:r>
      <w:r w:rsidRPr="001D0454" w:rsidR="00FA7779">
        <w:rPr>
          <w:sz w:val="24"/>
        </w:rPr>
        <w:t xml:space="preserve">ampling </w:t>
      </w:r>
      <w:bookmarkEnd w:id="2"/>
      <w:bookmarkEnd w:id="3"/>
      <w:r w:rsidR="00FA7779">
        <w:rPr>
          <w:sz w:val="24"/>
        </w:rPr>
        <w:t>M</w:t>
      </w:r>
      <w:r w:rsidRPr="001D0454" w:rsidR="00FA7779">
        <w:rPr>
          <w:sz w:val="24"/>
        </w:rPr>
        <w:t>ethods</w:t>
      </w:r>
    </w:p>
    <w:p w:rsidR="005453AD" w:rsidP="005453AD" w14:paraId="7BBC67AA" w14:textId="77777777">
      <w:pPr>
        <w:jc w:val="both"/>
        <w:rPr>
          <w:b/>
          <w:bCs/>
          <w:szCs w:val="22"/>
        </w:rPr>
      </w:pPr>
    </w:p>
    <w:p w:rsidR="00083B99" w:rsidRPr="00EC7F9C" w:rsidP="00083B99" w14:paraId="05E1EA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802E60">
        <w:t>4</w:t>
      </w:r>
      <w:r w:rsidR="00EF183F">
        <w:t>6</w:t>
      </w:r>
      <w:r w:rsidR="000F1F9F">
        <w:t>,000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P="00083B99" w14:paraId="46F3F9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18AF3F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Pr="00EC7F9C" w:rsidR="00C0444B">
        <w:t xml:space="preserve">frame </w:t>
      </w:r>
      <w:r w:rsidRPr="00EC7F9C">
        <w:t>is derived from two lists:</w:t>
      </w:r>
    </w:p>
    <w:p w:rsidR="00802E60" w:rsidP="00083B99" w14:paraId="16271D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P="00802E60" w14:paraId="75AB75C7" w14:textId="77777777">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 xml:space="preserve">The Census Bureau’s Business Register (BR), a list that contains private sector establishments in the United States which employ at least one person.  </w:t>
      </w:r>
      <w:r>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Pr>
          <w:szCs w:val="24"/>
        </w:rPr>
        <w:t>newly created establishments (</w:t>
      </w:r>
      <w:r w:rsidRPr="00EC7F9C">
        <w:rPr>
          <w:szCs w:val="24"/>
        </w:rPr>
        <w:t>births</w:t>
      </w:r>
      <w:r>
        <w:rPr>
          <w:szCs w:val="24"/>
        </w:rPr>
        <w:t>)</w:t>
      </w:r>
      <w:r w:rsidRPr="00EC7F9C">
        <w:rPr>
          <w:szCs w:val="24"/>
        </w:rPr>
        <w:t xml:space="preserve"> and remove those establishments that have closed</w:t>
      </w:r>
      <w:r w:rsidR="007D1848">
        <w:rPr>
          <w:szCs w:val="24"/>
        </w:rPr>
        <w:t xml:space="preserve"> (deaths)</w:t>
      </w:r>
      <w:r w:rsidRPr="00EC7F9C">
        <w:rPr>
          <w:szCs w:val="24"/>
        </w:rPr>
        <w:t xml:space="preserve">.  This list contains over </w:t>
      </w:r>
      <w:r w:rsidR="00257FF5">
        <w:rPr>
          <w:szCs w:val="24"/>
        </w:rPr>
        <w:t>7,</w:t>
      </w:r>
      <w:r w:rsidR="004947DC">
        <w:rPr>
          <w:szCs w:val="24"/>
        </w:rPr>
        <w:t>8</w:t>
      </w:r>
      <w:r w:rsidRPr="00366448">
        <w:rPr>
          <w:szCs w:val="24"/>
        </w:rPr>
        <w:t>00,000</w:t>
      </w:r>
      <w:r w:rsidRPr="00EC7F9C">
        <w:rPr>
          <w:szCs w:val="24"/>
        </w:rPr>
        <w:t xml:space="preserve"> establishments and is very complete, with any under-coverage caused by cases of domestic workers not reported for tax purposes.</w:t>
      </w:r>
    </w:p>
    <w:p w:rsidR="007F4093" w:rsidP="007F4093" w14:paraId="4DD24901"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083B99" w:rsidRPr="007F4093" w:rsidP="007F4093" w14:paraId="174792FE" w14:textId="77777777">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T</w:t>
      </w:r>
      <w:r w:rsidRPr="007F4093">
        <w:rPr>
          <w:szCs w:val="24"/>
        </w:rPr>
        <w:t xml:space="preserve">he </w:t>
      </w:r>
      <w:r>
        <w:rPr>
          <w:szCs w:val="24"/>
        </w:rPr>
        <w:t>Governments Integrated Directory</w:t>
      </w:r>
      <w:r w:rsidRPr="007F4093">
        <w:rPr>
          <w:szCs w:val="24"/>
        </w:rPr>
        <w:t xml:space="preserve"> </w:t>
      </w:r>
      <w:r>
        <w:rPr>
          <w:szCs w:val="24"/>
        </w:rPr>
        <w:t>(</w:t>
      </w:r>
      <w:r w:rsidRPr="007F4093">
        <w:rPr>
          <w:szCs w:val="24"/>
        </w:rPr>
        <w:t>GID</w:t>
      </w:r>
      <w:r>
        <w:rPr>
          <w:szCs w:val="24"/>
        </w:rPr>
        <w:t>),</w:t>
      </w:r>
      <w:r w:rsidRPr="007F4093">
        <w:rPr>
          <w:szCs w:val="24"/>
        </w:rPr>
        <w:t xml:space="preserve"> usin</w:t>
      </w:r>
      <w:r>
        <w:rPr>
          <w:szCs w:val="24"/>
        </w:rPr>
        <w:t xml:space="preserve">g </w:t>
      </w:r>
      <w:r w:rsidRPr="007F4093">
        <w:rPr>
          <w:szCs w:val="24"/>
        </w:rPr>
        <w:t>units that are eligible for the</w:t>
      </w:r>
      <w:r>
        <w:rPr>
          <w:szCs w:val="24"/>
        </w:rPr>
        <w:t xml:space="preserve"> </w:t>
      </w:r>
      <w:r w:rsidRPr="00EC7F9C">
        <w:t>Census of Governments</w:t>
      </w:r>
      <w:r w:rsidRPr="007F4093">
        <w:rPr>
          <w:szCs w:val="24"/>
        </w:rPr>
        <w:t xml:space="preserve"> </w:t>
      </w:r>
      <w:r>
        <w:rPr>
          <w:szCs w:val="24"/>
        </w:rPr>
        <w:t>(</w:t>
      </w:r>
      <w:r w:rsidRPr="007F4093">
        <w:rPr>
          <w:szCs w:val="24"/>
        </w:rPr>
        <w:t>COG</w:t>
      </w:r>
      <w:r>
        <w:rPr>
          <w:szCs w:val="24"/>
        </w:rPr>
        <w:t>)</w:t>
      </w:r>
      <w:r w:rsidRPr="007F4093">
        <w:rPr>
          <w:szCs w:val="24"/>
        </w:rPr>
        <w:t xml:space="preserve"> as the frame.  The GID universe is updated continuously, although a formal and comprehensive up</w:t>
      </w:r>
      <w:r>
        <w:rPr>
          <w:szCs w:val="24"/>
        </w:rPr>
        <w:t xml:space="preserve">date occurs during the COG.  There are also </w:t>
      </w:r>
      <w:r w:rsidRPr="007F4093">
        <w:rPr>
          <w:szCs w:val="24"/>
        </w:rPr>
        <w:t>annual surveys, including the Boundary and Annexation Survey, the Annual Finance Survey and the Annual Survey of Personnel and Payroll</w:t>
      </w:r>
      <w:r w:rsidR="00F03266">
        <w:rPr>
          <w:szCs w:val="24"/>
        </w:rPr>
        <w:t xml:space="preserve"> </w:t>
      </w:r>
      <w:r w:rsidRPr="007F4093">
        <w:rPr>
          <w:szCs w:val="24"/>
        </w:rPr>
        <w:t>(ASPEP), which provide periodic updates.  From the survey/census collection period, the data are reviewed and edited as necessary, and the GID un</w:t>
      </w:r>
      <w:r w:rsidR="00F03266">
        <w:rPr>
          <w:szCs w:val="24"/>
        </w:rPr>
        <w:t>i</w:t>
      </w:r>
      <w:r w:rsidRPr="007F4093">
        <w:rPr>
          <w:szCs w:val="24"/>
        </w:rPr>
        <w:t>verse is updated 1.5-2 years following ini</w:t>
      </w:r>
      <w:r>
        <w:rPr>
          <w:szCs w:val="24"/>
        </w:rPr>
        <w:t xml:space="preserve">tial collection cycle.  When the </w:t>
      </w:r>
      <w:r w:rsidR="000151DF">
        <w:rPr>
          <w:szCs w:val="24"/>
        </w:rPr>
        <w:t>202</w:t>
      </w:r>
      <w:r w:rsidR="00A9558B">
        <w:rPr>
          <w:szCs w:val="24"/>
        </w:rPr>
        <w:t>5</w:t>
      </w:r>
      <w:r w:rsidR="000151DF">
        <w:rPr>
          <w:szCs w:val="24"/>
        </w:rPr>
        <w:t xml:space="preserve"> </w:t>
      </w:r>
      <w:r>
        <w:rPr>
          <w:szCs w:val="24"/>
        </w:rPr>
        <w:t>sample is drawn</w:t>
      </w:r>
      <w:r w:rsidRPr="007F4093">
        <w:rPr>
          <w:szCs w:val="24"/>
        </w:rPr>
        <w:t xml:space="preserve">, the latest updates to the GID will likely have come from the </w:t>
      </w:r>
      <w:r w:rsidR="000151DF">
        <w:rPr>
          <w:szCs w:val="24"/>
        </w:rPr>
        <w:t>20</w:t>
      </w:r>
      <w:r w:rsidR="00EF183F">
        <w:rPr>
          <w:szCs w:val="24"/>
        </w:rPr>
        <w:t>2</w:t>
      </w:r>
      <w:r w:rsidR="00A664BC">
        <w:rPr>
          <w:szCs w:val="24"/>
        </w:rPr>
        <w:t>3</w:t>
      </w:r>
      <w:r w:rsidRPr="007F4093" w:rsidR="000151DF">
        <w:rPr>
          <w:szCs w:val="24"/>
        </w:rPr>
        <w:t xml:space="preserve"> </w:t>
      </w:r>
      <w:r w:rsidRPr="007F4093">
        <w:rPr>
          <w:szCs w:val="24"/>
        </w:rPr>
        <w:t xml:space="preserve">ASPEP survey.  </w:t>
      </w:r>
    </w:p>
    <w:p w:rsidR="007F4093" w:rsidRPr="00EC7F9C" w:rsidP="007F4093" w14:paraId="2FDED5C5"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12BBA2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P="00083B99" w14:paraId="43591A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P="00D221CB" w14:paraId="4C6AC6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In order to meet the goals of the survey, the sample is </w:t>
      </w:r>
      <w:r w:rsidR="00BB5DCB">
        <w:t>selected with appropriate representation of all important subgroups</w:t>
      </w:r>
      <w:r w:rsidRPr="00EC7F9C">
        <w:t>.  These are:</w:t>
      </w:r>
    </w:p>
    <w:p w:rsidR="00802E60" w:rsidP="00D221CB" w14:paraId="373C8C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P="00802E60" w14:paraId="28F766BF"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is allocated to the </w:t>
      </w:r>
      <w:r>
        <w:t>state and local government</w:t>
      </w:r>
      <w:r w:rsidRPr="00EC7F9C">
        <w:t xml:space="preserve"> and private sectors</w:t>
      </w:r>
    </w:p>
    <w:p w:rsidR="00802E60" w:rsidP="00802E60" w14:paraId="362D7086"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sample is set aside for certainty </w:t>
      </w:r>
      <w:r>
        <w:t xml:space="preserve">units </w:t>
      </w:r>
      <w:r w:rsidRPr="00EC7F9C">
        <w:t>in</w:t>
      </w:r>
      <w:r w:rsidR="00F02303">
        <w:t xml:space="preserve"> both</w:t>
      </w:r>
      <w:r w:rsidRPr="00EC7F9C">
        <w:t xml:space="preserve"> the private sector</w:t>
      </w:r>
      <w:r w:rsidR="00F02303">
        <w:t xml:space="preserve"> and state and local governments</w:t>
      </w:r>
    </w:p>
    <w:p w:rsidR="00802E60" w:rsidP="00802E60" w14:paraId="084294EE"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within the private sector is allocated by state and the government sample is allocated by Census Division</w:t>
      </w:r>
    </w:p>
    <w:p w:rsidR="00D221CB" w:rsidRPr="00802E60" w:rsidP="00802E60" w14:paraId="7D58368A"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EC7F9C">
        <w:t>sample is allocated to strata within each sector.</w:t>
      </w:r>
    </w:p>
    <w:p w:rsidR="00001A26" w:rsidP="00083B99" w14:paraId="3C3142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8C922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Pr="00EC7F9C" w:rsidR="003351E7">
        <w:rPr>
          <w:u w:val="single"/>
        </w:rPr>
        <w:t xml:space="preserve"> </w:t>
      </w:r>
      <w:r w:rsidRPr="00EC7F9C">
        <w:rPr>
          <w:u w:val="single"/>
        </w:rPr>
        <w:t>and Private Sectors</w:t>
      </w:r>
    </w:p>
    <w:p w:rsidR="00083B99" w:rsidRPr="00EC7F9C" w:rsidP="00083B99" w14:paraId="67366C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2DFD58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Pr="00EC7F9C" w:rsidR="0037171C">
        <w:t xml:space="preserve"> </w:t>
      </w:r>
      <w:r w:rsidRPr="00EC7F9C">
        <w:t>and private sector</w:t>
      </w:r>
      <w:r w:rsidR="0037171C">
        <w:t>s</w:t>
      </w:r>
      <w:r w:rsidRPr="00EC7F9C">
        <w:t xml:space="preserve"> is based upon past allocations.  There are several precision goals for the survey.  There are National and State </w:t>
      </w:r>
      <w:r w:rsidRPr="00EC7F9C" w:rsidR="00F031E7">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P="00083B99" w14:paraId="6B25CF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49C9A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P="00083B99" w14:paraId="26E10AEE"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rsidR="00083B99" w:rsidRPr="00EC7F9C" w:rsidP="00083B99" w14:paraId="226D16CB"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P="00083B99" w14:paraId="4E10246A"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P="00083B99" w14:paraId="5C51D8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P="00083B99" w14:paraId="4AFD49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Pr="00EC7F9C" w:rsidR="000C724E">
        <w:t xml:space="preserve"> </w:t>
      </w:r>
      <w:r w:rsidRPr="00EC7F9C">
        <w:t>goals for the state and local government sector for the survey are the following:</w:t>
      </w:r>
    </w:p>
    <w:p w:rsidR="00083B99" w:rsidRPr="00EC7F9C" w:rsidP="00083B99" w14:paraId="71EB69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F2EDCA7"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P="00083B99" w14:paraId="73D3F5DD" w14:textId="193F489A">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rsidR="00083B99" w:rsidRPr="00EC7F9C" w:rsidP="00083B99" w14:paraId="258C2196" w14:textId="2BD0F0D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P="00083B99" w14:paraId="0BF14C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31203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P="00083B99" w14:paraId="2529B0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B692D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Pr="00EC7F9C" w:rsidR="006150B9">
        <w:t xml:space="preserve"> </w:t>
      </w:r>
      <w:r w:rsidRPr="00EC7F9C">
        <w:t>among users for higher quality private sector estimates as opposed to estimates for governments.</w:t>
      </w:r>
    </w:p>
    <w:p w:rsidR="00083B99" w:rsidRPr="00EC7F9C" w:rsidP="00083B99" w14:paraId="1CFB10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6B3F2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C2A2F">
        <w:t xml:space="preserve">Given these goals and the budget limitation for the sample of </w:t>
      </w:r>
      <w:r w:rsidRPr="003C2A2F" w:rsidR="004F1E56">
        <w:t xml:space="preserve">about </w:t>
      </w:r>
      <w:r w:rsidRPr="003C2A2F" w:rsidR="003C2A2F">
        <w:t>46</w:t>
      </w:r>
      <w:r w:rsidRPr="003C2A2F" w:rsidR="0045382A">
        <w:t>,</w:t>
      </w:r>
      <w:r w:rsidRPr="003C2A2F" w:rsidR="002E2C08">
        <w:t>0</w:t>
      </w:r>
      <w:r w:rsidRPr="003C2A2F" w:rsidR="0045382A">
        <w:t>00</w:t>
      </w:r>
      <w:r w:rsidRPr="003C2A2F">
        <w:t xml:space="preserve"> units, approximately </w:t>
      </w:r>
      <w:r w:rsidRPr="003C2A2F" w:rsidR="00E80E7C">
        <w:t>42,000</w:t>
      </w:r>
      <w:r w:rsidRPr="003C2A2F" w:rsidR="003351E7">
        <w:t xml:space="preserve"> </w:t>
      </w:r>
      <w:r w:rsidRPr="003C2A2F">
        <w:t xml:space="preserve">sample units are allocated to the private sector and </w:t>
      </w:r>
      <w:r w:rsidRPr="003C2A2F" w:rsidR="003C2A2F">
        <w:t>4</w:t>
      </w:r>
      <w:r w:rsidRPr="003C2A2F" w:rsidR="009E611A">
        <w:t>,000</w:t>
      </w:r>
      <w:r w:rsidRPr="003C2A2F" w:rsidR="003351E7">
        <w:t xml:space="preserve"> </w:t>
      </w:r>
      <w:r w:rsidRPr="003C2A2F">
        <w:t>to governments.  This allocation was based upon</w:t>
      </w:r>
      <w:r w:rsidRPr="003C2A2F" w:rsidR="000C724E">
        <w:t xml:space="preserve"> the</w:t>
      </w:r>
      <w:r w:rsidRPr="003C2A2F">
        <w:t xml:space="preserve"> </w:t>
      </w:r>
      <w:r w:rsidRPr="003C2A2F" w:rsidR="000C724E">
        <w:t>RSE</w:t>
      </w:r>
      <w:r w:rsidRPr="003C2A2F" w:rsidR="004F026C">
        <w:t>s</w:t>
      </w:r>
      <w:r w:rsidRPr="003C2A2F">
        <w:t xml:space="preserve"> from past surveys.</w:t>
      </w:r>
    </w:p>
    <w:p w:rsidR="00083B99" w:rsidRPr="00EC7F9C" w:rsidP="00083B99" w14:paraId="2071FF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069D9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P="00083B99" w14:paraId="07C22FD3" w14:textId="7777777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CA3A5F">
        <w:t>573</w:t>
      </w:r>
      <w:r w:rsidRPr="00EC7F9C" w:rsidR="00E80E7C">
        <w:t xml:space="preserve"> </w:t>
      </w:r>
      <w:r w:rsidRPr="00EC7F9C">
        <w:t xml:space="preserve">large certainty units, </w:t>
      </w:r>
    </w:p>
    <w:p w:rsidR="00083B99" w:rsidRPr="00EC7F9C" w:rsidP="00083B99" w14:paraId="3FB164C1" w14:textId="7777777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which is allocated to individual states.</w:t>
      </w:r>
    </w:p>
    <w:p w:rsidR="00D17DA6" w:rsidP="00083B99" w14:paraId="137315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41053F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P="00083B99" w14:paraId="015B6C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2B53F0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Pr="00EC7F9C" w:rsidR="006150B9">
        <w:t xml:space="preserve"> </w:t>
      </w:r>
      <w:r w:rsidRPr="00EC7F9C">
        <w:t>than proportional allocation and would not produce adequate national estimates.</w:t>
      </w:r>
    </w:p>
    <w:p w:rsidR="00083B99" w:rsidRPr="00EC7F9C" w:rsidP="00083B99" w14:paraId="4E4982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750E03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compromise allocation starts by proportionally allocating 17,000 responding sample establishments among the states.  The allocation is then supplemented for the 42 smallest states so that each of the 11 smallest states receive about </w:t>
      </w:r>
      <w:r w:rsidR="0050237F">
        <w:t>350</w:t>
      </w:r>
      <w:r w:rsidRPr="00EC7F9C">
        <w:t xml:space="preserve"> sample establishments and each of the next 31 largest states receive </w:t>
      </w:r>
      <w:r w:rsidR="00AF7AAC">
        <w:t>400</w:t>
      </w:r>
      <w:r w:rsidRPr="00EC7F9C">
        <w:t xml:space="preserve">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P="00083B99" w14:paraId="359D83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P="00083B99" w14:paraId="76CEC7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w:t>
      </w:r>
      <w:r w:rsidRPr="00EC7F9C">
        <w:t xml:space="preserve">expected nonresponse and out of scope establishments to arrive at the final sample size per state.  These sizes are listed in </w:t>
      </w:r>
      <w:r w:rsidRPr="00340829">
        <w:t xml:space="preserve">Attachment </w:t>
      </w:r>
      <w:r w:rsidRPr="00340829" w:rsidR="002131BA">
        <w:t>F</w:t>
      </w:r>
      <w:r w:rsidRPr="00EC7F9C">
        <w:t>.</w:t>
      </w:r>
    </w:p>
    <w:p w:rsidR="00083B99" w:rsidRPr="00EC7F9C" w:rsidP="00083B99" w14:paraId="75CCF1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7277A6" w:rsidP="00083B99" w14:paraId="52532A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277A6" w:rsidP="00083B99" w14:paraId="5B8B10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00F9B6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P="00083B99" w14:paraId="06DEA9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P="00083B99" w14:paraId="2729D8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00366448">
        <w:t>7.</w:t>
      </w:r>
      <w:r w:rsidR="004947DC">
        <w:t>8</w:t>
      </w:r>
      <w:r w:rsidRPr="00366448">
        <w:t xml:space="preserve"> million</w:t>
      </w:r>
      <w:r w:rsidRPr="00EC7F9C">
        <w:t xml:space="preserve"> establishments.  Before final sample allocation and selections, the universe in each state is stratified into 14 stratification cells</w:t>
      </w:r>
      <w:r w:rsidR="00D51648">
        <w:t xml:space="preserve">. </w:t>
      </w:r>
    </w:p>
    <w:p w:rsidR="0045382A" w:rsidP="00083B99" w14:paraId="0B6708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P="00083B99" w14:paraId="0AD091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Pr="00EC7F9C">
        <w:t xml:space="preserve">a certainty stratum </w:t>
      </w:r>
      <w:r>
        <w:t xml:space="preserve">for each state </w:t>
      </w:r>
      <w:r w:rsidRPr="00EC7F9C">
        <w:t>which contains establishments with projected enrollments of above 5</w:t>
      </w:r>
      <w:r>
        <w:t>,</w:t>
      </w:r>
      <w:r w:rsidRPr="00EC7F9C">
        <w:t xml:space="preserve">000 employees.  </w:t>
      </w:r>
      <w:r w:rsidR="003351E7">
        <w:t>The s</w:t>
      </w:r>
      <w:r w:rsidRPr="00EC7F9C" w:rsidR="003351E7">
        <w:t xml:space="preserve">ample </w:t>
      </w:r>
      <w:r w:rsidRPr="00EC7F9C">
        <w:t xml:space="preserve">for certainty </w:t>
      </w:r>
      <w:r w:rsidR="0045382A">
        <w:t xml:space="preserve">establishments </w:t>
      </w:r>
      <w:r>
        <w:t>is</w:t>
      </w:r>
      <w:r w:rsidRPr="00EC7F9C">
        <w:t xml:space="preserve"> allocated for the country as a whole and </w:t>
      </w:r>
      <w:r w:rsidR="003351E7">
        <w:t>is</w:t>
      </w:r>
      <w:r w:rsidRPr="00EC7F9C" w:rsidR="003351E7">
        <w:t xml:space="preserve"> </w:t>
      </w:r>
      <w:r w:rsidRPr="00EC7F9C">
        <w:t>not part of the state allocation process.</w:t>
      </w:r>
      <w:r>
        <w:t xml:space="preserve">  </w:t>
      </w:r>
    </w:p>
    <w:p w:rsidR="00083B99" w:rsidRPr="00EC7F9C" w:rsidP="00083B99" w14:paraId="7E7893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P="00083B99" w14:paraId="72B03D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Pr="00EC7F9C" w:rsidR="00842955">
        <w:t xml:space="preserve"> </w:t>
      </w:r>
      <w:r w:rsidR="00446819">
        <w:t>shows</w:t>
      </w:r>
      <w:r w:rsidRPr="00EC7F9C" w:rsidR="00446819">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 </w:t>
      </w:r>
      <w:r w:rsidR="0045382A">
        <w:t xml:space="preserve">  </w:t>
      </w:r>
    </w:p>
    <w:p w:rsidR="00D02EBE" w:rsidP="00083B99" w14:paraId="6E3058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4FB98C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654B0E" w:rsidP="00F01C2A" w14:paraId="1C4EBE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13EDEA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r>
        <w:rPr>
          <w:sz w:val="22"/>
          <w:szCs w:val="22"/>
        </w:rPr>
        <w:t>Neyman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 xml:space="preserve">was used to obtain the State-level non-certainty allocation for the </w:t>
      </w:r>
      <w:r>
        <w:rPr>
          <w:sz w:val="22"/>
          <w:szCs w:val="22"/>
        </w:rPr>
        <w:t>i</w:t>
      </w:r>
      <w:r>
        <w:rPr>
          <w:sz w:val="22"/>
          <w:szCs w:val="22"/>
          <w:vertAlign w:val="superscript"/>
        </w:rPr>
        <w:t>th</w:t>
      </w:r>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P="00F01C2A" w14:paraId="2949C9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0EB0EE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Pr>
          <w:position w:val="-6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95pt;height:48.5pt" o:oleicon="f" o:ole="">
            <v:imagedata r:id="rId5" o:title=""/>
          </v:shape>
          <o:OLEObject Type="Embed" ProgID="Equation.3" ShapeID="_x0000_i1025" DrawAspect="Content" ObjectID="_1817293559" r:id="rId6"/>
        </w:object>
      </w:r>
      <w:r w:rsidRPr="00F453DD">
        <w:rPr>
          <w:sz w:val="22"/>
          <w:szCs w:val="22"/>
        </w:rPr>
        <w:t xml:space="preserve">  </w:t>
      </w:r>
    </w:p>
    <w:p w:rsidR="00F01C2A" w:rsidRPr="00F453DD" w:rsidP="00F01C2A" w14:paraId="34A935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5A7736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where</w:t>
      </w:r>
    </w:p>
    <w:p w:rsidR="00F01C2A" w:rsidRPr="00F453DD" w:rsidP="00F01C2A" w14:paraId="2A7226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784D85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number of establishments in the </w:t>
      </w:r>
      <w:r>
        <w:rPr>
          <w:sz w:val="22"/>
          <w:szCs w:val="22"/>
        </w:rPr>
        <w:t>i</w:t>
      </w:r>
      <w:r w:rsidRPr="009A51EB">
        <w:rPr>
          <w:sz w:val="22"/>
          <w:szCs w:val="22"/>
          <w:vertAlign w:val="superscript"/>
        </w:rPr>
        <w:t>th</w:t>
      </w:r>
      <w:r w:rsidRPr="00F453DD">
        <w:rPr>
          <w:sz w:val="22"/>
          <w:szCs w:val="22"/>
        </w:rPr>
        <w:t xml:space="preserve"> stratum in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w:t>
      </w:r>
    </w:p>
    <w:p w:rsidR="00F01C2A" w:rsidP="00F01C2A" w14:paraId="50F934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034EDA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n</w:t>
      </w:r>
      <w:r>
        <w:rPr>
          <w:sz w:val="22"/>
          <w:szCs w:val="22"/>
          <w:vertAlign w:val="subscript"/>
        </w:rPr>
        <w:t>s</w:t>
      </w:r>
      <w:r>
        <w:rPr>
          <w:sz w:val="22"/>
          <w:szCs w:val="22"/>
        </w:rPr>
        <w:t xml:space="preserve"> is the State sample size,</w:t>
      </w:r>
    </w:p>
    <w:p w:rsidR="00F01C2A" w:rsidRPr="00250D17" w:rsidP="00F01C2A" w14:paraId="0327CD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28FBF47E" w14:textId="77777777">
      <w:pPr>
        <w:rPr>
          <w:i/>
          <w:sz w:val="22"/>
          <w:szCs w:val="22"/>
        </w:rPr>
      </w:pPr>
      <w:r>
        <w:rPr>
          <w:sz w:val="22"/>
          <w:szCs w:val="22"/>
        </w:rPr>
        <w:t>S</w:t>
      </w:r>
      <w:r>
        <w:rPr>
          <w:sz w:val="22"/>
          <w:szCs w:val="22"/>
          <w:vertAlign w:val="subscript"/>
        </w:rPr>
        <w:t>si</w:t>
      </w:r>
      <w:r>
        <w:rPr>
          <w:sz w:val="22"/>
          <w:szCs w:val="22"/>
        </w:rPr>
        <w:t xml:space="preserve"> </w:t>
      </w:r>
      <w:r w:rsidRPr="00F453DD">
        <w:rPr>
          <w:sz w:val="22"/>
          <w:szCs w:val="22"/>
        </w:rPr>
        <w:t xml:space="preserve">is </w:t>
      </w:r>
      <w:r w:rsidR="007923CF">
        <w:rPr>
          <w:sz w:val="22"/>
          <w:szCs w:val="22"/>
        </w:rPr>
        <w:t xml:space="preserve">the </w:t>
      </w:r>
      <w:r>
        <w:rPr>
          <w:sz w:val="22"/>
          <w:szCs w:val="22"/>
        </w:rPr>
        <w:t>standard deviation</w:t>
      </w:r>
      <w:r w:rsidRPr="00F453DD">
        <w:rPr>
          <w:sz w:val="22"/>
          <w:szCs w:val="22"/>
        </w:rPr>
        <w:t xml:space="preserve"> for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 xml:space="preserve"> and the</w:t>
      </w:r>
      <w:r>
        <w:rPr>
          <w:sz w:val="22"/>
          <w:szCs w:val="22"/>
        </w:rPr>
        <w:t xml:space="preserve"> </w:t>
      </w:r>
      <w:r>
        <w:rPr>
          <w:sz w:val="22"/>
          <w:szCs w:val="22"/>
        </w:rPr>
        <w:t>i</w:t>
      </w:r>
      <w:r w:rsidRPr="009A51EB">
        <w:rPr>
          <w:sz w:val="22"/>
          <w:szCs w:val="22"/>
          <w:vertAlign w:val="superscript"/>
        </w:rPr>
        <w:t>th</w:t>
      </w:r>
      <w:r>
        <w:rPr>
          <w:sz w:val="22"/>
          <w:szCs w:val="22"/>
        </w:rPr>
        <w:t xml:space="preserve"> stratum </w:t>
      </w:r>
      <w:r w:rsidRPr="00F453DD">
        <w:rPr>
          <w:sz w:val="22"/>
          <w:szCs w:val="22"/>
        </w:rPr>
        <w:t>and</w:t>
      </w:r>
    </w:p>
    <w:p w:rsidR="00F01C2A" w:rsidRPr="00F453DD" w:rsidP="00F01C2A" w14:paraId="64DF57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67277B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allocation to the </w:t>
      </w:r>
      <w:r w:rsidRPr="00F453DD">
        <w:rPr>
          <w:sz w:val="22"/>
          <w:szCs w:val="22"/>
        </w:rPr>
        <w:t>i</w:t>
      </w:r>
      <w:r w:rsidRPr="00250D17">
        <w:rPr>
          <w:sz w:val="22"/>
          <w:szCs w:val="22"/>
          <w:vertAlign w:val="superscript"/>
        </w:rPr>
        <w:t>th</w:t>
      </w:r>
      <w:r w:rsidRPr="00F453DD">
        <w:rPr>
          <w:sz w:val="22"/>
          <w:szCs w:val="22"/>
        </w:rPr>
        <w:t xml:space="preserve"> stratum in the </w:t>
      </w:r>
      <w:r w:rsidRPr="00F453DD">
        <w:rPr>
          <w:sz w:val="22"/>
          <w:szCs w:val="22"/>
        </w:rPr>
        <w:t>s</w:t>
      </w:r>
      <w:r w:rsidRPr="00250D17">
        <w:rPr>
          <w:sz w:val="22"/>
          <w:szCs w:val="22"/>
          <w:vertAlign w:val="superscript"/>
        </w:rPr>
        <w:t>th</w:t>
      </w:r>
      <w:r w:rsidRPr="00F453DD">
        <w:rPr>
          <w:sz w:val="22"/>
          <w:szCs w:val="22"/>
        </w:rPr>
        <w:t xml:space="preserve"> </w:t>
      </w:r>
      <w:r>
        <w:rPr>
          <w:sz w:val="22"/>
          <w:szCs w:val="22"/>
        </w:rPr>
        <w:t>State</w:t>
      </w:r>
      <w:r w:rsidRPr="00F453DD">
        <w:rPr>
          <w:sz w:val="22"/>
          <w:szCs w:val="22"/>
        </w:rPr>
        <w:t xml:space="preserve">.  </w:t>
      </w:r>
    </w:p>
    <w:p w:rsidR="00F01C2A" w:rsidRPr="00F453DD" w:rsidP="00F01C2A" w14:paraId="70CA17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13F752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This allocation is calculated based on </w:t>
      </w:r>
      <w:r>
        <w:rPr>
          <w:sz w:val="22"/>
          <w:szCs w:val="22"/>
        </w:rPr>
        <w:t>S</w:t>
      </w:r>
      <w:r>
        <w:rPr>
          <w:sz w:val="22"/>
          <w:szCs w:val="22"/>
          <w:vertAlign w:val="subscript"/>
        </w:rPr>
        <w:t>si</w:t>
      </w:r>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xml:space="preserve">, </w:t>
      </w:r>
      <w:r>
        <w:rPr>
          <w:sz w:val="22"/>
          <w:szCs w:val="22"/>
        </w:rPr>
        <w:t>r</w:t>
      </w:r>
      <w:r>
        <w:rPr>
          <w:sz w:val="22"/>
          <w:szCs w:val="22"/>
          <w:vertAlign w:val="subscript"/>
        </w:rPr>
        <w:t>s</w:t>
      </w:r>
      <w:r w:rsidRPr="004F6FC6">
        <w:rPr>
          <w:sz w:val="22"/>
          <w:szCs w:val="22"/>
          <w:vertAlign w:val="subscript"/>
        </w:rPr>
        <w:t>i</w:t>
      </w:r>
      <w:r>
        <w:rPr>
          <w:sz w:val="22"/>
          <w:szCs w:val="22"/>
        </w:rPr>
        <w:t xml:space="preserve"> ,</w:t>
      </w:r>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P="00F01C2A" w14:paraId="1224A1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225F79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Pr>
          <w:sz w:val="22"/>
          <w:szCs w:val="22"/>
        </w:rPr>
        <w:t>r</w:t>
      </w:r>
      <w:r>
        <w:rPr>
          <w:sz w:val="22"/>
          <w:szCs w:val="22"/>
          <w:vertAlign w:val="subscript"/>
        </w:rPr>
        <w:t>si</w:t>
      </w:r>
      <w:r>
        <w:rPr>
          <w:sz w:val="22"/>
          <w:szCs w:val="22"/>
        </w:rPr>
        <w:t xml:space="preserve"> =</w:t>
      </w:r>
      <w:r w:rsidRPr="00F453DD">
        <w:rPr>
          <w:sz w:val="22"/>
          <w:szCs w:val="22"/>
        </w:rPr>
        <w:t xml:space="preserve"> </w:t>
      </w:r>
      <w:r w:rsidRPr="00C664BC">
        <w:rPr>
          <w:sz w:val="22"/>
          <w:szCs w:val="22"/>
        </w:rPr>
        <w:t>.</w:t>
      </w:r>
      <w:r w:rsidR="00C664BC">
        <w:rPr>
          <w:sz w:val="22"/>
          <w:szCs w:val="22"/>
        </w:rPr>
        <w:t>01</w:t>
      </w:r>
      <w:r w:rsidRPr="00C664BC">
        <w:rPr>
          <w:sz w:val="22"/>
          <w:szCs w:val="22"/>
        </w:rPr>
        <w:t xml:space="preserve"> </w:t>
      </w:r>
      <w:r w:rsidRPr="00C664BC">
        <w:rPr>
          <w:sz w:val="22"/>
          <w:szCs w:val="22"/>
        </w:rPr>
        <w:t>n</w:t>
      </w:r>
      <w:r w:rsidRPr="00C664BC">
        <w:rPr>
          <w:sz w:val="22"/>
          <w:szCs w:val="22"/>
          <w:vertAlign w:val="subscript"/>
        </w:rPr>
        <w:t>si</w:t>
      </w:r>
      <w:r w:rsidRPr="00C664BC">
        <w:rPr>
          <w:sz w:val="22"/>
          <w:szCs w:val="22"/>
          <w:vertAlign w:val="subscript"/>
        </w:rPr>
        <w:t xml:space="preserve"> </w:t>
      </w:r>
      <w:r w:rsidRPr="00C664BC">
        <w:rPr>
          <w:sz w:val="22"/>
          <w:szCs w:val="22"/>
        </w:rPr>
        <w:t>+</w:t>
      </w:r>
      <w:r w:rsidRPr="00C664BC">
        <w:rPr>
          <w:sz w:val="22"/>
          <w:szCs w:val="22"/>
          <w:vertAlign w:val="subscript"/>
        </w:rPr>
        <w:t xml:space="preserve"> </w:t>
      </w:r>
      <w:r w:rsidRPr="00C664BC">
        <w:rPr>
          <w:sz w:val="22"/>
          <w:szCs w:val="22"/>
        </w:rPr>
        <w:t>.</w:t>
      </w:r>
      <w:r w:rsidR="00C664BC">
        <w:rPr>
          <w:sz w:val="22"/>
          <w:szCs w:val="22"/>
        </w:rPr>
        <w:t>99</w:t>
      </w:r>
      <w:r w:rsidRPr="00C664BC">
        <w:rPr>
          <w:sz w:val="22"/>
          <w:szCs w:val="22"/>
        </w:rPr>
        <w:t xml:space="preserve"> </w:t>
      </w:r>
      <w:r w:rsidRPr="00C664BC">
        <w:rPr>
          <w:sz w:val="22"/>
          <w:szCs w:val="22"/>
        </w:rPr>
        <w:t>m</w:t>
      </w:r>
      <w:r w:rsidRPr="00C664BC">
        <w:rPr>
          <w:sz w:val="22"/>
          <w:szCs w:val="22"/>
          <w:vertAlign w:val="subscript"/>
        </w:rPr>
        <w:t>si</w:t>
      </w:r>
    </w:p>
    <w:p w:rsidR="00F01C2A" w:rsidP="00F01C2A" w14:paraId="43B4E5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0DC34B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where</w:t>
      </w:r>
      <w:r w:rsidRPr="00F453DD">
        <w:rPr>
          <w:sz w:val="22"/>
          <w:szCs w:val="22"/>
        </w:rPr>
        <w:t xml:space="preserve"> </w:t>
      </w:r>
    </w:p>
    <w:p w:rsidR="00F01C2A" w:rsidP="00F01C2A" w14:paraId="1843E1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P="00F01C2A" w14:paraId="7F3338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m</w:t>
      </w:r>
      <w:r>
        <w:rPr>
          <w:sz w:val="22"/>
          <w:szCs w:val="22"/>
          <w:vertAlign w:val="subscript"/>
        </w:rPr>
        <w:t>si</w:t>
      </w:r>
      <w:r>
        <w:rPr>
          <w:sz w:val="22"/>
          <w:szCs w:val="22"/>
          <w:vertAlign w:val="subscript"/>
        </w:rPr>
        <w:t xml:space="preserve"> </w:t>
      </w:r>
      <w:r>
        <w:rPr>
          <w:sz w:val="22"/>
          <w:szCs w:val="22"/>
        </w:rPr>
        <w:t xml:space="preserve">is the second allocation using total enrollees to calculate </w:t>
      </w:r>
      <w:r>
        <w:rPr>
          <w:sz w:val="22"/>
          <w:szCs w:val="22"/>
        </w:rPr>
        <w:t>S</w:t>
      </w:r>
      <w:r>
        <w:rPr>
          <w:sz w:val="22"/>
          <w:szCs w:val="22"/>
          <w:vertAlign w:val="subscript"/>
        </w:rPr>
        <w:t>si</w:t>
      </w:r>
      <w:r>
        <w:rPr>
          <w:sz w:val="22"/>
          <w:szCs w:val="22"/>
          <w:vertAlign w:val="subscript"/>
        </w:rPr>
        <w:t>.</w:t>
      </w:r>
    </w:p>
    <w:p w:rsidR="00F01C2A" w:rsidRPr="00F453DD" w:rsidP="00F01C2A" w14:paraId="6AFEDE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4EB091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 xml:space="preserve">cell is given the same chance of selection </w:t>
      </w:r>
      <w:r w:rsidRPr="00F453DD">
        <w:rPr>
          <w:sz w:val="22"/>
          <w:szCs w:val="22"/>
        </w:rPr>
        <w:t>equal to</w:t>
      </w:r>
    </w:p>
    <w:p w:rsidR="00F01C2A" w:rsidRPr="00F453DD" w:rsidP="00F01C2A" w14:paraId="66C8A8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3AE566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p</w:t>
      </w:r>
      <w:r w:rsidRPr="00F453DD">
        <w:rPr>
          <w:sz w:val="22"/>
          <w:szCs w:val="22"/>
          <w:vertAlign w:val="subscript"/>
        </w:rPr>
        <w:t>si</w:t>
      </w:r>
      <w:r w:rsidRPr="00F453DD">
        <w:rPr>
          <w:sz w:val="22"/>
          <w:szCs w:val="22"/>
        </w:rPr>
        <w:t xml:space="preserve"> </w:t>
      </w:r>
      <w:r w:rsidRPr="00F453DD">
        <w:rPr>
          <w:sz w:val="22"/>
          <w:szCs w:val="22"/>
        </w:rPr>
        <w:t xml:space="preserve">=  </w:t>
      </w:r>
      <w:r>
        <w:rPr>
          <w:sz w:val="22"/>
          <w:szCs w:val="22"/>
        </w:rPr>
        <w:t>r</w:t>
      </w:r>
      <w:r w:rsidRPr="00F453DD">
        <w:rPr>
          <w:sz w:val="22"/>
          <w:szCs w:val="22"/>
          <w:vertAlign w:val="subscript"/>
        </w:rPr>
        <w:t>si</w:t>
      </w:r>
      <w:r w:rsidRPr="00F453DD">
        <w:rPr>
          <w:sz w:val="22"/>
          <w:szCs w:val="22"/>
        </w:rPr>
        <w:t>/</w:t>
      </w:r>
      <w:r w:rsidRPr="00F453DD">
        <w:rPr>
          <w:sz w:val="22"/>
          <w:szCs w:val="22"/>
        </w:rPr>
        <w:t>N</w:t>
      </w:r>
      <w:r w:rsidRPr="00F453DD">
        <w:rPr>
          <w:sz w:val="22"/>
          <w:szCs w:val="22"/>
          <w:vertAlign w:val="subscript"/>
        </w:rPr>
        <w:t>si</w:t>
      </w:r>
      <w:r w:rsidRPr="00F453DD">
        <w:rPr>
          <w:sz w:val="22"/>
          <w:szCs w:val="22"/>
        </w:rPr>
        <w:t xml:space="preserve"> where </w:t>
      </w:r>
      <w:r>
        <w:rPr>
          <w:sz w:val="22"/>
          <w:szCs w:val="22"/>
        </w:rPr>
        <w:t>r</w:t>
      </w:r>
      <w:r w:rsidRPr="00F453DD">
        <w:rPr>
          <w:sz w:val="22"/>
          <w:szCs w:val="22"/>
          <w:vertAlign w:val="subscript"/>
        </w:rPr>
        <w:t>si</w:t>
      </w:r>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P="00F01C2A" w14:paraId="0DA793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70D790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P="00F01C2A" w14:paraId="18DEF3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3C1FA4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The values of the p</w:t>
      </w:r>
      <w:r w:rsidRPr="00F453DD">
        <w:rPr>
          <w:sz w:val="22"/>
          <w:szCs w:val="22"/>
          <w:vertAlign w:val="subscript"/>
        </w:rPr>
        <w:t>si</w:t>
      </w:r>
      <w:r w:rsidRPr="00F453DD">
        <w:rPr>
          <w:sz w:val="22"/>
          <w:szCs w:val="22"/>
        </w:rPr>
        <w:t xml:space="preserve">'s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P="00F01C2A" w14:paraId="24F592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P="00F01C2A" w14:paraId="7C1031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r>
        <w:rPr>
          <w:sz w:val="22"/>
          <w:szCs w:val="22"/>
        </w:rPr>
        <w:t>r</w:t>
      </w:r>
      <w:r w:rsidRPr="00F453DD">
        <w:rPr>
          <w:sz w:val="22"/>
          <w:szCs w:val="22"/>
          <w:vertAlign w:val="subscript"/>
        </w:rPr>
        <w:t>si</w:t>
      </w:r>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Pr="00F453DD" w:rsidR="00221F79">
        <w:rPr>
          <w:sz w:val="22"/>
          <w:szCs w:val="22"/>
        </w:rPr>
        <w:t>This assures a good balance of establishments within strata.</w:t>
      </w:r>
    </w:p>
    <w:p w:rsidR="00083B99" w:rsidRPr="00EC7F9C" w:rsidP="00083B99" w14:paraId="144705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P="00083B99" w14:paraId="03AD43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P="00083B99" w14:paraId="28F206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7E16F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DF6B33">
        <w:t>Governments Integrated Directory</w:t>
      </w:r>
      <w:r w:rsidRPr="007F4093" w:rsidR="00DF6B33">
        <w:t xml:space="preserve"> </w:t>
      </w:r>
      <w:r w:rsidR="00DF6B33">
        <w:t>(</w:t>
      </w:r>
      <w:r w:rsidRPr="007F4093" w:rsidR="00DF6B33">
        <w:t>GID</w:t>
      </w:r>
      <w:r w:rsidR="00DF6B33">
        <w:t>)</w:t>
      </w:r>
      <w:r w:rsidRPr="00EC7F9C">
        <w:t xml:space="preserve"> as the frame.  This contains approximately 9</w:t>
      </w:r>
      <w:r w:rsidR="004947DC">
        <w:t>8</w:t>
      </w:r>
      <w:r w:rsidRPr="00EC7F9C">
        <w:t>,000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P="00083B99" w14:paraId="4E8B39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E394D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Pr="00EC7F9C" w:rsidR="00D66424">
        <w:t xml:space="preserve"> </w:t>
      </w:r>
      <w:r w:rsidRPr="00EC7F9C">
        <w:t>governments is allocated to the non-certainty government stratum for each of the 9 Census Divisions.</w:t>
      </w:r>
    </w:p>
    <w:p w:rsidR="00083B99" w:rsidRPr="00EC7F9C" w:rsidP="00083B99" w14:paraId="0767A7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E87EB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P="00083B99" w14:paraId="2F5284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0BB611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P="00083B99" w14:paraId="62C7DB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3250C1" w:rsidP="00083B99" w14:paraId="283A4B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Sampling of Health Insurance Plans</w:t>
      </w:r>
    </w:p>
    <w:p w:rsidR="00083B99" w:rsidP="00083B99" w14:paraId="5F61ED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2955" w:rsidP="00083B99" w14:paraId="4AE091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private sector establishments, if up to four plans are</w:t>
      </w:r>
      <w:r w:rsidR="00C41FBC">
        <w:t xml:space="preserve"> identified during the prescreener,</w:t>
      </w:r>
      <w:r>
        <w:t xml:space="preserve"> all are selected for the plan questionnaire.  If more than four plans are offered, the three largest plans by enrollment are selected, then a fourth plan is randomly selected.</w:t>
      </w:r>
      <w:r w:rsidRPr="00D8687C">
        <w:t xml:space="preserve"> </w:t>
      </w:r>
      <w:r>
        <w:t xml:space="preserve"> </w:t>
      </w:r>
      <w:r w:rsidRPr="00EC7F9C" w:rsidR="00C41FBC">
        <w:t xml:space="preserve">The respondent will receive a preprinted plan </w:t>
      </w:r>
      <w:r w:rsidR="00E90731">
        <w:t>questionnaire</w:t>
      </w:r>
      <w:r w:rsidRPr="00EC7F9C" w:rsidR="00E90731">
        <w:t xml:space="preserve"> </w:t>
      </w:r>
      <w:r w:rsidRPr="00EC7F9C" w:rsidR="00C41FBC">
        <w:t xml:space="preserve">for </w:t>
      </w:r>
      <w:r w:rsidR="00E90731">
        <w:t xml:space="preserve">each of </w:t>
      </w:r>
      <w:r w:rsidRPr="00EC7F9C" w:rsidR="00C41FBC">
        <w:t>the selected plans.</w:t>
      </w:r>
      <w:r w:rsidR="00C41FBC">
        <w:t xml:space="preserve">  </w:t>
      </w:r>
      <w:r>
        <w:t xml:space="preserve">However, if the case </w:t>
      </w:r>
      <w:r w:rsidR="00C41FBC">
        <w:t>was not contacted during the prescreener and went straight to mail</w:t>
      </w:r>
      <w:r w:rsidR="00645FAA">
        <w:t>,</w:t>
      </w:r>
      <w:r w:rsidR="00C41FBC">
        <w:t xml:space="preserve"> the survey form asks for the four</w:t>
      </w:r>
      <w:r>
        <w:t xml:space="preserve"> largest plans by enrollment.</w:t>
      </w:r>
    </w:p>
    <w:p w:rsidR="00DF6B33" w:rsidP="00083B99" w14:paraId="2439D0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5B19" w:rsidP="00083B99" w14:paraId="5903C7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For government establishments, information about every insurance plan offered is collected.  Information about </w:t>
      </w:r>
      <w:r>
        <w:t>all plans offered by governments can be obtained because brochures for the plans are readily available and are provided during data collection. The requisite information about the plans is then abstracted from these brochures. Thus, there is not a disparate burden on governments to provide data for all of their offered plans.</w:t>
      </w:r>
    </w:p>
    <w:p w:rsidR="00641E4D" w:rsidRPr="00EC7F9C" w:rsidP="00083B99" w14:paraId="00FA54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6E47" w:rsidRPr="003250C1" w:rsidP="00641E4D" w14:paraId="1E9B43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250C1">
        <w:rPr>
          <w:u w:val="single"/>
        </w:rPr>
        <w:t>Response Rates</w:t>
      </w:r>
      <w:r w:rsidRPr="003250C1" w:rsidR="00340829">
        <w:rPr>
          <w:u w:val="single"/>
        </w:rPr>
        <w:t xml:space="preserve"> and Expected Number of Respondents</w:t>
      </w:r>
      <w:r w:rsidR="00952C68">
        <w:rPr>
          <w:u w:val="single"/>
        </w:rPr>
        <w:t xml:space="preserve"> for the </w:t>
      </w:r>
      <w:r w:rsidRPr="003250C1">
        <w:rPr>
          <w:u w:val="single"/>
        </w:rPr>
        <w:t>MEPS-I</w:t>
      </w:r>
      <w:r w:rsidR="006239B9">
        <w:rPr>
          <w:u w:val="single"/>
        </w:rPr>
        <w:t>C 2025-2027</w:t>
      </w:r>
    </w:p>
    <w:p w:rsidR="007E6E47" w:rsidP="00641E4D" w14:paraId="456FEA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P="00641E4D" w14:paraId="7177DC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rsidR="00E40A61" w:rsidP="00641E4D" w14:paraId="1E5A12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P="00641E4D" w14:paraId="007F96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P="00641E4D" w14:paraId="39BBFF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0A61" w:rsidP="00E40A61" w14:paraId="7C434BF8" w14:textId="77777777">
      <w:pPr>
        <w:pStyle w:val="NormalWeb"/>
        <w:rPr>
          <w:rFonts w:ascii="Calibri" w:hAnsi="Calibri"/>
          <w:color w:val="000000"/>
        </w:rPr>
      </w:pPr>
      <w:r>
        <w:rPr>
          <w:rFonts w:ascii="Calibri" w:hAnsi="Calibri"/>
          <w:color w:val="000000"/>
        </w:rPr>
        <w:t xml:space="preserve">Projected Response Rates: </w:t>
      </w:r>
      <w:r w:rsidR="005114A6">
        <w:rPr>
          <w:rFonts w:ascii="Calibri" w:hAnsi="Calibri"/>
          <w:color w:val="000000"/>
        </w:rPr>
        <w:t>2</w:t>
      </w:r>
      <w:r w:rsidR="000151DF">
        <w:rPr>
          <w:rFonts w:ascii="Calibri" w:hAnsi="Calibri"/>
          <w:color w:val="000000"/>
        </w:rPr>
        <w:t>02</w:t>
      </w:r>
      <w:r w:rsidR="006239B9">
        <w:rPr>
          <w:rFonts w:ascii="Calibri" w:hAnsi="Calibri"/>
          <w:color w:val="000000"/>
        </w:rPr>
        <w:t>5</w:t>
      </w:r>
      <w:r w:rsidR="000151DF">
        <w:rPr>
          <w:rFonts w:ascii="Calibri" w:hAnsi="Calibri"/>
          <w:color w:val="000000"/>
        </w:rPr>
        <w:t>-202</w:t>
      </w:r>
      <w:r w:rsidR="006239B9">
        <w:rPr>
          <w:rFonts w:ascii="Calibri" w:hAnsi="Calibri"/>
          <w:color w:val="000000"/>
        </w:rPr>
        <w:t>7</w:t>
      </w:r>
      <w:r>
        <w:rPr>
          <w:rFonts w:ascii="Calibri" w:hAnsi="Calibri"/>
          <w:color w:val="000000"/>
        </w:rPr>
        <w:t xml:space="preserve"> MEPS-IC </w:t>
      </w:r>
    </w:p>
    <w:tbl>
      <w:tblPr>
        <w:tblW w:w="0" w:type="auto"/>
        <w:tblInd w:w="108" w:type="dxa"/>
        <w:tblCellMar>
          <w:left w:w="0" w:type="dxa"/>
          <w:right w:w="0" w:type="dxa"/>
        </w:tblCellMar>
        <w:tblLook w:val="04A0"/>
      </w:tblPr>
      <w:tblGrid>
        <w:gridCol w:w="2353"/>
        <w:gridCol w:w="1365"/>
        <w:gridCol w:w="1095"/>
        <w:gridCol w:w="1095"/>
        <w:gridCol w:w="1257"/>
        <w:gridCol w:w="1275"/>
        <w:gridCol w:w="105"/>
        <w:gridCol w:w="150"/>
      </w:tblGrid>
      <w:tr w14:paraId="6A58FBD6" w14:textId="77777777" w:rsidTr="00E40A61">
        <w:tblPrEx>
          <w:tblW w:w="0" w:type="auto"/>
          <w:tblInd w:w="108" w:type="dxa"/>
          <w:tblCellMar>
            <w:left w:w="0" w:type="dxa"/>
            <w:right w:w="0" w:type="dxa"/>
          </w:tblCellMar>
          <w:tblLook w:val="04A0"/>
        </w:tblPrEx>
        <w:trPr>
          <w:trHeight w:val="269"/>
        </w:trPr>
        <w:tc>
          <w:tcPr>
            <w:tcW w:w="1890" w:type="dxa"/>
            <w:vMerge w:val="restart"/>
            <w:tcBorders>
              <w:top w:val="single" w:sz="12" w:space="0" w:color="000000"/>
              <w:left w:val="single" w:sz="12"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E40A61" w14:paraId="3CC65E0F" w14:textId="77777777">
            <w:pPr>
              <w:rPr>
                <w:sz w:val="20"/>
                <w:szCs w:val="20"/>
              </w:rPr>
            </w:pPr>
          </w:p>
        </w:tc>
        <w:tc>
          <w:tcPr>
            <w:tcW w:w="136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21132DC2" w14:textId="77777777">
            <w:pPr>
              <w:pStyle w:val="NormalWeb"/>
              <w:jc w:val="center"/>
            </w:pPr>
            <w:r>
              <w:rPr>
                <w:rFonts w:ascii="Calibri" w:hAnsi="Calibri"/>
                <w:sz w:val="18"/>
                <w:szCs w:val="18"/>
              </w:rPr>
              <w:t>Universe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77CF29D0" w14:textId="77777777">
            <w:pPr>
              <w:pStyle w:val="NormalWeb"/>
              <w:jc w:val="center"/>
            </w:pPr>
            <w:r>
              <w:rPr>
                <w:rFonts w:ascii="Calibri" w:hAnsi="Calibri"/>
                <w:sz w:val="18"/>
                <w:szCs w:val="18"/>
              </w:rPr>
              <w:t>Sample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6184158F" w14:textId="77777777">
            <w:pPr>
              <w:pStyle w:val="NormalWeb"/>
              <w:jc w:val="center"/>
            </w:pPr>
            <w:r>
              <w:rPr>
                <w:rFonts w:ascii="Calibri" w:hAnsi="Calibri"/>
                <w:sz w:val="18"/>
                <w:szCs w:val="18"/>
              </w:rPr>
              <w:t>In-scope</w:t>
            </w:r>
          </w:p>
        </w:tc>
        <w:tc>
          <w:tcPr>
            <w:tcW w:w="1257"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233BF8AD" w14:textId="77777777">
            <w:pPr>
              <w:pStyle w:val="NormalWeb"/>
              <w:jc w:val="center"/>
            </w:pPr>
            <w:r>
              <w:rPr>
                <w:rFonts w:ascii="Calibri" w:hAnsi="Calibri"/>
                <w:sz w:val="18"/>
                <w:szCs w:val="18"/>
              </w:rPr>
              <w:t>Respondents</w:t>
            </w:r>
          </w:p>
        </w:tc>
        <w:tc>
          <w:tcPr>
            <w:tcW w:w="1275"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E40A61" w14:paraId="4EBFC3A3" w14:textId="77777777">
            <w:pPr>
              <w:pStyle w:val="NormalWeb"/>
              <w:jc w:val="center"/>
            </w:pPr>
            <w:r>
              <w:rPr>
                <w:rFonts w:ascii="Calibri" w:hAnsi="Calibri"/>
                <w:sz w:val="18"/>
                <w:szCs w:val="18"/>
              </w:rPr>
              <w:t>Response rate</w:t>
            </w:r>
          </w:p>
        </w:tc>
        <w:tc>
          <w:tcPr>
            <w:tcW w:w="105" w:type="dxa"/>
            <w:vAlign w:val="center"/>
            <w:hideMark/>
          </w:tcPr>
          <w:p w:rsidR="00E40A61" w14:paraId="2DC1264C" w14:textId="77777777">
            <w:pPr>
              <w:rPr>
                <w:sz w:val="20"/>
                <w:szCs w:val="20"/>
              </w:rPr>
            </w:pPr>
          </w:p>
        </w:tc>
        <w:tc>
          <w:tcPr>
            <w:tcW w:w="150" w:type="dxa"/>
            <w:vAlign w:val="center"/>
            <w:hideMark/>
          </w:tcPr>
          <w:p w:rsidR="00E40A61" w14:paraId="65E70288" w14:textId="77777777">
            <w:pPr>
              <w:pStyle w:val="NormalWeb"/>
            </w:pPr>
            <w:r>
              <w:t> </w:t>
            </w:r>
          </w:p>
        </w:tc>
      </w:tr>
      <w:tr w14:paraId="3BC3866E" w14:textId="77777777" w:rsidTr="00E40A61">
        <w:tblPrEx>
          <w:tblW w:w="0" w:type="auto"/>
          <w:tblInd w:w="108" w:type="dxa"/>
          <w:tblCellMar>
            <w:left w:w="0" w:type="dxa"/>
            <w:right w:w="0" w:type="dxa"/>
          </w:tblCellMar>
          <w:tblLook w:val="04A0"/>
        </w:tblPrEx>
        <w:trPr>
          <w:trHeight w:val="269"/>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E40A61" w14:paraId="72C2382D" w14:textId="77777777">
            <w:pPr>
              <w:rPr>
                <w:sz w:val="20"/>
                <w:szCs w:val="20"/>
              </w:rPr>
            </w:pPr>
          </w:p>
        </w:tc>
        <w:tc>
          <w:tcPr>
            <w:tcW w:w="0" w:type="auto"/>
            <w:vMerge/>
            <w:tcBorders>
              <w:top w:val="single" w:sz="12" w:space="0" w:color="auto"/>
              <w:left w:val="nil"/>
              <w:bottom w:val="single" w:sz="8" w:space="0" w:color="auto"/>
              <w:right w:val="single" w:sz="8" w:space="0" w:color="auto"/>
            </w:tcBorders>
            <w:vAlign w:val="center"/>
            <w:hideMark/>
          </w:tcPr>
          <w:p w:rsidR="00E40A61" w14:paraId="1FF204B8"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22ABCFC0"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344DC87A"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2710ADFD" w14:textId="77777777">
            <w:pPr>
              <w:rPr>
                <w:rFonts w:eastAsiaTheme="minorHAnsi"/>
              </w:rPr>
            </w:pPr>
          </w:p>
        </w:tc>
        <w:tc>
          <w:tcPr>
            <w:tcW w:w="0" w:type="auto"/>
            <w:vMerge/>
            <w:tcBorders>
              <w:top w:val="single" w:sz="12" w:space="0" w:color="auto"/>
              <w:left w:val="nil"/>
              <w:bottom w:val="single" w:sz="8" w:space="0" w:color="auto"/>
              <w:right w:val="single" w:sz="12" w:space="0" w:color="auto"/>
            </w:tcBorders>
            <w:vAlign w:val="center"/>
            <w:hideMark/>
          </w:tcPr>
          <w:p w:rsidR="00E40A61" w14:paraId="45EF8931" w14:textId="77777777">
            <w:pPr>
              <w:rPr>
                <w:rFonts w:eastAsiaTheme="minorHAnsi"/>
              </w:rPr>
            </w:pPr>
          </w:p>
        </w:tc>
        <w:tc>
          <w:tcPr>
            <w:tcW w:w="0" w:type="auto"/>
            <w:vAlign w:val="center"/>
            <w:hideMark/>
          </w:tcPr>
          <w:p w:rsidR="00E40A61" w14:paraId="116F052E" w14:textId="77777777">
            <w:pPr>
              <w:rPr>
                <w:sz w:val="20"/>
                <w:szCs w:val="20"/>
              </w:rPr>
            </w:pPr>
          </w:p>
        </w:tc>
        <w:tc>
          <w:tcPr>
            <w:tcW w:w="0" w:type="auto"/>
            <w:vAlign w:val="center"/>
            <w:hideMark/>
          </w:tcPr>
          <w:p w:rsidR="00E40A61" w14:paraId="6B266A29" w14:textId="77777777">
            <w:pPr>
              <w:pStyle w:val="NormalWeb"/>
            </w:pPr>
            <w:r>
              <w:t> </w:t>
            </w:r>
          </w:p>
        </w:tc>
      </w:tr>
      <w:tr w14:paraId="1FB56A67" w14:textId="77777777" w:rsidTr="00E40A61">
        <w:tblPrEx>
          <w:tblW w:w="0" w:type="auto"/>
          <w:tblInd w:w="108" w:type="dxa"/>
          <w:tblCellMar>
            <w:left w:w="0" w:type="dxa"/>
            <w:right w:w="0" w:type="dxa"/>
          </w:tblCellMar>
          <w:tblLook w:val="04A0"/>
        </w:tblPrEx>
        <w:tc>
          <w:tcPr>
            <w:tcW w:w="0" w:type="auto"/>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E40A61" w14:paraId="5708F437" w14:textId="77777777">
            <w:pPr>
              <w:pStyle w:val="NormalWeb"/>
            </w:pPr>
            <w:r>
              <w:rPr>
                <w:rFonts w:ascii="Calibri" w:hAnsi="Calibri"/>
                <w:sz w:val="20"/>
                <w:szCs w:val="20"/>
              </w:rPr>
              <w:t>Private Sector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14:paraId="0D8DBC0C" w14:textId="77777777">
            <w:pPr>
              <w:pStyle w:val="NormalWeb"/>
              <w:jc w:val="center"/>
            </w:pPr>
            <w:r>
              <w:rPr>
                <w:rFonts w:ascii="Calibri" w:hAnsi="Calibri"/>
                <w:sz w:val="20"/>
                <w:szCs w:val="20"/>
              </w:rPr>
              <w:t>7,</w:t>
            </w:r>
            <w:r w:rsidR="00F042D8">
              <w:rPr>
                <w:rFonts w:ascii="Calibri" w:hAnsi="Calibri"/>
                <w:sz w:val="20"/>
                <w:szCs w:val="20"/>
              </w:rPr>
              <w:t>8</w:t>
            </w:r>
            <w:r>
              <w:rPr>
                <w:rFonts w:ascii="Calibri" w:hAnsi="Calibri"/>
                <w:sz w:val="20"/>
                <w:szCs w:val="20"/>
              </w:rPr>
              <w:t>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1173D893" w14:textId="77777777">
            <w:pPr>
              <w:pStyle w:val="NormalWeb"/>
              <w:jc w:val="center"/>
            </w:pPr>
            <w:r>
              <w:rPr>
                <w:rFonts w:ascii="Calibri" w:hAnsi="Calibri"/>
                <w:sz w:val="20"/>
                <w:szCs w:val="20"/>
              </w:rPr>
              <w:t>42,</w:t>
            </w:r>
            <w:r w:rsidR="004947DC">
              <w:rPr>
                <w:rFonts w:ascii="Calibri" w:hAnsi="Calibri"/>
                <w:sz w:val="20"/>
                <w:szCs w:val="20"/>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24484C6E" w14:textId="77777777">
            <w:pPr>
              <w:pStyle w:val="NormalWeb"/>
              <w:jc w:val="center"/>
            </w:pPr>
            <w:r>
              <w:rPr>
                <w:rFonts w:ascii="Calibri" w:hAnsi="Calibri"/>
                <w:sz w:val="20"/>
                <w:szCs w:val="20"/>
              </w:rPr>
              <w:t>40,0</w:t>
            </w:r>
            <w:r w:rsidR="004947DC">
              <w:rPr>
                <w:rFonts w:ascii="Calibri" w:hAnsi="Calibri"/>
                <w:sz w:val="20"/>
                <w:szCs w:val="20"/>
              </w:rPr>
              <w:t>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04A8E750" w14:textId="77777777">
            <w:pPr>
              <w:pStyle w:val="NormalWeb"/>
              <w:jc w:val="center"/>
            </w:pPr>
            <w:r>
              <w:rPr>
                <w:rFonts w:ascii="Calibri" w:hAnsi="Calibri"/>
                <w:sz w:val="20"/>
                <w:szCs w:val="20"/>
              </w:rPr>
              <w:t>2</w:t>
            </w:r>
            <w:r w:rsidR="004947DC">
              <w:rPr>
                <w:rFonts w:ascii="Calibri" w:hAnsi="Calibri"/>
                <w:sz w:val="20"/>
                <w:szCs w:val="20"/>
              </w:rPr>
              <w:t>2,500</w:t>
            </w:r>
          </w:p>
        </w:tc>
        <w:tc>
          <w:tcPr>
            <w:tcW w:w="0" w:type="auto"/>
            <w:tcBorders>
              <w:top w:val="nil"/>
              <w:left w:val="nil"/>
              <w:bottom w:val="single" w:sz="8" w:space="0" w:color="auto"/>
              <w:right w:val="single" w:sz="12" w:space="0" w:color="auto"/>
            </w:tcBorders>
            <w:tcMar>
              <w:top w:w="0" w:type="dxa"/>
              <w:left w:w="108" w:type="dxa"/>
              <w:bottom w:w="0" w:type="dxa"/>
              <w:right w:w="108" w:type="dxa"/>
            </w:tcMar>
            <w:vAlign w:val="bottom"/>
            <w:hideMark/>
          </w:tcPr>
          <w:p w:rsidR="00E40A61" w:rsidP="00F042D8" w14:paraId="5EBEA940" w14:textId="77777777">
            <w:pPr>
              <w:pStyle w:val="NormalWeb"/>
              <w:jc w:val="center"/>
            </w:pPr>
            <w:r>
              <w:rPr>
                <w:rFonts w:ascii="Calibri" w:hAnsi="Calibri"/>
                <w:sz w:val="20"/>
                <w:szCs w:val="20"/>
              </w:rPr>
              <w:t>56.</w:t>
            </w:r>
            <w:r w:rsidR="00F0347B">
              <w:rPr>
                <w:rFonts w:ascii="Calibri" w:hAnsi="Calibri"/>
                <w:sz w:val="20"/>
                <w:szCs w:val="20"/>
              </w:rPr>
              <w:t>9</w:t>
            </w:r>
            <w:r>
              <w:rPr>
                <w:rFonts w:ascii="Calibri" w:hAnsi="Calibri"/>
                <w:sz w:val="20"/>
                <w:szCs w:val="20"/>
              </w:rPr>
              <w:t>%</w:t>
            </w:r>
          </w:p>
        </w:tc>
        <w:tc>
          <w:tcPr>
            <w:tcW w:w="0" w:type="auto"/>
            <w:vAlign w:val="center"/>
            <w:hideMark/>
          </w:tcPr>
          <w:p w:rsidR="00E40A61" w14:paraId="536FD723" w14:textId="77777777">
            <w:pPr>
              <w:pStyle w:val="NormalWeb"/>
            </w:pPr>
            <w:r>
              <w:t> </w:t>
            </w:r>
          </w:p>
        </w:tc>
        <w:tc>
          <w:tcPr>
            <w:tcW w:w="0" w:type="auto"/>
            <w:vAlign w:val="center"/>
            <w:hideMark/>
          </w:tcPr>
          <w:p w:rsidR="00E40A61" w14:paraId="049D4038" w14:textId="77777777">
            <w:pPr>
              <w:pStyle w:val="NormalWeb"/>
            </w:pPr>
            <w:r>
              <w:t> </w:t>
            </w:r>
          </w:p>
        </w:tc>
      </w:tr>
      <w:tr w14:paraId="7EDB9C85" w14:textId="77777777" w:rsidTr="00E40A61">
        <w:tblPrEx>
          <w:tblW w:w="0" w:type="auto"/>
          <w:tblInd w:w="108" w:type="dxa"/>
          <w:tblCellMar>
            <w:left w:w="0" w:type="dxa"/>
            <w:right w:w="0" w:type="dxa"/>
          </w:tblCellMar>
          <w:tblLook w:val="04A0"/>
        </w:tblPrEx>
        <w:tc>
          <w:tcPr>
            <w:tcW w:w="0" w:type="auto"/>
            <w:tcBorders>
              <w:top w:val="nil"/>
              <w:left w:val="single" w:sz="12" w:space="0" w:color="auto"/>
              <w:bottom w:val="double" w:sz="2" w:space="0" w:color="auto"/>
              <w:right w:val="single" w:sz="8" w:space="0" w:color="auto"/>
            </w:tcBorders>
            <w:tcMar>
              <w:top w:w="0" w:type="dxa"/>
              <w:left w:w="108" w:type="dxa"/>
              <w:bottom w:w="0" w:type="dxa"/>
              <w:right w:w="108" w:type="dxa"/>
            </w:tcMar>
            <w:hideMark/>
          </w:tcPr>
          <w:p w:rsidR="00E40A61" w14:paraId="0DBFC4E4" w14:textId="77777777">
            <w:pPr>
              <w:pStyle w:val="NormalWeb"/>
            </w:pPr>
            <w:r>
              <w:rPr>
                <w:rFonts w:ascii="Calibri" w:hAnsi="Calibri"/>
                <w:sz w:val="20"/>
                <w:szCs w:val="20"/>
              </w:rPr>
              <w:t>State &amp; Local Government</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14:paraId="10F11FA5" w14:textId="77777777">
            <w:pPr>
              <w:pStyle w:val="NormalWeb"/>
              <w:jc w:val="center"/>
            </w:pPr>
            <w:r>
              <w:rPr>
                <w:rFonts w:ascii="Calibri" w:hAnsi="Calibri"/>
                <w:sz w:val="20"/>
                <w:szCs w:val="20"/>
              </w:rPr>
              <w:t>9</w:t>
            </w:r>
            <w:r w:rsidR="004947DC">
              <w:rPr>
                <w:rFonts w:ascii="Calibri" w:hAnsi="Calibri"/>
                <w:sz w:val="20"/>
                <w:szCs w:val="20"/>
              </w:rPr>
              <w:t>8</w:t>
            </w:r>
            <w:r>
              <w:rPr>
                <w:rFonts w:ascii="Calibri" w:hAnsi="Calibri"/>
                <w:sz w:val="20"/>
                <w:szCs w:val="20"/>
              </w:rPr>
              <w:t>,000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P="00F042D8" w14:paraId="0D57B4FE" w14:textId="77777777">
            <w:pPr>
              <w:pStyle w:val="NormalWeb"/>
              <w:jc w:val="center"/>
            </w:pPr>
            <w:r>
              <w:rPr>
                <w:rFonts w:ascii="Calibri" w:hAnsi="Calibri"/>
                <w:sz w:val="20"/>
                <w:szCs w:val="20"/>
              </w:rPr>
              <w:t>3,</w:t>
            </w:r>
            <w:r w:rsidR="004947DC">
              <w:rPr>
                <w:rFonts w:ascii="Calibri" w:hAnsi="Calibri"/>
                <w:sz w:val="20"/>
                <w:szCs w:val="20"/>
              </w:rPr>
              <w:t>250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center"/>
            <w:hideMark/>
          </w:tcPr>
          <w:p w:rsidR="00E40A61" w:rsidP="00F042D8" w14:paraId="78C722A7" w14:textId="77777777">
            <w:pPr>
              <w:pStyle w:val="NormalWeb"/>
              <w:jc w:val="center"/>
            </w:pPr>
            <w:r>
              <w:rPr>
                <w:rFonts w:ascii="Calibri" w:hAnsi="Calibri"/>
                <w:sz w:val="20"/>
                <w:szCs w:val="20"/>
              </w:rPr>
              <w:t>3,1</w:t>
            </w:r>
            <w:r w:rsidR="004947DC">
              <w:rPr>
                <w:rFonts w:ascii="Calibri" w:hAnsi="Calibri"/>
                <w:sz w:val="20"/>
                <w:szCs w:val="20"/>
              </w:rPr>
              <w:t>5</w:t>
            </w:r>
            <w:r>
              <w:rPr>
                <w:rFonts w:ascii="Calibri" w:hAnsi="Calibri"/>
                <w:sz w:val="20"/>
                <w:szCs w:val="20"/>
              </w:rPr>
              <w:t>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P="00F042D8" w14:paraId="0A894B38" w14:textId="77777777">
            <w:pPr>
              <w:pStyle w:val="NormalWeb"/>
              <w:jc w:val="center"/>
            </w:pPr>
            <w:r>
              <w:rPr>
                <w:rFonts w:ascii="Calibri" w:hAnsi="Calibri"/>
                <w:sz w:val="20"/>
                <w:szCs w:val="20"/>
              </w:rPr>
              <w:t>2,</w:t>
            </w:r>
            <w:r w:rsidR="004947DC">
              <w:rPr>
                <w:rFonts w:ascii="Calibri" w:hAnsi="Calibri"/>
                <w:sz w:val="20"/>
                <w:szCs w:val="20"/>
              </w:rPr>
              <w:t>700</w:t>
            </w:r>
          </w:p>
        </w:tc>
        <w:tc>
          <w:tcPr>
            <w:tcW w:w="0" w:type="auto"/>
            <w:tcBorders>
              <w:top w:val="nil"/>
              <w:left w:val="nil"/>
              <w:bottom w:val="double" w:sz="2" w:space="0" w:color="auto"/>
              <w:right w:val="single" w:sz="12" w:space="0" w:color="auto"/>
            </w:tcBorders>
            <w:tcMar>
              <w:top w:w="0" w:type="dxa"/>
              <w:left w:w="108" w:type="dxa"/>
              <w:bottom w:w="0" w:type="dxa"/>
              <w:right w:w="108" w:type="dxa"/>
            </w:tcMar>
            <w:vAlign w:val="bottom"/>
            <w:hideMark/>
          </w:tcPr>
          <w:p w:rsidR="00E40A61" w:rsidP="00F042D8" w14:paraId="50176235" w14:textId="77777777">
            <w:pPr>
              <w:pStyle w:val="NormalWeb"/>
              <w:jc w:val="center"/>
            </w:pPr>
            <w:r>
              <w:rPr>
                <w:rFonts w:ascii="Calibri" w:hAnsi="Calibri"/>
                <w:sz w:val="20"/>
                <w:szCs w:val="20"/>
              </w:rPr>
              <w:t>8</w:t>
            </w:r>
            <w:r w:rsidR="00F0347B">
              <w:rPr>
                <w:rFonts w:ascii="Calibri" w:hAnsi="Calibri"/>
                <w:sz w:val="20"/>
                <w:szCs w:val="20"/>
              </w:rPr>
              <w:t>6.0</w:t>
            </w:r>
            <w:r>
              <w:rPr>
                <w:rFonts w:ascii="Calibri" w:hAnsi="Calibri"/>
                <w:sz w:val="20"/>
                <w:szCs w:val="20"/>
              </w:rPr>
              <w:t>%</w:t>
            </w:r>
          </w:p>
        </w:tc>
        <w:tc>
          <w:tcPr>
            <w:tcW w:w="0" w:type="auto"/>
            <w:vAlign w:val="center"/>
            <w:hideMark/>
          </w:tcPr>
          <w:p w:rsidR="00E40A61" w14:paraId="2C1F744E" w14:textId="77777777">
            <w:pPr>
              <w:pStyle w:val="NormalWeb"/>
            </w:pPr>
            <w:r>
              <w:t> </w:t>
            </w:r>
          </w:p>
        </w:tc>
        <w:tc>
          <w:tcPr>
            <w:tcW w:w="0" w:type="auto"/>
            <w:vAlign w:val="center"/>
            <w:hideMark/>
          </w:tcPr>
          <w:p w:rsidR="00E40A61" w14:paraId="4DBDA123" w14:textId="77777777">
            <w:pPr>
              <w:pStyle w:val="NormalWeb"/>
            </w:pPr>
            <w:r>
              <w:t> </w:t>
            </w:r>
          </w:p>
        </w:tc>
      </w:tr>
      <w:tr w14:paraId="1F15DD34" w14:textId="77777777" w:rsidTr="00E40A61">
        <w:tblPrEx>
          <w:tblW w:w="0" w:type="auto"/>
          <w:tblInd w:w="108" w:type="dxa"/>
          <w:tblCellMar>
            <w:left w:w="0" w:type="dxa"/>
            <w:right w:w="0" w:type="dxa"/>
          </w:tblCellMar>
          <w:tblLook w:val="04A0"/>
        </w:tblPrEx>
        <w:trPr>
          <w:trHeight w:val="318"/>
        </w:trPr>
        <w:tc>
          <w:tcPr>
            <w:tcW w:w="0" w:type="auto"/>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E40A61" w14:paraId="4A108E3B" w14:textId="77777777">
            <w:pPr>
              <w:pStyle w:val="NormalWeb"/>
              <w:jc w:val="center"/>
            </w:pPr>
            <w:r>
              <w:rPr>
                <w:rFonts w:ascii="Calibri" w:hAnsi="Calibri"/>
                <w:sz w:val="20"/>
                <w:szCs w:val="20"/>
              </w:rPr>
              <w:t>Total</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P="00F042D8" w14:paraId="782D4745" w14:textId="77777777">
            <w:pPr>
              <w:pStyle w:val="NormalWeb"/>
              <w:jc w:val="center"/>
            </w:pPr>
            <w:r>
              <w:rPr>
                <w:rFonts w:ascii="Calibri" w:hAnsi="Calibri"/>
                <w:sz w:val="20"/>
                <w:szCs w:val="20"/>
              </w:rPr>
              <w:t>7,</w:t>
            </w:r>
            <w:r w:rsidR="00F042D8">
              <w:rPr>
                <w:rFonts w:ascii="Calibri" w:hAnsi="Calibri"/>
                <w:sz w:val="20"/>
                <w:szCs w:val="20"/>
              </w:rPr>
              <w:t>89</w:t>
            </w:r>
            <w:r w:rsidR="004947DC">
              <w:rPr>
                <w:rFonts w:ascii="Calibri" w:hAnsi="Calibri"/>
                <w:sz w:val="20"/>
                <w:szCs w:val="20"/>
              </w:rPr>
              <w:t>8</w:t>
            </w:r>
            <w:r>
              <w:rPr>
                <w:rFonts w:ascii="Calibri" w:hAnsi="Calibri"/>
                <w:sz w:val="20"/>
                <w:szCs w:val="20"/>
              </w:rPr>
              <w:t>,000</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P="00F042D8" w14:paraId="7C141A19" w14:textId="77777777">
            <w:pPr>
              <w:pStyle w:val="NormalWeb"/>
              <w:jc w:val="center"/>
            </w:pPr>
            <w:r>
              <w:rPr>
                <w:rFonts w:ascii="Calibri" w:hAnsi="Calibri"/>
                <w:sz w:val="20"/>
                <w:szCs w:val="20"/>
              </w:rPr>
              <w:t>4</w:t>
            </w:r>
            <w:r w:rsidR="00F042D8">
              <w:rPr>
                <w:rFonts w:ascii="Calibri" w:hAnsi="Calibri"/>
                <w:sz w:val="20"/>
                <w:szCs w:val="20"/>
              </w:rPr>
              <w:t>5</w:t>
            </w:r>
            <w:r>
              <w:rPr>
                <w:rFonts w:ascii="Calibri" w:hAnsi="Calibri"/>
                <w:sz w:val="20"/>
                <w:szCs w:val="20"/>
              </w:rPr>
              <w:t>,</w:t>
            </w:r>
            <w:r w:rsidR="00F042D8">
              <w:rPr>
                <w:rFonts w:ascii="Calibri" w:hAnsi="Calibri"/>
                <w:sz w:val="20"/>
                <w:szCs w:val="20"/>
              </w:rPr>
              <w:t>7</w:t>
            </w:r>
            <w:r w:rsidR="004947DC">
              <w:rPr>
                <w:rFonts w:ascii="Calibri" w:hAnsi="Calibri"/>
                <w:sz w:val="20"/>
                <w:szCs w:val="20"/>
              </w:rPr>
              <w:t>50</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center"/>
            <w:hideMark/>
          </w:tcPr>
          <w:p w:rsidR="00E40A61" w:rsidP="00F042D8" w14:paraId="2A3A30FC" w14:textId="77777777">
            <w:pPr>
              <w:pStyle w:val="NormalWeb"/>
              <w:jc w:val="center"/>
            </w:pPr>
            <w:r>
              <w:rPr>
                <w:rFonts w:ascii="Calibri" w:hAnsi="Calibri"/>
                <w:sz w:val="20"/>
                <w:szCs w:val="20"/>
              </w:rPr>
              <w:t>4</w:t>
            </w:r>
            <w:r w:rsidR="00F042D8">
              <w:rPr>
                <w:rFonts w:ascii="Calibri" w:hAnsi="Calibri"/>
                <w:sz w:val="20"/>
                <w:szCs w:val="20"/>
              </w:rPr>
              <w:t>3</w:t>
            </w:r>
            <w:r>
              <w:rPr>
                <w:rFonts w:ascii="Calibri" w:hAnsi="Calibri"/>
                <w:sz w:val="20"/>
                <w:szCs w:val="20"/>
              </w:rPr>
              <w:t>,</w:t>
            </w:r>
            <w:r w:rsidR="004947DC">
              <w:rPr>
                <w:rFonts w:ascii="Calibri" w:hAnsi="Calibri"/>
                <w:sz w:val="20"/>
                <w:szCs w:val="20"/>
              </w:rPr>
              <w:t>150</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bottom"/>
            <w:hideMark/>
          </w:tcPr>
          <w:p w:rsidR="00E40A61" w14:paraId="15760FC9" w14:textId="77777777">
            <w:pPr>
              <w:pStyle w:val="NormalWeb"/>
              <w:jc w:val="center"/>
            </w:pPr>
            <w:r>
              <w:rPr>
                <w:rFonts w:ascii="Calibri" w:hAnsi="Calibri"/>
                <w:sz w:val="20"/>
                <w:szCs w:val="20"/>
              </w:rPr>
              <w:t>2</w:t>
            </w:r>
            <w:r w:rsidR="004947DC">
              <w:rPr>
                <w:rFonts w:ascii="Calibri" w:hAnsi="Calibri"/>
                <w:sz w:val="20"/>
                <w:szCs w:val="20"/>
              </w:rPr>
              <w:t>5,200</w:t>
            </w:r>
          </w:p>
        </w:tc>
        <w:tc>
          <w:tcPr>
            <w:tcW w:w="0" w:type="auto"/>
            <w:tcBorders>
              <w:top w:val="nil"/>
              <w:left w:val="nil"/>
              <w:bottom w:val="single" w:sz="12" w:space="0" w:color="auto"/>
              <w:right w:val="single" w:sz="12" w:space="0" w:color="auto"/>
            </w:tcBorders>
            <w:tcMar>
              <w:top w:w="0" w:type="dxa"/>
              <w:left w:w="108" w:type="dxa"/>
              <w:bottom w:w="0" w:type="dxa"/>
              <w:right w:w="108" w:type="dxa"/>
            </w:tcMar>
            <w:hideMark/>
          </w:tcPr>
          <w:p w:rsidR="00E40A61" w:rsidP="00F042D8" w14:paraId="6D485C7F" w14:textId="77777777">
            <w:pPr>
              <w:pStyle w:val="NormalWeb"/>
              <w:jc w:val="center"/>
            </w:pPr>
            <w:r>
              <w:rPr>
                <w:rFonts w:ascii="Calibri" w:hAnsi="Calibri"/>
                <w:sz w:val="20"/>
                <w:szCs w:val="20"/>
              </w:rPr>
              <w:t>5</w:t>
            </w:r>
            <w:r w:rsidR="00F0347B">
              <w:rPr>
                <w:rFonts w:ascii="Calibri" w:hAnsi="Calibri"/>
                <w:sz w:val="20"/>
                <w:szCs w:val="20"/>
              </w:rPr>
              <w:t>9.5</w:t>
            </w:r>
            <w:r>
              <w:rPr>
                <w:rFonts w:ascii="Calibri" w:hAnsi="Calibri"/>
                <w:sz w:val="20"/>
                <w:szCs w:val="20"/>
              </w:rPr>
              <w:t>%</w:t>
            </w:r>
          </w:p>
        </w:tc>
        <w:tc>
          <w:tcPr>
            <w:tcW w:w="0" w:type="auto"/>
            <w:vAlign w:val="center"/>
            <w:hideMark/>
          </w:tcPr>
          <w:p w:rsidR="00E40A61" w14:paraId="0C11631C" w14:textId="77777777">
            <w:pPr>
              <w:rPr>
                <w:sz w:val="20"/>
                <w:szCs w:val="20"/>
              </w:rPr>
            </w:pPr>
          </w:p>
        </w:tc>
        <w:tc>
          <w:tcPr>
            <w:tcW w:w="0" w:type="auto"/>
            <w:vAlign w:val="center"/>
            <w:hideMark/>
          </w:tcPr>
          <w:p w:rsidR="00E40A61" w14:paraId="1213DD1A" w14:textId="77777777">
            <w:pPr>
              <w:rPr>
                <w:sz w:val="20"/>
                <w:szCs w:val="20"/>
              </w:rPr>
            </w:pPr>
          </w:p>
        </w:tc>
      </w:tr>
    </w:tbl>
    <w:p w:rsidR="002837E3" w:rsidRPr="00B57A38" w:rsidP="00E545DB" w14:paraId="24D3D48E" w14:textId="77777777">
      <w:pPr>
        <w:spacing w:before="100" w:beforeAutospacing="1" w:after="100" w:afterAutospacing="1"/>
        <w:rPr>
          <w:rFonts w:ascii="Arial" w:hAnsi="Arial" w:cs="Arial"/>
          <w:b/>
          <w:i/>
        </w:rPr>
      </w:pPr>
      <w:bookmarkStart w:id="4" w:name="_Toc151782200"/>
      <w:bookmarkStart w:id="5" w:name="_Toc158526236"/>
      <w:r w:rsidRPr="00B57A38">
        <w:rPr>
          <w:rFonts w:ascii="Arial" w:hAnsi="Arial" w:cs="Arial"/>
          <w:b/>
          <w:i/>
        </w:rPr>
        <w:t>2. Information Collection Procedures</w:t>
      </w:r>
      <w:bookmarkEnd w:id="4"/>
      <w:bookmarkEnd w:id="5"/>
    </w:p>
    <w:p w:rsidR="00083B99" w:rsidRPr="00EC7F9C" w:rsidP="00083B99" w14:paraId="6D8E1C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P="00083B99" w14:paraId="7FD748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P="00321DCA" w14:paraId="0102B434" w14:textId="77777777">
      <w:pPr>
        <w:widowControl w:val="0"/>
      </w:pPr>
      <w:r w:rsidRPr="00EC7F9C">
        <w:t xml:space="preserve">Data collection for the MEPS-IC takes place in three phases: prescreening interview, </w:t>
      </w:r>
      <w:r w:rsidR="00BB5DCB">
        <w:t xml:space="preserve">Eblasts and </w:t>
      </w:r>
      <w:r w:rsidRPr="00EC7F9C">
        <w:t xml:space="preserve">questionnaire mailout, and nonresponse follow-up.  </w:t>
      </w:r>
      <w:r w:rsidR="00BB5DCB">
        <w:t xml:space="preserve">Eblasts are emails sent to sample members with a link to respond to the survey using the internet.  </w:t>
      </w:r>
      <w:r w:rsidRPr="00EC7F9C">
        <w:t xml:space="preserve">The prescreening interview is conducted by telephone.  Its goal is to obtain the name and title of an appropriate person in each establishment to whom a MEPS-IC questionnaire will be mailed. Interviewers </w:t>
      </w:r>
      <w:r w:rsidR="00BB5DCB">
        <w:t xml:space="preserve">collect email addresses and </w:t>
      </w:r>
      <w:r w:rsidRPr="00EC7F9C">
        <w:t xml:space="preserve">also verify </w:t>
      </w:r>
      <w:r w:rsidR="00BB5DCB">
        <w:t xml:space="preserve">mailing </w:t>
      </w:r>
      <w:r w:rsidRPr="00EC7F9C">
        <w:t xml:space="preserve">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P="00321DCA" w14:paraId="5FC7D554" w14:textId="77777777">
      <w:pPr>
        <w:widowControl w:val="0"/>
      </w:pPr>
    </w:p>
    <w:p w:rsidR="00321DCA" w:rsidRPr="00EC7F9C" w:rsidP="00321DCA" w14:paraId="104FD854" w14:textId="77777777">
      <w:pPr>
        <w:widowControl w:val="0"/>
      </w:pPr>
      <w:r w:rsidRPr="00EC7F9C">
        <w:t xml:space="preserve">For establishments which do not offer health insurance, a brief set of questions about establishment characteristics is administered at the end of the prescreening interview to close out the case.  The MEPS-IC </w:t>
      </w:r>
      <w:r w:rsidR="00027A15">
        <w:t xml:space="preserve">establishment and plan </w:t>
      </w:r>
      <w:r w:rsidRPr="00EC7F9C">
        <w:t>questionnaires are mailed to t</w:t>
      </w:r>
      <w:r>
        <w:t>hose establishments</w:t>
      </w:r>
      <w:r w:rsidRPr="00EC7F9C">
        <w:t xml:space="preserve"> which</w:t>
      </w:r>
      <w:r>
        <w:t>,</w:t>
      </w:r>
      <w:r w:rsidRPr="00EC7F9C">
        <w:t xml:space="preserve"> during the prescreening phase:</w:t>
      </w:r>
    </w:p>
    <w:p w:rsidR="00321DCA" w:rsidP="00027A15" w14:paraId="622AC12A" w14:textId="385C96E0">
      <w:pPr>
        <w:pStyle w:val="Level1"/>
        <w:numPr>
          <w:ilvl w:val="0"/>
          <w:numId w:val="16"/>
        </w:numPr>
        <w:ind w:left="720" w:hanging="720"/>
        <w:rPr>
          <w:szCs w:val="24"/>
        </w:rPr>
      </w:pPr>
      <w:r w:rsidRPr="00EC7F9C">
        <w:rPr>
          <w:szCs w:val="24"/>
        </w:rPr>
        <w:t>not contacted,</w:t>
      </w:r>
    </w:p>
    <w:p w:rsidR="00027A15" w:rsidP="00027A15" w14:paraId="1D41605F" w14:textId="77777777">
      <w:pPr>
        <w:pStyle w:val="Level1"/>
        <w:numPr>
          <w:ilvl w:val="0"/>
          <w:numId w:val="16"/>
        </w:numPr>
        <w:ind w:left="720" w:hanging="720"/>
        <w:rPr>
          <w:szCs w:val="24"/>
        </w:rPr>
      </w:pPr>
      <w:r w:rsidRPr="00EC7F9C">
        <w:rPr>
          <w:szCs w:val="24"/>
        </w:rPr>
        <w:t>refused to cooperate,</w:t>
      </w:r>
    </w:p>
    <w:p w:rsidR="00027A15" w:rsidP="00027A15" w14:paraId="701AD681" w14:textId="77777777">
      <w:pPr>
        <w:pStyle w:val="Level1"/>
        <w:numPr>
          <w:ilvl w:val="0"/>
          <w:numId w:val="16"/>
        </w:numPr>
        <w:ind w:left="720" w:hanging="720"/>
        <w:rPr>
          <w:szCs w:val="24"/>
        </w:rPr>
      </w:pPr>
      <w:r w:rsidRPr="00EC7F9C">
        <w:rPr>
          <w:szCs w:val="24"/>
        </w:rPr>
        <w:t>were contacted and acknowledged that they did provide health insurance,</w:t>
      </w:r>
    </w:p>
    <w:p w:rsidR="00027A15" w:rsidP="00027A15" w14:paraId="50A40354" w14:textId="771E32F0">
      <w:pPr>
        <w:pStyle w:val="Level1"/>
        <w:numPr>
          <w:ilvl w:val="0"/>
          <w:numId w:val="16"/>
        </w:numPr>
        <w:ind w:left="720" w:hanging="720"/>
        <w:rPr>
          <w:szCs w:val="24"/>
        </w:rPr>
      </w:pPr>
      <w:r w:rsidRPr="00EC7F9C">
        <w:rPr>
          <w:szCs w:val="24"/>
        </w:rPr>
        <w:t xml:space="preserve">were from large firms or governments specified at the start of collection for </w:t>
      </w:r>
      <w:r w:rsidR="00CA3491">
        <w:rPr>
          <w:szCs w:val="24"/>
        </w:rPr>
        <w:t xml:space="preserve">only </w:t>
      </w:r>
      <w:r w:rsidRPr="00EC7F9C">
        <w:rPr>
          <w:szCs w:val="24"/>
        </w:rPr>
        <w:t>mail, or</w:t>
      </w:r>
    </w:p>
    <w:p w:rsidR="00321DCA" w:rsidRPr="00027A15" w:rsidP="00027A15" w14:paraId="3F20A015" w14:textId="77777777">
      <w:pPr>
        <w:pStyle w:val="Level1"/>
        <w:numPr>
          <w:ilvl w:val="0"/>
          <w:numId w:val="16"/>
        </w:numPr>
        <w:ind w:left="720" w:hanging="720"/>
        <w:rPr>
          <w:szCs w:val="24"/>
        </w:rPr>
      </w:pPr>
      <w:r w:rsidRPr="00EC7F9C">
        <w:rPr>
          <w:szCs w:val="24"/>
        </w:rPr>
        <w:t>had no known phone number.</w:t>
      </w:r>
    </w:p>
    <w:p w:rsidR="00083B99" w:rsidP="00083B99" w14:paraId="61AA150D" w14:textId="77777777">
      <w:pPr>
        <w:widowControl w:val="0"/>
      </w:pPr>
    </w:p>
    <w:p w:rsidR="00083B99" w:rsidRPr="00EC7F9C" w:rsidP="00083B99" w14:paraId="54F6823E" w14:textId="77777777">
      <w:pPr>
        <w:widowControl w:val="0"/>
      </w:pPr>
      <w:r w:rsidRPr="00EC7F9C">
        <w:t xml:space="preserve">Establishments which do not respond to the initial </w:t>
      </w:r>
      <w:r w:rsidR="00BB5DCB">
        <w:t>contacts</w:t>
      </w:r>
      <w:r w:rsidRPr="00EC7F9C">
        <w:t xml:space="preserve"> are mailed a nonresponse follow-up package.  Those establishments which fail to respond to the second mailing are contacted for a telephone follow-up using computer-assisted interviewing.    </w:t>
      </w:r>
    </w:p>
    <w:p w:rsidR="00083B99" w:rsidRPr="00EC7F9C" w:rsidP="00083B99" w14:paraId="0FEF5B4B" w14:textId="77777777">
      <w:pPr>
        <w:widowControl w:val="0"/>
      </w:pPr>
    </w:p>
    <w:p w:rsidR="00083B99" w:rsidP="00083B99" w14:paraId="6C8E0CC2" w14:textId="77777777">
      <w:pPr>
        <w:widowControl w:val="0"/>
      </w:pPr>
      <w:r w:rsidRPr="00EC7F9C">
        <w:t xml:space="preserve">Data for the largest </w:t>
      </w:r>
      <w:r w:rsidR="008B0361">
        <w:t>s</w:t>
      </w:r>
      <w:r w:rsidR="00D6091A">
        <w:t>t</w:t>
      </w:r>
      <w:r w:rsidR="008B0361">
        <w:t xml:space="preserve">ate and local </w:t>
      </w:r>
      <w:r w:rsidRPr="00EC7F9C">
        <w:t xml:space="preserve">governments and private sector firms, reporting for multiple establishments, </w:t>
      </w:r>
      <w:r w:rsidRPr="00EC7F9C">
        <w:t>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601FCB" w:rsidP="00083B99" w14:paraId="208C5761" w14:textId="77777777">
      <w:pPr>
        <w:widowControl w:val="0"/>
      </w:pPr>
    </w:p>
    <w:p w:rsidR="00601FCB" w:rsidP="00601FCB" w14:paraId="4300E31A" w14:textId="77777777">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rsidR="00601FCB" w:rsidP="00083B99" w14:paraId="1415457F" w14:textId="77777777">
      <w:pPr>
        <w:widowControl w:val="0"/>
      </w:pPr>
    </w:p>
    <w:p w:rsidR="00601FCB" w:rsidRPr="00EC7F9C" w:rsidP="00083B99" w14:paraId="0F17E5F1" w14:textId="77777777">
      <w:pPr>
        <w:widowControl w:val="0"/>
      </w:pPr>
      <w:r w:rsidRPr="005114A6">
        <w:rPr>
          <w:noProof/>
        </w:rPr>
        <w:drawing>
          <wp:inline distT="0" distB="0" distL="0" distR="0">
            <wp:extent cx="4486901" cy="139084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4486901" cy="1390844"/>
                    </a:xfrm>
                    <a:prstGeom prst="rect">
                      <a:avLst/>
                    </a:prstGeom>
                  </pic:spPr>
                </pic:pic>
              </a:graphicData>
            </a:graphic>
          </wp:inline>
        </w:drawing>
      </w:r>
    </w:p>
    <w:p w:rsidR="00083B99" w:rsidRPr="00EC7F9C" w:rsidP="00083B99" w14:paraId="22DD08FF" w14:textId="77777777">
      <w:pPr>
        <w:widowControl w:val="0"/>
      </w:pPr>
    </w:p>
    <w:p w:rsidR="00083B99" w:rsidRPr="00EC7F9C" w:rsidP="00083B99" w14:paraId="14AEEC31" w14:textId="77777777">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prescreener</w:t>
      </w:r>
      <w:r w:rsidR="005C5474">
        <w:t>, mailed questionnaires</w:t>
      </w:r>
      <w:r w:rsidR="00FF3C8A">
        <w:t>,</w:t>
      </w:r>
      <w:r w:rsidR="005C5474">
        <w:t xml:space="preserve"> and a definitions list</w:t>
      </w:r>
      <w:r w:rsidR="002131BA">
        <w:t>.</w:t>
      </w:r>
    </w:p>
    <w:p w:rsidR="00083B99" w:rsidP="00083B99" w14:paraId="15A7C734" w14:textId="77777777">
      <w:pPr>
        <w:pStyle w:val="Level1"/>
      </w:pPr>
    </w:p>
    <w:p w:rsidR="00083B99" w:rsidRPr="00EC7F9C" w:rsidP="00083B99" w14:paraId="6091E098" w14:textId="77777777">
      <w:pPr>
        <w:widowControl w:val="0"/>
      </w:pPr>
      <w:r w:rsidRPr="00EC7F9C">
        <w:t>Some minor changes will be made in the final materials to reflect current needs.  For example, signatures on letters are updated to reflect current management at AHRQ and Census.</w:t>
      </w:r>
    </w:p>
    <w:p w:rsidR="007D5599" w:rsidP="00083B99" w14:paraId="576204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665C47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P="00083B99" w14:paraId="7D3AB9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0E352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Pr="00EC7F9C">
        <w:t xml:space="preserve"> samples </w:t>
      </w:r>
      <w:r>
        <w:t>are</w:t>
      </w:r>
      <w:r w:rsidRPr="00EC7F9C">
        <w:t xml:space="preserve"> weighted separately.  Beginning with the inverse probability of selection as a base weight, the data </w:t>
      </w:r>
      <w:r>
        <w:t>are</w:t>
      </w:r>
      <w:r w:rsidRPr="00EC7F9C">
        <w:t xml:space="preserve"> adjusted for non-response.</w:t>
      </w:r>
      <w:r w:rsidR="00426547">
        <w:t xml:space="preserve"> </w:t>
      </w:r>
      <w:r w:rsidRPr="00EC7F9C">
        <w:t>Among other characteristics, the number of plans, size of establishment, size of firm or government</w:t>
      </w:r>
      <w:r>
        <w:t xml:space="preserve"> unit</w:t>
      </w:r>
      <w:r w:rsidRPr="00EC7F9C">
        <w:t>, industry, and whether the respondent received a mail survey must be considered.</w:t>
      </w:r>
      <w:r w:rsidR="00643019">
        <w:t xml:space="preserve"> </w:t>
      </w:r>
      <w:r w:rsidRPr="00EC7F9C">
        <w:t xml:space="preserve">Adjustments are made so that the sum of respondents in a cell equals the beginning </w:t>
      </w:r>
      <w:r w:rsidR="0066310F">
        <w:t>weighted total</w:t>
      </w:r>
      <w:r w:rsidRPr="00EC7F9C" w:rsidR="0066310F">
        <w:t xml:space="preserve"> </w:t>
      </w:r>
      <w:r w:rsidRPr="00EC7F9C">
        <w:t>for the cells. It would be desirable to adjust for non-response in each state, but cell size may preclude that adjustment in all but the largest states.</w:t>
      </w:r>
    </w:p>
    <w:p w:rsidR="00083B99" w:rsidRPr="00EC7F9C" w:rsidP="00083B99" w14:paraId="3BED6E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09E3" w:rsidRPr="00E309E3" w:rsidP="00E309E3" w14:paraId="1EA5A22E" w14:textId="5314D5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w:t>
      </w:r>
      <w:r w:rsidR="00CA3491">
        <w:t xml:space="preserve"> </w:t>
      </w:r>
      <w:r w:rsidRPr="00EC7F9C">
        <w:t>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r>
        <w:t xml:space="preserve">  </w:t>
      </w:r>
    </w:p>
    <w:p w:rsidR="00083B99" w:rsidRPr="00EC7F9C" w:rsidP="00083B99" w14:paraId="534B84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131A4E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P="00083B99" w14:paraId="7331EA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CF72733" w14:textId="5413D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w:t>
      </w:r>
      <w:r>
        <w:t xml:space="preserve"> standardized software</w:t>
      </w:r>
      <w:r w:rsidRPr="00EC7F9C">
        <w:t xml:space="preserve">, such </w:t>
      </w:r>
      <w:r w:rsidRPr="00EC7F9C" w:rsidR="00B254E1">
        <w:t xml:space="preserve">as </w:t>
      </w:r>
      <w:r w:rsidR="00B254E1">
        <w:t>SAS</w:t>
      </w:r>
      <w:r>
        <w:t xml:space="preserve">, using the Taylor series methodology to </w:t>
      </w:r>
      <w:r w:rsidRPr="00EC7F9C">
        <w:t>account for the specialized sampling methods used for the survey.</w:t>
      </w:r>
    </w:p>
    <w:p w:rsidR="00083B99" w:rsidRPr="00EC7F9C" w:rsidP="00083B99" w14:paraId="10A7C0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0E8EA4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hot</w:t>
      </w:r>
      <w:r w:rsidR="00992ABB">
        <w:t>-</w:t>
      </w:r>
      <w:r w:rsidRPr="00EC7F9C">
        <w:t>deck process which chooses the best donor given a set of matching variables and their order of importance.  Variables used to match</w:t>
      </w:r>
      <w:r w:rsidR="00EB176E">
        <w:t xml:space="preserve"> establishments</w:t>
      </w:r>
      <w:r w:rsidRPr="00EC7F9C">
        <w:t xml:space="preserve">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P="00083B99" w14:paraId="115C54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1E0F78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365A6" w:rsidP="00083B99" w14:paraId="529D84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P="00083B99" w14:paraId="7FE148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P="00083B99" w14:paraId="009C22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5A6" w:rsidP="000365A6" w14:paraId="00D12083" w14:textId="77777777">
      <w:pPr>
        <w:rPr>
          <w:u w:val="single"/>
        </w:rPr>
      </w:pPr>
    </w:p>
    <w:p w:rsidR="000365A6" w:rsidP="000365A6" w14:paraId="71D8F224" w14:textId="77777777">
      <w:pPr>
        <w:rPr>
          <w:u w:val="single"/>
        </w:rPr>
      </w:pPr>
      <w:r w:rsidRPr="00942731">
        <w:rPr>
          <w:u w:val="single"/>
        </w:rPr>
        <w:t>Nonresponse Bias Analysis</w:t>
      </w:r>
    </w:p>
    <w:p w:rsidR="000365A6" w:rsidP="000365A6" w14:paraId="2ACE4F64" w14:textId="77777777">
      <w:pPr>
        <w:rPr>
          <w:u w:val="single"/>
        </w:rPr>
      </w:pPr>
    </w:p>
    <w:p w:rsidR="000365A6" w:rsidP="000365A6" w14:paraId="47C887AB" w14:textId="64570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an expected unit response rate is below 80 percent, </w:t>
      </w:r>
      <w:hyperlink r:id="rId8" w:history="1">
        <w:r w:rsidRPr="000E169C">
          <w:rPr>
            <w:rStyle w:val="Hyperlink"/>
          </w:rPr>
          <w:t>OMB Standards &amp; Guidelines for Statistical Surveys</w:t>
        </w:r>
      </w:hyperlink>
      <w:r>
        <w:t xml:space="preserve"> recommends conducting a nonrespo</w:t>
      </w:r>
      <w:r w:rsidR="00681864">
        <w:t xml:space="preserve">nse bias analysis. For the </w:t>
      </w:r>
      <w:r w:rsidR="000151DF">
        <w:t>202</w:t>
      </w:r>
      <w:r w:rsidR="00192E94">
        <w:t>5</w:t>
      </w:r>
      <w:r w:rsidR="000151DF">
        <w:t>-202</w:t>
      </w:r>
      <w:r w:rsidR="00192E94">
        <w:t>7</w:t>
      </w:r>
      <w:r>
        <w:t xml:space="preserve"> MEPS-IC we plan to access nonresponse bias in two ways.</w:t>
      </w:r>
      <w:r w:rsidRPr="000365A6">
        <w:t xml:space="preserve"> First, from the sampling frame we will know the size (number of employees), industry category and geographic region of every sampled establishment, allowing us to compare non-responding establishments to responding establishments on these characteristics. If the non-respondents are distributed across these characteristics similarly as the </w:t>
      </w:r>
      <w:r w:rsidRPr="000365A6" w:rsidR="00CA3491">
        <w:t>respondents,</w:t>
      </w:r>
      <w:r w:rsidRPr="000365A6">
        <w:t xml:space="preserve"> then one might conclude that the non-response may be randomly distributed across the establishments and that the bias due to non-response may be minimized. Second, we will benchmark key survey estimates against estimates from other surveys and administrative data to indicate if any </w:t>
      </w:r>
      <w:r w:rsidR="00F3529C">
        <w:t>establishment subgroups</w:t>
      </w:r>
      <w:r w:rsidRPr="000365A6">
        <w:t xml:space="preserve"> are in need of additional scrutiny and data collection methods changes.</w:t>
      </w:r>
      <w:r>
        <w:t xml:space="preserve">  </w:t>
      </w:r>
    </w:p>
    <w:p w:rsidR="008C0B70" w:rsidP="000365A6" w14:paraId="73098A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0B70" w:rsidRPr="00EC7F9C" w:rsidP="000365A6" w14:paraId="5021B8D2" w14:textId="49EA3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Attachment O</w:t>
      </w:r>
      <w:r w:rsidRPr="00F3529C">
        <w:t xml:space="preserve"> for details of the most recent nonresponse bias analysis </w:t>
      </w:r>
      <w:r w:rsidR="00C730E7">
        <w:t xml:space="preserve">conducted in </w:t>
      </w:r>
      <w:r w:rsidRPr="00C730E7" w:rsidR="00C730E7">
        <w:t>2022</w:t>
      </w:r>
      <w:r w:rsidR="00C730E7">
        <w:t xml:space="preserve">.The 2024 report is being prepared now. </w:t>
      </w:r>
      <w:r w:rsidRPr="00F3529C">
        <w:t>The results of that analysis indicated potential nonres</w:t>
      </w:r>
      <w:r w:rsidRPr="00F3529C" w:rsidR="003262FF">
        <w:t>ponse bias among small establishments</w:t>
      </w:r>
      <w:r w:rsidRPr="00F3529C" w:rsidR="007641FB">
        <w:t xml:space="preserve">, </w:t>
      </w:r>
      <w:r w:rsidRPr="00F3529C">
        <w:t>establishments in certain industry groups</w:t>
      </w:r>
      <w:r w:rsidRPr="00F3529C" w:rsidR="007641FB">
        <w:t xml:space="preserve"> and establishments in certain </w:t>
      </w:r>
      <w:r w:rsidR="002A5123">
        <w:t xml:space="preserve">Census </w:t>
      </w:r>
      <w:r w:rsidR="00F042D8">
        <w:t>Regions.</w:t>
      </w:r>
      <w:r w:rsidRPr="00F3529C" w:rsidR="00F042D8">
        <w:t xml:space="preserve"> To</w:t>
      </w:r>
      <w:r w:rsidR="00F16FD6">
        <w:t xml:space="preserve"> address this potential nonresponse bias, </w:t>
      </w:r>
      <w:r>
        <w:t xml:space="preserve">each year we monitor these estimates when we benchmark the key </w:t>
      </w:r>
      <w:r w:rsidR="00F16FD6">
        <w:t>MEPS-IC</w:t>
      </w:r>
      <w:r>
        <w:t xml:space="preserve"> estimates with other surveys.</w:t>
      </w:r>
    </w:p>
    <w:p w:rsidR="00083B99" w:rsidP="005453AD" w14:paraId="38BC3D76" w14:textId="77777777"/>
    <w:p w:rsidR="005453AD" w:rsidP="005453AD" w14:paraId="288EA44C" w14:textId="77777777">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E545DB" w:rsidRPr="00E545DB" w:rsidP="00E545DB" w14:paraId="0341B594" w14:textId="77777777"/>
    <w:p w:rsidR="00FC4A75" w:rsidRPr="00EC7F9C" w:rsidP="00FC4A75" w14:paraId="0ADFAA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P="00FC4A75" w14:paraId="419F07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P="00D17DA6" w14:paraId="0CFCB66A"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 xml:space="preserve">1)  Perform a screening phone call to identify the best contacts, number of insurance plans and to complete </w:t>
      </w:r>
      <w:r w:rsidR="00D17DA6">
        <w:t xml:space="preserve">        </w:t>
      </w:r>
      <w:r w:rsidRPr="00EC7F9C">
        <w:t>simple cases, such as establishments which offer no insurance.</w:t>
      </w:r>
    </w:p>
    <w:p w:rsidR="00FC4A75" w:rsidRPr="00EC7F9C" w:rsidP="00A41D2D" w14:paraId="55EEB9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P="00A41D2D" w14:paraId="425332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P="00A41D2D" w14:paraId="0CC5EF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20831E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P="00A41D2D" w14:paraId="613EBC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P="008D56AE" w14:paraId="3EC33F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503AEF">
        <w:t>4</w:t>
      </w:r>
      <w:r w:rsidR="00E12F75">
        <w:t>) Provide respondents the option of completing the survey forms via a secure Internet site maintained by the Census Bureau.</w:t>
      </w:r>
    </w:p>
    <w:p w:rsidR="00503AEF" w:rsidP="008D56AE" w14:paraId="635FA7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503AEF" w:rsidP="008D56AE" w14:paraId="67A75E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 xml:space="preserve"> </w:t>
      </w:r>
      <w:r>
        <w:tab/>
        <w:t>5) Mail a self-administered questionnaire upon request.</w:t>
      </w:r>
    </w:p>
    <w:p w:rsidR="00FC4A75" w:rsidRPr="00EC7F9C" w:rsidP="00A41D2D" w14:paraId="1AD9E8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34C2BE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P="00A41D2D" w14:paraId="2E0E64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79385D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P="00A41D2D" w14:paraId="026A6A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47726D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P="00FC4A75" w14:paraId="0BD341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P="00FC4A75" w14:paraId="42716B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P="005453AD" w14:paraId="14425ACB" w14:textId="77777777">
      <w:pPr>
        <w:jc w:val="both"/>
        <w:rPr>
          <w:highlight w:val="lightGray"/>
        </w:rPr>
      </w:pPr>
    </w:p>
    <w:p w:rsidR="008B3A26" w:rsidP="005453AD" w14:paraId="50A1C8C1" w14:textId="77777777">
      <w:pPr>
        <w:jc w:val="both"/>
        <w:rPr>
          <w:highlight w:val="lightGray"/>
        </w:rPr>
      </w:pPr>
    </w:p>
    <w:p w:rsidR="005453AD" w:rsidRPr="00A265FD" w:rsidP="005453AD" w14:paraId="699F77FE" w14:textId="77777777">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rsidR="00B57A38" w:rsidP="00FC4A75" w14:paraId="25CB29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P="00FC4A75" w14:paraId="7E1672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P="00F34C93" w14:paraId="3E3EFC89" w14:textId="77777777">
      <w:pPr>
        <w:pStyle w:val="Heading2"/>
        <w:rPr>
          <w:sz w:val="24"/>
        </w:rPr>
      </w:pPr>
      <w:r w:rsidRPr="001D0454">
        <w:rPr>
          <w:sz w:val="24"/>
        </w:rPr>
        <w:t xml:space="preserve"> 5. Statistical Consultants</w:t>
      </w:r>
      <w:bookmarkEnd w:id="10"/>
      <w:bookmarkEnd w:id="11"/>
    </w:p>
    <w:p w:rsidR="009D631B" w:rsidP="009D631B" w14:paraId="116AFA80" w14:textId="77777777"/>
    <w:p w:rsidR="0049007B" w:rsidP="004B1F01" w14:paraId="5018B5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Matthew Thompson </w:t>
      </w:r>
    </w:p>
    <w:p w:rsidR="004B1F01" w:rsidRPr="00EC7F9C" w:rsidP="004B1F01" w14:paraId="5EE86D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P="004B1F01" w14:paraId="15BFA2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P="004B1F01" w14:paraId="73CAC2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886DFF" w:rsidP="004B1F01" w14:paraId="449572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007B">
        <w:t>301-763-4758</w:t>
      </w:r>
    </w:p>
    <w:p w:rsidR="004A5B19" w:rsidP="004B1F01" w14:paraId="345017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P="004B1F01" w14:paraId="076E18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P="004B1F01" w14:paraId="25BB60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P="004B1F01" w14:paraId="207870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Mathematical</w:t>
      </w:r>
      <w:r w:rsidRPr="00EC7F9C">
        <w:t xml:space="preserve"> Statistician</w:t>
      </w:r>
    </w:p>
    <w:p w:rsidR="004B1F01" w:rsidRPr="00EC7F9C" w:rsidP="004B1F01" w14:paraId="47789D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P="004B1F01" w14:paraId="793F10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P="004B1F01" w14:paraId="036689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Pr="00EC7F9C" w:rsidP="004B1F01" w14:paraId="0FC26E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P="004B1F01" w14:paraId="311B87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P="00FC4A75" w14:paraId="4F3CEC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P="00FC4A75" w14:paraId="6F3FFA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P="008D56AE" w14:paraId="047774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Mathematical</w:t>
      </w:r>
      <w:r w:rsidRPr="00EC7F9C">
        <w:t xml:space="preserve"> Statistician</w:t>
      </w:r>
    </w:p>
    <w:p w:rsidR="008D56AE" w:rsidRPr="00EC7F9C" w:rsidP="008D56AE" w14:paraId="75BB50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P="008D56AE" w14:paraId="2E1F0B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P="008D56AE" w14:paraId="78117D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P="00886DFF" w14:paraId="521A4AB1" w14:textId="77777777">
      <w:r>
        <w:t>301-427-1666</w:t>
      </w:r>
    </w:p>
    <w:sectPr w:rsidSect="00DD2A98">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F2B" w:rsidP="00874B68" w14:paraId="25344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C2594">
      <w:rPr>
        <w:rStyle w:val="PageNumber"/>
      </w:rPr>
      <w:fldChar w:fldCharType="separate"/>
    </w:r>
    <w:r>
      <w:rPr>
        <w:rStyle w:val="PageNumber"/>
      </w:rPr>
      <w:fldChar w:fldCharType="end"/>
    </w:r>
  </w:p>
  <w:p w:rsidR="00834F2B" w14:paraId="623F6EEA" w14:textId="77777777">
    <w:pPr>
      <w:pStyle w:val="Footer"/>
    </w:pPr>
  </w:p>
  <w:p w:rsidR="00DE7514" w14:paraId="368EF5AE" w14:textId="77777777"/>
  <w:p w:rsidR="00DE7514" w14:paraId="2573D2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F2B" w:rsidP="00874B68" w14:paraId="1A5B40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249">
      <w:rPr>
        <w:rStyle w:val="PageNumber"/>
        <w:noProof/>
      </w:rPr>
      <w:t>2</w:t>
    </w:r>
    <w:r>
      <w:rPr>
        <w:rStyle w:val="PageNumber"/>
      </w:rPr>
      <w:fldChar w:fldCharType="end"/>
    </w:r>
  </w:p>
  <w:p w:rsidR="00834F2B" w14:paraId="39BB0F71" w14:textId="77777777">
    <w:pPr>
      <w:pStyle w:val="Footer"/>
    </w:pPr>
  </w:p>
  <w:p w:rsidR="00DE7514" w14:paraId="584C21E3" w14:textId="77777777"/>
  <w:p w:rsidR="00DE7514" w14:paraId="7BBCF85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55C92"/>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7B0D92"/>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EA1F5D"/>
    <w:multiLevelType w:val="hybridMultilevel"/>
    <w:tmpl w:val="B798F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A3B49"/>
    <w:multiLevelType w:val="hybridMultilevel"/>
    <w:tmpl w:val="A29CA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E52411"/>
    <w:multiLevelType w:val="hybridMultilevel"/>
    <w:tmpl w:val="69F42C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7DF67DE"/>
    <w:multiLevelType w:val="hybridMultilevel"/>
    <w:tmpl w:val="D53AC9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81F1C65"/>
    <w:multiLevelType w:val="hybridMultilevel"/>
    <w:tmpl w:val="FE14F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D0DD7"/>
    <w:multiLevelType w:val="hybridMultilevel"/>
    <w:tmpl w:val="4E0CAC4C"/>
    <w:lvl w:ilvl="0">
      <w:start w:val="2015"/>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676AD"/>
    <w:multiLevelType w:val="hybridMultilevel"/>
    <w:tmpl w:val="A29CA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0111623">
    <w:abstractNumId w:val="2"/>
  </w:num>
  <w:num w:numId="2" w16cid:durableId="7949726">
    <w:abstractNumId w:val="3"/>
  </w:num>
  <w:num w:numId="3" w16cid:durableId="1050808723">
    <w:abstractNumId w:val="9"/>
  </w:num>
  <w:num w:numId="4" w16cid:durableId="154805482">
    <w:abstractNumId w:val="16"/>
  </w:num>
  <w:num w:numId="5" w16cid:durableId="1514107696">
    <w:abstractNumId w:val="14"/>
  </w:num>
  <w:num w:numId="6" w16cid:durableId="1845778730">
    <w:abstractNumId w:val="1"/>
  </w:num>
  <w:num w:numId="7" w16cid:durableId="1146435704">
    <w:abstractNumId w:val="11"/>
  </w:num>
  <w:num w:numId="8" w16cid:durableId="2133860775">
    <w:abstractNumId w:val="4"/>
  </w:num>
  <w:num w:numId="9" w16cid:durableId="1236283025">
    <w:abstractNumId w:val="0"/>
  </w:num>
  <w:num w:numId="10" w16cid:durableId="1180347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954324">
    <w:abstractNumId w:val="15"/>
  </w:num>
  <w:num w:numId="12" w16cid:durableId="1994530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453906">
    <w:abstractNumId w:val="5"/>
  </w:num>
  <w:num w:numId="14" w16cid:durableId="770706785">
    <w:abstractNumId w:val="13"/>
  </w:num>
  <w:num w:numId="15" w16cid:durableId="1717971695">
    <w:abstractNumId w:val="8"/>
  </w:num>
  <w:num w:numId="16" w16cid:durableId="119226329">
    <w:abstractNumId w:val="12"/>
  </w:num>
  <w:num w:numId="17" w16cid:durableId="781002204">
    <w:abstractNumId w:val="6"/>
  </w:num>
  <w:num w:numId="18" w16cid:durableId="1987314441">
    <w:abstractNumId w:val="7"/>
  </w:num>
  <w:num w:numId="19" w16cid:durableId="1636838493">
    <w:abstractNumId w:val="10"/>
  </w:num>
  <w:num w:numId="20" w16cid:durableId="203105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AD"/>
    <w:rsid w:val="00001A26"/>
    <w:rsid w:val="000028E6"/>
    <w:rsid w:val="00003726"/>
    <w:rsid w:val="00007C23"/>
    <w:rsid w:val="00013DFF"/>
    <w:rsid w:val="0001418A"/>
    <w:rsid w:val="000151DF"/>
    <w:rsid w:val="00022B2F"/>
    <w:rsid w:val="00023905"/>
    <w:rsid w:val="0002688B"/>
    <w:rsid w:val="00027931"/>
    <w:rsid w:val="00027A15"/>
    <w:rsid w:val="0003325F"/>
    <w:rsid w:val="000365A6"/>
    <w:rsid w:val="000375C3"/>
    <w:rsid w:val="00037C89"/>
    <w:rsid w:val="00040D98"/>
    <w:rsid w:val="0004144A"/>
    <w:rsid w:val="00042F92"/>
    <w:rsid w:val="00044614"/>
    <w:rsid w:val="00050229"/>
    <w:rsid w:val="000513D7"/>
    <w:rsid w:val="00053B30"/>
    <w:rsid w:val="000612E4"/>
    <w:rsid w:val="000733EB"/>
    <w:rsid w:val="0007359E"/>
    <w:rsid w:val="00073ABB"/>
    <w:rsid w:val="00074AB0"/>
    <w:rsid w:val="00075E6A"/>
    <w:rsid w:val="00075E76"/>
    <w:rsid w:val="00076BC9"/>
    <w:rsid w:val="0007754D"/>
    <w:rsid w:val="00077DEB"/>
    <w:rsid w:val="00082047"/>
    <w:rsid w:val="00082938"/>
    <w:rsid w:val="0008333F"/>
    <w:rsid w:val="0008338A"/>
    <w:rsid w:val="00083B99"/>
    <w:rsid w:val="00083C44"/>
    <w:rsid w:val="00084D1F"/>
    <w:rsid w:val="00085589"/>
    <w:rsid w:val="00092E6B"/>
    <w:rsid w:val="000A1080"/>
    <w:rsid w:val="000A2A08"/>
    <w:rsid w:val="000A3642"/>
    <w:rsid w:val="000B246F"/>
    <w:rsid w:val="000B2925"/>
    <w:rsid w:val="000B51D2"/>
    <w:rsid w:val="000C052D"/>
    <w:rsid w:val="000C26A4"/>
    <w:rsid w:val="000C273C"/>
    <w:rsid w:val="000C724E"/>
    <w:rsid w:val="000D68E0"/>
    <w:rsid w:val="000D770C"/>
    <w:rsid w:val="000E169C"/>
    <w:rsid w:val="000E22A3"/>
    <w:rsid w:val="000E5B21"/>
    <w:rsid w:val="000F0DC1"/>
    <w:rsid w:val="000F1C4B"/>
    <w:rsid w:val="000F1F9F"/>
    <w:rsid w:val="000F2A0A"/>
    <w:rsid w:val="000F2ADC"/>
    <w:rsid w:val="000F54DD"/>
    <w:rsid w:val="001030DE"/>
    <w:rsid w:val="00124EC9"/>
    <w:rsid w:val="001277A0"/>
    <w:rsid w:val="0013163D"/>
    <w:rsid w:val="00133642"/>
    <w:rsid w:val="0013418E"/>
    <w:rsid w:val="00144014"/>
    <w:rsid w:val="00150219"/>
    <w:rsid w:val="00154C3C"/>
    <w:rsid w:val="00160402"/>
    <w:rsid w:val="00160B30"/>
    <w:rsid w:val="001623B4"/>
    <w:rsid w:val="00167E02"/>
    <w:rsid w:val="00172665"/>
    <w:rsid w:val="00172955"/>
    <w:rsid w:val="00184281"/>
    <w:rsid w:val="00185141"/>
    <w:rsid w:val="00191160"/>
    <w:rsid w:val="001914B6"/>
    <w:rsid w:val="00192E94"/>
    <w:rsid w:val="00193D98"/>
    <w:rsid w:val="0019507C"/>
    <w:rsid w:val="00195922"/>
    <w:rsid w:val="001961A5"/>
    <w:rsid w:val="001A148D"/>
    <w:rsid w:val="001A14EE"/>
    <w:rsid w:val="001A5FF7"/>
    <w:rsid w:val="001A797C"/>
    <w:rsid w:val="001B5D6F"/>
    <w:rsid w:val="001C08AE"/>
    <w:rsid w:val="001C2B34"/>
    <w:rsid w:val="001C3D9E"/>
    <w:rsid w:val="001C78FD"/>
    <w:rsid w:val="001D0454"/>
    <w:rsid w:val="001D4891"/>
    <w:rsid w:val="001D5EA9"/>
    <w:rsid w:val="001D7EC6"/>
    <w:rsid w:val="001F5E2E"/>
    <w:rsid w:val="00200B3F"/>
    <w:rsid w:val="00202661"/>
    <w:rsid w:val="00205A8C"/>
    <w:rsid w:val="00205CD4"/>
    <w:rsid w:val="0020740B"/>
    <w:rsid w:val="002131BA"/>
    <w:rsid w:val="00213F83"/>
    <w:rsid w:val="002167E9"/>
    <w:rsid w:val="00220C60"/>
    <w:rsid w:val="0022180A"/>
    <w:rsid w:val="00221F79"/>
    <w:rsid w:val="00222258"/>
    <w:rsid w:val="00224620"/>
    <w:rsid w:val="002343F0"/>
    <w:rsid w:val="0023595D"/>
    <w:rsid w:val="00237211"/>
    <w:rsid w:val="00240615"/>
    <w:rsid w:val="00242911"/>
    <w:rsid w:val="00243021"/>
    <w:rsid w:val="00243D07"/>
    <w:rsid w:val="0024459F"/>
    <w:rsid w:val="00247045"/>
    <w:rsid w:val="00250D17"/>
    <w:rsid w:val="00250F6D"/>
    <w:rsid w:val="00257FF5"/>
    <w:rsid w:val="00260817"/>
    <w:rsid w:val="00260A01"/>
    <w:rsid w:val="00262FCA"/>
    <w:rsid w:val="002643EF"/>
    <w:rsid w:val="00264890"/>
    <w:rsid w:val="00265C70"/>
    <w:rsid w:val="00266D37"/>
    <w:rsid w:val="00274E60"/>
    <w:rsid w:val="00277CEA"/>
    <w:rsid w:val="002837E3"/>
    <w:rsid w:val="002920BF"/>
    <w:rsid w:val="00293C91"/>
    <w:rsid w:val="002A220A"/>
    <w:rsid w:val="002A5123"/>
    <w:rsid w:val="002A5262"/>
    <w:rsid w:val="002B0F78"/>
    <w:rsid w:val="002B1C30"/>
    <w:rsid w:val="002B51BE"/>
    <w:rsid w:val="002D25D1"/>
    <w:rsid w:val="002E2C08"/>
    <w:rsid w:val="002F344F"/>
    <w:rsid w:val="002F5519"/>
    <w:rsid w:val="003004BA"/>
    <w:rsid w:val="00304ED0"/>
    <w:rsid w:val="00306D5B"/>
    <w:rsid w:val="00306FDB"/>
    <w:rsid w:val="00307CE1"/>
    <w:rsid w:val="00314B99"/>
    <w:rsid w:val="0031502F"/>
    <w:rsid w:val="00321DCA"/>
    <w:rsid w:val="003250C1"/>
    <w:rsid w:val="00325A17"/>
    <w:rsid w:val="00325BC9"/>
    <w:rsid w:val="003262FF"/>
    <w:rsid w:val="0033062C"/>
    <w:rsid w:val="00330998"/>
    <w:rsid w:val="00332B38"/>
    <w:rsid w:val="003338AE"/>
    <w:rsid w:val="003351E7"/>
    <w:rsid w:val="00335C7A"/>
    <w:rsid w:val="003372D4"/>
    <w:rsid w:val="00337A8D"/>
    <w:rsid w:val="00337B6C"/>
    <w:rsid w:val="00340829"/>
    <w:rsid w:val="00343160"/>
    <w:rsid w:val="00353007"/>
    <w:rsid w:val="00354592"/>
    <w:rsid w:val="00364AF4"/>
    <w:rsid w:val="00365067"/>
    <w:rsid w:val="00366448"/>
    <w:rsid w:val="00367D62"/>
    <w:rsid w:val="0037171C"/>
    <w:rsid w:val="00373EEA"/>
    <w:rsid w:val="00374684"/>
    <w:rsid w:val="00381C57"/>
    <w:rsid w:val="003826A8"/>
    <w:rsid w:val="00383034"/>
    <w:rsid w:val="00384745"/>
    <w:rsid w:val="00393005"/>
    <w:rsid w:val="00395313"/>
    <w:rsid w:val="00396B62"/>
    <w:rsid w:val="003A01D8"/>
    <w:rsid w:val="003A60D0"/>
    <w:rsid w:val="003B376A"/>
    <w:rsid w:val="003B3C70"/>
    <w:rsid w:val="003B7C56"/>
    <w:rsid w:val="003C1C77"/>
    <w:rsid w:val="003C2A2F"/>
    <w:rsid w:val="003C3103"/>
    <w:rsid w:val="003C312C"/>
    <w:rsid w:val="003C6E1D"/>
    <w:rsid w:val="003C73E8"/>
    <w:rsid w:val="003C78B3"/>
    <w:rsid w:val="003D20F4"/>
    <w:rsid w:val="003D369A"/>
    <w:rsid w:val="003D3B9C"/>
    <w:rsid w:val="003D6AE8"/>
    <w:rsid w:val="003D7B14"/>
    <w:rsid w:val="003E1B3A"/>
    <w:rsid w:val="003E4F21"/>
    <w:rsid w:val="003E5020"/>
    <w:rsid w:val="003E5535"/>
    <w:rsid w:val="003F2136"/>
    <w:rsid w:val="003F223C"/>
    <w:rsid w:val="003F4F2F"/>
    <w:rsid w:val="00413710"/>
    <w:rsid w:val="0041512E"/>
    <w:rsid w:val="00415138"/>
    <w:rsid w:val="00417E40"/>
    <w:rsid w:val="00420A43"/>
    <w:rsid w:val="00422733"/>
    <w:rsid w:val="00422B2A"/>
    <w:rsid w:val="004230CE"/>
    <w:rsid w:val="00426547"/>
    <w:rsid w:val="00426BAE"/>
    <w:rsid w:val="00431F3A"/>
    <w:rsid w:val="00432724"/>
    <w:rsid w:val="0043295B"/>
    <w:rsid w:val="004453FC"/>
    <w:rsid w:val="00446819"/>
    <w:rsid w:val="0044753A"/>
    <w:rsid w:val="00447D8C"/>
    <w:rsid w:val="00451EBF"/>
    <w:rsid w:val="0045382A"/>
    <w:rsid w:val="004543F7"/>
    <w:rsid w:val="00456179"/>
    <w:rsid w:val="00460D1B"/>
    <w:rsid w:val="004612A7"/>
    <w:rsid w:val="00461D98"/>
    <w:rsid w:val="00465D3B"/>
    <w:rsid w:val="00474DB9"/>
    <w:rsid w:val="00476B1E"/>
    <w:rsid w:val="00477FC2"/>
    <w:rsid w:val="0048731E"/>
    <w:rsid w:val="0049007B"/>
    <w:rsid w:val="004947DC"/>
    <w:rsid w:val="0049545C"/>
    <w:rsid w:val="00497C66"/>
    <w:rsid w:val="00497F29"/>
    <w:rsid w:val="004A0508"/>
    <w:rsid w:val="004A066D"/>
    <w:rsid w:val="004A111A"/>
    <w:rsid w:val="004A58E2"/>
    <w:rsid w:val="004A5B19"/>
    <w:rsid w:val="004B06E4"/>
    <w:rsid w:val="004B1F01"/>
    <w:rsid w:val="004B5BD6"/>
    <w:rsid w:val="004B5C84"/>
    <w:rsid w:val="004B64D5"/>
    <w:rsid w:val="004C5A60"/>
    <w:rsid w:val="004C7F3B"/>
    <w:rsid w:val="004D6C5F"/>
    <w:rsid w:val="004E385C"/>
    <w:rsid w:val="004F026C"/>
    <w:rsid w:val="004F153D"/>
    <w:rsid w:val="004F1E56"/>
    <w:rsid w:val="004F24CC"/>
    <w:rsid w:val="004F6968"/>
    <w:rsid w:val="004F6FC6"/>
    <w:rsid w:val="004F7C29"/>
    <w:rsid w:val="004F7F3F"/>
    <w:rsid w:val="0050069A"/>
    <w:rsid w:val="0050237F"/>
    <w:rsid w:val="00503273"/>
    <w:rsid w:val="00503AEF"/>
    <w:rsid w:val="0050472C"/>
    <w:rsid w:val="00506B7C"/>
    <w:rsid w:val="0050774C"/>
    <w:rsid w:val="00511058"/>
    <w:rsid w:val="005114A6"/>
    <w:rsid w:val="00512BF3"/>
    <w:rsid w:val="005145BA"/>
    <w:rsid w:val="00514CDE"/>
    <w:rsid w:val="00520D8D"/>
    <w:rsid w:val="00521249"/>
    <w:rsid w:val="00522ADD"/>
    <w:rsid w:val="00523A23"/>
    <w:rsid w:val="00536106"/>
    <w:rsid w:val="00543AF4"/>
    <w:rsid w:val="005453AD"/>
    <w:rsid w:val="00552C85"/>
    <w:rsid w:val="00555B00"/>
    <w:rsid w:val="00555B8A"/>
    <w:rsid w:val="005677B5"/>
    <w:rsid w:val="00570CAB"/>
    <w:rsid w:val="0057557D"/>
    <w:rsid w:val="005772BD"/>
    <w:rsid w:val="00577CE4"/>
    <w:rsid w:val="00581868"/>
    <w:rsid w:val="00586DB6"/>
    <w:rsid w:val="00586EA4"/>
    <w:rsid w:val="005953C0"/>
    <w:rsid w:val="005B1A82"/>
    <w:rsid w:val="005B241A"/>
    <w:rsid w:val="005B7E1A"/>
    <w:rsid w:val="005C1AED"/>
    <w:rsid w:val="005C2715"/>
    <w:rsid w:val="005C5098"/>
    <w:rsid w:val="005C5474"/>
    <w:rsid w:val="005C5779"/>
    <w:rsid w:val="005D5333"/>
    <w:rsid w:val="005E3686"/>
    <w:rsid w:val="005E5170"/>
    <w:rsid w:val="005E5E6A"/>
    <w:rsid w:val="005F08FA"/>
    <w:rsid w:val="005F4F1D"/>
    <w:rsid w:val="005F6627"/>
    <w:rsid w:val="00601FCB"/>
    <w:rsid w:val="00602276"/>
    <w:rsid w:val="006033EC"/>
    <w:rsid w:val="00605055"/>
    <w:rsid w:val="006051E2"/>
    <w:rsid w:val="0060746F"/>
    <w:rsid w:val="00607E4C"/>
    <w:rsid w:val="006106C1"/>
    <w:rsid w:val="006150B9"/>
    <w:rsid w:val="006155F4"/>
    <w:rsid w:val="006175DD"/>
    <w:rsid w:val="00617ED8"/>
    <w:rsid w:val="00620AC7"/>
    <w:rsid w:val="006239B9"/>
    <w:rsid w:val="0062522A"/>
    <w:rsid w:val="00631667"/>
    <w:rsid w:val="00635512"/>
    <w:rsid w:val="00636D49"/>
    <w:rsid w:val="0063714F"/>
    <w:rsid w:val="00641E4D"/>
    <w:rsid w:val="00643019"/>
    <w:rsid w:val="00645FAA"/>
    <w:rsid w:val="00654B0E"/>
    <w:rsid w:val="00656C4F"/>
    <w:rsid w:val="0065798D"/>
    <w:rsid w:val="0066058A"/>
    <w:rsid w:val="0066310F"/>
    <w:rsid w:val="0066449D"/>
    <w:rsid w:val="006653E4"/>
    <w:rsid w:val="00666C20"/>
    <w:rsid w:val="00670963"/>
    <w:rsid w:val="006751F3"/>
    <w:rsid w:val="006769A1"/>
    <w:rsid w:val="006803F2"/>
    <w:rsid w:val="00681864"/>
    <w:rsid w:val="00681E27"/>
    <w:rsid w:val="00682507"/>
    <w:rsid w:val="00683F5E"/>
    <w:rsid w:val="0069068A"/>
    <w:rsid w:val="00694254"/>
    <w:rsid w:val="00697067"/>
    <w:rsid w:val="006A09B7"/>
    <w:rsid w:val="006A10BB"/>
    <w:rsid w:val="006A23A7"/>
    <w:rsid w:val="006A3326"/>
    <w:rsid w:val="006A6C68"/>
    <w:rsid w:val="006B0B36"/>
    <w:rsid w:val="006B30B3"/>
    <w:rsid w:val="006B417B"/>
    <w:rsid w:val="006B65D6"/>
    <w:rsid w:val="006C0C47"/>
    <w:rsid w:val="006C199C"/>
    <w:rsid w:val="006C64C0"/>
    <w:rsid w:val="006C7CA2"/>
    <w:rsid w:val="006D2949"/>
    <w:rsid w:val="006D2A3E"/>
    <w:rsid w:val="006D548C"/>
    <w:rsid w:val="006E0D76"/>
    <w:rsid w:val="006F0267"/>
    <w:rsid w:val="006F7232"/>
    <w:rsid w:val="007017C8"/>
    <w:rsid w:val="00701B9B"/>
    <w:rsid w:val="007033D7"/>
    <w:rsid w:val="00714C76"/>
    <w:rsid w:val="007179D0"/>
    <w:rsid w:val="007257EA"/>
    <w:rsid w:val="007269F9"/>
    <w:rsid w:val="00726E4F"/>
    <w:rsid w:val="0072702F"/>
    <w:rsid w:val="007277A6"/>
    <w:rsid w:val="00741D7D"/>
    <w:rsid w:val="0074536D"/>
    <w:rsid w:val="007519A8"/>
    <w:rsid w:val="00752720"/>
    <w:rsid w:val="00753312"/>
    <w:rsid w:val="007641FB"/>
    <w:rsid w:val="007651EB"/>
    <w:rsid w:val="00766ABD"/>
    <w:rsid w:val="007671A7"/>
    <w:rsid w:val="00772E70"/>
    <w:rsid w:val="007732B2"/>
    <w:rsid w:val="0077337B"/>
    <w:rsid w:val="00775880"/>
    <w:rsid w:val="00775E73"/>
    <w:rsid w:val="00777171"/>
    <w:rsid w:val="00777546"/>
    <w:rsid w:val="00781189"/>
    <w:rsid w:val="00784E65"/>
    <w:rsid w:val="007855F5"/>
    <w:rsid w:val="00790A3B"/>
    <w:rsid w:val="007923CF"/>
    <w:rsid w:val="00792830"/>
    <w:rsid w:val="00793E46"/>
    <w:rsid w:val="007A011B"/>
    <w:rsid w:val="007A17F0"/>
    <w:rsid w:val="007A1952"/>
    <w:rsid w:val="007A39C6"/>
    <w:rsid w:val="007B2176"/>
    <w:rsid w:val="007C0D40"/>
    <w:rsid w:val="007C39E4"/>
    <w:rsid w:val="007C49D3"/>
    <w:rsid w:val="007C4AC5"/>
    <w:rsid w:val="007C5743"/>
    <w:rsid w:val="007C5905"/>
    <w:rsid w:val="007D1848"/>
    <w:rsid w:val="007D3A29"/>
    <w:rsid w:val="007D53AA"/>
    <w:rsid w:val="007D5599"/>
    <w:rsid w:val="007E6E47"/>
    <w:rsid w:val="007F2387"/>
    <w:rsid w:val="007F2D81"/>
    <w:rsid w:val="007F2F72"/>
    <w:rsid w:val="007F353E"/>
    <w:rsid w:val="007F4093"/>
    <w:rsid w:val="007F59FA"/>
    <w:rsid w:val="007F6ED1"/>
    <w:rsid w:val="00802E60"/>
    <w:rsid w:val="00803B59"/>
    <w:rsid w:val="00806B71"/>
    <w:rsid w:val="008077A5"/>
    <w:rsid w:val="00812673"/>
    <w:rsid w:val="00823A11"/>
    <w:rsid w:val="00826B61"/>
    <w:rsid w:val="00826B80"/>
    <w:rsid w:val="00833FC6"/>
    <w:rsid w:val="00834A30"/>
    <w:rsid w:val="00834F2B"/>
    <w:rsid w:val="00835188"/>
    <w:rsid w:val="008358C1"/>
    <w:rsid w:val="00842955"/>
    <w:rsid w:val="008452A3"/>
    <w:rsid w:val="00852C36"/>
    <w:rsid w:val="00854B3A"/>
    <w:rsid w:val="00864C0A"/>
    <w:rsid w:val="0086606B"/>
    <w:rsid w:val="00871DAE"/>
    <w:rsid w:val="00871DCB"/>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0B70"/>
    <w:rsid w:val="008C105F"/>
    <w:rsid w:val="008C5771"/>
    <w:rsid w:val="008C5EA9"/>
    <w:rsid w:val="008D1D5B"/>
    <w:rsid w:val="008D56AE"/>
    <w:rsid w:val="008D644A"/>
    <w:rsid w:val="008E06B8"/>
    <w:rsid w:val="008E0DFC"/>
    <w:rsid w:val="008E0F33"/>
    <w:rsid w:val="008E0FA4"/>
    <w:rsid w:val="008E4E24"/>
    <w:rsid w:val="008E5F75"/>
    <w:rsid w:val="008F18CD"/>
    <w:rsid w:val="008F197F"/>
    <w:rsid w:val="008F23F5"/>
    <w:rsid w:val="008F47A2"/>
    <w:rsid w:val="008F4B4A"/>
    <w:rsid w:val="008F6C41"/>
    <w:rsid w:val="008F74FC"/>
    <w:rsid w:val="008F79F3"/>
    <w:rsid w:val="00900927"/>
    <w:rsid w:val="0090111B"/>
    <w:rsid w:val="00915652"/>
    <w:rsid w:val="00916AA3"/>
    <w:rsid w:val="009218A1"/>
    <w:rsid w:val="0093202A"/>
    <w:rsid w:val="009322B7"/>
    <w:rsid w:val="00942731"/>
    <w:rsid w:val="009439F7"/>
    <w:rsid w:val="00944F8E"/>
    <w:rsid w:val="00952C68"/>
    <w:rsid w:val="0095422A"/>
    <w:rsid w:val="00954AC0"/>
    <w:rsid w:val="009607AD"/>
    <w:rsid w:val="00962495"/>
    <w:rsid w:val="009631D2"/>
    <w:rsid w:val="00963764"/>
    <w:rsid w:val="009659F5"/>
    <w:rsid w:val="00973257"/>
    <w:rsid w:val="0097356A"/>
    <w:rsid w:val="00973F4E"/>
    <w:rsid w:val="00975FAB"/>
    <w:rsid w:val="00981E03"/>
    <w:rsid w:val="00986127"/>
    <w:rsid w:val="00986FB6"/>
    <w:rsid w:val="00992ABB"/>
    <w:rsid w:val="009973E0"/>
    <w:rsid w:val="009A12A8"/>
    <w:rsid w:val="009A13F5"/>
    <w:rsid w:val="009A1506"/>
    <w:rsid w:val="009A25FE"/>
    <w:rsid w:val="009A51EB"/>
    <w:rsid w:val="009A5A45"/>
    <w:rsid w:val="009B598D"/>
    <w:rsid w:val="009B7B44"/>
    <w:rsid w:val="009C00DB"/>
    <w:rsid w:val="009C1145"/>
    <w:rsid w:val="009C1426"/>
    <w:rsid w:val="009C62DF"/>
    <w:rsid w:val="009D1FF0"/>
    <w:rsid w:val="009D4ECA"/>
    <w:rsid w:val="009D5632"/>
    <w:rsid w:val="009D5E90"/>
    <w:rsid w:val="009D631B"/>
    <w:rsid w:val="009E070F"/>
    <w:rsid w:val="009E226C"/>
    <w:rsid w:val="009E50C5"/>
    <w:rsid w:val="009E611A"/>
    <w:rsid w:val="009E749B"/>
    <w:rsid w:val="009F0517"/>
    <w:rsid w:val="009F5807"/>
    <w:rsid w:val="009F6784"/>
    <w:rsid w:val="009F6E5C"/>
    <w:rsid w:val="00A00D79"/>
    <w:rsid w:val="00A04FB9"/>
    <w:rsid w:val="00A125DD"/>
    <w:rsid w:val="00A125FA"/>
    <w:rsid w:val="00A1346F"/>
    <w:rsid w:val="00A15B3E"/>
    <w:rsid w:val="00A15E19"/>
    <w:rsid w:val="00A175C7"/>
    <w:rsid w:val="00A20707"/>
    <w:rsid w:val="00A22062"/>
    <w:rsid w:val="00A265FD"/>
    <w:rsid w:val="00A31DFA"/>
    <w:rsid w:val="00A35E11"/>
    <w:rsid w:val="00A400AF"/>
    <w:rsid w:val="00A41D2D"/>
    <w:rsid w:val="00A433E3"/>
    <w:rsid w:val="00A4499C"/>
    <w:rsid w:val="00A45098"/>
    <w:rsid w:val="00A51A46"/>
    <w:rsid w:val="00A5292F"/>
    <w:rsid w:val="00A60C7A"/>
    <w:rsid w:val="00A63EAA"/>
    <w:rsid w:val="00A664BC"/>
    <w:rsid w:val="00A7237B"/>
    <w:rsid w:val="00A75A28"/>
    <w:rsid w:val="00A8014B"/>
    <w:rsid w:val="00A829FA"/>
    <w:rsid w:val="00A8361D"/>
    <w:rsid w:val="00A90399"/>
    <w:rsid w:val="00A91213"/>
    <w:rsid w:val="00A91B65"/>
    <w:rsid w:val="00A9558B"/>
    <w:rsid w:val="00A97ECD"/>
    <w:rsid w:val="00AA088D"/>
    <w:rsid w:val="00AA0B1F"/>
    <w:rsid w:val="00AA1F79"/>
    <w:rsid w:val="00AA2BBB"/>
    <w:rsid w:val="00AA72CA"/>
    <w:rsid w:val="00AB0020"/>
    <w:rsid w:val="00AB5F7C"/>
    <w:rsid w:val="00AB72C0"/>
    <w:rsid w:val="00AC39CA"/>
    <w:rsid w:val="00AC6AA6"/>
    <w:rsid w:val="00AC7A69"/>
    <w:rsid w:val="00AD376D"/>
    <w:rsid w:val="00AD46D9"/>
    <w:rsid w:val="00AD7038"/>
    <w:rsid w:val="00AE5089"/>
    <w:rsid w:val="00AE593A"/>
    <w:rsid w:val="00AE797C"/>
    <w:rsid w:val="00AF135C"/>
    <w:rsid w:val="00AF3D3E"/>
    <w:rsid w:val="00AF4804"/>
    <w:rsid w:val="00AF7AAC"/>
    <w:rsid w:val="00B03A17"/>
    <w:rsid w:val="00B04E10"/>
    <w:rsid w:val="00B077FB"/>
    <w:rsid w:val="00B20522"/>
    <w:rsid w:val="00B254E1"/>
    <w:rsid w:val="00B354AF"/>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96463"/>
    <w:rsid w:val="00BA2394"/>
    <w:rsid w:val="00BA3FA4"/>
    <w:rsid w:val="00BB24C6"/>
    <w:rsid w:val="00BB46DF"/>
    <w:rsid w:val="00BB5DCB"/>
    <w:rsid w:val="00BB7336"/>
    <w:rsid w:val="00BC315E"/>
    <w:rsid w:val="00BD3C61"/>
    <w:rsid w:val="00BD4047"/>
    <w:rsid w:val="00BE05DE"/>
    <w:rsid w:val="00BE46D9"/>
    <w:rsid w:val="00BF14C1"/>
    <w:rsid w:val="00BF161A"/>
    <w:rsid w:val="00BF1A41"/>
    <w:rsid w:val="00BF303C"/>
    <w:rsid w:val="00C0084C"/>
    <w:rsid w:val="00C0444B"/>
    <w:rsid w:val="00C06D2B"/>
    <w:rsid w:val="00C143A8"/>
    <w:rsid w:val="00C147EF"/>
    <w:rsid w:val="00C2100D"/>
    <w:rsid w:val="00C21143"/>
    <w:rsid w:val="00C212E6"/>
    <w:rsid w:val="00C26E9D"/>
    <w:rsid w:val="00C309A6"/>
    <w:rsid w:val="00C36EED"/>
    <w:rsid w:val="00C418BD"/>
    <w:rsid w:val="00C41FBC"/>
    <w:rsid w:val="00C44F8A"/>
    <w:rsid w:val="00C53FCD"/>
    <w:rsid w:val="00C54413"/>
    <w:rsid w:val="00C56F2E"/>
    <w:rsid w:val="00C664BC"/>
    <w:rsid w:val="00C67B2A"/>
    <w:rsid w:val="00C730E7"/>
    <w:rsid w:val="00C76DEC"/>
    <w:rsid w:val="00C80D3D"/>
    <w:rsid w:val="00C81903"/>
    <w:rsid w:val="00C819BF"/>
    <w:rsid w:val="00C828BE"/>
    <w:rsid w:val="00C84426"/>
    <w:rsid w:val="00C84600"/>
    <w:rsid w:val="00C92991"/>
    <w:rsid w:val="00C94DE8"/>
    <w:rsid w:val="00C97357"/>
    <w:rsid w:val="00CA0B6E"/>
    <w:rsid w:val="00CA149B"/>
    <w:rsid w:val="00CA14E3"/>
    <w:rsid w:val="00CA2FB9"/>
    <w:rsid w:val="00CA3491"/>
    <w:rsid w:val="00CA3A5F"/>
    <w:rsid w:val="00CA6A4B"/>
    <w:rsid w:val="00CB2F8B"/>
    <w:rsid w:val="00CB455B"/>
    <w:rsid w:val="00CB4E16"/>
    <w:rsid w:val="00CB660A"/>
    <w:rsid w:val="00CB6A7F"/>
    <w:rsid w:val="00CB7615"/>
    <w:rsid w:val="00CB777C"/>
    <w:rsid w:val="00CC01E3"/>
    <w:rsid w:val="00CC39D0"/>
    <w:rsid w:val="00CC3A9B"/>
    <w:rsid w:val="00CC42B4"/>
    <w:rsid w:val="00CC72ED"/>
    <w:rsid w:val="00CD03FF"/>
    <w:rsid w:val="00CD269E"/>
    <w:rsid w:val="00CD6D77"/>
    <w:rsid w:val="00CE05C0"/>
    <w:rsid w:val="00CE3786"/>
    <w:rsid w:val="00CE49C8"/>
    <w:rsid w:val="00CE56FC"/>
    <w:rsid w:val="00CE74B4"/>
    <w:rsid w:val="00CF25B2"/>
    <w:rsid w:val="00CF329E"/>
    <w:rsid w:val="00CF4E72"/>
    <w:rsid w:val="00CF6243"/>
    <w:rsid w:val="00D02EBE"/>
    <w:rsid w:val="00D10174"/>
    <w:rsid w:val="00D10C24"/>
    <w:rsid w:val="00D1193F"/>
    <w:rsid w:val="00D125AD"/>
    <w:rsid w:val="00D17DA6"/>
    <w:rsid w:val="00D214B7"/>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2169"/>
    <w:rsid w:val="00D521C3"/>
    <w:rsid w:val="00D57F86"/>
    <w:rsid w:val="00D6091A"/>
    <w:rsid w:val="00D60E29"/>
    <w:rsid w:val="00D66424"/>
    <w:rsid w:val="00D67DD8"/>
    <w:rsid w:val="00D70CBE"/>
    <w:rsid w:val="00D73B7D"/>
    <w:rsid w:val="00D770B1"/>
    <w:rsid w:val="00D77101"/>
    <w:rsid w:val="00D773DD"/>
    <w:rsid w:val="00D77619"/>
    <w:rsid w:val="00D829B9"/>
    <w:rsid w:val="00D83209"/>
    <w:rsid w:val="00D8328B"/>
    <w:rsid w:val="00D86080"/>
    <w:rsid w:val="00D8687C"/>
    <w:rsid w:val="00D86A91"/>
    <w:rsid w:val="00D95677"/>
    <w:rsid w:val="00DB042D"/>
    <w:rsid w:val="00DB47BD"/>
    <w:rsid w:val="00DB4DF8"/>
    <w:rsid w:val="00DB7296"/>
    <w:rsid w:val="00DC21BC"/>
    <w:rsid w:val="00DC3784"/>
    <w:rsid w:val="00DD2A98"/>
    <w:rsid w:val="00DD691C"/>
    <w:rsid w:val="00DE05F8"/>
    <w:rsid w:val="00DE0C8F"/>
    <w:rsid w:val="00DE0C9B"/>
    <w:rsid w:val="00DE3173"/>
    <w:rsid w:val="00DE5C7A"/>
    <w:rsid w:val="00DE6711"/>
    <w:rsid w:val="00DE7514"/>
    <w:rsid w:val="00DF01F5"/>
    <w:rsid w:val="00DF2AE2"/>
    <w:rsid w:val="00DF6B33"/>
    <w:rsid w:val="00E00AFB"/>
    <w:rsid w:val="00E012CA"/>
    <w:rsid w:val="00E04FF2"/>
    <w:rsid w:val="00E059FC"/>
    <w:rsid w:val="00E1093E"/>
    <w:rsid w:val="00E10B9C"/>
    <w:rsid w:val="00E10EF3"/>
    <w:rsid w:val="00E11A8D"/>
    <w:rsid w:val="00E12D1D"/>
    <w:rsid w:val="00E12F75"/>
    <w:rsid w:val="00E2349D"/>
    <w:rsid w:val="00E24AE8"/>
    <w:rsid w:val="00E24AFA"/>
    <w:rsid w:val="00E2602E"/>
    <w:rsid w:val="00E309E3"/>
    <w:rsid w:val="00E33E06"/>
    <w:rsid w:val="00E35BA9"/>
    <w:rsid w:val="00E379C0"/>
    <w:rsid w:val="00E40A61"/>
    <w:rsid w:val="00E41334"/>
    <w:rsid w:val="00E42920"/>
    <w:rsid w:val="00E466CE"/>
    <w:rsid w:val="00E50483"/>
    <w:rsid w:val="00E513E7"/>
    <w:rsid w:val="00E524A1"/>
    <w:rsid w:val="00E545DB"/>
    <w:rsid w:val="00E54BE4"/>
    <w:rsid w:val="00E56239"/>
    <w:rsid w:val="00E5761E"/>
    <w:rsid w:val="00E60A5F"/>
    <w:rsid w:val="00E61391"/>
    <w:rsid w:val="00E619FD"/>
    <w:rsid w:val="00E700DB"/>
    <w:rsid w:val="00E72EFB"/>
    <w:rsid w:val="00E734A9"/>
    <w:rsid w:val="00E75ADF"/>
    <w:rsid w:val="00E80E7C"/>
    <w:rsid w:val="00E8231E"/>
    <w:rsid w:val="00E86F9F"/>
    <w:rsid w:val="00E87504"/>
    <w:rsid w:val="00E8787A"/>
    <w:rsid w:val="00E90731"/>
    <w:rsid w:val="00E92A8D"/>
    <w:rsid w:val="00E950A9"/>
    <w:rsid w:val="00E95E30"/>
    <w:rsid w:val="00EA20B6"/>
    <w:rsid w:val="00EA4102"/>
    <w:rsid w:val="00EA5256"/>
    <w:rsid w:val="00EA729B"/>
    <w:rsid w:val="00EA73B4"/>
    <w:rsid w:val="00EB1431"/>
    <w:rsid w:val="00EB176E"/>
    <w:rsid w:val="00EB2191"/>
    <w:rsid w:val="00EB2F7F"/>
    <w:rsid w:val="00EC17FD"/>
    <w:rsid w:val="00EC42F4"/>
    <w:rsid w:val="00EC7F9C"/>
    <w:rsid w:val="00ED13F6"/>
    <w:rsid w:val="00ED3124"/>
    <w:rsid w:val="00EE1A8B"/>
    <w:rsid w:val="00EE2843"/>
    <w:rsid w:val="00EE70C0"/>
    <w:rsid w:val="00EF15A6"/>
    <w:rsid w:val="00EF183F"/>
    <w:rsid w:val="00EF4582"/>
    <w:rsid w:val="00F01C2A"/>
    <w:rsid w:val="00F01D8D"/>
    <w:rsid w:val="00F02303"/>
    <w:rsid w:val="00F02DB4"/>
    <w:rsid w:val="00F031E7"/>
    <w:rsid w:val="00F03266"/>
    <w:rsid w:val="00F0347B"/>
    <w:rsid w:val="00F042D8"/>
    <w:rsid w:val="00F102B7"/>
    <w:rsid w:val="00F124D7"/>
    <w:rsid w:val="00F16FD6"/>
    <w:rsid w:val="00F212C1"/>
    <w:rsid w:val="00F2241C"/>
    <w:rsid w:val="00F24E93"/>
    <w:rsid w:val="00F253F0"/>
    <w:rsid w:val="00F26EF7"/>
    <w:rsid w:val="00F31E31"/>
    <w:rsid w:val="00F332EC"/>
    <w:rsid w:val="00F33EAA"/>
    <w:rsid w:val="00F34C93"/>
    <w:rsid w:val="00F3529C"/>
    <w:rsid w:val="00F36AE7"/>
    <w:rsid w:val="00F37579"/>
    <w:rsid w:val="00F41378"/>
    <w:rsid w:val="00F429B2"/>
    <w:rsid w:val="00F43735"/>
    <w:rsid w:val="00F453DD"/>
    <w:rsid w:val="00F46445"/>
    <w:rsid w:val="00F47BB1"/>
    <w:rsid w:val="00F47F5C"/>
    <w:rsid w:val="00F50768"/>
    <w:rsid w:val="00F539AA"/>
    <w:rsid w:val="00F55CBC"/>
    <w:rsid w:val="00F61E26"/>
    <w:rsid w:val="00F641F3"/>
    <w:rsid w:val="00F67C5D"/>
    <w:rsid w:val="00F725F4"/>
    <w:rsid w:val="00F72A6E"/>
    <w:rsid w:val="00F75B34"/>
    <w:rsid w:val="00F760C2"/>
    <w:rsid w:val="00F82748"/>
    <w:rsid w:val="00F82E6F"/>
    <w:rsid w:val="00F877D8"/>
    <w:rsid w:val="00F90F74"/>
    <w:rsid w:val="00F91489"/>
    <w:rsid w:val="00F91568"/>
    <w:rsid w:val="00F963FE"/>
    <w:rsid w:val="00FA7779"/>
    <w:rsid w:val="00FB13AD"/>
    <w:rsid w:val="00FB7518"/>
    <w:rsid w:val="00FC01B8"/>
    <w:rsid w:val="00FC12A3"/>
    <w:rsid w:val="00FC224E"/>
    <w:rsid w:val="00FC4A75"/>
    <w:rsid w:val="00FC633E"/>
    <w:rsid w:val="00FD3D7E"/>
    <w:rsid w:val="00FD5A20"/>
    <w:rsid w:val="00FD6DC9"/>
    <w:rsid w:val="00FE299D"/>
    <w:rsid w:val="00FE2ABC"/>
    <w:rsid w:val="00FE2F78"/>
    <w:rsid w:val="00FE3549"/>
    <w:rsid w:val="00FE460A"/>
    <w:rsid w:val="00FE5BCD"/>
    <w:rsid w:val="00FE5F1A"/>
    <w:rsid w:val="00FF22DF"/>
    <w:rsid w:val="00FF3C8A"/>
    <w:rsid w:val="00FF7B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AD2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 w:type="paragraph" w:styleId="Header">
    <w:name w:val="header"/>
    <w:basedOn w:val="Normal"/>
    <w:link w:val="HeaderChar"/>
    <w:unhideWhenUsed/>
    <w:rsid w:val="00C97357"/>
    <w:pPr>
      <w:tabs>
        <w:tab w:val="center" w:pos="4680"/>
        <w:tab w:val="right" w:pos="9360"/>
      </w:tabs>
    </w:pPr>
  </w:style>
  <w:style w:type="character" w:customStyle="1" w:styleId="HeaderChar">
    <w:name w:val="Header Char"/>
    <w:basedOn w:val="DefaultParagraphFont"/>
    <w:link w:val="Header"/>
    <w:rsid w:val="00C97357"/>
    <w:rPr>
      <w:sz w:val="24"/>
      <w:szCs w:val="24"/>
    </w:rPr>
  </w:style>
  <w:style w:type="paragraph" w:styleId="Revision">
    <w:name w:val="Revision"/>
    <w:hidden/>
    <w:uiPriority w:val="99"/>
    <w:semiHidden/>
    <w:rsid w:val="00264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png" /><Relationship Id="rId8" Type="http://schemas.openxmlformats.org/officeDocument/2006/relationships/hyperlink" Target="https://www.whitehouse.gov/sites/default/files/omb/inforeg/statpolicy/standards_stat_survey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998B-2D42-45B3-93D8-F1E1043483D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3601</Words>
  <Characters>20402</Characters>
  <Application>Microsoft Office Word</Application>
  <DocSecurity>0</DocSecurity>
  <Lines>170</Lines>
  <Paragraphs>47</Paragraphs>
  <ScaleCrop>false</ScaleCrop>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2025-08-21T18:59:00Z</dcterms:created>
  <dcterms:modified xsi:type="dcterms:W3CDTF">2025-08-21T18:59:00Z</dcterms:modified>
</cp:coreProperties>
</file>