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50293" w:rsidRPr="00306163" w:rsidP="008C1219" w14:paraId="118546F5" w14:textId="3D2269BB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</w:t>
      </w:r>
      <w:r w:rsidRPr="00306163">
        <w:rPr>
          <w:sz w:val="28"/>
          <w:szCs w:val="28"/>
        </w:rPr>
        <w:t>” (</w:t>
      </w:r>
      <w:r w:rsidRPr="00306163" w:rsidR="00686301">
        <w:rPr>
          <w:sz w:val="28"/>
          <w:szCs w:val="28"/>
        </w:rPr>
        <w:t>OMB#</w:t>
      </w:r>
      <w:r w:rsidRPr="00306163">
        <w:rPr>
          <w:sz w:val="28"/>
          <w:szCs w:val="28"/>
        </w:rPr>
        <w:t xml:space="preserve">: </w:t>
      </w:r>
      <w:r w:rsidRPr="00306163" w:rsidR="006D5F47">
        <w:rPr>
          <w:sz w:val="28"/>
          <w:szCs w:val="28"/>
        </w:rPr>
        <w:t>0925</w:t>
      </w:r>
      <w:r w:rsidRPr="00306163">
        <w:rPr>
          <w:sz w:val="28"/>
          <w:szCs w:val="28"/>
        </w:rPr>
        <w:t>-</w:t>
      </w:r>
      <w:r w:rsidRPr="00306163" w:rsidR="00887320">
        <w:rPr>
          <w:sz w:val="28"/>
          <w:szCs w:val="28"/>
        </w:rPr>
        <w:t>06</w:t>
      </w:r>
      <w:r w:rsidR="00CB3B07">
        <w:rPr>
          <w:sz w:val="28"/>
          <w:szCs w:val="28"/>
        </w:rPr>
        <w:t>6</w:t>
      </w:r>
      <w:r w:rsidRPr="00306163" w:rsidR="00887320">
        <w:rPr>
          <w:sz w:val="28"/>
          <w:szCs w:val="28"/>
        </w:rPr>
        <w:t>8</w:t>
      </w:r>
      <w:r w:rsidRPr="00306163" w:rsidR="00686301">
        <w:rPr>
          <w:sz w:val="28"/>
          <w:szCs w:val="28"/>
        </w:rPr>
        <w:t xml:space="preserve"> Exp</w:t>
      </w:r>
      <w:r w:rsidRPr="00306163" w:rsidR="00A50F89">
        <w:rPr>
          <w:sz w:val="28"/>
          <w:szCs w:val="28"/>
        </w:rPr>
        <w:t>., d</w:t>
      </w:r>
      <w:r w:rsidRPr="00306163" w:rsidR="00887320">
        <w:rPr>
          <w:sz w:val="28"/>
          <w:szCs w:val="28"/>
        </w:rPr>
        <w:t>ate:</w:t>
      </w:r>
      <w:r w:rsidRPr="00306163" w:rsidR="00A50F89">
        <w:rPr>
          <w:sz w:val="28"/>
          <w:szCs w:val="28"/>
        </w:rPr>
        <w:t xml:space="preserve"> </w:t>
      </w:r>
      <w:r w:rsidRPr="00680075" w:rsidR="00680075">
        <w:rPr>
          <w:sz w:val="28"/>
          <w:szCs w:val="28"/>
        </w:rPr>
        <w:t>07/31/202</w:t>
      </w:r>
      <w:r w:rsidR="008F6DBF">
        <w:rPr>
          <w:sz w:val="28"/>
          <w:szCs w:val="28"/>
        </w:rPr>
        <w:t>8</w:t>
      </w:r>
      <w:r w:rsidRPr="00306163">
        <w:rPr>
          <w:sz w:val="28"/>
          <w:szCs w:val="28"/>
        </w:rPr>
        <w:t>)</w:t>
      </w:r>
      <w:r w:rsidRPr="00306163" w:rsidR="005E714A">
        <w:rPr>
          <w:sz w:val="28"/>
          <w:szCs w:val="28"/>
        </w:rPr>
        <w:t xml:space="preserve"> </w:t>
      </w:r>
    </w:p>
    <w:p w:rsidR="005E714A" w14:paraId="40FFD914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86360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0.75pt,6.8pt" to="467.25pt,6.8pt" o:allowincell="f" strokeweight="1.5pt"/>
            </w:pict>
          </mc:Fallback>
        </mc:AlternateContent>
      </w:r>
    </w:p>
    <w:p w:rsidR="008C1219" w14:paraId="48100FA0" w14:textId="154E87A1">
      <w:pPr>
        <w:rPr>
          <w:b/>
        </w:rPr>
      </w:pPr>
      <w:r w:rsidRPr="00434E33">
        <w:rPr>
          <w:b/>
        </w:rPr>
        <w:t>TITLE OF INFORMATION COLLECTION</w:t>
      </w:r>
      <w:r>
        <w:rPr>
          <w:b/>
        </w:rPr>
        <w:t>:</w:t>
      </w:r>
      <w:r w:rsidR="008F6DBF">
        <w:rPr>
          <w:b/>
        </w:rPr>
        <w:t xml:space="preserve"> </w:t>
      </w:r>
      <w:r w:rsidRPr="003840BE" w:rsidR="008F6DBF">
        <w:rPr>
          <w:rFonts w:ascii="Cambria" w:hAnsi="Cambria"/>
        </w:rPr>
        <w:t>NIH Tetramer Core Facility Client Survey</w:t>
      </w:r>
    </w:p>
    <w:p w:rsidR="008C1219" w14:paraId="2B344312" w14:textId="77777777">
      <w:pPr>
        <w:rPr>
          <w:b/>
        </w:rPr>
      </w:pPr>
    </w:p>
    <w:p w:rsidR="001B0AAA" w14:paraId="0EFDCA21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8F6DBF" w:rsidRPr="003840BE" w:rsidP="008F6DBF" w14:paraId="39A42345" w14:textId="00D0DD75">
      <w:pPr>
        <w:rPr>
          <w:rFonts w:ascii="Cambria" w:hAnsi="Cambria"/>
        </w:rPr>
      </w:pPr>
      <w:r w:rsidRPr="003840BE">
        <w:rPr>
          <w:rFonts w:ascii="Cambria" w:hAnsi="Cambria"/>
        </w:rPr>
        <w:t xml:space="preserve">The NIH Tetramer Core Facility (TCF) is supported through </w:t>
      </w:r>
      <w:r>
        <w:rPr>
          <w:rFonts w:ascii="Cambria" w:hAnsi="Cambria"/>
        </w:rPr>
        <w:t xml:space="preserve">a </w:t>
      </w:r>
      <w:r w:rsidRPr="003840BE">
        <w:rPr>
          <w:rFonts w:ascii="Cambria" w:hAnsi="Cambria"/>
        </w:rPr>
        <w:t>contract with the National Institute of Allergy and Infectious Diseases, with co-funding from the National Cancer Institute.</w:t>
      </w:r>
      <w:r>
        <w:rPr>
          <w:rFonts w:ascii="Cambria" w:hAnsi="Cambria"/>
        </w:rPr>
        <w:t xml:space="preserve"> Researchers with active accounts </w:t>
      </w:r>
      <w:r w:rsidRPr="003840BE">
        <w:rPr>
          <w:rFonts w:ascii="Cambria" w:hAnsi="Cambria"/>
        </w:rPr>
        <w:t xml:space="preserve">may access the TCF </w:t>
      </w:r>
      <w:r w:rsidRPr="00AA7BAA" w:rsidR="00AA7BAA">
        <w:rPr>
          <w:rFonts w:ascii="Cambria" w:hAnsi="Cambria"/>
        </w:rPr>
        <w:t>website</w:t>
      </w:r>
      <w:r w:rsidR="00AA7BAA">
        <w:rPr>
          <w:rFonts w:ascii="Cambria" w:hAnsi="Cambria"/>
        </w:rPr>
        <w:t xml:space="preserve"> (</w:t>
      </w:r>
      <w:r w:rsidRPr="00AA7BAA" w:rsidR="00AA7BAA">
        <w:rPr>
          <w:rFonts w:ascii="Cambria" w:hAnsi="Cambria"/>
        </w:rPr>
        <w:t>https://tetramer.yerkes.emory.edu</w:t>
      </w:r>
      <w:r w:rsidR="00AA7BAA">
        <w:rPr>
          <w:rFonts w:ascii="Cambria" w:hAnsi="Cambria"/>
        </w:rPr>
        <w:t>)</w:t>
      </w:r>
      <w:r w:rsidRPr="003840BE">
        <w:rPr>
          <w:rFonts w:ascii="Cambria" w:hAnsi="Cambria"/>
        </w:rPr>
        <w:t xml:space="preserve"> to order reagents</w:t>
      </w:r>
      <w:r>
        <w:rPr>
          <w:rFonts w:ascii="Cambria" w:hAnsi="Cambria"/>
        </w:rPr>
        <w:t xml:space="preserve">. </w:t>
      </w:r>
      <w:r w:rsidRPr="003840BE">
        <w:rPr>
          <w:rFonts w:ascii="Cambria" w:hAnsi="Cambria"/>
        </w:rPr>
        <w:t xml:space="preserve"> </w:t>
      </w:r>
    </w:p>
    <w:p w:rsidR="008F6DBF" w:rsidRPr="003840BE" w:rsidP="008F6DBF" w14:paraId="68E9DCE4" w14:textId="77777777">
      <w:pPr>
        <w:rPr>
          <w:rFonts w:ascii="Cambria" w:hAnsi="Cambria"/>
        </w:rPr>
      </w:pPr>
    </w:p>
    <w:p w:rsidR="001B0AAA" w:rsidP="008F6DBF" w14:paraId="6BB84BE1" w14:textId="70A84AED">
      <w:pPr>
        <w:rPr>
          <w:rFonts w:ascii="Cambria" w:hAnsi="Cambria"/>
        </w:rPr>
      </w:pPr>
      <w:r w:rsidRPr="003840BE">
        <w:rPr>
          <w:rFonts w:ascii="Cambria" w:hAnsi="Cambria"/>
        </w:rPr>
        <w:t xml:space="preserve">This survey will </w:t>
      </w:r>
      <w:r>
        <w:rPr>
          <w:rFonts w:ascii="Cambria" w:hAnsi="Cambria"/>
        </w:rPr>
        <w:t>ensure that continuous</w:t>
      </w:r>
      <w:r w:rsidRPr="003840BE">
        <w:rPr>
          <w:rFonts w:ascii="Cambria" w:hAnsi="Cambria"/>
        </w:rPr>
        <w:t xml:space="preserve"> feedback</w:t>
      </w:r>
      <w:r>
        <w:rPr>
          <w:rFonts w:ascii="Cambria" w:hAnsi="Cambria"/>
        </w:rPr>
        <w:t xml:space="preserve"> is received</w:t>
      </w:r>
      <w:r w:rsidRPr="003840BE">
        <w:rPr>
          <w:rFonts w:ascii="Cambria" w:hAnsi="Cambria"/>
        </w:rPr>
        <w:t xml:space="preserve"> from investigators</w:t>
      </w:r>
      <w:r>
        <w:rPr>
          <w:rFonts w:ascii="Cambria" w:hAnsi="Cambria"/>
        </w:rPr>
        <w:t xml:space="preserve"> that order TCF reagents</w:t>
      </w:r>
      <w:r w:rsidRPr="003840BE">
        <w:rPr>
          <w:rFonts w:ascii="Cambria" w:hAnsi="Cambria"/>
        </w:rPr>
        <w:t xml:space="preserve"> accessing the TCF website. This feedback will include information about prior orders, how and why they have used TCF products, </w:t>
      </w:r>
      <w:r>
        <w:rPr>
          <w:rFonts w:ascii="Cambria" w:hAnsi="Cambria"/>
        </w:rPr>
        <w:t>or suggestions for new reagents</w:t>
      </w:r>
      <w:r w:rsidRPr="003840BE">
        <w:rPr>
          <w:rFonts w:ascii="Cambria" w:hAnsi="Cambria"/>
        </w:rPr>
        <w:t xml:space="preserve">. </w:t>
      </w:r>
    </w:p>
    <w:p w:rsidR="008F6DBF" w:rsidP="008F6DBF" w14:paraId="20E0D16E" w14:textId="77777777">
      <w:pPr>
        <w:rPr>
          <w:rFonts w:ascii="Cambria" w:hAnsi="Cambria"/>
        </w:rPr>
      </w:pPr>
    </w:p>
    <w:p w:rsidR="008F6DBF" w:rsidRPr="008F6DBF" w:rsidP="008F6DBF" w14:paraId="07C9F517" w14:textId="5AFB10AF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</w:rPr>
      </w:pPr>
      <w:r w:rsidRPr="003840BE">
        <w:rPr>
          <w:rFonts w:ascii="Cambria" w:hAnsi="Cambria"/>
          <w:bCs/>
        </w:rPr>
        <w:t xml:space="preserve">This information will be used to gather data and feedback to ensure that the NIH TCF services are </w:t>
      </w:r>
      <w:r w:rsidRPr="00EA686C">
        <w:rPr>
          <w:rFonts w:ascii="Cambria" w:hAnsi="Cambria"/>
          <w:bCs/>
        </w:rPr>
        <w:t>meeting investigator needs</w:t>
      </w:r>
      <w:r w:rsidRPr="003840BE">
        <w:rPr>
          <w:rFonts w:ascii="Cambria" w:hAnsi="Cambria"/>
          <w:bCs/>
        </w:rPr>
        <w:t xml:space="preserve">. </w:t>
      </w:r>
      <w:r w:rsidRPr="00EA686C">
        <w:rPr>
          <w:rFonts w:ascii="Cambria" w:hAnsi="Cambria"/>
          <w:bCs/>
        </w:rPr>
        <w:t>Feedback may also be used to enhance service delivery.</w:t>
      </w:r>
    </w:p>
    <w:p w:rsidR="00C8488C" w:rsidP="00434E33" w14:paraId="1843E02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EFB749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0FB57E35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8F6DBF" w:rsidRPr="003840BE" w:rsidP="008F6DBF" w14:paraId="71195862" w14:textId="77777777">
      <w:pPr>
        <w:rPr>
          <w:rFonts w:ascii="Cambria" w:hAnsi="Cambria"/>
        </w:rPr>
      </w:pPr>
      <w:r w:rsidRPr="003840BE">
        <w:rPr>
          <w:rFonts w:ascii="Cambria" w:hAnsi="Cambria"/>
        </w:rPr>
        <w:t xml:space="preserve">Voluntary survey participants will be investigators who access the TCF website. The survey will be a pop-up that investigators can choose to take. </w:t>
      </w:r>
    </w:p>
    <w:p w:rsidR="00E26329" w14:paraId="5B1E3038" w14:textId="77777777">
      <w:pPr>
        <w:rPr>
          <w:b/>
        </w:rPr>
      </w:pPr>
    </w:p>
    <w:p w:rsidR="00E26329" w14:paraId="302CC5B6" w14:textId="77777777">
      <w:pPr>
        <w:rPr>
          <w:b/>
        </w:rPr>
      </w:pPr>
    </w:p>
    <w:p w:rsidR="00F06866" w:rsidRPr="00F06866" w14:paraId="40A9AA23" w14:textId="77777777">
      <w:pPr>
        <w:rPr>
          <w:b/>
        </w:rPr>
      </w:pPr>
      <w:bookmarkStart w:id="0" w:name="_Hlk116978705"/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7F0E47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7F78BA2F" w14:textId="34C20BE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F6DBF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</w:t>
      </w:r>
      <w:r w:rsidR="00325A1D">
        <w:rPr>
          <w:bCs/>
          <w:sz w:val="24"/>
        </w:rPr>
        <w:t>/Feedback</w:t>
      </w:r>
      <w:r w:rsidRPr="00F06866">
        <w:rPr>
          <w:bCs/>
          <w:sz w:val="24"/>
        </w:rPr>
        <w:t xml:space="preserve">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558B95E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325A1D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P="0096108F" w14:paraId="6703CB3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</w:t>
      </w:r>
      <w:bookmarkEnd w:id="0"/>
      <w:r w:rsidR="00325A1D">
        <w:rPr>
          <w:bCs/>
          <w:sz w:val="24"/>
        </w:rPr>
        <w:t>Other: _______________</w:t>
      </w:r>
    </w:p>
    <w:p w:rsidR="00325A1D" w:rsidRPr="00F06866" w:rsidP="0096108F" w14:paraId="1797CB3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="003C27F6" w:rsidP="003C27F6" w14:paraId="355B7C02" w14:textId="77777777">
      <w:pPr>
        <w:rPr>
          <w:b/>
        </w:rPr>
      </w:pPr>
    </w:p>
    <w:p w:rsidR="003C27F6" w:rsidP="003C27F6" w14:paraId="11B124B5" w14:textId="77777777">
      <w:pPr>
        <w:rPr>
          <w:b/>
        </w:rPr>
      </w:pPr>
    </w:p>
    <w:p w:rsidR="003C27F6" w:rsidRPr="00F06866" w:rsidP="003C27F6" w14:paraId="53D9EE46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3C27F6" w:rsidRPr="00434E33" w:rsidP="003C27F6" w14:paraId="6A96C7F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4C05C2" w:rsidRPr="004C05C2" w:rsidP="003C27F6" w14:paraId="35818AEC" w14:textId="2F458DE3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4C05C2">
        <w:rPr>
          <w:bCs/>
          <w:sz w:val="24"/>
          <w:szCs w:val="24"/>
        </w:rPr>
        <w:t>[</w:t>
      </w:r>
      <w:r w:rsidR="008F6DBF">
        <w:rPr>
          <w:bCs/>
          <w:sz w:val="24"/>
          <w:szCs w:val="24"/>
        </w:rPr>
        <w:t>X</w:t>
      </w:r>
      <w:r w:rsidRPr="004C05C2">
        <w:rPr>
          <w:bCs/>
          <w:sz w:val="24"/>
          <w:szCs w:val="24"/>
        </w:rPr>
        <w:t>] Once</w:t>
      </w:r>
      <w:r w:rsidR="00CA1CE7">
        <w:rPr>
          <w:bCs/>
          <w:sz w:val="24"/>
          <w:szCs w:val="24"/>
        </w:rPr>
        <w:tab/>
      </w:r>
      <w:r w:rsidR="00CA1CE7">
        <w:rPr>
          <w:bCs/>
          <w:sz w:val="24"/>
          <w:szCs w:val="24"/>
        </w:rPr>
        <w:tab/>
      </w:r>
      <w:r w:rsidRPr="004C05C2">
        <w:rPr>
          <w:bCs/>
          <w:sz w:val="24"/>
          <w:szCs w:val="24"/>
        </w:rPr>
        <w:t xml:space="preserve">[ ] </w:t>
      </w:r>
      <w:r>
        <w:rPr>
          <w:bCs/>
          <w:sz w:val="24"/>
          <w:szCs w:val="24"/>
        </w:rPr>
        <w:t>Hourly</w:t>
      </w:r>
      <w:r w:rsidR="00CA1CE7">
        <w:rPr>
          <w:bCs/>
          <w:sz w:val="24"/>
          <w:szCs w:val="24"/>
        </w:rPr>
        <w:tab/>
      </w:r>
      <w:r w:rsidRPr="004C05C2">
        <w:rPr>
          <w:bCs/>
          <w:sz w:val="24"/>
          <w:szCs w:val="24"/>
        </w:rPr>
        <w:t xml:space="preserve">[ ] </w:t>
      </w:r>
      <w:r>
        <w:rPr>
          <w:bCs/>
          <w:sz w:val="24"/>
          <w:szCs w:val="24"/>
        </w:rPr>
        <w:t>Daily</w:t>
      </w:r>
      <w:r w:rsidRPr="004C05C2">
        <w:rPr>
          <w:bCs/>
          <w:sz w:val="24"/>
          <w:szCs w:val="24"/>
        </w:rPr>
        <w:tab/>
      </w:r>
    </w:p>
    <w:p w:rsidR="004C05C2" w:rsidRPr="004C05C2" w:rsidP="004C05C2" w14:paraId="45BB4AD0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4C05C2">
        <w:rPr>
          <w:bCs/>
          <w:sz w:val="24"/>
          <w:szCs w:val="24"/>
        </w:rPr>
        <w:t xml:space="preserve">[ ] </w:t>
      </w:r>
      <w:r>
        <w:rPr>
          <w:bCs/>
          <w:sz w:val="24"/>
          <w:szCs w:val="24"/>
        </w:rPr>
        <w:t>Weekly</w:t>
      </w:r>
      <w:r w:rsidR="00CA1CE7">
        <w:rPr>
          <w:bCs/>
          <w:sz w:val="24"/>
          <w:szCs w:val="24"/>
        </w:rPr>
        <w:tab/>
      </w:r>
      <w:r w:rsidR="00CA1CE7">
        <w:rPr>
          <w:bCs/>
          <w:sz w:val="24"/>
          <w:szCs w:val="24"/>
        </w:rPr>
        <w:tab/>
      </w:r>
      <w:r w:rsidRPr="004C05C2">
        <w:rPr>
          <w:bCs/>
          <w:sz w:val="24"/>
          <w:szCs w:val="24"/>
        </w:rPr>
        <w:t xml:space="preserve">[ ] </w:t>
      </w:r>
      <w:r>
        <w:rPr>
          <w:bCs/>
          <w:sz w:val="24"/>
          <w:szCs w:val="24"/>
        </w:rPr>
        <w:t>Monthly</w:t>
      </w:r>
      <w:r w:rsidR="00CA1CE7">
        <w:rPr>
          <w:bCs/>
          <w:sz w:val="24"/>
          <w:szCs w:val="24"/>
        </w:rPr>
        <w:tab/>
      </w:r>
      <w:r w:rsidRPr="004C05C2">
        <w:rPr>
          <w:bCs/>
          <w:sz w:val="24"/>
          <w:szCs w:val="24"/>
        </w:rPr>
        <w:t xml:space="preserve">[ ] </w:t>
      </w:r>
      <w:r>
        <w:rPr>
          <w:bCs/>
          <w:sz w:val="24"/>
          <w:szCs w:val="24"/>
        </w:rPr>
        <w:t>Quarterly</w:t>
      </w:r>
    </w:p>
    <w:p w:rsidR="004C05C2" w:rsidRPr="004C05C2" w14:paraId="3D31E78D" w14:textId="77777777">
      <w:pPr>
        <w:pStyle w:val="Header"/>
        <w:tabs>
          <w:tab w:val="clear" w:pos="4320"/>
          <w:tab w:val="clear" w:pos="8640"/>
        </w:tabs>
        <w:rPr>
          <w:bCs/>
        </w:rPr>
      </w:pPr>
      <w:r w:rsidRPr="004C05C2">
        <w:rPr>
          <w:bCs/>
        </w:rPr>
        <w:t>[ ]</w:t>
      </w:r>
      <w:r>
        <w:rPr>
          <w:bCs/>
        </w:rPr>
        <w:t xml:space="preserve"> Semi-Annually</w:t>
      </w:r>
      <w:r w:rsidR="00CA1CE7">
        <w:rPr>
          <w:bCs/>
        </w:rPr>
        <w:tab/>
      </w:r>
      <w:r w:rsidRPr="004C05C2">
        <w:rPr>
          <w:bCs/>
        </w:rPr>
        <w:t>[ ]</w:t>
      </w:r>
      <w:r w:rsidR="00A45A83">
        <w:rPr>
          <w:bCs/>
        </w:rPr>
        <w:t xml:space="preserve"> </w:t>
      </w:r>
      <w:r w:rsidRPr="004C05C2">
        <w:rPr>
          <w:bCs/>
        </w:rPr>
        <w:t>Annually</w:t>
      </w:r>
      <w:r w:rsidR="00CA1CE7">
        <w:rPr>
          <w:bCs/>
        </w:rPr>
        <w:tab/>
      </w:r>
      <w:r w:rsidRPr="004C05C2">
        <w:rPr>
          <w:bCs/>
        </w:rPr>
        <w:t xml:space="preserve">[ ] </w:t>
      </w:r>
      <w:r>
        <w:rPr>
          <w:bCs/>
        </w:rPr>
        <w:t>On Occas</w:t>
      </w:r>
      <w:r w:rsidR="00CC1D37">
        <w:rPr>
          <w:bCs/>
        </w:rPr>
        <w:t xml:space="preserve">ion </w:t>
      </w:r>
    </w:p>
    <w:p w:rsidR="004C05C2" w14:paraId="3E8CEBD5" w14:textId="77777777">
      <w:pPr>
        <w:pStyle w:val="Header"/>
        <w:tabs>
          <w:tab w:val="clear" w:pos="4320"/>
          <w:tab w:val="clear" w:pos="8640"/>
        </w:tabs>
        <w:rPr>
          <w:bCs/>
        </w:rPr>
      </w:pPr>
    </w:p>
    <w:p w:rsidR="003C27F6" w14:paraId="3F401B87" w14:textId="77777777">
      <w:pPr>
        <w:pStyle w:val="Header"/>
        <w:tabs>
          <w:tab w:val="clear" w:pos="4320"/>
          <w:tab w:val="clear" w:pos="8640"/>
        </w:tabs>
      </w:pPr>
    </w:p>
    <w:p w:rsidR="003C27F6" w14:paraId="196CD905" w14:textId="77777777">
      <w:pPr>
        <w:pStyle w:val="Header"/>
        <w:tabs>
          <w:tab w:val="clear" w:pos="4320"/>
          <w:tab w:val="clear" w:pos="8640"/>
        </w:tabs>
      </w:pPr>
    </w:p>
    <w:p w:rsidR="00CA2650" w14:paraId="7FCE598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A4D592D" w14:textId="77777777">
      <w:pPr>
        <w:rPr>
          <w:sz w:val="16"/>
          <w:szCs w:val="16"/>
        </w:rPr>
      </w:pPr>
    </w:p>
    <w:p w:rsidR="008101A5" w:rsidRPr="009C13B9" w:rsidP="008101A5" w14:paraId="7462D19C" w14:textId="77777777">
      <w:r>
        <w:t xml:space="preserve">I certify the following to be true: </w:t>
      </w:r>
    </w:p>
    <w:p w:rsidR="008101A5" w:rsidP="008101A5" w14:paraId="0E104BB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234FFF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="00D542D2">
        <w:t>a low burden for respondents and a low cost</w:t>
      </w:r>
      <w:r w:rsidRPr="00C14CC4">
        <w:t xml:space="preserve"> for the Federal Government</w:t>
      </w:r>
      <w:r>
        <w:t>.</w:t>
      </w:r>
    </w:p>
    <w:p w:rsidR="008101A5" w:rsidP="008101A5" w14:paraId="664BD2A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5DD7EE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D593D4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390A7D6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F836474" w14:textId="77777777"/>
    <w:p w:rsidR="009C13B9" w:rsidP="008F6DBF" w14:paraId="0E7A1003" w14:textId="17150961">
      <w:r>
        <w:t xml:space="preserve">Name: </w:t>
      </w:r>
      <w:r w:rsidR="008F6DBF">
        <w:rPr>
          <w:rFonts w:ascii="Cambria" w:hAnsi="Cambria"/>
        </w:rPr>
        <w:t>Halonna Kelly</w:t>
      </w:r>
      <w:r w:rsidRPr="003840BE" w:rsidR="008F6DBF">
        <w:rPr>
          <w:rFonts w:ascii="Cambria" w:hAnsi="Cambria"/>
        </w:rPr>
        <w:t xml:space="preserve">, Program </w:t>
      </w:r>
      <w:r w:rsidR="008F6DBF">
        <w:rPr>
          <w:rFonts w:ascii="Cambria" w:hAnsi="Cambria"/>
        </w:rPr>
        <w:t>Officer / Contracting Officer Representative</w:t>
      </w:r>
      <w:r w:rsidRPr="003840BE" w:rsidR="008F6DBF">
        <w:rPr>
          <w:rFonts w:ascii="Cambria" w:hAnsi="Cambria"/>
        </w:rPr>
        <w:t>, NIAID/DAIT/</w:t>
      </w:r>
      <w:r w:rsidR="008F6DBF">
        <w:rPr>
          <w:rFonts w:ascii="Cambria" w:hAnsi="Cambria"/>
        </w:rPr>
        <w:t>BIB</w:t>
      </w:r>
    </w:p>
    <w:p w:rsidR="008F6DBF" w:rsidP="009C13B9" w14:paraId="368A4EA3" w14:textId="77777777"/>
    <w:p w:rsidR="009C13B9" w:rsidP="009C13B9" w14:paraId="7BC4FCDB" w14:textId="5BA07A8D">
      <w:r>
        <w:t xml:space="preserve">To assist </w:t>
      </w:r>
      <w:r w:rsidR="00D542D2">
        <w:t xml:space="preserve">with the </w:t>
      </w:r>
      <w:r>
        <w:t xml:space="preserve">review, please provide answers to the following </w:t>
      </w:r>
      <w:r w:rsidR="00D542D2">
        <w:t>questions</w:t>
      </w:r>
      <w:r>
        <w:t>:</w:t>
      </w:r>
    </w:p>
    <w:p w:rsidR="009C13B9" w:rsidP="009C13B9" w14:paraId="4F255F7C" w14:textId="77777777">
      <w:pPr>
        <w:pStyle w:val="ListParagraph"/>
        <w:ind w:left="360"/>
      </w:pPr>
    </w:p>
    <w:p w:rsidR="009C13B9" w:rsidRPr="00C86E91" w:rsidP="00C86E91" w14:paraId="67CCF0A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C3A6535" w14:textId="7C87D15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8F6DBF">
        <w:t>X</w:t>
      </w:r>
      <w:r w:rsidR="009239AA">
        <w:t xml:space="preserve">] Yes  [ ]  No </w:t>
      </w:r>
    </w:p>
    <w:p w:rsidR="00C86E91" w:rsidP="00C86E91" w14:paraId="274970DB" w14:textId="29CD5DC9">
      <w:pPr>
        <w:pStyle w:val="ListParagraph"/>
        <w:numPr>
          <w:ilvl w:val="0"/>
          <w:numId w:val="18"/>
        </w:numPr>
      </w:pPr>
      <w:r>
        <w:t xml:space="preserve">If </w:t>
      </w:r>
      <w:r w:rsidR="00D542D2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8F6DBF">
        <w:t>X</w:t>
      </w:r>
      <w:r w:rsidR="009239AA">
        <w:t>] No</w:t>
      </w:r>
      <w:r>
        <w:t xml:space="preserve">   </w:t>
      </w:r>
    </w:p>
    <w:p w:rsidR="00C86E91" w:rsidP="00C86E91" w14:paraId="477B49CA" w14:textId="2B282D20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8F6DBF">
        <w:t>X</w:t>
      </w:r>
      <w:r>
        <w:t>] No</w:t>
      </w:r>
    </w:p>
    <w:p w:rsidR="0036361A" w:rsidP="0036361A" w14:paraId="5FCAA81E" w14:textId="77777777">
      <w:pPr>
        <w:pStyle w:val="ColorfulList-Accent11"/>
        <w:numPr>
          <w:ilvl w:val="0"/>
          <w:numId w:val="18"/>
        </w:numPr>
      </w:pPr>
      <w:r>
        <w:t>Privacy Act Systems of Records Title: _______________________ FR Citation ____FR___</w:t>
      </w:r>
    </w:p>
    <w:p w:rsidR="0036361A" w:rsidP="0036361A" w14:paraId="7CA069A7" w14:textId="77777777">
      <w:pPr>
        <w:pStyle w:val="ListParagraph"/>
        <w:ind w:left="360"/>
      </w:pPr>
    </w:p>
    <w:p w:rsidR="00633F74" w:rsidP="00633F74" w14:paraId="310214F2" w14:textId="77777777">
      <w:pPr>
        <w:pStyle w:val="ListParagraph"/>
        <w:ind w:left="360"/>
      </w:pPr>
    </w:p>
    <w:p w:rsidR="00C86E91" w:rsidRPr="00C86E91" w:rsidP="00C86E91" w14:paraId="37EA435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125EF4B" w14:textId="2CC458AC">
      <w:r>
        <w:t xml:space="preserve">Is an incentive (e.g., money or reimbursement of expenses, </w:t>
      </w:r>
      <w:r w:rsidR="00D542D2">
        <w:t xml:space="preserve">a </w:t>
      </w:r>
      <w:r>
        <w:t>token of appreciation) provided to participants?  [  ] Yes [</w:t>
      </w:r>
      <w:r w:rsidR="008F6DBF">
        <w:t>X</w:t>
      </w:r>
      <w:r>
        <w:t xml:space="preserve">] No  </w:t>
      </w:r>
    </w:p>
    <w:p w:rsidR="004D6E14" w14:paraId="1759DACD" w14:textId="77777777">
      <w:pPr>
        <w:rPr>
          <w:b/>
        </w:rPr>
      </w:pPr>
    </w:p>
    <w:p w:rsidR="00F24CFC" w14:paraId="6D2BBA0B" w14:textId="77777777">
      <w:pPr>
        <w:rPr>
          <w:b/>
        </w:rPr>
      </w:pPr>
    </w:p>
    <w:p w:rsidR="005E714A" w:rsidRPr="00BC676D" w:rsidP="00C86E91" w14:paraId="418D3474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612214BD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2250"/>
        <w:gridCol w:w="1980"/>
        <w:gridCol w:w="1350"/>
        <w:gridCol w:w="1080"/>
      </w:tblGrid>
      <w:tr w14:paraId="5E7F2DFB" w14:textId="77777777" w:rsidTr="00232059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060" w:type="dxa"/>
            <w:vAlign w:val="center"/>
          </w:tcPr>
          <w:p w:rsidR="003668D6" w:rsidRPr="002D26E2" w:rsidP="00C8488C" w14:paraId="73828540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  <w:vAlign w:val="center"/>
          </w:tcPr>
          <w:p w:rsidR="003668D6" w:rsidRPr="002D26E2" w:rsidP="00843796" w14:paraId="713EEC59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980" w:type="dxa"/>
            <w:vAlign w:val="center"/>
          </w:tcPr>
          <w:p w:rsidR="003668D6" w:rsidRPr="002D26E2" w:rsidP="00843796" w14:paraId="15FDF52A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350" w:type="dxa"/>
            <w:vAlign w:val="center"/>
          </w:tcPr>
          <w:p w:rsidR="003668D6" w:rsidP="00843796" w14:paraId="4AB31636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5367FA2C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56F53AAE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080" w:type="dxa"/>
            <w:vAlign w:val="center"/>
          </w:tcPr>
          <w:p w:rsidR="003668D6" w:rsidP="00843796" w14:paraId="18D9171B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5B581DE1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70B748B3" w14:textId="77777777" w:rsidTr="00E77997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3060" w:type="dxa"/>
            <w:vAlign w:val="center"/>
          </w:tcPr>
          <w:p w:rsidR="008F6DBF" w:rsidP="008F6DBF" w14:paraId="5013EFF1" w14:textId="647D50A8">
            <w:r w:rsidRPr="003840BE">
              <w:rPr>
                <w:rFonts w:ascii="Cambria" w:hAnsi="Cambria"/>
              </w:rPr>
              <w:t>Individuals or Households</w:t>
            </w:r>
          </w:p>
        </w:tc>
        <w:tc>
          <w:tcPr>
            <w:tcW w:w="2250" w:type="dxa"/>
          </w:tcPr>
          <w:p w:rsidR="008F6DBF" w:rsidP="008F6DBF" w14:paraId="27E8D0C3" w14:textId="75FC0422">
            <w:r w:rsidRPr="003840BE">
              <w:rPr>
                <w:rFonts w:ascii="Cambria" w:hAnsi="Cambria"/>
              </w:rPr>
              <w:t>600</w:t>
            </w:r>
          </w:p>
        </w:tc>
        <w:tc>
          <w:tcPr>
            <w:tcW w:w="1980" w:type="dxa"/>
          </w:tcPr>
          <w:p w:rsidR="008F6DBF" w:rsidP="008F6DBF" w14:paraId="299D8502" w14:textId="60377579">
            <w:r w:rsidRPr="003840BE">
              <w:rPr>
                <w:rFonts w:ascii="Cambria" w:hAnsi="Cambria"/>
              </w:rPr>
              <w:t>1</w:t>
            </w:r>
          </w:p>
        </w:tc>
        <w:tc>
          <w:tcPr>
            <w:tcW w:w="1350" w:type="dxa"/>
          </w:tcPr>
          <w:p w:rsidR="008F6DBF" w:rsidP="008F6DBF" w14:paraId="1B047219" w14:textId="1D92EAF4">
            <w:r>
              <w:rPr>
                <w:rFonts w:ascii="Cambria" w:hAnsi="Cambria"/>
              </w:rPr>
              <w:t>5/60</w:t>
            </w:r>
          </w:p>
        </w:tc>
        <w:tc>
          <w:tcPr>
            <w:tcW w:w="1080" w:type="dxa"/>
          </w:tcPr>
          <w:p w:rsidR="008F6DBF" w:rsidP="008F6DBF" w14:paraId="1499F0CB" w14:textId="060973E2">
            <w:r>
              <w:rPr>
                <w:rFonts w:ascii="Cambria" w:hAnsi="Cambria"/>
              </w:rPr>
              <w:t>50</w:t>
            </w:r>
          </w:p>
        </w:tc>
      </w:tr>
      <w:tr w14:paraId="65489EBE" w14:textId="77777777" w:rsidTr="00E77997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3060" w:type="dxa"/>
            <w:vAlign w:val="center"/>
          </w:tcPr>
          <w:p w:rsidR="008F6DBF" w:rsidP="008F6DBF" w14:paraId="426CFAA1" w14:textId="77777777"/>
        </w:tc>
        <w:tc>
          <w:tcPr>
            <w:tcW w:w="2250" w:type="dxa"/>
            <w:tcBorders>
              <w:bottom w:val="single" w:sz="4" w:space="0" w:color="auto"/>
            </w:tcBorders>
          </w:tcPr>
          <w:p w:rsidR="008F6DBF" w:rsidP="008F6DBF" w14:paraId="69D7D936" w14:textId="77777777"/>
        </w:tc>
        <w:tc>
          <w:tcPr>
            <w:tcW w:w="1980" w:type="dxa"/>
          </w:tcPr>
          <w:p w:rsidR="008F6DBF" w:rsidP="008F6DBF" w14:paraId="18B4EDF2" w14:textId="77777777"/>
        </w:tc>
        <w:tc>
          <w:tcPr>
            <w:tcW w:w="1350" w:type="dxa"/>
          </w:tcPr>
          <w:p w:rsidR="008F6DBF" w:rsidP="008F6DBF" w14:paraId="70192405" w14:textId="77777777"/>
        </w:tc>
        <w:tc>
          <w:tcPr>
            <w:tcW w:w="1080" w:type="dxa"/>
          </w:tcPr>
          <w:p w:rsidR="008F6DBF" w:rsidP="008F6DBF" w14:paraId="0F87BC1F" w14:textId="77777777"/>
        </w:tc>
      </w:tr>
      <w:tr w14:paraId="5179A258" w14:textId="77777777" w:rsidTr="00E77997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3060" w:type="dxa"/>
            <w:vAlign w:val="center"/>
          </w:tcPr>
          <w:p w:rsidR="008F6DBF" w:rsidRPr="002D26E2" w:rsidP="008F6DBF" w14:paraId="2DFEC2AE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808080"/>
          </w:tcPr>
          <w:p w:rsidR="008F6DBF" w:rsidRPr="002D26E2" w:rsidP="008F6DBF" w14:paraId="217F5704" w14:textId="77777777">
            <w:pPr>
              <w:rPr>
                <w:b/>
              </w:rPr>
            </w:pPr>
          </w:p>
        </w:tc>
        <w:tc>
          <w:tcPr>
            <w:tcW w:w="1980" w:type="dxa"/>
          </w:tcPr>
          <w:p w:rsidR="008F6DBF" w:rsidP="008F6DBF" w14:paraId="2D3A0B12" w14:textId="1491D5D1">
            <w:r w:rsidRPr="003840BE">
              <w:rPr>
                <w:rFonts w:ascii="Cambria" w:hAnsi="Cambria"/>
              </w:rPr>
              <w:t>600</w:t>
            </w:r>
          </w:p>
        </w:tc>
        <w:tc>
          <w:tcPr>
            <w:tcW w:w="1350" w:type="dxa"/>
            <w:shd w:val="clear" w:color="auto" w:fill="808080"/>
          </w:tcPr>
          <w:p w:rsidR="008F6DBF" w:rsidP="008F6DBF" w14:paraId="26C78A7B" w14:textId="77777777"/>
        </w:tc>
        <w:tc>
          <w:tcPr>
            <w:tcW w:w="1080" w:type="dxa"/>
          </w:tcPr>
          <w:p w:rsidR="008F6DBF" w:rsidRPr="002D26E2" w:rsidP="008F6DBF" w14:paraId="50185B76" w14:textId="21CF377F">
            <w:pPr>
              <w:rPr>
                <w:b/>
              </w:rPr>
            </w:pPr>
            <w:r>
              <w:rPr>
                <w:rFonts w:ascii="Cambria" w:hAnsi="Cambria"/>
                <w:b/>
              </w:rPr>
              <w:t>50</w:t>
            </w:r>
          </w:p>
        </w:tc>
      </w:tr>
    </w:tbl>
    <w:p w:rsidR="00F3170F" w:rsidP="00F3170F" w14:paraId="4255FA10" w14:textId="77777777"/>
    <w:p w:rsidR="009A036B" w:rsidRPr="009A036B" w:rsidP="009A036B" w14:paraId="77670775" w14:textId="77777777">
      <w:pPr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7"/>
        <w:gridCol w:w="2003"/>
        <w:gridCol w:w="2520"/>
        <w:gridCol w:w="2160"/>
      </w:tblGrid>
      <w:tr w14:paraId="7D3A0B48" w14:textId="77777777" w:rsidTr="00AA7BAA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037" w:type="dxa"/>
            <w:vAlign w:val="center"/>
          </w:tcPr>
          <w:p w:rsidR="00CA2010" w:rsidRPr="009A036B" w:rsidP="00CA2010" w14:paraId="469616EE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</w:tc>
        <w:tc>
          <w:tcPr>
            <w:tcW w:w="2003" w:type="dxa"/>
            <w:vAlign w:val="center"/>
          </w:tcPr>
          <w:p w:rsidR="00CA2010" w:rsidRPr="00CA2010" w:rsidP="00DD25A5" w14:paraId="06FA7305" w14:textId="77777777">
            <w:pPr>
              <w:jc w:val="center"/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DD25A5" w14:paraId="511B3007" w14:textId="77777777">
            <w:pPr>
              <w:jc w:val="center"/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  <w:vAlign w:val="center"/>
          </w:tcPr>
          <w:p w:rsidR="00CA2010" w:rsidRPr="009A036B" w:rsidP="00DD25A5" w14:paraId="1B0E52A3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2160" w:type="dxa"/>
            <w:vAlign w:val="center"/>
          </w:tcPr>
          <w:p w:rsidR="00CA2010" w:rsidRPr="009A036B" w:rsidP="00DD25A5" w14:paraId="0F8505BE" w14:textId="77777777">
            <w:pPr>
              <w:jc w:val="center"/>
              <w:rPr>
                <w:b/>
              </w:rPr>
            </w:pPr>
            <w:r>
              <w:rPr>
                <w:b/>
              </w:rPr>
              <w:t>Total Burden Cost</w:t>
            </w:r>
          </w:p>
        </w:tc>
      </w:tr>
      <w:tr w14:paraId="3F4E5BB2" w14:textId="77777777" w:rsidTr="00AA7BAA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3037" w:type="dxa"/>
            <w:vAlign w:val="center"/>
          </w:tcPr>
          <w:p w:rsidR="00CA2010" w:rsidRPr="009A036B" w:rsidP="009A036B" w14:paraId="36CFD160" w14:textId="4C89A5E3">
            <w:r w:rsidRPr="003840BE">
              <w:rPr>
                <w:rFonts w:ascii="Cambria" w:hAnsi="Cambria"/>
              </w:rPr>
              <w:t>Individuals or Households</w:t>
            </w:r>
          </w:p>
        </w:tc>
        <w:tc>
          <w:tcPr>
            <w:tcW w:w="2003" w:type="dxa"/>
            <w:vAlign w:val="center"/>
          </w:tcPr>
          <w:p w:rsidR="00CA2010" w:rsidRPr="009A036B" w:rsidP="00DD25A5" w14:paraId="5DA03267" w14:textId="7C0B8248">
            <w:pPr>
              <w:jc w:val="center"/>
            </w:pPr>
            <w:r>
              <w:t>50</w:t>
            </w:r>
          </w:p>
        </w:tc>
        <w:tc>
          <w:tcPr>
            <w:tcW w:w="2520" w:type="dxa"/>
            <w:vAlign w:val="center"/>
          </w:tcPr>
          <w:p w:rsidR="00CA2010" w:rsidRPr="009A036B" w:rsidP="00DD25A5" w14:paraId="65BA9426" w14:textId="28E5DF98">
            <w:pPr>
              <w:jc w:val="center"/>
            </w:pPr>
            <w:r w:rsidRPr="003840BE">
              <w:rPr>
                <w:rFonts w:ascii="Cambria" w:hAnsi="Cambria"/>
              </w:rPr>
              <w:t>$48.</w:t>
            </w:r>
            <w:r>
              <w:rPr>
                <w:rFonts w:ascii="Cambria" w:hAnsi="Cambria"/>
              </w:rPr>
              <w:t>29</w:t>
            </w:r>
          </w:p>
        </w:tc>
        <w:tc>
          <w:tcPr>
            <w:tcW w:w="2160" w:type="dxa"/>
            <w:vAlign w:val="center"/>
          </w:tcPr>
          <w:p w:rsidR="00CA2010" w:rsidRPr="009A036B" w:rsidP="00DD25A5" w14:paraId="41D263E0" w14:textId="55D42B16">
            <w:pPr>
              <w:jc w:val="center"/>
            </w:pPr>
            <w:r>
              <w:t>$2415</w:t>
            </w:r>
          </w:p>
        </w:tc>
      </w:tr>
      <w:tr w14:paraId="26AE8910" w14:textId="77777777" w:rsidTr="00AA7BAA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3037" w:type="dxa"/>
            <w:vAlign w:val="center"/>
          </w:tcPr>
          <w:p w:rsidR="00CA2010" w:rsidRPr="009A036B" w:rsidP="009A036B" w14:paraId="3C2094E7" w14:textId="77777777"/>
        </w:tc>
        <w:tc>
          <w:tcPr>
            <w:tcW w:w="2003" w:type="dxa"/>
            <w:vAlign w:val="center"/>
          </w:tcPr>
          <w:p w:rsidR="00CA2010" w:rsidRPr="009A036B" w:rsidP="00DD25A5" w14:paraId="48FD4892" w14:textId="77777777">
            <w:pPr>
              <w:jc w:val="center"/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CA2010" w:rsidRPr="009A036B" w:rsidP="00DD25A5" w14:paraId="37D5DD09" w14:textId="77777777">
            <w:pPr>
              <w:jc w:val="center"/>
            </w:pPr>
          </w:p>
        </w:tc>
        <w:tc>
          <w:tcPr>
            <w:tcW w:w="2160" w:type="dxa"/>
            <w:vAlign w:val="center"/>
          </w:tcPr>
          <w:p w:rsidR="00CA2010" w:rsidRPr="009A036B" w:rsidP="00DD25A5" w14:paraId="228D6D80" w14:textId="77777777">
            <w:pPr>
              <w:jc w:val="center"/>
            </w:pPr>
          </w:p>
        </w:tc>
      </w:tr>
      <w:tr w14:paraId="0A3888DD" w14:textId="77777777" w:rsidTr="00AA7BAA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3037" w:type="dxa"/>
            <w:vAlign w:val="center"/>
          </w:tcPr>
          <w:p w:rsidR="00CA2010" w:rsidRPr="009A036B" w:rsidP="009A036B" w14:paraId="10CD022F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003" w:type="dxa"/>
            <w:vAlign w:val="center"/>
          </w:tcPr>
          <w:p w:rsidR="00CA2010" w:rsidRPr="009A036B" w:rsidP="009A036B" w14:paraId="23D9709C" w14:textId="77777777">
            <w:pPr>
              <w:rPr>
                <w:b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F7F7F"/>
            <w:vAlign w:val="center"/>
          </w:tcPr>
          <w:p w:rsidR="00CA2010" w:rsidRPr="009A036B" w:rsidP="009A036B" w14:paraId="67C1D89A" w14:textId="77777777"/>
        </w:tc>
        <w:tc>
          <w:tcPr>
            <w:tcW w:w="2160" w:type="dxa"/>
            <w:vAlign w:val="center"/>
          </w:tcPr>
          <w:p w:rsidR="00CA2010" w:rsidRPr="009A036B" w:rsidP="008F6DBF" w14:paraId="129F742C" w14:textId="187044D5">
            <w:pPr>
              <w:jc w:val="center"/>
            </w:pPr>
            <w:r>
              <w:t>$2415</w:t>
            </w:r>
          </w:p>
        </w:tc>
      </w:tr>
    </w:tbl>
    <w:p w:rsidR="008F6DBF" w:rsidRPr="003840BE" w:rsidP="008F6DBF" w14:paraId="60FDB161" w14:textId="77777777">
      <w:pPr>
        <w:rPr>
          <w:rFonts w:ascii="Cambria" w:hAnsi="Cambria"/>
          <w:sz w:val="20"/>
          <w:szCs w:val="20"/>
        </w:rPr>
      </w:pPr>
      <w:r>
        <w:t>*</w:t>
      </w:r>
      <w:r w:rsidRPr="003840BE">
        <w:rPr>
          <w:rFonts w:ascii="Cambria" w:hAnsi="Cambria"/>
          <w:sz w:val="20"/>
          <w:szCs w:val="20"/>
        </w:rPr>
        <w:t>*Biological Scientists, Hourly Mean Wage: https://data.bls.gov/oes/#/industry/000000</w:t>
      </w:r>
    </w:p>
    <w:p w:rsidR="0036361A" w:rsidP="00F3170F" w14:paraId="04B66776" w14:textId="7F8ABBFD"/>
    <w:p w:rsidR="008F6DBF" w14:paraId="1EA1CD95" w14:textId="77777777">
      <w:pPr>
        <w:rPr>
          <w:b/>
        </w:rPr>
      </w:pPr>
    </w:p>
    <w:p w:rsidR="008F6DBF" w14:paraId="1E4A8BFC" w14:textId="77777777">
      <w:pPr>
        <w:rPr>
          <w:b/>
        </w:rPr>
      </w:pPr>
    </w:p>
    <w:p w:rsidR="008F6DBF" w14:paraId="0021D6A2" w14:textId="77777777">
      <w:pPr>
        <w:rPr>
          <w:b/>
        </w:rPr>
      </w:pPr>
    </w:p>
    <w:p w:rsidR="008F6DBF" w14:paraId="3216D881" w14:textId="77777777">
      <w:pPr>
        <w:rPr>
          <w:b/>
        </w:rPr>
      </w:pPr>
    </w:p>
    <w:p w:rsidR="008F6DBF" w14:paraId="138A764B" w14:textId="77777777">
      <w:pPr>
        <w:rPr>
          <w:b/>
        </w:rPr>
      </w:pPr>
    </w:p>
    <w:p w:rsidR="008F6DBF" w14:paraId="1CD64F4B" w14:textId="77777777">
      <w:pPr>
        <w:rPr>
          <w:b/>
        </w:rPr>
      </w:pPr>
    </w:p>
    <w:p w:rsidR="008F6DBF" w14:paraId="503F68CA" w14:textId="77777777">
      <w:pPr>
        <w:rPr>
          <w:b/>
        </w:rPr>
      </w:pPr>
    </w:p>
    <w:p w:rsidR="008F6DBF" w14:paraId="4AC4BD8D" w14:textId="77777777">
      <w:pPr>
        <w:rPr>
          <w:b/>
        </w:rPr>
      </w:pPr>
    </w:p>
    <w:p w:rsidR="008F6DBF" w14:paraId="77A8171F" w14:textId="77777777">
      <w:pPr>
        <w:rPr>
          <w:b/>
        </w:rPr>
      </w:pPr>
    </w:p>
    <w:p w:rsidR="005E714A" w14:paraId="64ABCDA4" w14:textId="750B710D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C86E91">
        <w:t>__</w:t>
      </w:r>
      <w:r w:rsidR="008F6DBF">
        <w:t>$</w:t>
      </w:r>
      <w:r w:rsidR="00F65F74">
        <w:t>2</w:t>
      </w:r>
      <w:r w:rsidR="008F6DBF">
        <w:t>879</w:t>
      </w:r>
      <w:r w:rsidR="00C86E91">
        <w:t>______</w:t>
      </w:r>
    </w:p>
    <w:p w:rsidR="009A036B" w:rsidRPr="009A036B" w:rsidP="009A036B" w14:paraId="2DFCFA20" w14:textId="77777777">
      <w:r>
        <w:rPr>
          <w:b/>
        </w:rPr>
        <w:t xml:space="preserve">                         </w:t>
      </w:r>
    </w:p>
    <w:p w:rsidR="009A036B" w:rsidRPr="009A036B" w:rsidP="009A036B" w14:paraId="5D146687" w14:textId="77777777"/>
    <w:tbl>
      <w:tblPr>
        <w:tblW w:w="9738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579"/>
      </w:tblGrid>
      <w:tr w14:paraId="5AC5E1EA" w14:textId="77777777" w:rsidTr="00232059">
        <w:tblPrEx>
          <w:tblW w:w="9738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36B" w:rsidRPr="009A036B" w:rsidP="009A036B" w14:paraId="72AE3F21" w14:textId="77777777">
            <w:pPr>
              <w:rPr>
                <w:b/>
                <w:bCs/>
              </w:rPr>
            </w:pPr>
            <w:bookmarkStart w:id="1" w:name="_Hlk206404851"/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36B" w:rsidRPr="009A036B" w:rsidP="00232059" w14:paraId="21B8B905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36B" w:rsidRPr="009A036B" w:rsidP="00232059" w14:paraId="469EBB2D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36B" w:rsidRPr="009A036B" w:rsidP="00232059" w14:paraId="527F7654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36B" w:rsidRPr="009A036B" w:rsidP="00232059" w14:paraId="7EEB4B34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36B" w:rsidRPr="009A036B" w:rsidP="00232059" w14:paraId="23B1102A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6743EA82" w14:textId="77777777" w:rsidTr="00232059">
        <w:tblPrEx>
          <w:tblW w:w="973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9A036B" w:rsidP="009A036B" w14:paraId="7478B2DC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9A036B" w:rsidRPr="009A036B" w:rsidP="00232059" w14:paraId="55728E7E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9A036B" w:rsidP="00232059" w14:paraId="26D15942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9A036B" w:rsidP="00232059" w14:paraId="4859F884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9A036B" w:rsidRPr="009A036B" w:rsidP="00232059" w14:paraId="3E9FBAFE" w14:textId="77777777">
            <w:pPr>
              <w:jc w:val="center"/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9A036B" w:rsidP="00232059" w14:paraId="10D5705A" w14:textId="77777777">
            <w:pPr>
              <w:jc w:val="center"/>
            </w:pPr>
          </w:p>
        </w:tc>
      </w:tr>
      <w:tr w14:paraId="4B68C64B" w14:textId="77777777" w:rsidTr="00232059">
        <w:tblPrEx>
          <w:tblW w:w="973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9A036B" w:rsidP="009A036B" w14:paraId="338877CF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9A036B" w:rsidP="00232059" w14:paraId="15692056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9A036B" w:rsidP="00232059" w14:paraId="7D0A3870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9A036B" w:rsidP="00232059" w14:paraId="0C241F8B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9A036B" w:rsidRPr="009A036B" w:rsidP="00232059" w14:paraId="60DADEE7" w14:textId="77777777">
            <w:pPr>
              <w:jc w:val="center"/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9A036B" w:rsidP="00232059" w14:paraId="47A621BA" w14:textId="77777777">
            <w:pPr>
              <w:jc w:val="center"/>
            </w:pPr>
          </w:p>
        </w:tc>
      </w:tr>
      <w:tr w14:paraId="084CBEB9" w14:textId="77777777" w:rsidTr="001B0B01">
        <w:tblPrEx>
          <w:tblW w:w="973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6DBF" w:rsidRPr="009A036B" w:rsidP="008F6DBF" w14:paraId="0D8C1067" w14:textId="4564157E">
            <w:r w:rsidRPr="003840BE">
              <w:rPr>
                <w:rFonts w:ascii="Cambria" w:hAnsi="Cambria"/>
                <w:bCs/>
              </w:rPr>
              <w:t>Health Science Administrator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6DBF" w:rsidRPr="008F6DBF" w:rsidP="008F6DBF" w14:paraId="515DFB23" w14:textId="2B996CCC">
            <w:pPr>
              <w:jc w:val="center"/>
            </w:pPr>
            <w:r w:rsidRPr="008F6DBF">
              <w:rPr>
                <w:bCs/>
              </w:rPr>
              <w:t>14/8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DBF" w:rsidRPr="008F6DBF" w:rsidP="008F6DBF" w14:paraId="1D783EA4" w14:textId="068BF348">
            <w:pPr>
              <w:jc w:val="center"/>
            </w:pPr>
            <w:r w:rsidRPr="008F6DBF">
              <w:rPr>
                <w:bCs/>
              </w:rPr>
              <w:t xml:space="preserve"> $175,735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DBF" w:rsidRPr="008F6DBF" w:rsidP="008F6DBF" w14:paraId="2907D3A6" w14:textId="002A8588">
            <w:pPr>
              <w:jc w:val="center"/>
            </w:pPr>
            <w:r w:rsidRPr="008F6DBF">
              <w:rPr>
                <w:bCs/>
              </w:rPr>
              <w:t>0.5%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8F6DBF" w:rsidRPr="008F6DBF" w:rsidP="008F6DBF" w14:paraId="2C4F5861" w14:textId="77777777">
            <w:pPr>
              <w:jc w:val="center"/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6DBF" w:rsidRPr="008F6DBF" w:rsidP="008F6DBF" w14:paraId="7AFE493E" w14:textId="05B7F0BB">
            <w:pPr>
              <w:jc w:val="center"/>
            </w:pPr>
            <w:r w:rsidRPr="008F6DBF">
              <w:t>$87</w:t>
            </w:r>
            <w:r>
              <w:t>9</w:t>
            </w:r>
          </w:p>
        </w:tc>
      </w:tr>
      <w:tr w14:paraId="48F5765E" w14:textId="77777777" w:rsidTr="00232059">
        <w:tblPrEx>
          <w:tblW w:w="973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9A036B" w:rsidP="009A036B" w14:paraId="033D619A" w14:textId="77777777">
            <w:pPr>
              <w:rPr>
                <w:b/>
              </w:rPr>
            </w:pPr>
            <w:bookmarkStart w:id="2" w:name="_Hlk206404827"/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9A036B" w:rsidRPr="008F6DBF" w:rsidP="00232059" w14:paraId="64D612BB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8F6DBF" w:rsidP="00232059" w14:paraId="03997C36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8F6DBF" w:rsidP="00232059" w14:paraId="323ED9CB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8F6DBF" w:rsidP="00232059" w14:paraId="303600BC" w14:textId="77777777">
            <w:pPr>
              <w:jc w:val="center"/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8F6DBF" w:rsidP="00232059" w14:paraId="22C70AC9" w14:textId="52FD0013">
            <w:pPr>
              <w:jc w:val="center"/>
            </w:pPr>
            <w:r>
              <w:t>$2000**</w:t>
            </w:r>
          </w:p>
        </w:tc>
      </w:tr>
      <w:bookmarkEnd w:id="2"/>
      <w:tr w14:paraId="34DD3AE9" w14:textId="77777777" w:rsidTr="00232059">
        <w:tblPrEx>
          <w:tblW w:w="973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9A036B" w:rsidP="009A036B" w14:paraId="0BCADA94" w14:textId="77777777">
            <w:r>
              <w:t>Overhead/Supplies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9A036B" w:rsidRPr="008F6DBF" w:rsidP="00232059" w14:paraId="00301EDC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8F6DBF" w:rsidP="00232059" w14:paraId="511C8F26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8F6DBF" w:rsidP="00232059" w14:paraId="4FAC8B9B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9A036B" w:rsidRPr="008F6DBF" w:rsidP="00232059" w14:paraId="2974A9A1" w14:textId="77777777">
            <w:pPr>
              <w:jc w:val="center"/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8F6DBF" w:rsidP="00232059" w14:paraId="7B9C43AD" w14:textId="77777777">
            <w:pPr>
              <w:jc w:val="center"/>
            </w:pPr>
          </w:p>
        </w:tc>
      </w:tr>
      <w:tr w14:paraId="49331D02" w14:textId="77777777" w:rsidTr="00232059">
        <w:tblPrEx>
          <w:tblW w:w="973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9A036B" w:rsidP="009A036B" w14:paraId="2629C840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9A036B" w:rsidRPr="008F6DBF" w:rsidP="00232059" w14:paraId="2BF3FD4B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8F6DBF" w:rsidP="00232059" w14:paraId="4A48E902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8F6DBF" w:rsidP="00232059" w14:paraId="6A1FC57F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9A036B" w:rsidRPr="008F6DBF" w:rsidP="00232059" w14:paraId="5FE875D2" w14:textId="77777777">
            <w:pPr>
              <w:jc w:val="center"/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8F6DBF" w:rsidP="00232059" w14:paraId="73FCED93" w14:textId="77777777">
            <w:pPr>
              <w:jc w:val="center"/>
            </w:pPr>
          </w:p>
        </w:tc>
      </w:tr>
      <w:tr w14:paraId="2AD602F8" w14:textId="77777777" w:rsidTr="00232059">
        <w:tblPrEx>
          <w:tblW w:w="973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36B" w:rsidRPr="004B1EB8" w:rsidP="009A036B" w14:paraId="48ECB243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9A036B" w:rsidRPr="008F6DBF" w:rsidP="00232059" w14:paraId="3B7F9AB1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36B" w:rsidRPr="008F6DBF" w:rsidP="00232059" w14:paraId="295E56C9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36B" w:rsidRPr="008F6DBF" w:rsidP="00232059" w14:paraId="233438BC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9A036B" w:rsidRPr="008F6DBF" w:rsidP="00232059" w14:paraId="2571445D" w14:textId="77777777">
            <w:pPr>
              <w:jc w:val="center"/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8F6DBF" w:rsidP="00232059" w14:paraId="055862E1" w14:textId="64B7AA41">
            <w:pPr>
              <w:jc w:val="center"/>
            </w:pPr>
            <w:r w:rsidRPr="008F6DBF">
              <w:t>$</w:t>
            </w:r>
            <w:r w:rsidR="00F65F74">
              <w:t>2</w:t>
            </w:r>
            <w:r w:rsidRPr="008F6DBF">
              <w:t>87</w:t>
            </w:r>
            <w:r>
              <w:t>9</w:t>
            </w:r>
          </w:p>
        </w:tc>
      </w:tr>
    </w:tbl>
    <w:bookmarkEnd w:id="1"/>
    <w:p w:rsidR="008F6DBF" w:rsidP="008F6DBF" w14:paraId="21E8FDE5" w14:textId="4066E6BA">
      <w:pPr>
        <w:rPr>
          <w:rFonts w:ascii="Cambria" w:hAnsi="Cambria"/>
          <w:sz w:val="20"/>
          <w:szCs w:val="20"/>
        </w:rPr>
      </w:pPr>
      <w:r w:rsidRPr="00C164DC">
        <w:rPr>
          <w:sz w:val="22"/>
          <w:szCs w:val="22"/>
        </w:rPr>
        <w:t>*</w:t>
      </w:r>
      <w:r w:rsidRPr="008F6DBF">
        <w:rPr>
          <w:rFonts w:ascii="Cambria" w:hAnsi="Cambria"/>
          <w:sz w:val="18"/>
          <w:szCs w:val="18"/>
        </w:rPr>
        <w:t xml:space="preserve"> </w:t>
      </w:r>
      <w:r w:rsidRPr="003840BE">
        <w:rPr>
          <w:rFonts w:ascii="Cambria" w:hAnsi="Cambria"/>
          <w:sz w:val="18"/>
          <w:szCs w:val="18"/>
        </w:rPr>
        <w:t>the</w:t>
      </w:r>
      <w:r w:rsidRPr="003840BE">
        <w:rPr>
          <w:rFonts w:ascii="Cambria" w:hAnsi="Cambria"/>
        </w:rPr>
        <w:t xml:space="preserve"> </w:t>
      </w:r>
      <w:r w:rsidRPr="003840BE">
        <w:rPr>
          <w:rFonts w:ascii="Cambria" w:hAnsi="Cambria"/>
          <w:sz w:val="18"/>
          <w:szCs w:val="18"/>
        </w:rPr>
        <w:t>Salary in table above is cited from</w:t>
      </w:r>
      <w:r w:rsidRPr="003840BE">
        <w:rPr>
          <w:rFonts w:ascii="Cambria" w:hAnsi="Cambria"/>
        </w:rPr>
        <w:t xml:space="preserve"> </w:t>
      </w:r>
      <w:r>
        <w:fldChar w:fldCharType="begin"/>
      </w:r>
      <w:r w:rsidRPr="00803FF5" w:rsidR="00F65F74">
        <w:rPr>
          <w:rStyle w:val="Hyperlink"/>
          <w:rFonts w:ascii="Cambria" w:hAnsi="Cambria"/>
          <w:sz w:val="20"/>
          <w:szCs w:val="20"/>
        </w:rPr>
        <w:instrText xml:space="preserve"> HYPERLINK "https://www.opm.gov/policy-data-oversight/pay-leave/salaries-wages/salary-tables/pdf/2025/DCB.pdf" </w:instrText>
      </w:r>
      <w:r>
        <w:fldChar w:fldCharType="separate"/>
      </w:r>
      <w:r w:rsidRPr="00803FF5" w:rsidR="00F65F74">
        <w:rPr>
          <w:rStyle w:val="Hyperlink"/>
          <w:rFonts w:ascii="Cambria" w:hAnsi="Cambria"/>
          <w:sz w:val="20"/>
          <w:szCs w:val="20"/>
        </w:rPr>
        <w:t>https://www.opm.gov/policy-data-oversight/pay-leave/salaries-wages/salary-tables/pdf/2025/DCB.pdf</w:t>
      </w:r>
      <w:r>
        <w:fldChar w:fldCharType="end"/>
      </w:r>
    </w:p>
    <w:p w:rsidR="008C1219" w:rsidRPr="00F65F74" w:rsidP="00CC1D37" w14:paraId="6F3CA488" w14:textId="3F060341">
      <w:pPr>
        <w:rPr>
          <w:rFonts w:ascii="Cambria" w:hAnsi="Cambria"/>
          <w:b/>
        </w:rPr>
      </w:pPr>
      <w:r>
        <w:rPr>
          <w:rFonts w:ascii="Cambria" w:hAnsi="Cambria"/>
          <w:sz w:val="20"/>
          <w:szCs w:val="20"/>
        </w:rPr>
        <w:t>** One-time cost associated with building the online survey.</w:t>
      </w:r>
    </w:p>
    <w:p w:rsidR="00ED6492" w14:paraId="0480D757" w14:textId="77777777">
      <w:pPr>
        <w:rPr>
          <w:b/>
          <w:bCs/>
          <w:u w:val="single"/>
        </w:rPr>
      </w:pPr>
    </w:p>
    <w:p w:rsidR="0069403B" w:rsidP="00F06866" w14:paraId="5DD1E7A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 survey or plan to employ statistical methods, </w:t>
      </w:r>
      <w:r w:rsidR="00232059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58B15466" w14:textId="77777777">
      <w:pPr>
        <w:rPr>
          <w:b/>
        </w:rPr>
      </w:pPr>
    </w:p>
    <w:p w:rsidR="00F06866" w:rsidP="00F06866" w14:paraId="25FFBF9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5F67062F" w14:textId="1C5A2931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 w:rsidR="00047618">
        <w:t>respondents,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8F6DBF">
        <w:t>X</w:t>
      </w:r>
      <w:r>
        <w:t>] No</w:t>
      </w:r>
    </w:p>
    <w:p w:rsidR="00636621" w:rsidP="00636621" w14:paraId="0E652799" w14:textId="77777777">
      <w:pPr>
        <w:pStyle w:val="ListParagraph"/>
      </w:pPr>
    </w:p>
    <w:p w:rsidR="00636621" w:rsidP="00232059" w14:paraId="59ACC8FC" w14:textId="77777777">
      <w:pPr>
        <w:numPr>
          <w:ilvl w:val="0"/>
          <w:numId w:val="15"/>
        </w:numPr>
      </w:pPr>
      <w:r w:rsidRPr="00636621">
        <w:t xml:space="preserve">If the answer is yes, </w:t>
      </w:r>
      <w:r>
        <w:t>please provide a description of both below</w:t>
      </w:r>
      <w:r w:rsidR="00A403BB">
        <w:t xml:space="preserve"> </w:t>
      </w:r>
      <w:r w:rsidR="00232059">
        <w:t>and</w:t>
      </w:r>
      <w:r w:rsidR="00A403BB">
        <w:t xml:space="preserve"> attach the sampling plan</w:t>
      </w:r>
      <w:r w:rsidR="00047618">
        <w:t>.</w:t>
      </w:r>
      <w:r>
        <w:t xml:space="preserve"> If the answer is no, please provide a description of how you plan to identify your potential group of respondents</w:t>
      </w:r>
      <w:r w:rsidR="001B0AAA">
        <w:t xml:space="preserve"> and how you will select them</w:t>
      </w:r>
      <w:r w:rsidR="00CC1D37">
        <w:t>.</w:t>
      </w:r>
      <w:r w:rsidRPr="00580FA0" w:rsidR="00580FA0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047618">
        <w:t>Y</w:t>
      </w:r>
      <w:r w:rsidRPr="00580FA0" w:rsidR="00580FA0">
        <w:t xml:space="preserve">ou will need to include the </w:t>
      </w:r>
      <w:r w:rsidR="00306163">
        <w:t>number of persons in your customer list and indicate what percentage you anticipate will respond,</w:t>
      </w:r>
      <w:r w:rsidR="00047618">
        <w:t xml:space="preserve"> which will equate to your estimated respondents.</w:t>
      </w:r>
    </w:p>
    <w:p w:rsidR="00047618" w:rsidP="001B0AAA" w14:paraId="54A7526C" w14:textId="77777777"/>
    <w:p w:rsidR="008F6DBF" w:rsidRPr="003840BE" w:rsidP="008F6DBF" w14:paraId="3A46CD2D" w14:textId="77777777">
      <w:pPr>
        <w:pStyle w:val="ListParagraph"/>
        <w:rPr>
          <w:rFonts w:ascii="Cambria" w:hAnsi="Cambria"/>
        </w:rPr>
      </w:pPr>
    </w:p>
    <w:p w:rsidR="008F6DBF" w:rsidP="008F6DBF" w14:paraId="493A0A85" w14:textId="77777777">
      <w:pPr>
        <w:ind w:left="360"/>
        <w:rPr>
          <w:rFonts w:ascii="Cambria" w:hAnsi="Cambria"/>
        </w:rPr>
      </w:pPr>
      <w:r w:rsidRPr="003840BE">
        <w:rPr>
          <w:rFonts w:ascii="Cambria" w:hAnsi="Cambria"/>
        </w:rPr>
        <w:t xml:space="preserve">Investigators who access the TCF </w:t>
      </w:r>
      <w:hyperlink r:id="rId5" w:history="1">
        <w:r w:rsidRPr="003840BE">
          <w:rPr>
            <w:rStyle w:val="Hyperlink"/>
            <w:rFonts w:ascii="Cambria" w:hAnsi="Cambria"/>
          </w:rPr>
          <w:t>website</w:t>
        </w:r>
      </w:hyperlink>
      <w:r>
        <w:rPr>
          <w:rFonts w:ascii="Cambria" w:hAnsi="Cambria"/>
        </w:rPr>
        <w:t xml:space="preserve"> will see this survey as a pop-up on the website. They will have the opportunity to voluntarily take the survey. </w:t>
      </w:r>
    </w:p>
    <w:p w:rsidR="008F6DBF" w:rsidP="008F6DBF" w14:paraId="52B25B9E" w14:textId="77777777">
      <w:pPr>
        <w:ind w:left="360"/>
        <w:rPr>
          <w:rFonts w:ascii="Cambria" w:hAnsi="Cambria"/>
        </w:rPr>
      </w:pPr>
    </w:p>
    <w:p w:rsidR="008F6DBF" w:rsidRPr="003840BE" w:rsidP="008F6DBF" w14:paraId="1F71AB4B" w14:textId="77777777">
      <w:pPr>
        <w:ind w:left="360"/>
        <w:rPr>
          <w:rFonts w:ascii="Cambria" w:hAnsi="Cambria"/>
        </w:rPr>
      </w:pPr>
      <w:r>
        <w:rPr>
          <w:rFonts w:ascii="Cambria" w:hAnsi="Cambria"/>
        </w:rPr>
        <w:t xml:space="preserve">TCF receives approximately 450 orders per year. We expect that no more than half of investigators ordering via the website will take the survey. </w:t>
      </w:r>
      <w:r w:rsidRPr="009B5D81">
        <w:rPr>
          <w:rFonts w:ascii="Cambria" w:hAnsi="Cambria"/>
        </w:rPr>
        <w:t xml:space="preserve">Therefore, we estimate that 200 investigators per year will take the survey </w:t>
      </w:r>
      <w:r w:rsidRPr="00D345D5">
        <w:rPr>
          <w:rFonts w:ascii="Cambria" w:hAnsi="Cambria"/>
        </w:rPr>
        <w:t>(600 over three years).</w:t>
      </w:r>
      <w:r>
        <w:rPr>
          <w:rFonts w:ascii="Cambria" w:hAnsi="Cambria"/>
        </w:rPr>
        <w:t xml:space="preserve"> </w:t>
      </w:r>
    </w:p>
    <w:p w:rsidR="00A403BB" w:rsidP="008F6DBF" w14:paraId="31012BE1" w14:textId="77777777"/>
    <w:p w:rsidR="00A403BB" w:rsidP="00A403BB" w14:paraId="14FD1F1F" w14:textId="77777777"/>
    <w:p w:rsidR="00A403BB" w:rsidP="00A403BB" w14:paraId="4D9FAD9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1D2948E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232059" w:rsidP="00232059" w14:paraId="0699CF40" w14:textId="77777777">
      <w:pPr>
        <w:pStyle w:val="ListParagraph"/>
        <w:ind w:left="360"/>
      </w:pPr>
    </w:p>
    <w:p w:rsidR="001B0AAA" w:rsidP="001B0AAA" w14:paraId="55B07E8D" w14:textId="094CC1D1">
      <w:pPr>
        <w:ind w:left="720"/>
      </w:pPr>
      <w:r>
        <w:t xml:space="preserve">[ </w:t>
      </w:r>
      <w:r w:rsidR="008F6DBF">
        <w:t>X</w:t>
      </w:r>
      <w:r>
        <w:t>] Web-based</w:t>
      </w:r>
      <w:r>
        <w:t xml:space="preserve"> or other forms of Social Media </w:t>
      </w:r>
    </w:p>
    <w:p w:rsidR="001B0AAA" w:rsidP="001B0AAA" w14:paraId="6EF3CFD0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1A783EFF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12158DCA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5FED26FE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232059" w:rsidP="001B0AAA" w14:paraId="27FDC959" w14:textId="77777777">
      <w:pPr>
        <w:ind w:left="720"/>
      </w:pPr>
    </w:p>
    <w:p w:rsidR="00F24CFC" w:rsidP="00F24CFC" w14:paraId="4E222476" w14:textId="30DD808F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02FCA">
        <w:t>X</w:t>
      </w:r>
      <w:r>
        <w:t>] No</w:t>
      </w:r>
    </w:p>
    <w:p w:rsidR="00F24CFC" w:rsidP="00F24CFC" w14:paraId="0EDDA780" w14:textId="77777777">
      <w:pPr>
        <w:pStyle w:val="ListParagraph"/>
        <w:ind w:left="360"/>
      </w:pPr>
      <w:r>
        <w:t xml:space="preserve"> </w:t>
      </w:r>
    </w:p>
    <w:p w:rsidR="005E714A" w:rsidRPr="00102FCA" w:rsidP="00102FCA" w14:paraId="62BFCCD0" w14:textId="22D416F4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2EE6F31D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C46AA2"/>
    <w:multiLevelType w:val="hybridMultilevel"/>
    <w:tmpl w:val="B0EA79D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9746E"/>
    <w:multiLevelType w:val="hybridMultilevel"/>
    <w:tmpl w:val="8AF67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F34D8B"/>
    <w:multiLevelType w:val="hybridMultilevel"/>
    <w:tmpl w:val="62920876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5435473">
    <w:abstractNumId w:val="11"/>
  </w:num>
  <w:num w:numId="2" w16cid:durableId="411583870">
    <w:abstractNumId w:val="19"/>
  </w:num>
  <w:num w:numId="3" w16cid:durableId="728766814">
    <w:abstractNumId w:val="18"/>
  </w:num>
  <w:num w:numId="4" w16cid:durableId="1386374389">
    <w:abstractNumId w:val="20"/>
  </w:num>
  <w:num w:numId="5" w16cid:durableId="1573347398">
    <w:abstractNumId w:val="3"/>
  </w:num>
  <w:num w:numId="6" w16cid:durableId="776798391">
    <w:abstractNumId w:val="1"/>
  </w:num>
  <w:num w:numId="7" w16cid:durableId="707805272">
    <w:abstractNumId w:val="9"/>
  </w:num>
  <w:num w:numId="8" w16cid:durableId="725027206">
    <w:abstractNumId w:val="16"/>
  </w:num>
  <w:num w:numId="9" w16cid:durableId="283970168">
    <w:abstractNumId w:val="10"/>
  </w:num>
  <w:num w:numId="10" w16cid:durableId="1368290871">
    <w:abstractNumId w:val="2"/>
  </w:num>
  <w:num w:numId="11" w16cid:durableId="1859613010">
    <w:abstractNumId w:val="7"/>
  </w:num>
  <w:num w:numId="12" w16cid:durableId="734817197">
    <w:abstractNumId w:val="8"/>
  </w:num>
  <w:num w:numId="13" w16cid:durableId="610210449">
    <w:abstractNumId w:val="0"/>
  </w:num>
  <w:num w:numId="14" w16cid:durableId="99035618">
    <w:abstractNumId w:val="17"/>
  </w:num>
  <w:num w:numId="15" w16cid:durableId="1997688815">
    <w:abstractNumId w:val="14"/>
  </w:num>
  <w:num w:numId="16" w16cid:durableId="938761378">
    <w:abstractNumId w:val="12"/>
  </w:num>
  <w:num w:numId="17" w16cid:durableId="2140954921">
    <w:abstractNumId w:val="4"/>
  </w:num>
  <w:num w:numId="18" w16cid:durableId="645932674">
    <w:abstractNumId w:val="6"/>
  </w:num>
  <w:num w:numId="19" w16cid:durableId="18765024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5472460">
    <w:abstractNumId w:val="5"/>
  </w:num>
  <w:num w:numId="21" w16cid:durableId="1427309969">
    <w:abstractNumId w:val="15"/>
  </w:num>
  <w:num w:numId="22" w16cid:durableId="8230817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012B"/>
    <w:rsid w:val="00023A57"/>
    <w:rsid w:val="00047618"/>
    <w:rsid w:val="00047A64"/>
    <w:rsid w:val="00067329"/>
    <w:rsid w:val="000722CE"/>
    <w:rsid w:val="000913EC"/>
    <w:rsid w:val="000B2838"/>
    <w:rsid w:val="000B3EC1"/>
    <w:rsid w:val="000D44CA"/>
    <w:rsid w:val="000E200B"/>
    <w:rsid w:val="000E6A29"/>
    <w:rsid w:val="000F68BE"/>
    <w:rsid w:val="00102FCA"/>
    <w:rsid w:val="00113A81"/>
    <w:rsid w:val="0013108F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2435D"/>
    <w:rsid w:val="00232059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2F2E4F"/>
    <w:rsid w:val="003002B6"/>
    <w:rsid w:val="00306163"/>
    <w:rsid w:val="00325A1D"/>
    <w:rsid w:val="0036361A"/>
    <w:rsid w:val="003668D6"/>
    <w:rsid w:val="00377639"/>
    <w:rsid w:val="003840BE"/>
    <w:rsid w:val="003932D1"/>
    <w:rsid w:val="003A7074"/>
    <w:rsid w:val="003C27F6"/>
    <w:rsid w:val="003D5BBE"/>
    <w:rsid w:val="003E3C61"/>
    <w:rsid w:val="003F1C5B"/>
    <w:rsid w:val="00420E91"/>
    <w:rsid w:val="00431EB1"/>
    <w:rsid w:val="00434E33"/>
    <w:rsid w:val="00441434"/>
    <w:rsid w:val="0045264C"/>
    <w:rsid w:val="004876EC"/>
    <w:rsid w:val="004A44F3"/>
    <w:rsid w:val="004B1EB8"/>
    <w:rsid w:val="004C05C2"/>
    <w:rsid w:val="004D41B5"/>
    <w:rsid w:val="004D6CC9"/>
    <w:rsid w:val="004D6E14"/>
    <w:rsid w:val="005009B0"/>
    <w:rsid w:val="00527438"/>
    <w:rsid w:val="00580FA0"/>
    <w:rsid w:val="005A1006"/>
    <w:rsid w:val="005A772A"/>
    <w:rsid w:val="005A7A10"/>
    <w:rsid w:val="005E714A"/>
    <w:rsid w:val="005F2834"/>
    <w:rsid w:val="006140A0"/>
    <w:rsid w:val="00633F74"/>
    <w:rsid w:val="00636329"/>
    <w:rsid w:val="00636621"/>
    <w:rsid w:val="00642B49"/>
    <w:rsid w:val="0065005D"/>
    <w:rsid w:val="006757CD"/>
    <w:rsid w:val="00680075"/>
    <w:rsid w:val="006832D9"/>
    <w:rsid w:val="00686301"/>
    <w:rsid w:val="0069403B"/>
    <w:rsid w:val="006B7B34"/>
    <w:rsid w:val="006D5F47"/>
    <w:rsid w:val="006F3DDE"/>
    <w:rsid w:val="00704678"/>
    <w:rsid w:val="007425E7"/>
    <w:rsid w:val="00766D95"/>
    <w:rsid w:val="0077703F"/>
    <w:rsid w:val="00802607"/>
    <w:rsid w:val="00803FF5"/>
    <w:rsid w:val="008101A5"/>
    <w:rsid w:val="00811789"/>
    <w:rsid w:val="00822664"/>
    <w:rsid w:val="00843796"/>
    <w:rsid w:val="0085116A"/>
    <w:rsid w:val="0087644A"/>
    <w:rsid w:val="00886983"/>
    <w:rsid w:val="00887320"/>
    <w:rsid w:val="00895229"/>
    <w:rsid w:val="008A421D"/>
    <w:rsid w:val="008C1219"/>
    <w:rsid w:val="008F0203"/>
    <w:rsid w:val="008F50D4"/>
    <w:rsid w:val="008F6DBF"/>
    <w:rsid w:val="009239AA"/>
    <w:rsid w:val="00935ADA"/>
    <w:rsid w:val="00946B6C"/>
    <w:rsid w:val="00955A71"/>
    <w:rsid w:val="0096108F"/>
    <w:rsid w:val="009A036B"/>
    <w:rsid w:val="009B5D81"/>
    <w:rsid w:val="009C13B9"/>
    <w:rsid w:val="009D01A2"/>
    <w:rsid w:val="009F5923"/>
    <w:rsid w:val="00A229F1"/>
    <w:rsid w:val="00A403BB"/>
    <w:rsid w:val="00A40967"/>
    <w:rsid w:val="00A45A83"/>
    <w:rsid w:val="00A50F89"/>
    <w:rsid w:val="00A674DF"/>
    <w:rsid w:val="00A83AA6"/>
    <w:rsid w:val="00A91823"/>
    <w:rsid w:val="00AA7BAA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BF6223"/>
    <w:rsid w:val="00C07114"/>
    <w:rsid w:val="00C07F1C"/>
    <w:rsid w:val="00C14CC4"/>
    <w:rsid w:val="00C164DC"/>
    <w:rsid w:val="00C33C52"/>
    <w:rsid w:val="00C40D8B"/>
    <w:rsid w:val="00C828FD"/>
    <w:rsid w:val="00C8407A"/>
    <w:rsid w:val="00C8488C"/>
    <w:rsid w:val="00C86E91"/>
    <w:rsid w:val="00C91E1D"/>
    <w:rsid w:val="00C9542F"/>
    <w:rsid w:val="00CA19A3"/>
    <w:rsid w:val="00CA1CE7"/>
    <w:rsid w:val="00CA2010"/>
    <w:rsid w:val="00CA2650"/>
    <w:rsid w:val="00CB1078"/>
    <w:rsid w:val="00CB3B07"/>
    <w:rsid w:val="00CC1D37"/>
    <w:rsid w:val="00CC6FAF"/>
    <w:rsid w:val="00CD3F0A"/>
    <w:rsid w:val="00CD5998"/>
    <w:rsid w:val="00CF4A46"/>
    <w:rsid w:val="00D24698"/>
    <w:rsid w:val="00D345D5"/>
    <w:rsid w:val="00D504C2"/>
    <w:rsid w:val="00D542D2"/>
    <w:rsid w:val="00D6383F"/>
    <w:rsid w:val="00D662C8"/>
    <w:rsid w:val="00D74BF2"/>
    <w:rsid w:val="00D917B7"/>
    <w:rsid w:val="00DB4A58"/>
    <w:rsid w:val="00DB59D0"/>
    <w:rsid w:val="00DB6F59"/>
    <w:rsid w:val="00DB7D11"/>
    <w:rsid w:val="00DC2F2F"/>
    <w:rsid w:val="00DC33D3"/>
    <w:rsid w:val="00DC64D3"/>
    <w:rsid w:val="00DD25A5"/>
    <w:rsid w:val="00DE161B"/>
    <w:rsid w:val="00E26329"/>
    <w:rsid w:val="00E40B50"/>
    <w:rsid w:val="00E50293"/>
    <w:rsid w:val="00E5724F"/>
    <w:rsid w:val="00E65FFC"/>
    <w:rsid w:val="00E670E2"/>
    <w:rsid w:val="00E80951"/>
    <w:rsid w:val="00E854FE"/>
    <w:rsid w:val="00E86CC6"/>
    <w:rsid w:val="00E90BA3"/>
    <w:rsid w:val="00EA686C"/>
    <w:rsid w:val="00EB56B3"/>
    <w:rsid w:val="00ED6492"/>
    <w:rsid w:val="00EF2095"/>
    <w:rsid w:val="00F06866"/>
    <w:rsid w:val="00F15956"/>
    <w:rsid w:val="00F2313F"/>
    <w:rsid w:val="00F24CFC"/>
    <w:rsid w:val="00F3170F"/>
    <w:rsid w:val="00F65F74"/>
    <w:rsid w:val="00F94D8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34F044"/>
  <w15:chartTrackingRefBased/>
  <w15:docId w15:val="{0588A552-0A63-4A78-8F85-324EBCC8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27F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3C27F6"/>
    <w:rPr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36361A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8C1219"/>
    <w:rPr>
      <w:color w:val="605E5C"/>
      <w:shd w:val="clear" w:color="auto" w:fill="E1DFDD"/>
    </w:rPr>
  </w:style>
  <w:style w:type="character" w:styleId="FollowedHyperlink">
    <w:name w:val="FollowedHyperlink"/>
    <w:rsid w:val="000E6A29"/>
    <w:rPr>
      <w:color w:val="96607D"/>
      <w:u w:val="single"/>
    </w:rPr>
  </w:style>
  <w:style w:type="paragraph" w:styleId="Revision">
    <w:name w:val="Revision"/>
    <w:hidden/>
    <w:uiPriority w:val="99"/>
    <w:semiHidden/>
    <w:rsid w:val="003061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tetramer.yerkes.emory.ed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836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Hijaz, Sarah (NIH/NIAID) [E]</cp:lastModifiedBy>
  <cp:revision>3</cp:revision>
  <cp:lastPrinted>2010-10-04T16:59:00Z</cp:lastPrinted>
  <dcterms:created xsi:type="dcterms:W3CDTF">2025-08-18T10:25:00Z</dcterms:created>
  <dcterms:modified xsi:type="dcterms:W3CDTF">2025-08-18T17:29:00Z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fddba64571f3fdd364deb3ce499575a8fa6bf1b0b0cd0d5a1db993b46aa098b3</vt:lpwstr>
  </property>
  <property fmtid="{D5CDD505-2E9C-101B-9397-08002B2CF9AE}" pid="3" name="_NewReviewCycle">
    <vt:lpwstr/>
  </property>
</Properties>
</file>