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096" w:rsidP="1892D1BE" w14:paraId="00000001" w14:textId="083B862C">
      <w:pPr>
        <w:pStyle w:val="Normal2"/>
        <w:spacing w:line="276" w:lineRule="auto"/>
        <w:jc w:val="center"/>
        <w:rPr>
          <w:b/>
          <w:bCs/>
          <w:sz w:val="24"/>
          <w:szCs w:val="24"/>
        </w:rPr>
      </w:pPr>
    </w:p>
    <w:p w:rsidR="00786096" w:rsidP="1892D1BE" w14:paraId="00000002" w14:textId="77777777">
      <w:pPr>
        <w:pStyle w:val="Normal2"/>
        <w:spacing w:line="276" w:lineRule="auto"/>
        <w:jc w:val="center"/>
        <w:rPr>
          <w:b/>
          <w:bCs/>
          <w:sz w:val="24"/>
          <w:szCs w:val="24"/>
        </w:rPr>
      </w:pPr>
    </w:p>
    <w:p w:rsidR="008B1376" w:rsidP="1892D1BE" w14:paraId="03FDB1F3" w14:textId="77777777">
      <w:pPr>
        <w:pStyle w:val="Normal2"/>
        <w:spacing w:line="276" w:lineRule="auto"/>
        <w:jc w:val="center"/>
        <w:rPr>
          <w:b/>
          <w:bCs/>
          <w:sz w:val="24"/>
          <w:szCs w:val="24"/>
        </w:rPr>
      </w:pPr>
    </w:p>
    <w:p w:rsidR="008B1376" w:rsidRPr="00167CCF" w:rsidP="1892D1BE" w14:paraId="36A06D74" w14:textId="77777777">
      <w:pPr>
        <w:pStyle w:val="coverdate"/>
        <w:jc w:val="center"/>
        <w:rPr>
          <w:rFonts w:ascii="Times New Roman" w:hAnsi="Times New Roman"/>
          <w:b/>
          <w:bCs/>
          <w:sz w:val="24"/>
          <w:szCs w:val="24"/>
        </w:rPr>
      </w:pPr>
      <w:r w:rsidRPr="1892D1BE">
        <w:rPr>
          <w:rFonts w:ascii="Times New Roman" w:hAnsi="Times New Roman"/>
          <w:b/>
          <w:bCs/>
          <w:sz w:val="24"/>
          <w:szCs w:val="24"/>
        </w:rPr>
        <w:t xml:space="preserve">CDC/ATSDR Formative Research and Tool Development </w:t>
      </w:r>
    </w:p>
    <w:p w:rsidR="008B1376" w:rsidRPr="00167CCF" w:rsidP="1892D1BE" w14:paraId="4393BB21" w14:textId="77777777">
      <w:pPr>
        <w:pStyle w:val="coverdate"/>
        <w:jc w:val="center"/>
        <w:rPr>
          <w:rFonts w:ascii="Times New Roman" w:hAnsi="Times New Roman"/>
          <w:b/>
          <w:bCs/>
          <w:sz w:val="24"/>
          <w:szCs w:val="24"/>
        </w:rPr>
      </w:pPr>
    </w:p>
    <w:p w:rsidR="008B1376" w:rsidRPr="00167CCF" w:rsidP="1892D1BE" w14:paraId="157EBF7A" w14:textId="77777777">
      <w:pPr>
        <w:pStyle w:val="coverdate"/>
        <w:jc w:val="center"/>
        <w:rPr>
          <w:rFonts w:ascii="Times New Roman" w:hAnsi="Times New Roman"/>
          <w:b/>
          <w:bCs/>
          <w:sz w:val="24"/>
          <w:szCs w:val="24"/>
        </w:rPr>
      </w:pPr>
      <w:r w:rsidRPr="1892D1BE">
        <w:rPr>
          <w:rFonts w:ascii="Times New Roman" w:hAnsi="Times New Roman"/>
          <w:b/>
          <w:bCs/>
          <w:sz w:val="24"/>
          <w:szCs w:val="24"/>
        </w:rPr>
        <w:t>OMB# 0920-1154</w:t>
      </w:r>
    </w:p>
    <w:p w:rsidR="008B1376" w:rsidRPr="00167CCF" w:rsidP="1892D1BE" w14:paraId="3A8460AB" w14:textId="77777777">
      <w:pPr>
        <w:pStyle w:val="Heading3"/>
        <w:rPr>
          <w:sz w:val="24"/>
          <w:szCs w:val="24"/>
        </w:rPr>
      </w:pPr>
    </w:p>
    <w:p w:rsidR="008B1376" w:rsidRPr="00167CCF" w:rsidP="1892D1BE" w14:paraId="037D668D" w14:textId="77777777">
      <w:pPr>
        <w:pStyle w:val="coverdate"/>
        <w:jc w:val="center"/>
        <w:rPr>
          <w:rFonts w:ascii="Times New Roman" w:hAnsi="Times New Roman"/>
          <w:b/>
          <w:bCs/>
          <w:noProof/>
          <w:sz w:val="24"/>
          <w:szCs w:val="24"/>
        </w:rPr>
      </w:pPr>
      <w:r w:rsidRPr="1892D1BE">
        <w:rPr>
          <w:rFonts w:ascii="Times New Roman" w:hAnsi="Times New Roman"/>
          <w:b/>
          <w:bCs/>
          <w:noProof/>
          <w:sz w:val="24"/>
          <w:szCs w:val="24"/>
        </w:rPr>
        <w:t>SUPPORTING STATEMENT: PART A</w:t>
      </w:r>
    </w:p>
    <w:p w:rsidR="008B1376" w:rsidRPr="00167CCF" w:rsidP="1892D1BE" w14:paraId="7CD3EE4F" w14:textId="77777777">
      <w:pPr>
        <w:pStyle w:val="Heading4"/>
        <w:rPr>
          <w:b/>
          <w:bCs/>
          <w:sz w:val="24"/>
          <w:szCs w:val="24"/>
        </w:rPr>
      </w:pPr>
    </w:p>
    <w:p w:rsidR="008B1376" w:rsidRPr="00167CCF" w:rsidP="1892D1BE" w14:paraId="696A4AA7" w14:textId="77777777">
      <w:pPr>
        <w:rPr>
          <w:sz w:val="24"/>
          <w:szCs w:val="24"/>
        </w:rPr>
      </w:pPr>
    </w:p>
    <w:p w:rsidR="008B1376" w:rsidP="1892D1BE" w14:paraId="2DBECF8C" w14:textId="77777777">
      <w:pPr>
        <w:pStyle w:val="Normal2"/>
        <w:spacing w:after="200" w:line="276" w:lineRule="auto"/>
        <w:rPr>
          <w:sz w:val="24"/>
          <w:szCs w:val="24"/>
        </w:rPr>
      </w:pPr>
    </w:p>
    <w:p w:rsidR="008B1376" w:rsidRPr="00DB7941" w:rsidP="1892D1BE" w14:paraId="0C2CF066" w14:textId="76CDFD3A">
      <w:pPr>
        <w:pStyle w:val="Normal2"/>
        <w:jc w:val="center"/>
        <w:rPr>
          <w:color w:val="222222"/>
          <w:sz w:val="24"/>
          <w:szCs w:val="24"/>
          <w:highlight w:val="white"/>
        </w:rPr>
      </w:pPr>
      <w:bookmarkStart w:id="0" w:name="_Hlk177640318"/>
      <w:r w:rsidRPr="1892D1BE">
        <w:rPr>
          <w:color w:val="222222"/>
          <w:sz w:val="24"/>
          <w:szCs w:val="24"/>
          <w:highlight w:val="white"/>
        </w:rPr>
        <w:t xml:space="preserve">Evaluating Content and Usability of CDC’s Clinical Heat Guidance </w:t>
      </w:r>
    </w:p>
    <w:bookmarkEnd w:id="0"/>
    <w:p w:rsidR="008B1376" w:rsidP="1892D1BE" w14:paraId="330F37EC" w14:textId="77777777">
      <w:pPr>
        <w:pStyle w:val="Normal2"/>
        <w:jc w:val="center"/>
        <w:rPr>
          <w:b/>
          <w:bCs/>
          <w:color w:val="222222"/>
          <w:sz w:val="24"/>
          <w:szCs w:val="24"/>
          <w:highlight w:val="white"/>
        </w:rPr>
      </w:pPr>
    </w:p>
    <w:p w:rsidR="00C67BA6" w:rsidP="1892D1BE" w14:paraId="4EDABB4F" w14:textId="4A4B884F">
      <w:pPr>
        <w:pStyle w:val="Normal2"/>
        <w:jc w:val="center"/>
        <w:rPr>
          <w:sz w:val="24"/>
          <w:szCs w:val="24"/>
        </w:rPr>
      </w:pPr>
      <w:r>
        <w:rPr>
          <w:sz w:val="24"/>
          <w:szCs w:val="24"/>
        </w:rPr>
        <w:t>December</w:t>
      </w:r>
      <w:r w:rsidRPr="1892D1BE" w:rsidR="6B592645">
        <w:rPr>
          <w:sz w:val="24"/>
          <w:szCs w:val="24"/>
        </w:rPr>
        <w:t xml:space="preserve"> 1</w:t>
      </w:r>
      <w:r>
        <w:rPr>
          <w:sz w:val="24"/>
          <w:szCs w:val="24"/>
        </w:rPr>
        <w:t>3</w:t>
      </w:r>
      <w:r w:rsidRPr="1892D1BE" w:rsidR="00463202">
        <w:rPr>
          <w:sz w:val="24"/>
          <w:szCs w:val="24"/>
        </w:rPr>
        <w:t>, 2024</w:t>
      </w:r>
      <w:r w:rsidRPr="1892D1BE" w:rsidR="00366869">
        <w:rPr>
          <w:sz w:val="24"/>
          <w:szCs w:val="24"/>
        </w:rPr>
        <w:t xml:space="preserve"> </w:t>
      </w:r>
    </w:p>
    <w:p w:rsidR="008B1376" w:rsidP="1892D1BE" w14:paraId="7BE5CB08" w14:textId="749F9BD4">
      <w:pPr>
        <w:pStyle w:val="Normal2"/>
        <w:jc w:val="center"/>
        <w:rPr>
          <w:b/>
          <w:bCs/>
          <w:sz w:val="24"/>
          <w:szCs w:val="24"/>
        </w:rPr>
      </w:pPr>
    </w:p>
    <w:p w:rsidR="008B1376" w:rsidP="1892D1BE" w14:paraId="39AAF914" w14:textId="77777777">
      <w:pPr>
        <w:pStyle w:val="Normal2"/>
        <w:jc w:val="center"/>
        <w:rPr>
          <w:b/>
          <w:bCs/>
          <w:sz w:val="24"/>
          <w:szCs w:val="24"/>
        </w:rPr>
      </w:pPr>
    </w:p>
    <w:p w:rsidR="008B1376" w:rsidP="1892D1BE" w14:paraId="6F2241D0" w14:textId="77777777">
      <w:pPr>
        <w:pStyle w:val="Normal2"/>
        <w:jc w:val="center"/>
        <w:rPr>
          <w:b/>
          <w:bCs/>
          <w:sz w:val="24"/>
          <w:szCs w:val="24"/>
        </w:rPr>
      </w:pPr>
    </w:p>
    <w:p w:rsidR="008B1376" w:rsidP="1892D1BE" w14:paraId="1043C8B1" w14:textId="77777777">
      <w:pPr>
        <w:pStyle w:val="Normal2"/>
        <w:jc w:val="center"/>
        <w:rPr>
          <w:b/>
          <w:bCs/>
          <w:sz w:val="24"/>
          <w:szCs w:val="24"/>
        </w:rPr>
      </w:pPr>
    </w:p>
    <w:p w:rsidR="008B1376" w:rsidP="1892D1BE" w14:paraId="31A02E4A" w14:textId="77777777">
      <w:pPr>
        <w:pStyle w:val="Normal2"/>
        <w:rPr>
          <w:b/>
          <w:bCs/>
          <w:sz w:val="24"/>
          <w:szCs w:val="24"/>
        </w:rPr>
      </w:pPr>
    </w:p>
    <w:p w:rsidR="008B1376" w:rsidP="1892D1BE" w14:paraId="691CA90B" w14:textId="77777777">
      <w:pPr>
        <w:pStyle w:val="Normal2"/>
        <w:rPr>
          <w:b/>
          <w:bCs/>
          <w:sz w:val="24"/>
          <w:szCs w:val="24"/>
        </w:rPr>
      </w:pPr>
    </w:p>
    <w:p w:rsidR="008B1376" w:rsidP="1892D1BE" w14:paraId="0B8DF4E0" w14:textId="77777777">
      <w:pPr>
        <w:pStyle w:val="Normal2"/>
        <w:rPr>
          <w:b/>
          <w:bCs/>
          <w:sz w:val="24"/>
          <w:szCs w:val="24"/>
        </w:rPr>
      </w:pPr>
    </w:p>
    <w:p w:rsidR="00C671BE" w:rsidP="1892D1BE" w14:paraId="54F3DD43" w14:textId="77777777">
      <w:pPr>
        <w:pStyle w:val="Normal2"/>
        <w:rPr>
          <w:b/>
          <w:bCs/>
          <w:sz w:val="24"/>
          <w:szCs w:val="24"/>
        </w:rPr>
      </w:pPr>
      <w:bookmarkStart w:id="1" w:name="_heading=h.gjdgxs"/>
      <w:bookmarkStart w:id="2" w:name="_heading=h.l14owpsge8bf"/>
      <w:bookmarkEnd w:id="1"/>
      <w:bookmarkEnd w:id="2"/>
      <w:r w:rsidRPr="1892D1BE">
        <w:rPr>
          <w:b/>
          <w:bCs/>
          <w:sz w:val="24"/>
          <w:szCs w:val="24"/>
        </w:rPr>
        <w:t xml:space="preserve">Contact: Laura Seeff, MD </w:t>
      </w:r>
    </w:p>
    <w:p w:rsidR="00C671BE" w:rsidP="1892D1BE" w14:paraId="2A7C4768" w14:textId="77777777">
      <w:pPr>
        <w:pStyle w:val="Normal2"/>
        <w:rPr>
          <w:sz w:val="24"/>
          <w:szCs w:val="24"/>
        </w:rPr>
      </w:pPr>
      <w:r w:rsidRPr="1892D1BE">
        <w:rPr>
          <w:sz w:val="24"/>
          <w:szCs w:val="24"/>
        </w:rPr>
        <w:t>Senior Medical Advisor</w:t>
      </w:r>
    </w:p>
    <w:p w:rsidR="00C671BE" w:rsidP="1892D1BE" w14:paraId="7CCC221E" w14:textId="77777777">
      <w:pPr>
        <w:pStyle w:val="Normal2"/>
        <w:rPr>
          <w:sz w:val="24"/>
          <w:szCs w:val="24"/>
        </w:rPr>
      </w:pPr>
      <w:r w:rsidRPr="1892D1BE">
        <w:rPr>
          <w:sz w:val="24"/>
          <w:szCs w:val="24"/>
        </w:rPr>
        <w:t>Office of the Director</w:t>
      </w:r>
    </w:p>
    <w:p w:rsidR="00C671BE" w:rsidP="1892D1BE" w14:paraId="3E45C1B9" w14:textId="77777777">
      <w:pPr>
        <w:pStyle w:val="Normal2"/>
        <w:rPr>
          <w:sz w:val="24"/>
          <w:szCs w:val="24"/>
        </w:rPr>
      </w:pPr>
      <w:r w:rsidRPr="1892D1BE">
        <w:rPr>
          <w:sz w:val="24"/>
          <w:szCs w:val="24"/>
        </w:rPr>
        <w:t>National Center for Environmental Health | Agency for Toxic Substances and Disease Registry</w:t>
      </w:r>
    </w:p>
    <w:p w:rsidR="00C671BE" w:rsidP="1892D1BE" w14:paraId="1525B48B" w14:textId="77777777">
      <w:pPr>
        <w:pStyle w:val="Normal2"/>
        <w:rPr>
          <w:sz w:val="24"/>
          <w:szCs w:val="24"/>
        </w:rPr>
      </w:pPr>
      <w:r w:rsidRPr="1892D1BE">
        <w:rPr>
          <w:sz w:val="24"/>
          <w:szCs w:val="24"/>
        </w:rPr>
        <w:t>Centers for Disease Control and Prevention (CDC)</w:t>
      </w:r>
    </w:p>
    <w:p w:rsidR="00C671BE" w:rsidP="1892D1BE" w14:paraId="628C0645" w14:textId="77777777">
      <w:pPr>
        <w:pStyle w:val="Normal2"/>
        <w:rPr>
          <w:sz w:val="24"/>
          <w:szCs w:val="24"/>
        </w:rPr>
      </w:pPr>
      <w:r w:rsidRPr="1892D1BE">
        <w:rPr>
          <w:sz w:val="24"/>
          <w:szCs w:val="24"/>
        </w:rPr>
        <w:t>4770 Buford Hwy NE, MS S106</w:t>
      </w:r>
    </w:p>
    <w:p w:rsidR="00C671BE" w:rsidP="1892D1BE" w14:paraId="30D973BD" w14:textId="77777777">
      <w:pPr>
        <w:pStyle w:val="Normal2"/>
        <w:rPr>
          <w:sz w:val="24"/>
          <w:szCs w:val="24"/>
        </w:rPr>
      </w:pPr>
      <w:r w:rsidRPr="1892D1BE">
        <w:rPr>
          <w:sz w:val="24"/>
          <w:szCs w:val="24"/>
        </w:rPr>
        <w:t>Atlanta, Georgia 30341</w:t>
      </w:r>
    </w:p>
    <w:p w:rsidR="00C671BE" w:rsidP="1892D1BE" w14:paraId="2139D801" w14:textId="77777777">
      <w:pPr>
        <w:pStyle w:val="Normal2"/>
        <w:rPr>
          <w:sz w:val="24"/>
          <w:szCs w:val="24"/>
        </w:rPr>
      </w:pPr>
      <w:r w:rsidRPr="1892D1BE">
        <w:rPr>
          <w:sz w:val="24"/>
          <w:szCs w:val="24"/>
        </w:rPr>
        <w:t>Phone: 404-452-1902</w:t>
      </w:r>
    </w:p>
    <w:p w:rsidR="00C671BE" w:rsidP="1892D1BE" w14:paraId="432056A2" w14:textId="77777777">
      <w:pPr>
        <w:pStyle w:val="Normal2"/>
        <w:rPr>
          <w:b/>
          <w:bCs/>
          <w:sz w:val="24"/>
          <w:szCs w:val="24"/>
        </w:rPr>
      </w:pPr>
      <w:r w:rsidRPr="1892D1BE">
        <w:rPr>
          <w:sz w:val="24"/>
          <w:szCs w:val="24"/>
        </w:rPr>
        <w:t>Email: lseeff@cdc.gov</w:t>
      </w:r>
    </w:p>
    <w:p w:rsidR="008B1376" w:rsidP="1892D1BE" w14:paraId="062106B7" w14:textId="7454FF33">
      <w:pPr>
        <w:pStyle w:val="Normal2"/>
        <w:spacing w:line="276" w:lineRule="auto"/>
        <w:jc w:val="center"/>
        <w:rPr>
          <w:sz w:val="24"/>
          <w:szCs w:val="24"/>
        </w:rPr>
      </w:pPr>
    </w:p>
    <w:p w:rsidR="00414ACF" w:rsidP="1892D1BE" w14:paraId="7BCF3226" w14:textId="77777777">
      <w:pPr>
        <w:pStyle w:val="Normal2"/>
        <w:spacing w:line="276" w:lineRule="auto"/>
        <w:jc w:val="center"/>
        <w:rPr>
          <w:sz w:val="24"/>
          <w:szCs w:val="24"/>
        </w:rPr>
      </w:pPr>
    </w:p>
    <w:p w:rsidR="00CD498A" w:rsidP="1892D1BE" w14:paraId="5662703D" w14:textId="482223EE">
      <w:pPr>
        <w:pStyle w:val="Normal2"/>
        <w:spacing w:line="276" w:lineRule="auto"/>
        <w:jc w:val="center"/>
        <w:rPr>
          <w:sz w:val="24"/>
          <w:szCs w:val="24"/>
        </w:rPr>
      </w:pPr>
    </w:p>
    <w:p w:rsidR="00DF67BF" w:rsidP="1892D1BE" w14:paraId="2895968A" w14:textId="77777777">
      <w:pPr>
        <w:pStyle w:val="Normal2"/>
        <w:spacing w:line="276" w:lineRule="auto"/>
        <w:jc w:val="center"/>
        <w:rPr>
          <w:b/>
          <w:bCs/>
          <w:smallCaps/>
          <w:sz w:val="24"/>
          <w:szCs w:val="24"/>
        </w:rPr>
      </w:pPr>
      <w:bookmarkStart w:id="3" w:name="_Toc162967731"/>
    </w:p>
    <w:p w:rsidR="00FE7049" w14:paraId="2B01B3DF" w14:textId="77777777">
      <w:pPr>
        <w:rPr>
          <w:b/>
          <w:bCs/>
          <w:smallCaps/>
          <w:sz w:val="24"/>
          <w:szCs w:val="24"/>
        </w:rPr>
      </w:pPr>
      <w:r>
        <w:rPr>
          <w:b/>
          <w:bCs/>
          <w:smallCaps/>
          <w:sz w:val="24"/>
          <w:szCs w:val="24"/>
        </w:rPr>
        <w:br w:type="page"/>
      </w:r>
    </w:p>
    <w:p w:rsidR="00EC2E1A" w:rsidP="1892D1BE" w14:paraId="373C067C" w14:textId="07A04848">
      <w:pPr>
        <w:pStyle w:val="Normal2"/>
        <w:spacing w:line="276" w:lineRule="auto"/>
        <w:jc w:val="center"/>
        <w:rPr>
          <w:b/>
          <w:bCs/>
          <w:smallCaps/>
          <w:sz w:val="24"/>
          <w:szCs w:val="24"/>
        </w:rPr>
      </w:pPr>
      <w:r w:rsidRPr="1892D1BE">
        <w:rPr>
          <w:b/>
          <w:bCs/>
          <w:smallCaps/>
          <w:sz w:val="24"/>
          <w:szCs w:val="24"/>
        </w:rPr>
        <w:t>TABLE OF CONTENTS</w:t>
      </w:r>
    </w:p>
    <w:sdt>
      <w:sdtPr>
        <w:rPr>
          <w:rFonts w:ascii="Times New Roman" w:eastAsia="Times New Roman" w:hAnsi="Times New Roman" w:cs="Times New Roman"/>
          <w:b w:val="0"/>
          <w:bCs w:val="0"/>
          <w:color w:val="auto"/>
          <w:sz w:val="22"/>
          <w:szCs w:val="22"/>
        </w:rPr>
        <w:id w:val="1378359705"/>
        <w:docPartObj>
          <w:docPartGallery w:val="Table of Contents"/>
          <w:docPartUnique/>
        </w:docPartObj>
      </w:sdtPr>
      <w:sdtEndPr>
        <w:rPr>
          <w:noProof/>
        </w:rPr>
      </w:sdtEndPr>
      <w:sdtContent>
        <w:p w:rsidR="00843830" w:rsidRPr="00843830" w14:paraId="1796AABC" w14:textId="070B408B">
          <w:pPr>
            <w:pStyle w:val="TOCHeading"/>
            <w:rPr>
              <w:rFonts w:ascii="Times New Roman" w:hAnsi="Times New Roman" w:cs="Times New Roman"/>
            </w:rPr>
          </w:pPr>
        </w:p>
        <w:p w:rsidR="00843830" w:rsidRPr="00843830" w14:paraId="2E95813F" w14:textId="4237DFF4">
          <w:pPr>
            <w:pStyle w:val="TOC1"/>
            <w:tabs>
              <w:tab w:val="right" w:leader="dot" w:pos="9350"/>
            </w:tabs>
            <w:rPr>
              <w:rFonts w:ascii="Times New Roman" w:hAnsi="Times New Roman" w:eastAsiaTheme="minorEastAsia" w:cs="Times New Roman"/>
              <w:b w:val="0"/>
              <w:bCs w:val="0"/>
              <w:caps w:val="0"/>
              <w:noProof/>
              <w:kern w:val="2"/>
              <w:sz w:val="24"/>
              <w:szCs w:val="24"/>
              <w14:ligatures w14:val="standardContextual"/>
            </w:rPr>
          </w:pPr>
          <w:r w:rsidRPr="00843830">
            <w:rPr>
              <w:rFonts w:ascii="Times New Roman" w:hAnsi="Times New Roman" w:cs="Times New Roman"/>
              <w:sz w:val="24"/>
              <w:szCs w:val="24"/>
            </w:rPr>
            <w:fldChar w:fldCharType="begin"/>
          </w:r>
          <w:r w:rsidRPr="00843830">
            <w:rPr>
              <w:rFonts w:ascii="Times New Roman" w:hAnsi="Times New Roman" w:cs="Times New Roman"/>
              <w:sz w:val="24"/>
              <w:szCs w:val="24"/>
            </w:rPr>
            <w:instrText xml:space="preserve"> TOC \o "1-3" \h \z \u </w:instrText>
          </w:r>
          <w:r w:rsidRPr="00843830">
            <w:rPr>
              <w:rFonts w:ascii="Times New Roman" w:hAnsi="Times New Roman" w:cs="Times New Roman"/>
              <w:sz w:val="24"/>
              <w:szCs w:val="24"/>
            </w:rPr>
            <w:fldChar w:fldCharType="separate"/>
          </w:r>
          <w:hyperlink w:anchor="_Toc182756717" w:history="1">
            <w:r w:rsidRPr="00843830">
              <w:rPr>
                <w:rStyle w:val="Hyperlink"/>
                <w:rFonts w:ascii="Times New Roman" w:hAnsi="Times New Roman" w:cs="Times New Roman"/>
                <w:noProof/>
                <w:sz w:val="24"/>
                <w:szCs w:val="24"/>
              </w:rPr>
              <w:t>A. Justification</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_Toc182756717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3</w:t>
            </w:r>
            <w:r w:rsidRPr="00843830">
              <w:rPr>
                <w:rFonts w:ascii="Times New Roman" w:hAnsi="Times New Roman" w:cs="Times New Roman"/>
                <w:noProof/>
                <w:webHidden/>
                <w:sz w:val="24"/>
                <w:szCs w:val="24"/>
              </w:rPr>
              <w:fldChar w:fldCharType="end"/>
            </w:r>
          </w:hyperlink>
        </w:p>
        <w:p w:rsidR="00843830" w:rsidRPr="00843830" w14:paraId="388C25EE" w14:textId="57BA92BA">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18" w:history="1">
            <w:r w:rsidRPr="00843830">
              <w:rPr>
                <w:rStyle w:val="Hyperlink"/>
                <w:rFonts w:ascii="Times New Roman" w:hAnsi="Times New Roman" w:cs="Times New Roman"/>
                <w:noProof/>
                <w:sz w:val="24"/>
                <w:szCs w:val="24"/>
              </w:rPr>
              <w:t>A.1</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Circumstances Making the Collection of Information Necessary</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_Toc182756718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3</w:t>
            </w:r>
            <w:r w:rsidRPr="00843830">
              <w:rPr>
                <w:rFonts w:ascii="Times New Roman" w:hAnsi="Times New Roman" w:cs="Times New Roman"/>
                <w:noProof/>
                <w:webHidden/>
                <w:sz w:val="24"/>
                <w:szCs w:val="24"/>
              </w:rPr>
              <w:fldChar w:fldCharType="end"/>
            </w:r>
          </w:hyperlink>
        </w:p>
        <w:p w:rsidR="00843830" w:rsidRPr="00843830" w14:paraId="7397DF58" w14:textId="11BF3973">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19" w:history="1">
            <w:r w:rsidRPr="00843830">
              <w:rPr>
                <w:rStyle w:val="Hyperlink"/>
                <w:rFonts w:ascii="Times New Roman" w:hAnsi="Times New Roman" w:cs="Times New Roman"/>
                <w:noProof/>
                <w:sz w:val="24"/>
                <w:szCs w:val="24"/>
              </w:rPr>
              <w:t>A.2</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Purpose and Use of the Information Collection</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_Toc182756719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4</w:t>
            </w:r>
            <w:r w:rsidRPr="00843830">
              <w:rPr>
                <w:rFonts w:ascii="Times New Roman" w:hAnsi="Times New Roman" w:cs="Times New Roman"/>
                <w:noProof/>
                <w:webHidden/>
                <w:sz w:val="24"/>
                <w:szCs w:val="24"/>
              </w:rPr>
              <w:fldChar w:fldCharType="end"/>
            </w:r>
          </w:hyperlink>
        </w:p>
        <w:p w:rsidR="00843830" w:rsidRPr="00843830" w14:paraId="2460228A" w14:textId="2A533E94">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0" w:history="1">
            <w:r w:rsidRPr="00843830">
              <w:rPr>
                <w:rStyle w:val="Hyperlink"/>
                <w:rFonts w:ascii="Times New Roman" w:hAnsi="Times New Roman" w:cs="Times New Roman"/>
                <w:noProof/>
                <w:sz w:val="24"/>
                <w:szCs w:val="24"/>
              </w:rPr>
              <w:t>A.3</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Use of Improved Information Technology and Burden Reduction</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_Toc182756720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6</w:t>
            </w:r>
            <w:r w:rsidRPr="00843830">
              <w:rPr>
                <w:rFonts w:ascii="Times New Roman" w:hAnsi="Times New Roman" w:cs="Times New Roman"/>
                <w:noProof/>
                <w:webHidden/>
                <w:sz w:val="24"/>
                <w:szCs w:val="24"/>
              </w:rPr>
              <w:fldChar w:fldCharType="end"/>
            </w:r>
          </w:hyperlink>
        </w:p>
        <w:p w:rsidR="00843830" w:rsidRPr="00843830" w14:paraId="1719CD72" w14:textId="7A42193A">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1" w:history="1">
            <w:r w:rsidRPr="00843830">
              <w:rPr>
                <w:rStyle w:val="Hyperlink"/>
                <w:rFonts w:ascii="Times New Roman" w:hAnsi="Times New Roman" w:cs="Times New Roman"/>
                <w:noProof/>
                <w:sz w:val="24"/>
                <w:szCs w:val="24"/>
              </w:rPr>
              <w:t>A.4</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Efforts to Identify Duplication and Use of Similar Information</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_Toc182756721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6</w:t>
            </w:r>
            <w:r w:rsidRPr="00843830">
              <w:rPr>
                <w:rFonts w:ascii="Times New Roman" w:hAnsi="Times New Roman" w:cs="Times New Roman"/>
                <w:noProof/>
                <w:webHidden/>
                <w:sz w:val="24"/>
                <w:szCs w:val="24"/>
              </w:rPr>
              <w:fldChar w:fldCharType="end"/>
            </w:r>
          </w:hyperlink>
        </w:p>
        <w:p w:rsidR="00843830" w:rsidRPr="00843830" w14:paraId="53EB4290" w14:textId="5D7B7401">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2" w:history="1">
            <w:r w:rsidRPr="00843830">
              <w:rPr>
                <w:rStyle w:val="Hyperlink"/>
                <w:rFonts w:ascii="Times New Roman" w:hAnsi="Times New Roman" w:cs="Times New Roman"/>
                <w:noProof/>
                <w:sz w:val="24"/>
                <w:szCs w:val="24"/>
              </w:rPr>
              <w:t>A.5</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Impact on Small Businesses or Other Small Entities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_Toc182756722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6</w:t>
            </w:r>
            <w:r w:rsidRPr="00843830">
              <w:rPr>
                <w:rFonts w:ascii="Times New Roman" w:hAnsi="Times New Roman" w:cs="Times New Roman"/>
                <w:noProof/>
                <w:webHidden/>
                <w:sz w:val="24"/>
                <w:szCs w:val="24"/>
              </w:rPr>
              <w:fldChar w:fldCharType="end"/>
            </w:r>
          </w:hyperlink>
        </w:p>
        <w:p w:rsidR="00843830" w:rsidRPr="00843830" w14:paraId="03657857" w14:textId="65FAFE3D">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3" w:history="1">
            <w:r w:rsidRPr="00843830">
              <w:rPr>
                <w:rStyle w:val="Hyperlink"/>
                <w:rFonts w:ascii="Times New Roman" w:hAnsi="Times New Roman" w:cs="Times New Roman"/>
                <w:noProof/>
                <w:sz w:val="24"/>
                <w:szCs w:val="24"/>
              </w:rPr>
              <w:t>A.6</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Consequences of Collecting the Information Less Frequently</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_Toc182756723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6</w:t>
            </w:r>
            <w:r w:rsidRPr="00843830">
              <w:rPr>
                <w:rFonts w:ascii="Times New Roman" w:hAnsi="Times New Roman" w:cs="Times New Roman"/>
                <w:noProof/>
                <w:webHidden/>
                <w:sz w:val="24"/>
                <w:szCs w:val="24"/>
              </w:rPr>
              <w:fldChar w:fldCharType="end"/>
            </w:r>
          </w:hyperlink>
        </w:p>
        <w:p w:rsidR="00843830" w:rsidRPr="00843830" w14:paraId="66C655E7" w14:textId="44929862">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4" w:history="1">
            <w:r w:rsidRPr="00843830">
              <w:rPr>
                <w:rStyle w:val="Hyperlink"/>
                <w:rFonts w:ascii="Times New Roman" w:hAnsi="Times New Roman" w:cs="Times New Roman"/>
                <w:noProof/>
                <w:sz w:val="24"/>
                <w:szCs w:val="24"/>
              </w:rPr>
              <w:t>A.7</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Special Circumstances Relating to the Guidelines of 5 CFR 1320.5</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_Toc182756724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6</w:t>
            </w:r>
            <w:r w:rsidRPr="00843830">
              <w:rPr>
                <w:rFonts w:ascii="Times New Roman" w:hAnsi="Times New Roman" w:cs="Times New Roman"/>
                <w:noProof/>
                <w:webHidden/>
                <w:sz w:val="24"/>
                <w:szCs w:val="24"/>
              </w:rPr>
              <w:fldChar w:fldCharType="end"/>
            </w:r>
          </w:hyperlink>
        </w:p>
        <w:p w:rsidR="00843830" w:rsidRPr="00843830" w14:paraId="61DA76E0" w14:textId="6E9D740B">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5" w:history="1">
            <w:r w:rsidRPr="00843830">
              <w:rPr>
                <w:rStyle w:val="Hyperlink"/>
                <w:rFonts w:ascii="Times New Roman" w:hAnsi="Times New Roman" w:cs="Times New Roman"/>
                <w:noProof/>
                <w:sz w:val="24"/>
                <w:szCs w:val="24"/>
              </w:rPr>
              <w:t>A.8</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Comments in Response to the Federal Register Notice and Efforts to Consult Outside the Agency</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_Toc182756725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7</w:t>
            </w:r>
            <w:r w:rsidRPr="00843830">
              <w:rPr>
                <w:rFonts w:ascii="Times New Roman" w:hAnsi="Times New Roman" w:cs="Times New Roman"/>
                <w:noProof/>
                <w:webHidden/>
                <w:sz w:val="24"/>
                <w:szCs w:val="24"/>
              </w:rPr>
              <w:fldChar w:fldCharType="end"/>
            </w:r>
          </w:hyperlink>
        </w:p>
        <w:p w:rsidR="00843830" w:rsidRPr="00843830" w14:paraId="150F682A" w14:textId="6449136F">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6" w:history="1">
            <w:r w:rsidRPr="00843830">
              <w:rPr>
                <w:rStyle w:val="Hyperlink"/>
                <w:rFonts w:ascii="Times New Roman" w:hAnsi="Times New Roman" w:cs="Times New Roman"/>
                <w:noProof/>
                <w:sz w:val="24"/>
                <w:szCs w:val="24"/>
              </w:rPr>
              <w:t>A.9</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Explanation of Any Payment or Gift to Respondents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_Toc182756726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7</w:t>
            </w:r>
            <w:r w:rsidRPr="00843830">
              <w:rPr>
                <w:rFonts w:ascii="Times New Roman" w:hAnsi="Times New Roman" w:cs="Times New Roman"/>
                <w:noProof/>
                <w:webHidden/>
                <w:sz w:val="24"/>
                <w:szCs w:val="24"/>
              </w:rPr>
              <w:fldChar w:fldCharType="end"/>
            </w:r>
          </w:hyperlink>
        </w:p>
        <w:p w:rsidR="00843830" w:rsidRPr="00843830" w14:paraId="0B1BBF3F" w14:textId="10EA14B4">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7" w:history="1">
            <w:r w:rsidRPr="00843830">
              <w:rPr>
                <w:rStyle w:val="Hyperlink"/>
                <w:rFonts w:ascii="Times New Roman" w:hAnsi="Times New Roman" w:cs="Times New Roman"/>
                <w:noProof/>
                <w:sz w:val="24"/>
                <w:szCs w:val="24"/>
              </w:rPr>
              <w:t>A.10</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Assurance of Privacy Provided to Respondents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_Toc182756727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7</w:t>
            </w:r>
            <w:r w:rsidRPr="00843830">
              <w:rPr>
                <w:rFonts w:ascii="Times New Roman" w:hAnsi="Times New Roman" w:cs="Times New Roman"/>
                <w:noProof/>
                <w:webHidden/>
                <w:sz w:val="24"/>
                <w:szCs w:val="24"/>
              </w:rPr>
              <w:fldChar w:fldCharType="end"/>
            </w:r>
          </w:hyperlink>
        </w:p>
        <w:p w:rsidR="00843830" w:rsidRPr="00843830" w14:paraId="428478E7" w14:textId="2944FD6F">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8" w:history="1">
            <w:r w:rsidRPr="00843830">
              <w:rPr>
                <w:rStyle w:val="Hyperlink"/>
                <w:rFonts w:ascii="Times New Roman" w:hAnsi="Times New Roman" w:cs="Times New Roman"/>
                <w:noProof/>
                <w:sz w:val="24"/>
                <w:szCs w:val="24"/>
              </w:rPr>
              <w:t>A.11</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Institutional Review Board (IRB) and Justification for Sensitive Questions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_Toc182756728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8</w:t>
            </w:r>
            <w:r w:rsidRPr="00843830">
              <w:rPr>
                <w:rFonts w:ascii="Times New Roman" w:hAnsi="Times New Roman" w:cs="Times New Roman"/>
                <w:noProof/>
                <w:webHidden/>
                <w:sz w:val="24"/>
                <w:szCs w:val="24"/>
              </w:rPr>
              <w:fldChar w:fldCharType="end"/>
            </w:r>
          </w:hyperlink>
        </w:p>
        <w:p w:rsidR="00843830" w:rsidRPr="00843830" w14:paraId="6F1F056A" w14:textId="5872E47B">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29" w:history="1">
            <w:r w:rsidRPr="00843830">
              <w:rPr>
                <w:rStyle w:val="Hyperlink"/>
                <w:rFonts w:ascii="Times New Roman" w:hAnsi="Times New Roman" w:cs="Times New Roman"/>
                <w:noProof/>
                <w:sz w:val="24"/>
                <w:szCs w:val="24"/>
              </w:rPr>
              <w:t>A.13</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Estimates of Other Total Annual Cost Burden to Respondents and Record Keepers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_Toc182756729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10</w:t>
            </w:r>
            <w:r w:rsidRPr="00843830">
              <w:rPr>
                <w:rFonts w:ascii="Times New Roman" w:hAnsi="Times New Roman" w:cs="Times New Roman"/>
                <w:noProof/>
                <w:webHidden/>
                <w:sz w:val="24"/>
                <w:szCs w:val="24"/>
              </w:rPr>
              <w:fldChar w:fldCharType="end"/>
            </w:r>
          </w:hyperlink>
        </w:p>
        <w:p w:rsidR="00843830" w:rsidRPr="00843830" w14:paraId="141FA900" w14:textId="6BFB7505">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0" w:history="1">
            <w:r w:rsidRPr="00843830">
              <w:rPr>
                <w:rStyle w:val="Hyperlink"/>
                <w:rFonts w:ascii="Times New Roman" w:hAnsi="Times New Roman" w:cs="Times New Roman"/>
                <w:noProof/>
                <w:sz w:val="24"/>
                <w:szCs w:val="24"/>
              </w:rPr>
              <w:t>A.14</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Annualized Cost to the Federal Government</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_Toc182756730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10</w:t>
            </w:r>
            <w:r w:rsidRPr="00843830">
              <w:rPr>
                <w:rFonts w:ascii="Times New Roman" w:hAnsi="Times New Roman" w:cs="Times New Roman"/>
                <w:noProof/>
                <w:webHidden/>
                <w:sz w:val="24"/>
                <w:szCs w:val="24"/>
              </w:rPr>
              <w:fldChar w:fldCharType="end"/>
            </w:r>
          </w:hyperlink>
        </w:p>
        <w:p w:rsidR="00843830" w:rsidRPr="00843830" w14:paraId="1DA31149" w14:textId="0D996034">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1" w:history="1">
            <w:r w:rsidRPr="00843830">
              <w:rPr>
                <w:rStyle w:val="Hyperlink"/>
                <w:rFonts w:ascii="Times New Roman" w:hAnsi="Times New Roman" w:cs="Times New Roman"/>
                <w:noProof/>
                <w:sz w:val="24"/>
                <w:szCs w:val="24"/>
              </w:rPr>
              <w:t>A.15</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Explanation for Program Changes or Adjustments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_Toc182756731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10</w:t>
            </w:r>
            <w:r w:rsidRPr="00843830">
              <w:rPr>
                <w:rFonts w:ascii="Times New Roman" w:hAnsi="Times New Roman" w:cs="Times New Roman"/>
                <w:noProof/>
                <w:webHidden/>
                <w:sz w:val="24"/>
                <w:szCs w:val="24"/>
              </w:rPr>
              <w:fldChar w:fldCharType="end"/>
            </w:r>
          </w:hyperlink>
        </w:p>
        <w:p w:rsidR="00843830" w:rsidRPr="00843830" w14:paraId="13DADE69" w14:textId="7F28014F">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2" w:history="1">
            <w:r w:rsidRPr="00843830">
              <w:rPr>
                <w:rStyle w:val="Hyperlink"/>
                <w:rFonts w:ascii="Times New Roman" w:hAnsi="Times New Roman" w:cs="Times New Roman"/>
                <w:noProof/>
                <w:sz w:val="24"/>
                <w:szCs w:val="24"/>
              </w:rPr>
              <w:t>A.16</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Plans for Tabulation and Publication and Project Time Schedule</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_Toc182756732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10</w:t>
            </w:r>
            <w:r w:rsidRPr="00843830">
              <w:rPr>
                <w:rFonts w:ascii="Times New Roman" w:hAnsi="Times New Roman" w:cs="Times New Roman"/>
                <w:noProof/>
                <w:webHidden/>
                <w:sz w:val="24"/>
                <w:szCs w:val="24"/>
              </w:rPr>
              <w:fldChar w:fldCharType="end"/>
            </w:r>
          </w:hyperlink>
        </w:p>
        <w:p w:rsidR="00843830" w:rsidRPr="00843830" w14:paraId="4E932129" w14:textId="2CACFC53">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3" w:history="1">
            <w:r w:rsidRPr="00843830">
              <w:rPr>
                <w:rStyle w:val="Hyperlink"/>
                <w:rFonts w:ascii="Times New Roman" w:hAnsi="Times New Roman" w:cs="Times New Roman"/>
                <w:noProof/>
                <w:sz w:val="24"/>
                <w:szCs w:val="24"/>
              </w:rPr>
              <w:t>A.17</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Reason(s) Display of OMB Expiration Date Is Inappropriate</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_Toc182756733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11</w:t>
            </w:r>
            <w:r w:rsidRPr="00843830">
              <w:rPr>
                <w:rFonts w:ascii="Times New Roman" w:hAnsi="Times New Roman" w:cs="Times New Roman"/>
                <w:noProof/>
                <w:webHidden/>
                <w:sz w:val="24"/>
                <w:szCs w:val="24"/>
              </w:rPr>
              <w:fldChar w:fldCharType="end"/>
            </w:r>
          </w:hyperlink>
        </w:p>
        <w:p w:rsidR="00843830" w:rsidRPr="00843830" w14:paraId="7D6BF284" w14:textId="7A4FAEA2">
          <w:pPr>
            <w:pStyle w:val="TOC2"/>
            <w:tabs>
              <w:tab w:val="left" w:pos="880"/>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4" w:history="1">
            <w:r w:rsidRPr="00843830">
              <w:rPr>
                <w:rStyle w:val="Hyperlink"/>
                <w:rFonts w:ascii="Times New Roman" w:hAnsi="Times New Roman" w:cs="Times New Roman"/>
                <w:noProof/>
                <w:sz w:val="24"/>
                <w:szCs w:val="24"/>
              </w:rPr>
              <w:t>A.18</w:t>
            </w:r>
            <w:r w:rsidRPr="00843830">
              <w:rPr>
                <w:rFonts w:ascii="Times New Roman" w:hAnsi="Times New Roman" w:eastAsiaTheme="minorEastAsia" w:cs="Times New Roman"/>
                <w:smallCaps w:val="0"/>
                <w:noProof/>
                <w:kern w:val="2"/>
                <w:sz w:val="24"/>
                <w:szCs w:val="24"/>
                <w14:ligatures w14:val="standardContextual"/>
              </w:rPr>
              <w:tab/>
            </w:r>
            <w:r w:rsidRPr="00843830">
              <w:rPr>
                <w:rStyle w:val="Hyperlink"/>
                <w:rFonts w:ascii="Times New Roman" w:hAnsi="Times New Roman" w:cs="Times New Roman"/>
                <w:noProof/>
                <w:sz w:val="24"/>
                <w:szCs w:val="24"/>
              </w:rPr>
              <w:t>Exceptions to Certification for Paperwork Reduction Act Submissions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_Toc182756734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11</w:t>
            </w:r>
            <w:r w:rsidRPr="00843830">
              <w:rPr>
                <w:rFonts w:ascii="Times New Roman" w:hAnsi="Times New Roman" w:cs="Times New Roman"/>
                <w:noProof/>
                <w:webHidden/>
                <w:sz w:val="24"/>
                <w:szCs w:val="24"/>
              </w:rPr>
              <w:fldChar w:fldCharType="end"/>
            </w:r>
          </w:hyperlink>
        </w:p>
        <w:p w:rsidR="00843830" w:rsidRPr="00843830" w14:paraId="31439CE1" w14:textId="5ED08C4D">
          <w:pPr>
            <w:pStyle w:val="TOC2"/>
            <w:tabs>
              <w:tab w:val="right" w:leader="dot" w:pos="9350"/>
            </w:tabs>
            <w:rPr>
              <w:rFonts w:ascii="Times New Roman" w:hAnsi="Times New Roman" w:eastAsiaTheme="minorEastAsia" w:cs="Times New Roman"/>
              <w:smallCaps w:val="0"/>
              <w:noProof/>
              <w:kern w:val="2"/>
              <w:sz w:val="24"/>
              <w:szCs w:val="24"/>
              <w14:ligatures w14:val="standardContextual"/>
            </w:rPr>
          </w:pPr>
          <w:hyperlink w:anchor="_Toc182756735" w:history="1">
            <w:r w:rsidRPr="00843830">
              <w:rPr>
                <w:rStyle w:val="Hyperlink"/>
                <w:rFonts w:ascii="Times New Roman" w:hAnsi="Times New Roman" w:cs="Times New Roman"/>
                <w:noProof/>
                <w:sz w:val="24"/>
                <w:szCs w:val="24"/>
              </w:rPr>
              <w:t>REFERENCES</w:t>
            </w:r>
            <w:r w:rsidRPr="00843830">
              <w:rPr>
                <w:rFonts w:ascii="Times New Roman" w:hAnsi="Times New Roman" w:cs="Times New Roman"/>
                <w:noProof/>
                <w:webHidden/>
                <w:sz w:val="24"/>
                <w:szCs w:val="24"/>
              </w:rPr>
              <w:tab/>
            </w:r>
            <w:r w:rsidRPr="00843830">
              <w:rPr>
                <w:rFonts w:ascii="Times New Roman" w:hAnsi="Times New Roman" w:cs="Times New Roman"/>
                <w:noProof/>
                <w:webHidden/>
                <w:sz w:val="24"/>
                <w:szCs w:val="24"/>
              </w:rPr>
              <w:fldChar w:fldCharType="begin"/>
            </w:r>
            <w:r w:rsidRPr="00843830">
              <w:rPr>
                <w:rFonts w:ascii="Times New Roman" w:hAnsi="Times New Roman" w:cs="Times New Roman"/>
                <w:noProof/>
                <w:webHidden/>
                <w:sz w:val="24"/>
                <w:szCs w:val="24"/>
              </w:rPr>
              <w:instrText xml:space="preserve"> PAGEREF _Toc182756735 \h </w:instrText>
            </w:r>
            <w:r w:rsidRPr="00843830">
              <w:rPr>
                <w:rFonts w:ascii="Times New Roman" w:hAnsi="Times New Roman" w:cs="Times New Roman"/>
                <w:noProof/>
                <w:webHidden/>
                <w:sz w:val="24"/>
                <w:szCs w:val="24"/>
              </w:rPr>
              <w:fldChar w:fldCharType="separate"/>
            </w:r>
            <w:r w:rsidRPr="00843830">
              <w:rPr>
                <w:rFonts w:ascii="Times New Roman" w:hAnsi="Times New Roman" w:cs="Times New Roman"/>
                <w:noProof/>
                <w:webHidden/>
                <w:sz w:val="24"/>
                <w:szCs w:val="24"/>
              </w:rPr>
              <w:t>12</w:t>
            </w:r>
            <w:r w:rsidRPr="00843830">
              <w:rPr>
                <w:rFonts w:ascii="Times New Roman" w:hAnsi="Times New Roman" w:cs="Times New Roman"/>
                <w:noProof/>
                <w:webHidden/>
                <w:sz w:val="24"/>
                <w:szCs w:val="24"/>
              </w:rPr>
              <w:fldChar w:fldCharType="end"/>
            </w:r>
          </w:hyperlink>
        </w:p>
        <w:p w:rsidR="00843830" w14:paraId="0A20BB67" w14:textId="01A36189">
          <w:r w:rsidRPr="00843830">
            <w:rPr>
              <w:b/>
              <w:bCs/>
              <w:noProof/>
              <w:sz w:val="24"/>
              <w:szCs w:val="24"/>
            </w:rPr>
            <w:fldChar w:fldCharType="end"/>
          </w:r>
        </w:p>
      </w:sdtContent>
    </w:sdt>
    <w:p w:rsidR="00EC2E1A" w:rsidP="1892D1BE" w14:paraId="4FC569D9" w14:textId="77777777">
      <w:pPr>
        <w:pStyle w:val="Normal2"/>
        <w:tabs>
          <w:tab w:val="right" w:pos="9360"/>
        </w:tabs>
        <w:spacing w:before="60" w:after="80"/>
        <w:rPr>
          <w:b/>
          <w:bCs/>
          <w:color w:val="000000"/>
          <w:sz w:val="24"/>
          <w:szCs w:val="24"/>
        </w:rPr>
      </w:pPr>
    </w:p>
    <w:p w:rsidR="00EC2E1A" w:rsidRPr="000A5BE9" w:rsidP="1892D1BE" w14:paraId="637A9ABF" w14:textId="336A8070">
      <w:pPr>
        <w:pStyle w:val="Normal2"/>
        <w:tabs>
          <w:tab w:val="right" w:pos="9360"/>
        </w:tabs>
        <w:spacing w:before="60" w:after="80"/>
        <w:rPr>
          <w:b/>
          <w:bCs/>
          <w:i/>
          <w:iCs/>
          <w:color w:val="000000"/>
          <w:sz w:val="24"/>
          <w:szCs w:val="24"/>
        </w:rPr>
      </w:pPr>
      <w:r w:rsidRPr="1892D1BE">
        <w:rPr>
          <w:b/>
          <w:bCs/>
          <w:color w:val="000000" w:themeColor="text1"/>
          <w:sz w:val="24"/>
          <w:szCs w:val="24"/>
        </w:rPr>
        <w:t>LIST OF ATTACHMENTS</w:t>
      </w:r>
    </w:p>
    <w:p w:rsidR="00EC2E1A" w:rsidP="1892D1BE" w14:paraId="718F8752" w14:textId="77777777">
      <w:pPr>
        <w:pStyle w:val="Normal2"/>
        <w:tabs>
          <w:tab w:val="right" w:pos="9360"/>
        </w:tabs>
        <w:rPr>
          <w:b/>
          <w:bCs/>
          <w:color w:val="000000"/>
          <w:sz w:val="24"/>
          <w:szCs w:val="24"/>
        </w:rPr>
      </w:pPr>
    </w:p>
    <w:p w:rsidR="00EC2E1A" w:rsidRPr="001545FC" w:rsidP="00A01143" w14:paraId="2A47513F" w14:textId="2D975706">
      <w:pPr>
        <w:pStyle w:val="Normal2"/>
        <w:numPr>
          <w:ilvl w:val="0"/>
          <w:numId w:val="4"/>
        </w:numPr>
        <w:tabs>
          <w:tab w:val="left" w:pos="2160"/>
        </w:tabs>
        <w:rPr>
          <w:b/>
          <w:bCs/>
          <w:sz w:val="24"/>
          <w:szCs w:val="24"/>
        </w:rPr>
      </w:pPr>
      <w:r w:rsidRPr="001545FC">
        <w:rPr>
          <w:b/>
          <w:bCs/>
          <w:sz w:val="24"/>
          <w:szCs w:val="24"/>
        </w:rPr>
        <w:t xml:space="preserve">Attachment 1: </w:t>
      </w:r>
      <w:r w:rsidRPr="001545FC">
        <w:rPr>
          <w:sz w:val="24"/>
          <w:szCs w:val="24"/>
        </w:rPr>
        <w:t>Survey Instrument</w:t>
      </w:r>
      <w:r w:rsidRPr="001545FC">
        <w:rPr>
          <w:b/>
          <w:bCs/>
          <w:sz w:val="24"/>
          <w:szCs w:val="24"/>
        </w:rPr>
        <w:t xml:space="preserve"> </w:t>
      </w:r>
    </w:p>
    <w:p w:rsidR="00EC2E1A" w:rsidRPr="001545FC" w:rsidP="00A01143" w14:paraId="0759FFA5" w14:textId="4D7C97EC">
      <w:pPr>
        <w:pStyle w:val="Normal2"/>
        <w:numPr>
          <w:ilvl w:val="0"/>
          <w:numId w:val="4"/>
        </w:numPr>
        <w:tabs>
          <w:tab w:val="left" w:pos="2160"/>
        </w:tabs>
        <w:rPr>
          <w:b/>
          <w:bCs/>
          <w:sz w:val="24"/>
          <w:szCs w:val="24"/>
        </w:rPr>
      </w:pPr>
      <w:r w:rsidRPr="001545FC">
        <w:rPr>
          <w:b/>
          <w:bCs/>
          <w:sz w:val="24"/>
          <w:szCs w:val="24"/>
        </w:rPr>
        <w:t xml:space="preserve">Attachment 2: </w:t>
      </w:r>
      <w:r w:rsidRPr="001545FC" w:rsidR="451EF339">
        <w:rPr>
          <w:sz w:val="24"/>
          <w:szCs w:val="24"/>
        </w:rPr>
        <w:t>Programmed Survey</w:t>
      </w:r>
      <w:r w:rsidRPr="001545FC">
        <w:rPr>
          <w:b/>
          <w:bCs/>
          <w:sz w:val="24"/>
          <w:szCs w:val="24"/>
        </w:rPr>
        <w:t xml:space="preserve"> </w:t>
      </w:r>
      <w:r w:rsidRPr="001545FC" w:rsidR="00374707">
        <w:rPr>
          <w:sz w:val="24"/>
          <w:szCs w:val="24"/>
        </w:rPr>
        <w:t>Flow</w:t>
      </w:r>
    </w:p>
    <w:p w:rsidR="00374707" w:rsidRPr="001545FC" w:rsidP="00A01143" w14:paraId="113A75B0" w14:textId="62FE272F">
      <w:pPr>
        <w:pStyle w:val="Normal2"/>
        <w:numPr>
          <w:ilvl w:val="0"/>
          <w:numId w:val="4"/>
        </w:numPr>
        <w:tabs>
          <w:tab w:val="left" w:pos="2160"/>
        </w:tabs>
        <w:rPr>
          <w:b/>
          <w:bCs/>
          <w:sz w:val="24"/>
          <w:szCs w:val="24"/>
        </w:rPr>
      </w:pPr>
      <w:r w:rsidRPr="001545FC">
        <w:rPr>
          <w:b/>
          <w:bCs/>
          <w:sz w:val="24"/>
          <w:szCs w:val="24"/>
        </w:rPr>
        <w:t xml:space="preserve">Attachment 3: </w:t>
      </w:r>
      <w:r w:rsidRPr="001545FC">
        <w:rPr>
          <w:sz w:val="24"/>
          <w:szCs w:val="24"/>
        </w:rPr>
        <w:t>Example of Programmed Survey</w:t>
      </w:r>
    </w:p>
    <w:p w:rsidR="00EC2E1A" w:rsidRPr="001545FC" w:rsidP="00A01143" w14:paraId="7E6523D1" w14:textId="523BFA97">
      <w:pPr>
        <w:pStyle w:val="Normal2"/>
        <w:numPr>
          <w:ilvl w:val="0"/>
          <w:numId w:val="4"/>
        </w:numPr>
        <w:tabs>
          <w:tab w:val="left" w:pos="2160"/>
        </w:tabs>
        <w:rPr>
          <w:b/>
          <w:bCs/>
          <w:sz w:val="24"/>
          <w:szCs w:val="24"/>
        </w:rPr>
      </w:pPr>
      <w:r w:rsidRPr="001545FC">
        <w:rPr>
          <w:b/>
          <w:bCs/>
          <w:sz w:val="24"/>
          <w:szCs w:val="24"/>
        </w:rPr>
        <w:t xml:space="preserve">Attachment </w:t>
      </w:r>
      <w:r w:rsidRPr="001545FC" w:rsidR="00374707">
        <w:rPr>
          <w:b/>
          <w:bCs/>
          <w:sz w:val="24"/>
          <w:szCs w:val="24"/>
        </w:rPr>
        <w:t>4</w:t>
      </w:r>
      <w:r w:rsidRPr="001545FC">
        <w:rPr>
          <w:b/>
          <w:bCs/>
          <w:sz w:val="24"/>
          <w:szCs w:val="24"/>
        </w:rPr>
        <w:t xml:space="preserve">: </w:t>
      </w:r>
      <w:r w:rsidRPr="001545FC">
        <w:rPr>
          <w:sz w:val="24"/>
          <w:szCs w:val="24"/>
        </w:rPr>
        <w:t xml:space="preserve">Recruitment </w:t>
      </w:r>
      <w:r w:rsidRPr="001545FC" w:rsidR="00A451D6">
        <w:rPr>
          <w:sz w:val="24"/>
          <w:szCs w:val="24"/>
        </w:rPr>
        <w:t>Email</w:t>
      </w:r>
      <w:r w:rsidRPr="001545FC" w:rsidR="00A451D6">
        <w:rPr>
          <w:b/>
          <w:bCs/>
          <w:sz w:val="24"/>
          <w:szCs w:val="24"/>
        </w:rPr>
        <w:t xml:space="preserve"> </w:t>
      </w:r>
    </w:p>
    <w:p w:rsidR="004D0CF2" w:rsidRPr="001545FC" w:rsidP="00A01143" w14:paraId="797F5FE9" w14:textId="62095070">
      <w:pPr>
        <w:pStyle w:val="Normal2"/>
        <w:numPr>
          <w:ilvl w:val="0"/>
          <w:numId w:val="4"/>
        </w:numPr>
        <w:tabs>
          <w:tab w:val="left" w:pos="2160"/>
        </w:tabs>
        <w:rPr>
          <w:b/>
          <w:bCs/>
          <w:sz w:val="24"/>
          <w:szCs w:val="24"/>
        </w:rPr>
      </w:pPr>
      <w:r w:rsidRPr="001545FC">
        <w:rPr>
          <w:b/>
          <w:bCs/>
          <w:sz w:val="24"/>
          <w:szCs w:val="24"/>
        </w:rPr>
        <w:t xml:space="preserve">Attachment </w:t>
      </w:r>
      <w:r w:rsidRPr="001545FC" w:rsidR="00374707">
        <w:rPr>
          <w:b/>
          <w:bCs/>
          <w:sz w:val="24"/>
          <w:szCs w:val="24"/>
        </w:rPr>
        <w:t>5</w:t>
      </w:r>
      <w:r w:rsidRPr="001545FC">
        <w:rPr>
          <w:b/>
          <w:bCs/>
          <w:sz w:val="24"/>
          <w:szCs w:val="24"/>
        </w:rPr>
        <w:t>:</w:t>
      </w:r>
      <w:r w:rsidRPr="001545FC" w:rsidR="00B079BC">
        <w:rPr>
          <w:b/>
          <w:bCs/>
          <w:sz w:val="24"/>
          <w:szCs w:val="24"/>
        </w:rPr>
        <w:t xml:space="preserve"> </w:t>
      </w:r>
      <w:r w:rsidRPr="001545FC" w:rsidR="00B079BC">
        <w:rPr>
          <w:sz w:val="24"/>
          <w:szCs w:val="24"/>
        </w:rPr>
        <w:t>Reminder Email</w:t>
      </w:r>
    </w:p>
    <w:p w:rsidR="004D0CF2" w:rsidRPr="001545FC" w:rsidP="00A01143" w14:paraId="08B4B0F8" w14:textId="1A5FD3DF">
      <w:pPr>
        <w:pStyle w:val="Normal2"/>
        <w:numPr>
          <w:ilvl w:val="0"/>
          <w:numId w:val="4"/>
        </w:numPr>
        <w:tabs>
          <w:tab w:val="left" w:pos="2160"/>
        </w:tabs>
        <w:rPr>
          <w:b/>
          <w:bCs/>
          <w:sz w:val="24"/>
          <w:szCs w:val="24"/>
        </w:rPr>
      </w:pPr>
      <w:r w:rsidRPr="001545FC">
        <w:rPr>
          <w:b/>
          <w:bCs/>
          <w:sz w:val="24"/>
          <w:szCs w:val="24"/>
        </w:rPr>
        <w:t xml:space="preserve">Attachment </w:t>
      </w:r>
      <w:r w:rsidRPr="001545FC" w:rsidR="00374707">
        <w:rPr>
          <w:b/>
          <w:bCs/>
          <w:sz w:val="24"/>
          <w:szCs w:val="24"/>
        </w:rPr>
        <w:t>6</w:t>
      </w:r>
      <w:r w:rsidRPr="001545FC">
        <w:rPr>
          <w:b/>
          <w:bCs/>
          <w:sz w:val="24"/>
          <w:szCs w:val="24"/>
        </w:rPr>
        <w:t>:</w:t>
      </w:r>
      <w:r w:rsidRPr="001545FC" w:rsidR="00B079BC">
        <w:rPr>
          <w:b/>
          <w:bCs/>
          <w:sz w:val="24"/>
          <w:szCs w:val="24"/>
        </w:rPr>
        <w:t xml:space="preserve"> </w:t>
      </w:r>
      <w:r w:rsidRPr="001545FC" w:rsidR="00B079BC">
        <w:rPr>
          <w:sz w:val="24"/>
          <w:szCs w:val="24"/>
        </w:rPr>
        <w:t>Final Reminder Email</w:t>
      </w:r>
    </w:p>
    <w:p w:rsidR="00737880" w:rsidRPr="001545FC" w:rsidP="00A01143" w14:paraId="05458566" w14:textId="694FDD2A">
      <w:pPr>
        <w:pStyle w:val="Normal2"/>
        <w:numPr>
          <w:ilvl w:val="0"/>
          <w:numId w:val="4"/>
        </w:numPr>
        <w:tabs>
          <w:tab w:val="left" w:pos="2160"/>
        </w:tabs>
        <w:rPr>
          <w:b/>
          <w:bCs/>
          <w:sz w:val="24"/>
          <w:szCs w:val="24"/>
        </w:rPr>
      </w:pPr>
      <w:r w:rsidRPr="001545FC">
        <w:rPr>
          <w:b/>
          <w:bCs/>
          <w:sz w:val="24"/>
          <w:szCs w:val="24"/>
        </w:rPr>
        <w:t>Attachment</w:t>
      </w:r>
      <w:r w:rsidRPr="001545FC">
        <w:rPr>
          <w:b/>
          <w:bCs/>
          <w:sz w:val="24"/>
          <w:szCs w:val="24"/>
        </w:rPr>
        <w:t xml:space="preserve"> </w:t>
      </w:r>
      <w:r w:rsidRPr="001545FC" w:rsidR="00374707">
        <w:rPr>
          <w:b/>
          <w:bCs/>
          <w:sz w:val="24"/>
          <w:szCs w:val="24"/>
        </w:rPr>
        <w:t>7</w:t>
      </w:r>
      <w:r w:rsidRPr="001545FC">
        <w:rPr>
          <w:b/>
          <w:bCs/>
          <w:sz w:val="24"/>
          <w:szCs w:val="24"/>
        </w:rPr>
        <w:t xml:space="preserve">: </w:t>
      </w:r>
      <w:r w:rsidRPr="001545FC">
        <w:rPr>
          <w:sz w:val="24"/>
          <w:szCs w:val="24"/>
        </w:rPr>
        <w:t>Recruitment Flyer</w:t>
      </w:r>
    </w:p>
    <w:p w:rsidR="00EC2E1A" w:rsidRPr="001545FC" w:rsidP="00A01143" w14:paraId="091BF234" w14:textId="37E47537">
      <w:pPr>
        <w:pStyle w:val="Normal2"/>
        <w:numPr>
          <w:ilvl w:val="0"/>
          <w:numId w:val="4"/>
        </w:numPr>
        <w:tabs>
          <w:tab w:val="left" w:pos="2160"/>
        </w:tabs>
        <w:rPr>
          <w:b/>
          <w:bCs/>
          <w:sz w:val="24"/>
          <w:szCs w:val="24"/>
        </w:rPr>
      </w:pPr>
      <w:r w:rsidRPr="001545FC">
        <w:rPr>
          <w:b/>
          <w:bCs/>
          <w:sz w:val="24"/>
          <w:szCs w:val="24"/>
        </w:rPr>
        <w:t xml:space="preserve">Attachment </w:t>
      </w:r>
      <w:r w:rsidRPr="001545FC" w:rsidR="00374707">
        <w:rPr>
          <w:b/>
          <w:bCs/>
          <w:sz w:val="24"/>
          <w:szCs w:val="24"/>
        </w:rPr>
        <w:t>8</w:t>
      </w:r>
      <w:r w:rsidRPr="001545FC">
        <w:rPr>
          <w:b/>
          <w:bCs/>
          <w:sz w:val="24"/>
          <w:szCs w:val="24"/>
        </w:rPr>
        <w:t xml:space="preserve">: </w:t>
      </w:r>
      <w:r w:rsidRPr="001545FC">
        <w:rPr>
          <w:sz w:val="24"/>
          <w:szCs w:val="24"/>
        </w:rPr>
        <w:t>Privacy Act Determination</w:t>
      </w:r>
      <w:r w:rsidRPr="001545FC">
        <w:rPr>
          <w:b/>
          <w:bCs/>
          <w:sz w:val="24"/>
          <w:szCs w:val="24"/>
        </w:rPr>
        <w:t xml:space="preserve"> </w:t>
      </w:r>
    </w:p>
    <w:p w:rsidR="001545FC" w:rsidRPr="001545FC" w:rsidP="001545FC" w14:paraId="0BA1E28C" w14:textId="77777777">
      <w:pPr>
        <w:pStyle w:val="Normal2"/>
        <w:numPr>
          <w:ilvl w:val="0"/>
          <w:numId w:val="4"/>
        </w:numPr>
        <w:tabs>
          <w:tab w:val="left" w:pos="2160"/>
        </w:tabs>
        <w:rPr>
          <w:b/>
          <w:bCs/>
          <w:sz w:val="24"/>
          <w:szCs w:val="24"/>
        </w:rPr>
      </w:pPr>
      <w:r w:rsidRPr="001545FC">
        <w:rPr>
          <w:b/>
          <w:bCs/>
          <w:sz w:val="24"/>
          <w:szCs w:val="24"/>
        </w:rPr>
        <w:t xml:space="preserve">Attachment </w:t>
      </w:r>
      <w:r w:rsidRPr="001545FC" w:rsidR="00374707">
        <w:rPr>
          <w:b/>
          <w:bCs/>
          <w:sz w:val="24"/>
          <w:szCs w:val="24"/>
        </w:rPr>
        <w:t>9</w:t>
      </w:r>
      <w:r w:rsidRPr="001545FC">
        <w:rPr>
          <w:b/>
          <w:bCs/>
          <w:sz w:val="24"/>
          <w:szCs w:val="24"/>
        </w:rPr>
        <w:t xml:space="preserve">: </w:t>
      </w:r>
      <w:r w:rsidRPr="001545FC" w:rsidR="00EC2E1A">
        <w:rPr>
          <w:sz w:val="24"/>
          <w:szCs w:val="24"/>
        </w:rPr>
        <w:t>IRB Determination Letter</w:t>
      </w:r>
      <w:r w:rsidRPr="001545FC" w:rsidR="00EC2E1A">
        <w:rPr>
          <w:b/>
          <w:bCs/>
          <w:sz w:val="24"/>
          <w:szCs w:val="24"/>
        </w:rPr>
        <w:t xml:space="preserve"> </w:t>
      </w:r>
    </w:p>
    <w:p w:rsidR="001545FC" w:rsidRPr="001545FC" w:rsidP="001545FC" w14:paraId="4A9D0F94" w14:textId="77777777">
      <w:pPr>
        <w:pStyle w:val="Normal2"/>
        <w:numPr>
          <w:ilvl w:val="0"/>
          <w:numId w:val="4"/>
        </w:numPr>
        <w:tabs>
          <w:tab w:val="left" w:pos="2160"/>
        </w:tabs>
        <w:rPr>
          <w:rStyle w:val="eop"/>
          <w:b/>
          <w:bCs/>
          <w:sz w:val="24"/>
          <w:szCs w:val="24"/>
        </w:rPr>
      </w:pPr>
      <w:r w:rsidRPr="001545FC">
        <w:rPr>
          <w:rStyle w:val="normaltextrun"/>
          <w:b/>
          <w:bCs/>
          <w:sz w:val="24"/>
          <w:szCs w:val="24"/>
        </w:rPr>
        <w:t xml:space="preserve">Attachment 10: </w:t>
      </w:r>
      <w:r w:rsidRPr="001545FC">
        <w:rPr>
          <w:rStyle w:val="normaltextrun"/>
          <w:sz w:val="24"/>
          <w:szCs w:val="24"/>
        </w:rPr>
        <w:t>Worksheet – physician users</w:t>
      </w:r>
      <w:r w:rsidRPr="001545FC">
        <w:rPr>
          <w:rStyle w:val="eop"/>
          <w:sz w:val="24"/>
          <w:szCs w:val="24"/>
        </w:rPr>
        <w:t> </w:t>
      </w:r>
    </w:p>
    <w:p w:rsidR="001545FC" w:rsidRPr="001545FC" w:rsidP="001545FC" w14:paraId="652415F6" w14:textId="77777777">
      <w:pPr>
        <w:pStyle w:val="Normal2"/>
        <w:numPr>
          <w:ilvl w:val="0"/>
          <w:numId w:val="4"/>
        </w:numPr>
        <w:tabs>
          <w:tab w:val="left" w:pos="2160"/>
        </w:tabs>
        <w:rPr>
          <w:rStyle w:val="eop"/>
          <w:b/>
          <w:bCs/>
          <w:sz w:val="24"/>
          <w:szCs w:val="24"/>
        </w:rPr>
      </w:pPr>
      <w:r w:rsidRPr="001545FC">
        <w:rPr>
          <w:rStyle w:val="normaltextrun"/>
          <w:b/>
          <w:bCs/>
          <w:sz w:val="24"/>
          <w:szCs w:val="24"/>
        </w:rPr>
        <w:t xml:space="preserve">Attachment 11: </w:t>
      </w:r>
      <w:r w:rsidRPr="001545FC">
        <w:rPr>
          <w:rStyle w:val="normaltextrun"/>
          <w:sz w:val="24"/>
          <w:szCs w:val="24"/>
        </w:rPr>
        <w:t>Worksheet – non-physician users</w:t>
      </w:r>
      <w:r w:rsidRPr="001545FC">
        <w:rPr>
          <w:rStyle w:val="eop"/>
          <w:sz w:val="24"/>
          <w:szCs w:val="24"/>
        </w:rPr>
        <w:t> </w:t>
      </w:r>
    </w:p>
    <w:p w:rsidR="001545FC" w:rsidRPr="001545FC" w:rsidP="001545FC" w14:paraId="1347CAAE" w14:textId="45C29132">
      <w:pPr>
        <w:pStyle w:val="Normal2"/>
        <w:numPr>
          <w:ilvl w:val="0"/>
          <w:numId w:val="4"/>
        </w:numPr>
        <w:tabs>
          <w:tab w:val="left" w:pos="2160"/>
        </w:tabs>
        <w:rPr>
          <w:b/>
          <w:bCs/>
          <w:sz w:val="24"/>
          <w:szCs w:val="24"/>
        </w:rPr>
      </w:pPr>
      <w:r w:rsidRPr="001545FC">
        <w:rPr>
          <w:rStyle w:val="normaltextrun"/>
          <w:b/>
          <w:bCs/>
          <w:sz w:val="24"/>
          <w:szCs w:val="24"/>
        </w:rPr>
        <w:t xml:space="preserve">Attachment 12: </w:t>
      </w:r>
      <w:r w:rsidRPr="001545FC">
        <w:rPr>
          <w:rStyle w:val="normaltextrun"/>
          <w:sz w:val="24"/>
          <w:szCs w:val="24"/>
        </w:rPr>
        <w:t>DRAFT Spanish Language Survey Instrument</w:t>
      </w:r>
      <w:r w:rsidRPr="001545FC">
        <w:rPr>
          <w:rStyle w:val="eop"/>
          <w:sz w:val="24"/>
          <w:szCs w:val="24"/>
        </w:rPr>
        <w:t> </w:t>
      </w:r>
    </w:p>
    <w:p w:rsidR="001545FC" w:rsidP="00EC2E1A" w14:paraId="7A1CBD16" w14:textId="77777777">
      <w:pPr>
        <w:pStyle w:val="Normal2"/>
        <w:tabs>
          <w:tab w:val="left" w:pos="2160"/>
        </w:tabs>
        <w:spacing w:after="240" w:line="276" w:lineRule="auto"/>
        <w:ind w:left="360"/>
        <w:sectPr w:rsidSect="00EC2E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p>
    <w:p w:rsidR="00EC2E1A" w:rsidP="00380C4A" w14:paraId="3B8EEAEE" w14:textId="27C676F2">
      <w:pPr>
        <w:pStyle w:val="heading12"/>
        <w:spacing w:after="0" w:line="276" w:lineRule="auto"/>
        <w:jc w:val="left"/>
        <w:rPr>
          <w:sz w:val="24"/>
          <w:szCs w:val="24"/>
        </w:rPr>
      </w:pPr>
      <w:bookmarkStart w:id="4" w:name="_Toc182756717"/>
      <w:r w:rsidRPr="1892D1BE">
        <w:rPr>
          <w:sz w:val="24"/>
          <w:szCs w:val="24"/>
        </w:rPr>
        <w:t>A.</w:t>
      </w:r>
      <w:r w:rsidRPr="1892D1BE" w:rsidR="2EF4C01D">
        <w:rPr>
          <w:sz w:val="24"/>
          <w:szCs w:val="24"/>
        </w:rPr>
        <w:t xml:space="preserve"> </w:t>
      </w:r>
      <w:r w:rsidRPr="1892D1BE">
        <w:rPr>
          <w:sz w:val="24"/>
          <w:szCs w:val="24"/>
        </w:rPr>
        <w:t>Justification</w:t>
      </w:r>
      <w:bookmarkEnd w:id="4"/>
    </w:p>
    <w:p w:rsidR="00EC2E1A" w:rsidP="00380C4A" w14:paraId="74D782B3" w14:textId="77777777">
      <w:pPr>
        <w:pStyle w:val="heading22"/>
        <w:spacing w:before="0" w:after="0" w:line="276" w:lineRule="auto"/>
        <w:rPr>
          <w:sz w:val="24"/>
          <w:szCs w:val="24"/>
        </w:rPr>
      </w:pPr>
    </w:p>
    <w:p w:rsidR="00EC2E1A" w:rsidP="00380C4A" w14:paraId="3872FDBB" w14:textId="431E2285">
      <w:pPr>
        <w:pStyle w:val="heading22"/>
        <w:spacing w:before="0" w:after="0" w:line="276" w:lineRule="auto"/>
        <w:rPr>
          <w:sz w:val="24"/>
          <w:szCs w:val="24"/>
        </w:rPr>
      </w:pPr>
      <w:bookmarkStart w:id="5" w:name="_Toc182756718"/>
      <w:r w:rsidRPr="1892D1BE">
        <w:rPr>
          <w:sz w:val="24"/>
          <w:szCs w:val="24"/>
        </w:rPr>
        <w:t>A.1</w:t>
      </w:r>
      <w:r>
        <w:tab/>
      </w:r>
      <w:r w:rsidRPr="1892D1BE">
        <w:rPr>
          <w:sz w:val="24"/>
          <w:szCs w:val="24"/>
        </w:rPr>
        <w:t>Circumstances Making the Collection of Information Necessary</w:t>
      </w:r>
      <w:bookmarkEnd w:id="5"/>
      <w:r w:rsidRPr="1892D1BE">
        <w:rPr>
          <w:sz w:val="24"/>
          <w:szCs w:val="24"/>
        </w:rPr>
        <w:t xml:space="preserve"> </w:t>
      </w:r>
    </w:p>
    <w:p w:rsidR="00A2408E" w:rsidP="00380C4A" w14:paraId="214E756C" w14:textId="4BE2D434">
      <w:pPr>
        <w:rPr>
          <w:sz w:val="24"/>
          <w:szCs w:val="24"/>
        </w:rPr>
      </w:pPr>
      <w:r w:rsidRPr="1892D1BE">
        <w:rPr>
          <w:sz w:val="24"/>
          <w:szCs w:val="24"/>
        </w:rPr>
        <w:t xml:space="preserve">The Centers for Disease Control and Prevention’s (CDC) National Center for Environmental Health is requesting approval for a new </w:t>
      </w:r>
      <w:r w:rsidRPr="1892D1BE">
        <w:rPr>
          <w:sz w:val="24"/>
          <w:szCs w:val="24"/>
        </w:rPr>
        <w:t>GenIC</w:t>
      </w:r>
      <w:r w:rsidRPr="1892D1BE">
        <w:rPr>
          <w:sz w:val="24"/>
          <w:szCs w:val="24"/>
        </w:rPr>
        <w:t xml:space="preserve"> under OMB Control No. 0920-1154, entitled “Evaluating CDC’s Clinical Heat Guidance”, to evaluate the effectiveness of its heat guidance used by clinicians at nationwide</w:t>
      </w:r>
      <w:r w:rsidRPr="1892D1BE" w:rsidR="00E947BD">
        <w:rPr>
          <w:sz w:val="24"/>
          <w:szCs w:val="24"/>
        </w:rPr>
        <w:t xml:space="preserve"> health centers, also known as Community Health Centers (CHCs) or </w:t>
      </w:r>
      <w:r w:rsidRPr="1892D1BE">
        <w:rPr>
          <w:sz w:val="24"/>
          <w:szCs w:val="24"/>
        </w:rPr>
        <w:t xml:space="preserve">Federally Qualified Health Centers (FQHCs). </w:t>
      </w:r>
      <w:r w:rsidRPr="1892D1BE" w:rsidR="005540F5">
        <w:rPr>
          <w:sz w:val="24"/>
          <w:szCs w:val="24"/>
        </w:rPr>
        <w:t xml:space="preserve">Health </w:t>
      </w:r>
      <w:r w:rsidRPr="1892D1BE" w:rsidR="00C471B7">
        <w:rPr>
          <w:sz w:val="24"/>
          <w:szCs w:val="24"/>
        </w:rPr>
        <w:t>c</w:t>
      </w:r>
      <w:r w:rsidRPr="1892D1BE" w:rsidR="005540F5">
        <w:rPr>
          <w:sz w:val="24"/>
          <w:szCs w:val="24"/>
        </w:rPr>
        <w:t xml:space="preserve">enters (referred to in this document as CHCs) </w:t>
      </w:r>
      <w:r w:rsidRPr="1892D1BE" w:rsidR="00C471B7">
        <w:rPr>
          <w:sz w:val="24"/>
          <w:szCs w:val="24"/>
        </w:rPr>
        <w:t xml:space="preserve">are local clinics that provide affordable health care to </w:t>
      </w:r>
      <w:r w:rsidRPr="1892D1BE" w:rsidR="00037F7B">
        <w:rPr>
          <w:sz w:val="24"/>
          <w:szCs w:val="24"/>
        </w:rPr>
        <w:t xml:space="preserve">individuals and </w:t>
      </w:r>
      <w:r w:rsidRPr="1892D1BE" w:rsidR="00C471B7">
        <w:rPr>
          <w:sz w:val="24"/>
          <w:szCs w:val="24"/>
        </w:rPr>
        <w:t xml:space="preserve">communities, including medical, dental, mental health, and other health care. </w:t>
      </w:r>
      <w:r w:rsidRPr="1892D1BE">
        <w:rPr>
          <w:sz w:val="24"/>
          <w:szCs w:val="24"/>
        </w:rPr>
        <w:t xml:space="preserve">To improve customer service to </w:t>
      </w:r>
      <w:r w:rsidRPr="1892D1BE" w:rsidR="00037F7B">
        <w:rPr>
          <w:sz w:val="24"/>
          <w:szCs w:val="24"/>
        </w:rPr>
        <w:t>CHCs</w:t>
      </w:r>
      <w:r w:rsidRPr="1892D1BE">
        <w:rPr>
          <w:sz w:val="24"/>
          <w:szCs w:val="24"/>
        </w:rPr>
        <w:t xml:space="preserve">, CDC plans to obtain content and usability feedback on </w:t>
      </w:r>
      <w:r w:rsidRPr="1892D1BE" w:rsidR="00DF67BF">
        <w:rPr>
          <w:sz w:val="24"/>
          <w:szCs w:val="24"/>
        </w:rPr>
        <w:t xml:space="preserve">heat guidance </w:t>
      </w:r>
      <w:r w:rsidRPr="1892D1BE">
        <w:rPr>
          <w:sz w:val="24"/>
          <w:szCs w:val="24"/>
        </w:rPr>
        <w:t xml:space="preserve">materials used during the 2024 heat season to inform revisions and improvements to the materials for re-release in Spring 2025.  Evaluation of CDC’s first-ever clinical heat guidance is needed to ensure that the most effective, audience-informed messages are available to help clinicians </w:t>
      </w:r>
      <w:r w:rsidRPr="1892D1BE" w:rsidR="006467E1">
        <w:rPr>
          <w:sz w:val="24"/>
          <w:szCs w:val="24"/>
        </w:rPr>
        <w:t xml:space="preserve">and other health clinic staff </w:t>
      </w:r>
      <w:r w:rsidRPr="1892D1BE">
        <w:rPr>
          <w:sz w:val="24"/>
          <w:szCs w:val="24"/>
        </w:rPr>
        <w:t xml:space="preserve">reduce the impact of heat on the health of the </w:t>
      </w:r>
      <w:r w:rsidRPr="1892D1BE" w:rsidR="00037F7B">
        <w:rPr>
          <w:sz w:val="24"/>
          <w:szCs w:val="24"/>
        </w:rPr>
        <w:t>CHC</w:t>
      </w:r>
      <w:r w:rsidRPr="1892D1BE">
        <w:rPr>
          <w:sz w:val="24"/>
          <w:szCs w:val="24"/>
        </w:rPr>
        <w:t xml:space="preserve"> patient population and on the American public.</w:t>
      </w:r>
    </w:p>
    <w:p w:rsidR="00A2408E" w:rsidP="00380C4A" w14:paraId="645FB892" w14:textId="5C6E8E56">
      <w:pPr>
        <w:rPr>
          <w:sz w:val="24"/>
          <w:szCs w:val="24"/>
        </w:rPr>
      </w:pPr>
      <w:r w:rsidRPr="1892D1BE">
        <w:rPr>
          <w:sz w:val="24"/>
          <w:szCs w:val="24"/>
        </w:rPr>
        <w:t xml:space="preserve"> </w:t>
      </w:r>
    </w:p>
    <w:p w:rsidR="00A2408E" w:rsidP="00380C4A" w14:paraId="35DC49A2" w14:textId="4B6FC4B0">
      <w:pPr>
        <w:rPr>
          <w:sz w:val="24"/>
          <w:szCs w:val="24"/>
        </w:rPr>
      </w:pPr>
      <w:r w:rsidRPr="1892D1BE">
        <w:rPr>
          <w:sz w:val="24"/>
          <w:szCs w:val="24"/>
        </w:rPr>
        <w:t>Rising ambient temperatures have increasingly threatened the public’s health, especially during summer months. Summer 2024 was the hottest period ever recorded in the United State</w:t>
      </w:r>
      <w:r w:rsidR="00D20650">
        <w:rPr>
          <w:sz w:val="24"/>
          <w:szCs w:val="24"/>
        </w:rPr>
        <w:t>s</w:t>
      </w:r>
      <w:r w:rsidRPr="1892D1BE">
        <w:rPr>
          <w:sz w:val="24"/>
          <w:szCs w:val="24"/>
        </w:rPr>
        <w:t xml:space="preserve"> since temperatures began being measured in the 1880s (1). Each year, thousands of preventable deaths occur because of heat. Heat can harm anyone’s physical and mental health (2). However, certain populations are disproportionately affected by extreme heat (3), including older persons, children, pregnant women, people with chronic medical or behavioral health conditions, and those without adequate access to cooling resources.</w:t>
      </w:r>
    </w:p>
    <w:p w:rsidR="00A2408E" w:rsidP="00380C4A" w14:paraId="58C5AE7D" w14:textId="5A9DF523">
      <w:pPr>
        <w:rPr>
          <w:sz w:val="24"/>
          <w:szCs w:val="24"/>
        </w:rPr>
      </w:pPr>
      <w:r w:rsidRPr="1892D1BE">
        <w:rPr>
          <w:sz w:val="24"/>
          <w:szCs w:val="24"/>
        </w:rPr>
        <w:t xml:space="preserve"> </w:t>
      </w:r>
    </w:p>
    <w:p w:rsidR="00A2408E" w:rsidP="00380C4A" w14:paraId="41567566" w14:textId="7684A64C">
      <w:pPr>
        <w:rPr>
          <w:sz w:val="24"/>
          <w:szCs w:val="24"/>
        </w:rPr>
      </w:pPr>
      <w:r w:rsidRPr="1892D1BE">
        <w:rPr>
          <w:sz w:val="24"/>
          <w:szCs w:val="24"/>
        </w:rPr>
        <w:t>Heat contributes to a wide range of adverse health impacts, including worse pregnancy outcomes; greater need for emergency medical treatment; hospitalizations for cardiovascular and respiratory disease, asthma, kidney disease, and behavioral health issues; a higher prevalence of an array of infectious diseases; and injuries, including injuries at work (4). Where people live and what they do for a living can shape how much heat they are exposed to. Individuals living in "heat islands"—urban areas with limited greenspace and extensive pavement—may endure temperatures &gt;10 degrees Fahrenheit higher compared to surrounding areas. Extended time outdoors paired with high levels of physical exertion further amplifies risk, affecting outdoor workers (including farmworkers, construction workers, and military personnel), outdoor athletes, and those who are unhoused.  These risks also extend to rural communities, where outdoor work is prevalent and cooling resources may be scarcer.</w:t>
      </w:r>
    </w:p>
    <w:p w:rsidR="00A2408E" w:rsidP="00380C4A" w14:paraId="51E98425" w14:textId="7ACB4E95">
      <w:pPr>
        <w:rPr>
          <w:sz w:val="24"/>
          <w:szCs w:val="24"/>
        </w:rPr>
      </w:pPr>
      <w:r w:rsidRPr="1892D1BE">
        <w:rPr>
          <w:sz w:val="24"/>
          <w:szCs w:val="24"/>
        </w:rPr>
        <w:t xml:space="preserve"> </w:t>
      </w:r>
    </w:p>
    <w:p w:rsidR="00A2408E" w:rsidP="00380C4A" w14:paraId="3245928E" w14:textId="268B1468">
      <w:pPr>
        <w:rPr>
          <w:sz w:val="24"/>
          <w:szCs w:val="24"/>
        </w:rPr>
      </w:pPr>
      <w:r w:rsidRPr="1892D1BE">
        <w:rPr>
          <w:sz w:val="24"/>
          <w:szCs w:val="24"/>
        </w:rPr>
        <w:t xml:space="preserve">Public health heat resilience planning has not traditionally engaged the healthcare delivery system, a system well positioned to help protect those most at risk from heat because of age, underlying health, or social determinants of health. In addition, clear and simple guidance has not been widely available for clinicians, patients, and the </w:t>
      </w:r>
      <w:r w:rsidRPr="1892D1BE">
        <w:rPr>
          <w:sz w:val="24"/>
          <w:szCs w:val="24"/>
        </w:rPr>
        <w:t>general public</w:t>
      </w:r>
      <w:r w:rsidRPr="1892D1BE">
        <w:rPr>
          <w:sz w:val="24"/>
          <w:szCs w:val="24"/>
        </w:rPr>
        <w:t xml:space="preserve"> to enable planning ahead for heat protection </w:t>
      </w:r>
      <w:r w:rsidRPr="1892D1BE">
        <w:rPr>
          <w:i/>
          <w:iCs/>
          <w:sz w:val="24"/>
          <w:szCs w:val="24"/>
        </w:rPr>
        <w:t>before</w:t>
      </w:r>
      <w:r w:rsidRPr="1892D1BE">
        <w:rPr>
          <w:sz w:val="24"/>
          <w:szCs w:val="24"/>
        </w:rPr>
        <w:t xml:space="preserve"> the start of the heat season, with no clinical guidance materials previously available from US Health and Human Services.</w:t>
      </w:r>
    </w:p>
    <w:p w:rsidR="00A2408E" w:rsidP="00380C4A" w14:paraId="5083E91C" w14:textId="42FAD791">
      <w:pPr>
        <w:rPr>
          <w:sz w:val="24"/>
          <w:szCs w:val="24"/>
        </w:rPr>
      </w:pPr>
      <w:r w:rsidRPr="1892D1BE">
        <w:rPr>
          <w:sz w:val="24"/>
          <w:szCs w:val="24"/>
        </w:rPr>
        <w:t xml:space="preserve"> </w:t>
      </w:r>
    </w:p>
    <w:p w:rsidR="00A2408E" w:rsidP="00380C4A" w14:paraId="73B9FB74" w14:textId="27369025">
      <w:pPr>
        <w:rPr>
          <w:sz w:val="24"/>
          <w:szCs w:val="24"/>
        </w:rPr>
      </w:pPr>
      <w:r w:rsidRPr="1892D1BE">
        <w:rPr>
          <w:sz w:val="24"/>
          <w:szCs w:val="24"/>
        </w:rPr>
        <w:t xml:space="preserve">In response to this public health need, in April 2024, CDC released first-ever heat-related clinical guidance to help clinicians counsel patients on preventing health harms from heat for individuals at increased risk from heat, such as children with asthma, pregnant women, and adults with cardiovascular disease, and for the </w:t>
      </w:r>
      <w:r w:rsidRPr="1892D1BE">
        <w:rPr>
          <w:sz w:val="24"/>
          <w:szCs w:val="24"/>
        </w:rPr>
        <w:t>general public</w:t>
      </w:r>
      <w:r w:rsidRPr="1892D1BE">
        <w:rPr>
          <w:sz w:val="24"/>
          <w:szCs w:val="24"/>
        </w:rPr>
        <w:t xml:space="preserve">. This is a CDC Director’s Priority under the category of Readiness and Response. </w:t>
      </w:r>
    </w:p>
    <w:p w:rsidR="00A2408E" w:rsidP="00380C4A" w14:paraId="75AB5CFC" w14:textId="64E95A2E">
      <w:pPr>
        <w:rPr>
          <w:sz w:val="24"/>
          <w:szCs w:val="24"/>
        </w:rPr>
      </w:pPr>
      <w:r w:rsidRPr="1892D1BE">
        <w:rPr>
          <w:sz w:val="24"/>
          <w:szCs w:val="24"/>
        </w:rPr>
        <w:t xml:space="preserve">  </w:t>
      </w:r>
    </w:p>
    <w:p w:rsidR="00A2408E" w:rsidP="00380C4A" w14:paraId="70C6420C" w14:textId="0694DF63">
      <w:pPr>
        <w:rPr>
          <w:sz w:val="24"/>
          <w:szCs w:val="24"/>
        </w:rPr>
      </w:pPr>
      <w:r w:rsidRPr="1892D1BE">
        <w:rPr>
          <w:sz w:val="24"/>
          <w:szCs w:val="24"/>
        </w:rPr>
        <w:t xml:space="preserve">Three types of materials were created, including 1) background heat and health information for clinicians, 2) guidance materials for clinicians focused on populations at increased risk for health harms from heat, and 3) informational tools and heat action plans for patients and the </w:t>
      </w:r>
      <w:r w:rsidRPr="1892D1BE">
        <w:rPr>
          <w:sz w:val="24"/>
          <w:szCs w:val="24"/>
        </w:rPr>
        <w:t>general public</w:t>
      </w:r>
      <w:r w:rsidRPr="1892D1BE">
        <w:rPr>
          <w:sz w:val="24"/>
          <w:szCs w:val="24"/>
        </w:rPr>
        <w:t xml:space="preserve">. The intended audience for this guidance is clinicians practicing at </w:t>
      </w:r>
      <w:r w:rsidRPr="1892D1BE" w:rsidR="00C55217">
        <w:rPr>
          <w:sz w:val="24"/>
          <w:szCs w:val="24"/>
        </w:rPr>
        <w:t>CHCs</w:t>
      </w:r>
      <w:r w:rsidRPr="1892D1BE">
        <w:rPr>
          <w:sz w:val="24"/>
          <w:szCs w:val="24"/>
        </w:rPr>
        <w:t xml:space="preserve"> across the US, in partnership with their patients. Secondary audiences include non-clinician </w:t>
      </w:r>
      <w:r w:rsidRPr="1892D1BE" w:rsidR="00C55217">
        <w:rPr>
          <w:sz w:val="24"/>
          <w:szCs w:val="24"/>
        </w:rPr>
        <w:t>CHC</w:t>
      </w:r>
      <w:r w:rsidRPr="1892D1BE">
        <w:rPr>
          <w:sz w:val="24"/>
          <w:szCs w:val="24"/>
        </w:rPr>
        <w:t xml:space="preserve"> staff</w:t>
      </w:r>
      <w:r w:rsidRPr="1892D1BE" w:rsidR="00F262B1">
        <w:rPr>
          <w:sz w:val="24"/>
          <w:szCs w:val="24"/>
        </w:rPr>
        <w:t xml:space="preserve"> - </w:t>
      </w:r>
      <w:r w:rsidRPr="1892D1BE">
        <w:rPr>
          <w:sz w:val="24"/>
          <w:szCs w:val="24"/>
        </w:rPr>
        <w:t>such as community health workers (CHWs)</w:t>
      </w:r>
      <w:r w:rsidRPr="1892D1BE" w:rsidR="00F262B1">
        <w:rPr>
          <w:sz w:val="24"/>
          <w:szCs w:val="24"/>
        </w:rPr>
        <w:t>,</w:t>
      </w:r>
      <w:r w:rsidRPr="1892D1BE">
        <w:rPr>
          <w:sz w:val="24"/>
          <w:szCs w:val="24"/>
        </w:rPr>
        <w:t xml:space="preserve"> patient educators, </w:t>
      </w:r>
      <w:r w:rsidRPr="1892D1BE" w:rsidR="00F262B1">
        <w:rPr>
          <w:sz w:val="24"/>
          <w:szCs w:val="24"/>
        </w:rPr>
        <w:t>health and safety team members, patient navigators, and/or call center staff -</w:t>
      </w:r>
      <w:r w:rsidRPr="1892D1BE">
        <w:rPr>
          <w:sz w:val="24"/>
          <w:szCs w:val="24"/>
        </w:rPr>
        <w:t xml:space="preserve"> </w:t>
      </w:r>
      <w:r w:rsidR="004D56F1">
        <w:rPr>
          <w:sz w:val="24"/>
          <w:szCs w:val="24"/>
        </w:rPr>
        <w:t xml:space="preserve">who </w:t>
      </w:r>
      <w:r w:rsidRPr="1892D1BE">
        <w:rPr>
          <w:sz w:val="24"/>
          <w:szCs w:val="24"/>
        </w:rPr>
        <w:t xml:space="preserve">may also be sharing CDC’s clinical heat guidance with </w:t>
      </w:r>
      <w:r w:rsidRPr="1892D1BE" w:rsidR="00C55217">
        <w:rPr>
          <w:sz w:val="24"/>
          <w:szCs w:val="24"/>
        </w:rPr>
        <w:t>CHC</w:t>
      </w:r>
      <w:r w:rsidRPr="1892D1BE">
        <w:rPr>
          <w:sz w:val="24"/>
          <w:szCs w:val="24"/>
        </w:rPr>
        <w:t xml:space="preserve"> </w:t>
      </w:r>
      <w:r w:rsidRPr="00A01143">
        <w:rPr>
          <w:color w:val="000000" w:themeColor="text1"/>
          <w:sz w:val="24"/>
          <w:szCs w:val="24"/>
        </w:rPr>
        <w:t xml:space="preserve">patients. </w:t>
      </w:r>
      <w:bookmarkStart w:id="6" w:name="_Hlk182832042"/>
      <w:r w:rsidRPr="00A01143" w:rsidR="00374707">
        <w:rPr>
          <w:color w:val="000000" w:themeColor="text1"/>
          <w:sz w:val="24"/>
          <w:szCs w:val="24"/>
        </w:rPr>
        <w:t xml:space="preserve">This document uses the terms physician and clinician interchangeably </w:t>
      </w:r>
      <w:r w:rsidRPr="00A01143" w:rsidR="00D614B0">
        <w:rPr>
          <w:color w:val="000000" w:themeColor="text1"/>
          <w:sz w:val="24"/>
          <w:szCs w:val="24"/>
        </w:rPr>
        <w:t xml:space="preserve">when </w:t>
      </w:r>
      <w:r w:rsidRPr="00A01143" w:rsidR="00374707">
        <w:rPr>
          <w:color w:val="000000" w:themeColor="text1"/>
          <w:sz w:val="24"/>
          <w:szCs w:val="24"/>
        </w:rPr>
        <w:t xml:space="preserve">referring to </w:t>
      </w:r>
      <w:r w:rsidRPr="00A01143" w:rsidR="00D614B0">
        <w:rPr>
          <w:color w:val="000000" w:themeColor="text1"/>
          <w:sz w:val="24"/>
          <w:szCs w:val="24"/>
        </w:rPr>
        <w:t>medically trained and licensed individuals</w:t>
      </w:r>
      <w:r w:rsidRPr="00A01143" w:rsidR="00374707">
        <w:rPr>
          <w:color w:val="000000" w:themeColor="text1"/>
          <w:sz w:val="24"/>
          <w:szCs w:val="24"/>
        </w:rPr>
        <w:t xml:space="preserve"> who deliver medical care to patients</w:t>
      </w:r>
      <w:r w:rsidRPr="00A01143" w:rsidR="00A01143">
        <w:rPr>
          <w:color w:val="000000" w:themeColor="text1"/>
          <w:sz w:val="24"/>
          <w:szCs w:val="24"/>
        </w:rPr>
        <w:t xml:space="preserve"> and who may be counseling their patients on heat prevention</w:t>
      </w:r>
      <w:r w:rsidRPr="00A01143" w:rsidR="00374707">
        <w:rPr>
          <w:color w:val="000000" w:themeColor="text1"/>
          <w:sz w:val="24"/>
          <w:szCs w:val="24"/>
        </w:rPr>
        <w:t xml:space="preserve">. </w:t>
      </w:r>
      <w:bookmarkEnd w:id="6"/>
    </w:p>
    <w:p w:rsidR="00A2408E" w:rsidP="00380C4A" w14:paraId="2AFFBAAF" w14:textId="7C938B91">
      <w:pPr>
        <w:rPr>
          <w:sz w:val="24"/>
          <w:szCs w:val="24"/>
        </w:rPr>
      </w:pPr>
      <w:r w:rsidRPr="1892D1BE">
        <w:rPr>
          <w:sz w:val="24"/>
          <w:szCs w:val="24"/>
        </w:rPr>
        <w:t xml:space="preserve"> </w:t>
      </w:r>
    </w:p>
    <w:p w:rsidR="00A2408E" w:rsidP="00380C4A" w14:paraId="3D00772E" w14:textId="433DF05F">
      <w:pPr>
        <w:rPr>
          <w:sz w:val="24"/>
          <w:szCs w:val="24"/>
        </w:rPr>
      </w:pPr>
      <w:r w:rsidRPr="1892D1BE">
        <w:rPr>
          <w:sz w:val="24"/>
          <w:szCs w:val="24"/>
        </w:rPr>
        <w:t>Clinical guidance from CDC utilized in healthcare delivery settings is critical to ensuring effective and consistent care across the nation (5). Consensus from evidence-based research on what improves patient outcomes informs such guidance. When physicians adhere to clinical guidance, studies have shown improvements in patient outcomes (6). Further, combining use of guidance with other interventions is found to improve health outcomes most effectively for patients (7). By encouraging physician adherence to recommended guidance, variability in care across practitioners can be reduced, ensuring that patients will have consistent care across the nation (8).</w:t>
      </w:r>
    </w:p>
    <w:p w:rsidR="00EC2E1A" w:rsidP="00380C4A" w14:paraId="4F79FA16" w14:textId="51D39E56">
      <w:pPr>
        <w:pStyle w:val="heading22"/>
        <w:spacing w:before="0" w:after="0" w:line="257" w:lineRule="auto"/>
        <w:ind w:left="0" w:firstLine="0"/>
        <w:rPr>
          <w:sz w:val="24"/>
          <w:szCs w:val="24"/>
        </w:rPr>
      </w:pPr>
    </w:p>
    <w:p w:rsidR="00EC2E1A" w:rsidP="00380C4A" w14:paraId="5351F059" w14:textId="761F2A8B">
      <w:pPr>
        <w:pStyle w:val="heading22"/>
        <w:spacing w:before="0" w:after="0" w:line="276" w:lineRule="auto"/>
        <w:rPr>
          <w:sz w:val="24"/>
          <w:szCs w:val="24"/>
        </w:rPr>
      </w:pPr>
      <w:bookmarkStart w:id="7" w:name="_Toc182756719"/>
      <w:r w:rsidRPr="1892D1BE">
        <w:rPr>
          <w:sz w:val="24"/>
          <w:szCs w:val="24"/>
        </w:rPr>
        <w:t>A.2</w:t>
      </w:r>
      <w:r>
        <w:tab/>
      </w:r>
      <w:r w:rsidRPr="1892D1BE">
        <w:rPr>
          <w:sz w:val="24"/>
          <w:szCs w:val="24"/>
        </w:rPr>
        <w:t>Purpose and Use of the Information Collection</w:t>
      </w:r>
      <w:bookmarkEnd w:id="7"/>
      <w:r w:rsidRPr="1892D1BE">
        <w:rPr>
          <w:sz w:val="24"/>
          <w:szCs w:val="24"/>
        </w:rPr>
        <w:t xml:space="preserve"> </w:t>
      </w:r>
    </w:p>
    <w:p w:rsidR="25296B70" w:rsidP="00380C4A" w14:paraId="65BCF4BC" w14:textId="27C9DA0A">
      <w:pPr>
        <w:rPr>
          <w:sz w:val="24"/>
          <w:szCs w:val="24"/>
        </w:rPr>
      </w:pPr>
      <w:r w:rsidRPr="1E0170E9">
        <w:rPr>
          <w:sz w:val="24"/>
          <w:szCs w:val="24"/>
        </w:rPr>
        <w:t xml:space="preserve">CDC will collect data through a cooperative agreement recipient, the National Center for Farmworker Health (NCFH), who will be working in subcontract with the National Association of Community Health Centers (NACHC), via a survey administered to the universe of 1,496 CHCs. This includes all Health Center Program awardees and look-alikes funded through the Health Resources and Services Administration (HRSA). NCFH and NACHC will administer a 37-question CDC and NCFH-designed survey to clinicians and non-clinicians at CHCs for content and usability testing of CDC’s Clinical Heat Guidance. This evaluation will use qualitative and quantitative data collection methods to assess the design and use of CDC’s web-based heat guidance materials. Additionally, the survey will gather audience knowledge, attitudes, and beliefs (KABs), perceptions of campaign asset products, and clinic and clinician specialty characteristics. NCFH/CDC will deploy the electronic survey over a three-week period to capture responses about CDC’s heat and health guidance. </w:t>
      </w:r>
    </w:p>
    <w:p w:rsidR="003103EA" w:rsidP="00380C4A" w14:paraId="7155F61E" w14:textId="77777777">
      <w:pPr>
        <w:rPr>
          <w:sz w:val="24"/>
          <w:szCs w:val="24"/>
        </w:rPr>
      </w:pPr>
    </w:p>
    <w:p w:rsidR="001545FC" w:rsidRPr="001545FC" w:rsidP="00380C4A" w14:paraId="1131FEF3" w14:textId="7407AFC7">
      <w:pPr>
        <w:rPr>
          <w:sz w:val="24"/>
          <w:szCs w:val="24"/>
        </w:rPr>
      </w:pPr>
      <w:r w:rsidRPr="001545FC">
        <w:rPr>
          <w:rStyle w:val="normaltextrun"/>
          <w:color w:val="000000"/>
          <w:sz w:val="24"/>
          <w:szCs w:val="24"/>
          <w:shd w:val="clear" w:color="auto" w:fill="FFFFFF"/>
        </w:rPr>
        <w:t>The survey will be offered in both English and Spanish, with respondents selecting their preferred language i</w:t>
      </w:r>
      <w:r>
        <w:rPr>
          <w:rStyle w:val="normaltextrun"/>
          <w:color w:val="000000"/>
          <w:sz w:val="24"/>
          <w:szCs w:val="24"/>
          <w:shd w:val="clear" w:color="auto" w:fill="FFFFFF"/>
        </w:rPr>
        <w:t>n</w:t>
      </w:r>
      <w:r w:rsidRPr="001545FC">
        <w:rPr>
          <w:rStyle w:val="normaltextrun"/>
          <w:color w:val="000000"/>
          <w:sz w:val="24"/>
          <w:szCs w:val="24"/>
          <w:shd w:val="clear" w:color="auto" w:fill="FFFFFF"/>
        </w:rPr>
        <w:t xml:space="preserve"> which to complete the survey (</w:t>
      </w:r>
      <w:r w:rsidRPr="009D1D64">
        <w:rPr>
          <w:rStyle w:val="normaltextrun"/>
          <w:b/>
          <w:bCs/>
          <w:color w:val="000000"/>
          <w:sz w:val="24"/>
          <w:szCs w:val="24"/>
          <w:shd w:val="clear" w:color="auto" w:fill="FFFFFF"/>
        </w:rPr>
        <w:t>see Attachment 10, draft Spanish language survey instrument</w:t>
      </w:r>
      <w:r w:rsidRPr="001545FC">
        <w:rPr>
          <w:rStyle w:val="normaltextrun"/>
          <w:color w:val="000000"/>
          <w:sz w:val="24"/>
          <w:szCs w:val="24"/>
          <w:shd w:val="clear" w:color="auto" w:fill="FFFFFF"/>
        </w:rPr>
        <w:t xml:space="preserve">). </w:t>
      </w:r>
      <w:r>
        <w:rPr>
          <w:rStyle w:val="normaltextrun"/>
          <w:color w:val="000000"/>
          <w:sz w:val="24"/>
          <w:szCs w:val="24"/>
          <w:shd w:val="clear" w:color="auto" w:fill="FFFFFF"/>
        </w:rPr>
        <w:t>E</w:t>
      </w:r>
      <w:r w:rsidRPr="001545FC">
        <w:rPr>
          <w:rStyle w:val="normaltextrun"/>
          <w:color w:val="000000"/>
          <w:sz w:val="24"/>
          <w:szCs w:val="24"/>
          <w:shd w:val="clear" w:color="auto" w:fill="FFFFFF"/>
        </w:rPr>
        <w:t xml:space="preserve">stimates suggest that up to almost 80% of CHC health care providers, both clinicians and non-clinician providers, speak Spanish, and some conduct patient conversations entirely in Spanish (15). While CHC health care providers are proficient in </w:t>
      </w:r>
      <w:r w:rsidRPr="001545FC">
        <w:rPr>
          <w:rStyle w:val="normaltextrun"/>
          <w:color w:val="000000"/>
          <w:sz w:val="24"/>
          <w:szCs w:val="24"/>
          <w:shd w:val="clear" w:color="auto" w:fill="FFFFFF"/>
        </w:rPr>
        <w:t xml:space="preserve">English, some may prefer Spanish as their primary language in which to respond to the survey. </w:t>
      </w:r>
      <w:r w:rsidRPr="001545FC">
        <w:rPr>
          <w:rStyle w:val="normaltextrun"/>
          <w:color w:val="000000"/>
          <w:sz w:val="24"/>
          <w:szCs w:val="24"/>
          <w:shd w:val="clear" w:color="auto" w:fill="FFFFFF"/>
        </w:rPr>
        <w:t>In an effort to</w:t>
      </w:r>
      <w:r w:rsidRPr="001545FC">
        <w:rPr>
          <w:rStyle w:val="normaltextrun"/>
          <w:color w:val="000000"/>
          <w:sz w:val="24"/>
          <w:szCs w:val="24"/>
          <w:shd w:val="clear" w:color="auto" w:fill="FFFFFF"/>
        </w:rPr>
        <w:t xml:space="preserve"> respond to this preference and thereby </w:t>
      </w:r>
      <w:r>
        <w:rPr>
          <w:rStyle w:val="normaltextrun"/>
          <w:color w:val="000000"/>
          <w:sz w:val="24"/>
          <w:szCs w:val="24"/>
          <w:shd w:val="clear" w:color="auto" w:fill="FFFFFF"/>
        </w:rPr>
        <w:t xml:space="preserve">to </w:t>
      </w:r>
      <w:r w:rsidRPr="001545FC">
        <w:rPr>
          <w:rStyle w:val="normaltextrun"/>
          <w:color w:val="000000"/>
          <w:sz w:val="24"/>
          <w:szCs w:val="24"/>
          <w:shd w:val="clear" w:color="auto" w:fill="FFFFFF"/>
        </w:rPr>
        <w:t xml:space="preserve">potentially increase survey response rates, the survey will be offered in both languages. The </w:t>
      </w:r>
      <w:r>
        <w:rPr>
          <w:rStyle w:val="normaltextrun"/>
          <w:color w:val="000000"/>
          <w:sz w:val="24"/>
          <w:szCs w:val="24"/>
          <w:shd w:val="clear" w:color="auto" w:fill="FFFFFF"/>
        </w:rPr>
        <w:t xml:space="preserve">attached </w:t>
      </w:r>
      <w:r w:rsidRPr="001545FC">
        <w:rPr>
          <w:rStyle w:val="normaltextrun"/>
          <w:color w:val="000000"/>
          <w:sz w:val="24"/>
          <w:szCs w:val="24"/>
          <w:shd w:val="clear" w:color="auto" w:fill="FFFFFF"/>
        </w:rPr>
        <w:t xml:space="preserve">draft Spanish language instrument will be finalized by NCFH and ready for use upon OMB approval, with any necessary updates made </w:t>
      </w:r>
      <w:r w:rsidRPr="001545FC">
        <w:rPr>
          <w:rStyle w:val="normaltextrun"/>
          <w:color w:val="000000"/>
          <w:sz w:val="24"/>
          <w:szCs w:val="24"/>
          <w:shd w:val="clear" w:color="auto" w:fill="FFFFFF"/>
        </w:rPr>
        <w:t>as a result of</w:t>
      </w:r>
      <w:r w:rsidRPr="001545FC">
        <w:rPr>
          <w:rStyle w:val="normaltextrun"/>
          <w:color w:val="000000"/>
          <w:sz w:val="24"/>
          <w:szCs w:val="24"/>
          <w:shd w:val="clear" w:color="auto" w:fill="FFFFFF"/>
        </w:rPr>
        <w:t xml:space="preserve"> OMB review.</w:t>
      </w:r>
      <w:r w:rsidRPr="001545FC">
        <w:rPr>
          <w:rStyle w:val="eop"/>
          <w:color w:val="000000"/>
          <w:sz w:val="24"/>
          <w:szCs w:val="24"/>
          <w:shd w:val="clear" w:color="auto" w:fill="FFFFFF"/>
        </w:rPr>
        <w:t> </w:t>
      </w:r>
    </w:p>
    <w:p w:rsidR="001545FC" w:rsidP="00380C4A" w14:paraId="34968C70" w14:textId="77777777">
      <w:pPr>
        <w:rPr>
          <w:sz w:val="24"/>
          <w:szCs w:val="24"/>
        </w:rPr>
      </w:pPr>
    </w:p>
    <w:p w:rsidR="25296B70" w:rsidP="00380C4A" w14:paraId="09C885A5" w14:textId="460E7B21">
      <w:pPr>
        <w:rPr>
          <w:sz w:val="24"/>
          <w:szCs w:val="24"/>
        </w:rPr>
      </w:pPr>
      <w:r w:rsidRPr="1892D1BE">
        <w:rPr>
          <w:sz w:val="24"/>
          <w:szCs w:val="24"/>
        </w:rPr>
        <w:t>The purpose of this data collection is to:</w:t>
      </w:r>
    </w:p>
    <w:p w:rsidR="25296B70" w:rsidP="00380C4A" w14:paraId="1475A0A6" w14:textId="777FE919">
      <w:pPr>
        <w:pStyle w:val="ListParagraph"/>
        <w:numPr>
          <w:ilvl w:val="0"/>
          <w:numId w:val="3"/>
        </w:numPr>
        <w:rPr>
          <w:rFonts w:ascii="Times New Roman" w:eastAsia="Times New Roman" w:hAnsi="Times New Roman"/>
          <w:sz w:val="24"/>
          <w:szCs w:val="24"/>
        </w:rPr>
      </w:pPr>
      <w:r w:rsidRPr="1892D1BE">
        <w:rPr>
          <w:rFonts w:ascii="Times New Roman" w:eastAsia="Times New Roman" w:hAnsi="Times New Roman"/>
          <w:sz w:val="24"/>
          <w:szCs w:val="24"/>
        </w:rPr>
        <w:t>Assess how and to what extent CHCs have used CDC’s new clinical heat guidance.</w:t>
      </w:r>
    </w:p>
    <w:p w:rsidR="25296B70" w:rsidP="00380C4A" w14:paraId="070B8344" w14:textId="129E7DCE">
      <w:pPr>
        <w:pStyle w:val="ListParagraph"/>
        <w:numPr>
          <w:ilvl w:val="0"/>
          <w:numId w:val="3"/>
        </w:numPr>
        <w:rPr>
          <w:rFonts w:ascii="Times New Roman" w:eastAsia="Times New Roman" w:hAnsi="Times New Roman"/>
          <w:sz w:val="24"/>
          <w:szCs w:val="24"/>
        </w:rPr>
      </w:pPr>
      <w:r w:rsidRPr="1892D1BE">
        <w:rPr>
          <w:rFonts w:ascii="Times New Roman" w:eastAsia="Times New Roman" w:hAnsi="Times New Roman"/>
          <w:sz w:val="24"/>
          <w:szCs w:val="24"/>
        </w:rPr>
        <w:t xml:space="preserve">Assess the </w:t>
      </w:r>
      <w:r w:rsidRPr="1892D1BE" w:rsidR="00A719F9">
        <w:rPr>
          <w:rFonts w:ascii="Times New Roman" w:eastAsia="Times New Roman" w:hAnsi="Times New Roman"/>
          <w:sz w:val="24"/>
          <w:szCs w:val="24"/>
        </w:rPr>
        <w:t>content and usability</w:t>
      </w:r>
      <w:r w:rsidRPr="1892D1BE">
        <w:rPr>
          <w:rFonts w:ascii="Times New Roman" w:eastAsia="Times New Roman" w:hAnsi="Times New Roman"/>
          <w:sz w:val="24"/>
          <w:szCs w:val="24"/>
        </w:rPr>
        <w:t xml:space="preserve"> of the clinical heat guidance in supporting CHC efforts to reduce the impact of heat on their patients’ health. </w:t>
      </w:r>
    </w:p>
    <w:p w:rsidR="25296B70" w:rsidP="00380C4A" w14:paraId="4134FB82" w14:textId="79B41AE1">
      <w:pPr>
        <w:pStyle w:val="ListParagraph"/>
        <w:numPr>
          <w:ilvl w:val="0"/>
          <w:numId w:val="3"/>
        </w:numPr>
        <w:rPr>
          <w:rFonts w:ascii="Times New Roman" w:eastAsia="Times New Roman" w:hAnsi="Times New Roman"/>
          <w:sz w:val="24"/>
          <w:szCs w:val="24"/>
        </w:rPr>
      </w:pPr>
      <w:r w:rsidRPr="1892D1BE">
        <w:rPr>
          <w:rFonts w:ascii="Times New Roman" w:eastAsia="Times New Roman" w:hAnsi="Times New Roman"/>
          <w:sz w:val="24"/>
          <w:szCs w:val="24"/>
        </w:rPr>
        <w:t>Identify barriers, facilitators, and areas of need and support for</w:t>
      </w:r>
      <w:r w:rsidRPr="1892D1BE" w:rsidR="00C55217">
        <w:rPr>
          <w:rFonts w:ascii="Times New Roman" w:eastAsia="Times New Roman" w:hAnsi="Times New Roman"/>
          <w:sz w:val="24"/>
          <w:szCs w:val="24"/>
        </w:rPr>
        <w:t xml:space="preserve"> </w:t>
      </w:r>
      <w:r w:rsidRPr="1892D1BE">
        <w:rPr>
          <w:rFonts w:ascii="Times New Roman" w:eastAsia="Times New Roman" w:hAnsi="Times New Roman"/>
          <w:sz w:val="24"/>
          <w:szCs w:val="24"/>
        </w:rPr>
        <w:t>CHCs in using CDC’s new clinical heat guidance.</w:t>
      </w:r>
    </w:p>
    <w:p w:rsidR="25296B70" w:rsidP="00380C4A" w14:paraId="4F43C438" w14:textId="0C05D83C">
      <w:pPr>
        <w:rPr>
          <w:sz w:val="24"/>
          <w:szCs w:val="24"/>
        </w:rPr>
      </w:pPr>
      <w:r w:rsidRPr="1892D1BE">
        <w:rPr>
          <w:sz w:val="24"/>
          <w:szCs w:val="24"/>
        </w:rPr>
        <w:t xml:space="preserve"> </w:t>
      </w:r>
    </w:p>
    <w:p w:rsidR="25296B70" w:rsidP="00380C4A" w14:paraId="480229C7" w14:textId="2F92EC60">
      <w:pPr>
        <w:rPr>
          <w:sz w:val="24"/>
          <w:szCs w:val="24"/>
        </w:rPr>
      </w:pPr>
      <w:r w:rsidRPr="1892D1BE">
        <w:rPr>
          <w:sz w:val="24"/>
          <w:szCs w:val="24"/>
        </w:rPr>
        <w:t xml:space="preserve">The information collected will be used to: </w:t>
      </w:r>
    </w:p>
    <w:p w:rsidR="25296B70" w:rsidP="00380C4A" w14:paraId="28670D90" w14:textId="0B1F75E5">
      <w:pPr>
        <w:pStyle w:val="ListParagraph"/>
        <w:numPr>
          <w:ilvl w:val="0"/>
          <w:numId w:val="2"/>
        </w:numPr>
        <w:rPr>
          <w:rFonts w:ascii="Times New Roman" w:eastAsia="Times New Roman" w:hAnsi="Times New Roman"/>
          <w:sz w:val="24"/>
          <w:szCs w:val="24"/>
        </w:rPr>
      </w:pPr>
      <w:r w:rsidRPr="1892D1BE">
        <w:rPr>
          <w:rFonts w:ascii="Times New Roman" w:eastAsia="Times New Roman" w:hAnsi="Times New Roman"/>
          <w:sz w:val="24"/>
          <w:szCs w:val="24"/>
        </w:rPr>
        <w:t xml:space="preserve">Gain an understanding of the </w:t>
      </w:r>
      <w:r w:rsidRPr="1892D1BE" w:rsidR="00A719F9">
        <w:rPr>
          <w:rFonts w:ascii="Times New Roman" w:eastAsia="Times New Roman" w:hAnsi="Times New Roman"/>
          <w:sz w:val="24"/>
          <w:szCs w:val="24"/>
        </w:rPr>
        <w:t xml:space="preserve">perceived </w:t>
      </w:r>
      <w:r w:rsidRPr="1892D1BE">
        <w:rPr>
          <w:rFonts w:ascii="Times New Roman" w:eastAsia="Times New Roman" w:hAnsi="Times New Roman"/>
          <w:sz w:val="24"/>
          <w:szCs w:val="24"/>
        </w:rPr>
        <w:t xml:space="preserve">effectiveness </w:t>
      </w:r>
      <w:r w:rsidRPr="1892D1BE" w:rsidR="00A719F9">
        <w:rPr>
          <w:rFonts w:ascii="Times New Roman" w:eastAsia="Times New Roman" w:hAnsi="Times New Roman"/>
          <w:sz w:val="24"/>
          <w:szCs w:val="24"/>
        </w:rPr>
        <w:t xml:space="preserve">and utility </w:t>
      </w:r>
      <w:r w:rsidRPr="1892D1BE">
        <w:rPr>
          <w:rFonts w:ascii="Times New Roman" w:eastAsia="Times New Roman" w:hAnsi="Times New Roman"/>
          <w:sz w:val="24"/>
          <w:szCs w:val="24"/>
        </w:rPr>
        <w:t xml:space="preserve">of CDC’s clinical heat guidance. </w:t>
      </w:r>
    </w:p>
    <w:p w:rsidR="25296B70" w:rsidP="00380C4A" w14:paraId="165C84FF" w14:textId="0E2BE340">
      <w:pPr>
        <w:pStyle w:val="ListParagraph"/>
        <w:numPr>
          <w:ilvl w:val="0"/>
          <w:numId w:val="2"/>
        </w:numPr>
        <w:rPr>
          <w:rFonts w:ascii="Times New Roman" w:eastAsia="Times New Roman" w:hAnsi="Times New Roman"/>
          <w:sz w:val="24"/>
          <w:szCs w:val="24"/>
        </w:rPr>
      </w:pPr>
      <w:r w:rsidRPr="1892D1BE">
        <w:rPr>
          <w:rFonts w:ascii="Times New Roman" w:eastAsia="Times New Roman" w:hAnsi="Times New Roman"/>
          <w:sz w:val="24"/>
          <w:szCs w:val="24"/>
        </w:rPr>
        <w:t xml:space="preserve">Support the development and improvement of future clinical heat guidance materials and products. </w:t>
      </w:r>
    </w:p>
    <w:p w:rsidR="25296B70" w:rsidP="00380C4A" w14:paraId="41881BB8" w14:textId="38D9F402">
      <w:pPr>
        <w:rPr>
          <w:sz w:val="24"/>
          <w:szCs w:val="24"/>
        </w:rPr>
      </w:pPr>
      <w:r w:rsidRPr="1892D1BE">
        <w:rPr>
          <w:sz w:val="24"/>
          <w:szCs w:val="24"/>
        </w:rPr>
        <w:t xml:space="preserve"> </w:t>
      </w:r>
    </w:p>
    <w:p w:rsidR="25296B70" w:rsidP="00380C4A" w14:paraId="69F0ECEB" w14:textId="13F6F3B2">
      <w:pPr>
        <w:rPr>
          <w:sz w:val="24"/>
          <w:szCs w:val="24"/>
        </w:rPr>
      </w:pPr>
      <w:r w:rsidRPr="1892D1BE">
        <w:rPr>
          <w:sz w:val="24"/>
          <w:szCs w:val="24"/>
        </w:rPr>
        <w:t xml:space="preserve">The </w:t>
      </w:r>
      <w:r w:rsidR="007B15A9">
        <w:rPr>
          <w:sz w:val="24"/>
          <w:szCs w:val="24"/>
        </w:rPr>
        <w:t xml:space="preserve">survey </w:t>
      </w:r>
      <w:r w:rsidRPr="1892D1BE">
        <w:rPr>
          <w:sz w:val="24"/>
          <w:szCs w:val="24"/>
        </w:rPr>
        <w:t xml:space="preserve">instrument </w:t>
      </w:r>
      <w:r w:rsidRPr="007B15A9">
        <w:rPr>
          <w:b/>
          <w:bCs/>
          <w:sz w:val="24"/>
          <w:szCs w:val="24"/>
        </w:rPr>
        <w:t xml:space="preserve">(Attachment 1) </w:t>
      </w:r>
      <w:r w:rsidRPr="1892D1BE">
        <w:rPr>
          <w:sz w:val="24"/>
          <w:szCs w:val="24"/>
        </w:rPr>
        <w:t>will contain Likert-scale, binary, and open-ended questions. Items were developed from the utilization-focused evaluation theory. Each question is created with the intention of producing actionable findings that are relevant to the implementation of the Heat and Health Initiative (5). See table below.</w:t>
      </w:r>
    </w:p>
    <w:p w:rsidR="41B1B7EB" w:rsidP="00380C4A" w14:paraId="627C941F" w14:textId="479E6CDB">
      <w:pPr>
        <w:spacing w:line="276" w:lineRule="auto"/>
        <w:rPr>
          <w:sz w:val="24"/>
          <w:szCs w:val="24"/>
        </w:rPr>
      </w:pPr>
    </w:p>
    <w:tbl>
      <w:tblPr>
        <w:tblW w:w="0" w:type="auto"/>
        <w:tblLayout w:type="fixed"/>
        <w:tblLook w:val="0600"/>
      </w:tblPr>
      <w:tblGrid>
        <w:gridCol w:w="2187"/>
        <w:gridCol w:w="4562"/>
        <w:gridCol w:w="1916"/>
      </w:tblGrid>
      <w:tr w14:paraId="065FF811" w14:textId="77777777" w:rsidTr="5DD98555">
        <w:tblPrEx>
          <w:tblW w:w="0" w:type="auto"/>
          <w:tblLayout w:type="fixed"/>
          <w:tblLook w:val="0600"/>
        </w:tblPrEx>
        <w:trPr>
          <w:trHeight w:val="300"/>
        </w:trPr>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rsidR="41B1B7EB" w:rsidP="00380C4A" w14:paraId="06A21CA9" w14:textId="5DED1960">
            <w:pPr>
              <w:rPr>
                <w:b/>
                <w:bCs/>
                <w:color w:val="222222"/>
                <w:sz w:val="24"/>
                <w:szCs w:val="24"/>
              </w:rPr>
            </w:pPr>
            <w:r w:rsidRPr="1892D1BE">
              <w:rPr>
                <w:b/>
                <w:bCs/>
                <w:color w:val="222222"/>
                <w:sz w:val="24"/>
                <w:szCs w:val="24"/>
              </w:rPr>
              <w:t>Domain</w:t>
            </w:r>
          </w:p>
        </w:tc>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rsidR="41B1B7EB" w:rsidP="00380C4A" w14:paraId="16C3C717" w14:textId="1333A7A5">
            <w:pPr>
              <w:rPr>
                <w:b/>
                <w:bCs/>
                <w:color w:val="222222"/>
                <w:sz w:val="24"/>
                <w:szCs w:val="24"/>
              </w:rPr>
            </w:pPr>
            <w:r w:rsidRPr="1892D1BE">
              <w:rPr>
                <w:b/>
                <w:bCs/>
                <w:color w:val="222222"/>
                <w:sz w:val="24"/>
                <w:szCs w:val="24"/>
              </w:rPr>
              <w:t>Measures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rsidR="41B1B7EB" w:rsidP="00380C4A" w14:paraId="571B645D" w14:textId="1C380F97">
            <w:pPr>
              <w:rPr>
                <w:b/>
                <w:bCs/>
                <w:color w:val="222222"/>
                <w:sz w:val="24"/>
                <w:szCs w:val="24"/>
              </w:rPr>
            </w:pPr>
            <w:r w:rsidRPr="1892D1BE">
              <w:rPr>
                <w:b/>
                <w:bCs/>
                <w:color w:val="222222"/>
                <w:sz w:val="24"/>
                <w:szCs w:val="24"/>
              </w:rPr>
              <w:t>Response Types</w:t>
            </w:r>
          </w:p>
        </w:tc>
      </w:tr>
      <w:tr w14:paraId="3BAAA333" w14:textId="77777777" w:rsidTr="5DD98555">
        <w:tblPrEx>
          <w:tblW w:w="0" w:type="auto"/>
          <w:tblLayout w:type="fixed"/>
          <w:tblLook w:val="0600"/>
        </w:tblPrEx>
        <w:trPr>
          <w:trHeight w:val="300"/>
        </w:trPr>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5243E089" w14:textId="05230D4A">
            <w:pPr>
              <w:rPr>
                <w:color w:val="222222"/>
                <w:sz w:val="24"/>
                <w:szCs w:val="24"/>
              </w:rPr>
            </w:pPr>
            <w:r>
              <w:rPr>
                <w:color w:val="222222"/>
                <w:sz w:val="24"/>
                <w:szCs w:val="24"/>
              </w:rPr>
              <w:t xml:space="preserve">Knowledge, </w:t>
            </w:r>
            <w:r w:rsidRPr="5DD98555" w:rsidR="5DD98555">
              <w:rPr>
                <w:color w:val="222222"/>
                <w:sz w:val="24"/>
                <w:szCs w:val="24"/>
              </w:rPr>
              <w:t>Attitudes and Behaviors related to Perception of Health Risks from Exposure to Heat</w:t>
            </w:r>
          </w:p>
        </w:tc>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60975F61" w14:textId="146E0E2A">
            <w:pPr>
              <w:rPr>
                <w:color w:val="222222"/>
                <w:sz w:val="24"/>
                <w:szCs w:val="24"/>
              </w:rPr>
            </w:pPr>
            <w:r w:rsidRPr="1892D1BE">
              <w:rPr>
                <w:color w:val="222222"/>
                <w:sz w:val="24"/>
                <w:szCs w:val="24"/>
              </w:rPr>
              <w:t xml:space="preserve">Items related to knowledge (e.g., </w:t>
            </w:r>
            <w:r w:rsidR="00A01143">
              <w:rPr>
                <w:color w:val="222222"/>
                <w:sz w:val="24"/>
                <w:szCs w:val="24"/>
              </w:rPr>
              <w:t>HeatRisk</w:t>
            </w:r>
            <w:r w:rsidR="00A01143">
              <w:rPr>
                <w:color w:val="222222"/>
                <w:sz w:val="24"/>
                <w:szCs w:val="24"/>
              </w:rPr>
              <w:t xml:space="preserve"> forecast tool is available to determine impact of specific heat levels on health</w:t>
            </w:r>
            <w:r w:rsidRPr="1892D1BE">
              <w:rPr>
                <w:color w:val="222222"/>
                <w:sz w:val="24"/>
                <w:szCs w:val="24"/>
              </w:rPr>
              <w:t xml:space="preserve">), attitudes (e.g., </w:t>
            </w:r>
            <w:r w:rsidR="00A01143">
              <w:rPr>
                <w:color w:val="222222"/>
                <w:sz w:val="24"/>
                <w:szCs w:val="24"/>
              </w:rPr>
              <w:t xml:space="preserve">concerns raised by patients related to hot weather and their health), </w:t>
            </w:r>
            <w:r w:rsidRPr="1892D1BE">
              <w:rPr>
                <w:color w:val="222222"/>
                <w:sz w:val="24"/>
                <w:szCs w:val="24"/>
              </w:rPr>
              <w:t xml:space="preserve">and behaviors (e.g. I </w:t>
            </w:r>
            <w:r w:rsidR="00A01143">
              <w:rPr>
                <w:color w:val="222222"/>
                <w:sz w:val="24"/>
                <w:szCs w:val="24"/>
              </w:rPr>
              <w:t>talk to my patients about heat and their health</w:t>
            </w:r>
            <w:r w:rsidRPr="1892D1BE">
              <w:rPr>
                <w:color w:val="222222"/>
                <w:sz w:val="24"/>
                <w:szCs w:val="24"/>
              </w:rPr>
              <w:t>)</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78AA4563" w14:textId="5D08394A">
            <w:pPr>
              <w:spacing w:line="276" w:lineRule="auto"/>
              <w:rPr>
                <w:color w:val="222222"/>
                <w:sz w:val="24"/>
                <w:szCs w:val="24"/>
              </w:rPr>
            </w:pPr>
            <w:r w:rsidRPr="5DD98555">
              <w:rPr>
                <w:color w:val="222222"/>
                <w:sz w:val="24"/>
                <w:szCs w:val="24"/>
              </w:rPr>
              <w:t>Binary (Yes/No), Multi-Response Drop-down</w:t>
            </w:r>
          </w:p>
        </w:tc>
      </w:tr>
      <w:tr w14:paraId="330EA41E" w14:textId="77777777" w:rsidTr="5DD98555">
        <w:tblPrEx>
          <w:tblW w:w="0" w:type="auto"/>
          <w:tblLayout w:type="fixed"/>
          <w:tblLook w:val="0600"/>
        </w:tblPrEx>
        <w:trPr>
          <w:trHeight w:val="300"/>
        </w:trPr>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3876D9D6" w14:textId="0FD6CD0C">
            <w:pPr>
              <w:rPr>
                <w:color w:val="222222"/>
                <w:sz w:val="24"/>
                <w:szCs w:val="24"/>
              </w:rPr>
            </w:pPr>
            <w:r w:rsidRPr="1892D1BE">
              <w:rPr>
                <w:color w:val="222222"/>
                <w:sz w:val="24"/>
                <w:szCs w:val="24"/>
              </w:rPr>
              <w:t>Knowledge, Attitudes, and Behaviors related to CDC’s Clinical Heat Guidance released April 2024</w:t>
            </w:r>
          </w:p>
        </w:tc>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185B70D0" w14:textId="15E3C9B3">
            <w:pPr>
              <w:rPr>
                <w:color w:val="222222"/>
                <w:sz w:val="24"/>
                <w:szCs w:val="24"/>
              </w:rPr>
            </w:pPr>
            <w:r w:rsidRPr="1892D1BE">
              <w:rPr>
                <w:color w:val="222222"/>
                <w:sz w:val="24"/>
                <w:szCs w:val="24"/>
              </w:rPr>
              <w:t xml:space="preserve">Items related to knowledge (e.g. clinical heat guidance is available for physicians and healthcare providers), attitudes (e.g. clinical heat guidance can help </w:t>
            </w:r>
            <w:r w:rsidRPr="1892D1BE" w:rsidR="21F11BE0">
              <w:rPr>
                <w:color w:val="222222"/>
                <w:sz w:val="24"/>
                <w:szCs w:val="24"/>
              </w:rPr>
              <w:t xml:space="preserve">physicians and non-physician </w:t>
            </w:r>
            <w:r w:rsidRPr="1892D1BE" w:rsidR="348B6A36">
              <w:rPr>
                <w:color w:val="222222"/>
                <w:sz w:val="24"/>
                <w:szCs w:val="24"/>
              </w:rPr>
              <w:t>clinic staff</w:t>
            </w:r>
            <w:r w:rsidRPr="1892D1BE">
              <w:rPr>
                <w:color w:val="222222"/>
                <w:sz w:val="24"/>
                <w:szCs w:val="24"/>
              </w:rPr>
              <w:t xml:space="preserve"> protect patients from heat-related illness), and behaviors (e.g. I use CDC’s clinical heat guidance to protect my patients from heat-related illness)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6D774221" w14:textId="37C1B293">
            <w:pPr>
              <w:spacing w:line="276" w:lineRule="auto"/>
              <w:rPr>
                <w:color w:val="222222"/>
                <w:sz w:val="24"/>
                <w:szCs w:val="24"/>
              </w:rPr>
            </w:pPr>
            <w:r w:rsidRPr="1892D1BE">
              <w:rPr>
                <w:color w:val="222222"/>
                <w:sz w:val="24"/>
                <w:szCs w:val="24"/>
              </w:rPr>
              <w:t xml:space="preserve">Binary (yes/no), </w:t>
            </w:r>
            <w:r w:rsidR="004B2BE4">
              <w:rPr>
                <w:color w:val="222222"/>
                <w:sz w:val="24"/>
                <w:szCs w:val="24"/>
              </w:rPr>
              <w:t>M</w:t>
            </w:r>
            <w:r w:rsidRPr="1892D1BE">
              <w:rPr>
                <w:color w:val="222222"/>
                <w:sz w:val="24"/>
                <w:szCs w:val="24"/>
              </w:rPr>
              <w:t>ulti-response</w:t>
            </w:r>
            <w:r w:rsidRPr="1892D1BE">
              <w:rPr>
                <w:color w:val="222222"/>
                <w:sz w:val="24"/>
                <w:szCs w:val="24"/>
              </w:rPr>
              <w:t xml:space="preserve"> drop-down, Likert</w:t>
            </w:r>
          </w:p>
        </w:tc>
      </w:tr>
      <w:tr w14:paraId="2DEE9C4B" w14:textId="77777777" w:rsidTr="5DD98555">
        <w:tblPrEx>
          <w:tblW w:w="0" w:type="auto"/>
          <w:tblLayout w:type="fixed"/>
          <w:tblLook w:val="0600"/>
        </w:tblPrEx>
        <w:trPr>
          <w:trHeight w:val="300"/>
        </w:trPr>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0376F83F" w14:textId="075B49D5">
            <w:pPr>
              <w:spacing w:line="276" w:lineRule="auto"/>
              <w:rPr>
                <w:color w:val="222222"/>
                <w:sz w:val="24"/>
                <w:szCs w:val="24"/>
              </w:rPr>
            </w:pPr>
            <w:r w:rsidRPr="1892D1BE">
              <w:rPr>
                <w:color w:val="222222"/>
                <w:sz w:val="24"/>
                <w:szCs w:val="24"/>
              </w:rPr>
              <w:t>Clinician Perceptions of CDC’s clinical heat guidance</w:t>
            </w:r>
          </w:p>
        </w:tc>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04DB637D" w14:textId="67358275">
            <w:pPr>
              <w:spacing w:line="276" w:lineRule="auto"/>
              <w:rPr>
                <w:color w:val="222222"/>
                <w:sz w:val="24"/>
                <w:szCs w:val="24"/>
              </w:rPr>
            </w:pPr>
            <w:r w:rsidRPr="1892D1BE">
              <w:rPr>
                <w:color w:val="222222"/>
                <w:sz w:val="24"/>
                <w:szCs w:val="24"/>
              </w:rPr>
              <w:t>Items related to clinician perceptions of clinical heat guidance: usability in a clinical setting, familiarity with the materials, navigability (i.e. website accessibility), likability (i.e., general perception of favorability), barriers to use, settings/populations to be included in the future, and clarity of guidance/resources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104B9EB1" w14:textId="36A15DFC">
            <w:pPr>
              <w:spacing w:line="276" w:lineRule="auto"/>
              <w:rPr>
                <w:color w:val="222222"/>
                <w:sz w:val="24"/>
                <w:szCs w:val="24"/>
              </w:rPr>
            </w:pPr>
            <w:r w:rsidRPr="1892D1BE">
              <w:rPr>
                <w:color w:val="222222"/>
                <w:sz w:val="24"/>
                <w:szCs w:val="24"/>
              </w:rPr>
              <w:t xml:space="preserve">Binary (yes/no), </w:t>
            </w:r>
            <w:r w:rsidR="004B2BE4">
              <w:rPr>
                <w:color w:val="222222"/>
                <w:sz w:val="24"/>
                <w:szCs w:val="24"/>
              </w:rPr>
              <w:t>M</w:t>
            </w:r>
            <w:r w:rsidRPr="1892D1BE">
              <w:rPr>
                <w:color w:val="222222"/>
                <w:sz w:val="24"/>
                <w:szCs w:val="24"/>
              </w:rPr>
              <w:t>ulti-response</w:t>
            </w:r>
            <w:r w:rsidRPr="1892D1BE">
              <w:rPr>
                <w:color w:val="222222"/>
                <w:sz w:val="24"/>
                <w:szCs w:val="24"/>
              </w:rPr>
              <w:t xml:space="preserve"> drop-down, Likert, </w:t>
            </w:r>
            <w:r w:rsidR="004B2BE4">
              <w:rPr>
                <w:color w:val="222222"/>
                <w:sz w:val="24"/>
                <w:szCs w:val="24"/>
              </w:rPr>
              <w:t>O</w:t>
            </w:r>
            <w:r w:rsidRPr="1892D1BE">
              <w:rPr>
                <w:color w:val="222222"/>
                <w:sz w:val="24"/>
                <w:szCs w:val="24"/>
              </w:rPr>
              <w:t>pen-ended</w:t>
            </w:r>
          </w:p>
          <w:p w:rsidR="41B1B7EB" w:rsidP="00380C4A" w14:paraId="6514D66A" w14:textId="39AF9E39">
            <w:pPr>
              <w:spacing w:line="276" w:lineRule="auto"/>
              <w:rPr>
                <w:color w:val="222222"/>
                <w:sz w:val="24"/>
                <w:szCs w:val="24"/>
              </w:rPr>
            </w:pPr>
            <w:r w:rsidRPr="1892D1BE">
              <w:rPr>
                <w:color w:val="222222"/>
                <w:sz w:val="24"/>
                <w:szCs w:val="24"/>
              </w:rPr>
              <w:t xml:space="preserve"> </w:t>
            </w:r>
          </w:p>
        </w:tc>
      </w:tr>
      <w:tr w14:paraId="34159156" w14:textId="77777777" w:rsidTr="5DD98555">
        <w:tblPrEx>
          <w:tblW w:w="0" w:type="auto"/>
          <w:tblLayout w:type="fixed"/>
          <w:tblLook w:val="0600"/>
        </w:tblPrEx>
        <w:trPr>
          <w:trHeight w:val="300"/>
        </w:trPr>
        <w:tc>
          <w:tcPr>
            <w:tcW w:w="21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197462BD" w14:textId="074BD244">
            <w:pPr>
              <w:spacing w:line="276" w:lineRule="auto"/>
              <w:rPr>
                <w:color w:val="222222"/>
                <w:sz w:val="24"/>
                <w:szCs w:val="24"/>
              </w:rPr>
            </w:pPr>
            <w:r w:rsidRPr="1892D1BE">
              <w:rPr>
                <w:color w:val="222222"/>
                <w:sz w:val="24"/>
                <w:szCs w:val="24"/>
              </w:rPr>
              <w:t>Demographic</w:t>
            </w:r>
          </w:p>
        </w:tc>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1B133746" w14:textId="0726E928">
            <w:pPr>
              <w:spacing w:line="257" w:lineRule="auto"/>
              <w:rPr>
                <w:color w:val="222222"/>
                <w:sz w:val="24"/>
                <w:szCs w:val="24"/>
              </w:rPr>
            </w:pPr>
            <w:r w:rsidRPr="1892D1BE">
              <w:rPr>
                <w:color w:val="222222"/>
                <w:sz w:val="24"/>
                <w:szCs w:val="24"/>
              </w:rPr>
              <w:t>Clinic information/location, Name of CHC, clinic staff role, clinician specialty, patient population information</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1B1B7EB" w:rsidP="00380C4A" w14:paraId="1532E226" w14:textId="679F61F7">
            <w:pPr>
              <w:spacing w:line="276" w:lineRule="auto"/>
              <w:rPr>
                <w:color w:val="222222"/>
                <w:sz w:val="24"/>
                <w:szCs w:val="24"/>
              </w:rPr>
            </w:pPr>
            <w:r>
              <w:rPr>
                <w:color w:val="222222"/>
                <w:sz w:val="24"/>
                <w:szCs w:val="24"/>
              </w:rPr>
              <w:t>M</w:t>
            </w:r>
            <w:r w:rsidRPr="1892D1BE" w:rsidR="6440F5C9">
              <w:rPr>
                <w:color w:val="222222"/>
                <w:sz w:val="24"/>
                <w:szCs w:val="24"/>
              </w:rPr>
              <w:t>ulti-response drop-down, Open-ended</w:t>
            </w:r>
          </w:p>
        </w:tc>
      </w:tr>
    </w:tbl>
    <w:p w:rsidR="41B1B7EB" w:rsidP="00380C4A" w14:paraId="35FD1BD7" w14:textId="2AEE8325">
      <w:pPr>
        <w:pStyle w:val="Normal2"/>
        <w:pBdr>
          <w:top w:val="nil"/>
          <w:left w:val="nil"/>
          <w:bottom w:val="nil"/>
          <w:right w:val="nil"/>
          <w:between w:val="nil"/>
        </w:pBdr>
        <w:spacing w:line="276" w:lineRule="auto"/>
        <w:rPr>
          <w:sz w:val="24"/>
          <w:szCs w:val="24"/>
        </w:rPr>
      </w:pPr>
    </w:p>
    <w:p w:rsidR="00EC2E1A" w:rsidRPr="00A9015C" w:rsidP="00380C4A" w14:paraId="10845635" w14:textId="7C231F50">
      <w:pPr>
        <w:pStyle w:val="BodyText1"/>
        <w:spacing w:after="0" w:line="276" w:lineRule="auto"/>
        <w:rPr>
          <w:b/>
          <w:bCs/>
          <w:color w:val="222222"/>
          <w:sz w:val="24"/>
          <w:szCs w:val="24"/>
          <w:highlight w:val="white"/>
        </w:rPr>
      </w:pPr>
    </w:p>
    <w:p w:rsidR="00EC2E1A" w:rsidRPr="00DF67BF" w:rsidP="00380C4A" w14:paraId="59573B3B" w14:textId="6B7AF226">
      <w:pPr>
        <w:pStyle w:val="heading22"/>
        <w:spacing w:before="0" w:after="0"/>
        <w:rPr>
          <w:sz w:val="24"/>
          <w:szCs w:val="24"/>
        </w:rPr>
      </w:pPr>
      <w:bookmarkStart w:id="8" w:name="_Toc182756720"/>
      <w:r w:rsidRPr="1892D1BE">
        <w:rPr>
          <w:sz w:val="24"/>
          <w:szCs w:val="24"/>
        </w:rPr>
        <w:t>A.3</w:t>
      </w:r>
      <w:r>
        <w:tab/>
      </w:r>
      <w:r w:rsidRPr="1892D1BE">
        <w:rPr>
          <w:sz w:val="24"/>
          <w:szCs w:val="24"/>
        </w:rPr>
        <w:t>Use of Improved Information Technology and Burden Reduction</w:t>
      </w:r>
      <w:bookmarkEnd w:id="8"/>
      <w:r w:rsidRPr="1892D1BE">
        <w:rPr>
          <w:sz w:val="24"/>
          <w:szCs w:val="24"/>
        </w:rPr>
        <w:t xml:space="preserve"> </w:t>
      </w:r>
    </w:p>
    <w:p w:rsidR="00EC2E1A" w:rsidP="00380C4A" w14:paraId="3D9DF455" w14:textId="6FBAED62">
      <w:pPr>
        <w:pStyle w:val="Normal2"/>
        <w:pBdr>
          <w:top w:val="nil"/>
          <w:left w:val="nil"/>
          <w:bottom w:val="nil"/>
          <w:right w:val="nil"/>
          <w:between w:val="nil"/>
        </w:pBdr>
        <w:spacing w:line="276" w:lineRule="auto"/>
        <w:rPr>
          <w:color w:val="000000" w:themeColor="text1"/>
          <w:sz w:val="24"/>
          <w:szCs w:val="24"/>
        </w:rPr>
      </w:pPr>
      <w:r w:rsidRPr="1892D1BE">
        <w:rPr>
          <w:color w:val="000000" w:themeColor="text1"/>
          <w:sz w:val="24"/>
          <w:szCs w:val="24"/>
        </w:rPr>
        <w:t xml:space="preserve">To </w:t>
      </w:r>
      <w:r w:rsidRPr="1892D1BE">
        <w:rPr>
          <w:sz w:val="24"/>
          <w:szCs w:val="24"/>
        </w:rPr>
        <w:t xml:space="preserve">reduce </w:t>
      </w:r>
      <w:r w:rsidRPr="1892D1BE">
        <w:rPr>
          <w:color w:val="000000" w:themeColor="text1"/>
          <w:sz w:val="24"/>
          <w:szCs w:val="24"/>
        </w:rPr>
        <w:t>burden, technology will be used to collect data</w:t>
      </w:r>
      <w:r w:rsidRPr="1892D1BE">
        <w:rPr>
          <w:sz w:val="24"/>
          <w:szCs w:val="24"/>
        </w:rPr>
        <w:t xml:space="preserve"> using </w:t>
      </w:r>
      <w:r w:rsidRPr="1892D1BE" w:rsidR="00211F56">
        <w:rPr>
          <w:sz w:val="24"/>
          <w:szCs w:val="24"/>
        </w:rPr>
        <w:t xml:space="preserve">an online </w:t>
      </w:r>
      <w:r w:rsidRPr="1892D1BE">
        <w:rPr>
          <w:color w:val="000000" w:themeColor="text1"/>
          <w:sz w:val="24"/>
          <w:szCs w:val="24"/>
        </w:rPr>
        <w:t>survey</w:t>
      </w:r>
      <w:r w:rsidRPr="1892D1BE">
        <w:rPr>
          <w:sz w:val="24"/>
          <w:szCs w:val="24"/>
        </w:rPr>
        <w:t>. Q</w:t>
      </w:r>
      <w:r w:rsidRPr="1892D1BE">
        <w:rPr>
          <w:color w:val="000000" w:themeColor="text1"/>
          <w:sz w:val="24"/>
          <w:szCs w:val="24"/>
        </w:rPr>
        <w:t>uestions will be kept to a minimum required for the intended use of the data</w:t>
      </w:r>
      <w:r w:rsidRPr="1892D1BE" w:rsidR="008E2587">
        <w:rPr>
          <w:color w:val="000000" w:themeColor="text1"/>
          <w:sz w:val="24"/>
          <w:szCs w:val="24"/>
        </w:rPr>
        <w:t xml:space="preserve"> with </w:t>
      </w:r>
      <w:r w:rsidRPr="1892D1BE" w:rsidR="00134FB0">
        <w:rPr>
          <w:color w:val="000000" w:themeColor="text1"/>
          <w:sz w:val="24"/>
          <w:szCs w:val="24"/>
        </w:rPr>
        <w:t xml:space="preserve">programmed </w:t>
      </w:r>
      <w:r w:rsidRPr="1892D1BE" w:rsidR="008E2587">
        <w:rPr>
          <w:color w:val="000000" w:themeColor="text1"/>
          <w:sz w:val="24"/>
          <w:szCs w:val="24"/>
        </w:rPr>
        <w:t>skip patterns to allow respondents to answer only pertinent questions</w:t>
      </w:r>
      <w:r w:rsidRPr="1892D1BE">
        <w:rPr>
          <w:color w:val="000000" w:themeColor="text1"/>
          <w:sz w:val="24"/>
          <w:szCs w:val="24"/>
        </w:rPr>
        <w:t xml:space="preserve">. </w:t>
      </w:r>
    </w:p>
    <w:p w:rsidR="00DF67BF" w:rsidP="00380C4A" w14:paraId="05A6CFB4" w14:textId="77777777">
      <w:pPr>
        <w:pStyle w:val="heading22"/>
        <w:spacing w:before="0" w:after="0" w:line="276" w:lineRule="auto"/>
        <w:rPr>
          <w:sz w:val="24"/>
          <w:szCs w:val="24"/>
        </w:rPr>
      </w:pPr>
    </w:p>
    <w:p w:rsidR="00EC2E1A" w:rsidRPr="00DF67BF" w:rsidP="00380C4A" w14:paraId="48737DF1" w14:textId="66A879C3">
      <w:pPr>
        <w:pStyle w:val="heading22"/>
        <w:spacing w:before="0" w:after="0" w:line="276" w:lineRule="auto"/>
        <w:rPr>
          <w:sz w:val="24"/>
          <w:szCs w:val="24"/>
        </w:rPr>
      </w:pPr>
      <w:bookmarkStart w:id="9" w:name="_Toc182756721"/>
      <w:r w:rsidRPr="1892D1BE">
        <w:rPr>
          <w:sz w:val="24"/>
          <w:szCs w:val="24"/>
        </w:rPr>
        <w:t>A.4</w:t>
      </w:r>
      <w:r>
        <w:tab/>
      </w:r>
      <w:r w:rsidRPr="1892D1BE">
        <w:rPr>
          <w:sz w:val="24"/>
          <w:szCs w:val="24"/>
        </w:rPr>
        <w:t>Efforts to Identify Duplication and Use of Similar Information</w:t>
      </w:r>
      <w:bookmarkEnd w:id="9"/>
      <w:r w:rsidRPr="1892D1BE">
        <w:rPr>
          <w:sz w:val="24"/>
          <w:szCs w:val="24"/>
        </w:rPr>
        <w:t xml:space="preserve"> </w:t>
      </w:r>
    </w:p>
    <w:p w:rsidR="0041510E" w:rsidP="00380C4A" w14:paraId="35466C84" w14:textId="28657882">
      <w:pPr>
        <w:pStyle w:val="Normal2"/>
        <w:widowControl w:val="0"/>
        <w:pBdr>
          <w:top w:val="nil"/>
          <w:left w:val="nil"/>
          <w:bottom w:val="nil"/>
          <w:right w:val="nil"/>
          <w:between w:val="nil"/>
        </w:pBdr>
        <w:spacing w:line="276" w:lineRule="auto"/>
        <w:rPr>
          <w:color w:val="000000"/>
          <w:sz w:val="24"/>
          <w:szCs w:val="24"/>
        </w:rPr>
      </w:pPr>
      <w:r w:rsidRPr="1892D1BE">
        <w:rPr>
          <w:color w:val="000000" w:themeColor="text1"/>
          <w:sz w:val="24"/>
          <w:szCs w:val="24"/>
        </w:rPr>
        <w:t xml:space="preserve">There are no other known federal generic collections that duplicate the project included in this request. CDC’s Clinical Heat Guidance is a new resource, and no other federal agency has a similar guidance or resources. Therefore, </w:t>
      </w:r>
      <w:r w:rsidRPr="1892D1BE" w:rsidR="00715AE7">
        <w:rPr>
          <w:color w:val="000000" w:themeColor="text1"/>
          <w:sz w:val="24"/>
          <w:szCs w:val="24"/>
        </w:rPr>
        <w:t>there is no similar data</w:t>
      </w:r>
      <w:r w:rsidRPr="1892D1BE">
        <w:rPr>
          <w:color w:val="000000" w:themeColor="text1"/>
          <w:sz w:val="24"/>
          <w:szCs w:val="24"/>
        </w:rPr>
        <w:t xml:space="preserve"> available. </w:t>
      </w:r>
    </w:p>
    <w:p w:rsidR="00EC2E1A" w:rsidP="00380C4A" w14:paraId="688D7115" w14:textId="77777777">
      <w:pPr>
        <w:pStyle w:val="heading22"/>
        <w:spacing w:before="0" w:after="0" w:line="276" w:lineRule="auto"/>
        <w:ind w:left="0" w:firstLine="0"/>
        <w:rPr>
          <w:sz w:val="24"/>
          <w:szCs w:val="24"/>
        </w:rPr>
      </w:pPr>
    </w:p>
    <w:p w:rsidR="00EC2E1A" w:rsidP="00380C4A" w14:paraId="153826EC" w14:textId="77777777">
      <w:pPr>
        <w:pStyle w:val="heading22"/>
        <w:spacing w:before="0" w:after="0" w:line="276" w:lineRule="auto"/>
        <w:rPr>
          <w:sz w:val="24"/>
          <w:szCs w:val="24"/>
        </w:rPr>
      </w:pPr>
      <w:bookmarkStart w:id="10" w:name="_Toc182756722"/>
      <w:r w:rsidRPr="1892D1BE">
        <w:rPr>
          <w:sz w:val="24"/>
          <w:szCs w:val="24"/>
        </w:rPr>
        <w:t>A.5</w:t>
      </w:r>
      <w:r>
        <w:tab/>
      </w:r>
      <w:r w:rsidRPr="1892D1BE">
        <w:rPr>
          <w:sz w:val="24"/>
          <w:szCs w:val="24"/>
        </w:rPr>
        <w:t>Impact on Small Businesses or Other Small Entities</w:t>
      </w:r>
      <w:bookmarkEnd w:id="10"/>
      <w:r w:rsidRPr="1892D1BE">
        <w:rPr>
          <w:sz w:val="24"/>
          <w:szCs w:val="24"/>
        </w:rPr>
        <w:t xml:space="preserve"> </w:t>
      </w:r>
    </w:p>
    <w:p w:rsidR="00EC2E1A" w:rsidP="00380C4A" w14:paraId="14AAF280" w14:textId="685425A6">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 xml:space="preserve">This project does not </w:t>
      </w:r>
      <w:r w:rsidRPr="1892D1BE">
        <w:rPr>
          <w:sz w:val="24"/>
          <w:szCs w:val="24"/>
        </w:rPr>
        <w:t>have an impact</w:t>
      </w:r>
      <w:r w:rsidRPr="1892D1BE">
        <w:rPr>
          <w:color w:val="000000" w:themeColor="text1"/>
          <w:sz w:val="24"/>
          <w:szCs w:val="24"/>
        </w:rPr>
        <w:t xml:space="preserve"> on small businesses or other small entities. </w:t>
      </w:r>
    </w:p>
    <w:p w:rsidR="00DF67BF" w:rsidP="00380C4A" w14:paraId="38517EC2" w14:textId="77777777">
      <w:pPr>
        <w:pStyle w:val="Normal2"/>
        <w:pBdr>
          <w:top w:val="nil"/>
          <w:left w:val="nil"/>
          <w:bottom w:val="nil"/>
          <w:right w:val="nil"/>
          <w:between w:val="nil"/>
        </w:pBdr>
        <w:spacing w:line="276" w:lineRule="auto"/>
        <w:rPr>
          <w:color w:val="000000"/>
          <w:sz w:val="24"/>
          <w:szCs w:val="24"/>
        </w:rPr>
      </w:pPr>
    </w:p>
    <w:p w:rsidR="00EC2E1A" w:rsidP="00380C4A" w14:paraId="7D25D184" w14:textId="77777777">
      <w:pPr>
        <w:pStyle w:val="heading22"/>
        <w:spacing w:before="0" w:after="0" w:line="276" w:lineRule="auto"/>
        <w:rPr>
          <w:sz w:val="24"/>
          <w:szCs w:val="24"/>
        </w:rPr>
      </w:pPr>
      <w:bookmarkStart w:id="11" w:name="_Toc182756723"/>
      <w:r w:rsidRPr="1892D1BE">
        <w:rPr>
          <w:sz w:val="24"/>
          <w:szCs w:val="24"/>
        </w:rPr>
        <w:t>A.6</w:t>
      </w:r>
      <w:r>
        <w:tab/>
      </w:r>
      <w:r w:rsidRPr="1892D1BE">
        <w:rPr>
          <w:sz w:val="24"/>
          <w:szCs w:val="24"/>
        </w:rPr>
        <w:t>Consequences of Collecting the Information Less Frequently</w:t>
      </w:r>
      <w:bookmarkEnd w:id="11"/>
      <w:r w:rsidRPr="1892D1BE">
        <w:rPr>
          <w:sz w:val="24"/>
          <w:szCs w:val="24"/>
        </w:rPr>
        <w:t xml:space="preserve"> </w:t>
      </w:r>
    </w:p>
    <w:p w:rsidR="00EC2E1A" w:rsidP="00380C4A" w14:paraId="2EE3BDEC" w14:textId="4D748A67">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The activities involve a one-time collection of data</w:t>
      </w:r>
      <w:r w:rsidRPr="1892D1BE" w:rsidR="005716C5">
        <w:rPr>
          <w:color w:val="000000" w:themeColor="text1"/>
          <w:sz w:val="24"/>
          <w:szCs w:val="24"/>
        </w:rPr>
        <w:t>.</w:t>
      </w:r>
    </w:p>
    <w:p w:rsidR="00EC2E1A" w:rsidP="00380C4A" w14:paraId="71F9E212" w14:textId="77777777">
      <w:pPr>
        <w:pStyle w:val="Normal2"/>
        <w:pBdr>
          <w:top w:val="nil"/>
          <w:left w:val="nil"/>
          <w:bottom w:val="nil"/>
          <w:right w:val="nil"/>
          <w:between w:val="nil"/>
        </w:pBdr>
        <w:spacing w:line="276" w:lineRule="auto"/>
        <w:ind w:firstLine="720"/>
        <w:rPr>
          <w:color w:val="000000"/>
          <w:sz w:val="24"/>
          <w:szCs w:val="24"/>
        </w:rPr>
      </w:pPr>
    </w:p>
    <w:p w:rsidR="00EC2E1A" w:rsidP="00380C4A" w14:paraId="1A62B67E" w14:textId="77777777">
      <w:pPr>
        <w:pStyle w:val="heading22"/>
        <w:spacing w:before="0" w:after="0" w:line="276" w:lineRule="auto"/>
        <w:rPr>
          <w:sz w:val="24"/>
          <w:szCs w:val="24"/>
        </w:rPr>
      </w:pPr>
      <w:bookmarkStart w:id="12" w:name="_Toc182756724"/>
      <w:r w:rsidRPr="1892D1BE">
        <w:rPr>
          <w:sz w:val="24"/>
          <w:szCs w:val="24"/>
        </w:rPr>
        <w:t>A.7</w:t>
      </w:r>
      <w:r>
        <w:tab/>
      </w:r>
      <w:r w:rsidRPr="1892D1BE">
        <w:rPr>
          <w:sz w:val="24"/>
          <w:szCs w:val="24"/>
        </w:rPr>
        <w:t>Special Circumstances Relating to the Guidelines of 5 CFR 1320.5</w:t>
      </w:r>
      <w:bookmarkEnd w:id="12"/>
      <w:r w:rsidRPr="1892D1BE">
        <w:rPr>
          <w:sz w:val="24"/>
          <w:szCs w:val="24"/>
        </w:rPr>
        <w:t xml:space="preserve"> </w:t>
      </w:r>
    </w:p>
    <w:p w:rsidR="00EC2E1A" w:rsidP="00380C4A" w14:paraId="57FFAD41" w14:textId="77777777">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This request fully complies with regulation 5 CFR 1320.5.</w:t>
      </w:r>
    </w:p>
    <w:p w:rsidR="00EC2E1A" w:rsidP="00380C4A" w14:paraId="06A67A46" w14:textId="77777777">
      <w:pPr>
        <w:pStyle w:val="Normal2"/>
        <w:pBdr>
          <w:top w:val="nil"/>
          <w:left w:val="nil"/>
          <w:bottom w:val="nil"/>
          <w:right w:val="nil"/>
          <w:between w:val="nil"/>
        </w:pBdr>
        <w:spacing w:line="276" w:lineRule="auto"/>
        <w:ind w:firstLine="720"/>
        <w:rPr>
          <w:color w:val="000000"/>
          <w:sz w:val="24"/>
          <w:szCs w:val="24"/>
        </w:rPr>
      </w:pPr>
    </w:p>
    <w:p w:rsidR="41B1B7EB" w:rsidRPr="00DF67BF" w:rsidP="00380C4A" w14:paraId="4F44F842" w14:textId="2978A32F">
      <w:pPr>
        <w:pStyle w:val="heading22"/>
        <w:spacing w:before="0" w:after="0" w:line="276" w:lineRule="auto"/>
        <w:rPr>
          <w:sz w:val="24"/>
          <w:szCs w:val="24"/>
        </w:rPr>
      </w:pPr>
      <w:bookmarkStart w:id="13" w:name="_Toc182756725"/>
      <w:r w:rsidRPr="1892D1BE">
        <w:rPr>
          <w:sz w:val="24"/>
          <w:szCs w:val="24"/>
        </w:rPr>
        <w:t>A.8</w:t>
      </w:r>
      <w:r>
        <w:tab/>
      </w:r>
      <w:r w:rsidRPr="1892D1BE">
        <w:rPr>
          <w:sz w:val="24"/>
          <w:szCs w:val="24"/>
        </w:rPr>
        <w:t>Comments in Response to the Federal Register Notice and Efforts to Consult Outside the Agency</w:t>
      </w:r>
      <w:bookmarkEnd w:id="13"/>
      <w:r w:rsidRPr="1892D1BE">
        <w:rPr>
          <w:sz w:val="24"/>
          <w:szCs w:val="24"/>
        </w:rPr>
        <w:t xml:space="preserve"> </w:t>
      </w:r>
    </w:p>
    <w:p w:rsidR="00EC2E1A" w:rsidRPr="006774DF" w:rsidP="00380C4A" w14:paraId="081CABA2" w14:textId="77777777">
      <w:pPr>
        <w:pStyle w:val="BodyText1"/>
        <w:spacing w:after="0" w:line="276" w:lineRule="auto"/>
        <w:ind w:firstLine="0"/>
        <w:rPr>
          <w:color w:val="000000"/>
          <w:sz w:val="24"/>
          <w:szCs w:val="24"/>
        </w:rPr>
      </w:pPr>
      <w:r w:rsidRPr="1892D1BE">
        <w:rPr>
          <w:color w:val="000000" w:themeColor="text1"/>
          <w:sz w:val="24"/>
          <w:szCs w:val="24"/>
        </w:rPr>
        <w:t>This information collection request does not require publication of a 60-day notice in the Federal Register.</w:t>
      </w:r>
    </w:p>
    <w:p w:rsidR="00EC2E1A" w:rsidRPr="007D620D" w:rsidP="1892D1BE" w14:paraId="4EF1186D" w14:textId="77777777">
      <w:pPr>
        <w:pStyle w:val="BodyText1"/>
        <w:spacing w:after="0" w:line="276" w:lineRule="auto"/>
        <w:rPr>
          <w:sz w:val="24"/>
          <w:szCs w:val="24"/>
        </w:rPr>
      </w:pPr>
    </w:p>
    <w:p w:rsidR="00EC2E1A" w:rsidRPr="006774DF" w:rsidP="1892D1BE" w14:paraId="1242FEBE" w14:textId="511380E2">
      <w:pPr>
        <w:pStyle w:val="BodyText1"/>
        <w:ind w:firstLine="0"/>
        <w:rPr>
          <w:color w:val="000000"/>
          <w:sz w:val="24"/>
          <w:szCs w:val="24"/>
        </w:rPr>
      </w:pPr>
      <w:r w:rsidRPr="1892D1BE">
        <w:rPr>
          <w:color w:val="000000" w:themeColor="text1"/>
          <w:sz w:val="24"/>
          <w:szCs w:val="24"/>
        </w:rPr>
        <w:t xml:space="preserve">CDC consulted with several outside experts to provide input </w:t>
      </w:r>
      <w:r w:rsidRPr="1892D1BE" w:rsidR="00376433">
        <w:rPr>
          <w:color w:val="000000" w:themeColor="text1"/>
          <w:sz w:val="24"/>
          <w:szCs w:val="24"/>
        </w:rPr>
        <w:t xml:space="preserve">into the development of the heat guidance </w:t>
      </w:r>
      <w:r w:rsidRPr="1892D1BE">
        <w:rPr>
          <w:color w:val="000000" w:themeColor="text1"/>
          <w:sz w:val="24"/>
          <w:szCs w:val="24"/>
        </w:rPr>
        <w:t>as listed in the table below.</w:t>
      </w:r>
    </w:p>
    <w:p w:rsidR="00EC2E1A" w:rsidRPr="001F7AC6" w:rsidP="1892D1BE" w14:paraId="2F337D24" w14:textId="77777777">
      <w:pPr>
        <w:pStyle w:val="BodyText1"/>
        <w:ind w:firstLine="0"/>
        <w:rPr>
          <w:b/>
          <w:bCs/>
          <w:sz w:val="24"/>
          <w:szCs w:val="24"/>
        </w:rPr>
      </w:pPr>
      <w:r w:rsidRPr="1892D1BE">
        <w:rPr>
          <w:b/>
          <w:bCs/>
          <w:sz w:val="24"/>
          <w:szCs w:val="24"/>
        </w:rPr>
        <w:t xml:space="preserve">Exhibit A.8.1. Outside Consultation </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2776F4E5" w14:textId="77777777" w:rsidTr="1892D1BE">
        <w:tblPrEx>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EC2E1A" w:rsidP="1892D1BE" w14:paraId="655497CE" w14:textId="77777777">
            <w:pPr>
              <w:pStyle w:val="Normal2"/>
              <w:pBdr>
                <w:top w:val="nil"/>
                <w:left w:val="nil"/>
                <w:bottom w:val="nil"/>
                <w:right w:val="nil"/>
                <w:between w:val="nil"/>
              </w:pBdr>
              <w:tabs>
                <w:tab w:val="left" w:pos="360"/>
              </w:tabs>
              <w:rPr>
                <w:b/>
                <w:bCs/>
                <w:color w:val="000000"/>
                <w:sz w:val="24"/>
                <w:szCs w:val="24"/>
              </w:rPr>
            </w:pPr>
            <w:r w:rsidRPr="1892D1BE">
              <w:rPr>
                <w:b/>
                <w:bCs/>
                <w:color w:val="000000" w:themeColor="text1"/>
                <w:sz w:val="24"/>
                <w:szCs w:val="24"/>
              </w:rPr>
              <w:t>Name</w:t>
            </w:r>
          </w:p>
        </w:tc>
        <w:tc>
          <w:tcPr>
            <w:tcW w:w="3289" w:type="dxa"/>
          </w:tcPr>
          <w:p w:rsidR="00EC2E1A" w:rsidP="1892D1BE" w14:paraId="7950AFD8" w14:textId="77777777">
            <w:pPr>
              <w:pStyle w:val="Normal2"/>
              <w:pBdr>
                <w:top w:val="nil"/>
                <w:left w:val="nil"/>
                <w:bottom w:val="nil"/>
                <w:right w:val="nil"/>
                <w:between w:val="nil"/>
              </w:pBdr>
              <w:tabs>
                <w:tab w:val="left" w:pos="360"/>
              </w:tabs>
              <w:rPr>
                <w:b/>
                <w:bCs/>
                <w:color w:val="000000"/>
                <w:sz w:val="24"/>
                <w:szCs w:val="24"/>
              </w:rPr>
            </w:pPr>
            <w:r w:rsidRPr="1892D1BE">
              <w:rPr>
                <w:b/>
                <w:bCs/>
                <w:color w:val="000000" w:themeColor="text1"/>
                <w:sz w:val="24"/>
                <w:szCs w:val="24"/>
              </w:rPr>
              <w:t>Organizational Unit</w:t>
            </w:r>
          </w:p>
        </w:tc>
      </w:tr>
      <w:tr w14:paraId="3370A076" w14:textId="77777777" w:rsidTr="1892D1BE">
        <w:tblPrEx>
          <w:tblW w:w="10075" w:type="dxa"/>
          <w:tblInd w:w="-5" w:type="dxa"/>
          <w:tblLayout w:type="fixed"/>
          <w:tblLook w:val="0400"/>
        </w:tblPrEx>
        <w:tc>
          <w:tcPr>
            <w:tcW w:w="6786" w:type="dxa"/>
          </w:tcPr>
          <w:p w:rsidR="00EC2E1A" w:rsidRPr="00F42C30" w:rsidP="1892D1BE" w14:paraId="199DBFBF" w14:textId="79847A50">
            <w:pPr>
              <w:pStyle w:val="Normal2"/>
              <w:pBdr>
                <w:top w:val="nil"/>
                <w:left w:val="nil"/>
                <w:bottom w:val="nil"/>
                <w:right w:val="nil"/>
                <w:between w:val="nil"/>
              </w:pBdr>
              <w:tabs>
                <w:tab w:val="left" w:pos="360"/>
              </w:tabs>
              <w:rPr>
                <w:sz w:val="24"/>
                <w:szCs w:val="24"/>
              </w:rPr>
            </w:pPr>
            <w:hyperlink r:id="rId15" w:anchor=":~:text=Director%20of%20the%20Surgical%20Obstetrics%20Area%20of%20Concentration.%20Curricular%20Interests:" w:history="1">
              <w:r w:rsidRPr="00F42C30" w:rsidR="00C538BC">
                <w:rPr>
                  <w:rFonts w:eastAsiaTheme="minorEastAsia"/>
                  <w:kern w:val="2"/>
                  <w:sz w:val="24"/>
                  <w:szCs w:val="24"/>
                  <w14:ligatures w14:val="standardContextual"/>
                </w:rPr>
                <w:t>Elise LaF</w:t>
              </w:r>
              <w:r w:rsidRPr="00F42C30" w:rsidR="00DA6573">
                <w:rPr>
                  <w:rFonts w:eastAsiaTheme="minorEastAsia"/>
                  <w:kern w:val="2"/>
                  <w:sz w:val="24"/>
                  <w:szCs w:val="24"/>
                  <w14:ligatures w14:val="standardContextual"/>
                </w:rPr>
                <w:t>l</w:t>
              </w:r>
              <w:r w:rsidRPr="00F42C30" w:rsidR="00C538BC">
                <w:rPr>
                  <w:rFonts w:eastAsiaTheme="minorEastAsia"/>
                  <w:kern w:val="2"/>
                  <w:sz w:val="24"/>
                  <w:szCs w:val="24"/>
                  <w14:ligatures w14:val="standardContextual"/>
                </w:rPr>
                <w:t>amme MD</w:t>
              </w:r>
            </w:hyperlink>
            <w:r w:rsidRPr="00F42C30" w:rsidR="00C538BC">
              <w:rPr>
                <w:rFonts w:eastAsiaTheme="minorEastAsia"/>
                <w:kern w:val="2"/>
                <w:sz w:val="24"/>
                <w:szCs w:val="24"/>
                <w14:ligatures w14:val="standardContextual"/>
              </w:rPr>
              <w:t>, Assoc</w:t>
            </w:r>
            <w:r w:rsidRPr="00F42C30" w:rsidR="00891FA0">
              <w:rPr>
                <w:rFonts w:eastAsiaTheme="minorEastAsia"/>
                <w:kern w:val="2"/>
                <w:sz w:val="24"/>
                <w:szCs w:val="24"/>
                <w14:ligatures w14:val="standardContextual"/>
              </w:rPr>
              <w:t>iate</w:t>
            </w:r>
            <w:r w:rsidRPr="00F42C30" w:rsidR="00C538BC">
              <w:rPr>
                <w:rFonts w:eastAsiaTheme="minorEastAsia"/>
                <w:kern w:val="2"/>
                <w:sz w:val="24"/>
                <w:szCs w:val="24"/>
                <w14:ligatures w14:val="standardContextual"/>
              </w:rPr>
              <w:t xml:space="preserve"> Prog</w:t>
            </w:r>
            <w:r w:rsidR="00D05C01">
              <w:rPr>
                <w:rFonts w:eastAsiaTheme="minorEastAsia"/>
                <w:kern w:val="2"/>
                <w:sz w:val="24"/>
                <w:szCs w:val="24"/>
                <w14:ligatures w14:val="standardContextual"/>
              </w:rPr>
              <w:t>ram</w:t>
            </w:r>
            <w:r w:rsidRPr="00F42C30" w:rsidR="00C538BC">
              <w:rPr>
                <w:rFonts w:eastAsiaTheme="minorEastAsia"/>
                <w:kern w:val="2"/>
                <w:sz w:val="24"/>
                <w:szCs w:val="24"/>
                <w14:ligatures w14:val="standardContextual"/>
              </w:rPr>
              <w:t xml:space="preserve"> Dir</w:t>
            </w:r>
            <w:r w:rsidRPr="00F42C30" w:rsidR="00891FA0">
              <w:rPr>
                <w:rFonts w:eastAsiaTheme="minorEastAsia"/>
                <w:kern w:val="2"/>
                <w:sz w:val="24"/>
                <w:szCs w:val="24"/>
                <w14:ligatures w14:val="standardContextual"/>
              </w:rPr>
              <w:t>ector</w:t>
            </w:r>
            <w:r w:rsidRPr="00F42C30" w:rsidR="00C538BC">
              <w:rPr>
                <w:rFonts w:eastAsiaTheme="minorEastAsia"/>
                <w:kern w:val="2"/>
                <w:sz w:val="24"/>
                <w:szCs w:val="24"/>
                <w14:ligatures w14:val="standardContextual"/>
              </w:rPr>
              <w:t>, Surg</w:t>
            </w:r>
            <w:r w:rsidRPr="00F42C30" w:rsidR="00891FA0">
              <w:rPr>
                <w:rFonts w:eastAsiaTheme="minorEastAsia"/>
                <w:kern w:val="2"/>
                <w:sz w:val="24"/>
                <w:szCs w:val="24"/>
                <w14:ligatures w14:val="standardContextual"/>
              </w:rPr>
              <w:t>ical</w:t>
            </w:r>
            <w:r w:rsidRPr="00F42C30" w:rsidR="00C538BC">
              <w:rPr>
                <w:rFonts w:eastAsiaTheme="minorEastAsia"/>
                <w:kern w:val="2"/>
                <w:sz w:val="24"/>
                <w:szCs w:val="24"/>
                <w14:ligatures w14:val="standardContextual"/>
              </w:rPr>
              <w:t xml:space="preserve"> OB</w:t>
            </w:r>
            <w:r w:rsidR="00A01143">
              <w:rPr>
                <w:rFonts w:eastAsiaTheme="minorEastAsia"/>
                <w:kern w:val="2"/>
                <w:sz w:val="24"/>
                <w:szCs w:val="24"/>
                <w14:ligatures w14:val="standardContextual"/>
              </w:rPr>
              <w:t xml:space="preserve">- </w:t>
            </w:r>
            <w:r w:rsidRPr="00F42C30" w:rsidR="00891FA0">
              <w:rPr>
                <w:rFonts w:eastAsiaTheme="minorEastAsia"/>
                <w:kern w:val="2"/>
                <w:sz w:val="24"/>
                <w:szCs w:val="24"/>
                <w14:ligatures w14:val="standardContextual"/>
              </w:rPr>
              <w:t>Gyn</w:t>
            </w:r>
          </w:p>
        </w:tc>
        <w:tc>
          <w:tcPr>
            <w:tcW w:w="3289" w:type="dxa"/>
          </w:tcPr>
          <w:p w:rsidR="00EC2E1A" w:rsidRPr="00DA6573" w:rsidP="1892D1BE" w14:paraId="53D1D1F6" w14:textId="0D5DA689">
            <w:pPr>
              <w:pStyle w:val="Normal2"/>
              <w:pBdr>
                <w:top w:val="nil"/>
                <w:left w:val="nil"/>
                <w:bottom w:val="nil"/>
                <w:right w:val="nil"/>
                <w:between w:val="nil"/>
              </w:pBdr>
              <w:tabs>
                <w:tab w:val="left" w:pos="360"/>
              </w:tabs>
              <w:rPr>
                <w:sz w:val="24"/>
                <w:szCs w:val="24"/>
              </w:rPr>
            </w:pPr>
            <w:r w:rsidRPr="00DA6573">
              <w:rPr>
                <w:sz w:val="24"/>
                <w:szCs w:val="24"/>
              </w:rPr>
              <w:t>Greater Lawrence Community Health Center</w:t>
            </w:r>
          </w:p>
        </w:tc>
      </w:tr>
      <w:tr w14:paraId="06712E81" w14:textId="77777777" w:rsidTr="1892D1BE">
        <w:tblPrEx>
          <w:tblW w:w="10075" w:type="dxa"/>
          <w:tblInd w:w="-5" w:type="dxa"/>
          <w:tblLayout w:type="fixed"/>
          <w:tblLook w:val="0400"/>
        </w:tblPrEx>
        <w:tc>
          <w:tcPr>
            <w:tcW w:w="6786" w:type="dxa"/>
          </w:tcPr>
          <w:p w:rsidR="00EC2E1A" w:rsidRPr="00F42C30" w:rsidP="1892D1BE" w14:paraId="02C89D65" w14:textId="0D5682EC">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Ellen Hey, Family N</w:t>
            </w:r>
            <w:r w:rsidRPr="00F42C30" w:rsidR="00891FA0">
              <w:rPr>
                <w:rFonts w:eastAsiaTheme="minorEastAsia"/>
                <w:kern w:val="2"/>
                <w:sz w:val="24"/>
                <w:szCs w:val="24"/>
                <w14:ligatures w14:val="standardContextual"/>
              </w:rPr>
              <w:t xml:space="preserve">urse </w:t>
            </w:r>
            <w:r w:rsidRPr="00F42C30">
              <w:rPr>
                <w:rFonts w:eastAsiaTheme="minorEastAsia"/>
                <w:kern w:val="2"/>
                <w:sz w:val="24"/>
                <w:szCs w:val="24"/>
                <w14:ligatures w14:val="standardContextual"/>
              </w:rPr>
              <w:t>P</w:t>
            </w:r>
            <w:r w:rsidRPr="00F42C30" w:rsidR="00891FA0">
              <w:rPr>
                <w:rFonts w:eastAsiaTheme="minorEastAsia"/>
                <w:kern w:val="2"/>
                <w:sz w:val="24"/>
                <w:szCs w:val="24"/>
                <w14:ligatures w14:val="standardContextual"/>
              </w:rPr>
              <w:t>ractitioner</w:t>
            </w:r>
          </w:p>
        </w:tc>
        <w:tc>
          <w:tcPr>
            <w:tcW w:w="3289" w:type="dxa"/>
          </w:tcPr>
          <w:p w:rsidR="00EC2E1A" w:rsidRPr="00DA6573" w:rsidP="1892D1BE" w14:paraId="654AECF4" w14:textId="04D622BC">
            <w:pPr>
              <w:pStyle w:val="Normal2"/>
              <w:pBdr>
                <w:top w:val="nil"/>
                <w:left w:val="nil"/>
                <w:bottom w:val="nil"/>
                <w:right w:val="nil"/>
                <w:between w:val="nil"/>
              </w:pBdr>
              <w:tabs>
                <w:tab w:val="left" w:pos="360"/>
              </w:tabs>
              <w:rPr>
                <w:sz w:val="24"/>
                <w:szCs w:val="24"/>
              </w:rPr>
            </w:pPr>
            <w:r w:rsidRPr="00DA6573">
              <w:rPr>
                <w:sz w:val="24"/>
                <w:szCs w:val="24"/>
              </w:rPr>
              <w:t>Fingerlakes</w:t>
            </w:r>
            <w:r w:rsidRPr="00DA6573">
              <w:rPr>
                <w:sz w:val="24"/>
                <w:szCs w:val="24"/>
              </w:rPr>
              <w:t xml:space="preserve"> Community Health Center</w:t>
            </w:r>
          </w:p>
        </w:tc>
      </w:tr>
      <w:tr w14:paraId="772A9621" w14:textId="77777777" w:rsidTr="1892D1BE">
        <w:tblPrEx>
          <w:tblW w:w="10075" w:type="dxa"/>
          <w:tblInd w:w="-5" w:type="dxa"/>
          <w:tblLayout w:type="fixed"/>
          <w:tblLook w:val="0400"/>
        </w:tblPrEx>
        <w:tc>
          <w:tcPr>
            <w:tcW w:w="6786" w:type="dxa"/>
          </w:tcPr>
          <w:p w:rsidR="00EC2E1A" w:rsidRPr="00F42C30" w:rsidP="1892D1BE" w14:paraId="3F11B785" w14:textId="75ABE91E">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Kelly Jones MD, Fam</w:t>
            </w:r>
            <w:r w:rsidRPr="00F42C30" w:rsidR="00891FA0">
              <w:rPr>
                <w:rFonts w:eastAsiaTheme="minorEastAsia"/>
                <w:kern w:val="2"/>
                <w:sz w:val="24"/>
                <w:szCs w:val="24"/>
                <w14:ligatures w14:val="standardContextual"/>
              </w:rPr>
              <w:t>ily</w:t>
            </w:r>
            <w:r w:rsidRPr="00F42C30">
              <w:rPr>
                <w:rFonts w:eastAsiaTheme="minorEastAsia"/>
                <w:kern w:val="2"/>
                <w:sz w:val="24"/>
                <w:szCs w:val="24"/>
                <w14:ligatures w14:val="standardContextual"/>
              </w:rPr>
              <w:t xml:space="preserve"> Pract</w:t>
            </w:r>
            <w:r w:rsidRPr="00F42C30" w:rsidR="00891FA0">
              <w:rPr>
                <w:rFonts w:eastAsiaTheme="minorEastAsia"/>
                <w:kern w:val="2"/>
                <w:sz w:val="24"/>
                <w:szCs w:val="24"/>
                <w14:ligatures w14:val="standardContextual"/>
              </w:rPr>
              <w:t>itioner</w:t>
            </w:r>
            <w:r w:rsidRPr="00F42C30">
              <w:rPr>
                <w:rFonts w:eastAsiaTheme="minorEastAsia"/>
                <w:kern w:val="2"/>
                <w:sz w:val="24"/>
                <w:szCs w:val="24"/>
                <w14:ligatures w14:val="standardContextual"/>
              </w:rPr>
              <w:t>, Clinic CMO</w:t>
            </w:r>
          </w:p>
        </w:tc>
        <w:tc>
          <w:tcPr>
            <w:tcW w:w="3289" w:type="dxa"/>
          </w:tcPr>
          <w:p w:rsidR="00EC2E1A" w:rsidRPr="00DA6573" w:rsidP="1892D1BE" w14:paraId="25BA4D0C" w14:textId="53208709">
            <w:pPr>
              <w:pStyle w:val="Normal2"/>
              <w:pBdr>
                <w:top w:val="nil"/>
                <w:left w:val="nil"/>
                <w:bottom w:val="nil"/>
                <w:right w:val="nil"/>
                <w:between w:val="nil"/>
              </w:pBdr>
              <w:tabs>
                <w:tab w:val="left" w:pos="360"/>
              </w:tabs>
              <w:rPr>
                <w:sz w:val="24"/>
                <w:szCs w:val="24"/>
              </w:rPr>
            </w:pPr>
            <w:r w:rsidRPr="00DA6573">
              <w:rPr>
                <w:sz w:val="24"/>
                <w:szCs w:val="24"/>
              </w:rPr>
              <w:t>Kedren</w:t>
            </w:r>
            <w:r w:rsidRPr="00DA6573">
              <w:rPr>
                <w:sz w:val="24"/>
                <w:szCs w:val="24"/>
              </w:rPr>
              <w:t xml:space="preserve"> Community Health Center</w:t>
            </w:r>
          </w:p>
        </w:tc>
      </w:tr>
      <w:tr w14:paraId="37D033B4" w14:textId="77777777" w:rsidTr="1892D1BE">
        <w:tblPrEx>
          <w:tblW w:w="10075" w:type="dxa"/>
          <w:tblInd w:w="-5" w:type="dxa"/>
          <w:tblLayout w:type="fixed"/>
          <w:tblLook w:val="0400"/>
        </w:tblPrEx>
        <w:tc>
          <w:tcPr>
            <w:tcW w:w="6786" w:type="dxa"/>
          </w:tcPr>
          <w:p w:rsidR="00A76598" w:rsidRPr="00F42C30" w:rsidP="1892D1BE" w14:paraId="1D456594" w14:textId="2FD764AC">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Eugene Nor MD, Fam</w:t>
            </w:r>
            <w:r w:rsidRPr="00F42C30" w:rsidR="00891FA0">
              <w:rPr>
                <w:rFonts w:eastAsiaTheme="minorEastAsia"/>
                <w:kern w:val="2"/>
                <w:sz w:val="24"/>
                <w:szCs w:val="24"/>
                <w14:ligatures w14:val="standardContextual"/>
              </w:rPr>
              <w:t>ily</w:t>
            </w:r>
            <w:r w:rsidRPr="00F42C30">
              <w:rPr>
                <w:rFonts w:eastAsiaTheme="minorEastAsia"/>
                <w:kern w:val="2"/>
                <w:sz w:val="24"/>
                <w:szCs w:val="24"/>
                <w14:ligatures w14:val="standardContextual"/>
              </w:rPr>
              <w:t xml:space="preserve"> Med</w:t>
            </w:r>
            <w:r w:rsidRPr="00F42C30" w:rsidR="00891FA0">
              <w:rPr>
                <w:rFonts w:eastAsiaTheme="minorEastAsia"/>
                <w:kern w:val="2"/>
                <w:sz w:val="24"/>
                <w:szCs w:val="24"/>
                <w14:ligatures w14:val="standardContextual"/>
              </w:rPr>
              <w:t>icine</w:t>
            </w:r>
            <w:r w:rsidRPr="00F42C30">
              <w:rPr>
                <w:rFonts w:eastAsiaTheme="minorEastAsia"/>
                <w:kern w:val="2"/>
                <w:sz w:val="24"/>
                <w:szCs w:val="24"/>
                <w14:ligatures w14:val="standardContextual"/>
              </w:rPr>
              <w:t>, Clinic CMO</w:t>
            </w:r>
          </w:p>
        </w:tc>
        <w:tc>
          <w:tcPr>
            <w:tcW w:w="3289" w:type="dxa"/>
          </w:tcPr>
          <w:p w:rsidR="00A76598" w:rsidRPr="00DA6573" w:rsidP="1892D1BE" w14:paraId="0A569CF6" w14:textId="76A55634">
            <w:pPr>
              <w:pStyle w:val="Normal2"/>
              <w:pBdr>
                <w:top w:val="nil"/>
                <w:left w:val="nil"/>
                <w:bottom w:val="nil"/>
                <w:right w:val="nil"/>
                <w:between w:val="nil"/>
              </w:pBdr>
              <w:tabs>
                <w:tab w:val="left" w:pos="360"/>
              </w:tabs>
              <w:rPr>
                <w:sz w:val="24"/>
                <w:szCs w:val="24"/>
              </w:rPr>
            </w:pPr>
            <w:r w:rsidRPr="00DA6573">
              <w:rPr>
                <w:sz w:val="24"/>
                <w:szCs w:val="24"/>
              </w:rPr>
              <w:t>Robeson Community Health Center</w:t>
            </w:r>
          </w:p>
        </w:tc>
      </w:tr>
      <w:tr w14:paraId="5070F315" w14:textId="77777777" w:rsidTr="1892D1BE">
        <w:tblPrEx>
          <w:tblW w:w="10075" w:type="dxa"/>
          <w:tblInd w:w="-5" w:type="dxa"/>
          <w:tblLayout w:type="fixed"/>
          <w:tblLook w:val="0400"/>
        </w:tblPrEx>
        <w:tc>
          <w:tcPr>
            <w:tcW w:w="6786" w:type="dxa"/>
          </w:tcPr>
          <w:p w:rsidR="00A76598" w:rsidRPr="00F42C30" w:rsidP="1892D1BE" w14:paraId="495C4BEB" w14:textId="64180E3A">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Eric Henley, MD MPH</w:t>
            </w:r>
            <w:r w:rsidRPr="00F42C30" w:rsidR="00891FA0">
              <w:rPr>
                <w:rFonts w:eastAsiaTheme="minorEastAsia"/>
                <w:kern w:val="2"/>
                <w:sz w:val="24"/>
                <w:szCs w:val="24"/>
                <w14:ligatures w14:val="standardContextual"/>
              </w:rPr>
              <w:t>, recently retired CMO</w:t>
            </w:r>
          </w:p>
        </w:tc>
        <w:tc>
          <w:tcPr>
            <w:tcW w:w="3289" w:type="dxa"/>
          </w:tcPr>
          <w:p w:rsidR="00A76598" w:rsidRPr="00DA6573" w:rsidP="1892D1BE" w14:paraId="74D953CE" w14:textId="3B9D32ED">
            <w:pPr>
              <w:pStyle w:val="Normal2"/>
              <w:pBdr>
                <w:top w:val="nil"/>
                <w:left w:val="nil"/>
                <w:bottom w:val="nil"/>
                <w:right w:val="nil"/>
                <w:between w:val="nil"/>
              </w:pBdr>
              <w:tabs>
                <w:tab w:val="left" w:pos="360"/>
              </w:tabs>
              <w:rPr>
                <w:sz w:val="24"/>
                <w:szCs w:val="24"/>
              </w:rPr>
            </w:pPr>
            <w:r w:rsidRPr="00DA6573">
              <w:rPr>
                <w:sz w:val="24"/>
                <w:szCs w:val="24"/>
              </w:rPr>
              <w:t>Lifelong Medical Community Health Center</w:t>
            </w:r>
          </w:p>
        </w:tc>
      </w:tr>
      <w:tr w14:paraId="4179BA47" w14:textId="77777777" w:rsidTr="1892D1BE">
        <w:tblPrEx>
          <w:tblW w:w="10075" w:type="dxa"/>
          <w:tblInd w:w="-5" w:type="dxa"/>
          <w:tblLayout w:type="fixed"/>
          <w:tblLook w:val="0400"/>
        </w:tblPrEx>
        <w:tc>
          <w:tcPr>
            <w:tcW w:w="6786" w:type="dxa"/>
          </w:tcPr>
          <w:p w:rsidR="00A76598" w:rsidRPr="00F42C30" w:rsidP="1892D1BE" w14:paraId="182A402D" w14:textId="754F5BE9">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 xml:space="preserve">Lisa Lynn </w:t>
            </w:r>
            <w:r w:rsidRPr="00F42C30">
              <w:rPr>
                <w:rFonts w:eastAsiaTheme="minorEastAsia"/>
                <w:kern w:val="2"/>
                <w:sz w:val="24"/>
                <w:szCs w:val="24"/>
                <w14:ligatures w14:val="standardContextual"/>
              </w:rPr>
              <w:t>Vendeland</w:t>
            </w:r>
            <w:r w:rsidRPr="00F42C30">
              <w:rPr>
                <w:rFonts w:eastAsiaTheme="minorEastAsia"/>
                <w:kern w:val="2"/>
                <w:sz w:val="24"/>
                <w:szCs w:val="24"/>
                <w14:ligatures w14:val="standardContextual"/>
              </w:rPr>
              <w:t xml:space="preserve">, DO, MA, Director </w:t>
            </w:r>
            <w:r w:rsidRPr="00F42C30" w:rsidR="00891FA0">
              <w:rPr>
                <w:rFonts w:eastAsiaTheme="minorEastAsia"/>
                <w:kern w:val="2"/>
                <w:sz w:val="24"/>
                <w:szCs w:val="24"/>
                <w14:ligatures w14:val="standardContextual"/>
              </w:rPr>
              <w:t>of</w:t>
            </w:r>
            <w:r w:rsidRPr="00F42C30">
              <w:rPr>
                <w:rFonts w:eastAsiaTheme="minorEastAsia"/>
                <w:kern w:val="2"/>
                <w:sz w:val="24"/>
                <w:szCs w:val="24"/>
                <w14:ligatures w14:val="standardContextual"/>
              </w:rPr>
              <w:t xml:space="preserve"> Obstetrics, Gynecology and Women’s Services</w:t>
            </w:r>
          </w:p>
        </w:tc>
        <w:tc>
          <w:tcPr>
            <w:tcW w:w="3289" w:type="dxa"/>
          </w:tcPr>
          <w:p w:rsidR="00A76598" w:rsidRPr="00DA6573" w:rsidP="1892D1BE" w14:paraId="27ECC621" w14:textId="4F012DAF">
            <w:pPr>
              <w:pStyle w:val="Normal2"/>
              <w:pBdr>
                <w:top w:val="nil"/>
                <w:left w:val="nil"/>
                <w:bottom w:val="nil"/>
                <w:right w:val="nil"/>
                <w:between w:val="nil"/>
              </w:pBdr>
              <w:tabs>
                <w:tab w:val="left" w:pos="360"/>
              </w:tabs>
              <w:rPr>
                <w:sz w:val="24"/>
                <w:szCs w:val="24"/>
              </w:rPr>
            </w:pPr>
            <w:r w:rsidRPr="00DA6573">
              <w:rPr>
                <w:sz w:val="24"/>
                <w:szCs w:val="24"/>
              </w:rPr>
              <w:t>Advance</w:t>
            </w:r>
            <w:r w:rsidRPr="00DA6573" w:rsidR="00796CC4">
              <w:rPr>
                <w:sz w:val="24"/>
                <w:szCs w:val="24"/>
              </w:rPr>
              <w:t xml:space="preserve"> Community Health Center</w:t>
            </w:r>
          </w:p>
        </w:tc>
      </w:tr>
      <w:tr w14:paraId="64415E08" w14:textId="77777777" w:rsidTr="1892D1BE">
        <w:tblPrEx>
          <w:tblW w:w="10075" w:type="dxa"/>
          <w:tblInd w:w="-5" w:type="dxa"/>
          <w:tblLayout w:type="fixed"/>
          <w:tblLook w:val="0400"/>
        </w:tblPrEx>
        <w:tc>
          <w:tcPr>
            <w:tcW w:w="6786" w:type="dxa"/>
          </w:tcPr>
          <w:p w:rsidR="00A76598" w:rsidRPr="00F42C30" w:rsidP="1892D1BE" w14:paraId="75EC0AE9" w14:textId="2BE36D34">
            <w:pPr>
              <w:pStyle w:val="Normal2"/>
              <w:pBdr>
                <w:top w:val="nil"/>
                <w:left w:val="nil"/>
                <w:bottom w:val="nil"/>
                <w:right w:val="nil"/>
                <w:between w:val="nil"/>
              </w:pBdr>
              <w:tabs>
                <w:tab w:val="left" w:pos="360"/>
              </w:tabs>
              <w:rPr>
                <w:sz w:val="24"/>
                <w:szCs w:val="24"/>
              </w:rPr>
            </w:pPr>
            <w:r w:rsidRPr="00F42C30">
              <w:rPr>
                <w:rFonts w:eastAsiaTheme="minorEastAsia"/>
                <w:kern w:val="2"/>
                <w:sz w:val="24"/>
                <w:szCs w:val="24"/>
                <w14:ligatures w14:val="standardContextual"/>
              </w:rPr>
              <w:t>Sherrill Brown</w:t>
            </w:r>
            <w:r w:rsidR="00064ACD">
              <w:rPr>
                <w:rFonts w:eastAsiaTheme="minorEastAsia"/>
                <w:kern w:val="2"/>
                <w:sz w:val="24"/>
                <w:szCs w:val="24"/>
                <w14:ligatures w14:val="standardContextual"/>
              </w:rPr>
              <w:t>, MD</w:t>
            </w:r>
            <w:r w:rsidRPr="00F42C30">
              <w:rPr>
                <w:rFonts w:eastAsiaTheme="minorEastAsia"/>
                <w:kern w:val="2"/>
                <w:sz w:val="24"/>
                <w:szCs w:val="24"/>
                <w14:ligatures w14:val="standardContextual"/>
              </w:rPr>
              <w:t xml:space="preserve">, </w:t>
            </w:r>
            <w:r w:rsidRPr="00F42C30" w:rsidR="00891FA0">
              <w:rPr>
                <w:rFonts w:eastAsiaTheme="minorEastAsia"/>
                <w:kern w:val="2"/>
                <w:sz w:val="24"/>
                <w:szCs w:val="24"/>
                <w14:ligatures w14:val="standardContextual"/>
              </w:rPr>
              <w:t>M</w:t>
            </w:r>
            <w:r w:rsidRPr="00F42C30">
              <w:rPr>
                <w:rFonts w:eastAsiaTheme="minorEastAsia"/>
                <w:kern w:val="2"/>
                <w:sz w:val="24"/>
                <w:szCs w:val="24"/>
                <w14:ligatures w14:val="standardContextual"/>
              </w:rPr>
              <w:t xml:space="preserve">edical </w:t>
            </w:r>
            <w:r w:rsidRPr="00F42C30" w:rsidR="00891FA0">
              <w:rPr>
                <w:rFonts w:eastAsiaTheme="minorEastAsia"/>
                <w:kern w:val="2"/>
                <w:sz w:val="24"/>
                <w:szCs w:val="24"/>
                <w14:ligatures w14:val="standardContextual"/>
              </w:rPr>
              <w:t>D</w:t>
            </w:r>
            <w:r w:rsidRPr="00F42C30">
              <w:rPr>
                <w:rFonts w:eastAsiaTheme="minorEastAsia"/>
                <w:kern w:val="2"/>
                <w:sz w:val="24"/>
                <w:szCs w:val="24"/>
                <w14:ligatures w14:val="standardContextual"/>
              </w:rPr>
              <w:t>irector</w:t>
            </w:r>
          </w:p>
        </w:tc>
        <w:tc>
          <w:tcPr>
            <w:tcW w:w="3289" w:type="dxa"/>
          </w:tcPr>
          <w:p w:rsidR="00A76598" w:rsidRPr="00DA6573" w:rsidP="1892D1BE" w14:paraId="7B6B73AB" w14:textId="4BB9F8F8">
            <w:pPr>
              <w:pStyle w:val="Normal2"/>
              <w:pBdr>
                <w:top w:val="nil"/>
                <w:left w:val="nil"/>
                <w:bottom w:val="nil"/>
                <w:right w:val="nil"/>
                <w:between w:val="nil"/>
              </w:pBdr>
              <w:tabs>
                <w:tab w:val="left" w:pos="360"/>
              </w:tabs>
              <w:rPr>
                <w:sz w:val="24"/>
                <w:szCs w:val="24"/>
              </w:rPr>
            </w:pPr>
            <w:r w:rsidRPr="00DA6573">
              <w:rPr>
                <w:sz w:val="24"/>
                <w:szCs w:val="24"/>
              </w:rPr>
              <w:t>Altamed</w:t>
            </w:r>
            <w:r w:rsidRPr="00DA6573">
              <w:rPr>
                <w:sz w:val="24"/>
                <w:szCs w:val="24"/>
              </w:rPr>
              <w:t xml:space="preserve"> Health Services</w:t>
            </w:r>
          </w:p>
        </w:tc>
      </w:tr>
      <w:tr w14:paraId="4F5EA105" w14:textId="77777777" w:rsidTr="1892D1BE">
        <w:tblPrEx>
          <w:tblW w:w="10075" w:type="dxa"/>
          <w:tblInd w:w="-5" w:type="dxa"/>
          <w:tblLayout w:type="fixed"/>
          <w:tblLook w:val="0400"/>
        </w:tblPrEx>
        <w:tc>
          <w:tcPr>
            <w:tcW w:w="6786" w:type="dxa"/>
          </w:tcPr>
          <w:p w:rsidR="007B44CF" w:rsidRPr="00F42C30" w:rsidP="1892D1BE" w14:paraId="1E178CF6" w14:textId="329CA583">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F42C30">
              <w:rPr>
                <w:rFonts w:eastAsiaTheme="minorEastAsia"/>
                <w:kern w:val="2"/>
                <w:sz w:val="24"/>
                <w:szCs w:val="24"/>
                <w14:ligatures w14:val="standardContextual"/>
              </w:rPr>
              <w:t xml:space="preserve">Carol </w:t>
            </w:r>
            <w:r w:rsidRPr="00F42C30">
              <w:rPr>
                <w:rFonts w:eastAsiaTheme="minorEastAsia"/>
                <w:kern w:val="2"/>
                <w:sz w:val="24"/>
                <w:szCs w:val="24"/>
                <w14:ligatures w14:val="standardContextual"/>
              </w:rPr>
              <w:t>Gambrill</w:t>
            </w:r>
            <w:r w:rsidRPr="00F42C30">
              <w:rPr>
                <w:rFonts w:eastAsiaTheme="minorEastAsia"/>
                <w:kern w:val="2"/>
                <w:sz w:val="24"/>
                <w:szCs w:val="24"/>
                <w14:ligatures w14:val="standardContextual"/>
              </w:rPr>
              <w:t xml:space="preserve"> DO, Family Practitioner</w:t>
            </w:r>
          </w:p>
        </w:tc>
        <w:tc>
          <w:tcPr>
            <w:tcW w:w="3289" w:type="dxa"/>
          </w:tcPr>
          <w:p w:rsidR="007B44CF" w:rsidRPr="00DA6573" w:rsidP="1892D1BE" w14:paraId="0887734A" w14:textId="1EB23D50">
            <w:pPr>
              <w:pStyle w:val="Normal2"/>
              <w:pBdr>
                <w:top w:val="nil"/>
                <w:left w:val="nil"/>
                <w:bottom w:val="nil"/>
                <w:right w:val="nil"/>
                <w:between w:val="nil"/>
              </w:pBdr>
              <w:tabs>
                <w:tab w:val="left" w:pos="360"/>
              </w:tabs>
              <w:rPr>
                <w:sz w:val="24"/>
                <w:szCs w:val="24"/>
              </w:rPr>
            </w:pPr>
            <w:r w:rsidRPr="00DA6573">
              <w:rPr>
                <w:sz w:val="24"/>
                <w:szCs w:val="24"/>
              </w:rPr>
              <w:t>Hope Clinic Community Health Center</w:t>
            </w:r>
          </w:p>
        </w:tc>
      </w:tr>
      <w:tr w14:paraId="4FB958C2" w14:textId="77777777" w:rsidTr="1892D1BE">
        <w:tblPrEx>
          <w:tblW w:w="10075" w:type="dxa"/>
          <w:tblInd w:w="-5" w:type="dxa"/>
          <w:tblLayout w:type="fixed"/>
          <w:tblLook w:val="0400"/>
        </w:tblPrEx>
        <w:tc>
          <w:tcPr>
            <w:tcW w:w="6786" w:type="dxa"/>
          </w:tcPr>
          <w:p w:rsidR="00993D59" w:rsidRPr="000F3872" w:rsidP="00993D59" w14:paraId="2616B366" w14:textId="51898E34">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0F3872">
              <w:rPr>
                <w:rFonts w:eastAsiaTheme="minorEastAsia"/>
                <w:kern w:val="2"/>
                <w:sz w:val="24"/>
                <w:szCs w:val="24"/>
                <w14:ligatures w14:val="standardContextual"/>
              </w:rPr>
              <w:t>Mitchell Grayson</w:t>
            </w:r>
            <w:r w:rsidRPr="000F3872" w:rsidR="00EF66D4">
              <w:rPr>
                <w:rFonts w:eastAsiaTheme="minorEastAsia"/>
                <w:kern w:val="2"/>
                <w:sz w:val="24"/>
                <w:szCs w:val="24"/>
                <w14:ligatures w14:val="standardContextual"/>
              </w:rPr>
              <w:t xml:space="preserve"> MD</w:t>
            </w:r>
          </w:p>
          <w:p w:rsidR="00993D59" w:rsidRPr="000F3872" w:rsidP="00993D59" w14:paraId="4FED2147" w14:textId="77777777">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0F3872">
              <w:rPr>
                <w:rFonts w:eastAsiaTheme="minorEastAsia"/>
                <w:kern w:val="2"/>
                <w:sz w:val="24"/>
                <w:szCs w:val="24"/>
                <w14:ligatures w14:val="standardContextual"/>
              </w:rPr>
              <w:t xml:space="preserve"> </w:t>
            </w:r>
          </w:p>
          <w:p w:rsidR="00993D59" w:rsidRPr="000F3872" w:rsidP="00993D59" w14:paraId="1460A2BF" w14:textId="77777777">
            <w:pPr>
              <w:pStyle w:val="Normal2"/>
              <w:pBdr>
                <w:top w:val="nil"/>
                <w:left w:val="nil"/>
                <w:bottom w:val="nil"/>
                <w:right w:val="nil"/>
                <w:between w:val="nil"/>
              </w:pBdr>
              <w:tabs>
                <w:tab w:val="left" w:pos="360"/>
              </w:tabs>
              <w:rPr>
                <w:rFonts w:eastAsiaTheme="minorEastAsia"/>
                <w:kern w:val="2"/>
                <w:sz w:val="24"/>
                <w:szCs w:val="24"/>
                <w14:ligatures w14:val="standardContextual"/>
              </w:rPr>
            </w:pPr>
          </w:p>
        </w:tc>
        <w:tc>
          <w:tcPr>
            <w:tcW w:w="3289" w:type="dxa"/>
          </w:tcPr>
          <w:p w:rsidR="00993D59" w:rsidRPr="000F3872" w:rsidP="1892D1BE" w14:paraId="5A502571" w14:textId="65E91D35">
            <w:pPr>
              <w:pStyle w:val="Normal2"/>
              <w:pBdr>
                <w:top w:val="nil"/>
                <w:left w:val="nil"/>
                <w:bottom w:val="nil"/>
                <w:right w:val="nil"/>
                <w:between w:val="nil"/>
              </w:pBdr>
              <w:tabs>
                <w:tab w:val="left" w:pos="360"/>
              </w:tabs>
              <w:rPr>
                <w:sz w:val="24"/>
                <w:szCs w:val="24"/>
              </w:rPr>
            </w:pPr>
            <w:r w:rsidRPr="000F3872">
              <w:rPr>
                <w:rFonts w:eastAsiaTheme="minorEastAsia"/>
                <w:kern w:val="2"/>
                <w:sz w:val="24"/>
                <w:szCs w:val="24"/>
                <w14:ligatures w14:val="standardContextual"/>
              </w:rPr>
              <w:t>A</w:t>
            </w:r>
            <w:r w:rsidRPr="000F3872" w:rsidR="0018334E">
              <w:rPr>
                <w:rFonts w:eastAsiaTheme="minorEastAsia"/>
                <w:kern w:val="2"/>
                <w:sz w:val="24"/>
                <w:szCs w:val="24"/>
                <w14:ligatures w14:val="standardContextual"/>
              </w:rPr>
              <w:t xml:space="preserve">merican </w:t>
            </w:r>
            <w:r w:rsidRPr="000F3872">
              <w:rPr>
                <w:rFonts w:eastAsiaTheme="minorEastAsia"/>
                <w:kern w:val="2"/>
                <w:sz w:val="24"/>
                <w:szCs w:val="24"/>
                <w14:ligatures w14:val="standardContextual"/>
              </w:rPr>
              <w:t>A</w:t>
            </w:r>
            <w:r w:rsidRPr="000F3872" w:rsidR="0018334E">
              <w:rPr>
                <w:rFonts w:eastAsiaTheme="minorEastAsia"/>
                <w:kern w:val="2"/>
                <w:sz w:val="24"/>
                <w:szCs w:val="24"/>
                <w14:ligatures w14:val="standardContextual"/>
              </w:rPr>
              <w:t xml:space="preserve">cademy of </w:t>
            </w:r>
            <w:r w:rsidRPr="000F3872">
              <w:rPr>
                <w:rFonts w:eastAsiaTheme="minorEastAsia"/>
                <w:kern w:val="2"/>
                <w:sz w:val="24"/>
                <w:szCs w:val="24"/>
                <w14:ligatures w14:val="standardContextual"/>
              </w:rPr>
              <w:t>A</w:t>
            </w:r>
            <w:r w:rsidRPr="000F3872" w:rsidR="0018334E">
              <w:rPr>
                <w:rFonts w:eastAsiaTheme="minorEastAsia"/>
                <w:kern w:val="2"/>
                <w:sz w:val="24"/>
                <w:szCs w:val="24"/>
                <w14:ligatures w14:val="standardContextual"/>
              </w:rPr>
              <w:t xml:space="preserve">llergy, Asthma, and Immunology and </w:t>
            </w:r>
            <w:r w:rsidRPr="000F3872" w:rsidR="000F3872">
              <w:rPr>
                <w:rFonts w:eastAsiaTheme="minorEastAsia"/>
                <w:kern w:val="2"/>
                <w:sz w:val="24"/>
                <w:szCs w:val="24"/>
                <w14:ligatures w14:val="standardContextual"/>
              </w:rPr>
              <w:t xml:space="preserve">American College of Allergy, Asthma, and Immunology </w:t>
            </w:r>
          </w:p>
        </w:tc>
      </w:tr>
      <w:tr w14:paraId="21E70431" w14:textId="77777777" w:rsidTr="1892D1BE">
        <w:tblPrEx>
          <w:tblW w:w="10075" w:type="dxa"/>
          <w:tblInd w:w="-5" w:type="dxa"/>
          <w:tblLayout w:type="fixed"/>
          <w:tblLook w:val="0400"/>
        </w:tblPrEx>
        <w:tc>
          <w:tcPr>
            <w:tcW w:w="6786" w:type="dxa"/>
          </w:tcPr>
          <w:p w:rsidR="007B44CF" w:rsidRPr="000F3872" w:rsidP="1892D1BE" w14:paraId="27819941" w14:textId="1CC970DA">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0F3872">
              <w:rPr>
                <w:rFonts w:eastAsiaTheme="minorEastAsia"/>
                <w:kern w:val="2"/>
                <w:sz w:val="24"/>
                <w:szCs w:val="24"/>
                <w14:ligatures w14:val="standardContextual"/>
              </w:rPr>
              <w:t>Michelle Jones MD</w:t>
            </w:r>
          </w:p>
        </w:tc>
        <w:tc>
          <w:tcPr>
            <w:tcW w:w="3289" w:type="dxa"/>
          </w:tcPr>
          <w:p w:rsidR="007B44CF" w:rsidRPr="000F3872" w:rsidP="1892D1BE" w14:paraId="31E10E1C" w14:textId="6CF1FC04">
            <w:pPr>
              <w:pStyle w:val="Normal2"/>
              <w:pBdr>
                <w:top w:val="nil"/>
                <w:left w:val="nil"/>
                <w:bottom w:val="nil"/>
                <w:right w:val="nil"/>
                <w:between w:val="nil"/>
              </w:pBdr>
              <w:tabs>
                <w:tab w:val="left" w:pos="360"/>
              </w:tabs>
              <w:rPr>
                <w:sz w:val="24"/>
                <w:szCs w:val="24"/>
              </w:rPr>
            </w:pPr>
            <w:r w:rsidRPr="000F3872">
              <w:rPr>
                <w:sz w:val="24"/>
                <w:szCs w:val="24"/>
              </w:rPr>
              <w:t xml:space="preserve">American College of Obstetrics and </w:t>
            </w:r>
            <w:r w:rsidRPr="000F3872" w:rsidR="00EC6A4E">
              <w:rPr>
                <w:sz w:val="24"/>
                <w:szCs w:val="24"/>
              </w:rPr>
              <w:t>Gynecology</w:t>
            </w:r>
          </w:p>
        </w:tc>
      </w:tr>
      <w:tr w14:paraId="5EB272C2" w14:textId="77777777" w:rsidTr="1892D1BE">
        <w:tblPrEx>
          <w:tblW w:w="10075" w:type="dxa"/>
          <w:tblInd w:w="-5" w:type="dxa"/>
          <w:tblLayout w:type="fixed"/>
          <w:tblLook w:val="0400"/>
        </w:tblPrEx>
        <w:tc>
          <w:tcPr>
            <w:tcW w:w="6786" w:type="dxa"/>
          </w:tcPr>
          <w:p w:rsidR="00993D59" w:rsidRPr="000F3872" w:rsidP="00993D59" w14:paraId="1E335C7B" w14:textId="4A29831D">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0F3872">
              <w:rPr>
                <w:rFonts w:eastAsiaTheme="minorEastAsia"/>
                <w:kern w:val="2"/>
                <w:sz w:val="24"/>
                <w:szCs w:val="24"/>
                <w14:ligatures w14:val="standardContextual"/>
              </w:rPr>
              <w:t xml:space="preserve">Megan McReynolds </w:t>
            </w:r>
            <w:r w:rsidRPr="000F3872" w:rsidR="00EF66D4">
              <w:rPr>
                <w:rFonts w:eastAsiaTheme="minorEastAsia"/>
                <w:kern w:val="2"/>
                <w:sz w:val="24"/>
                <w:szCs w:val="24"/>
                <w14:ligatures w14:val="standardContextual"/>
              </w:rPr>
              <w:t>MD</w:t>
            </w:r>
          </w:p>
        </w:tc>
        <w:tc>
          <w:tcPr>
            <w:tcW w:w="3289" w:type="dxa"/>
          </w:tcPr>
          <w:p w:rsidR="00993D59" w:rsidRPr="000F3872" w:rsidP="1892D1BE" w14:paraId="336FAFA7" w14:textId="110B2089">
            <w:pPr>
              <w:pStyle w:val="Normal2"/>
              <w:pBdr>
                <w:top w:val="nil"/>
                <w:left w:val="nil"/>
                <w:bottom w:val="nil"/>
                <w:right w:val="nil"/>
                <w:between w:val="nil"/>
              </w:pBdr>
              <w:tabs>
                <w:tab w:val="left" w:pos="360"/>
              </w:tabs>
              <w:rPr>
                <w:sz w:val="24"/>
                <w:szCs w:val="24"/>
              </w:rPr>
            </w:pPr>
            <w:r w:rsidRPr="000F3872">
              <w:rPr>
                <w:rFonts w:eastAsiaTheme="minorEastAsia"/>
                <w:kern w:val="2"/>
                <w:sz w:val="24"/>
                <w:szCs w:val="24"/>
                <w14:ligatures w14:val="standardContextual"/>
              </w:rPr>
              <w:t>Society for Maternal-Fetal Medicine (SMFM)</w:t>
            </w:r>
          </w:p>
        </w:tc>
      </w:tr>
      <w:tr w14:paraId="100DF574" w14:textId="77777777" w:rsidTr="1892D1BE">
        <w:tblPrEx>
          <w:tblW w:w="10075" w:type="dxa"/>
          <w:tblInd w:w="-5" w:type="dxa"/>
          <w:tblLayout w:type="fixed"/>
          <w:tblLook w:val="0400"/>
        </w:tblPrEx>
        <w:tc>
          <w:tcPr>
            <w:tcW w:w="6786" w:type="dxa"/>
          </w:tcPr>
          <w:p w:rsidR="00993D59" w:rsidRPr="000F3872" w:rsidP="00993D59" w14:paraId="38B03252" w14:textId="33AABA9B">
            <w:pPr>
              <w:pStyle w:val="Normal2"/>
              <w:pBdr>
                <w:top w:val="nil"/>
                <w:left w:val="nil"/>
                <w:bottom w:val="nil"/>
                <w:right w:val="nil"/>
                <w:between w:val="nil"/>
              </w:pBdr>
              <w:tabs>
                <w:tab w:val="left" w:pos="360"/>
              </w:tabs>
              <w:rPr>
                <w:rFonts w:eastAsiaTheme="minorEastAsia"/>
                <w:kern w:val="2"/>
                <w:sz w:val="24"/>
                <w:szCs w:val="24"/>
                <w14:ligatures w14:val="standardContextual"/>
              </w:rPr>
            </w:pPr>
            <w:r w:rsidRPr="000F3872">
              <w:rPr>
                <w:rFonts w:eastAsiaTheme="minorEastAsia"/>
                <w:kern w:val="2"/>
                <w:sz w:val="24"/>
                <w:szCs w:val="24"/>
                <w14:ligatures w14:val="standardContextual"/>
              </w:rPr>
              <w:t xml:space="preserve">Sarah </w:t>
            </w:r>
            <w:r w:rsidRPr="000F3872">
              <w:rPr>
                <w:rFonts w:eastAsiaTheme="minorEastAsia"/>
                <w:kern w:val="2"/>
                <w:sz w:val="24"/>
                <w:szCs w:val="24"/>
                <w14:ligatures w14:val="standardContextual"/>
              </w:rPr>
              <w:t>Boudova</w:t>
            </w:r>
            <w:r w:rsidRPr="000F3872">
              <w:rPr>
                <w:rFonts w:eastAsiaTheme="minorEastAsia"/>
                <w:kern w:val="2"/>
                <w:sz w:val="24"/>
                <w:szCs w:val="24"/>
                <w14:ligatures w14:val="standardContextual"/>
              </w:rPr>
              <w:t xml:space="preserve"> </w:t>
            </w:r>
            <w:r w:rsidRPr="000F3872" w:rsidR="00EF66D4">
              <w:rPr>
                <w:rFonts w:eastAsiaTheme="minorEastAsia"/>
                <w:kern w:val="2"/>
                <w:sz w:val="24"/>
                <w:szCs w:val="24"/>
                <w14:ligatures w14:val="standardContextual"/>
              </w:rPr>
              <w:t>MD</w:t>
            </w:r>
            <w:r w:rsidRPr="000F3872">
              <w:rPr>
                <w:rFonts w:eastAsiaTheme="minorEastAsia"/>
                <w:kern w:val="2"/>
                <w:sz w:val="24"/>
                <w:szCs w:val="24"/>
                <w14:ligatures w14:val="standardContextual"/>
              </w:rPr>
              <w:t xml:space="preserve"> </w:t>
            </w:r>
          </w:p>
        </w:tc>
        <w:tc>
          <w:tcPr>
            <w:tcW w:w="3289" w:type="dxa"/>
          </w:tcPr>
          <w:p w:rsidR="00993D59" w:rsidRPr="000F3872" w:rsidP="1892D1BE" w14:paraId="5A873520" w14:textId="3D5B3DE6">
            <w:pPr>
              <w:pStyle w:val="Normal2"/>
              <w:pBdr>
                <w:top w:val="nil"/>
                <w:left w:val="nil"/>
                <w:bottom w:val="nil"/>
                <w:right w:val="nil"/>
                <w:between w:val="nil"/>
              </w:pBdr>
              <w:tabs>
                <w:tab w:val="left" w:pos="360"/>
              </w:tabs>
              <w:rPr>
                <w:sz w:val="24"/>
                <w:szCs w:val="24"/>
              </w:rPr>
            </w:pPr>
            <w:r w:rsidRPr="000F3872">
              <w:rPr>
                <w:rFonts w:eastAsiaTheme="minorEastAsia"/>
                <w:kern w:val="2"/>
                <w:sz w:val="24"/>
                <w:szCs w:val="24"/>
                <w14:ligatures w14:val="standardContextual"/>
              </w:rPr>
              <w:t>SMFM Committee on Infectious Diseases and Emerging Threats</w:t>
            </w:r>
          </w:p>
        </w:tc>
      </w:tr>
      <w:tr w14:paraId="242570BB" w14:textId="77777777" w:rsidTr="1892D1BE">
        <w:tblPrEx>
          <w:tblW w:w="10075" w:type="dxa"/>
          <w:tblInd w:w="-5" w:type="dxa"/>
          <w:tblLayout w:type="fixed"/>
          <w:tblLook w:val="0400"/>
        </w:tblPrEx>
        <w:tc>
          <w:tcPr>
            <w:tcW w:w="6786" w:type="dxa"/>
          </w:tcPr>
          <w:p w:rsidR="008259AB" w:rsidP="00993D59" w14:paraId="264F710C" w14:textId="6C11F49F">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Alan Woolf</w:t>
            </w:r>
          </w:p>
        </w:tc>
        <w:tc>
          <w:tcPr>
            <w:tcW w:w="3289" w:type="dxa"/>
          </w:tcPr>
          <w:p w:rsidR="008259AB" w:rsidP="1892D1BE" w14:paraId="50B0A7E2" w14:textId="36DF688B">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R1</w:t>
            </w:r>
          </w:p>
        </w:tc>
      </w:tr>
      <w:tr w14:paraId="42EFA0FA" w14:textId="77777777" w:rsidTr="1892D1BE">
        <w:tblPrEx>
          <w:tblW w:w="10075" w:type="dxa"/>
          <w:tblInd w:w="-5" w:type="dxa"/>
          <w:tblLayout w:type="fixed"/>
          <w:tblLook w:val="0400"/>
        </w:tblPrEx>
        <w:tc>
          <w:tcPr>
            <w:tcW w:w="6786" w:type="dxa"/>
          </w:tcPr>
          <w:p w:rsidR="008259AB" w:rsidP="00431A99" w14:paraId="77B1179D" w14:textId="2B6464FD">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Rose Goldman</w:t>
            </w:r>
          </w:p>
        </w:tc>
        <w:tc>
          <w:tcPr>
            <w:tcW w:w="3289" w:type="dxa"/>
          </w:tcPr>
          <w:p w:rsidR="008259AB" w:rsidP="1892D1BE" w14:paraId="5FE3D858" w14:textId="0E5386D7">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R1</w:t>
            </w:r>
          </w:p>
        </w:tc>
      </w:tr>
      <w:tr w14:paraId="3A202C96" w14:textId="77777777" w:rsidTr="1892D1BE">
        <w:tblPrEx>
          <w:tblW w:w="10075" w:type="dxa"/>
          <w:tblInd w:w="-5" w:type="dxa"/>
          <w:tblLayout w:type="fixed"/>
          <w:tblLook w:val="0400"/>
        </w:tblPrEx>
        <w:tc>
          <w:tcPr>
            <w:tcW w:w="6786" w:type="dxa"/>
          </w:tcPr>
          <w:p w:rsidR="008259AB" w:rsidP="00993D59" w14:paraId="1BCB284E" w14:textId="2C9BA020">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Shalini Shah</w:t>
            </w:r>
          </w:p>
        </w:tc>
        <w:tc>
          <w:tcPr>
            <w:tcW w:w="3289" w:type="dxa"/>
          </w:tcPr>
          <w:p w:rsidR="008259AB" w:rsidP="1892D1BE" w14:paraId="5BD5F4E0" w14:textId="04D88277">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R1</w:t>
            </w:r>
          </w:p>
        </w:tc>
      </w:tr>
      <w:tr w14:paraId="51782C02" w14:textId="77777777" w:rsidTr="1892D1BE">
        <w:tblPrEx>
          <w:tblW w:w="10075" w:type="dxa"/>
          <w:tblInd w:w="-5" w:type="dxa"/>
          <w:tblLayout w:type="fixed"/>
          <w:tblLook w:val="0400"/>
        </w:tblPrEx>
        <w:tc>
          <w:tcPr>
            <w:tcW w:w="6786" w:type="dxa"/>
          </w:tcPr>
          <w:p w:rsidR="008259AB" w:rsidP="00431A99" w14:paraId="2FE04F3C" w14:textId="079559EA">
            <w:pPr>
              <w:pStyle w:val="Normal2"/>
              <w:pBdr>
                <w:top w:val="nil"/>
                <w:left w:val="nil"/>
                <w:bottom w:val="nil"/>
                <w:right w:val="nil"/>
                <w:between w:val="nil"/>
              </w:pBdr>
              <w:tabs>
                <w:tab w:val="left" w:pos="2610"/>
              </w:tabs>
              <w:rPr>
                <w:rFonts w:eastAsiaTheme="minorEastAsia"/>
                <w:kern w:val="2"/>
                <w:sz w:val="24"/>
                <w:szCs w:val="24"/>
                <w14:ligatures w14:val="standardContextual"/>
              </w:rPr>
            </w:pPr>
            <w:r>
              <w:rPr>
                <w:rFonts w:eastAsiaTheme="minorEastAsia"/>
                <w:kern w:val="2"/>
                <w:sz w:val="24"/>
                <w:szCs w:val="24"/>
                <w14:ligatures w14:val="standardContextual"/>
              </w:rPr>
              <w:t xml:space="preserve">Melissa </w:t>
            </w:r>
            <w:r>
              <w:rPr>
                <w:rFonts w:eastAsiaTheme="minorEastAsia"/>
                <w:kern w:val="2"/>
                <w:sz w:val="24"/>
                <w:szCs w:val="24"/>
                <w14:ligatures w14:val="standardContextual"/>
              </w:rPr>
              <w:t>Haupman</w:t>
            </w:r>
          </w:p>
        </w:tc>
        <w:tc>
          <w:tcPr>
            <w:tcW w:w="3289" w:type="dxa"/>
          </w:tcPr>
          <w:p w:rsidR="008259AB" w:rsidP="1892D1BE" w14:paraId="4B4C8431" w14:textId="0111C69B">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R1</w:t>
            </w:r>
          </w:p>
        </w:tc>
      </w:tr>
      <w:tr w14:paraId="1690489D" w14:textId="77777777" w:rsidTr="1892D1BE">
        <w:tblPrEx>
          <w:tblW w:w="10075" w:type="dxa"/>
          <w:tblInd w:w="-5" w:type="dxa"/>
          <w:tblLayout w:type="fixed"/>
          <w:tblLook w:val="0400"/>
        </w:tblPrEx>
        <w:tc>
          <w:tcPr>
            <w:tcW w:w="6786" w:type="dxa"/>
          </w:tcPr>
          <w:p w:rsidR="008259AB" w:rsidP="00993D59" w14:paraId="4FE3D111" w14:textId="73A1F9F0">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Gredia</w:t>
            </w:r>
            <w:r>
              <w:rPr>
                <w:rFonts w:eastAsiaTheme="minorEastAsia"/>
                <w:kern w:val="2"/>
                <w:sz w:val="24"/>
                <w:szCs w:val="24"/>
                <w14:ligatures w14:val="standardContextual"/>
              </w:rPr>
              <w:t xml:space="preserve"> Huerta-Montanez</w:t>
            </w:r>
          </w:p>
        </w:tc>
        <w:tc>
          <w:tcPr>
            <w:tcW w:w="3289" w:type="dxa"/>
          </w:tcPr>
          <w:p w:rsidR="008259AB" w:rsidP="1892D1BE" w14:paraId="71D86B10" w14:textId="590E42D1">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w:t>
            </w:r>
            <w:r w:rsidR="00497632">
              <w:rPr>
                <w:rFonts w:eastAsiaTheme="minorEastAsia"/>
                <w:kern w:val="2"/>
                <w:sz w:val="24"/>
                <w:szCs w:val="24"/>
                <w14:ligatures w14:val="standardContextual"/>
              </w:rPr>
              <w:t>H</w:t>
            </w:r>
            <w:r>
              <w:rPr>
                <w:rFonts w:eastAsiaTheme="minorEastAsia"/>
                <w:kern w:val="2"/>
                <w:sz w:val="24"/>
                <w:szCs w:val="24"/>
                <w14:ligatures w14:val="standardContextual"/>
              </w:rPr>
              <w:t xml:space="preserve">SU program </w:t>
            </w:r>
            <w:r w:rsidR="00497632">
              <w:rPr>
                <w:rFonts w:eastAsiaTheme="minorEastAsia"/>
                <w:kern w:val="2"/>
                <w:sz w:val="24"/>
                <w:szCs w:val="24"/>
                <w14:ligatures w14:val="standardContextual"/>
              </w:rPr>
              <w:t>R2</w:t>
            </w:r>
          </w:p>
        </w:tc>
      </w:tr>
      <w:tr w14:paraId="61516B6D" w14:textId="77777777" w:rsidTr="1892D1BE">
        <w:tblPrEx>
          <w:tblW w:w="10075" w:type="dxa"/>
          <w:tblInd w:w="-5" w:type="dxa"/>
          <w:tblLayout w:type="fixed"/>
          <w:tblLook w:val="0400"/>
        </w:tblPrEx>
        <w:tc>
          <w:tcPr>
            <w:tcW w:w="6786" w:type="dxa"/>
          </w:tcPr>
          <w:p w:rsidR="00BC495D" w:rsidP="00993D59" w14:paraId="55AAC34C" w14:textId="37294C46">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Perry Sheffield</w:t>
            </w:r>
          </w:p>
        </w:tc>
        <w:tc>
          <w:tcPr>
            <w:tcW w:w="3289" w:type="dxa"/>
          </w:tcPr>
          <w:p w:rsidR="00BC495D" w:rsidP="1892D1BE" w14:paraId="13132A7B" w14:textId="3D156B9F">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R2</w:t>
            </w:r>
          </w:p>
        </w:tc>
      </w:tr>
      <w:tr w14:paraId="67E7F326" w14:textId="77777777" w:rsidTr="1892D1BE">
        <w:tblPrEx>
          <w:tblW w:w="10075" w:type="dxa"/>
          <w:tblInd w:w="-5" w:type="dxa"/>
          <w:tblLayout w:type="fixed"/>
          <w:tblLook w:val="0400"/>
        </w:tblPrEx>
        <w:tc>
          <w:tcPr>
            <w:tcW w:w="6786" w:type="dxa"/>
          </w:tcPr>
          <w:p w:rsidR="00497632" w:rsidP="00993D59" w14:paraId="301D70B2" w14:textId="2504DB30">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 xml:space="preserve">Becca </w:t>
            </w:r>
            <w:r>
              <w:rPr>
                <w:rFonts w:eastAsiaTheme="minorEastAsia"/>
                <w:kern w:val="2"/>
                <w:sz w:val="24"/>
                <w:szCs w:val="24"/>
                <w14:ligatures w14:val="standardContextual"/>
              </w:rPr>
              <w:t>Philipsborn</w:t>
            </w:r>
            <w:r>
              <w:rPr>
                <w:rFonts w:eastAsiaTheme="minorEastAsia"/>
                <w:kern w:val="2"/>
                <w:sz w:val="24"/>
                <w:szCs w:val="24"/>
                <w14:ligatures w14:val="standardContextual"/>
              </w:rPr>
              <w:t xml:space="preserve"> MD</w:t>
            </w:r>
          </w:p>
        </w:tc>
        <w:tc>
          <w:tcPr>
            <w:tcW w:w="3289" w:type="dxa"/>
          </w:tcPr>
          <w:p w:rsidR="00497632" w:rsidP="1892D1BE" w14:paraId="74792E09" w14:textId="2E5120EA">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R4</w:t>
            </w:r>
          </w:p>
        </w:tc>
      </w:tr>
      <w:tr w14:paraId="576F30C2" w14:textId="77777777" w:rsidTr="1892D1BE">
        <w:tblPrEx>
          <w:tblW w:w="10075" w:type="dxa"/>
          <w:tblInd w:w="-5" w:type="dxa"/>
          <w:tblLayout w:type="fixed"/>
          <w:tblLook w:val="0400"/>
        </w:tblPrEx>
        <w:tc>
          <w:tcPr>
            <w:tcW w:w="6786" w:type="dxa"/>
          </w:tcPr>
          <w:p w:rsidR="00497632" w:rsidP="00993D59" w14:paraId="261F0E36" w14:textId="699D8B22">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 xml:space="preserve">Marya </w:t>
            </w:r>
            <w:r>
              <w:rPr>
                <w:rFonts w:eastAsiaTheme="minorEastAsia"/>
                <w:kern w:val="2"/>
                <w:sz w:val="24"/>
                <w:szCs w:val="24"/>
                <w14:ligatures w14:val="standardContextual"/>
              </w:rPr>
              <w:t>Zlatnik</w:t>
            </w:r>
            <w:r w:rsidR="006C1E0B">
              <w:rPr>
                <w:rFonts w:eastAsiaTheme="minorEastAsia"/>
                <w:kern w:val="2"/>
                <w:sz w:val="24"/>
                <w:szCs w:val="24"/>
                <w14:ligatures w14:val="standardContextual"/>
              </w:rPr>
              <w:t xml:space="preserve"> MD</w:t>
            </w:r>
          </w:p>
        </w:tc>
        <w:tc>
          <w:tcPr>
            <w:tcW w:w="3289" w:type="dxa"/>
          </w:tcPr>
          <w:p w:rsidR="00497632" w:rsidP="1892D1BE" w14:paraId="1070EE35" w14:textId="5BE04164">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PEHSU program R9</w:t>
            </w:r>
          </w:p>
        </w:tc>
      </w:tr>
      <w:tr w14:paraId="599C74F5" w14:textId="77777777" w:rsidTr="1892D1BE">
        <w:tblPrEx>
          <w:tblW w:w="10075" w:type="dxa"/>
          <w:tblInd w:w="-5" w:type="dxa"/>
          <w:tblLayout w:type="fixed"/>
          <w:tblLook w:val="0400"/>
        </w:tblPrEx>
        <w:tc>
          <w:tcPr>
            <w:tcW w:w="6786" w:type="dxa"/>
          </w:tcPr>
          <w:p w:rsidR="009E3D01" w:rsidRPr="000F3872" w:rsidP="00993D59" w14:paraId="765A37F2" w14:textId="45186B67">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Aparna Bole, MD MPH</w:t>
            </w:r>
          </w:p>
        </w:tc>
        <w:tc>
          <w:tcPr>
            <w:tcW w:w="3289" w:type="dxa"/>
          </w:tcPr>
          <w:p w:rsidR="009E3D01" w:rsidRPr="000F3872" w:rsidP="1892D1BE" w14:paraId="7E212BDB" w14:textId="184A0B99">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 xml:space="preserve">HHS </w:t>
            </w:r>
            <w:r>
              <w:rPr>
                <w:rFonts w:eastAsiaTheme="minorEastAsia"/>
                <w:kern w:val="2"/>
                <w:sz w:val="24"/>
                <w:szCs w:val="24"/>
                <w14:ligatures w14:val="standardContextual"/>
              </w:rPr>
              <w:t xml:space="preserve">Office of Climate </w:t>
            </w:r>
            <w:r>
              <w:rPr>
                <w:rFonts w:eastAsiaTheme="minorEastAsia"/>
                <w:kern w:val="2"/>
                <w:sz w:val="24"/>
                <w:szCs w:val="24"/>
                <w14:ligatures w14:val="standardContextual"/>
              </w:rPr>
              <w:t>Change and Health Equity</w:t>
            </w:r>
          </w:p>
        </w:tc>
      </w:tr>
      <w:tr w14:paraId="32B747E0" w14:textId="77777777" w:rsidTr="1892D1BE">
        <w:tblPrEx>
          <w:tblW w:w="10075" w:type="dxa"/>
          <w:tblInd w:w="-5" w:type="dxa"/>
          <w:tblLayout w:type="fixed"/>
          <w:tblLook w:val="0400"/>
        </w:tblPrEx>
        <w:tc>
          <w:tcPr>
            <w:tcW w:w="6786" w:type="dxa"/>
          </w:tcPr>
          <w:p w:rsidR="00850450" w:rsidP="00993D59" w14:paraId="440EBBF6" w14:textId="0D1A6E39">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Jim McCrae</w:t>
            </w:r>
            <w:r w:rsidR="006C1E0B">
              <w:rPr>
                <w:rFonts w:eastAsiaTheme="minorEastAsia"/>
                <w:kern w:val="2"/>
                <w:sz w:val="24"/>
                <w:szCs w:val="24"/>
                <w14:ligatures w14:val="standardContextual"/>
              </w:rPr>
              <w:t xml:space="preserve"> MD</w:t>
            </w:r>
          </w:p>
        </w:tc>
        <w:tc>
          <w:tcPr>
            <w:tcW w:w="3289" w:type="dxa"/>
          </w:tcPr>
          <w:p w:rsidR="00850450" w:rsidP="1892D1BE" w14:paraId="044DAB75" w14:textId="294908F0">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Health Services Research Administration</w:t>
            </w:r>
          </w:p>
        </w:tc>
      </w:tr>
      <w:tr w14:paraId="73561598" w14:textId="77777777" w:rsidTr="1892D1BE">
        <w:tblPrEx>
          <w:tblW w:w="10075" w:type="dxa"/>
          <w:tblInd w:w="-5" w:type="dxa"/>
          <w:tblLayout w:type="fixed"/>
          <w:tblLook w:val="0400"/>
        </w:tblPrEx>
        <w:tc>
          <w:tcPr>
            <w:tcW w:w="6786" w:type="dxa"/>
          </w:tcPr>
          <w:p w:rsidR="00F27E8E" w:rsidP="00993D59" w14:paraId="3E8010F7" w14:textId="7A3503BB">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Michael Warren</w:t>
            </w:r>
          </w:p>
        </w:tc>
        <w:tc>
          <w:tcPr>
            <w:tcW w:w="3289" w:type="dxa"/>
          </w:tcPr>
          <w:p w:rsidR="00F27E8E" w:rsidP="1892D1BE" w14:paraId="5217BA62" w14:textId="64B149A8">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Health Services Research Administration</w:t>
            </w:r>
          </w:p>
        </w:tc>
      </w:tr>
      <w:tr w14:paraId="28DFF5EB" w14:textId="77777777" w:rsidTr="1892D1BE">
        <w:tblPrEx>
          <w:tblW w:w="10075" w:type="dxa"/>
          <w:tblInd w:w="-5" w:type="dxa"/>
          <w:tblLayout w:type="fixed"/>
          <w:tblLook w:val="0400"/>
        </w:tblPrEx>
        <w:tc>
          <w:tcPr>
            <w:tcW w:w="6786" w:type="dxa"/>
          </w:tcPr>
          <w:p w:rsidR="006C1E0B" w:rsidP="006C1E0B" w14:paraId="452E9CFE" w14:textId="0BB26C4B">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Wayne Cascio MD</w:t>
            </w:r>
          </w:p>
        </w:tc>
        <w:tc>
          <w:tcPr>
            <w:tcW w:w="3289" w:type="dxa"/>
          </w:tcPr>
          <w:p w:rsidR="006C1E0B" w:rsidP="006C1E0B" w14:paraId="28498E2C" w14:textId="56F13197">
            <w:pPr>
              <w:pStyle w:val="Normal2"/>
              <w:pBdr>
                <w:top w:val="nil"/>
                <w:left w:val="nil"/>
                <w:bottom w:val="nil"/>
                <w:right w:val="nil"/>
                <w:between w:val="nil"/>
              </w:pBdr>
              <w:tabs>
                <w:tab w:val="left" w:pos="360"/>
              </w:tabs>
              <w:rPr>
                <w:rFonts w:eastAsiaTheme="minorEastAsia"/>
                <w:kern w:val="2"/>
                <w:sz w:val="24"/>
                <w:szCs w:val="24"/>
                <w14:ligatures w14:val="standardContextual"/>
              </w:rPr>
            </w:pPr>
            <w:r>
              <w:rPr>
                <w:rFonts w:eastAsiaTheme="minorEastAsia"/>
                <w:kern w:val="2"/>
                <w:sz w:val="24"/>
                <w:szCs w:val="24"/>
                <w14:ligatures w14:val="standardContextual"/>
              </w:rPr>
              <w:t>Environmental Protection Agency</w:t>
            </w:r>
          </w:p>
        </w:tc>
      </w:tr>
    </w:tbl>
    <w:p w:rsidR="00EC2E1A" w:rsidP="1892D1BE" w14:paraId="37CE68D9" w14:textId="77777777">
      <w:pPr>
        <w:pStyle w:val="Normal2"/>
        <w:pBdr>
          <w:top w:val="nil"/>
          <w:left w:val="nil"/>
          <w:bottom w:val="nil"/>
          <w:right w:val="nil"/>
          <w:between w:val="nil"/>
        </w:pBdr>
        <w:spacing w:line="276" w:lineRule="auto"/>
        <w:rPr>
          <w:color w:val="000000"/>
          <w:sz w:val="24"/>
          <w:szCs w:val="24"/>
        </w:rPr>
      </w:pPr>
    </w:p>
    <w:p w:rsidR="00EC2E1A" w:rsidP="1892D1BE" w14:paraId="0499263A" w14:textId="77777777">
      <w:pPr>
        <w:pStyle w:val="heading22"/>
        <w:spacing w:before="0" w:after="0" w:line="276" w:lineRule="auto"/>
        <w:rPr>
          <w:sz w:val="24"/>
          <w:szCs w:val="24"/>
        </w:rPr>
      </w:pPr>
    </w:p>
    <w:p w:rsidR="00EC2E1A" w:rsidP="1892D1BE" w14:paraId="025C26F0" w14:textId="77777777">
      <w:pPr>
        <w:pStyle w:val="heading22"/>
        <w:spacing w:before="0" w:after="0" w:line="276" w:lineRule="auto"/>
        <w:rPr>
          <w:sz w:val="24"/>
          <w:szCs w:val="24"/>
        </w:rPr>
      </w:pPr>
      <w:bookmarkStart w:id="14" w:name="_Toc182756726"/>
      <w:r w:rsidRPr="1892D1BE">
        <w:rPr>
          <w:sz w:val="24"/>
          <w:szCs w:val="24"/>
        </w:rPr>
        <w:t>A.9</w:t>
      </w:r>
      <w:r>
        <w:tab/>
      </w:r>
      <w:r w:rsidRPr="1892D1BE">
        <w:rPr>
          <w:sz w:val="24"/>
          <w:szCs w:val="24"/>
        </w:rPr>
        <w:t>Explanation of Any Payment or Gift to Respondents</w:t>
      </w:r>
      <w:bookmarkEnd w:id="14"/>
      <w:r w:rsidRPr="1892D1BE">
        <w:rPr>
          <w:sz w:val="24"/>
          <w:szCs w:val="24"/>
        </w:rPr>
        <w:t xml:space="preserve"> </w:t>
      </w:r>
    </w:p>
    <w:p w:rsidR="0468ED8B" w:rsidP="1892D1BE" w14:paraId="2E55FF6C" w14:textId="09AD461A">
      <w:pPr>
        <w:spacing w:after="160" w:line="257" w:lineRule="auto"/>
        <w:rPr>
          <w:sz w:val="24"/>
          <w:szCs w:val="24"/>
        </w:rPr>
      </w:pPr>
      <w:r w:rsidRPr="1892D1BE">
        <w:rPr>
          <w:sz w:val="24"/>
          <w:szCs w:val="24"/>
        </w:rPr>
        <w:t xml:space="preserve">All respondents will </w:t>
      </w:r>
      <w:r w:rsidRPr="1892D1BE" w:rsidR="00622A90">
        <w:rPr>
          <w:sz w:val="24"/>
          <w:szCs w:val="24"/>
        </w:rPr>
        <w:t>receive</w:t>
      </w:r>
      <w:r w:rsidRPr="1892D1BE" w:rsidR="00134FB0">
        <w:rPr>
          <w:sz w:val="24"/>
          <w:szCs w:val="24"/>
        </w:rPr>
        <w:t xml:space="preserve"> </w:t>
      </w:r>
      <w:r w:rsidRPr="1892D1BE" w:rsidR="00A201DE">
        <w:rPr>
          <w:sz w:val="24"/>
          <w:szCs w:val="24"/>
        </w:rPr>
        <w:t>a</w:t>
      </w:r>
      <w:r w:rsidRPr="1892D1BE">
        <w:rPr>
          <w:sz w:val="24"/>
          <w:szCs w:val="24"/>
        </w:rPr>
        <w:t xml:space="preserve"> $30</w:t>
      </w:r>
      <w:r w:rsidRPr="1892D1BE" w:rsidR="00622A90">
        <w:rPr>
          <w:sz w:val="24"/>
          <w:szCs w:val="24"/>
        </w:rPr>
        <w:t xml:space="preserve"> Visa eGift Card</w:t>
      </w:r>
      <w:r w:rsidRPr="1892D1BE">
        <w:rPr>
          <w:sz w:val="24"/>
          <w:szCs w:val="24"/>
        </w:rPr>
        <w:t xml:space="preserve"> </w:t>
      </w:r>
      <w:r w:rsidRPr="1892D1BE" w:rsidR="00622A90">
        <w:rPr>
          <w:sz w:val="24"/>
          <w:szCs w:val="24"/>
        </w:rPr>
        <w:t>following</w:t>
      </w:r>
      <w:r w:rsidRPr="1892D1BE">
        <w:rPr>
          <w:sz w:val="24"/>
          <w:szCs w:val="24"/>
        </w:rPr>
        <w:t xml:space="preserve"> completion of the survey.  </w:t>
      </w:r>
    </w:p>
    <w:p w:rsidR="0468ED8B" w:rsidP="1892D1BE" w14:paraId="2E722E61" w14:textId="7504CF7B">
      <w:pPr>
        <w:pStyle w:val="Normal2"/>
        <w:spacing w:after="200" w:line="276" w:lineRule="auto"/>
        <w:rPr>
          <w:sz w:val="24"/>
          <w:szCs w:val="24"/>
        </w:rPr>
      </w:pPr>
      <w:r w:rsidRPr="00066B2C">
        <w:rPr>
          <w:sz w:val="24"/>
          <w:szCs w:val="24"/>
        </w:rPr>
        <w:t xml:space="preserve">Evidence from the past decade has consistently demonstrated that financial incentives are an effective strategy in boosting </w:t>
      </w:r>
      <w:r w:rsidRPr="00066B2C">
        <w:rPr>
          <w:sz w:val="24"/>
          <w:szCs w:val="24"/>
        </w:rPr>
        <w:t>physician</w:t>
      </w:r>
      <w:r w:rsidRPr="00066B2C">
        <w:rPr>
          <w:sz w:val="24"/>
          <w:szCs w:val="24"/>
        </w:rPr>
        <w:t xml:space="preserve"> and non-</w:t>
      </w:r>
      <w:r w:rsidRPr="00066B2C">
        <w:rPr>
          <w:sz w:val="24"/>
          <w:szCs w:val="24"/>
        </w:rPr>
        <w:t>physician</w:t>
      </w:r>
      <w:r w:rsidRPr="00066B2C">
        <w:rPr>
          <w:sz w:val="24"/>
          <w:szCs w:val="24"/>
        </w:rPr>
        <w:t xml:space="preserve"> clinic staff response rates to surveys. When surveying </w:t>
      </w:r>
      <w:r w:rsidRPr="00066B2C">
        <w:rPr>
          <w:sz w:val="24"/>
          <w:szCs w:val="24"/>
        </w:rPr>
        <w:t>physician</w:t>
      </w:r>
      <w:r w:rsidRPr="00066B2C">
        <w:rPr>
          <w:sz w:val="24"/>
          <w:szCs w:val="24"/>
        </w:rPr>
        <w:t xml:space="preserve"> </w:t>
      </w:r>
      <w:r w:rsidRPr="00066B2C" w:rsidR="00A01143">
        <w:rPr>
          <w:sz w:val="24"/>
          <w:szCs w:val="24"/>
        </w:rPr>
        <w:t xml:space="preserve">(and other clinicians) </w:t>
      </w:r>
      <w:r w:rsidRPr="00066B2C">
        <w:rPr>
          <w:sz w:val="24"/>
          <w:szCs w:val="24"/>
        </w:rPr>
        <w:t>and non-</w:t>
      </w:r>
      <w:r w:rsidRPr="00066B2C">
        <w:rPr>
          <w:sz w:val="24"/>
          <w:szCs w:val="24"/>
        </w:rPr>
        <w:t>physician</w:t>
      </w:r>
      <w:r w:rsidRPr="00066B2C" w:rsidR="00A01143">
        <w:rPr>
          <w:sz w:val="24"/>
          <w:szCs w:val="24"/>
        </w:rPr>
        <w:t xml:space="preserve"> clinic staff</w:t>
      </w:r>
      <w:r w:rsidRPr="00066B2C">
        <w:rPr>
          <w:sz w:val="24"/>
          <w:szCs w:val="24"/>
        </w:rPr>
        <w:t>, there are multiple barriers, including time constraints, heavy workload, and oversampling the population, leading to survey fatigue. Financial incentive has been found to offset perceived time burden to make participation more appealing. Clinicians facing demanding workloads are more likely to respond to surveys if provided with a direct and tangible benefit (9). In a study by Cho et al. (2013), study authors reviewed various methods to enhance survey responses by healthcare professionals (10). Similar studies have been conducted and found that even a modest financial incentive significantly improved response rate. One review paper found that financial incentive increased the likelihood of healthcare provider response compared with surveys with no incentives and concluded that financial incentives were among the most effective motivators (11). Other research suggests that nonmonetary incentives are more effective than no incentive, with monetary incentive having a bigger effect in the clinician population (12). This underscores that financial remuneration can offset barriers to survey participation and increase survey response rates by physicians and non-physician health care staff.</w:t>
      </w:r>
    </w:p>
    <w:p w:rsidR="00EC2E1A" w:rsidP="1892D1BE" w14:paraId="23A71FE9" w14:textId="77777777">
      <w:pPr>
        <w:pStyle w:val="heading22"/>
        <w:spacing w:before="0" w:after="0" w:line="276" w:lineRule="auto"/>
        <w:rPr>
          <w:color w:val="000000"/>
          <w:sz w:val="24"/>
          <w:szCs w:val="24"/>
        </w:rPr>
      </w:pPr>
      <w:bookmarkStart w:id="15" w:name="_Toc182756727"/>
      <w:r w:rsidRPr="1892D1BE">
        <w:rPr>
          <w:sz w:val="24"/>
          <w:szCs w:val="24"/>
        </w:rPr>
        <w:t>A.10</w:t>
      </w:r>
      <w:r>
        <w:tab/>
      </w:r>
      <w:r w:rsidRPr="1892D1BE">
        <w:rPr>
          <w:sz w:val="24"/>
          <w:szCs w:val="24"/>
        </w:rPr>
        <w:t>Assurance of Privacy Provided to Respondents</w:t>
      </w:r>
      <w:bookmarkEnd w:id="15"/>
      <w:r w:rsidRPr="1892D1BE">
        <w:rPr>
          <w:sz w:val="24"/>
          <w:szCs w:val="24"/>
        </w:rPr>
        <w:t xml:space="preserve"> </w:t>
      </w:r>
    </w:p>
    <w:p w:rsidR="00EC2E1A" w:rsidP="1892D1BE" w14:paraId="5D7FF919" w14:textId="77777777">
      <w:pPr>
        <w:pStyle w:val="Normal2"/>
        <w:pBdr>
          <w:top w:val="nil"/>
          <w:left w:val="nil"/>
          <w:bottom w:val="nil"/>
          <w:right w:val="nil"/>
          <w:between w:val="nil"/>
        </w:pBdr>
        <w:spacing w:line="276" w:lineRule="auto"/>
        <w:rPr>
          <w:color w:val="000000"/>
          <w:sz w:val="24"/>
          <w:szCs w:val="24"/>
        </w:rPr>
      </w:pPr>
    </w:p>
    <w:p w:rsidR="00EC2E1A" w:rsidP="00340742" w14:paraId="11840A8D" w14:textId="1137F847">
      <w:pPr>
        <w:spacing w:after="160" w:line="257" w:lineRule="auto"/>
        <w:rPr>
          <w:color w:val="000000"/>
          <w:sz w:val="24"/>
          <w:szCs w:val="24"/>
        </w:rPr>
      </w:pPr>
      <w:r w:rsidRPr="00066B2C">
        <w:rPr>
          <w:noProof/>
          <w:sz w:val="24"/>
          <w:szCs w:val="24"/>
        </w:rPr>
        <w:t xml:space="preserve">This submission has been reviewed by the </w:t>
      </w:r>
      <w:r w:rsidR="00475855">
        <w:rPr>
          <w:noProof/>
          <w:sz w:val="24"/>
          <w:szCs w:val="24"/>
        </w:rPr>
        <w:t>CDC Chief Privacy Officer</w:t>
      </w:r>
      <w:r w:rsidRPr="00066B2C">
        <w:rPr>
          <w:noProof/>
          <w:sz w:val="24"/>
          <w:szCs w:val="24"/>
        </w:rPr>
        <w:t xml:space="preserve">, who has determined that the Privacy Act </w:t>
      </w:r>
      <w:r w:rsidRPr="0067059C">
        <w:rPr>
          <w:noProof/>
          <w:sz w:val="24"/>
          <w:szCs w:val="24"/>
        </w:rPr>
        <w:t>does</w:t>
      </w:r>
      <w:r w:rsidRPr="0067059C" w:rsidR="0067059C">
        <w:rPr>
          <w:noProof/>
          <w:sz w:val="24"/>
          <w:szCs w:val="24"/>
        </w:rPr>
        <w:t xml:space="preserve"> </w:t>
      </w:r>
      <w:r w:rsidRPr="0067059C">
        <w:rPr>
          <w:noProof/>
          <w:sz w:val="24"/>
          <w:szCs w:val="24"/>
        </w:rPr>
        <w:t>not</w:t>
      </w:r>
      <w:r w:rsidRPr="00066B2C">
        <w:rPr>
          <w:noProof/>
          <w:sz w:val="24"/>
          <w:szCs w:val="24"/>
        </w:rPr>
        <w:t xml:space="preserve"> apply </w:t>
      </w:r>
      <w:r w:rsidRPr="00066B2C">
        <w:rPr>
          <w:sz w:val="24"/>
          <w:szCs w:val="24"/>
        </w:rPr>
        <w:t>(</w:t>
      </w:r>
      <w:r w:rsidRPr="00066B2C">
        <w:rPr>
          <w:b/>
          <w:bCs/>
          <w:sz w:val="24"/>
          <w:szCs w:val="24"/>
        </w:rPr>
        <w:t xml:space="preserve">Attachment </w:t>
      </w:r>
      <w:r w:rsidRPr="00066B2C" w:rsidR="00A01143">
        <w:rPr>
          <w:b/>
          <w:bCs/>
          <w:sz w:val="24"/>
          <w:szCs w:val="24"/>
        </w:rPr>
        <w:t>8</w:t>
      </w:r>
      <w:r w:rsidRPr="00066B2C">
        <w:rPr>
          <w:b/>
          <w:bCs/>
          <w:sz w:val="24"/>
          <w:szCs w:val="24"/>
        </w:rPr>
        <w:t>)</w:t>
      </w:r>
      <w:r w:rsidRPr="00066B2C">
        <w:rPr>
          <w:sz w:val="24"/>
          <w:szCs w:val="24"/>
        </w:rPr>
        <w:t xml:space="preserve">. </w:t>
      </w:r>
      <w:r w:rsidR="00CE2E43">
        <w:rPr>
          <w:sz w:val="24"/>
          <w:szCs w:val="24"/>
        </w:rPr>
        <w:t>Survey participants</w:t>
      </w:r>
      <w:r w:rsidRPr="1892D1BE" w:rsidR="00425547">
        <w:rPr>
          <w:sz w:val="24"/>
          <w:szCs w:val="24"/>
        </w:rPr>
        <w:t xml:space="preserve"> will receive a $30 Visa eGift Card following completion of the survey</w:t>
      </w:r>
      <w:r w:rsidR="001E6B63">
        <w:rPr>
          <w:sz w:val="24"/>
          <w:szCs w:val="24"/>
        </w:rPr>
        <w:t xml:space="preserve"> if they provide their email address</w:t>
      </w:r>
      <w:r w:rsidRPr="1892D1BE" w:rsidR="00425547">
        <w:rPr>
          <w:sz w:val="24"/>
          <w:szCs w:val="24"/>
        </w:rPr>
        <w:t>.</w:t>
      </w:r>
      <w:r w:rsidR="00923D6E">
        <w:rPr>
          <w:sz w:val="24"/>
          <w:szCs w:val="24"/>
        </w:rPr>
        <w:t xml:space="preserve"> </w:t>
      </w:r>
      <w:r w:rsidR="00BF51D6">
        <w:rPr>
          <w:sz w:val="24"/>
          <w:szCs w:val="24"/>
        </w:rPr>
        <w:t>Only email address of the Survey participants</w:t>
      </w:r>
      <w:r w:rsidR="003628EA">
        <w:rPr>
          <w:sz w:val="24"/>
          <w:szCs w:val="24"/>
        </w:rPr>
        <w:t xml:space="preserve"> (</w:t>
      </w:r>
      <w:r w:rsidRPr="003628EA" w:rsidR="003628EA">
        <w:rPr>
          <w:sz w:val="24"/>
          <w:szCs w:val="24"/>
        </w:rPr>
        <w:t>clinicians and non-clinician staff at community health centers</w:t>
      </w:r>
      <w:r w:rsidR="003628EA">
        <w:rPr>
          <w:sz w:val="24"/>
          <w:szCs w:val="24"/>
        </w:rPr>
        <w:t>)</w:t>
      </w:r>
      <w:r w:rsidR="00BF51D6">
        <w:rPr>
          <w:sz w:val="24"/>
          <w:szCs w:val="24"/>
        </w:rPr>
        <w:t xml:space="preserve"> will be collected (</w:t>
      </w:r>
      <w:r w:rsidRPr="004D3AE7" w:rsidR="00BF51D6">
        <w:rPr>
          <w:b/>
          <w:bCs/>
          <w:sz w:val="24"/>
          <w:szCs w:val="24"/>
        </w:rPr>
        <w:t>Attachment</w:t>
      </w:r>
      <w:r w:rsidR="009D1D64">
        <w:rPr>
          <w:b/>
          <w:bCs/>
          <w:sz w:val="24"/>
          <w:szCs w:val="24"/>
        </w:rPr>
        <w:t>s</w:t>
      </w:r>
      <w:r w:rsidRPr="004D3AE7" w:rsidR="00BF51D6">
        <w:rPr>
          <w:b/>
          <w:bCs/>
          <w:sz w:val="24"/>
          <w:szCs w:val="24"/>
        </w:rPr>
        <w:t xml:space="preserve"> 1</w:t>
      </w:r>
      <w:r w:rsidR="006D281A">
        <w:rPr>
          <w:b/>
          <w:bCs/>
          <w:sz w:val="24"/>
          <w:szCs w:val="24"/>
        </w:rPr>
        <w:t xml:space="preserve"> </w:t>
      </w:r>
      <w:r w:rsidR="009D1D64">
        <w:rPr>
          <w:b/>
          <w:bCs/>
          <w:sz w:val="24"/>
          <w:szCs w:val="24"/>
        </w:rPr>
        <w:t xml:space="preserve">and </w:t>
      </w:r>
      <w:r w:rsidR="006D281A">
        <w:rPr>
          <w:b/>
          <w:bCs/>
          <w:sz w:val="24"/>
          <w:szCs w:val="24"/>
        </w:rPr>
        <w:t>12, English and Spanish versions</w:t>
      </w:r>
      <w:r w:rsidR="00BF51D6">
        <w:rPr>
          <w:sz w:val="24"/>
          <w:szCs w:val="24"/>
        </w:rPr>
        <w:t>).</w:t>
      </w:r>
      <w:r w:rsidR="00340742">
        <w:rPr>
          <w:sz w:val="24"/>
          <w:szCs w:val="24"/>
        </w:rPr>
        <w:t xml:space="preserve">  A </w:t>
      </w:r>
      <w:r w:rsidRPr="00EA3C09" w:rsidR="00EA3C09">
        <w:rPr>
          <w:sz w:val="24"/>
          <w:szCs w:val="24"/>
        </w:rPr>
        <w:t>Federal Risk and Authorization Management Program (</w:t>
      </w:r>
      <w:r w:rsidRPr="00EA3C09" w:rsidR="00340742">
        <w:rPr>
          <w:sz w:val="24"/>
          <w:szCs w:val="24"/>
        </w:rPr>
        <w:t>FedRAMP)</w:t>
      </w:r>
      <w:r w:rsidR="00340742">
        <w:rPr>
          <w:sz w:val="24"/>
          <w:szCs w:val="24"/>
        </w:rPr>
        <w:t xml:space="preserve"> </w:t>
      </w:r>
      <w:r w:rsidRPr="1892D1BE" w:rsidR="00512C7D">
        <w:rPr>
          <w:sz w:val="24"/>
          <w:szCs w:val="24"/>
        </w:rPr>
        <w:t>authorized</w:t>
      </w:r>
      <w:r w:rsidR="00512C7D">
        <w:rPr>
          <w:sz w:val="24"/>
          <w:szCs w:val="24"/>
        </w:rPr>
        <w:t xml:space="preserve"> secure</w:t>
      </w:r>
      <w:r w:rsidR="00D711E7">
        <w:rPr>
          <w:sz w:val="24"/>
          <w:szCs w:val="24"/>
        </w:rPr>
        <w:t xml:space="preserve"> tool will be used to collect and store the PII (email addresses)</w:t>
      </w:r>
      <w:r w:rsidR="00340742">
        <w:rPr>
          <w:sz w:val="24"/>
          <w:szCs w:val="24"/>
        </w:rPr>
        <w:t xml:space="preserve">. </w:t>
      </w:r>
      <w:r w:rsidRPr="00066B2C">
        <w:rPr>
          <w:sz w:val="24"/>
          <w:szCs w:val="24"/>
        </w:rPr>
        <w:t>All survey responses will be destroyed three years after completion of the project. No identifiable information describing individual respondents will be included in the analyzed data and aggregate reports. CDC</w:t>
      </w:r>
      <w:r w:rsidRPr="00066B2C">
        <w:rPr>
          <w:color w:val="000000" w:themeColor="text1"/>
          <w:sz w:val="24"/>
          <w:szCs w:val="24"/>
        </w:rPr>
        <w:t xml:space="preserve"> will identify, screen, and recruit potential participants </w:t>
      </w:r>
      <w:r w:rsidRPr="00066B2C">
        <w:rPr>
          <w:sz w:val="24"/>
          <w:szCs w:val="24"/>
        </w:rPr>
        <w:t xml:space="preserve">through </w:t>
      </w:r>
      <w:r w:rsidRPr="00066B2C" w:rsidR="00E44637">
        <w:rPr>
          <w:sz w:val="24"/>
          <w:szCs w:val="24"/>
        </w:rPr>
        <w:t>the cooperative agreement recipients NCFH and NACHC</w:t>
      </w:r>
      <w:r w:rsidRPr="00066B2C">
        <w:rPr>
          <w:color w:val="000000" w:themeColor="text1"/>
          <w:sz w:val="24"/>
          <w:szCs w:val="24"/>
        </w:rPr>
        <w:t xml:space="preserve">. </w:t>
      </w:r>
      <w:r w:rsidR="00092556">
        <w:rPr>
          <w:color w:val="000000" w:themeColor="text1"/>
          <w:sz w:val="24"/>
          <w:szCs w:val="24"/>
        </w:rPr>
        <w:t xml:space="preserve"> S</w:t>
      </w:r>
      <w:r w:rsidRPr="00066B2C">
        <w:rPr>
          <w:color w:val="000000" w:themeColor="text1"/>
          <w:sz w:val="24"/>
          <w:szCs w:val="24"/>
        </w:rPr>
        <w:t xml:space="preserve">taff will be </w:t>
      </w:r>
      <w:r w:rsidRPr="00066B2C">
        <w:rPr>
          <w:sz w:val="24"/>
          <w:szCs w:val="24"/>
        </w:rPr>
        <w:t>required</w:t>
      </w:r>
      <w:r w:rsidRPr="00066B2C">
        <w:rPr>
          <w:color w:val="000000" w:themeColor="text1"/>
          <w:sz w:val="24"/>
          <w:szCs w:val="24"/>
        </w:rPr>
        <w:t xml:space="preserve"> to sign a privacy agreement prior to the start of the project. </w:t>
      </w:r>
      <w:r w:rsidRPr="00066B2C">
        <w:rPr>
          <w:sz w:val="24"/>
          <w:szCs w:val="24"/>
        </w:rPr>
        <w:t>On the opening page of the survey</w:t>
      </w:r>
      <w:r w:rsidR="00512C7D">
        <w:rPr>
          <w:sz w:val="24"/>
          <w:szCs w:val="24"/>
        </w:rPr>
        <w:t>,</w:t>
      </w:r>
      <w:r w:rsidRPr="00066B2C">
        <w:rPr>
          <w:sz w:val="24"/>
          <w:szCs w:val="24"/>
        </w:rPr>
        <w:t xml:space="preserve"> participants will receive information regarding privacy and confidentiality </w:t>
      </w:r>
      <w:r w:rsidRPr="00066B2C">
        <w:rPr>
          <w:sz w:val="24"/>
          <w:szCs w:val="24"/>
        </w:rPr>
        <w:t>along with a valid OMB number and contact information in case participants have questions about their rights as a participant.</w:t>
      </w:r>
      <w:r w:rsidRPr="1892D1BE">
        <w:rPr>
          <w:sz w:val="24"/>
          <w:szCs w:val="24"/>
        </w:rPr>
        <w:t xml:space="preserve"> </w:t>
      </w:r>
      <w:r w:rsidR="00B26553">
        <w:t>Data will be kept private to the extent allowed by law</w:t>
      </w:r>
      <w:r w:rsidR="00092556">
        <w:t>.</w:t>
      </w:r>
    </w:p>
    <w:p w:rsidR="00EC2E1A" w:rsidP="1892D1BE" w14:paraId="11958E3B" w14:textId="77777777">
      <w:pPr>
        <w:pStyle w:val="Normal2"/>
        <w:pBdr>
          <w:top w:val="nil"/>
          <w:left w:val="nil"/>
          <w:bottom w:val="nil"/>
          <w:right w:val="nil"/>
          <w:between w:val="nil"/>
        </w:pBdr>
        <w:spacing w:line="276" w:lineRule="auto"/>
        <w:rPr>
          <w:sz w:val="24"/>
          <w:szCs w:val="24"/>
        </w:rPr>
      </w:pPr>
    </w:p>
    <w:p w:rsidR="00EC2E1A" w:rsidRPr="006774DF" w:rsidP="1892D1BE" w14:paraId="317E1A18" w14:textId="77777777">
      <w:pPr>
        <w:pStyle w:val="heading22"/>
        <w:spacing w:before="0" w:after="0" w:line="276" w:lineRule="auto"/>
        <w:rPr>
          <w:smallCaps/>
          <w:sz w:val="24"/>
          <w:szCs w:val="24"/>
        </w:rPr>
      </w:pPr>
      <w:bookmarkStart w:id="16" w:name="_Toc182756728"/>
      <w:r w:rsidRPr="1892D1BE">
        <w:rPr>
          <w:sz w:val="24"/>
          <w:szCs w:val="24"/>
        </w:rPr>
        <w:t>A.11</w:t>
      </w:r>
      <w:r>
        <w:tab/>
      </w:r>
      <w:r w:rsidRPr="1892D1BE">
        <w:rPr>
          <w:smallCaps/>
          <w:sz w:val="24"/>
          <w:szCs w:val="24"/>
        </w:rPr>
        <w:t>Institutional Review Board (IRB) and Justification for Sensitive Questions</w:t>
      </w:r>
      <w:bookmarkEnd w:id="16"/>
    </w:p>
    <w:p w:rsidR="00EC2E1A" w:rsidRPr="007D620D" w:rsidP="1892D1BE" w14:paraId="4DBBC816" w14:textId="77777777">
      <w:pPr>
        <w:rPr>
          <w:sz w:val="24"/>
          <w:szCs w:val="24"/>
          <w:u w:val="single"/>
        </w:rPr>
      </w:pPr>
    </w:p>
    <w:p w:rsidR="00EC2E1A" w:rsidRPr="006774DF" w:rsidP="1892D1BE" w14:paraId="37F7C4C4" w14:textId="77777777">
      <w:pPr>
        <w:rPr>
          <w:color w:val="000000"/>
          <w:sz w:val="24"/>
          <w:szCs w:val="24"/>
          <w:u w:val="single"/>
        </w:rPr>
      </w:pPr>
      <w:r w:rsidRPr="1892D1BE">
        <w:rPr>
          <w:color w:val="000000" w:themeColor="text1"/>
          <w:sz w:val="24"/>
          <w:szCs w:val="24"/>
          <w:u w:val="single"/>
        </w:rPr>
        <w:t>Institutional Review Board (IRB)</w:t>
      </w:r>
    </w:p>
    <w:p w:rsidR="00EC2E1A" w:rsidRPr="001F0C91" w:rsidP="1892D1BE" w14:paraId="374465B3" w14:textId="14532556">
      <w:pPr>
        <w:pStyle w:val="Normal2"/>
        <w:pBdr>
          <w:top w:val="nil"/>
          <w:left w:val="nil"/>
          <w:bottom w:val="nil"/>
          <w:right w:val="nil"/>
          <w:between w:val="nil"/>
        </w:pBdr>
        <w:spacing w:line="276" w:lineRule="auto"/>
        <w:rPr>
          <w:i/>
          <w:iCs/>
          <w:sz w:val="24"/>
          <w:szCs w:val="24"/>
        </w:rPr>
      </w:pPr>
      <w:r w:rsidRPr="1892D1BE">
        <w:rPr>
          <w:sz w:val="24"/>
          <w:szCs w:val="24"/>
        </w:rPr>
        <w:t xml:space="preserve">This project is being undertaken as </w:t>
      </w:r>
      <w:r w:rsidRPr="1892D1BE" w:rsidR="00CF6E77">
        <w:rPr>
          <w:sz w:val="24"/>
          <w:szCs w:val="24"/>
        </w:rPr>
        <w:t xml:space="preserve">public health practice and to improve customer service to the heat guidance end users, </w:t>
      </w:r>
      <w:r w:rsidRPr="1892D1BE" w:rsidR="001F0C91">
        <w:rPr>
          <w:sz w:val="24"/>
          <w:szCs w:val="24"/>
        </w:rPr>
        <w:t>healthcare</w:t>
      </w:r>
      <w:r w:rsidRPr="1892D1BE" w:rsidR="00CF6E77">
        <w:rPr>
          <w:sz w:val="24"/>
          <w:szCs w:val="24"/>
        </w:rPr>
        <w:t xml:space="preserve"> pr</w:t>
      </w:r>
      <w:r w:rsidRPr="1892D1BE" w:rsidR="001F0C91">
        <w:rPr>
          <w:sz w:val="24"/>
          <w:szCs w:val="24"/>
        </w:rPr>
        <w:t xml:space="preserve">ofessionals who care for patients at </w:t>
      </w:r>
      <w:r w:rsidRPr="1892D1BE" w:rsidR="6E9FE7DF">
        <w:rPr>
          <w:sz w:val="24"/>
          <w:szCs w:val="24"/>
        </w:rPr>
        <w:t>CHCs</w:t>
      </w:r>
      <w:r w:rsidRPr="1892D1BE" w:rsidR="001F0C91">
        <w:rPr>
          <w:sz w:val="24"/>
          <w:szCs w:val="24"/>
        </w:rPr>
        <w:t xml:space="preserve"> nationwide. </w:t>
      </w:r>
      <w:r w:rsidRPr="1892D1BE">
        <w:rPr>
          <w:sz w:val="24"/>
          <w:szCs w:val="24"/>
        </w:rPr>
        <w:t>No information will be collected that are of personal or sensitive nature. This data collection is not research involving human subjects.</w:t>
      </w:r>
      <w:r w:rsidRPr="1892D1BE" w:rsidR="001F0C91">
        <w:rPr>
          <w:sz w:val="24"/>
          <w:szCs w:val="24"/>
        </w:rPr>
        <w:t xml:space="preserve"> </w:t>
      </w:r>
      <w:r w:rsidRPr="1892D1BE" w:rsidR="001F0C91">
        <w:rPr>
          <w:sz w:val="24"/>
          <w:szCs w:val="24"/>
        </w:rPr>
        <w:t>T</w:t>
      </w:r>
      <w:r w:rsidRPr="1892D1BE">
        <w:rPr>
          <w:sz w:val="24"/>
          <w:szCs w:val="24"/>
        </w:rPr>
        <w:t>herefore</w:t>
      </w:r>
      <w:r w:rsidRPr="1892D1BE">
        <w:rPr>
          <w:sz w:val="24"/>
          <w:szCs w:val="24"/>
        </w:rPr>
        <w:t xml:space="preserve"> </w:t>
      </w:r>
      <w:r w:rsidRPr="1892D1BE" w:rsidR="001F0C91">
        <w:rPr>
          <w:sz w:val="24"/>
          <w:szCs w:val="24"/>
        </w:rPr>
        <w:t>IRB approval is</w:t>
      </w:r>
      <w:r w:rsidRPr="1892D1BE">
        <w:rPr>
          <w:sz w:val="24"/>
          <w:szCs w:val="24"/>
        </w:rPr>
        <w:t xml:space="preserve"> not </w:t>
      </w:r>
      <w:r w:rsidRPr="001545FC">
        <w:rPr>
          <w:sz w:val="24"/>
          <w:szCs w:val="24"/>
        </w:rPr>
        <w:t>require</w:t>
      </w:r>
      <w:r w:rsidRPr="001545FC" w:rsidR="001F0C91">
        <w:rPr>
          <w:sz w:val="24"/>
          <w:szCs w:val="24"/>
        </w:rPr>
        <w:t>d</w:t>
      </w:r>
      <w:r w:rsidRPr="001545FC">
        <w:rPr>
          <w:sz w:val="24"/>
          <w:szCs w:val="24"/>
        </w:rPr>
        <w:t xml:space="preserve"> (</w:t>
      </w:r>
      <w:r w:rsidRPr="001545FC">
        <w:rPr>
          <w:b/>
          <w:bCs/>
          <w:sz w:val="24"/>
          <w:szCs w:val="24"/>
        </w:rPr>
        <w:t xml:space="preserve">Attachment </w:t>
      </w:r>
      <w:r w:rsidRPr="001545FC" w:rsidR="00A01143">
        <w:rPr>
          <w:b/>
          <w:bCs/>
          <w:sz w:val="24"/>
          <w:szCs w:val="24"/>
        </w:rPr>
        <w:t>9</w:t>
      </w:r>
      <w:r w:rsidRPr="001545FC">
        <w:rPr>
          <w:sz w:val="24"/>
          <w:szCs w:val="24"/>
        </w:rPr>
        <w:t>).</w:t>
      </w:r>
    </w:p>
    <w:p w:rsidR="00EC2E1A" w:rsidRPr="006774DF" w:rsidP="1892D1BE" w14:paraId="55FE5D57" w14:textId="77777777">
      <w:pPr>
        <w:pStyle w:val="heading22"/>
        <w:spacing w:before="0" w:after="0" w:line="276" w:lineRule="auto"/>
        <w:rPr>
          <w:b w:val="0"/>
          <w:color w:val="000000"/>
          <w:sz w:val="24"/>
          <w:szCs w:val="24"/>
        </w:rPr>
      </w:pPr>
    </w:p>
    <w:p w:rsidR="00EC2E1A" w:rsidRPr="006774DF" w:rsidP="00380C4A" w14:paraId="1A4FC03A" w14:textId="77777777">
      <w:pPr>
        <w:rPr>
          <w:color w:val="000000"/>
          <w:sz w:val="24"/>
          <w:szCs w:val="24"/>
          <w:u w:val="single"/>
        </w:rPr>
      </w:pPr>
      <w:r w:rsidRPr="1892D1BE">
        <w:rPr>
          <w:color w:val="000000" w:themeColor="text1"/>
          <w:sz w:val="24"/>
          <w:szCs w:val="24"/>
          <w:u w:val="single"/>
        </w:rPr>
        <w:t>Justification for Sensitive Questions</w:t>
      </w:r>
    </w:p>
    <w:p w:rsidR="00EC2E1A" w:rsidP="00380C4A" w14:paraId="008E40F3" w14:textId="44D62D9D">
      <w:pPr>
        <w:pStyle w:val="Normal2"/>
        <w:rPr>
          <w:sz w:val="24"/>
          <w:szCs w:val="24"/>
        </w:rPr>
      </w:pPr>
      <w:r w:rsidRPr="1892D1BE">
        <w:rPr>
          <w:sz w:val="24"/>
          <w:szCs w:val="24"/>
        </w:rPr>
        <w:t>There is minimal risk that questions</w:t>
      </w:r>
      <w:r w:rsidRPr="1892D1BE">
        <w:rPr>
          <w:color w:val="000000" w:themeColor="text1"/>
          <w:sz w:val="24"/>
          <w:szCs w:val="24"/>
        </w:rPr>
        <w:t xml:space="preserve"> </w:t>
      </w:r>
      <w:r w:rsidRPr="1892D1BE">
        <w:rPr>
          <w:sz w:val="24"/>
          <w:szCs w:val="24"/>
        </w:rPr>
        <w:t xml:space="preserve">related to </w:t>
      </w:r>
      <w:r w:rsidRPr="1892D1BE" w:rsidR="00092F98">
        <w:rPr>
          <w:sz w:val="24"/>
          <w:szCs w:val="24"/>
        </w:rPr>
        <w:t xml:space="preserve">use of heat guidance </w:t>
      </w:r>
      <w:r w:rsidRPr="1892D1BE" w:rsidR="00793D2E">
        <w:rPr>
          <w:sz w:val="24"/>
          <w:szCs w:val="24"/>
        </w:rPr>
        <w:t xml:space="preserve">by CHC healthcare professionals during normal patient interactions </w:t>
      </w:r>
      <w:r w:rsidRPr="1892D1BE">
        <w:rPr>
          <w:color w:val="000000" w:themeColor="text1"/>
          <w:sz w:val="24"/>
          <w:szCs w:val="24"/>
        </w:rPr>
        <w:t xml:space="preserve">may make respondents feel uncomfortable or cause </w:t>
      </w:r>
      <w:r w:rsidRPr="1892D1BE">
        <w:rPr>
          <w:sz w:val="24"/>
          <w:szCs w:val="24"/>
        </w:rPr>
        <w:t xml:space="preserve">some </w:t>
      </w:r>
      <w:r w:rsidRPr="1892D1BE">
        <w:rPr>
          <w:color w:val="000000" w:themeColor="text1"/>
          <w:sz w:val="24"/>
          <w:szCs w:val="24"/>
        </w:rPr>
        <w:t xml:space="preserve">emotional discomfort. </w:t>
      </w:r>
      <w:r w:rsidRPr="1892D1BE">
        <w:rPr>
          <w:sz w:val="24"/>
          <w:szCs w:val="24"/>
        </w:rPr>
        <w:t xml:space="preserve">It is necessary to get feedback around these topics, as best practices show that to develop effective </w:t>
      </w:r>
      <w:r w:rsidRPr="1892D1BE" w:rsidR="00143D39">
        <w:rPr>
          <w:sz w:val="24"/>
          <w:szCs w:val="24"/>
        </w:rPr>
        <w:t xml:space="preserve">communications and/or guidance </w:t>
      </w:r>
      <w:r w:rsidRPr="1892D1BE">
        <w:rPr>
          <w:sz w:val="24"/>
          <w:szCs w:val="24"/>
        </w:rPr>
        <w:t>materials, they must be based on audience data</w:t>
      </w:r>
      <w:r w:rsidRPr="1892D1BE" w:rsidR="00651BDD">
        <w:rPr>
          <w:sz w:val="24"/>
          <w:szCs w:val="24"/>
        </w:rPr>
        <w:t xml:space="preserve"> (13)</w:t>
      </w:r>
      <w:r w:rsidRPr="1892D1BE">
        <w:rPr>
          <w:sz w:val="24"/>
          <w:szCs w:val="24"/>
        </w:rPr>
        <w:t xml:space="preserve">. The respondent consent statement includes a statement informing participants that they may choose not to answer a particular question if they wish and/or end the session at any time without penalty. </w:t>
      </w:r>
    </w:p>
    <w:p w:rsidR="00EC2E1A" w:rsidP="1892D1BE" w14:paraId="6C5E4F84" w14:textId="77777777">
      <w:pPr>
        <w:pStyle w:val="Normal2"/>
        <w:rPr>
          <w:sz w:val="24"/>
          <w:szCs w:val="24"/>
        </w:rPr>
      </w:pPr>
    </w:p>
    <w:p w:rsidR="59F294DB" w:rsidP="00380C4A" w14:paraId="38BA8810" w14:textId="1D1DCD8F">
      <w:pPr>
        <w:spacing w:line="276" w:lineRule="auto"/>
        <w:ind w:left="720" w:hanging="720"/>
        <w:rPr>
          <w:b/>
          <w:bCs/>
          <w:sz w:val="24"/>
          <w:szCs w:val="24"/>
        </w:rPr>
      </w:pPr>
      <w:r w:rsidRPr="1892D1BE">
        <w:rPr>
          <w:b/>
          <w:bCs/>
          <w:sz w:val="24"/>
          <w:szCs w:val="24"/>
        </w:rPr>
        <w:t>A.12</w:t>
      </w:r>
      <w:r>
        <w:tab/>
      </w:r>
      <w:r w:rsidRPr="1892D1BE">
        <w:rPr>
          <w:b/>
          <w:bCs/>
          <w:sz w:val="24"/>
          <w:szCs w:val="24"/>
        </w:rPr>
        <w:t xml:space="preserve">Estimates of Annualized Burden Hours and Costs </w:t>
      </w:r>
    </w:p>
    <w:p w:rsidR="59F294DB" w:rsidP="00380C4A" w14:paraId="7C33F893" w14:textId="2FC4C644">
      <w:pPr>
        <w:spacing w:line="259" w:lineRule="auto"/>
        <w:rPr>
          <w:color w:val="000000" w:themeColor="text1"/>
          <w:sz w:val="24"/>
          <w:szCs w:val="24"/>
        </w:rPr>
      </w:pPr>
      <w:r w:rsidRPr="1892D1BE">
        <w:rPr>
          <w:color w:val="000000" w:themeColor="text1"/>
          <w:sz w:val="24"/>
          <w:szCs w:val="24"/>
        </w:rPr>
        <w:t xml:space="preserve">We estimate the total annualized response burden at </w:t>
      </w:r>
      <w:r w:rsidRPr="1892D1BE" w:rsidR="00651BDD">
        <w:rPr>
          <w:sz w:val="24"/>
          <w:szCs w:val="24"/>
        </w:rPr>
        <w:t>250</w:t>
      </w:r>
      <w:r w:rsidRPr="1892D1BE">
        <w:rPr>
          <w:color w:val="000000" w:themeColor="text1"/>
          <w:sz w:val="24"/>
          <w:szCs w:val="24"/>
        </w:rPr>
        <w:t xml:space="preserve"> hours (Exhibit A.12.1). </w:t>
      </w:r>
    </w:p>
    <w:p w:rsidR="59F294DB" w:rsidP="00380C4A" w14:paraId="1E1341B5" w14:textId="3E92F40F">
      <w:pPr>
        <w:spacing w:line="276" w:lineRule="auto"/>
        <w:rPr>
          <w:sz w:val="24"/>
          <w:szCs w:val="24"/>
        </w:rPr>
      </w:pPr>
    </w:p>
    <w:p w:rsidR="59F294DB" w:rsidP="00380C4A" w14:paraId="4DC7361C" w14:textId="33CF3E51">
      <w:pPr>
        <w:spacing w:line="276" w:lineRule="auto"/>
        <w:rPr>
          <w:color w:val="000000" w:themeColor="text1"/>
          <w:sz w:val="24"/>
          <w:szCs w:val="24"/>
        </w:rPr>
      </w:pPr>
      <w:r w:rsidRPr="12B7FBE2">
        <w:rPr>
          <w:sz w:val="24"/>
          <w:szCs w:val="24"/>
        </w:rPr>
        <w:t xml:space="preserve">The survey is estimated to take 15 minutes to complete. </w:t>
      </w:r>
      <w:r w:rsidRPr="12B7FBE2">
        <w:rPr>
          <w:color w:val="000000" w:themeColor="text1"/>
          <w:sz w:val="24"/>
          <w:szCs w:val="24"/>
        </w:rPr>
        <w:t xml:space="preserve">Timing </w:t>
      </w:r>
      <w:r w:rsidRPr="12B7FBE2">
        <w:rPr>
          <w:sz w:val="24"/>
          <w:szCs w:val="24"/>
        </w:rPr>
        <w:t>is</w:t>
      </w:r>
      <w:r w:rsidRPr="12B7FBE2">
        <w:rPr>
          <w:color w:val="000000" w:themeColor="text1"/>
          <w:sz w:val="24"/>
          <w:szCs w:val="24"/>
        </w:rPr>
        <w:t xml:space="preserve"> based on previous experience conducting research </w:t>
      </w:r>
      <w:r w:rsidRPr="12B7FBE2">
        <w:rPr>
          <w:sz w:val="24"/>
          <w:szCs w:val="24"/>
        </w:rPr>
        <w:t>through online survey panels for message testing</w:t>
      </w:r>
      <w:r w:rsidRPr="12B7FBE2">
        <w:rPr>
          <w:color w:val="000000" w:themeColor="text1"/>
          <w:sz w:val="24"/>
          <w:szCs w:val="24"/>
        </w:rPr>
        <w:t xml:space="preserve"> to determine the overall burden per respondent and based on several survey pilot tests by members of this project team. It is possible that among respondents, up to two-thirds might be unfamiliar with the CDC heat guidance, allowing them to skip portions of the survey. For those respondents, the survey will </w:t>
      </w:r>
      <w:r w:rsidRPr="12B7FBE2">
        <w:rPr>
          <w:color w:val="000000" w:themeColor="text1"/>
          <w:sz w:val="24"/>
          <w:szCs w:val="24"/>
        </w:rPr>
        <w:t>is</w:t>
      </w:r>
      <w:r w:rsidRPr="12B7FBE2">
        <w:rPr>
          <w:color w:val="000000" w:themeColor="text1"/>
          <w:sz w:val="24"/>
          <w:szCs w:val="24"/>
        </w:rPr>
        <w:t xml:space="preserve"> estimated to take 8-10 minutes to complete. </w:t>
      </w:r>
    </w:p>
    <w:p w:rsidR="59F294DB" w:rsidP="00380C4A" w14:paraId="4FF13DFF" w14:textId="60E5A0BB">
      <w:pPr>
        <w:spacing w:line="276" w:lineRule="auto"/>
        <w:rPr>
          <w:color w:val="000000" w:themeColor="text1"/>
          <w:sz w:val="24"/>
          <w:szCs w:val="24"/>
        </w:rPr>
      </w:pPr>
      <w:r w:rsidRPr="1892D1BE">
        <w:rPr>
          <w:color w:val="000000" w:themeColor="text1"/>
          <w:sz w:val="24"/>
          <w:szCs w:val="24"/>
        </w:rPr>
        <w:t xml:space="preserve"> </w:t>
      </w:r>
    </w:p>
    <w:p w:rsidR="59F294DB" w:rsidP="00380C4A" w14:paraId="596E5571" w14:textId="0E959A45">
      <w:pPr>
        <w:spacing w:line="276" w:lineRule="auto"/>
        <w:rPr>
          <w:color w:val="000000" w:themeColor="text1"/>
          <w:sz w:val="24"/>
          <w:szCs w:val="24"/>
        </w:rPr>
      </w:pPr>
      <w:r w:rsidRPr="12B7FBE2">
        <w:rPr>
          <w:color w:val="000000" w:themeColor="text1"/>
          <w:sz w:val="24"/>
          <w:szCs w:val="24"/>
        </w:rPr>
        <w:t>A maximum of 1000 survey responses will be collected from a total of 1,496 CHCs nationwide. Of those, it is estimated that 75% of surveys will be completed by physicians and 25% by non-physician staff at CHCs.</w:t>
      </w:r>
    </w:p>
    <w:p w:rsidR="59F294DB" w:rsidP="1892D1BE" w14:paraId="3BB65AEC" w14:textId="1BF74AF5">
      <w:pPr>
        <w:spacing w:line="276" w:lineRule="auto"/>
        <w:ind w:left="1260" w:hanging="1260"/>
        <w:rPr>
          <w:b/>
          <w:bCs/>
          <w:color w:val="000000" w:themeColor="text1"/>
          <w:sz w:val="24"/>
          <w:szCs w:val="24"/>
        </w:rPr>
      </w:pPr>
      <w:r w:rsidRPr="1892D1BE">
        <w:rPr>
          <w:b/>
          <w:bCs/>
          <w:color w:val="000000" w:themeColor="text1"/>
          <w:sz w:val="24"/>
          <w:szCs w:val="24"/>
        </w:rPr>
        <w:t xml:space="preserve"> </w:t>
      </w:r>
    </w:p>
    <w:p w:rsidR="59F294DB" w:rsidRPr="0048662C" w:rsidP="0048662C" w14:paraId="02D69888" w14:textId="7F5D1174">
      <w:pPr>
        <w:spacing w:line="276" w:lineRule="auto"/>
        <w:ind w:left="1260" w:hanging="1260"/>
        <w:rPr>
          <w:b/>
          <w:bCs/>
          <w:color w:val="000000" w:themeColor="text1"/>
          <w:sz w:val="24"/>
          <w:szCs w:val="24"/>
        </w:rPr>
      </w:pPr>
      <w:r w:rsidRPr="1892D1BE">
        <w:rPr>
          <w:b/>
          <w:bCs/>
          <w:color w:val="000000" w:themeColor="text1"/>
          <w:sz w:val="24"/>
          <w:szCs w:val="24"/>
        </w:rPr>
        <w:t>Exhibit A.12.1. Estimated Annualized Burden Hours</w:t>
      </w:r>
    </w:p>
    <w:tbl>
      <w:tblPr>
        <w:tblStyle w:val="TableGrid"/>
        <w:tblW w:w="0" w:type="auto"/>
        <w:tblInd w:w="135" w:type="dxa"/>
        <w:tblLayout w:type="fixed"/>
        <w:tblLook w:val="04A0"/>
      </w:tblPr>
      <w:tblGrid>
        <w:gridCol w:w="1494"/>
        <w:gridCol w:w="1494"/>
        <w:gridCol w:w="1494"/>
        <w:gridCol w:w="1494"/>
        <w:gridCol w:w="1495"/>
        <w:gridCol w:w="1495"/>
      </w:tblGrid>
      <w:tr w14:paraId="4458637E"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52F476CA" w14:textId="63EBAE56">
            <w:pPr>
              <w:rPr>
                <w:sz w:val="24"/>
                <w:szCs w:val="24"/>
              </w:rPr>
            </w:pPr>
            <w:r w:rsidRPr="1892D1BE">
              <w:rPr>
                <w:sz w:val="24"/>
                <w:szCs w:val="24"/>
              </w:rPr>
              <w:t>Type of Respondent</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7DC8304" w14:textId="41A4447B">
            <w:pPr>
              <w:rPr>
                <w:sz w:val="24"/>
                <w:szCs w:val="24"/>
              </w:rPr>
            </w:pPr>
            <w:r w:rsidRPr="1892D1BE">
              <w:rPr>
                <w:sz w:val="24"/>
                <w:szCs w:val="24"/>
              </w:rPr>
              <w:t>Form Name</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14CE1379" w14:textId="029447DC">
            <w:pPr>
              <w:rPr>
                <w:sz w:val="24"/>
                <w:szCs w:val="24"/>
              </w:rPr>
            </w:pPr>
            <w:r w:rsidRPr="1892D1BE">
              <w:rPr>
                <w:sz w:val="24"/>
                <w:szCs w:val="24"/>
              </w:rPr>
              <w:t>No. of Respondents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670BCB7" w14:textId="3C3683B5">
            <w:pPr>
              <w:rPr>
                <w:sz w:val="24"/>
                <w:szCs w:val="24"/>
              </w:rPr>
            </w:pPr>
            <w:r w:rsidRPr="1892D1BE">
              <w:rPr>
                <w:sz w:val="24"/>
                <w:szCs w:val="24"/>
              </w:rPr>
              <w:t>Number of Responses per Respondent</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031EA1D2" w14:textId="7A8A1067">
            <w:pPr>
              <w:rPr>
                <w:sz w:val="24"/>
                <w:szCs w:val="24"/>
              </w:rPr>
            </w:pPr>
            <w:r w:rsidRPr="1892D1BE">
              <w:rPr>
                <w:sz w:val="24"/>
                <w:szCs w:val="24"/>
              </w:rPr>
              <w:t>Average Burden per Response (hours)</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0884B50" w14:textId="71FEBDCD">
            <w:pPr>
              <w:rPr>
                <w:sz w:val="24"/>
                <w:szCs w:val="24"/>
              </w:rPr>
            </w:pPr>
            <w:r w:rsidRPr="1892D1BE">
              <w:rPr>
                <w:sz w:val="24"/>
                <w:szCs w:val="24"/>
              </w:rPr>
              <w:t>Total Burden (in hours)</w:t>
            </w:r>
          </w:p>
        </w:tc>
      </w:tr>
      <w:tr w14:paraId="5C86000A"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9D56367" w14:textId="666E2AD4">
            <w:pPr>
              <w:rPr>
                <w:sz w:val="24"/>
                <w:szCs w:val="24"/>
              </w:rPr>
            </w:pPr>
            <w:r w:rsidRPr="1892D1BE">
              <w:rPr>
                <w:sz w:val="24"/>
                <w:szCs w:val="24"/>
              </w:rPr>
              <w:t>Physicians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DD18D9E" w14:textId="5322DFFD">
            <w:pPr>
              <w:jc w:val="center"/>
              <w:rPr>
                <w:sz w:val="24"/>
                <w:szCs w:val="24"/>
              </w:rPr>
            </w:pPr>
            <w:r w:rsidRPr="1892D1BE">
              <w:rPr>
                <w:sz w:val="24"/>
                <w:szCs w:val="24"/>
              </w:rPr>
              <w:t>Survey</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070F38A0" w14:textId="214753FC">
            <w:pPr>
              <w:jc w:val="center"/>
              <w:rPr>
                <w:sz w:val="24"/>
                <w:szCs w:val="24"/>
              </w:rPr>
            </w:pPr>
            <w:r w:rsidRPr="1892D1BE">
              <w:rPr>
                <w:sz w:val="24"/>
                <w:szCs w:val="24"/>
              </w:rPr>
              <w:t>750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440B038A" w14:textId="55956370">
            <w:pPr>
              <w:jc w:val="center"/>
              <w:rPr>
                <w:sz w:val="24"/>
                <w:szCs w:val="24"/>
              </w:rPr>
            </w:pPr>
            <w:r w:rsidRPr="1892D1BE">
              <w:rPr>
                <w:sz w:val="24"/>
                <w:szCs w:val="24"/>
              </w:rPr>
              <w:t>1</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58DA668" w14:textId="2587B819">
            <w:pPr>
              <w:jc w:val="center"/>
              <w:rPr>
                <w:sz w:val="24"/>
                <w:szCs w:val="24"/>
              </w:rPr>
            </w:pPr>
            <w:r w:rsidRPr="1892D1BE">
              <w:rPr>
                <w:sz w:val="24"/>
                <w:szCs w:val="24"/>
              </w:rPr>
              <w:t>15/60</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3BE3F10" w14:textId="23E0D3BD">
            <w:pPr>
              <w:jc w:val="center"/>
              <w:rPr>
                <w:sz w:val="24"/>
                <w:szCs w:val="24"/>
              </w:rPr>
            </w:pPr>
            <w:r w:rsidRPr="1892D1BE">
              <w:rPr>
                <w:sz w:val="24"/>
                <w:szCs w:val="24"/>
              </w:rPr>
              <w:t>187</w:t>
            </w:r>
            <w:r w:rsidRPr="1892D1BE" w:rsidR="7B2A03DB">
              <w:rPr>
                <w:sz w:val="24"/>
                <w:szCs w:val="24"/>
              </w:rPr>
              <w:t>.5</w:t>
            </w:r>
          </w:p>
        </w:tc>
      </w:tr>
      <w:tr w14:paraId="2AE82F65" w14:textId="77777777" w:rsidTr="1892D1BE">
        <w:tblPrEx>
          <w:tblW w:w="0" w:type="auto"/>
          <w:tblInd w:w="135" w:type="dxa"/>
          <w:tblLayout w:type="fixed"/>
          <w:tblLook w:val="04A0"/>
        </w:tblPrEx>
        <w:trPr>
          <w:trHeight w:val="82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7110867" w14:textId="7366366F">
            <w:pPr>
              <w:rPr>
                <w:sz w:val="24"/>
                <w:szCs w:val="24"/>
              </w:rPr>
            </w:pPr>
            <w:r w:rsidRPr="1892D1BE">
              <w:rPr>
                <w:sz w:val="24"/>
                <w:szCs w:val="24"/>
              </w:rPr>
              <w:t>Non-physicians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E020811" w14:textId="024E0080">
            <w:pPr>
              <w:jc w:val="center"/>
              <w:rPr>
                <w:sz w:val="24"/>
                <w:szCs w:val="24"/>
              </w:rPr>
            </w:pPr>
            <w:r w:rsidRPr="1892D1BE">
              <w:rPr>
                <w:sz w:val="24"/>
                <w:szCs w:val="24"/>
              </w:rPr>
              <w:t>Survey</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75626E2" w14:textId="02433263">
            <w:pPr>
              <w:jc w:val="center"/>
              <w:rPr>
                <w:sz w:val="24"/>
                <w:szCs w:val="24"/>
              </w:rPr>
            </w:pPr>
            <w:r w:rsidRPr="1892D1BE">
              <w:rPr>
                <w:sz w:val="24"/>
                <w:szCs w:val="24"/>
              </w:rPr>
              <w:t>250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64BFE95" w14:textId="516CA6CA">
            <w:pPr>
              <w:jc w:val="center"/>
              <w:rPr>
                <w:sz w:val="24"/>
                <w:szCs w:val="24"/>
              </w:rPr>
            </w:pPr>
            <w:r w:rsidRPr="1892D1BE">
              <w:rPr>
                <w:sz w:val="24"/>
                <w:szCs w:val="24"/>
              </w:rPr>
              <w:t>1</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6E23BC29" w14:textId="20E72316">
            <w:pPr>
              <w:jc w:val="center"/>
              <w:rPr>
                <w:sz w:val="24"/>
                <w:szCs w:val="24"/>
              </w:rPr>
            </w:pPr>
            <w:r w:rsidRPr="1892D1BE">
              <w:rPr>
                <w:sz w:val="24"/>
                <w:szCs w:val="24"/>
              </w:rPr>
              <w:t>15/60</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BB38077" w14:textId="2DC0C089">
            <w:pPr>
              <w:jc w:val="center"/>
              <w:rPr>
                <w:sz w:val="24"/>
                <w:szCs w:val="24"/>
              </w:rPr>
            </w:pPr>
            <w:r w:rsidRPr="1892D1BE">
              <w:rPr>
                <w:sz w:val="24"/>
                <w:szCs w:val="24"/>
              </w:rPr>
              <w:t>62</w:t>
            </w:r>
            <w:r w:rsidRPr="1892D1BE" w:rsidR="7B2A03DB">
              <w:rPr>
                <w:sz w:val="24"/>
                <w:szCs w:val="24"/>
              </w:rPr>
              <w:t>.5</w:t>
            </w:r>
          </w:p>
        </w:tc>
      </w:tr>
      <w:tr w14:paraId="244E84A4"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03CCCD3" w14:textId="59F66C20">
            <w:pPr>
              <w:rPr>
                <w:sz w:val="24"/>
                <w:szCs w:val="24"/>
              </w:rPr>
            </w:pPr>
            <w:r w:rsidRPr="1892D1BE">
              <w:rPr>
                <w:sz w:val="24"/>
                <w:szCs w:val="24"/>
              </w:rPr>
              <w:t>Totals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615D7F74" w14:textId="00ECE260">
            <w:pPr>
              <w:jc w:val="center"/>
              <w:rPr>
                <w:sz w:val="24"/>
                <w:szCs w:val="24"/>
              </w:rPr>
            </w:pPr>
            <w:r w:rsidRPr="1892D1BE">
              <w:rPr>
                <w:sz w:val="24"/>
                <w:szCs w:val="24"/>
              </w:rPr>
              <w:t>-</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7B9C387" w14:textId="79D693BD">
            <w:pPr>
              <w:jc w:val="center"/>
              <w:rPr>
                <w:sz w:val="24"/>
                <w:szCs w:val="24"/>
              </w:rPr>
            </w:pPr>
            <w:r w:rsidRPr="1892D1BE">
              <w:rPr>
                <w:sz w:val="24"/>
                <w:szCs w:val="24"/>
              </w:rPr>
              <w:t>1,</w:t>
            </w:r>
            <w:r w:rsidRPr="1892D1BE" w:rsidR="38908C68">
              <w:rPr>
                <w:sz w:val="24"/>
                <w:szCs w:val="24"/>
              </w:rPr>
              <w:t>000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1EDA0C3D" w14:textId="078B1850">
            <w:pPr>
              <w:jc w:val="center"/>
              <w:rPr>
                <w:sz w:val="24"/>
                <w:szCs w:val="24"/>
              </w:rPr>
            </w:pPr>
            <w:r w:rsidRPr="1892D1BE">
              <w:rPr>
                <w:sz w:val="24"/>
                <w:szCs w:val="24"/>
              </w:rPr>
              <w:t>-</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79A1919" w14:textId="19C6233A">
            <w:pPr>
              <w:jc w:val="center"/>
              <w:rPr>
                <w:sz w:val="24"/>
                <w:szCs w:val="24"/>
              </w:rPr>
            </w:pPr>
            <w:r w:rsidRPr="1892D1BE">
              <w:rPr>
                <w:sz w:val="24"/>
                <w:szCs w:val="24"/>
              </w:rPr>
              <w:t>-</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3289B90" w14:textId="6148E816">
            <w:pPr>
              <w:jc w:val="center"/>
              <w:rPr>
                <w:sz w:val="24"/>
                <w:szCs w:val="24"/>
              </w:rPr>
            </w:pPr>
            <w:r w:rsidRPr="1892D1BE">
              <w:rPr>
                <w:sz w:val="24"/>
                <w:szCs w:val="24"/>
              </w:rPr>
              <w:t>250</w:t>
            </w:r>
          </w:p>
        </w:tc>
      </w:tr>
    </w:tbl>
    <w:p w:rsidR="59F294DB" w:rsidP="1892D1BE" w14:paraId="226B0E28" w14:textId="4A9FC602">
      <w:pPr>
        <w:rPr>
          <w:i/>
          <w:iCs/>
          <w:sz w:val="24"/>
          <w:szCs w:val="24"/>
        </w:rPr>
      </w:pPr>
      <w:r w:rsidRPr="1892D1BE">
        <w:rPr>
          <w:i/>
          <w:iCs/>
          <w:sz w:val="24"/>
          <w:szCs w:val="24"/>
        </w:rPr>
        <w:t xml:space="preserve"> </w:t>
      </w:r>
    </w:p>
    <w:p w:rsidR="59F294DB" w:rsidP="1892D1BE" w14:paraId="165F54EF" w14:textId="6901D285">
      <w:pPr>
        <w:spacing w:line="276" w:lineRule="auto"/>
        <w:rPr>
          <w:sz w:val="24"/>
          <w:szCs w:val="24"/>
        </w:rPr>
      </w:pPr>
      <w:r w:rsidRPr="6F718F23">
        <w:rPr>
          <w:sz w:val="24"/>
          <w:szCs w:val="24"/>
        </w:rPr>
        <w:t>According to the U.S. Department of Labor (DOL) December 2023 (the most up-to-date non-provisional data) National Occupational Employment and Wage Estimates, the average hourly wage for physicians is $113.46 or for non-physician health care providers</w:t>
      </w:r>
      <w:r w:rsidR="00A01143">
        <w:rPr>
          <w:sz w:val="24"/>
          <w:szCs w:val="24"/>
        </w:rPr>
        <w:t>/CHC staff</w:t>
      </w:r>
      <w:r w:rsidRPr="6F718F23">
        <w:rPr>
          <w:sz w:val="24"/>
          <w:szCs w:val="24"/>
        </w:rPr>
        <w:t xml:space="preserve"> is $57.69 (14). The total annualized burden cost is estimated at $24,879.38 per year. Nonusers will spend less time completing the survey, and therefore reduce cost. Costs calculated here reflect the maximum burden and costs.</w:t>
      </w:r>
    </w:p>
    <w:p w:rsidR="59F294DB" w:rsidP="1892D1BE" w14:paraId="088EB708" w14:textId="130DE570">
      <w:pPr>
        <w:spacing w:line="276" w:lineRule="auto"/>
        <w:rPr>
          <w:b/>
          <w:bCs/>
          <w:color w:val="000000" w:themeColor="text1"/>
          <w:sz w:val="24"/>
          <w:szCs w:val="24"/>
        </w:rPr>
      </w:pPr>
      <w:r w:rsidRPr="1892D1BE">
        <w:rPr>
          <w:b/>
          <w:bCs/>
          <w:color w:val="000000" w:themeColor="text1"/>
          <w:sz w:val="24"/>
          <w:szCs w:val="24"/>
        </w:rPr>
        <w:t xml:space="preserve"> </w:t>
      </w:r>
    </w:p>
    <w:p w:rsidR="59F294DB" w:rsidRPr="0048662C" w:rsidP="0048662C" w14:paraId="048FF743" w14:textId="25EB287B">
      <w:pPr>
        <w:spacing w:line="276" w:lineRule="auto"/>
        <w:rPr>
          <w:color w:val="000000" w:themeColor="text1"/>
          <w:sz w:val="24"/>
          <w:szCs w:val="24"/>
        </w:rPr>
      </w:pPr>
      <w:r w:rsidRPr="1892D1BE">
        <w:rPr>
          <w:b/>
          <w:bCs/>
          <w:color w:val="000000" w:themeColor="text1"/>
          <w:sz w:val="24"/>
          <w:szCs w:val="24"/>
        </w:rPr>
        <w:t>Exhibit A.12.2</w:t>
      </w:r>
      <w:r>
        <w:tab/>
      </w:r>
      <w:r w:rsidRPr="0048662C">
        <w:rPr>
          <w:b/>
          <w:bCs/>
          <w:color w:val="000000" w:themeColor="text1"/>
          <w:sz w:val="24"/>
          <w:szCs w:val="24"/>
        </w:rPr>
        <w:t>Estimated Annualized Burden Costs</w:t>
      </w:r>
    </w:p>
    <w:tbl>
      <w:tblPr>
        <w:tblStyle w:val="TableGrid"/>
        <w:tblW w:w="0" w:type="auto"/>
        <w:tblInd w:w="135" w:type="dxa"/>
        <w:tblLayout w:type="fixed"/>
        <w:tblLook w:val="04A0"/>
      </w:tblPr>
      <w:tblGrid>
        <w:gridCol w:w="1494"/>
        <w:gridCol w:w="1494"/>
        <w:gridCol w:w="1494"/>
        <w:gridCol w:w="1494"/>
        <w:gridCol w:w="1495"/>
        <w:gridCol w:w="1495"/>
      </w:tblGrid>
      <w:tr w14:paraId="40F84FE7"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5D5D5D73" w14:textId="5A5EFEF1">
            <w:pPr>
              <w:rPr>
                <w:sz w:val="24"/>
                <w:szCs w:val="24"/>
              </w:rPr>
            </w:pPr>
            <w:r w:rsidRPr="1892D1BE">
              <w:rPr>
                <w:sz w:val="24"/>
                <w:szCs w:val="24"/>
              </w:rPr>
              <w:t>Type of Respondent</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188516C5" w14:textId="14215F9E">
            <w:pPr>
              <w:rPr>
                <w:sz w:val="24"/>
                <w:szCs w:val="24"/>
              </w:rPr>
            </w:pPr>
            <w:r w:rsidRPr="1892D1BE">
              <w:rPr>
                <w:sz w:val="24"/>
                <w:szCs w:val="24"/>
              </w:rPr>
              <w:t>Number of Respondents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976B21F" w14:textId="66AAC612">
            <w:pPr>
              <w:rPr>
                <w:sz w:val="24"/>
                <w:szCs w:val="24"/>
              </w:rPr>
            </w:pPr>
            <w:r w:rsidRPr="1892D1BE">
              <w:rPr>
                <w:sz w:val="24"/>
                <w:szCs w:val="24"/>
              </w:rPr>
              <w:t>Average Burden per Respondent (hours)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1F6059B7" w14:textId="3C9417DD">
            <w:pPr>
              <w:rPr>
                <w:sz w:val="24"/>
                <w:szCs w:val="24"/>
              </w:rPr>
            </w:pPr>
            <w:r w:rsidRPr="1892D1BE">
              <w:rPr>
                <w:sz w:val="24"/>
                <w:szCs w:val="24"/>
              </w:rPr>
              <w:t>Total Burden Hours</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674A9BB1" w14:textId="478A819D">
            <w:pPr>
              <w:rPr>
                <w:sz w:val="24"/>
                <w:szCs w:val="24"/>
              </w:rPr>
            </w:pPr>
            <w:r w:rsidRPr="1892D1BE">
              <w:rPr>
                <w:sz w:val="24"/>
                <w:szCs w:val="24"/>
              </w:rPr>
              <w:t>Hourly Wage Rate</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AF68534" w14:textId="09A17A40">
            <w:pPr>
              <w:rPr>
                <w:sz w:val="24"/>
                <w:szCs w:val="24"/>
              </w:rPr>
            </w:pPr>
            <w:r w:rsidRPr="1892D1BE">
              <w:rPr>
                <w:sz w:val="24"/>
                <w:szCs w:val="24"/>
              </w:rPr>
              <w:t>Total Respondent Costs</w:t>
            </w:r>
          </w:p>
        </w:tc>
      </w:tr>
      <w:tr w14:paraId="7B3F6126"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4FEBB823" w14:textId="51CA00C2">
            <w:pPr>
              <w:rPr>
                <w:sz w:val="24"/>
                <w:szCs w:val="24"/>
              </w:rPr>
            </w:pPr>
            <w:r w:rsidRPr="1892D1BE">
              <w:rPr>
                <w:sz w:val="24"/>
                <w:szCs w:val="24"/>
              </w:rPr>
              <w:t>Physicians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49F17E1C" w14:textId="1C879297">
            <w:pPr>
              <w:jc w:val="center"/>
              <w:rPr>
                <w:sz w:val="24"/>
                <w:szCs w:val="24"/>
              </w:rPr>
            </w:pPr>
            <w:r w:rsidRPr="1892D1BE">
              <w:rPr>
                <w:sz w:val="24"/>
                <w:szCs w:val="24"/>
              </w:rPr>
              <w:t>750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2D4DCDB" w14:textId="20C9CA96">
            <w:pPr>
              <w:jc w:val="center"/>
              <w:rPr>
                <w:sz w:val="24"/>
                <w:szCs w:val="24"/>
              </w:rPr>
            </w:pPr>
            <w:r w:rsidRPr="1892D1BE">
              <w:rPr>
                <w:sz w:val="24"/>
                <w:szCs w:val="24"/>
              </w:rPr>
              <w:t>15/60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42CC90A8" w14:textId="0231F245">
            <w:pPr>
              <w:jc w:val="center"/>
              <w:rPr>
                <w:sz w:val="24"/>
                <w:szCs w:val="24"/>
              </w:rPr>
            </w:pPr>
            <w:r w:rsidRPr="1892D1BE">
              <w:rPr>
                <w:sz w:val="24"/>
                <w:szCs w:val="24"/>
              </w:rPr>
              <w:t>187</w:t>
            </w:r>
            <w:r w:rsidRPr="1892D1BE" w:rsidR="7B2A03DB">
              <w:rPr>
                <w:sz w:val="24"/>
                <w:szCs w:val="24"/>
              </w:rPr>
              <w:t>.5</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21648B84" w14:textId="62A553F3">
            <w:pPr>
              <w:jc w:val="center"/>
              <w:rPr>
                <w:sz w:val="24"/>
                <w:szCs w:val="24"/>
              </w:rPr>
            </w:pPr>
            <w:r w:rsidRPr="1892D1BE">
              <w:rPr>
                <w:sz w:val="24"/>
                <w:szCs w:val="24"/>
              </w:rPr>
              <w:t>$113.46</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50DE3CB1" w14:textId="59170680">
            <w:pPr>
              <w:jc w:val="center"/>
              <w:rPr>
                <w:sz w:val="24"/>
                <w:szCs w:val="24"/>
              </w:rPr>
            </w:pPr>
            <w:r w:rsidRPr="1892D1BE">
              <w:rPr>
                <w:sz w:val="24"/>
                <w:szCs w:val="24"/>
              </w:rPr>
              <w:t>$</w:t>
            </w:r>
            <w:r w:rsidRPr="1892D1BE" w:rsidR="083EF0D5">
              <w:rPr>
                <w:sz w:val="24"/>
                <w:szCs w:val="24"/>
              </w:rPr>
              <w:t>2</w:t>
            </w:r>
            <w:r w:rsidRPr="1892D1BE">
              <w:rPr>
                <w:sz w:val="24"/>
                <w:szCs w:val="24"/>
              </w:rPr>
              <w:t>1,</w:t>
            </w:r>
            <w:r w:rsidRPr="1892D1BE" w:rsidR="083EF0D5">
              <w:rPr>
                <w:sz w:val="24"/>
                <w:szCs w:val="24"/>
              </w:rPr>
              <w:t>273</w:t>
            </w:r>
            <w:r w:rsidRPr="1892D1BE">
              <w:rPr>
                <w:sz w:val="24"/>
                <w:szCs w:val="24"/>
              </w:rPr>
              <w:t>.</w:t>
            </w:r>
            <w:r w:rsidRPr="1892D1BE" w:rsidR="083EF0D5">
              <w:rPr>
                <w:sz w:val="24"/>
                <w:szCs w:val="24"/>
              </w:rPr>
              <w:t>75</w:t>
            </w:r>
          </w:p>
        </w:tc>
      </w:tr>
      <w:tr w14:paraId="3296E513" w14:textId="77777777" w:rsidTr="1892D1BE">
        <w:tblPrEx>
          <w:tblW w:w="0" w:type="auto"/>
          <w:tblInd w:w="135" w:type="dxa"/>
          <w:tblLayout w:type="fixed"/>
          <w:tblLook w:val="04A0"/>
        </w:tblPrEx>
        <w:trPr>
          <w:trHeight w:val="82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42140B6" w14:textId="070A7F67">
            <w:pPr>
              <w:rPr>
                <w:sz w:val="24"/>
                <w:szCs w:val="24"/>
              </w:rPr>
            </w:pPr>
            <w:r w:rsidRPr="1892D1BE">
              <w:rPr>
                <w:sz w:val="24"/>
                <w:szCs w:val="24"/>
              </w:rPr>
              <w:t>Non-physicians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CD7F9C3" w14:textId="542A27D0">
            <w:pPr>
              <w:jc w:val="center"/>
              <w:rPr>
                <w:sz w:val="24"/>
                <w:szCs w:val="24"/>
              </w:rPr>
            </w:pPr>
            <w:r w:rsidRPr="1892D1BE">
              <w:rPr>
                <w:sz w:val="24"/>
                <w:szCs w:val="24"/>
              </w:rPr>
              <w:t>250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63114C11" w14:textId="6B581993">
            <w:pPr>
              <w:jc w:val="center"/>
              <w:rPr>
                <w:sz w:val="24"/>
                <w:szCs w:val="24"/>
              </w:rPr>
            </w:pPr>
            <w:r w:rsidRPr="1892D1BE">
              <w:rPr>
                <w:sz w:val="24"/>
                <w:szCs w:val="24"/>
              </w:rPr>
              <w:t>15/60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07A36917" w14:textId="08DC10C6">
            <w:pPr>
              <w:jc w:val="center"/>
              <w:rPr>
                <w:sz w:val="24"/>
                <w:szCs w:val="24"/>
              </w:rPr>
            </w:pPr>
            <w:r w:rsidRPr="1892D1BE">
              <w:rPr>
                <w:sz w:val="24"/>
                <w:szCs w:val="24"/>
              </w:rPr>
              <w:t>62</w:t>
            </w:r>
            <w:r w:rsidRPr="1892D1BE" w:rsidR="7B2A03DB">
              <w:rPr>
                <w:sz w:val="24"/>
                <w:szCs w:val="24"/>
              </w:rPr>
              <w:t>.5</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5972A34" w14:textId="2280B043">
            <w:pPr>
              <w:jc w:val="center"/>
              <w:rPr>
                <w:sz w:val="24"/>
                <w:szCs w:val="24"/>
              </w:rPr>
            </w:pPr>
            <w:r w:rsidRPr="1892D1BE">
              <w:rPr>
                <w:sz w:val="24"/>
                <w:szCs w:val="24"/>
              </w:rPr>
              <w:t>$57.69</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5AA3981E" w14:textId="640C33D9">
            <w:pPr>
              <w:jc w:val="center"/>
              <w:rPr>
                <w:sz w:val="24"/>
                <w:szCs w:val="24"/>
              </w:rPr>
            </w:pPr>
            <w:r w:rsidRPr="1892D1BE">
              <w:rPr>
                <w:sz w:val="24"/>
                <w:szCs w:val="24"/>
              </w:rPr>
              <w:t>$</w:t>
            </w:r>
            <w:r w:rsidRPr="1892D1BE" w:rsidR="04D94499">
              <w:rPr>
                <w:sz w:val="24"/>
                <w:szCs w:val="24"/>
              </w:rPr>
              <w:t>3</w:t>
            </w:r>
            <w:r w:rsidRPr="1892D1BE">
              <w:rPr>
                <w:sz w:val="24"/>
                <w:szCs w:val="24"/>
              </w:rPr>
              <w:t>,</w:t>
            </w:r>
            <w:r w:rsidRPr="1892D1BE" w:rsidR="04D94499">
              <w:rPr>
                <w:sz w:val="24"/>
                <w:szCs w:val="24"/>
              </w:rPr>
              <w:t>605</w:t>
            </w:r>
            <w:r w:rsidRPr="1892D1BE">
              <w:rPr>
                <w:sz w:val="24"/>
                <w:szCs w:val="24"/>
              </w:rPr>
              <w:t>.</w:t>
            </w:r>
            <w:r w:rsidRPr="1892D1BE" w:rsidR="04D94499">
              <w:rPr>
                <w:sz w:val="24"/>
                <w:szCs w:val="24"/>
              </w:rPr>
              <w:t>63</w:t>
            </w:r>
          </w:p>
        </w:tc>
      </w:tr>
      <w:tr w14:paraId="6885E442" w14:textId="77777777" w:rsidTr="1892D1BE">
        <w:tblPrEx>
          <w:tblW w:w="0" w:type="auto"/>
          <w:tblInd w:w="135" w:type="dxa"/>
          <w:tblLayout w:type="fixed"/>
          <w:tblLook w:val="04A0"/>
        </w:tblPrEx>
        <w:trPr>
          <w:trHeight w:val="795"/>
        </w:trPr>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625A3A66" w14:textId="49EF7D44">
            <w:pPr>
              <w:rPr>
                <w:sz w:val="24"/>
                <w:szCs w:val="24"/>
              </w:rPr>
            </w:pPr>
            <w:r w:rsidRPr="1892D1BE">
              <w:rPr>
                <w:sz w:val="24"/>
                <w:szCs w:val="24"/>
              </w:rPr>
              <w:t>Totals</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0CD7398C" w14:textId="5CC7898E">
            <w:pPr>
              <w:jc w:val="center"/>
              <w:rPr>
                <w:sz w:val="24"/>
                <w:szCs w:val="24"/>
              </w:rPr>
            </w:pPr>
            <w:r w:rsidRPr="1892D1BE">
              <w:rPr>
                <w:sz w:val="24"/>
                <w:szCs w:val="24"/>
              </w:rPr>
              <w:t>1,</w:t>
            </w:r>
            <w:r w:rsidRPr="1892D1BE" w:rsidR="27C6C3C1">
              <w:rPr>
                <w:sz w:val="24"/>
                <w:szCs w:val="24"/>
              </w:rPr>
              <w:t>000</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52040470" w14:textId="0B0B2A95">
            <w:pPr>
              <w:jc w:val="center"/>
              <w:rPr>
                <w:sz w:val="24"/>
                <w:szCs w:val="24"/>
              </w:rPr>
            </w:pPr>
            <w:r w:rsidRPr="1892D1BE">
              <w:rPr>
                <w:sz w:val="24"/>
                <w:szCs w:val="24"/>
              </w:rPr>
              <w:t>-</w:t>
            </w:r>
          </w:p>
        </w:tc>
        <w:tc>
          <w:tcPr>
            <w:tcW w:w="1494"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3F0FECE6" w14:textId="70CDFB06">
            <w:pPr>
              <w:jc w:val="center"/>
              <w:rPr>
                <w:sz w:val="24"/>
                <w:szCs w:val="24"/>
              </w:rPr>
            </w:pPr>
            <w:r w:rsidRPr="1892D1BE">
              <w:rPr>
                <w:sz w:val="24"/>
                <w:szCs w:val="24"/>
              </w:rPr>
              <w:t>250</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13603D98" w14:textId="48DCDEB0">
            <w:pPr>
              <w:jc w:val="center"/>
              <w:rPr>
                <w:sz w:val="24"/>
                <w:szCs w:val="24"/>
              </w:rPr>
            </w:pPr>
            <w:r w:rsidRPr="1892D1BE">
              <w:rPr>
                <w:sz w:val="24"/>
                <w:szCs w:val="24"/>
              </w:rPr>
              <w:t>-</w:t>
            </w:r>
          </w:p>
        </w:tc>
        <w:tc>
          <w:tcPr>
            <w:tcW w:w="1495" w:type="dxa"/>
            <w:tcBorders>
              <w:top w:val="single" w:sz="8" w:space="0" w:color="auto"/>
              <w:left w:val="single" w:sz="8" w:space="0" w:color="auto"/>
              <w:bottom w:val="single" w:sz="8" w:space="0" w:color="auto"/>
              <w:right w:val="single" w:sz="8" w:space="0" w:color="auto"/>
            </w:tcBorders>
            <w:tcMar>
              <w:left w:w="108" w:type="dxa"/>
              <w:right w:w="108" w:type="dxa"/>
            </w:tcMar>
          </w:tcPr>
          <w:p w:rsidR="4EBA3B1C" w:rsidP="1892D1BE" w14:paraId="7ED72390" w14:textId="68E8E76B">
            <w:pPr>
              <w:jc w:val="center"/>
              <w:rPr>
                <w:sz w:val="24"/>
                <w:szCs w:val="24"/>
              </w:rPr>
            </w:pPr>
            <w:r w:rsidRPr="1892D1BE">
              <w:rPr>
                <w:sz w:val="24"/>
                <w:szCs w:val="24"/>
              </w:rPr>
              <w:t>$</w:t>
            </w:r>
            <w:r w:rsidRPr="1892D1BE" w:rsidR="04D94499">
              <w:rPr>
                <w:sz w:val="24"/>
                <w:szCs w:val="24"/>
              </w:rPr>
              <w:t>24</w:t>
            </w:r>
            <w:r w:rsidRPr="1892D1BE">
              <w:rPr>
                <w:sz w:val="24"/>
                <w:szCs w:val="24"/>
              </w:rPr>
              <w:t>,</w:t>
            </w:r>
            <w:r w:rsidRPr="1892D1BE" w:rsidR="04D94499">
              <w:rPr>
                <w:sz w:val="24"/>
                <w:szCs w:val="24"/>
              </w:rPr>
              <w:t>879</w:t>
            </w:r>
            <w:r w:rsidRPr="1892D1BE">
              <w:rPr>
                <w:sz w:val="24"/>
                <w:szCs w:val="24"/>
              </w:rPr>
              <w:t>.</w:t>
            </w:r>
            <w:r w:rsidRPr="1892D1BE" w:rsidR="04D94499">
              <w:rPr>
                <w:sz w:val="24"/>
                <w:szCs w:val="24"/>
              </w:rPr>
              <w:t>38</w:t>
            </w:r>
          </w:p>
        </w:tc>
      </w:tr>
    </w:tbl>
    <w:p w:rsidR="59F294DB" w:rsidP="1892D1BE" w14:paraId="65C615EE" w14:textId="53CC99E1">
      <w:pPr>
        <w:rPr>
          <w:sz w:val="24"/>
          <w:szCs w:val="24"/>
        </w:rPr>
      </w:pPr>
      <w:r w:rsidRPr="1892D1BE">
        <w:rPr>
          <w:sz w:val="24"/>
          <w:szCs w:val="24"/>
        </w:rPr>
        <w:t xml:space="preserve"> </w:t>
      </w:r>
    </w:p>
    <w:p w:rsidR="00EC2E1A" w:rsidP="001545FC" w14:paraId="7F89670E" w14:textId="77777777">
      <w:pPr>
        <w:pStyle w:val="heading22"/>
        <w:spacing w:before="0" w:after="0" w:line="276" w:lineRule="auto"/>
        <w:ind w:left="0" w:firstLine="0"/>
        <w:rPr>
          <w:sz w:val="24"/>
          <w:szCs w:val="24"/>
        </w:rPr>
      </w:pPr>
    </w:p>
    <w:p w:rsidR="00EC2E1A" w:rsidRPr="00DF67BF" w:rsidP="1892D1BE" w14:paraId="19D24115" w14:textId="474A9799">
      <w:pPr>
        <w:pStyle w:val="heading22"/>
        <w:spacing w:before="0" w:after="0" w:line="276" w:lineRule="auto"/>
        <w:rPr>
          <w:sz w:val="24"/>
          <w:szCs w:val="24"/>
        </w:rPr>
      </w:pPr>
      <w:bookmarkStart w:id="17" w:name="_Toc182756729"/>
      <w:r w:rsidRPr="1892D1BE">
        <w:rPr>
          <w:sz w:val="24"/>
          <w:szCs w:val="24"/>
        </w:rPr>
        <w:t>A.13</w:t>
      </w:r>
      <w:r>
        <w:tab/>
      </w:r>
      <w:r w:rsidRPr="1892D1BE">
        <w:rPr>
          <w:sz w:val="24"/>
          <w:szCs w:val="24"/>
        </w:rPr>
        <w:t>Estimates of Other Total Annual Cost Burden to Respondents and Record Keepers</w:t>
      </w:r>
      <w:bookmarkEnd w:id="17"/>
      <w:r w:rsidRPr="1892D1BE">
        <w:rPr>
          <w:sz w:val="24"/>
          <w:szCs w:val="24"/>
        </w:rPr>
        <w:t xml:space="preserve"> </w:t>
      </w:r>
    </w:p>
    <w:p w:rsidR="00EC2E1A" w:rsidRPr="006774DF" w:rsidP="1892D1BE" w14:paraId="321792CE" w14:textId="77777777">
      <w:pPr>
        <w:jc w:val="both"/>
        <w:rPr>
          <w:color w:val="000000"/>
          <w:sz w:val="24"/>
          <w:szCs w:val="24"/>
        </w:rPr>
      </w:pPr>
      <w:r w:rsidRPr="1892D1BE">
        <w:rPr>
          <w:color w:val="000000" w:themeColor="text1"/>
          <w:sz w:val="24"/>
          <w:szCs w:val="24"/>
        </w:rPr>
        <w:t>There will be no direct costs to the respondents other than their time to participate in the information collection.</w:t>
      </w:r>
    </w:p>
    <w:p w:rsidR="00EC2E1A" w:rsidP="1892D1BE" w14:paraId="4D67A9F3" w14:textId="77777777">
      <w:pPr>
        <w:pStyle w:val="heading22"/>
        <w:spacing w:before="0" w:after="0" w:line="276" w:lineRule="auto"/>
        <w:rPr>
          <w:sz w:val="24"/>
          <w:szCs w:val="24"/>
        </w:rPr>
      </w:pPr>
    </w:p>
    <w:p w:rsidR="00EC2E1A" w:rsidRPr="001545FC" w:rsidP="001545FC" w14:paraId="30549FCA" w14:textId="32001C57">
      <w:pPr>
        <w:pStyle w:val="heading22"/>
        <w:spacing w:before="0" w:after="0" w:line="276" w:lineRule="auto"/>
        <w:rPr>
          <w:sz w:val="24"/>
          <w:szCs w:val="24"/>
        </w:rPr>
      </w:pPr>
      <w:bookmarkStart w:id="18" w:name="_Toc182756730"/>
      <w:r w:rsidRPr="1892D1BE">
        <w:rPr>
          <w:sz w:val="24"/>
          <w:szCs w:val="24"/>
        </w:rPr>
        <w:t>A.14</w:t>
      </w:r>
      <w:r>
        <w:tab/>
      </w:r>
      <w:r w:rsidRPr="1892D1BE">
        <w:rPr>
          <w:sz w:val="24"/>
          <w:szCs w:val="24"/>
        </w:rPr>
        <w:t>Annualized Cost to the Federal Government</w:t>
      </w:r>
      <w:bookmarkEnd w:id="18"/>
      <w:r w:rsidRPr="1892D1BE">
        <w:rPr>
          <w:sz w:val="24"/>
          <w:szCs w:val="24"/>
        </w:rPr>
        <w:t xml:space="preserve"> </w:t>
      </w:r>
    </w:p>
    <w:p w:rsidR="00EC2E1A" w:rsidP="1892D1BE" w14:paraId="3982CE11" w14:textId="52182DB7">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The total annualized cost to the government is estimated to be $1</w:t>
      </w:r>
      <w:r w:rsidRPr="1892D1BE" w:rsidR="00C67BA6">
        <w:rPr>
          <w:color w:val="000000" w:themeColor="text1"/>
          <w:sz w:val="24"/>
          <w:szCs w:val="24"/>
        </w:rPr>
        <w:t>85</w:t>
      </w:r>
      <w:r w:rsidRPr="1892D1BE">
        <w:rPr>
          <w:color w:val="000000" w:themeColor="text1"/>
          <w:sz w:val="24"/>
          <w:szCs w:val="24"/>
        </w:rPr>
        <w:t>,6</w:t>
      </w:r>
      <w:r w:rsidRPr="1892D1BE" w:rsidR="00C67BA6">
        <w:rPr>
          <w:color w:val="000000" w:themeColor="text1"/>
          <w:sz w:val="24"/>
          <w:szCs w:val="24"/>
        </w:rPr>
        <w:t>11</w:t>
      </w:r>
      <w:r w:rsidRPr="1892D1BE">
        <w:rPr>
          <w:color w:val="000000" w:themeColor="text1"/>
          <w:sz w:val="24"/>
          <w:szCs w:val="24"/>
        </w:rPr>
        <w:t>.</w:t>
      </w:r>
      <w:r w:rsidRPr="1892D1BE" w:rsidR="00C67BA6">
        <w:rPr>
          <w:color w:val="000000" w:themeColor="text1"/>
          <w:sz w:val="24"/>
          <w:szCs w:val="24"/>
        </w:rPr>
        <w:t>10</w:t>
      </w:r>
      <w:r w:rsidRPr="1892D1BE">
        <w:rPr>
          <w:color w:val="000000" w:themeColor="text1"/>
          <w:sz w:val="24"/>
          <w:szCs w:val="24"/>
        </w:rPr>
        <w:t xml:space="preserve"> (Exhibit A.14.1). This cost includes salaried labor for contractor staff and other direct costs associated with planning and execution of the collection.</w:t>
      </w:r>
    </w:p>
    <w:p w:rsidR="00C67BA6" w:rsidP="1892D1BE" w14:paraId="6F019737" w14:textId="77777777">
      <w:pPr>
        <w:pStyle w:val="Normal2"/>
        <w:pBdr>
          <w:top w:val="nil"/>
          <w:left w:val="nil"/>
          <w:bottom w:val="nil"/>
          <w:right w:val="nil"/>
          <w:between w:val="nil"/>
        </w:pBdr>
        <w:spacing w:line="276" w:lineRule="auto"/>
        <w:rPr>
          <w:sz w:val="24"/>
          <w:szCs w:val="24"/>
        </w:rPr>
      </w:pPr>
    </w:p>
    <w:p w:rsidR="00EC2E1A" w:rsidP="1892D1BE" w14:paraId="6A28392A" w14:textId="77777777">
      <w:pPr>
        <w:pStyle w:val="Normal2"/>
        <w:keepNext/>
        <w:keepLines/>
        <w:pBdr>
          <w:top w:val="nil"/>
          <w:left w:val="nil"/>
          <w:bottom w:val="nil"/>
          <w:right w:val="nil"/>
          <w:between w:val="nil"/>
        </w:pBdr>
        <w:spacing w:line="276" w:lineRule="auto"/>
        <w:ind w:left="1260" w:hanging="1260"/>
        <w:rPr>
          <w:b/>
          <w:bCs/>
          <w:color w:val="000000"/>
          <w:sz w:val="24"/>
          <w:szCs w:val="24"/>
        </w:rPr>
      </w:pPr>
      <w:r w:rsidRPr="1892D1BE">
        <w:rPr>
          <w:b/>
          <w:bCs/>
          <w:color w:val="000000" w:themeColor="text1"/>
          <w:sz w:val="24"/>
          <w:szCs w:val="24"/>
        </w:rPr>
        <w:t xml:space="preserve">Exhibit A.14.1. Estimated Cost to the Government </w:t>
      </w:r>
    </w:p>
    <w:tbl>
      <w:tblPr>
        <w:tblStyle w:val="NormalTable2"/>
        <w:tblW w:w="8755" w:type="dxa"/>
        <w:tblLayout w:type="fixed"/>
        <w:tblLook w:val="0000"/>
      </w:tblPr>
      <w:tblGrid>
        <w:gridCol w:w="3195"/>
        <w:gridCol w:w="2770"/>
        <w:gridCol w:w="2790"/>
      </w:tblGrid>
      <w:tr w14:paraId="61F2F1F1" w14:textId="77777777" w:rsidTr="1892D1BE">
        <w:tblPrEx>
          <w:tblW w:w="8755" w:type="dxa"/>
          <w:tblLayout w:type="fixed"/>
          <w:tblLook w:val="0000"/>
        </w:tblPrEx>
        <w:trPr>
          <w:trHeight w:val="315"/>
        </w:trPr>
        <w:tc>
          <w:tcPr>
            <w:tcW w:w="3195" w:type="dxa"/>
            <w:tcBorders>
              <w:top w:val="single" w:sz="12" w:space="0" w:color="000000" w:themeColor="text1"/>
              <w:bottom w:val="single" w:sz="6" w:space="0" w:color="000000" w:themeColor="text1"/>
            </w:tcBorders>
            <w:shd w:val="clear" w:color="auto" w:fill="auto"/>
          </w:tcPr>
          <w:p w:rsidR="00EC2E1A" w:rsidP="1892D1BE" w14:paraId="2425FC0B" w14:textId="77777777">
            <w:pPr>
              <w:pStyle w:val="Normal2"/>
              <w:keepNext/>
              <w:spacing w:line="276" w:lineRule="auto"/>
              <w:jc w:val="center"/>
              <w:rPr>
                <w:b/>
                <w:bCs/>
                <w:sz w:val="24"/>
                <w:szCs w:val="24"/>
              </w:rPr>
            </w:pPr>
            <w:r w:rsidRPr="1892D1BE">
              <w:rPr>
                <w:b/>
                <w:bCs/>
                <w:sz w:val="24"/>
                <w:szCs w:val="24"/>
              </w:rPr>
              <w:t>Expense Type</w:t>
            </w:r>
          </w:p>
        </w:tc>
        <w:tc>
          <w:tcPr>
            <w:tcW w:w="2770" w:type="dxa"/>
            <w:tcBorders>
              <w:top w:val="single" w:sz="12" w:space="0" w:color="000000" w:themeColor="text1"/>
              <w:bottom w:val="single" w:sz="6" w:space="0" w:color="000000" w:themeColor="text1"/>
            </w:tcBorders>
            <w:shd w:val="clear" w:color="auto" w:fill="auto"/>
          </w:tcPr>
          <w:p w:rsidR="00EC2E1A" w:rsidP="1892D1BE" w14:paraId="6042E82B" w14:textId="77777777">
            <w:pPr>
              <w:pStyle w:val="Normal2"/>
              <w:keepNext/>
              <w:spacing w:line="276" w:lineRule="auto"/>
              <w:jc w:val="center"/>
              <w:rPr>
                <w:b/>
                <w:bCs/>
                <w:sz w:val="24"/>
                <w:szCs w:val="24"/>
              </w:rPr>
            </w:pPr>
            <w:r w:rsidRPr="1892D1BE">
              <w:rPr>
                <w:b/>
                <w:bCs/>
                <w:sz w:val="24"/>
                <w:szCs w:val="24"/>
              </w:rPr>
              <w:t xml:space="preserve">Expense Explanation </w:t>
            </w:r>
          </w:p>
        </w:tc>
        <w:tc>
          <w:tcPr>
            <w:tcW w:w="2790" w:type="dxa"/>
            <w:tcBorders>
              <w:top w:val="single" w:sz="12" w:space="0" w:color="000000" w:themeColor="text1"/>
              <w:bottom w:val="single" w:sz="6" w:space="0" w:color="000000" w:themeColor="text1"/>
            </w:tcBorders>
            <w:shd w:val="clear" w:color="auto" w:fill="auto"/>
          </w:tcPr>
          <w:p w:rsidR="00EC2E1A" w:rsidRPr="00D22C81" w:rsidP="1892D1BE" w14:paraId="01D19FFA" w14:textId="77777777">
            <w:pPr>
              <w:pStyle w:val="Normal2"/>
              <w:keepNext/>
              <w:spacing w:line="276" w:lineRule="auto"/>
              <w:jc w:val="center"/>
              <w:rPr>
                <w:b/>
                <w:bCs/>
                <w:sz w:val="24"/>
                <w:szCs w:val="24"/>
                <w:highlight w:val="yellow"/>
              </w:rPr>
            </w:pPr>
            <w:r w:rsidRPr="1892D1BE">
              <w:rPr>
                <w:b/>
                <w:bCs/>
                <w:sz w:val="24"/>
                <w:szCs w:val="24"/>
              </w:rPr>
              <w:t>Annual Costs (dollars)</w:t>
            </w:r>
          </w:p>
        </w:tc>
      </w:tr>
      <w:tr w14:paraId="5383B5C5" w14:textId="77777777" w:rsidTr="1892D1BE">
        <w:tblPrEx>
          <w:tblW w:w="8755" w:type="dxa"/>
          <w:tblLayout w:type="fixed"/>
          <w:tblLook w:val="0000"/>
        </w:tblPrEx>
        <w:trPr>
          <w:trHeight w:val="300"/>
        </w:trPr>
        <w:tc>
          <w:tcPr>
            <w:tcW w:w="8755" w:type="dxa"/>
            <w:gridSpan w:val="3"/>
            <w:shd w:val="clear" w:color="auto" w:fill="auto"/>
          </w:tcPr>
          <w:p w:rsidR="00EC2E1A" w:rsidP="1892D1BE" w14:paraId="40388644" w14:textId="77777777">
            <w:pPr>
              <w:pStyle w:val="Normal2"/>
              <w:keepNext/>
              <w:spacing w:line="276" w:lineRule="auto"/>
              <w:rPr>
                <w:i/>
                <w:iCs/>
                <w:sz w:val="24"/>
                <w:szCs w:val="24"/>
              </w:rPr>
            </w:pPr>
            <w:r w:rsidRPr="1892D1BE">
              <w:rPr>
                <w:i/>
                <w:iCs/>
                <w:sz w:val="24"/>
                <w:szCs w:val="24"/>
              </w:rPr>
              <w:t>Direct cost to the federal government</w:t>
            </w:r>
          </w:p>
        </w:tc>
      </w:tr>
      <w:tr w14:paraId="37BEC487" w14:textId="77777777" w:rsidTr="1892D1BE">
        <w:tblPrEx>
          <w:tblW w:w="8755" w:type="dxa"/>
          <w:tblLayout w:type="fixed"/>
          <w:tblLook w:val="0000"/>
        </w:tblPrEx>
        <w:trPr>
          <w:trHeight w:val="300"/>
        </w:trPr>
        <w:tc>
          <w:tcPr>
            <w:tcW w:w="3195" w:type="dxa"/>
            <w:shd w:val="clear" w:color="auto" w:fill="auto"/>
          </w:tcPr>
          <w:p w:rsidR="00EC2E1A" w:rsidP="1892D1BE" w14:paraId="7EE122F3" w14:textId="77777777">
            <w:pPr>
              <w:pStyle w:val="Normal2"/>
              <w:keepNext/>
              <w:spacing w:line="276" w:lineRule="auto"/>
              <w:rPr>
                <w:b/>
                <w:bCs/>
                <w:sz w:val="24"/>
                <w:szCs w:val="24"/>
              </w:rPr>
            </w:pPr>
            <w:r w:rsidRPr="1892D1BE">
              <w:rPr>
                <w:sz w:val="24"/>
                <w:szCs w:val="24"/>
              </w:rPr>
              <w:t>CDC oversight of contractor and project</w:t>
            </w:r>
          </w:p>
        </w:tc>
        <w:tc>
          <w:tcPr>
            <w:tcW w:w="2770" w:type="dxa"/>
            <w:shd w:val="clear" w:color="auto" w:fill="auto"/>
          </w:tcPr>
          <w:p w:rsidR="00EC2E1A" w:rsidRPr="00284E04" w:rsidP="1892D1BE" w14:paraId="1E06C30F" w14:textId="77777777">
            <w:pPr>
              <w:pStyle w:val="Normal2"/>
              <w:keepNext/>
              <w:spacing w:line="276" w:lineRule="auto"/>
              <w:rPr>
                <w:sz w:val="24"/>
                <w:szCs w:val="24"/>
              </w:rPr>
            </w:pPr>
            <w:r w:rsidRPr="1892D1BE">
              <w:rPr>
                <w:sz w:val="24"/>
                <w:szCs w:val="24"/>
              </w:rPr>
              <w:t>CDC Project Officer (25%)</w:t>
            </w:r>
          </w:p>
        </w:tc>
        <w:tc>
          <w:tcPr>
            <w:tcW w:w="2790" w:type="dxa"/>
            <w:shd w:val="clear" w:color="auto" w:fill="auto"/>
          </w:tcPr>
          <w:p w:rsidR="00EC2E1A" w:rsidP="1892D1BE" w14:paraId="0475D6D1" w14:textId="70BAC270">
            <w:pPr>
              <w:pStyle w:val="Normal2"/>
              <w:keepNext/>
              <w:spacing w:line="276" w:lineRule="auto"/>
              <w:rPr>
                <w:sz w:val="24"/>
                <w:szCs w:val="24"/>
              </w:rPr>
            </w:pPr>
            <w:r w:rsidRPr="1892D1BE">
              <w:rPr>
                <w:sz w:val="24"/>
                <w:szCs w:val="24"/>
              </w:rPr>
              <w:t xml:space="preserve"> </w:t>
            </w:r>
            <w:r w:rsidRPr="1892D1BE" w:rsidR="00C67BA6">
              <w:rPr>
                <w:sz w:val="24"/>
                <w:szCs w:val="24"/>
              </w:rPr>
              <w:t xml:space="preserve"> </w:t>
            </w:r>
            <w:r w:rsidRPr="1892D1BE">
              <w:rPr>
                <w:sz w:val="24"/>
                <w:szCs w:val="24"/>
              </w:rPr>
              <w:t>$29,875.25</w:t>
            </w:r>
          </w:p>
        </w:tc>
      </w:tr>
      <w:tr w14:paraId="0F7CE553" w14:textId="77777777" w:rsidTr="1892D1BE">
        <w:tblPrEx>
          <w:tblW w:w="8755" w:type="dxa"/>
          <w:tblLayout w:type="fixed"/>
          <w:tblLook w:val="0000"/>
        </w:tblPrEx>
        <w:trPr>
          <w:trHeight w:val="300"/>
        </w:trPr>
        <w:tc>
          <w:tcPr>
            <w:tcW w:w="3195" w:type="dxa"/>
            <w:shd w:val="clear" w:color="auto" w:fill="auto"/>
          </w:tcPr>
          <w:p w:rsidR="00EC2E1A" w:rsidP="1892D1BE" w14:paraId="2C863627" w14:textId="77777777">
            <w:pPr>
              <w:pStyle w:val="Normal2"/>
              <w:keepNext/>
              <w:spacing w:line="276" w:lineRule="auto"/>
              <w:ind w:left="65"/>
              <w:rPr>
                <w:sz w:val="24"/>
                <w:szCs w:val="24"/>
              </w:rPr>
            </w:pPr>
          </w:p>
        </w:tc>
        <w:tc>
          <w:tcPr>
            <w:tcW w:w="2770" w:type="dxa"/>
            <w:shd w:val="clear" w:color="auto" w:fill="auto"/>
          </w:tcPr>
          <w:p w:rsidR="00EC2E1A" w:rsidRPr="00284E04" w:rsidP="1892D1BE" w14:paraId="33D8381B" w14:textId="77777777">
            <w:pPr>
              <w:pStyle w:val="Normal2"/>
              <w:keepNext/>
              <w:spacing w:line="276" w:lineRule="auto"/>
              <w:rPr>
                <w:sz w:val="24"/>
                <w:szCs w:val="24"/>
              </w:rPr>
            </w:pPr>
            <w:r w:rsidRPr="1892D1BE">
              <w:rPr>
                <w:sz w:val="24"/>
                <w:szCs w:val="24"/>
              </w:rPr>
              <w:t>CDC Co-Principal Investigator (5%)</w:t>
            </w:r>
          </w:p>
        </w:tc>
        <w:tc>
          <w:tcPr>
            <w:tcW w:w="2790" w:type="dxa"/>
            <w:shd w:val="clear" w:color="auto" w:fill="auto"/>
          </w:tcPr>
          <w:p w:rsidR="00EC2E1A" w:rsidP="1892D1BE" w14:paraId="08ED37A8" w14:textId="667FE76A">
            <w:pPr>
              <w:pStyle w:val="Normal2"/>
              <w:keepNext/>
              <w:spacing w:line="276" w:lineRule="auto"/>
              <w:rPr>
                <w:sz w:val="24"/>
                <w:szCs w:val="24"/>
              </w:rPr>
            </w:pPr>
            <w:r w:rsidRPr="1892D1BE">
              <w:rPr>
                <w:sz w:val="24"/>
                <w:szCs w:val="24"/>
              </w:rPr>
              <w:t xml:space="preserve">  $5,735.85</w:t>
            </w:r>
          </w:p>
        </w:tc>
      </w:tr>
      <w:tr w14:paraId="634E1FB3" w14:textId="77777777" w:rsidTr="1892D1BE">
        <w:tblPrEx>
          <w:tblW w:w="8755" w:type="dxa"/>
          <w:tblLayout w:type="fixed"/>
          <w:tblLook w:val="0000"/>
        </w:tblPrEx>
        <w:trPr>
          <w:trHeight w:val="300"/>
        </w:trPr>
        <w:tc>
          <w:tcPr>
            <w:tcW w:w="5965" w:type="dxa"/>
            <w:gridSpan w:val="2"/>
            <w:shd w:val="clear" w:color="auto" w:fill="auto"/>
          </w:tcPr>
          <w:p w:rsidR="00EC2E1A" w:rsidP="1892D1BE" w14:paraId="45766AF5" w14:textId="77777777">
            <w:pPr>
              <w:pStyle w:val="Normal2"/>
              <w:keepNext/>
              <w:spacing w:line="276" w:lineRule="auto"/>
              <w:rPr>
                <w:i/>
                <w:iCs/>
                <w:sz w:val="24"/>
                <w:szCs w:val="24"/>
              </w:rPr>
            </w:pPr>
            <w:r w:rsidRPr="1892D1BE">
              <w:rPr>
                <w:i/>
                <w:iCs/>
                <w:sz w:val="24"/>
                <w:szCs w:val="24"/>
              </w:rPr>
              <w:t>Subtotal, Direct Costs to the Government</w:t>
            </w:r>
          </w:p>
        </w:tc>
        <w:tc>
          <w:tcPr>
            <w:tcW w:w="2790" w:type="dxa"/>
            <w:shd w:val="clear" w:color="auto" w:fill="auto"/>
          </w:tcPr>
          <w:p w:rsidR="00EC2E1A" w:rsidP="1892D1BE" w14:paraId="6AF20F9E" w14:textId="6B378A3D">
            <w:pPr>
              <w:pStyle w:val="Normal2"/>
              <w:keepNext/>
              <w:spacing w:line="276" w:lineRule="auto"/>
              <w:rPr>
                <w:i/>
                <w:iCs/>
                <w:sz w:val="24"/>
                <w:szCs w:val="24"/>
              </w:rPr>
            </w:pPr>
            <w:r w:rsidRPr="1892D1BE">
              <w:rPr>
                <w:i/>
                <w:iCs/>
                <w:sz w:val="24"/>
                <w:szCs w:val="24"/>
              </w:rPr>
              <w:t xml:space="preserve"> $35,611.10</w:t>
            </w:r>
          </w:p>
        </w:tc>
      </w:tr>
      <w:tr w14:paraId="25D9C0F9" w14:textId="77777777" w:rsidTr="1892D1BE">
        <w:tblPrEx>
          <w:tblW w:w="8755" w:type="dxa"/>
          <w:tblLayout w:type="fixed"/>
          <w:tblLook w:val="0000"/>
        </w:tblPrEx>
        <w:trPr>
          <w:trHeight w:val="300"/>
        </w:trPr>
        <w:tc>
          <w:tcPr>
            <w:tcW w:w="8755" w:type="dxa"/>
            <w:gridSpan w:val="3"/>
            <w:shd w:val="clear" w:color="auto" w:fill="auto"/>
          </w:tcPr>
          <w:p w:rsidR="00EC2E1A" w:rsidP="1892D1BE" w14:paraId="4723073E" w14:textId="77777777">
            <w:pPr>
              <w:pStyle w:val="Normal2"/>
              <w:keepNext/>
              <w:spacing w:line="276" w:lineRule="auto"/>
              <w:rPr>
                <w:b/>
                <w:bCs/>
                <w:i/>
                <w:iCs/>
                <w:sz w:val="24"/>
                <w:szCs w:val="24"/>
              </w:rPr>
            </w:pPr>
          </w:p>
        </w:tc>
      </w:tr>
      <w:tr w14:paraId="180EC0AE" w14:textId="77777777" w:rsidTr="1892D1BE">
        <w:tblPrEx>
          <w:tblW w:w="8755" w:type="dxa"/>
          <w:tblLayout w:type="fixed"/>
          <w:tblLook w:val="0000"/>
        </w:tblPrEx>
        <w:trPr>
          <w:trHeight w:val="300"/>
        </w:trPr>
        <w:tc>
          <w:tcPr>
            <w:tcW w:w="3195" w:type="dxa"/>
            <w:shd w:val="clear" w:color="auto" w:fill="auto"/>
          </w:tcPr>
          <w:p w:rsidR="00EC2E1A" w:rsidP="1892D1BE" w14:paraId="08C1051F" w14:textId="77777777">
            <w:pPr>
              <w:pStyle w:val="Normal2"/>
              <w:keepNext/>
              <w:spacing w:line="276" w:lineRule="auto"/>
              <w:rPr>
                <w:sz w:val="24"/>
                <w:szCs w:val="24"/>
              </w:rPr>
            </w:pPr>
            <w:r w:rsidRPr="1892D1BE">
              <w:rPr>
                <w:sz w:val="24"/>
                <w:szCs w:val="24"/>
              </w:rPr>
              <w:t xml:space="preserve">Labor hours and other direct costs </w:t>
            </w:r>
          </w:p>
          <w:p w:rsidR="00EC2E1A" w:rsidP="1892D1BE" w14:paraId="6FEE1C9F" w14:textId="77777777">
            <w:pPr>
              <w:pStyle w:val="Normal2"/>
              <w:keepNext/>
              <w:spacing w:line="276" w:lineRule="auto"/>
              <w:rPr>
                <w:sz w:val="24"/>
                <w:szCs w:val="24"/>
              </w:rPr>
            </w:pPr>
          </w:p>
        </w:tc>
        <w:tc>
          <w:tcPr>
            <w:tcW w:w="2770" w:type="dxa"/>
            <w:shd w:val="clear" w:color="auto" w:fill="auto"/>
          </w:tcPr>
          <w:p w:rsidR="00EC2E1A" w:rsidP="1892D1BE" w14:paraId="1CCCFFF7" w14:textId="3D37B921">
            <w:pPr>
              <w:pStyle w:val="Normal2"/>
              <w:keepNext/>
              <w:spacing w:line="276" w:lineRule="auto"/>
              <w:rPr>
                <w:sz w:val="24"/>
                <w:szCs w:val="24"/>
              </w:rPr>
            </w:pPr>
            <w:r w:rsidRPr="1892D1BE">
              <w:rPr>
                <w:sz w:val="24"/>
                <w:szCs w:val="24"/>
              </w:rPr>
              <w:t xml:space="preserve">Design, implementation, </w:t>
            </w:r>
            <w:r w:rsidRPr="1892D1BE" w:rsidR="46D03D7E">
              <w:rPr>
                <w:sz w:val="24"/>
                <w:szCs w:val="24"/>
              </w:rPr>
              <w:t>recruitment, data collection, a</w:t>
            </w:r>
            <w:r w:rsidRPr="1892D1BE">
              <w:rPr>
                <w:sz w:val="24"/>
                <w:szCs w:val="24"/>
              </w:rPr>
              <w:t>nalysis</w:t>
            </w:r>
            <w:r w:rsidRPr="1892D1BE" w:rsidR="46D03D7E">
              <w:rPr>
                <w:sz w:val="24"/>
                <w:szCs w:val="24"/>
              </w:rPr>
              <w:t>,</w:t>
            </w:r>
            <w:r w:rsidRPr="1892D1BE">
              <w:rPr>
                <w:sz w:val="24"/>
                <w:szCs w:val="24"/>
              </w:rPr>
              <w:t xml:space="preserve"> reporting</w:t>
            </w:r>
            <w:r w:rsidRPr="1892D1BE" w:rsidR="46D03D7E">
              <w:rPr>
                <w:sz w:val="24"/>
                <w:szCs w:val="24"/>
              </w:rPr>
              <w:t xml:space="preserve"> and incentives</w:t>
            </w:r>
          </w:p>
        </w:tc>
        <w:tc>
          <w:tcPr>
            <w:tcW w:w="2790" w:type="dxa"/>
            <w:shd w:val="clear" w:color="auto" w:fill="auto"/>
          </w:tcPr>
          <w:p w:rsidR="00EC2E1A" w:rsidRPr="003D4887" w:rsidP="1892D1BE" w14:paraId="7F847879" w14:textId="0B646F08">
            <w:pPr>
              <w:pStyle w:val="Normal2"/>
              <w:keepNext/>
              <w:spacing w:line="276" w:lineRule="auto"/>
              <w:rPr>
                <w:i/>
                <w:iCs/>
                <w:sz w:val="24"/>
                <w:szCs w:val="24"/>
              </w:rPr>
            </w:pPr>
            <w:r w:rsidRPr="1892D1BE">
              <w:rPr>
                <w:i/>
                <w:iCs/>
                <w:sz w:val="24"/>
                <w:szCs w:val="24"/>
              </w:rPr>
              <w:t>$</w:t>
            </w:r>
            <w:r w:rsidRPr="1892D1BE" w:rsidR="46D03D7E">
              <w:rPr>
                <w:i/>
                <w:iCs/>
                <w:sz w:val="24"/>
                <w:szCs w:val="24"/>
              </w:rPr>
              <w:t>150,00</w:t>
            </w:r>
            <w:r w:rsidRPr="1892D1BE">
              <w:rPr>
                <w:i/>
                <w:iCs/>
                <w:sz w:val="24"/>
                <w:szCs w:val="24"/>
              </w:rPr>
              <w:t>.</w:t>
            </w:r>
            <w:r w:rsidRPr="1892D1BE" w:rsidR="46D03D7E">
              <w:rPr>
                <w:i/>
                <w:iCs/>
                <w:sz w:val="24"/>
                <w:szCs w:val="24"/>
              </w:rPr>
              <w:t>00</w:t>
            </w:r>
          </w:p>
        </w:tc>
      </w:tr>
      <w:tr w14:paraId="44AB5980" w14:textId="77777777" w:rsidTr="1892D1BE">
        <w:tblPrEx>
          <w:tblW w:w="8755" w:type="dxa"/>
          <w:tblLayout w:type="fixed"/>
          <w:tblLook w:val="0000"/>
        </w:tblPrEx>
        <w:trPr>
          <w:trHeight w:val="300"/>
        </w:trPr>
        <w:tc>
          <w:tcPr>
            <w:tcW w:w="5965" w:type="dxa"/>
            <w:gridSpan w:val="2"/>
            <w:tcBorders>
              <w:bottom w:val="single" w:sz="12" w:space="0" w:color="000000" w:themeColor="text1"/>
            </w:tcBorders>
            <w:shd w:val="clear" w:color="auto" w:fill="auto"/>
          </w:tcPr>
          <w:p w:rsidR="00EC2E1A" w:rsidP="1892D1BE" w14:paraId="2A229AAE" w14:textId="77777777">
            <w:pPr>
              <w:pStyle w:val="Normal2"/>
              <w:keepNext/>
              <w:spacing w:line="276" w:lineRule="auto"/>
              <w:rPr>
                <w:b/>
                <w:bCs/>
                <w:sz w:val="24"/>
                <w:szCs w:val="24"/>
              </w:rPr>
            </w:pPr>
            <w:r w:rsidRPr="1892D1BE">
              <w:rPr>
                <w:b/>
                <w:bCs/>
                <w:sz w:val="24"/>
                <w:szCs w:val="24"/>
              </w:rPr>
              <w:t>Total cost to the government</w:t>
            </w:r>
          </w:p>
        </w:tc>
        <w:tc>
          <w:tcPr>
            <w:tcW w:w="2790" w:type="dxa"/>
            <w:tcBorders>
              <w:bottom w:val="single" w:sz="12" w:space="0" w:color="000000" w:themeColor="text1"/>
            </w:tcBorders>
            <w:shd w:val="clear" w:color="auto" w:fill="auto"/>
          </w:tcPr>
          <w:p w:rsidR="00EC2E1A" w:rsidP="1892D1BE" w14:paraId="0C94D490" w14:textId="211A2EBB">
            <w:pPr>
              <w:pStyle w:val="Normal2"/>
              <w:keepNext/>
              <w:spacing w:line="276" w:lineRule="auto"/>
              <w:rPr>
                <w:i/>
                <w:iCs/>
                <w:sz w:val="24"/>
                <w:szCs w:val="24"/>
              </w:rPr>
            </w:pPr>
            <w:r w:rsidRPr="1892D1BE">
              <w:rPr>
                <w:sz w:val="24"/>
                <w:szCs w:val="24"/>
              </w:rPr>
              <w:t xml:space="preserve">$ </w:t>
            </w:r>
            <w:r w:rsidRPr="1892D1BE" w:rsidR="34A26540">
              <w:rPr>
                <w:i/>
                <w:iCs/>
                <w:sz w:val="24"/>
                <w:szCs w:val="24"/>
              </w:rPr>
              <w:t>185,611</w:t>
            </w:r>
            <w:r w:rsidRPr="1892D1BE" w:rsidR="00C67BA6">
              <w:rPr>
                <w:i/>
                <w:iCs/>
                <w:sz w:val="24"/>
                <w:szCs w:val="24"/>
              </w:rPr>
              <w:t>,10</w:t>
            </w:r>
            <w:r w:rsidRPr="1892D1BE">
              <w:rPr>
                <w:i/>
                <w:iCs/>
                <w:sz w:val="24"/>
                <w:szCs w:val="24"/>
              </w:rPr>
              <w:t>.</w:t>
            </w:r>
          </w:p>
        </w:tc>
      </w:tr>
    </w:tbl>
    <w:p w:rsidR="00EC2E1A" w:rsidP="1892D1BE" w14:paraId="7C955E62" w14:textId="77777777">
      <w:pPr>
        <w:pStyle w:val="Normal2"/>
        <w:keepLines/>
        <w:pBdr>
          <w:top w:val="nil"/>
          <w:left w:val="nil"/>
          <w:bottom w:val="nil"/>
          <w:right w:val="nil"/>
          <w:between w:val="nil"/>
        </w:pBdr>
        <w:spacing w:line="276" w:lineRule="auto"/>
        <w:ind w:left="187" w:hanging="187"/>
        <w:rPr>
          <w:color w:val="000000"/>
          <w:sz w:val="24"/>
          <w:szCs w:val="24"/>
        </w:rPr>
      </w:pPr>
    </w:p>
    <w:p w:rsidR="00EC2E1A" w:rsidRPr="00C67BA6" w:rsidP="1892D1BE" w14:paraId="4BC6DBA7" w14:textId="5201CB34">
      <w:pPr>
        <w:pStyle w:val="heading22"/>
        <w:spacing w:before="0" w:after="0" w:line="276" w:lineRule="auto"/>
        <w:rPr>
          <w:sz w:val="24"/>
          <w:szCs w:val="24"/>
        </w:rPr>
      </w:pPr>
      <w:bookmarkStart w:id="19" w:name="_Toc182756731"/>
      <w:r w:rsidRPr="1892D1BE">
        <w:rPr>
          <w:sz w:val="24"/>
          <w:szCs w:val="24"/>
        </w:rPr>
        <w:t>A.15</w:t>
      </w:r>
      <w:r>
        <w:tab/>
      </w:r>
      <w:r w:rsidRPr="1892D1BE">
        <w:rPr>
          <w:sz w:val="24"/>
          <w:szCs w:val="24"/>
        </w:rPr>
        <w:t>Explanation for Program Changes or Adjustments</w:t>
      </w:r>
      <w:bookmarkEnd w:id="19"/>
      <w:r w:rsidRPr="1892D1BE">
        <w:rPr>
          <w:sz w:val="24"/>
          <w:szCs w:val="24"/>
        </w:rPr>
        <w:t xml:space="preserve"> </w:t>
      </w:r>
    </w:p>
    <w:p w:rsidR="00EC2E1A" w:rsidP="1892D1BE" w14:paraId="26E56924" w14:textId="77777777">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No change in burden is requested, as this is a new information collection.</w:t>
      </w:r>
    </w:p>
    <w:p w:rsidR="00EC2E1A" w:rsidP="1892D1BE" w14:paraId="49FF4AE4" w14:textId="77777777">
      <w:pPr>
        <w:pStyle w:val="heading22"/>
        <w:spacing w:before="0" w:after="0" w:line="276" w:lineRule="auto"/>
        <w:rPr>
          <w:sz w:val="24"/>
          <w:szCs w:val="24"/>
        </w:rPr>
      </w:pPr>
    </w:p>
    <w:p w:rsidR="00EC2E1A" w:rsidP="1892D1BE" w14:paraId="61E8EB3C" w14:textId="77777777">
      <w:pPr>
        <w:pStyle w:val="heading22"/>
        <w:spacing w:before="0" w:after="0" w:line="276" w:lineRule="auto"/>
        <w:rPr>
          <w:sz w:val="24"/>
          <w:szCs w:val="24"/>
        </w:rPr>
      </w:pPr>
      <w:bookmarkStart w:id="20" w:name="_Toc182756732"/>
      <w:r w:rsidRPr="1892D1BE">
        <w:rPr>
          <w:sz w:val="24"/>
          <w:szCs w:val="24"/>
        </w:rPr>
        <w:t>A.16</w:t>
      </w:r>
      <w:r>
        <w:tab/>
      </w:r>
      <w:r w:rsidRPr="1892D1BE">
        <w:rPr>
          <w:sz w:val="24"/>
          <w:szCs w:val="24"/>
        </w:rPr>
        <w:t>Plans for Tabulation and Publication and Project Time Schedule</w:t>
      </w:r>
      <w:bookmarkEnd w:id="20"/>
    </w:p>
    <w:p w:rsidR="00EC2E1A" w:rsidRPr="00233421" w:rsidP="1892D1BE" w14:paraId="3F9557E8" w14:textId="2B6FE4BA">
      <w:pPr>
        <w:pStyle w:val="Normal2"/>
        <w:spacing w:line="276" w:lineRule="auto"/>
        <w:rPr>
          <w:sz w:val="24"/>
          <w:szCs w:val="24"/>
        </w:rPr>
      </w:pPr>
      <w:r w:rsidRPr="1892D1BE">
        <w:rPr>
          <w:sz w:val="24"/>
          <w:szCs w:val="24"/>
        </w:rPr>
        <w:t xml:space="preserve">Data will be tabulated, and a report will be developed outlining the findings from this formative research. The project team will use </w:t>
      </w:r>
      <w:r w:rsidR="00FE7049">
        <w:rPr>
          <w:sz w:val="24"/>
          <w:szCs w:val="24"/>
        </w:rPr>
        <w:t>Qualtri</w:t>
      </w:r>
      <w:r w:rsidR="00BD1E58">
        <w:rPr>
          <w:sz w:val="24"/>
          <w:szCs w:val="24"/>
        </w:rPr>
        <w:t>cs</w:t>
      </w:r>
      <w:r w:rsidR="00FE7049">
        <w:rPr>
          <w:sz w:val="24"/>
          <w:szCs w:val="24"/>
        </w:rPr>
        <w:t>, MS Excel, and SPSS</w:t>
      </w:r>
      <w:r w:rsidRPr="1892D1BE" w:rsidR="00FE7049">
        <w:rPr>
          <w:sz w:val="24"/>
          <w:szCs w:val="24"/>
        </w:rPr>
        <w:t xml:space="preserve"> </w:t>
      </w:r>
      <w:r w:rsidRPr="1892D1BE">
        <w:rPr>
          <w:sz w:val="24"/>
          <w:szCs w:val="24"/>
        </w:rPr>
        <w:t>data analysis tools to visualize and explore trends among the data. To compare findings across groups or among demographic factors</w:t>
      </w:r>
      <w:r w:rsidR="005E5F94">
        <w:rPr>
          <w:sz w:val="24"/>
          <w:szCs w:val="24"/>
        </w:rPr>
        <w:t>,</w:t>
      </w:r>
      <w:r w:rsidRPr="1892D1BE">
        <w:rPr>
          <w:sz w:val="24"/>
          <w:szCs w:val="24"/>
        </w:rPr>
        <w:t xml:space="preserve"> the team will analyze the data using crosstabs for selected variables of interest. Results of this analysis will be used in reports, other dissemination activities, and to inform materials and message development. All findings will be used internally by the CDC to make recommendations to improve communications products and strategies. The project time schedule is provided below.</w:t>
      </w:r>
    </w:p>
    <w:p w:rsidR="00EC2E1A" w:rsidRPr="007D620D" w:rsidP="1892D1BE" w14:paraId="5F5A2377" w14:textId="77777777">
      <w:pPr>
        <w:rPr>
          <w:sz w:val="24"/>
          <w:szCs w:val="24"/>
        </w:rPr>
      </w:pPr>
    </w:p>
    <w:p w:rsidR="00EC2E1A" w:rsidRPr="00A82A2A" w:rsidP="00A82A2A" w14:paraId="0B7ABED1" w14:textId="28720D1A">
      <w:pPr>
        <w:pStyle w:val="Normal2"/>
        <w:keepNext/>
        <w:keepLines/>
        <w:pBdr>
          <w:top w:val="nil"/>
          <w:left w:val="nil"/>
          <w:bottom w:val="nil"/>
          <w:right w:val="nil"/>
          <w:between w:val="nil"/>
        </w:pBdr>
        <w:spacing w:line="276" w:lineRule="auto"/>
        <w:ind w:left="1260" w:hanging="1260"/>
        <w:rPr>
          <w:b/>
          <w:bCs/>
          <w:color w:val="000000"/>
          <w:sz w:val="24"/>
          <w:szCs w:val="24"/>
        </w:rPr>
      </w:pPr>
      <w:r w:rsidRPr="1892D1BE">
        <w:rPr>
          <w:b/>
          <w:bCs/>
          <w:color w:val="000000" w:themeColor="text1"/>
          <w:sz w:val="24"/>
          <w:szCs w:val="24"/>
        </w:rPr>
        <w:t>Exhibit A.16.1.</w:t>
      </w:r>
      <w:r>
        <w:tab/>
      </w:r>
      <w:r w:rsidRPr="1892D1BE">
        <w:rPr>
          <w:b/>
          <w:bCs/>
          <w:color w:val="000000" w:themeColor="text1"/>
          <w:sz w:val="24"/>
          <w:szCs w:val="24"/>
        </w:rPr>
        <w:t xml:space="preserve">Project Time Schedule </w:t>
      </w:r>
    </w:p>
    <w:tbl>
      <w:tblPr>
        <w:tblStyle w:val="TableGrid"/>
        <w:tblW w:w="0" w:type="auto"/>
        <w:tblLook w:val="04A0"/>
      </w:tblPr>
      <w:tblGrid>
        <w:gridCol w:w="5935"/>
        <w:gridCol w:w="3415"/>
      </w:tblGrid>
      <w:tr w14:paraId="5C7612E4" w14:textId="77777777" w:rsidTr="1892D1BE">
        <w:tblPrEx>
          <w:tblW w:w="0" w:type="auto"/>
          <w:tblLook w:val="04A0"/>
        </w:tblPrEx>
        <w:trPr>
          <w:trHeight w:val="300"/>
        </w:trPr>
        <w:tc>
          <w:tcPr>
            <w:tcW w:w="5935" w:type="dxa"/>
            <w:shd w:val="clear" w:color="auto" w:fill="D9D9D9" w:themeFill="background1" w:themeFillShade="D9"/>
          </w:tcPr>
          <w:p w:rsidR="00EC2E1A" w:rsidRPr="007D620D" w:rsidP="1892D1BE" w14:paraId="7EF7069A" w14:textId="77777777">
            <w:pPr>
              <w:rPr>
                <w:b/>
                <w:bCs/>
                <w:sz w:val="24"/>
                <w:szCs w:val="24"/>
              </w:rPr>
            </w:pPr>
            <w:r w:rsidRPr="1892D1BE">
              <w:rPr>
                <w:b/>
                <w:bCs/>
                <w:sz w:val="24"/>
                <w:szCs w:val="24"/>
              </w:rPr>
              <w:t xml:space="preserve">Activity </w:t>
            </w:r>
          </w:p>
        </w:tc>
        <w:tc>
          <w:tcPr>
            <w:tcW w:w="3415" w:type="dxa"/>
            <w:shd w:val="clear" w:color="auto" w:fill="D9D9D9" w:themeFill="background1" w:themeFillShade="D9"/>
          </w:tcPr>
          <w:p w:rsidR="00EC2E1A" w:rsidRPr="007D620D" w:rsidP="1892D1BE" w14:paraId="65C5485D" w14:textId="77777777">
            <w:pPr>
              <w:rPr>
                <w:b/>
                <w:bCs/>
                <w:sz w:val="24"/>
                <w:szCs w:val="24"/>
              </w:rPr>
            </w:pPr>
            <w:r w:rsidRPr="1892D1BE">
              <w:rPr>
                <w:b/>
                <w:bCs/>
                <w:sz w:val="24"/>
                <w:szCs w:val="24"/>
              </w:rPr>
              <w:t>Due Date</w:t>
            </w:r>
          </w:p>
        </w:tc>
      </w:tr>
      <w:tr w14:paraId="287B0DC1" w14:textId="77777777" w:rsidTr="1892D1BE">
        <w:tblPrEx>
          <w:tblW w:w="0" w:type="auto"/>
          <w:tblLook w:val="04A0"/>
        </w:tblPrEx>
        <w:trPr>
          <w:trHeight w:val="300"/>
        </w:trPr>
        <w:tc>
          <w:tcPr>
            <w:tcW w:w="5935" w:type="dxa"/>
          </w:tcPr>
          <w:p w:rsidR="00EC2E1A" w:rsidRPr="007D620D" w:rsidP="1892D1BE" w14:paraId="38BF9F60" w14:textId="77777777">
            <w:pPr>
              <w:textAlignment w:val="baseline"/>
              <w:rPr>
                <w:sz w:val="24"/>
                <w:szCs w:val="24"/>
              </w:rPr>
            </w:pPr>
            <w:r w:rsidRPr="1892D1BE">
              <w:rPr>
                <w:sz w:val="24"/>
                <w:szCs w:val="24"/>
              </w:rPr>
              <w:t>Recruitment</w:t>
            </w:r>
          </w:p>
        </w:tc>
        <w:tc>
          <w:tcPr>
            <w:tcW w:w="3415" w:type="dxa"/>
          </w:tcPr>
          <w:p w:rsidR="00EC2E1A" w:rsidRPr="007D620D" w:rsidP="1892D1BE" w14:paraId="2A520AF4" w14:textId="77777777">
            <w:pPr>
              <w:textAlignment w:val="baseline"/>
              <w:rPr>
                <w:sz w:val="24"/>
                <w:szCs w:val="24"/>
              </w:rPr>
            </w:pPr>
            <w:r w:rsidRPr="1892D1BE">
              <w:rPr>
                <w:sz w:val="24"/>
                <w:szCs w:val="24"/>
              </w:rPr>
              <w:t>Within 1 week of OMB approval</w:t>
            </w:r>
          </w:p>
        </w:tc>
      </w:tr>
      <w:tr w14:paraId="07C6E574" w14:textId="77777777" w:rsidTr="1892D1BE">
        <w:tblPrEx>
          <w:tblW w:w="0" w:type="auto"/>
          <w:tblLook w:val="04A0"/>
        </w:tblPrEx>
        <w:trPr>
          <w:trHeight w:val="300"/>
        </w:trPr>
        <w:tc>
          <w:tcPr>
            <w:tcW w:w="5935" w:type="dxa"/>
            <w:hideMark/>
          </w:tcPr>
          <w:p w:rsidR="00EC2E1A" w:rsidRPr="007D620D" w:rsidP="1892D1BE" w14:paraId="13CB7A29" w14:textId="77777777">
            <w:pPr>
              <w:textAlignment w:val="baseline"/>
              <w:rPr>
                <w:sz w:val="24"/>
                <w:szCs w:val="24"/>
              </w:rPr>
            </w:pPr>
            <w:r w:rsidRPr="1892D1BE">
              <w:rPr>
                <w:sz w:val="24"/>
                <w:szCs w:val="24"/>
              </w:rPr>
              <w:t>Data Collection</w:t>
            </w:r>
          </w:p>
        </w:tc>
        <w:tc>
          <w:tcPr>
            <w:tcW w:w="3415" w:type="dxa"/>
          </w:tcPr>
          <w:p w:rsidR="00EC2E1A" w:rsidRPr="007D620D" w:rsidP="1892D1BE" w14:paraId="001A3098" w14:textId="65D5C745">
            <w:pPr>
              <w:textAlignment w:val="baseline"/>
              <w:rPr>
                <w:sz w:val="24"/>
                <w:szCs w:val="24"/>
              </w:rPr>
            </w:pPr>
            <w:r w:rsidRPr="1892D1BE">
              <w:rPr>
                <w:sz w:val="24"/>
                <w:szCs w:val="24"/>
              </w:rPr>
              <w:t>Within 1 week of</w:t>
            </w:r>
            <w:r w:rsidRPr="1892D1BE">
              <w:rPr>
                <w:sz w:val="24"/>
                <w:szCs w:val="24"/>
              </w:rPr>
              <w:t xml:space="preserve"> OMB approval</w:t>
            </w:r>
          </w:p>
        </w:tc>
      </w:tr>
      <w:tr w14:paraId="486A7E1E" w14:textId="77777777" w:rsidTr="1892D1BE">
        <w:tblPrEx>
          <w:tblW w:w="0" w:type="auto"/>
          <w:tblLook w:val="04A0"/>
        </w:tblPrEx>
        <w:trPr>
          <w:trHeight w:val="300"/>
        </w:trPr>
        <w:tc>
          <w:tcPr>
            <w:tcW w:w="5935" w:type="dxa"/>
          </w:tcPr>
          <w:p w:rsidR="00EC2E1A" w:rsidRPr="007D620D" w:rsidP="1892D1BE" w14:paraId="745D4963" w14:textId="77777777">
            <w:pPr>
              <w:textAlignment w:val="baseline"/>
              <w:rPr>
                <w:sz w:val="24"/>
                <w:szCs w:val="24"/>
              </w:rPr>
            </w:pPr>
            <w:r w:rsidRPr="1892D1BE">
              <w:rPr>
                <w:sz w:val="24"/>
                <w:szCs w:val="24"/>
              </w:rPr>
              <w:t>Analyze Data and Report</w:t>
            </w:r>
          </w:p>
        </w:tc>
        <w:tc>
          <w:tcPr>
            <w:tcW w:w="3415" w:type="dxa"/>
          </w:tcPr>
          <w:p w:rsidR="00EC2E1A" w:rsidRPr="007D620D" w:rsidP="1892D1BE" w14:paraId="39D556AA" w14:textId="50B85FB6">
            <w:pPr>
              <w:textAlignment w:val="baseline"/>
              <w:rPr>
                <w:sz w:val="24"/>
                <w:szCs w:val="24"/>
              </w:rPr>
            </w:pPr>
            <w:r w:rsidRPr="1892D1BE">
              <w:rPr>
                <w:sz w:val="24"/>
                <w:szCs w:val="24"/>
              </w:rPr>
              <w:t>2</w:t>
            </w:r>
            <w:r w:rsidRPr="1892D1BE">
              <w:rPr>
                <w:sz w:val="24"/>
                <w:szCs w:val="24"/>
              </w:rPr>
              <w:t xml:space="preserve"> months after OMB approval</w:t>
            </w:r>
          </w:p>
        </w:tc>
      </w:tr>
    </w:tbl>
    <w:p w:rsidR="00EC2E1A" w:rsidP="00A01143" w14:paraId="3C2EFFAB" w14:textId="77777777">
      <w:pPr>
        <w:pStyle w:val="Normal2"/>
        <w:pBdr>
          <w:top w:val="nil"/>
          <w:left w:val="nil"/>
          <w:bottom w:val="nil"/>
          <w:right w:val="nil"/>
          <w:between w:val="nil"/>
        </w:pBdr>
        <w:spacing w:line="276" w:lineRule="auto"/>
        <w:rPr>
          <w:color w:val="000000"/>
          <w:sz w:val="24"/>
          <w:szCs w:val="24"/>
        </w:rPr>
      </w:pPr>
    </w:p>
    <w:p w:rsidR="00EC2E1A" w:rsidRPr="00C67BA6" w:rsidP="1892D1BE" w14:paraId="63F16807" w14:textId="53D1BB15">
      <w:pPr>
        <w:pStyle w:val="heading22"/>
        <w:spacing w:before="0" w:after="0" w:line="276" w:lineRule="auto"/>
        <w:rPr>
          <w:sz w:val="24"/>
          <w:szCs w:val="24"/>
        </w:rPr>
      </w:pPr>
      <w:bookmarkStart w:id="21" w:name="_Toc182756733"/>
      <w:r w:rsidRPr="1892D1BE">
        <w:rPr>
          <w:sz w:val="24"/>
          <w:szCs w:val="24"/>
        </w:rPr>
        <w:t>A.17</w:t>
      </w:r>
      <w:r>
        <w:tab/>
      </w:r>
      <w:r w:rsidRPr="1892D1BE">
        <w:rPr>
          <w:sz w:val="24"/>
          <w:szCs w:val="24"/>
        </w:rPr>
        <w:t>Reason(s) Display of OMB Expiration Date Is Inappropriate</w:t>
      </w:r>
      <w:bookmarkEnd w:id="21"/>
    </w:p>
    <w:p w:rsidR="00EC2E1A" w:rsidP="1892D1BE" w14:paraId="3F30B606" w14:textId="77777777">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OMB Expiration Date will be displayed on necessary materials and documents.</w:t>
      </w:r>
    </w:p>
    <w:p w:rsidR="00EC2E1A" w:rsidP="1892D1BE" w14:paraId="4AC3EA15" w14:textId="77777777">
      <w:pPr>
        <w:pStyle w:val="heading22"/>
        <w:spacing w:before="0" w:after="0" w:line="276" w:lineRule="auto"/>
        <w:rPr>
          <w:sz w:val="24"/>
          <w:szCs w:val="24"/>
        </w:rPr>
      </w:pPr>
    </w:p>
    <w:p w:rsidR="00EC2E1A" w:rsidRPr="00C67BA6" w:rsidP="1892D1BE" w14:paraId="3D8B2832" w14:textId="2881CAEE">
      <w:pPr>
        <w:pStyle w:val="heading22"/>
        <w:spacing w:before="0" w:after="0" w:line="276" w:lineRule="auto"/>
        <w:rPr>
          <w:sz w:val="24"/>
          <w:szCs w:val="24"/>
        </w:rPr>
      </w:pPr>
      <w:bookmarkStart w:id="22" w:name="_Toc182756734"/>
      <w:r w:rsidRPr="1892D1BE">
        <w:rPr>
          <w:sz w:val="24"/>
          <w:szCs w:val="24"/>
        </w:rPr>
        <w:t>A.18</w:t>
      </w:r>
      <w:r>
        <w:tab/>
      </w:r>
      <w:r w:rsidRPr="1892D1BE">
        <w:rPr>
          <w:sz w:val="24"/>
          <w:szCs w:val="24"/>
        </w:rPr>
        <w:t>Exceptions to Certification for Paperwork Reduction Act Submissions</w:t>
      </w:r>
      <w:bookmarkEnd w:id="22"/>
      <w:r w:rsidRPr="1892D1BE">
        <w:rPr>
          <w:sz w:val="24"/>
          <w:szCs w:val="24"/>
        </w:rPr>
        <w:t xml:space="preserve"> </w:t>
      </w:r>
    </w:p>
    <w:p w:rsidR="00EC2E1A" w:rsidRPr="00A01143" w:rsidP="00A01143" w14:paraId="562EB98F" w14:textId="12EC6DAA">
      <w:pPr>
        <w:pStyle w:val="Normal2"/>
        <w:pBdr>
          <w:top w:val="nil"/>
          <w:left w:val="nil"/>
          <w:bottom w:val="nil"/>
          <w:right w:val="nil"/>
          <w:between w:val="nil"/>
        </w:pBdr>
        <w:spacing w:line="276" w:lineRule="auto"/>
        <w:rPr>
          <w:color w:val="000000"/>
          <w:sz w:val="24"/>
          <w:szCs w:val="24"/>
        </w:rPr>
      </w:pPr>
      <w:r w:rsidRPr="1892D1BE">
        <w:rPr>
          <w:color w:val="000000" w:themeColor="text1"/>
          <w:sz w:val="24"/>
          <w:szCs w:val="24"/>
        </w:rPr>
        <w:t>There are no exceptions to the certification.</w:t>
      </w:r>
    </w:p>
    <w:p w:rsidR="00EC2E1A" w:rsidP="1892D1BE" w14:paraId="065DFF4D" w14:textId="21D2352C">
      <w:pPr>
        <w:pStyle w:val="Heading2"/>
        <w:rPr>
          <w:sz w:val="24"/>
          <w:szCs w:val="24"/>
        </w:rPr>
      </w:pPr>
      <w:bookmarkStart w:id="23" w:name="_Toc182756735"/>
      <w:r w:rsidRPr="1892D1BE">
        <w:rPr>
          <w:sz w:val="24"/>
          <w:szCs w:val="24"/>
        </w:rPr>
        <w:t>REFERENCES</w:t>
      </w:r>
      <w:bookmarkEnd w:id="23"/>
    </w:p>
    <w:p w:rsidR="00EC2E1A" w:rsidRPr="00134CFC" w:rsidP="00A01143" w14:paraId="28ECBBB7" w14:textId="07F91F95">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Vaidyanathan A, Gates A, Brown C, </w:t>
      </w:r>
      <w:r w:rsidRPr="1892D1BE">
        <w:rPr>
          <w:rFonts w:ascii="Times New Roman" w:eastAsia="Times New Roman" w:hAnsi="Times New Roman"/>
          <w:sz w:val="24"/>
          <w:szCs w:val="24"/>
        </w:rPr>
        <w:t>Prezzato</w:t>
      </w:r>
      <w:r w:rsidRPr="1892D1BE">
        <w:rPr>
          <w:rFonts w:ascii="Times New Roman" w:eastAsia="Times New Roman" w:hAnsi="Times New Roman"/>
          <w:sz w:val="24"/>
          <w:szCs w:val="24"/>
        </w:rPr>
        <w:t xml:space="preserve"> E, Bernstein A. Heat-Related Emergency Department Visits — United States, May–September 2023. MMWR </w:t>
      </w:r>
      <w:r w:rsidRPr="1892D1BE">
        <w:rPr>
          <w:rFonts w:ascii="Times New Roman" w:eastAsia="Times New Roman" w:hAnsi="Times New Roman"/>
          <w:sz w:val="24"/>
          <w:szCs w:val="24"/>
        </w:rPr>
        <w:t>Morb</w:t>
      </w:r>
      <w:r w:rsidRPr="1892D1BE">
        <w:rPr>
          <w:rFonts w:ascii="Times New Roman" w:eastAsia="Times New Roman" w:hAnsi="Times New Roman"/>
          <w:sz w:val="24"/>
          <w:szCs w:val="24"/>
        </w:rPr>
        <w:t xml:space="preserve"> Mortal </w:t>
      </w:r>
      <w:r w:rsidRPr="1892D1BE">
        <w:rPr>
          <w:rFonts w:ascii="Times New Roman" w:eastAsia="Times New Roman" w:hAnsi="Times New Roman"/>
          <w:sz w:val="24"/>
          <w:szCs w:val="24"/>
        </w:rPr>
        <w:t>Wkly</w:t>
      </w:r>
      <w:r w:rsidRPr="1892D1BE">
        <w:rPr>
          <w:rFonts w:ascii="Times New Roman" w:eastAsia="Times New Roman" w:hAnsi="Times New Roman"/>
          <w:sz w:val="24"/>
          <w:szCs w:val="24"/>
        </w:rPr>
        <w:t xml:space="preserve"> Rep </w:t>
      </w:r>
      <w:r w:rsidRPr="1892D1BE">
        <w:rPr>
          <w:rFonts w:ascii="Times New Roman" w:eastAsia="Times New Roman" w:hAnsi="Times New Roman"/>
          <w:sz w:val="24"/>
          <w:szCs w:val="24"/>
        </w:rPr>
        <w:t>2024;73:324</w:t>
      </w:r>
      <w:r w:rsidRPr="1892D1BE">
        <w:rPr>
          <w:rFonts w:ascii="Times New Roman" w:eastAsia="Times New Roman" w:hAnsi="Times New Roman"/>
          <w:sz w:val="24"/>
          <w:szCs w:val="24"/>
        </w:rPr>
        <w:t xml:space="preserve">–329. DOI: </w:t>
      </w:r>
      <w:hyperlink r:id="rId16">
        <w:r w:rsidRPr="1892D1BE">
          <w:rPr>
            <w:rStyle w:val="Hyperlink"/>
            <w:rFonts w:ascii="Times New Roman" w:eastAsia="Times New Roman" w:hAnsi="Times New Roman"/>
            <w:color w:val="auto"/>
            <w:sz w:val="24"/>
            <w:szCs w:val="24"/>
          </w:rPr>
          <w:t>http://dx.doi.org/10.15585/mmwr.mm7315a1</w:t>
        </w:r>
      </w:hyperlink>
      <w:r w:rsidRPr="1892D1BE">
        <w:rPr>
          <w:rFonts w:ascii="Times New Roman" w:eastAsia="Times New Roman" w:hAnsi="Times New Roman"/>
          <w:sz w:val="24"/>
          <w:szCs w:val="24"/>
        </w:rPr>
        <w:t>.</w:t>
      </w:r>
    </w:p>
    <w:p w:rsidR="00EC2E1A" w:rsidRPr="00134CFC" w:rsidP="00A01143" w14:paraId="095AA1C5" w14:textId="78835715">
      <w:pPr>
        <w:pStyle w:val="ListParagraph"/>
        <w:numPr>
          <w:ilvl w:val="0"/>
          <w:numId w:val="1"/>
        </w:numPr>
        <w:spacing w:line="276" w:lineRule="auto"/>
        <w:rPr>
          <w:rFonts w:ascii="Times New Roman" w:eastAsia="Times New Roman" w:hAnsi="Times New Roman"/>
          <w:sz w:val="24"/>
          <w:szCs w:val="24"/>
        </w:rPr>
      </w:pPr>
      <w:hyperlink r:id="rId17" w:anchor=":~:text=June%2C%20July%2C%20and%20August%202024%20combined%20were%20about,was%202.34%20F%20%281.3%20C%29%20warmer%20than%20average.">
        <w:r w:rsidRPr="1892D1BE" w:rsidR="25711414">
          <w:rPr>
            <w:rStyle w:val="Hyperlink"/>
            <w:rFonts w:ascii="Times New Roman" w:eastAsia="Times New Roman" w:hAnsi="Times New Roman"/>
            <w:color w:val="auto"/>
            <w:sz w:val="24"/>
            <w:szCs w:val="24"/>
          </w:rPr>
          <w:t>NASA Finds Summer 2024 Hottest to Date - NASA</w:t>
        </w:r>
      </w:hyperlink>
    </w:p>
    <w:p w:rsidR="00EC2E1A" w:rsidRPr="00134CFC" w:rsidP="00A01143" w14:paraId="657F0275" w14:textId="2F66B83B">
      <w:pPr>
        <w:pStyle w:val="ListParagraph"/>
        <w:numPr>
          <w:ilvl w:val="0"/>
          <w:numId w:val="1"/>
        </w:numPr>
        <w:spacing w:line="276" w:lineRule="auto"/>
        <w:rPr>
          <w:rFonts w:ascii="Times New Roman" w:eastAsia="Times New Roman" w:hAnsi="Times New Roman"/>
          <w:sz w:val="24"/>
          <w:szCs w:val="24"/>
          <w:u w:val="single"/>
        </w:rPr>
      </w:pPr>
      <w:r w:rsidRPr="1892D1BE">
        <w:rPr>
          <w:rFonts w:ascii="Times New Roman" w:eastAsia="Times New Roman" w:hAnsi="Times New Roman"/>
          <w:sz w:val="24"/>
          <w:szCs w:val="24"/>
        </w:rPr>
        <w:t xml:space="preserve">US Global Change Research Program. The fifth national climate assessment. Washington, DC: US Global Change Research Program; 2023. </w:t>
      </w:r>
      <w:hyperlink r:id="rId18">
        <w:r w:rsidRPr="1892D1BE">
          <w:rPr>
            <w:rStyle w:val="Hyperlink"/>
            <w:rFonts w:ascii="Times New Roman" w:eastAsia="Times New Roman" w:hAnsi="Times New Roman"/>
            <w:color w:val="auto"/>
            <w:sz w:val="24"/>
            <w:szCs w:val="24"/>
          </w:rPr>
          <w:t>https://nca2023.globalchange.gov</w:t>
        </w:r>
      </w:hyperlink>
    </w:p>
    <w:p w:rsidR="00EC2E1A" w:rsidRPr="00134CFC" w:rsidP="00A01143" w14:paraId="3A66DDA9" w14:textId="19EA69B7">
      <w:pPr>
        <w:pStyle w:val="ListParagraph"/>
        <w:numPr>
          <w:ilvl w:val="0"/>
          <w:numId w:val="1"/>
        </w:numPr>
        <w:spacing w:line="276" w:lineRule="auto"/>
        <w:rPr>
          <w:rFonts w:ascii="Times New Roman" w:eastAsia="Times New Roman" w:hAnsi="Times New Roman"/>
          <w:sz w:val="24"/>
          <w:szCs w:val="24"/>
        </w:rPr>
      </w:pPr>
      <w:hyperlink r:id="rId19">
        <w:r w:rsidRPr="1892D1BE" w:rsidR="23F1B84D">
          <w:rPr>
            <w:rStyle w:val="Hyperlink"/>
            <w:rFonts w:ascii="Times New Roman" w:eastAsia="Times New Roman" w:hAnsi="Times New Roman"/>
            <w:color w:val="auto"/>
            <w:sz w:val="24"/>
            <w:szCs w:val="24"/>
          </w:rPr>
          <w:t>Climate Resilient Health Clinics | Americares</w:t>
        </w:r>
      </w:hyperlink>
      <w:r w:rsidRPr="1892D1BE" w:rsidR="23F1B84D">
        <w:rPr>
          <w:rFonts w:ascii="Times New Roman" w:eastAsia="Times New Roman" w:hAnsi="Times New Roman"/>
          <w:sz w:val="24"/>
          <w:szCs w:val="24"/>
        </w:rPr>
        <w:t xml:space="preserve"> </w:t>
      </w:r>
      <w:hyperlink r:id="rId19">
        <w:r w:rsidRPr="1892D1BE" w:rsidR="23F1B84D">
          <w:rPr>
            <w:rStyle w:val="Hyperlink"/>
            <w:rFonts w:ascii="Times New Roman" w:eastAsia="Times New Roman" w:hAnsi="Times New Roman"/>
            <w:color w:val="auto"/>
            <w:sz w:val="24"/>
            <w:szCs w:val="24"/>
          </w:rPr>
          <w:t>https://www.americares.org/what-we-do/community-health/climate-resilient-health-clinics/</w:t>
        </w:r>
      </w:hyperlink>
      <w:r w:rsidRPr="1892D1BE" w:rsidR="23F1B84D">
        <w:rPr>
          <w:rFonts w:ascii="Times New Roman" w:eastAsia="Times New Roman" w:hAnsi="Times New Roman"/>
          <w:sz w:val="24"/>
          <w:szCs w:val="24"/>
        </w:rPr>
        <w:t>. Accessed 9.19.24</w:t>
      </w:r>
    </w:p>
    <w:p w:rsidR="00EC2E1A" w:rsidRPr="00134CFC" w:rsidP="00A01143" w14:paraId="5058E3A5" w14:textId="58061607">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Patton, M.Q. (2011) Developmental Evaluation: applying complexity concepts to enhance innovation and use. Guilford Press. </w:t>
      </w:r>
    </w:p>
    <w:p w:rsidR="00EC2E1A" w:rsidRPr="00134CFC" w:rsidP="00A01143" w14:paraId="4D8CE97F" w14:textId="531B38DC">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Lode, H., Torres, A., and Cockle, A. (2007). What drives our choices? Evidence, </w:t>
      </w:r>
      <w:r w:rsidRPr="1892D1BE">
        <w:rPr>
          <w:rFonts w:ascii="Times New Roman" w:eastAsia="Times New Roman" w:hAnsi="Times New Roman"/>
          <w:sz w:val="24"/>
          <w:szCs w:val="24"/>
        </w:rPr>
        <w:t>guidelines</w:t>
      </w:r>
      <w:r w:rsidRPr="1892D1BE">
        <w:rPr>
          <w:rFonts w:ascii="Times New Roman" w:eastAsia="Times New Roman" w:hAnsi="Times New Roman"/>
          <w:sz w:val="24"/>
          <w:szCs w:val="24"/>
        </w:rPr>
        <w:t xml:space="preserve"> or habit? I</w:t>
      </w:r>
      <w:r w:rsidRPr="1892D1BE">
        <w:rPr>
          <w:rFonts w:ascii="Times New Roman" w:eastAsia="Times New Roman" w:hAnsi="Times New Roman"/>
          <w:i/>
          <w:iCs/>
          <w:sz w:val="24"/>
          <w:szCs w:val="24"/>
        </w:rPr>
        <w:t>nternational Journal of Antimicrobial Agents</w:t>
      </w:r>
      <w:r w:rsidRPr="1892D1BE">
        <w:rPr>
          <w:rFonts w:ascii="Times New Roman" w:eastAsia="Times New Roman" w:hAnsi="Times New Roman"/>
          <w:sz w:val="24"/>
          <w:szCs w:val="24"/>
        </w:rPr>
        <w:t xml:space="preserve">, 29(1), S17-S22. </w:t>
      </w:r>
    </w:p>
    <w:p w:rsidR="00EC2E1A" w:rsidRPr="00134CFC" w:rsidP="00A01143" w14:paraId="4ECB10B7" w14:textId="2978FEA2">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Grimshaw, J.M., Eccles, M.P., </w:t>
      </w:r>
      <w:r w:rsidRPr="1892D1BE">
        <w:rPr>
          <w:rFonts w:ascii="Times New Roman" w:eastAsia="Times New Roman" w:hAnsi="Times New Roman"/>
          <w:sz w:val="24"/>
          <w:szCs w:val="24"/>
        </w:rPr>
        <w:t>Lavis</w:t>
      </w:r>
      <w:r w:rsidRPr="1892D1BE">
        <w:rPr>
          <w:rFonts w:ascii="Times New Roman" w:eastAsia="Times New Roman" w:hAnsi="Times New Roman"/>
          <w:sz w:val="24"/>
          <w:szCs w:val="24"/>
        </w:rPr>
        <w:t xml:space="preserve">, J.N. (2012). Knowledge translation of research findings. </w:t>
      </w:r>
      <w:r w:rsidRPr="1892D1BE">
        <w:rPr>
          <w:rFonts w:ascii="Times New Roman" w:eastAsia="Times New Roman" w:hAnsi="Times New Roman"/>
          <w:i/>
          <w:iCs/>
          <w:sz w:val="24"/>
          <w:szCs w:val="24"/>
        </w:rPr>
        <w:t xml:space="preserve">Implementation Science, </w:t>
      </w:r>
      <w:r w:rsidRPr="1892D1BE">
        <w:rPr>
          <w:rFonts w:ascii="Times New Roman" w:eastAsia="Times New Roman" w:hAnsi="Times New Roman"/>
          <w:sz w:val="24"/>
          <w:szCs w:val="24"/>
        </w:rPr>
        <w:t xml:space="preserve">7(50). </w:t>
      </w:r>
      <w:hyperlink r:id="rId20">
        <w:r w:rsidRPr="1892D1BE">
          <w:rPr>
            <w:rStyle w:val="Hyperlink"/>
            <w:rFonts w:ascii="Times New Roman" w:eastAsia="Times New Roman" w:hAnsi="Times New Roman"/>
            <w:color w:val="auto"/>
            <w:sz w:val="24"/>
            <w:szCs w:val="24"/>
          </w:rPr>
          <w:t>https://doi.org/10.1186/1748-5908-7-50</w:t>
        </w:r>
      </w:hyperlink>
    </w:p>
    <w:p w:rsidR="00EC2E1A" w:rsidRPr="00134CFC" w:rsidP="00A01143" w14:paraId="444ABCBC" w14:textId="34F27747">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Cook, D.A., </w:t>
      </w:r>
      <w:r w:rsidRPr="1892D1BE">
        <w:rPr>
          <w:rFonts w:ascii="Times New Roman" w:eastAsia="Times New Roman" w:hAnsi="Times New Roman"/>
          <w:sz w:val="24"/>
          <w:szCs w:val="24"/>
        </w:rPr>
        <w:t>Pencille</w:t>
      </w:r>
      <w:r w:rsidRPr="1892D1BE">
        <w:rPr>
          <w:rFonts w:ascii="Times New Roman" w:eastAsia="Times New Roman" w:hAnsi="Times New Roman"/>
          <w:sz w:val="24"/>
          <w:szCs w:val="24"/>
        </w:rPr>
        <w:t xml:space="preserve">, L.J., </w:t>
      </w:r>
      <w:r w:rsidRPr="1892D1BE">
        <w:rPr>
          <w:rFonts w:ascii="Times New Roman" w:eastAsia="Times New Roman" w:hAnsi="Times New Roman"/>
          <w:sz w:val="24"/>
          <w:szCs w:val="24"/>
        </w:rPr>
        <w:t>Dupras</w:t>
      </w:r>
      <w:r w:rsidRPr="1892D1BE">
        <w:rPr>
          <w:rFonts w:ascii="Times New Roman" w:eastAsia="Times New Roman" w:hAnsi="Times New Roman"/>
          <w:sz w:val="24"/>
          <w:szCs w:val="24"/>
        </w:rPr>
        <w:t xml:space="preserve">, D.M., </w:t>
      </w:r>
      <w:r w:rsidRPr="1892D1BE">
        <w:rPr>
          <w:rFonts w:ascii="Times New Roman" w:eastAsia="Times New Roman" w:hAnsi="Times New Roman"/>
          <w:sz w:val="24"/>
          <w:szCs w:val="24"/>
        </w:rPr>
        <w:t>Linderbaum</w:t>
      </w:r>
      <w:r w:rsidRPr="1892D1BE">
        <w:rPr>
          <w:rFonts w:ascii="Times New Roman" w:eastAsia="Times New Roman" w:hAnsi="Times New Roman"/>
          <w:sz w:val="24"/>
          <w:szCs w:val="24"/>
        </w:rPr>
        <w:t xml:space="preserve">, V., and </w:t>
      </w:r>
      <w:r w:rsidRPr="1892D1BE">
        <w:rPr>
          <w:rFonts w:ascii="Times New Roman" w:eastAsia="Times New Roman" w:hAnsi="Times New Roman"/>
          <w:sz w:val="24"/>
          <w:szCs w:val="24"/>
        </w:rPr>
        <w:t>Pankratz</w:t>
      </w:r>
      <w:r w:rsidRPr="1892D1BE">
        <w:rPr>
          <w:rFonts w:ascii="Times New Roman" w:eastAsia="Times New Roman" w:hAnsi="Times New Roman"/>
          <w:sz w:val="24"/>
          <w:szCs w:val="24"/>
        </w:rPr>
        <w:t xml:space="preserve">, S. (2018). Practice variation and practice guidelines: Attitudes of generalist and specialist physicians, nurse practitioners, and physician assistants. </w:t>
      </w:r>
      <w:r w:rsidRPr="1892D1BE">
        <w:rPr>
          <w:rFonts w:ascii="Times New Roman" w:eastAsia="Times New Roman" w:hAnsi="Times New Roman"/>
          <w:i/>
          <w:iCs/>
          <w:sz w:val="24"/>
          <w:szCs w:val="24"/>
        </w:rPr>
        <w:t>PLoS</w:t>
      </w:r>
      <w:r w:rsidRPr="1892D1BE">
        <w:rPr>
          <w:rFonts w:ascii="Times New Roman" w:eastAsia="Times New Roman" w:hAnsi="Times New Roman"/>
          <w:i/>
          <w:iCs/>
          <w:sz w:val="24"/>
          <w:szCs w:val="24"/>
        </w:rPr>
        <w:t xml:space="preserve"> One, </w:t>
      </w:r>
      <w:r w:rsidRPr="1892D1BE">
        <w:rPr>
          <w:rFonts w:ascii="Times New Roman" w:eastAsia="Times New Roman" w:hAnsi="Times New Roman"/>
          <w:sz w:val="24"/>
          <w:szCs w:val="24"/>
        </w:rPr>
        <w:t xml:space="preserve">13(1). </w:t>
      </w:r>
      <w:r w:rsidRPr="1892D1BE">
        <w:rPr>
          <w:rFonts w:ascii="Times New Roman" w:eastAsia="Times New Roman" w:hAnsi="Times New Roman"/>
          <w:sz w:val="24"/>
          <w:szCs w:val="24"/>
        </w:rPr>
        <w:t>doi:10.1371/journal.pone</w:t>
      </w:r>
      <w:r w:rsidRPr="1892D1BE">
        <w:rPr>
          <w:rFonts w:ascii="Times New Roman" w:eastAsia="Times New Roman" w:hAnsi="Times New Roman"/>
          <w:sz w:val="24"/>
          <w:szCs w:val="24"/>
        </w:rPr>
        <w:t>.0191943</w:t>
      </w:r>
    </w:p>
    <w:p w:rsidR="00EC2E1A" w:rsidRPr="00134CFC" w:rsidP="00A01143" w14:paraId="2910461B" w14:textId="79613D5C">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Cho, Y.I., Johnson, T.P., and </w:t>
      </w:r>
      <w:r w:rsidRPr="1892D1BE">
        <w:rPr>
          <w:rFonts w:ascii="Times New Roman" w:eastAsia="Times New Roman" w:hAnsi="Times New Roman"/>
          <w:sz w:val="24"/>
          <w:szCs w:val="24"/>
        </w:rPr>
        <w:t>Vangeest</w:t>
      </w:r>
      <w:r w:rsidRPr="1892D1BE">
        <w:rPr>
          <w:rFonts w:ascii="Times New Roman" w:eastAsia="Times New Roman" w:hAnsi="Times New Roman"/>
          <w:sz w:val="24"/>
          <w:szCs w:val="24"/>
        </w:rPr>
        <w:t xml:space="preserve">, J.B. (2013). Enhancing surveys of health care professionals: a meta-analysis of techniques to improve response. </w:t>
      </w:r>
      <w:r w:rsidRPr="1892D1BE">
        <w:rPr>
          <w:rFonts w:ascii="Times New Roman" w:eastAsia="Times New Roman" w:hAnsi="Times New Roman"/>
          <w:i/>
          <w:iCs/>
          <w:sz w:val="24"/>
          <w:szCs w:val="24"/>
        </w:rPr>
        <w:t>Eval Health Prof,</w:t>
      </w:r>
      <w:r w:rsidRPr="1892D1BE">
        <w:rPr>
          <w:rFonts w:ascii="Times New Roman" w:eastAsia="Times New Roman" w:hAnsi="Times New Roman"/>
          <w:sz w:val="24"/>
          <w:szCs w:val="24"/>
        </w:rPr>
        <w:t>36(3):382-407. doi:10.1177/0163278713496425</w:t>
      </w:r>
    </w:p>
    <w:p w:rsidR="00EC2E1A" w:rsidRPr="00134CFC" w:rsidP="00A01143" w14:paraId="66907EBE" w14:textId="0FAA9E88">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Flanigan, T.S., McFarlane, E., and Cook, S. (2008) Conducting survey research among </w:t>
      </w:r>
      <w:r w:rsidRPr="1892D1BE">
        <w:rPr>
          <w:rFonts w:ascii="Times New Roman" w:eastAsia="Times New Roman" w:hAnsi="Times New Roman"/>
          <w:sz w:val="24"/>
          <w:szCs w:val="24"/>
        </w:rPr>
        <w:t>physcians</w:t>
      </w:r>
      <w:r w:rsidRPr="1892D1BE">
        <w:rPr>
          <w:rFonts w:ascii="Times New Roman" w:eastAsia="Times New Roman" w:hAnsi="Times New Roman"/>
          <w:sz w:val="24"/>
          <w:szCs w:val="24"/>
        </w:rPr>
        <w:t xml:space="preserve"> and other medical professionals – a review of current literature. </w:t>
      </w:r>
      <w:r w:rsidRPr="1892D1BE">
        <w:rPr>
          <w:rFonts w:ascii="Times New Roman" w:eastAsia="Times New Roman" w:hAnsi="Times New Roman"/>
          <w:i/>
          <w:iCs/>
          <w:sz w:val="24"/>
          <w:szCs w:val="24"/>
        </w:rPr>
        <w:t xml:space="preserve">American Association for Public Opinion Research, </w:t>
      </w:r>
      <w:r w:rsidRPr="1892D1BE">
        <w:rPr>
          <w:rFonts w:ascii="Times New Roman" w:eastAsia="Times New Roman" w:hAnsi="Times New Roman"/>
          <w:sz w:val="24"/>
          <w:szCs w:val="24"/>
        </w:rPr>
        <w:t>4136 – 4147.</w:t>
      </w:r>
    </w:p>
    <w:p w:rsidR="00EC2E1A" w:rsidRPr="00134CFC" w:rsidP="00A01143" w14:paraId="1306BE49" w14:textId="792B1169">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Pit, S.W., Vo T., and </w:t>
      </w:r>
      <w:r w:rsidRPr="1892D1BE">
        <w:rPr>
          <w:rFonts w:ascii="Times New Roman" w:eastAsia="Times New Roman" w:hAnsi="Times New Roman"/>
          <w:sz w:val="24"/>
          <w:szCs w:val="24"/>
        </w:rPr>
        <w:t>Pyakurel</w:t>
      </w:r>
      <w:r w:rsidRPr="1892D1BE">
        <w:rPr>
          <w:rFonts w:ascii="Times New Roman" w:eastAsia="Times New Roman" w:hAnsi="Times New Roman"/>
          <w:sz w:val="24"/>
          <w:szCs w:val="24"/>
        </w:rPr>
        <w:t>, S. (2014). The effectiveness of recruitment strategies on general practitioner's survey response rates - a systematic review.</w:t>
      </w:r>
      <w:r w:rsidRPr="1892D1BE">
        <w:rPr>
          <w:rFonts w:ascii="Times New Roman" w:eastAsia="Times New Roman" w:hAnsi="Times New Roman"/>
          <w:i/>
          <w:iCs/>
          <w:sz w:val="24"/>
          <w:szCs w:val="24"/>
        </w:rPr>
        <w:t xml:space="preserve"> BMC Med Res Methodology, </w:t>
      </w:r>
      <w:r w:rsidRPr="1892D1BE">
        <w:rPr>
          <w:rFonts w:ascii="Times New Roman" w:eastAsia="Times New Roman" w:hAnsi="Times New Roman"/>
          <w:sz w:val="24"/>
          <w:szCs w:val="24"/>
        </w:rPr>
        <w:t>14(76). doi:10.1186/1471-2288-14-76</w:t>
      </w:r>
    </w:p>
    <w:p w:rsidR="00EC2E1A" w:rsidRPr="00134CFC" w:rsidP="00A01143" w14:paraId="6E81523B" w14:textId="248FBE3D">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 </w:t>
      </w:r>
      <w:r w:rsidRPr="1892D1BE">
        <w:rPr>
          <w:rFonts w:ascii="Times New Roman" w:eastAsia="Times New Roman" w:hAnsi="Times New Roman"/>
          <w:sz w:val="24"/>
          <w:szCs w:val="24"/>
        </w:rPr>
        <w:t>VanGeest</w:t>
      </w:r>
      <w:r w:rsidRPr="1892D1BE">
        <w:rPr>
          <w:rFonts w:ascii="Times New Roman" w:eastAsia="Times New Roman" w:hAnsi="Times New Roman"/>
          <w:sz w:val="24"/>
          <w:szCs w:val="24"/>
        </w:rPr>
        <w:t xml:space="preserve">, J.B., Johnson, T.P., and </w:t>
      </w:r>
      <w:r w:rsidRPr="1892D1BE">
        <w:rPr>
          <w:rFonts w:ascii="Times New Roman" w:eastAsia="Times New Roman" w:hAnsi="Times New Roman"/>
          <w:sz w:val="24"/>
          <w:szCs w:val="24"/>
        </w:rPr>
        <w:t>Kapousouz</w:t>
      </w:r>
      <w:r w:rsidRPr="1892D1BE">
        <w:rPr>
          <w:rFonts w:ascii="Times New Roman" w:eastAsia="Times New Roman" w:hAnsi="Times New Roman"/>
          <w:sz w:val="24"/>
          <w:szCs w:val="24"/>
        </w:rPr>
        <w:t xml:space="preserve"> E. (2024). Monetary Incentives in Clinician Surveys: An Analysis and Systematic Review </w:t>
      </w:r>
      <w:r w:rsidRPr="1892D1BE">
        <w:rPr>
          <w:rFonts w:ascii="Times New Roman" w:eastAsia="Times New Roman" w:hAnsi="Times New Roman"/>
          <w:sz w:val="24"/>
          <w:szCs w:val="24"/>
        </w:rPr>
        <w:t>With</w:t>
      </w:r>
      <w:r w:rsidRPr="1892D1BE">
        <w:rPr>
          <w:rFonts w:ascii="Times New Roman" w:eastAsia="Times New Roman" w:hAnsi="Times New Roman"/>
          <w:sz w:val="24"/>
          <w:szCs w:val="24"/>
        </w:rPr>
        <w:t xml:space="preserve"> a Focus on Establishing Best Practices. </w:t>
      </w:r>
      <w:r w:rsidRPr="1892D1BE">
        <w:rPr>
          <w:rFonts w:ascii="Times New Roman" w:eastAsia="Times New Roman" w:hAnsi="Times New Roman"/>
          <w:i/>
          <w:iCs/>
          <w:sz w:val="24"/>
          <w:szCs w:val="24"/>
        </w:rPr>
        <w:t>Evaluation &amp; the Health Professions</w:t>
      </w:r>
      <w:r w:rsidRPr="1892D1BE">
        <w:rPr>
          <w:rFonts w:ascii="Times New Roman" w:eastAsia="Times New Roman" w:hAnsi="Times New Roman"/>
          <w:sz w:val="24"/>
          <w:szCs w:val="24"/>
        </w:rPr>
        <w:t>.doi:10.1177/01632787241295794</w:t>
      </w:r>
    </w:p>
    <w:p w:rsidR="00EC2E1A" w:rsidRPr="00134CFC" w:rsidP="00A01143" w14:paraId="5DB91979" w14:textId="64C9126C">
      <w:pPr>
        <w:pStyle w:val="ListParagraph"/>
        <w:numPr>
          <w:ilvl w:val="0"/>
          <w:numId w:val="1"/>
        </w:numPr>
        <w:spacing w:line="276" w:lineRule="auto"/>
        <w:rPr>
          <w:rFonts w:ascii="Times New Roman" w:eastAsia="Times New Roman" w:hAnsi="Times New Roman"/>
          <w:sz w:val="24"/>
          <w:szCs w:val="24"/>
        </w:rPr>
      </w:pPr>
      <w:r w:rsidRPr="1892D1BE">
        <w:rPr>
          <w:rFonts w:ascii="Times New Roman" w:eastAsia="Times New Roman" w:hAnsi="Times New Roman"/>
          <w:sz w:val="24"/>
          <w:szCs w:val="24"/>
        </w:rPr>
        <w:t xml:space="preserve">Robinson MN, </w:t>
      </w:r>
      <w:r w:rsidRPr="1892D1BE">
        <w:rPr>
          <w:rFonts w:ascii="Times New Roman" w:eastAsia="Times New Roman" w:hAnsi="Times New Roman"/>
          <w:sz w:val="24"/>
          <w:szCs w:val="24"/>
        </w:rPr>
        <w:t>Tansil</w:t>
      </w:r>
      <w:r w:rsidRPr="1892D1BE">
        <w:rPr>
          <w:rFonts w:ascii="Times New Roman" w:eastAsia="Times New Roman" w:hAnsi="Times New Roman"/>
          <w:sz w:val="24"/>
          <w:szCs w:val="24"/>
        </w:rPr>
        <w:t xml:space="preserve"> KA, Elder RW, et al. Mass Media Health Communication Campaigns Combined with Health-Related Product Distribution. </w:t>
      </w:r>
      <w:r w:rsidRPr="1892D1BE">
        <w:rPr>
          <w:rFonts w:ascii="Times New Roman" w:eastAsia="Times New Roman" w:hAnsi="Times New Roman"/>
          <w:i/>
          <w:iCs/>
          <w:sz w:val="24"/>
          <w:szCs w:val="24"/>
        </w:rPr>
        <w:t>Am J Prev Med</w:t>
      </w:r>
      <w:r w:rsidRPr="1892D1BE">
        <w:rPr>
          <w:rFonts w:ascii="Times New Roman" w:eastAsia="Times New Roman" w:hAnsi="Times New Roman"/>
          <w:sz w:val="24"/>
          <w:szCs w:val="24"/>
        </w:rPr>
        <w:t xml:space="preserve">. 2014;47(3):360-371. </w:t>
      </w:r>
      <w:r w:rsidRPr="1892D1BE">
        <w:rPr>
          <w:rFonts w:ascii="Times New Roman" w:eastAsia="Times New Roman" w:hAnsi="Times New Roman"/>
          <w:sz w:val="24"/>
          <w:szCs w:val="24"/>
        </w:rPr>
        <w:t>doi:10.1016/j.amepre</w:t>
      </w:r>
      <w:r w:rsidRPr="1892D1BE">
        <w:rPr>
          <w:rFonts w:ascii="Times New Roman" w:eastAsia="Times New Roman" w:hAnsi="Times New Roman"/>
          <w:sz w:val="24"/>
          <w:szCs w:val="24"/>
        </w:rPr>
        <w:t>.2014.05.034</w:t>
      </w:r>
    </w:p>
    <w:p w:rsidR="00270855" w:rsidRPr="001545FC" w:rsidP="00A01143" w14:paraId="2C70D2EF" w14:textId="7FD994F5">
      <w:pPr>
        <w:pStyle w:val="ListParagraph"/>
        <w:numPr>
          <w:ilvl w:val="0"/>
          <w:numId w:val="1"/>
        </w:numPr>
        <w:spacing w:line="276" w:lineRule="auto"/>
        <w:rPr>
          <w:rFonts w:ascii="Times New Roman" w:eastAsia="Times New Roman" w:hAnsi="Times New Roman"/>
          <w:sz w:val="24"/>
          <w:szCs w:val="24"/>
          <w:u w:val="single"/>
        </w:rPr>
      </w:pPr>
      <w:r w:rsidRPr="1892D1BE">
        <w:rPr>
          <w:rFonts w:ascii="Times New Roman" w:eastAsia="Times New Roman" w:hAnsi="Times New Roman"/>
          <w:sz w:val="24"/>
          <w:szCs w:val="24"/>
        </w:rPr>
        <w:t xml:space="preserve">Summary table B. Establishment data, seasonally adjusted: U.S. Bureau of Labor Statistics. Accessed May 10, 2023. </w:t>
      </w:r>
      <w:hyperlink r:id="rId21" w:history="1">
        <w:r w:rsidRPr="005A2B62" w:rsidR="001545FC">
          <w:rPr>
            <w:rStyle w:val="Hyperlink"/>
            <w:rFonts w:ascii="Times New Roman" w:eastAsia="Times New Roman" w:hAnsi="Times New Roman"/>
            <w:sz w:val="24"/>
            <w:szCs w:val="24"/>
          </w:rPr>
          <w:t>https://www.bls.gov/ces/data/employment-and-earnings/2022/summarytable_202212.htm</w:t>
        </w:r>
      </w:hyperlink>
      <w:bookmarkEnd w:id="3"/>
    </w:p>
    <w:p w:rsidR="001545FC" w:rsidRPr="001545FC" w:rsidP="00A01143" w14:paraId="07D2F055" w14:textId="11E4D8C0">
      <w:pPr>
        <w:pStyle w:val="ListParagraph"/>
        <w:numPr>
          <w:ilvl w:val="0"/>
          <w:numId w:val="1"/>
        </w:numPr>
        <w:spacing w:line="276" w:lineRule="auto"/>
        <w:rPr>
          <w:rFonts w:ascii="Times New Roman" w:eastAsia="Times New Roman" w:hAnsi="Times New Roman"/>
          <w:sz w:val="24"/>
          <w:szCs w:val="24"/>
          <w:u w:val="single"/>
        </w:rPr>
      </w:pPr>
      <w:r w:rsidRPr="001545FC">
        <w:rPr>
          <w:rStyle w:val="normaltextrun"/>
          <w:rFonts w:ascii="Times New Roman" w:hAnsi="Times New Roman"/>
          <w:color w:val="1B1B1B"/>
          <w:sz w:val="24"/>
          <w:szCs w:val="24"/>
          <w:shd w:val="clear" w:color="auto" w:fill="FFFFFF"/>
        </w:rPr>
        <w:t xml:space="preserve">Baig AA, Benitez A, </w:t>
      </w:r>
      <w:r w:rsidRPr="001545FC">
        <w:rPr>
          <w:rStyle w:val="normaltextrun"/>
          <w:rFonts w:ascii="Times New Roman" w:hAnsi="Times New Roman"/>
          <w:color w:val="1B1B1B"/>
          <w:sz w:val="24"/>
          <w:szCs w:val="24"/>
          <w:shd w:val="clear" w:color="auto" w:fill="FFFFFF"/>
        </w:rPr>
        <w:t>Locklin</w:t>
      </w:r>
      <w:r w:rsidRPr="001545FC">
        <w:rPr>
          <w:rStyle w:val="normaltextrun"/>
          <w:rFonts w:ascii="Times New Roman" w:hAnsi="Times New Roman"/>
          <w:color w:val="1B1B1B"/>
          <w:sz w:val="24"/>
          <w:szCs w:val="24"/>
          <w:shd w:val="clear" w:color="auto" w:fill="FFFFFF"/>
        </w:rPr>
        <w:t xml:space="preserve"> CA, Campbell A, Schaefer CT, Heuer LJ, Lee SM, Solomon MC, Quinn MT, Burnet DL, Chin MH. Community health center provider and staff's Spanish language ability and cultural awareness. J Health Care Poor Underserved. 2014 May;25(2):527-45. </w:t>
      </w:r>
      <w:r w:rsidRPr="001545FC">
        <w:rPr>
          <w:rStyle w:val="normaltextrun"/>
          <w:rFonts w:ascii="Times New Roman" w:hAnsi="Times New Roman"/>
          <w:color w:val="1B1B1B"/>
          <w:sz w:val="24"/>
          <w:szCs w:val="24"/>
          <w:shd w:val="clear" w:color="auto" w:fill="FFFFFF"/>
        </w:rPr>
        <w:t>doi</w:t>
      </w:r>
      <w:r w:rsidRPr="001545FC">
        <w:rPr>
          <w:rStyle w:val="normaltextrun"/>
          <w:rFonts w:ascii="Times New Roman" w:hAnsi="Times New Roman"/>
          <w:color w:val="1B1B1B"/>
          <w:sz w:val="24"/>
          <w:szCs w:val="24"/>
          <w:shd w:val="clear" w:color="auto" w:fill="FFFFFF"/>
        </w:rPr>
        <w:t xml:space="preserve">: 10.1353/hpu.2014.0086. PMID: 24858866; PMCID: PMC4128238. </w:t>
      </w:r>
      <w:r w:rsidRPr="001545FC">
        <w:rPr>
          <w:rStyle w:val="eop"/>
          <w:rFonts w:ascii="Times New Roman" w:hAnsi="Times New Roman"/>
          <w:color w:val="1B1B1B"/>
          <w:sz w:val="24"/>
          <w:szCs w:val="24"/>
          <w:shd w:val="clear" w:color="auto" w:fill="FFFFFF"/>
        </w:rPr>
        <w:t> </w:t>
      </w:r>
    </w:p>
    <w:p w:rsidR="00DF67BF" w:rsidP="00134CFC" w14:paraId="01720899" w14:textId="2C1134E1">
      <w:pPr>
        <w:spacing w:line="276" w:lineRule="auto"/>
      </w:pPr>
      <w:r w:rsidRPr="4EBA3B1C">
        <w:rPr>
          <w:rFonts w:ascii="Shruti" w:hAnsi="Shruti" w:cs="Shruti"/>
          <w:sz w:val="16"/>
          <w:szCs w:val="16"/>
        </w:rPr>
        <w:fldChar w:fldCharType="begin"/>
      </w:r>
      <w:bookmarkStart w:id="24" w:name="Check25"/>
      <w:r w:rsidRPr="4EBA3B1C">
        <w:rPr>
          <w:rFonts w:ascii="Shruti" w:hAnsi="Shruti" w:cs="Shruti"/>
          <w:sz w:val="16"/>
          <w:szCs w:val="16"/>
        </w:rPr>
        <w:instrText xml:space="preserve"> FORMCHECKBOX </w:instrText>
      </w:r>
      <w:r w:rsidR="000E5A33">
        <w:rPr>
          <w:rFonts w:ascii="Shruti" w:hAnsi="Shruti" w:cs="Shruti"/>
          <w:sz w:val="16"/>
          <w:szCs w:val="16"/>
        </w:rPr>
        <w:fldChar w:fldCharType="separate"/>
      </w:r>
      <w:r w:rsidRPr="4EBA3B1C">
        <w:rPr>
          <w:rFonts w:ascii="Shruti" w:hAnsi="Shruti" w:cs="Shruti"/>
          <w:sz w:val="16"/>
          <w:szCs w:val="16"/>
        </w:rPr>
        <w:fldChar w:fldCharType="end"/>
      </w:r>
      <w:bookmarkEnd w:id="24"/>
      <w:r w:rsidRPr="4EBA3B1C">
        <w:rPr>
          <w:rFonts w:ascii="Shruti" w:hAnsi="Shruti" w:cs="Shruti"/>
          <w:sz w:val="16"/>
          <w:szCs w:val="16"/>
        </w:rPr>
        <w:fldChar w:fldCharType="begin"/>
      </w:r>
      <w:r w:rsidRPr="4EBA3B1C">
        <w:rPr>
          <w:rFonts w:ascii="Shruti" w:hAnsi="Shruti" w:cs="Shruti"/>
          <w:sz w:val="16"/>
          <w:szCs w:val="16"/>
        </w:rPr>
        <w:instrText xml:space="preserve"> FORMCHECKBOX </w:instrText>
      </w:r>
      <w:r w:rsidR="000E5A33">
        <w:rPr>
          <w:rFonts w:ascii="Shruti" w:hAnsi="Shruti" w:cs="Shruti"/>
          <w:sz w:val="16"/>
          <w:szCs w:val="16"/>
        </w:rPr>
        <w:fldChar w:fldCharType="separate"/>
      </w:r>
      <w:r w:rsidRPr="4EBA3B1C">
        <w:rPr>
          <w:rFonts w:ascii="Shruti" w:hAnsi="Shruti" w:cs="Shruti"/>
          <w:sz w:val="16"/>
          <w:szCs w:val="16"/>
        </w:rPr>
        <w:fldChar w:fldCharType="end"/>
      </w:r>
      <w:r w:rsidRPr="4EBA3B1C">
        <w:rPr>
          <w:rFonts w:ascii="Shruti" w:hAnsi="Shruti" w:cs="Shruti"/>
          <w:sz w:val="16"/>
          <w:szCs w:val="16"/>
        </w:rPr>
        <w:fldChar w:fldCharType="begin"/>
      </w:r>
      <w:r w:rsidRPr="4EBA3B1C">
        <w:rPr>
          <w:rFonts w:ascii="Shruti" w:hAnsi="Shruti" w:cs="Shruti"/>
          <w:sz w:val="16"/>
          <w:szCs w:val="16"/>
        </w:rPr>
        <w:instrText xml:space="preserve"> FORMCHECKBOX </w:instrText>
      </w:r>
      <w:r w:rsidR="000E5A33">
        <w:rPr>
          <w:rFonts w:ascii="Shruti" w:hAnsi="Shruti" w:cs="Shruti"/>
          <w:sz w:val="16"/>
          <w:szCs w:val="16"/>
        </w:rPr>
        <w:fldChar w:fldCharType="separate"/>
      </w:r>
      <w:r w:rsidRPr="4EBA3B1C">
        <w:rPr>
          <w:rFonts w:ascii="Shruti" w:hAnsi="Shruti" w:cs="Shruti"/>
          <w:sz w:val="16"/>
          <w:szCs w:val="16"/>
        </w:rPr>
        <w:fldChar w:fldCharType="end"/>
      </w:r>
      <w:r w:rsidRPr="4EBA3B1C">
        <w:rPr>
          <w:rFonts w:ascii="Shruti" w:hAnsi="Shruti" w:cs="Shruti"/>
          <w:sz w:val="16"/>
          <w:szCs w:val="16"/>
        </w:rPr>
        <w:fldChar w:fldCharType="begin"/>
      </w:r>
      <w:r w:rsidRPr="4EBA3B1C">
        <w:rPr>
          <w:rFonts w:ascii="Shruti" w:hAnsi="Shruti" w:cs="Shruti"/>
          <w:sz w:val="16"/>
          <w:szCs w:val="16"/>
        </w:rPr>
        <w:instrText xml:space="preserve"> FORMCHECKBOX </w:instrText>
      </w:r>
      <w:r w:rsidR="000E5A33">
        <w:rPr>
          <w:rFonts w:ascii="Shruti" w:hAnsi="Shruti" w:cs="Shruti"/>
          <w:sz w:val="16"/>
          <w:szCs w:val="16"/>
        </w:rPr>
        <w:fldChar w:fldCharType="separate"/>
      </w:r>
      <w:r w:rsidRPr="4EBA3B1C">
        <w:rPr>
          <w:rFonts w:ascii="Shruti" w:hAnsi="Shruti" w:cs="Shruti"/>
          <w:sz w:val="16"/>
          <w:szCs w:val="16"/>
        </w:rPr>
        <w:fldChar w:fldCharType="end"/>
      </w:r>
      <w:bookmarkStart w:id="25" w:name="_heading=h.1fob9te" w:colFirst="0" w:colLast="0"/>
      <w:bookmarkStart w:id="26" w:name="_heading=h.2et92p0" w:colFirst="0" w:colLast="0"/>
      <w:bookmarkStart w:id="27" w:name="_heading=h.tyjcwt" w:colFirst="0" w:colLast="0"/>
      <w:bookmarkStart w:id="28" w:name="_heading=h.3dy6vkm" w:colFirst="0" w:colLast="0"/>
      <w:bookmarkStart w:id="29" w:name="_heading=h.1t3h5sf" w:colFirst="0" w:colLast="0"/>
      <w:bookmarkStart w:id="30" w:name="_heading=h.4d34og8" w:colFirst="0" w:colLast="0"/>
      <w:bookmarkStart w:id="31" w:name="_heading=h.2s8eyo1" w:colFirst="0" w:colLast="0"/>
      <w:bookmarkStart w:id="32" w:name="_heading=h.lnxbz9" w:colFirst="0" w:colLast="0"/>
      <w:bookmarkStart w:id="33" w:name="bookmark=id.fsh4hg7y54sk" w:colFirst="0" w:colLast="0"/>
      <w:bookmarkStart w:id="34" w:name="_heading=h.35nkun2" w:colFirst="0" w:colLast="0"/>
      <w:bookmarkStart w:id="35" w:name="_heading=h.4i7ojhp" w:colFirst="0" w:colLast="0"/>
      <w:bookmarkStart w:id="36" w:name="_heading=h.1ci93xb" w:colFirst="0" w:colLast="0"/>
      <w:bookmarkStart w:id="37" w:name="_heading=h.3whwml4" w:colFirst="0" w:colLast="0"/>
      <w:bookmarkStart w:id="38" w:name="bookmark=id.omhdzqklfn31" w:colFirst="0" w:colLast="0"/>
      <w:bookmarkStart w:id="39" w:name="_heading=h.cjcovctchc9f" w:colFirst="0" w:colLast="0"/>
      <w:bookmarkStart w:id="40" w:name="bookmark=id.7w69ywn4ujbr" w:colFirst="0" w:colLast="0"/>
      <w:bookmarkStart w:id="41" w:name="_heading=h.iboe6535cdi7" w:colFirst="0" w:colLast="0"/>
      <w:bookmarkStart w:id="42" w:name="_heading=h.49x2ik5" w:colFirst="0" w:colLast="0"/>
      <w:bookmarkStart w:id="43" w:name="bookmark=id.et1kvt1g9ax3" w:colFirst="0" w:colLast="0"/>
      <w:bookmarkStart w:id="44" w:name="_heading=h.2p2csry" w:colFirst="0" w:colLast="0"/>
      <w:bookmarkStart w:id="45" w:name="_heading=h.ihv636" w:colFirst="0" w:colLast="0"/>
      <w:bookmarkStart w:id="46" w:name="_heading=h.1hmsyys" w:colFirst="0" w:colLast="0"/>
      <w:bookmarkStart w:id="47" w:name="_heading=h.2grqrue" w:colFirst="0" w:colLast="0"/>
      <w:bookmarkStart w:id="48" w:name="_heading=h.vx1227" w:colFirst="0" w:colLast="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ectPr>
      <w:headerReference w:type="even" r:id="rId22"/>
      <w:headerReference w:type="default" r:id="rId23"/>
      <w:footerReference w:type="default" r:id="rId24"/>
      <w:headerReference w:type="first" r:id="rId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lio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6BCEDA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0146302"/>
      <w:docPartObj>
        <w:docPartGallery w:val="Page Numbers (Bottom of Page)"/>
        <w:docPartUnique/>
      </w:docPartObj>
    </w:sdtPr>
    <w:sdtEndPr>
      <w:rPr>
        <w:noProof/>
      </w:rPr>
    </w:sdtEndPr>
    <w:sdtContent>
      <w:p w:rsidR="00DF67BF" w14:paraId="7E5CAA56" w14:textId="6302A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2E1A" w14:paraId="08571BDE" w14:textId="77777777">
    <w:pPr>
      <w:pStyle w:val="Normal2"/>
      <w:widowControl w:val="0"/>
      <w:pBdr>
        <w:top w:val="nil"/>
        <w:left w:val="nil"/>
        <w:bottom w:val="nil"/>
        <w:right w:val="nil"/>
        <w:between w:val="nil"/>
      </w:pBdr>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7057707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14:paraId="00000165" w14:textId="32614ACC">
    <w:pPr>
      <w:pStyle w:val="Normal2"/>
      <w:pBdr>
        <w:top w:val="nil"/>
        <w:left w:val="nil"/>
        <w:bottom w:val="nil"/>
        <w:right w:val="nil"/>
        <w:between w:val="nil"/>
      </w:pBdr>
      <w:tabs>
        <w:tab w:val="center" w:pos="4320"/>
        <w:tab w:val="right" w:pos="8640"/>
      </w:tabs>
      <w:jc w:val="center"/>
      <w:rPr>
        <w:color w:val="000000"/>
      </w:rPr>
    </w:pPr>
  </w:p>
  <w:p w:rsidR="00786096" w14:paraId="00000166" w14:textId="77777777">
    <w:pPr>
      <w:pStyle w:val="Normal2"/>
      <w:widowControl w:val="0"/>
      <w:pBdr>
        <w:top w:val="nil"/>
        <w:left w:val="nil"/>
        <w:bottom w:val="nil"/>
        <w:right w:val="nil"/>
        <w:between w:val="nil"/>
      </w:pBdr>
      <w:spacing w:line="276" w:lineRule="auto"/>
    </w:pPr>
  </w:p>
  <w:p w:rsidR="00786096" w14:paraId="00000167" w14:textId="3B6DEF4D">
    <w:pPr>
      <w:pStyle w:val="Normal2"/>
      <w:widowControl w:val="0"/>
      <w:pBdr>
        <w:top w:val="nil"/>
        <w:left w:val="nil"/>
        <w:bottom w:val="nil"/>
        <w:right w:val="nil"/>
        <w:between w:val="nil"/>
      </w:pBdr>
      <w:spacing w:line="276" w:lineRule="auto"/>
      <w:jc w:val="right"/>
    </w:pPr>
    <w:r>
      <w:fldChar w:fldCharType="begin"/>
    </w:r>
    <w:r>
      <w:instrText>PAGE</w:instrText>
    </w:r>
    <w:r>
      <w:fldChar w:fldCharType="separate"/>
    </w:r>
    <w:r w:rsidR="00D22C81">
      <w:rPr>
        <w:noProof/>
      </w:rPr>
      <w:t>4</w:t>
    </w:r>
    <w:r>
      <w:fldChar w:fldCharType="end"/>
    </w:r>
  </w:p>
  <w:p w:rsidR="00786096" w14:paraId="00000168" w14:textId="77777777">
    <w:pPr>
      <w:pStyle w:val="Normal2"/>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11AE677C" w14:textId="5E7A4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163F2355" w14:textId="13BFE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0A690029" w14:textId="333DA1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6BA91DA5" w14:textId="5D6A92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6096" w:rsidRPr="00FE7049" w:rsidP="00FE7049" w14:paraId="00000160" w14:textId="5C706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688" w14:paraId="7D793C17" w14:textId="43819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8F32"/>
    <w:multiLevelType w:val="hybridMultilevel"/>
    <w:tmpl w:val="5B5AF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BB82EB"/>
    <w:multiLevelType w:val="hybridMultilevel"/>
    <w:tmpl w:val="785CE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AC1217"/>
    <w:multiLevelType w:val="multilevel"/>
    <w:tmpl w:val="649AC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755EE3"/>
    <w:multiLevelType w:val="multilevel"/>
    <w:tmpl w:val="CAC69BD6"/>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CDE15"/>
    <w:multiLevelType w:val="multilevel"/>
    <w:tmpl w:val="A3DE0324"/>
    <w:lvl w:ilvl="0">
      <w:start w:val="1"/>
      <w:numFmt w:val="decimal"/>
      <w:pStyle w:val="bullet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6B703C9"/>
    <w:multiLevelType w:val="multilevel"/>
    <w:tmpl w:val="CBA27E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6445E"/>
    <w:multiLevelType w:val="multilevel"/>
    <w:tmpl w:val="262A64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B0D0714"/>
    <w:multiLevelType w:val="multilevel"/>
    <w:tmpl w:val="7EF29A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8CF654"/>
    <w:multiLevelType w:val="hybridMultilevel"/>
    <w:tmpl w:val="B24C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565645">
    <w:abstractNumId w:val="0"/>
  </w:num>
  <w:num w:numId="2" w16cid:durableId="1351755258">
    <w:abstractNumId w:val="1"/>
  </w:num>
  <w:num w:numId="3" w16cid:durableId="290671956">
    <w:abstractNumId w:val="8"/>
  </w:num>
  <w:num w:numId="4" w16cid:durableId="1056860775">
    <w:abstractNumId w:val="6"/>
  </w:num>
  <w:num w:numId="5" w16cid:durableId="2107771719">
    <w:abstractNumId w:val="4"/>
  </w:num>
  <w:num w:numId="6" w16cid:durableId="77945428">
    <w:abstractNumId w:val="3"/>
  </w:num>
  <w:num w:numId="7" w16cid:durableId="998726674">
    <w:abstractNumId w:val="2"/>
  </w:num>
  <w:num w:numId="8" w16cid:durableId="480780216">
    <w:abstractNumId w:val="5"/>
  </w:num>
  <w:num w:numId="9" w16cid:durableId="39632159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4404FF"/>
    <w:rsid w:val="00022FDF"/>
    <w:rsid w:val="00024A84"/>
    <w:rsid w:val="00035B12"/>
    <w:rsid w:val="00036D1B"/>
    <w:rsid w:val="00037F7B"/>
    <w:rsid w:val="000468E7"/>
    <w:rsid w:val="000516E8"/>
    <w:rsid w:val="0005446F"/>
    <w:rsid w:val="0005784B"/>
    <w:rsid w:val="00060749"/>
    <w:rsid w:val="00064ACD"/>
    <w:rsid w:val="00066B2C"/>
    <w:rsid w:val="00075D48"/>
    <w:rsid w:val="00085A32"/>
    <w:rsid w:val="0009094B"/>
    <w:rsid w:val="00091331"/>
    <w:rsid w:val="00092556"/>
    <w:rsid w:val="00092F98"/>
    <w:rsid w:val="000A056F"/>
    <w:rsid w:val="000A5BE9"/>
    <w:rsid w:val="000B1873"/>
    <w:rsid w:val="000B6664"/>
    <w:rsid w:val="000E5A33"/>
    <w:rsid w:val="000F3872"/>
    <w:rsid w:val="000F53EA"/>
    <w:rsid w:val="00100EF0"/>
    <w:rsid w:val="00101157"/>
    <w:rsid w:val="00101C47"/>
    <w:rsid w:val="00104262"/>
    <w:rsid w:val="001058D0"/>
    <w:rsid w:val="001163AE"/>
    <w:rsid w:val="00117CD0"/>
    <w:rsid w:val="0012780F"/>
    <w:rsid w:val="00127EE3"/>
    <w:rsid w:val="001291B6"/>
    <w:rsid w:val="0013088A"/>
    <w:rsid w:val="00132EC5"/>
    <w:rsid w:val="0013330A"/>
    <w:rsid w:val="00134CFC"/>
    <w:rsid w:val="00134FB0"/>
    <w:rsid w:val="00135DD7"/>
    <w:rsid w:val="001424BF"/>
    <w:rsid w:val="00143D39"/>
    <w:rsid w:val="001512FA"/>
    <w:rsid w:val="00151BF9"/>
    <w:rsid w:val="00154146"/>
    <w:rsid w:val="001545FC"/>
    <w:rsid w:val="00155F07"/>
    <w:rsid w:val="00167524"/>
    <w:rsid w:val="00167CCF"/>
    <w:rsid w:val="00174967"/>
    <w:rsid w:val="0018334E"/>
    <w:rsid w:val="001841E1"/>
    <w:rsid w:val="00185642"/>
    <w:rsid w:val="001858CF"/>
    <w:rsid w:val="00196F27"/>
    <w:rsid w:val="001A000F"/>
    <w:rsid w:val="001A303F"/>
    <w:rsid w:val="001C28D9"/>
    <w:rsid w:val="001C5F48"/>
    <w:rsid w:val="001E067E"/>
    <w:rsid w:val="001E3F0B"/>
    <w:rsid w:val="001E6B63"/>
    <w:rsid w:val="001F0C91"/>
    <w:rsid w:val="001F7AC6"/>
    <w:rsid w:val="00203908"/>
    <w:rsid w:val="00211F56"/>
    <w:rsid w:val="00212348"/>
    <w:rsid w:val="00233421"/>
    <w:rsid w:val="00240746"/>
    <w:rsid w:val="002452F1"/>
    <w:rsid w:val="00251C86"/>
    <w:rsid w:val="00261C2E"/>
    <w:rsid w:val="00262CF0"/>
    <w:rsid w:val="00267633"/>
    <w:rsid w:val="00270855"/>
    <w:rsid w:val="002718A6"/>
    <w:rsid w:val="00275F40"/>
    <w:rsid w:val="00284B6D"/>
    <w:rsid w:val="00284E04"/>
    <w:rsid w:val="002850B4"/>
    <w:rsid w:val="00292AF4"/>
    <w:rsid w:val="002A0AD7"/>
    <w:rsid w:val="002A4D58"/>
    <w:rsid w:val="002B1BA0"/>
    <w:rsid w:val="002B3FC5"/>
    <w:rsid w:val="002B6248"/>
    <w:rsid w:val="002D106D"/>
    <w:rsid w:val="002D11CB"/>
    <w:rsid w:val="002D296B"/>
    <w:rsid w:val="002D3EEB"/>
    <w:rsid w:val="002F6B1B"/>
    <w:rsid w:val="002F735E"/>
    <w:rsid w:val="003029DA"/>
    <w:rsid w:val="00306E00"/>
    <w:rsid w:val="00306F95"/>
    <w:rsid w:val="003103EA"/>
    <w:rsid w:val="00317D19"/>
    <w:rsid w:val="00322388"/>
    <w:rsid w:val="00325A65"/>
    <w:rsid w:val="00331EFF"/>
    <w:rsid w:val="00332F5B"/>
    <w:rsid w:val="0033349D"/>
    <w:rsid w:val="00334988"/>
    <w:rsid w:val="003349AA"/>
    <w:rsid w:val="003367BD"/>
    <w:rsid w:val="00337341"/>
    <w:rsid w:val="00340742"/>
    <w:rsid w:val="00343118"/>
    <w:rsid w:val="00352610"/>
    <w:rsid w:val="00356832"/>
    <w:rsid w:val="003628EA"/>
    <w:rsid w:val="00363D97"/>
    <w:rsid w:val="00364F6A"/>
    <w:rsid w:val="00366869"/>
    <w:rsid w:val="00370931"/>
    <w:rsid w:val="00374537"/>
    <w:rsid w:val="00374707"/>
    <w:rsid w:val="00376433"/>
    <w:rsid w:val="00380C4A"/>
    <w:rsid w:val="00382658"/>
    <w:rsid w:val="003826BA"/>
    <w:rsid w:val="00386E8D"/>
    <w:rsid w:val="0039401F"/>
    <w:rsid w:val="0039424E"/>
    <w:rsid w:val="003966D5"/>
    <w:rsid w:val="00397ADE"/>
    <w:rsid w:val="003A0B20"/>
    <w:rsid w:val="003A52C1"/>
    <w:rsid w:val="003A7216"/>
    <w:rsid w:val="003B31E2"/>
    <w:rsid w:val="003D2B97"/>
    <w:rsid w:val="003D36EB"/>
    <w:rsid w:val="003D3838"/>
    <w:rsid w:val="003D4887"/>
    <w:rsid w:val="003D714E"/>
    <w:rsid w:val="003E170F"/>
    <w:rsid w:val="003E7B7E"/>
    <w:rsid w:val="003F3185"/>
    <w:rsid w:val="003F35E9"/>
    <w:rsid w:val="003F3E1E"/>
    <w:rsid w:val="00403548"/>
    <w:rsid w:val="004049C4"/>
    <w:rsid w:val="00404F21"/>
    <w:rsid w:val="00405C38"/>
    <w:rsid w:val="00410748"/>
    <w:rsid w:val="00414ACF"/>
    <w:rsid w:val="0041510E"/>
    <w:rsid w:val="004247E5"/>
    <w:rsid w:val="00425547"/>
    <w:rsid w:val="0042672D"/>
    <w:rsid w:val="00431A99"/>
    <w:rsid w:val="00441B94"/>
    <w:rsid w:val="004429FD"/>
    <w:rsid w:val="0044339D"/>
    <w:rsid w:val="004464F3"/>
    <w:rsid w:val="0045075E"/>
    <w:rsid w:val="004515F6"/>
    <w:rsid w:val="00455017"/>
    <w:rsid w:val="00461948"/>
    <w:rsid w:val="00463202"/>
    <w:rsid w:val="00465EBC"/>
    <w:rsid w:val="00472191"/>
    <w:rsid w:val="00475855"/>
    <w:rsid w:val="0048662C"/>
    <w:rsid w:val="00490262"/>
    <w:rsid w:val="00490FC8"/>
    <w:rsid w:val="00497632"/>
    <w:rsid w:val="004A21B8"/>
    <w:rsid w:val="004A3D37"/>
    <w:rsid w:val="004B0909"/>
    <w:rsid w:val="004B2BE4"/>
    <w:rsid w:val="004C374E"/>
    <w:rsid w:val="004C5AAE"/>
    <w:rsid w:val="004D0CF2"/>
    <w:rsid w:val="004D3AE7"/>
    <w:rsid w:val="004D56F1"/>
    <w:rsid w:val="004D5FA6"/>
    <w:rsid w:val="004D6CBD"/>
    <w:rsid w:val="004E1A87"/>
    <w:rsid w:val="004E444D"/>
    <w:rsid w:val="004E71B5"/>
    <w:rsid w:val="004F002B"/>
    <w:rsid w:val="004F1EF8"/>
    <w:rsid w:val="004F3F40"/>
    <w:rsid w:val="004F7398"/>
    <w:rsid w:val="00502C54"/>
    <w:rsid w:val="00505F56"/>
    <w:rsid w:val="00512C7D"/>
    <w:rsid w:val="00526B7D"/>
    <w:rsid w:val="00537F24"/>
    <w:rsid w:val="005454AB"/>
    <w:rsid w:val="00551D41"/>
    <w:rsid w:val="005540F5"/>
    <w:rsid w:val="0056193B"/>
    <w:rsid w:val="005716C5"/>
    <w:rsid w:val="00572A8C"/>
    <w:rsid w:val="0058225E"/>
    <w:rsid w:val="00590C5E"/>
    <w:rsid w:val="005912F0"/>
    <w:rsid w:val="005951BE"/>
    <w:rsid w:val="005954EB"/>
    <w:rsid w:val="00595873"/>
    <w:rsid w:val="0059732F"/>
    <w:rsid w:val="005A2569"/>
    <w:rsid w:val="005A2B62"/>
    <w:rsid w:val="005A5471"/>
    <w:rsid w:val="005A79C2"/>
    <w:rsid w:val="005B0FBA"/>
    <w:rsid w:val="005B188D"/>
    <w:rsid w:val="005B51E0"/>
    <w:rsid w:val="005C4237"/>
    <w:rsid w:val="005D3313"/>
    <w:rsid w:val="005D49BE"/>
    <w:rsid w:val="005E1963"/>
    <w:rsid w:val="005E5F94"/>
    <w:rsid w:val="005E60A2"/>
    <w:rsid w:val="005F0A0C"/>
    <w:rsid w:val="005F4F93"/>
    <w:rsid w:val="00600496"/>
    <w:rsid w:val="00600930"/>
    <w:rsid w:val="00605AED"/>
    <w:rsid w:val="0061207B"/>
    <w:rsid w:val="00620D37"/>
    <w:rsid w:val="00621890"/>
    <w:rsid w:val="00622A90"/>
    <w:rsid w:val="006251E4"/>
    <w:rsid w:val="00634A29"/>
    <w:rsid w:val="00637FA0"/>
    <w:rsid w:val="0064528E"/>
    <w:rsid w:val="0064583C"/>
    <w:rsid w:val="006467E1"/>
    <w:rsid w:val="00651BDD"/>
    <w:rsid w:val="00654F9B"/>
    <w:rsid w:val="00665E4B"/>
    <w:rsid w:val="00667802"/>
    <w:rsid w:val="0067059C"/>
    <w:rsid w:val="006774DF"/>
    <w:rsid w:val="00680159"/>
    <w:rsid w:val="006852B6"/>
    <w:rsid w:val="0068638A"/>
    <w:rsid w:val="0069728C"/>
    <w:rsid w:val="00697674"/>
    <w:rsid w:val="00697A75"/>
    <w:rsid w:val="006A6B57"/>
    <w:rsid w:val="006A6D68"/>
    <w:rsid w:val="006A7339"/>
    <w:rsid w:val="006C1E0B"/>
    <w:rsid w:val="006C79B8"/>
    <w:rsid w:val="006D1635"/>
    <w:rsid w:val="006D2773"/>
    <w:rsid w:val="006D281A"/>
    <w:rsid w:val="006E538B"/>
    <w:rsid w:val="006E670C"/>
    <w:rsid w:val="006E69E4"/>
    <w:rsid w:val="00702D45"/>
    <w:rsid w:val="00707ABD"/>
    <w:rsid w:val="00711E23"/>
    <w:rsid w:val="00713968"/>
    <w:rsid w:val="00713F0C"/>
    <w:rsid w:val="00715AE7"/>
    <w:rsid w:val="007163B0"/>
    <w:rsid w:val="007173A5"/>
    <w:rsid w:val="00726F0A"/>
    <w:rsid w:val="0073601B"/>
    <w:rsid w:val="00737880"/>
    <w:rsid w:val="0074164C"/>
    <w:rsid w:val="007427DE"/>
    <w:rsid w:val="007525B8"/>
    <w:rsid w:val="00755F9A"/>
    <w:rsid w:val="00770FDB"/>
    <w:rsid w:val="007710CD"/>
    <w:rsid w:val="00772FF7"/>
    <w:rsid w:val="00780EF9"/>
    <w:rsid w:val="00783247"/>
    <w:rsid w:val="00786096"/>
    <w:rsid w:val="00791842"/>
    <w:rsid w:val="0079315A"/>
    <w:rsid w:val="00793D2E"/>
    <w:rsid w:val="00795E10"/>
    <w:rsid w:val="0079600A"/>
    <w:rsid w:val="00796CC4"/>
    <w:rsid w:val="007A0332"/>
    <w:rsid w:val="007A15FD"/>
    <w:rsid w:val="007A5C63"/>
    <w:rsid w:val="007B15A9"/>
    <w:rsid w:val="007B1A7C"/>
    <w:rsid w:val="007B44CF"/>
    <w:rsid w:val="007B66A8"/>
    <w:rsid w:val="007C1856"/>
    <w:rsid w:val="007C4D55"/>
    <w:rsid w:val="007C5063"/>
    <w:rsid w:val="007D5D96"/>
    <w:rsid w:val="007D620D"/>
    <w:rsid w:val="007E198A"/>
    <w:rsid w:val="007E2CE3"/>
    <w:rsid w:val="007E5C93"/>
    <w:rsid w:val="00806308"/>
    <w:rsid w:val="00811C9D"/>
    <w:rsid w:val="00812634"/>
    <w:rsid w:val="008162E9"/>
    <w:rsid w:val="00821EB9"/>
    <w:rsid w:val="008224E8"/>
    <w:rsid w:val="008228C9"/>
    <w:rsid w:val="008231B8"/>
    <w:rsid w:val="008259AB"/>
    <w:rsid w:val="00843830"/>
    <w:rsid w:val="00850450"/>
    <w:rsid w:val="00850E19"/>
    <w:rsid w:val="00854832"/>
    <w:rsid w:val="00862798"/>
    <w:rsid w:val="00865288"/>
    <w:rsid w:val="00877220"/>
    <w:rsid w:val="00883C9F"/>
    <w:rsid w:val="0088479D"/>
    <w:rsid w:val="00891FA0"/>
    <w:rsid w:val="00894C00"/>
    <w:rsid w:val="008952AA"/>
    <w:rsid w:val="00895E36"/>
    <w:rsid w:val="0089626A"/>
    <w:rsid w:val="008A11AA"/>
    <w:rsid w:val="008A253F"/>
    <w:rsid w:val="008A3387"/>
    <w:rsid w:val="008A6581"/>
    <w:rsid w:val="008B1376"/>
    <w:rsid w:val="008D14EE"/>
    <w:rsid w:val="008E2587"/>
    <w:rsid w:val="008E6301"/>
    <w:rsid w:val="008E7E56"/>
    <w:rsid w:val="008F4D98"/>
    <w:rsid w:val="0090068C"/>
    <w:rsid w:val="00905FEB"/>
    <w:rsid w:val="00911B18"/>
    <w:rsid w:val="00923C35"/>
    <w:rsid w:val="00923D6E"/>
    <w:rsid w:val="00931BA6"/>
    <w:rsid w:val="00943046"/>
    <w:rsid w:val="00950098"/>
    <w:rsid w:val="0095655E"/>
    <w:rsid w:val="009637A1"/>
    <w:rsid w:val="00964BBF"/>
    <w:rsid w:val="0096564C"/>
    <w:rsid w:val="009726B5"/>
    <w:rsid w:val="009753F7"/>
    <w:rsid w:val="0098264E"/>
    <w:rsid w:val="00993D59"/>
    <w:rsid w:val="009B441A"/>
    <w:rsid w:val="009C5C4D"/>
    <w:rsid w:val="009D1D64"/>
    <w:rsid w:val="009E3D01"/>
    <w:rsid w:val="009F1DE3"/>
    <w:rsid w:val="009F4A14"/>
    <w:rsid w:val="00A01143"/>
    <w:rsid w:val="00A022B4"/>
    <w:rsid w:val="00A17121"/>
    <w:rsid w:val="00A201DE"/>
    <w:rsid w:val="00A20F09"/>
    <w:rsid w:val="00A239EF"/>
    <w:rsid w:val="00A2408E"/>
    <w:rsid w:val="00A2558E"/>
    <w:rsid w:val="00A27073"/>
    <w:rsid w:val="00A377B9"/>
    <w:rsid w:val="00A451D6"/>
    <w:rsid w:val="00A6133B"/>
    <w:rsid w:val="00A65B76"/>
    <w:rsid w:val="00A719F9"/>
    <w:rsid w:val="00A751CB"/>
    <w:rsid w:val="00A76598"/>
    <w:rsid w:val="00A776C3"/>
    <w:rsid w:val="00A82A2A"/>
    <w:rsid w:val="00A8403B"/>
    <w:rsid w:val="00A87B3F"/>
    <w:rsid w:val="00A9015C"/>
    <w:rsid w:val="00A94951"/>
    <w:rsid w:val="00AB37A6"/>
    <w:rsid w:val="00AB46AB"/>
    <w:rsid w:val="00AC3688"/>
    <w:rsid w:val="00AD6F75"/>
    <w:rsid w:val="00B0053E"/>
    <w:rsid w:val="00B04D91"/>
    <w:rsid w:val="00B079BC"/>
    <w:rsid w:val="00B146BC"/>
    <w:rsid w:val="00B15838"/>
    <w:rsid w:val="00B20319"/>
    <w:rsid w:val="00B26553"/>
    <w:rsid w:val="00B44E0F"/>
    <w:rsid w:val="00B543D8"/>
    <w:rsid w:val="00B61DA4"/>
    <w:rsid w:val="00B77536"/>
    <w:rsid w:val="00B87FBD"/>
    <w:rsid w:val="00B92612"/>
    <w:rsid w:val="00B96886"/>
    <w:rsid w:val="00BB1729"/>
    <w:rsid w:val="00BC43CD"/>
    <w:rsid w:val="00BC495D"/>
    <w:rsid w:val="00BC6098"/>
    <w:rsid w:val="00BC7B19"/>
    <w:rsid w:val="00BD1E58"/>
    <w:rsid w:val="00BD4919"/>
    <w:rsid w:val="00BE379A"/>
    <w:rsid w:val="00BF51D6"/>
    <w:rsid w:val="00C00348"/>
    <w:rsid w:val="00C02026"/>
    <w:rsid w:val="00C03516"/>
    <w:rsid w:val="00C10148"/>
    <w:rsid w:val="00C105F5"/>
    <w:rsid w:val="00C21CF7"/>
    <w:rsid w:val="00C33192"/>
    <w:rsid w:val="00C36930"/>
    <w:rsid w:val="00C471B7"/>
    <w:rsid w:val="00C50FB2"/>
    <w:rsid w:val="00C52D0D"/>
    <w:rsid w:val="00C538BC"/>
    <w:rsid w:val="00C55217"/>
    <w:rsid w:val="00C57451"/>
    <w:rsid w:val="00C671BE"/>
    <w:rsid w:val="00C67BA6"/>
    <w:rsid w:val="00C7104D"/>
    <w:rsid w:val="00C72585"/>
    <w:rsid w:val="00C7381D"/>
    <w:rsid w:val="00C74D49"/>
    <w:rsid w:val="00C75653"/>
    <w:rsid w:val="00C83D1E"/>
    <w:rsid w:val="00C9048F"/>
    <w:rsid w:val="00C90EE0"/>
    <w:rsid w:val="00C91042"/>
    <w:rsid w:val="00CA4044"/>
    <w:rsid w:val="00CB562E"/>
    <w:rsid w:val="00CB68B1"/>
    <w:rsid w:val="00CC0363"/>
    <w:rsid w:val="00CC1976"/>
    <w:rsid w:val="00CD09F6"/>
    <w:rsid w:val="00CD498A"/>
    <w:rsid w:val="00CE2E43"/>
    <w:rsid w:val="00CE6B8B"/>
    <w:rsid w:val="00CF48FF"/>
    <w:rsid w:val="00CF6E77"/>
    <w:rsid w:val="00D01AEA"/>
    <w:rsid w:val="00D05C01"/>
    <w:rsid w:val="00D12430"/>
    <w:rsid w:val="00D12F88"/>
    <w:rsid w:val="00D20650"/>
    <w:rsid w:val="00D21C02"/>
    <w:rsid w:val="00D22C81"/>
    <w:rsid w:val="00D269DC"/>
    <w:rsid w:val="00D332DB"/>
    <w:rsid w:val="00D369E8"/>
    <w:rsid w:val="00D40E6D"/>
    <w:rsid w:val="00D42FA6"/>
    <w:rsid w:val="00D4644D"/>
    <w:rsid w:val="00D614B0"/>
    <w:rsid w:val="00D64593"/>
    <w:rsid w:val="00D6646D"/>
    <w:rsid w:val="00D70E3A"/>
    <w:rsid w:val="00D711E7"/>
    <w:rsid w:val="00D73D5D"/>
    <w:rsid w:val="00D90890"/>
    <w:rsid w:val="00D90A05"/>
    <w:rsid w:val="00D91742"/>
    <w:rsid w:val="00DA6573"/>
    <w:rsid w:val="00DB5D17"/>
    <w:rsid w:val="00DB7941"/>
    <w:rsid w:val="00DC1E6B"/>
    <w:rsid w:val="00DC3A56"/>
    <w:rsid w:val="00DD0F6C"/>
    <w:rsid w:val="00DD300E"/>
    <w:rsid w:val="00DE0FC0"/>
    <w:rsid w:val="00DE185B"/>
    <w:rsid w:val="00DE5657"/>
    <w:rsid w:val="00DF4728"/>
    <w:rsid w:val="00DF5993"/>
    <w:rsid w:val="00DF67BF"/>
    <w:rsid w:val="00E0740B"/>
    <w:rsid w:val="00E11629"/>
    <w:rsid w:val="00E14155"/>
    <w:rsid w:val="00E16430"/>
    <w:rsid w:val="00E2490B"/>
    <w:rsid w:val="00E27D3C"/>
    <w:rsid w:val="00E401E0"/>
    <w:rsid w:val="00E44637"/>
    <w:rsid w:val="00E502F5"/>
    <w:rsid w:val="00E5176A"/>
    <w:rsid w:val="00E53187"/>
    <w:rsid w:val="00E57E72"/>
    <w:rsid w:val="00E750C9"/>
    <w:rsid w:val="00E81059"/>
    <w:rsid w:val="00E83EE1"/>
    <w:rsid w:val="00E85593"/>
    <w:rsid w:val="00E8568E"/>
    <w:rsid w:val="00E947BD"/>
    <w:rsid w:val="00E96873"/>
    <w:rsid w:val="00EA1352"/>
    <w:rsid w:val="00EA3C09"/>
    <w:rsid w:val="00EA695D"/>
    <w:rsid w:val="00EB39F4"/>
    <w:rsid w:val="00EC034F"/>
    <w:rsid w:val="00EC191A"/>
    <w:rsid w:val="00EC2E1A"/>
    <w:rsid w:val="00EC6A4E"/>
    <w:rsid w:val="00ED12D1"/>
    <w:rsid w:val="00ED1B35"/>
    <w:rsid w:val="00EE2D05"/>
    <w:rsid w:val="00EE4B1D"/>
    <w:rsid w:val="00EE5C43"/>
    <w:rsid w:val="00EF654D"/>
    <w:rsid w:val="00EF66D4"/>
    <w:rsid w:val="00F214F8"/>
    <w:rsid w:val="00F262B1"/>
    <w:rsid w:val="00F27E8E"/>
    <w:rsid w:val="00F33102"/>
    <w:rsid w:val="00F339D8"/>
    <w:rsid w:val="00F42C30"/>
    <w:rsid w:val="00F46E1E"/>
    <w:rsid w:val="00F47F4D"/>
    <w:rsid w:val="00F50863"/>
    <w:rsid w:val="00F51A32"/>
    <w:rsid w:val="00F52424"/>
    <w:rsid w:val="00F64F75"/>
    <w:rsid w:val="00F67229"/>
    <w:rsid w:val="00F81A5C"/>
    <w:rsid w:val="00F8289A"/>
    <w:rsid w:val="00F905B2"/>
    <w:rsid w:val="00F92403"/>
    <w:rsid w:val="00F9787B"/>
    <w:rsid w:val="00FA5D85"/>
    <w:rsid w:val="00FA5FA1"/>
    <w:rsid w:val="00FB2C4E"/>
    <w:rsid w:val="00FC20FE"/>
    <w:rsid w:val="00FC2DC4"/>
    <w:rsid w:val="00FC45B5"/>
    <w:rsid w:val="00FD68E3"/>
    <w:rsid w:val="00FE7049"/>
    <w:rsid w:val="01341503"/>
    <w:rsid w:val="0144AF41"/>
    <w:rsid w:val="01BC8FF6"/>
    <w:rsid w:val="0238B40B"/>
    <w:rsid w:val="0275A6AF"/>
    <w:rsid w:val="028D6466"/>
    <w:rsid w:val="035CB10E"/>
    <w:rsid w:val="036BDAA9"/>
    <w:rsid w:val="037A05FB"/>
    <w:rsid w:val="03B07CA7"/>
    <w:rsid w:val="0439A331"/>
    <w:rsid w:val="045DCEC3"/>
    <w:rsid w:val="0463196A"/>
    <w:rsid w:val="0468ED8B"/>
    <w:rsid w:val="0487996A"/>
    <w:rsid w:val="04CE778D"/>
    <w:rsid w:val="04D94499"/>
    <w:rsid w:val="04E6533F"/>
    <w:rsid w:val="055E1351"/>
    <w:rsid w:val="05E024E8"/>
    <w:rsid w:val="0669648C"/>
    <w:rsid w:val="0670C218"/>
    <w:rsid w:val="06AAFE97"/>
    <w:rsid w:val="06F7A9F3"/>
    <w:rsid w:val="0724525D"/>
    <w:rsid w:val="074064CD"/>
    <w:rsid w:val="079030A5"/>
    <w:rsid w:val="07A7EDCE"/>
    <w:rsid w:val="07EB0CB3"/>
    <w:rsid w:val="083EF0D5"/>
    <w:rsid w:val="089B9364"/>
    <w:rsid w:val="090806EC"/>
    <w:rsid w:val="09301CA7"/>
    <w:rsid w:val="093695B6"/>
    <w:rsid w:val="0967E2F0"/>
    <w:rsid w:val="0A0B2D36"/>
    <w:rsid w:val="0A39E5B9"/>
    <w:rsid w:val="0AB22381"/>
    <w:rsid w:val="0B55472B"/>
    <w:rsid w:val="0BBED7C6"/>
    <w:rsid w:val="0BD69756"/>
    <w:rsid w:val="0BE45FE5"/>
    <w:rsid w:val="0BEBCE38"/>
    <w:rsid w:val="0C11F898"/>
    <w:rsid w:val="0C2D1D95"/>
    <w:rsid w:val="0CEA3C19"/>
    <w:rsid w:val="0CF38B30"/>
    <w:rsid w:val="0CF5E3DC"/>
    <w:rsid w:val="0CF9AD6D"/>
    <w:rsid w:val="0D149C06"/>
    <w:rsid w:val="0D77F435"/>
    <w:rsid w:val="0DD70B67"/>
    <w:rsid w:val="0DED5730"/>
    <w:rsid w:val="0E447D4D"/>
    <w:rsid w:val="0EA30CB7"/>
    <w:rsid w:val="0ED9062C"/>
    <w:rsid w:val="0F76D144"/>
    <w:rsid w:val="0FA0EA6A"/>
    <w:rsid w:val="0FDABB03"/>
    <w:rsid w:val="0FDCFA61"/>
    <w:rsid w:val="106EC3F2"/>
    <w:rsid w:val="10B88F06"/>
    <w:rsid w:val="10D3EC0B"/>
    <w:rsid w:val="10E11722"/>
    <w:rsid w:val="10EC9BCF"/>
    <w:rsid w:val="118F441E"/>
    <w:rsid w:val="11D898A6"/>
    <w:rsid w:val="12215ECF"/>
    <w:rsid w:val="12A6FF71"/>
    <w:rsid w:val="12B7FBE2"/>
    <w:rsid w:val="12EAE614"/>
    <w:rsid w:val="13E4DD8B"/>
    <w:rsid w:val="14032CEF"/>
    <w:rsid w:val="14285FFE"/>
    <w:rsid w:val="14CDC2E4"/>
    <w:rsid w:val="14E0969B"/>
    <w:rsid w:val="14EF0E9C"/>
    <w:rsid w:val="14F1BD20"/>
    <w:rsid w:val="14FF9497"/>
    <w:rsid w:val="15522615"/>
    <w:rsid w:val="15A5A53F"/>
    <w:rsid w:val="16529ACB"/>
    <w:rsid w:val="165AE594"/>
    <w:rsid w:val="16610C70"/>
    <w:rsid w:val="169DCBA7"/>
    <w:rsid w:val="171FA405"/>
    <w:rsid w:val="17B45390"/>
    <w:rsid w:val="17BD5DBE"/>
    <w:rsid w:val="17C41C84"/>
    <w:rsid w:val="17C73CCB"/>
    <w:rsid w:val="17E4BB0E"/>
    <w:rsid w:val="18725C6A"/>
    <w:rsid w:val="187E03E9"/>
    <w:rsid w:val="1892D1BE"/>
    <w:rsid w:val="18EC9315"/>
    <w:rsid w:val="1927891E"/>
    <w:rsid w:val="192A65FC"/>
    <w:rsid w:val="19D8999E"/>
    <w:rsid w:val="19F433B1"/>
    <w:rsid w:val="1A09D544"/>
    <w:rsid w:val="1A1F3F1B"/>
    <w:rsid w:val="1A6CE508"/>
    <w:rsid w:val="1AB862E1"/>
    <w:rsid w:val="1AEF05BB"/>
    <w:rsid w:val="1B0C03C0"/>
    <w:rsid w:val="1B19CEFE"/>
    <w:rsid w:val="1B9E503E"/>
    <w:rsid w:val="1C32B0F6"/>
    <w:rsid w:val="1C362034"/>
    <w:rsid w:val="1C65AE9F"/>
    <w:rsid w:val="1CB1B096"/>
    <w:rsid w:val="1CE32ABB"/>
    <w:rsid w:val="1CE32FEB"/>
    <w:rsid w:val="1D508CC4"/>
    <w:rsid w:val="1D5230E9"/>
    <w:rsid w:val="1D876CAC"/>
    <w:rsid w:val="1D8810D3"/>
    <w:rsid w:val="1DCEE660"/>
    <w:rsid w:val="1E0170E9"/>
    <w:rsid w:val="1E7DE38D"/>
    <w:rsid w:val="1EBB4A6C"/>
    <w:rsid w:val="1EFE6997"/>
    <w:rsid w:val="1F0B2485"/>
    <w:rsid w:val="1F53A4FB"/>
    <w:rsid w:val="1F8A0996"/>
    <w:rsid w:val="2031261B"/>
    <w:rsid w:val="2039AEB3"/>
    <w:rsid w:val="20AD0A0E"/>
    <w:rsid w:val="21A3A2A6"/>
    <w:rsid w:val="21CCB357"/>
    <w:rsid w:val="21F11BE0"/>
    <w:rsid w:val="22375FD7"/>
    <w:rsid w:val="22723066"/>
    <w:rsid w:val="22A60167"/>
    <w:rsid w:val="22C2A737"/>
    <w:rsid w:val="2339B9B5"/>
    <w:rsid w:val="233D8BFE"/>
    <w:rsid w:val="23F1B84D"/>
    <w:rsid w:val="242BF775"/>
    <w:rsid w:val="244986AB"/>
    <w:rsid w:val="2462B939"/>
    <w:rsid w:val="24A749C3"/>
    <w:rsid w:val="24B9C7F5"/>
    <w:rsid w:val="24BE4FE4"/>
    <w:rsid w:val="25296B70"/>
    <w:rsid w:val="25466B87"/>
    <w:rsid w:val="254675E3"/>
    <w:rsid w:val="254CB0D4"/>
    <w:rsid w:val="25711414"/>
    <w:rsid w:val="257A05F9"/>
    <w:rsid w:val="25B6F9AF"/>
    <w:rsid w:val="25BC0880"/>
    <w:rsid w:val="25CC578E"/>
    <w:rsid w:val="25E78E61"/>
    <w:rsid w:val="268E6DA2"/>
    <w:rsid w:val="269602F6"/>
    <w:rsid w:val="26CCB386"/>
    <w:rsid w:val="26E45F1B"/>
    <w:rsid w:val="27695481"/>
    <w:rsid w:val="27A1AAB5"/>
    <w:rsid w:val="27C6C3C1"/>
    <w:rsid w:val="27CF99CC"/>
    <w:rsid w:val="27D73BD9"/>
    <w:rsid w:val="27DDCC1C"/>
    <w:rsid w:val="28FDEA7B"/>
    <w:rsid w:val="292CB8E8"/>
    <w:rsid w:val="29F2F5C1"/>
    <w:rsid w:val="2A1123C8"/>
    <w:rsid w:val="2A2ACE0A"/>
    <w:rsid w:val="2A9CED88"/>
    <w:rsid w:val="2AC29EAA"/>
    <w:rsid w:val="2AC5A37B"/>
    <w:rsid w:val="2B0D64E7"/>
    <w:rsid w:val="2B846B7B"/>
    <w:rsid w:val="2B9EBDF8"/>
    <w:rsid w:val="2BC28316"/>
    <w:rsid w:val="2C2C59F9"/>
    <w:rsid w:val="2CAAD149"/>
    <w:rsid w:val="2CE14723"/>
    <w:rsid w:val="2D0DDC6C"/>
    <w:rsid w:val="2D32BA3F"/>
    <w:rsid w:val="2D630168"/>
    <w:rsid w:val="2DC60259"/>
    <w:rsid w:val="2E764094"/>
    <w:rsid w:val="2EC0776F"/>
    <w:rsid w:val="2EEA52BD"/>
    <w:rsid w:val="2EF4C01D"/>
    <w:rsid w:val="2F0FC913"/>
    <w:rsid w:val="2F2B18CF"/>
    <w:rsid w:val="2F3D306F"/>
    <w:rsid w:val="2F85D5F3"/>
    <w:rsid w:val="2F99954B"/>
    <w:rsid w:val="2FD12234"/>
    <w:rsid w:val="2FD554CE"/>
    <w:rsid w:val="2FE91D70"/>
    <w:rsid w:val="2FEF9BF2"/>
    <w:rsid w:val="30394510"/>
    <w:rsid w:val="308F2152"/>
    <w:rsid w:val="30F93578"/>
    <w:rsid w:val="3115B571"/>
    <w:rsid w:val="317445DA"/>
    <w:rsid w:val="31A3F4C2"/>
    <w:rsid w:val="31DE2DB6"/>
    <w:rsid w:val="321ACA8F"/>
    <w:rsid w:val="321F5733"/>
    <w:rsid w:val="32433F37"/>
    <w:rsid w:val="32B5715C"/>
    <w:rsid w:val="330B5513"/>
    <w:rsid w:val="33389401"/>
    <w:rsid w:val="334D51DE"/>
    <w:rsid w:val="33891C92"/>
    <w:rsid w:val="33BDD5DC"/>
    <w:rsid w:val="343E8601"/>
    <w:rsid w:val="3444D50C"/>
    <w:rsid w:val="3451DED9"/>
    <w:rsid w:val="348B6A36"/>
    <w:rsid w:val="34A26540"/>
    <w:rsid w:val="34E1E1ED"/>
    <w:rsid w:val="34F4C82E"/>
    <w:rsid w:val="35286E98"/>
    <w:rsid w:val="35355976"/>
    <w:rsid w:val="353BD625"/>
    <w:rsid w:val="35645168"/>
    <w:rsid w:val="361C0777"/>
    <w:rsid w:val="369C5664"/>
    <w:rsid w:val="37592398"/>
    <w:rsid w:val="37A10311"/>
    <w:rsid w:val="37C60EB4"/>
    <w:rsid w:val="37EDDDD5"/>
    <w:rsid w:val="380A65D9"/>
    <w:rsid w:val="38908C68"/>
    <w:rsid w:val="38B05D48"/>
    <w:rsid w:val="38B173FB"/>
    <w:rsid w:val="38CF67E1"/>
    <w:rsid w:val="38F1EB4C"/>
    <w:rsid w:val="3906169D"/>
    <w:rsid w:val="390D9619"/>
    <w:rsid w:val="3925DAE0"/>
    <w:rsid w:val="3942F052"/>
    <w:rsid w:val="395E6881"/>
    <w:rsid w:val="39EA94FD"/>
    <w:rsid w:val="39FE0420"/>
    <w:rsid w:val="39FF6D42"/>
    <w:rsid w:val="3A20122D"/>
    <w:rsid w:val="3A40174B"/>
    <w:rsid w:val="3A404A2F"/>
    <w:rsid w:val="3A7ADE0A"/>
    <w:rsid w:val="3AC46024"/>
    <w:rsid w:val="3B3177B5"/>
    <w:rsid w:val="3B366EF0"/>
    <w:rsid w:val="3B807CA9"/>
    <w:rsid w:val="3B92B804"/>
    <w:rsid w:val="3BB37745"/>
    <w:rsid w:val="3BDC428E"/>
    <w:rsid w:val="3CC27C78"/>
    <w:rsid w:val="3D3ECAF0"/>
    <w:rsid w:val="3D8A06B7"/>
    <w:rsid w:val="3D917995"/>
    <w:rsid w:val="3DD98FE4"/>
    <w:rsid w:val="3E2208AC"/>
    <w:rsid w:val="3E96E613"/>
    <w:rsid w:val="3E9BCB1B"/>
    <w:rsid w:val="3EFFAA79"/>
    <w:rsid w:val="3F510B5D"/>
    <w:rsid w:val="3F6A40D4"/>
    <w:rsid w:val="3FF2F5E5"/>
    <w:rsid w:val="3FF65BB7"/>
    <w:rsid w:val="400646E0"/>
    <w:rsid w:val="4088B510"/>
    <w:rsid w:val="40916DB4"/>
    <w:rsid w:val="40C14C03"/>
    <w:rsid w:val="40D8C82C"/>
    <w:rsid w:val="4118E392"/>
    <w:rsid w:val="41A29EA1"/>
    <w:rsid w:val="41A3468A"/>
    <w:rsid w:val="41B1B7EB"/>
    <w:rsid w:val="41C94413"/>
    <w:rsid w:val="424D9BC2"/>
    <w:rsid w:val="426C1421"/>
    <w:rsid w:val="42B22EFA"/>
    <w:rsid w:val="42EA9A44"/>
    <w:rsid w:val="434B0003"/>
    <w:rsid w:val="4351F1EE"/>
    <w:rsid w:val="43740771"/>
    <w:rsid w:val="4393BC2A"/>
    <w:rsid w:val="4398E3E9"/>
    <w:rsid w:val="43CA13C8"/>
    <w:rsid w:val="43DE6EA0"/>
    <w:rsid w:val="4488F4D3"/>
    <w:rsid w:val="451EF339"/>
    <w:rsid w:val="452DB8FF"/>
    <w:rsid w:val="45331053"/>
    <w:rsid w:val="454F2F59"/>
    <w:rsid w:val="459C40C5"/>
    <w:rsid w:val="45BF7A5F"/>
    <w:rsid w:val="45BFCF61"/>
    <w:rsid w:val="45C86254"/>
    <w:rsid w:val="45D0FE21"/>
    <w:rsid w:val="46039D55"/>
    <w:rsid w:val="4616D98E"/>
    <w:rsid w:val="46224F0D"/>
    <w:rsid w:val="464C2B05"/>
    <w:rsid w:val="46565DF4"/>
    <w:rsid w:val="467D1D87"/>
    <w:rsid w:val="469561D4"/>
    <w:rsid w:val="46C8520B"/>
    <w:rsid w:val="46D03D7E"/>
    <w:rsid w:val="46F0CD61"/>
    <w:rsid w:val="4754C563"/>
    <w:rsid w:val="4767A35F"/>
    <w:rsid w:val="480C036D"/>
    <w:rsid w:val="49684732"/>
    <w:rsid w:val="49A7FBE4"/>
    <w:rsid w:val="4A5EF6D6"/>
    <w:rsid w:val="4ACC2A1B"/>
    <w:rsid w:val="4AF9F5F9"/>
    <w:rsid w:val="4B7CC0A3"/>
    <w:rsid w:val="4B9076E4"/>
    <w:rsid w:val="4BBF998C"/>
    <w:rsid w:val="4C01621C"/>
    <w:rsid w:val="4C111CD8"/>
    <w:rsid w:val="4C43EA90"/>
    <w:rsid w:val="4C6CC9C1"/>
    <w:rsid w:val="4CAFD9DE"/>
    <w:rsid w:val="4CB34477"/>
    <w:rsid w:val="4CBA0A33"/>
    <w:rsid w:val="4CD1A3A9"/>
    <w:rsid w:val="4D0743B3"/>
    <w:rsid w:val="4DD4DAF8"/>
    <w:rsid w:val="4DDA63FD"/>
    <w:rsid w:val="4DE8E600"/>
    <w:rsid w:val="4E22D093"/>
    <w:rsid w:val="4E360193"/>
    <w:rsid w:val="4E43F522"/>
    <w:rsid w:val="4E649CAC"/>
    <w:rsid w:val="4E6C918E"/>
    <w:rsid w:val="4E7FB897"/>
    <w:rsid w:val="4EAA5FE0"/>
    <w:rsid w:val="4EBA3B1C"/>
    <w:rsid w:val="4FA2822C"/>
    <w:rsid w:val="4FB14F8A"/>
    <w:rsid w:val="4FE6ACE4"/>
    <w:rsid w:val="4FEFB83A"/>
    <w:rsid w:val="500E5F8F"/>
    <w:rsid w:val="509A129D"/>
    <w:rsid w:val="50BA363B"/>
    <w:rsid w:val="50D5756E"/>
    <w:rsid w:val="50F8C349"/>
    <w:rsid w:val="511FA2A8"/>
    <w:rsid w:val="524404FF"/>
    <w:rsid w:val="527D782F"/>
    <w:rsid w:val="5367B338"/>
    <w:rsid w:val="53B8541C"/>
    <w:rsid w:val="545FDAD3"/>
    <w:rsid w:val="553CCE38"/>
    <w:rsid w:val="5547D778"/>
    <w:rsid w:val="55973168"/>
    <w:rsid w:val="55B4ACE6"/>
    <w:rsid w:val="55B8F382"/>
    <w:rsid w:val="55FE344A"/>
    <w:rsid w:val="5628C873"/>
    <w:rsid w:val="564A77A4"/>
    <w:rsid w:val="56522130"/>
    <w:rsid w:val="5678D301"/>
    <w:rsid w:val="56EB7A81"/>
    <w:rsid w:val="57909055"/>
    <w:rsid w:val="57A19A20"/>
    <w:rsid w:val="57A1AE55"/>
    <w:rsid w:val="57B8873A"/>
    <w:rsid w:val="5804B4F6"/>
    <w:rsid w:val="5808ACFB"/>
    <w:rsid w:val="585CBECE"/>
    <w:rsid w:val="5875324B"/>
    <w:rsid w:val="587E9757"/>
    <w:rsid w:val="58A595FD"/>
    <w:rsid w:val="59292BAD"/>
    <w:rsid w:val="59CA8529"/>
    <w:rsid w:val="59D415E5"/>
    <w:rsid w:val="59F294DB"/>
    <w:rsid w:val="5A97E4F7"/>
    <w:rsid w:val="5A9B2EBB"/>
    <w:rsid w:val="5AB2D7D3"/>
    <w:rsid w:val="5B2B121A"/>
    <w:rsid w:val="5B836E37"/>
    <w:rsid w:val="5D049249"/>
    <w:rsid w:val="5D05B13C"/>
    <w:rsid w:val="5DCE6642"/>
    <w:rsid w:val="5DD98555"/>
    <w:rsid w:val="5DE6154B"/>
    <w:rsid w:val="5DEED390"/>
    <w:rsid w:val="5E12D656"/>
    <w:rsid w:val="5E265ABB"/>
    <w:rsid w:val="5E3E1107"/>
    <w:rsid w:val="5E878A49"/>
    <w:rsid w:val="5F3BC069"/>
    <w:rsid w:val="5F85B069"/>
    <w:rsid w:val="5FBA0C3F"/>
    <w:rsid w:val="5FFC139D"/>
    <w:rsid w:val="603F8FD3"/>
    <w:rsid w:val="6043F8D4"/>
    <w:rsid w:val="60B09252"/>
    <w:rsid w:val="60EB0755"/>
    <w:rsid w:val="612437FF"/>
    <w:rsid w:val="61C204FB"/>
    <w:rsid w:val="61E5C86F"/>
    <w:rsid w:val="623815C9"/>
    <w:rsid w:val="626DF3F4"/>
    <w:rsid w:val="62ED9D73"/>
    <w:rsid w:val="633BE831"/>
    <w:rsid w:val="636CE244"/>
    <w:rsid w:val="63A0FB13"/>
    <w:rsid w:val="642E4DE9"/>
    <w:rsid w:val="6440F5C9"/>
    <w:rsid w:val="64AD840A"/>
    <w:rsid w:val="655ADAB7"/>
    <w:rsid w:val="658ACC65"/>
    <w:rsid w:val="659FE035"/>
    <w:rsid w:val="65F1077F"/>
    <w:rsid w:val="660F813A"/>
    <w:rsid w:val="661266C2"/>
    <w:rsid w:val="662D41AA"/>
    <w:rsid w:val="6654ECC8"/>
    <w:rsid w:val="667AFDF3"/>
    <w:rsid w:val="673B73EE"/>
    <w:rsid w:val="67F8BF2D"/>
    <w:rsid w:val="680B2C66"/>
    <w:rsid w:val="68536B3A"/>
    <w:rsid w:val="6860C89A"/>
    <w:rsid w:val="68D21307"/>
    <w:rsid w:val="68D465E7"/>
    <w:rsid w:val="690ADA3E"/>
    <w:rsid w:val="6933DF80"/>
    <w:rsid w:val="694D7E2B"/>
    <w:rsid w:val="69671C50"/>
    <w:rsid w:val="697BB391"/>
    <w:rsid w:val="6987F795"/>
    <w:rsid w:val="699EC783"/>
    <w:rsid w:val="69A5F7C7"/>
    <w:rsid w:val="69AE1107"/>
    <w:rsid w:val="69BCE7F8"/>
    <w:rsid w:val="6A517CE8"/>
    <w:rsid w:val="6A6A5839"/>
    <w:rsid w:val="6A89134A"/>
    <w:rsid w:val="6AA0D828"/>
    <w:rsid w:val="6AC1BB4E"/>
    <w:rsid w:val="6AFBC47F"/>
    <w:rsid w:val="6B592645"/>
    <w:rsid w:val="6B6BD862"/>
    <w:rsid w:val="6B7D01AF"/>
    <w:rsid w:val="6C11F5FE"/>
    <w:rsid w:val="6C42AF79"/>
    <w:rsid w:val="6C44ED99"/>
    <w:rsid w:val="6CC7F462"/>
    <w:rsid w:val="6CE6012B"/>
    <w:rsid w:val="6CF4860B"/>
    <w:rsid w:val="6CFA19F7"/>
    <w:rsid w:val="6D0C6341"/>
    <w:rsid w:val="6DD26C46"/>
    <w:rsid w:val="6E0E7F13"/>
    <w:rsid w:val="6E3742B9"/>
    <w:rsid w:val="6E557B8A"/>
    <w:rsid w:val="6E7FD262"/>
    <w:rsid w:val="6E9FE7DF"/>
    <w:rsid w:val="6EAB8A86"/>
    <w:rsid w:val="6EE82402"/>
    <w:rsid w:val="6F1A0EC4"/>
    <w:rsid w:val="6F380E8C"/>
    <w:rsid w:val="6F6A973F"/>
    <w:rsid w:val="6F6C81DB"/>
    <w:rsid w:val="6F718F23"/>
    <w:rsid w:val="6FC92D6D"/>
    <w:rsid w:val="70E532FF"/>
    <w:rsid w:val="7106D4AE"/>
    <w:rsid w:val="714C150B"/>
    <w:rsid w:val="720A3E53"/>
    <w:rsid w:val="72594DE5"/>
    <w:rsid w:val="72B535FA"/>
    <w:rsid w:val="732CC14E"/>
    <w:rsid w:val="73304ED2"/>
    <w:rsid w:val="7336B41B"/>
    <w:rsid w:val="7361EFEA"/>
    <w:rsid w:val="73C867EC"/>
    <w:rsid w:val="7415F8E1"/>
    <w:rsid w:val="747684E4"/>
    <w:rsid w:val="747A2F9B"/>
    <w:rsid w:val="7495B7FA"/>
    <w:rsid w:val="749E2B96"/>
    <w:rsid w:val="7506215F"/>
    <w:rsid w:val="75B59C57"/>
    <w:rsid w:val="7707F5FA"/>
    <w:rsid w:val="773102E0"/>
    <w:rsid w:val="77AF95FF"/>
    <w:rsid w:val="785ACFF7"/>
    <w:rsid w:val="786341C5"/>
    <w:rsid w:val="79C6770E"/>
    <w:rsid w:val="7A3A99F1"/>
    <w:rsid w:val="7A904060"/>
    <w:rsid w:val="7AAC3BF1"/>
    <w:rsid w:val="7B2A03DB"/>
    <w:rsid w:val="7BD583B1"/>
    <w:rsid w:val="7C05369C"/>
    <w:rsid w:val="7C210183"/>
    <w:rsid w:val="7C34D7FC"/>
    <w:rsid w:val="7C63701E"/>
    <w:rsid w:val="7CEFFDC1"/>
    <w:rsid w:val="7D10B8C9"/>
    <w:rsid w:val="7E3E369A"/>
    <w:rsid w:val="7EDB6265"/>
    <w:rsid w:val="7F09690E"/>
    <w:rsid w:val="7F48B5FF"/>
    <w:rsid w:val="7F4A04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75F62D"/>
  <w15:docId w15:val="{9C91FE66-9632-49AE-83D4-0B5B333C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link w:val="Heading2Char"/>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link w:val="Heading4Char"/>
    <w:uiPriority w:val="9"/>
    <w:unhideWhenUsed/>
    <w:qFormat/>
    <w:pPr>
      <w:keepNext/>
      <w:spacing w:before="240" w:after="120"/>
      <w:ind w:left="720" w:hanging="720"/>
      <w:outlineLvl w:val="3"/>
    </w:pPr>
    <w:rPr>
      <w:i/>
    </w:rPr>
  </w:style>
  <w:style w:type="paragraph" w:styleId="Heading5">
    <w:name w:val="heading 5"/>
    <w:basedOn w:val="Normal"/>
    <w:next w:val="Normal"/>
    <w:link w:val="Heading5Char"/>
    <w:uiPriority w:val="9"/>
    <w:unhideWhenUsed/>
    <w:qFormat/>
    <w:pPr>
      <w:spacing w:before="240" w:after="60"/>
      <w:outlineLvl w:val="4"/>
    </w:pPr>
    <w:rPr>
      <w:b/>
      <w:i/>
      <w:sz w:val="26"/>
      <w:szCs w:val="26"/>
    </w:rPr>
  </w:style>
  <w:style w:type="paragraph" w:styleId="Heading6">
    <w:name w:val="heading 6"/>
    <w:basedOn w:val="Normal"/>
    <w:next w:val="Normal"/>
    <w:link w:val="Heading6Char"/>
    <w:uiPriority w:val="9"/>
    <w:unhideWhenUsed/>
    <w:qFormat/>
    <w:pPr>
      <w:spacing w:before="240" w:after="60"/>
      <w:outlineLvl w:val="5"/>
    </w:pPr>
    <w:rPr>
      <w:b/>
    </w:rPr>
  </w:style>
  <w:style w:type="paragraph" w:styleId="Heading7">
    <w:name w:val="heading 7"/>
    <w:basedOn w:val="Normal2"/>
    <w:next w:val="Normal2"/>
    <w:qFormat/>
    <w:rsid w:val="0027613D"/>
    <w:pPr>
      <w:autoSpaceDE/>
      <w:autoSpaceDN/>
      <w:adjustRightInd/>
      <w:spacing w:before="240" w:after="60"/>
      <w:outlineLvl w:val="6"/>
    </w:pPr>
    <w:rPr>
      <w:sz w:val="24"/>
      <w:szCs w:val="24"/>
    </w:rPr>
  </w:style>
  <w:style w:type="paragraph" w:styleId="Heading8">
    <w:name w:val="heading 8"/>
    <w:basedOn w:val="Normal2"/>
    <w:next w:val="Normal2"/>
    <w:qFormat/>
    <w:rsid w:val="0027613D"/>
    <w:pPr>
      <w:autoSpaceDE/>
      <w:autoSpaceDN/>
      <w:adjustRightInd/>
      <w:spacing w:before="240" w:after="60"/>
      <w:outlineLvl w:val="7"/>
    </w:pPr>
    <w:rPr>
      <w:i/>
      <w:iCs/>
      <w:sz w:val="24"/>
      <w:szCs w:val="24"/>
    </w:rPr>
  </w:style>
  <w:style w:type="paragraph" w:styleId="Heading9">
    <w:name w:val="heading 9"/>
    <w:basedOn w:val="Normal2"/>
    <w:next w:val="Normal2"/>
    <w:qFormat/>
    <w:rsid w:val="0027613D"/>
    <w:pPr>
      <w:autoSpaceDE/>
      <w:autoSpaceDN/>
      <w:adjustRightInd/>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after="240"/>
      <w:jc w:val="center"/>
    </w:pPr>
    <w:rPr>
      <w:b/>
      <w:smallCaps/>
    </w:rPr>
  </w:style>
  <w:style w:type="paragraph" w:customStyle="1" w:styleId="heading20">
    <w:name w:val="heading 20"/>
    <w:basedOn w:val="Normal0"/>
    <w:next w:val="Normal0"/>
    <w:pPr>
      <w:keepNext/>
      <w:spacing w:before="240" w:after="120"/>
      <w:ind w:left="720" w:hanging="720"/>
    </w:pPr>
    <w:rPr>
      <w:b/>
    </w:rPr>
  </w:style>
  <w:style w:type="paragraph" w:customStyle="1" w:styleId="heading30">
    <w:name w:val="heading 30"/>
    <w:basedOn w:val="Normal0"/>
    <w:next w:val="Normal0"/>
    <w:pPr>
      <w:keepNext/>
      <w:spacing w:before="240" w:after="120"/>
      <w:ind w:left="720" w:hanging="720"/>
    </w:pPr>
    <w:rPr>
      <w:b/>
      <w:i/>
    </w:rPr>
  </w:style>
  <w:style w:type="paragraph" w:customStyle="1" w:styleId="heading40">
    <w:name w:val="heading 40"/>
    <w:basedOn w:val="Normal0"/>
    <w:next w:val="Normal0"/>
    <w:pPr>
      <w:keepNext/>
      <w:spacing w:before="240" w:after="120"/>
      <w:ind w:left="720" w:hanging="720"/>
    </w:pPr>
    <w:rPr>
      <w:i/>
    </w:rPr>
  </w:style>
  <w:style w:type="paragraph" w:customStyle="1" w:styleId="heading50">
    <w:name w:val="heading 50"/>
    <w:basedOn w:val="Normal0"/>
    <w:next w:val="Normal0"/>
    <w:pPr>
      <w:spacing w:before="240" w:after="60"/>
    </w:pPr>
    <w:rPr>
      <w:b/>
      <w:i/>
      <w:sz w:val="26"/>
      <w:szCs w:val="26"/>
    </w:rPr>
  </w:style>
  <w:style w:type="paragraph" w:customStyle="1" w:styleId="heading60">
    <w:name w:val="heading 60"/>
    <w:basedOn w:val="Normal0"/>
    <w:next w:val="Normal0"/>
    <w:pPr>
      <w:spacing w:before="240" w:after="60"/>
    </w:pPr>
    <w:rPr>
      <w:b/>
    </w:rPr>
  </w:style>
  <w:style w:type="paragraph" w:customStyle="1" w:styleId="Title0">
    <w:name w:val="Title0"/>
    <w:basedOn w:val="Normal0"/>
    <w:next w:val="Normal0"/>
    <w:pPr>
      <w:jc w:val="center"/>
    </w:pPr>
    <w:rPr>
      <w:b/>
      <w:sz w:val="24"/>
      <w:szCs w:val="24"/>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after="240"/>
      <w:jc w:val="center"/>
    </w:pPr>
    <w:rPr>
      <w:b/>
      <w:smallCaps/>
    </w:rPr>
  </w:style>
  <w:style w:type="paragraph" w:customStyle="1" w:styleId="heading21">
    <w:name w:val="heading 21"/>
    <w:basedOn w:val="Normal1"/>
    <w:next w:val="Normal1"/>
    <w:pPr>
      <w:keepNext/>
      <w:spacing w:before="240" w:after="120"/>
      <w:ind w:left="720" w:hanging="720"/>
    </w:pPr>
    <w:rPr>
      <w:b/>
    </w:rPr>
  </w:style>
  <w:style w:type="paragraph" w:customStyle="1" w:styleId="heading31">
    <w:name w:val="heading 31"/>
    <w:basedOn w:val="Normal1"/>
    <w:next w:val="Normal1"/>
    <w:pPr>
      <w:keepNext/>
      <w:spacing w:before="240" w:after="120"/>
      <w:ind w:left="720" w:hanging="720"/>
    </w:pPr>
    <w:rPr>
      <w:b/>
      <w:i/>
    </w:rPr>
  </w:style>
  <w:style w:type="paragraph" w:customStyle="1" w:styleId="heading41">
    <w:name w:val="heading 41"/>
    <w:basedOn w:val="Normal1"/>
    <w:next w:val="Normal1"/>
    <w:pPr>
      <w:keepNext/>
      <w:spacing w:before="240" w:after="120"/>
      <w:ind w:left="720" w:hanging="720"/>
    </w:pPr>
    <w:rPr>
      <w:i/>
    </w:rPr>
  </w:style>
  <w:style w:type="paragraph" w:customStyle="1" w:styleId="heading51">
    <w:name w:val="heading 51"/>
    <w:basedOn w:val="Normal1"/>
    <w:next w:val="Normal1"/>
    <w:pPr>
      <w:spacing w:before="240" w:after="60"/>
    </w:pPr>
    <w:rPr>
      <w:b/>
      <w:i/>
      <w:sz w:val="26"/>
      <w:szCs w:val="26"/>
    </w:rPr>
  </w:style>
  <w:style w:type="paragraph" w:customStyle="1" w:styleId="heading61">
    <w:name w:val="heading 61"/>
    <w:basedOn w:val="Normal1"/>
    <w:next w:val="Normal1"/>
    <w:pPr>
      <w:spacing w:before="240" w:after="60"/>
    </w:pPr>
    <w:rPr>
      <w:b/>
    </w:rPr>
  </w:style>
  <w:style w:type="paragraph" w:customStyle="1" w:styleId="Title1">
    <w:name w:val="Title1"/>
    <w:basedOn w:val="Normal1"/>
    <w:next w:val="Normal1"/>
    <w:pPr>
      <w:jc w:val="center"/>
    </w:pPr>
    <w:rPr>
      <w:b/>
      <w:sz w:val="24"/>
      <w:szCs w:val="24"/>
    </w:rPr>
  </w:style>
  <w:style w:type="paragraph" w:customStyle="1" w:styleId="Normal2">
    <w:name w:val="Normal2"/>
    <w:qFormat/>
    <w:rsid w:val="00042E06"/>
    <w:pPr>
      <w:autoSpaceDE w:val="0"/>
      <w:autoSpaceDN w:val="0"/>
      <w:adjustRightInd w:val="0"/>
    </w:pPr>
  </w:style>
  <w:style w:type="paragraph" w:customStyle="1" w:styleId="heading12">
    <w:name w:val="heading 12"/>
    <w:aliases w:val="l1"/>
    <w:basedOn w:val="Normal2"/>
    <w:next w:val="Normal2"/>
    <w:link w:val="Heading1Char"/>
    <w:uiPriority w:val="9"/>
    <w:qFormat/>
    <w:rsid w:val="0027613D"/>
    <w:pPr>
      <w:autoSpaceDE/>
      <w:autoSpaceDN/>
      <w:adjustRightInd/>
      <w:spacing w:after="240" w:line="360" w:lineRule="atLeast"/>
      <w:jc w:val="center"/>
      <w:outlineLvl w:val="0"/>
    </w:pPr>
    <w:rPr>
      <w:b/>
      <w:caps/>
    </w:rPr>
  </w:style>
  <w:style w:type="paragraph" w:customStyle="1" w:styleId="heading22">
    <w:name w:val="heading 22"/>
    <w:aliases w:val="l2"/>
    <w:basedOn w:val="Normal2"/>
    <w:next w:val="BodyText1"/>
    <w:uiPriority w:val="9"/>
    <w:unhideWhenUsed/>
    <w:qFormat/>
    <w:rsid w:val="008A3B68"/>
    <w:pPr>
      <w:keepNext/>
      <w:autoSpaceDE/>
      <w:autoSpaceDN/>
      <w:adjustRightInd/>
      <w:spacing w:before="240" w:after="120"/>
      <w:ind w:left="720" w:hanging="720"/>
      <w:outlineLvl w:val="1"/>
    </w:pPr>
    <w:rPr>
      <w:b/>
    </w:rPr>
  </w:style>
  <w:style w:type="paragraph" w:customStyle="1" w:styleId="heading32">
    <w:name w:val="heading 32"/>
    <w:aliases w:val="l3"/>
    <w:basedOn w:val="Normal2"/>
    <w:next w:val="BodyText1"/>
    <w:link w:val="Heading3Char"/>
    <w:uiPriority w:val="9"/>
    <w:unhideWhenUsed/>
    <w:qFormat/>
    <w:rsid w:val="0027613D"/>
    <w:pPr>
      <w:keepNext/>
      <w:autoSpaceDE/>
      <w:autoSpaceDN/>
      <w:adjustRightInd/>
      <w:spacing w:before="240" w:after="120"/>
      <w:ind w:left="720" w:hanging="720"/>
      <w:outlineLvl w:val="2"/>
    </w:pPr>
    <w:rPr>
      <w:b/>
      <w:i/>
    </w:rPr>
  </w:style>
  <w:style w:type="paragraph" w:customStyle="1" w:styleId="heading42">
    <w:name w:val="heading 42"/>
    <w:aliases w:val="l4,l4 Char"/>
    <w:basedOn w:val="Normal2"/>
    <w:next w:val="BodyText1"/>
    <w:uiPriority w:val="9"/>
    <w:unhideWhenUsed/>
    <w:qFormat/>
    <w:rsid w:val="0027613D"/>
    <w:pPr>
      <w:keepNext/>
      <w:autoSpaceDE/>
      <w:autoSpaceDN/>
      <w:adjustRightInd/>
      <w:spacing w:before="240" w:after="120"/>
      <w:ind w:left="720" w:hanging="720"/>
      <w:outlineLvl w:val="3"/>
    </w:pPr>
    <w:rPr>
      <w:i/>
    </w:rPr>
  </w:style>
  <w:style w:type="paragraph" w:customStyle="1" w:styleId="heading52">
    <w:name w:val="heading 52"/>
    <w:basedOn w:val="Normal2"/>
    <w:next w:val="Normal2"/>
    <w:uiPriority w:val="9"/>
    <w:semiHidden/>
    <w:unhideWhenUsed/>
    <w:qFormat/>
    <w:rsid w:val="0027613D"/>
    <w:pPr>
      <w:spacing w:before="240" w:after="60"/>
      <w:outlineLvl w:val="4"/>
    </w:pPr>
    <w:rPr>
      <w:b/>
      <w:bCs/>
      <w:i/>
      <w:iCs/>
      <w:sz w:val="26"/>
      <w:szCs w:val="26"/>
    </w:rPr>
  </w:style>
  <w:style w:type="paragraph" w:customStyle="1" w:styleId="heading62">
    <w:name w:val="heading 62"/>
    <w:basedOn w:val="Normal2"/>
    <w:next w:val="Normal2"/>
    <w:uiPriority w:val="9"/>
    <w:semiHidden/>
    <w:unhideWhenUsed/>
    <w:qFormat/>
    <w:rsid w:val="0027613D"/>
    <w:pPr>
      <w:autoSpaceDE/>
      <w:autoSpaceDN/>
      <w:adjustRightInd/>
      <w:spacing w:before="240" w:after="60"/>
      <w:outlineLvl w:val="5"/>
    </w:pPr>
    <w:rPr>
      <w:b/>
      <w:bCs/>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uiPriority w:val="10"/>
    <w:qFormat/>
    <w:rsid w:val="0027613D"/>
    <w:pPr>
      <w:numPr>
        <w:ilvl w:val="12"/>
      </w:numPr>
      <w:jc w:val="center"/>
    </w:pPr>
    <w:rPr>
      <w:b/>
      <w:bCs/>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2"/>
    <w:qFormat/>
    <w:rsid w:val="0027613D"/>
    <w:pPr>
      <w:autoSpaceDE/>
      <w:autoSpaceDN/>
      <w:adjustRightInd/>
      <w:spacing w:after="240"/>
      <w:ind w:firstLine="720"/>
    </w:p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2"/>
    <w:link w:val="HeaderChar"/>
    <w:uiPriority w:val="99"/>
    <w:rsid w:val="0027613D"/>
    <w:pPr>
      <w:tabs>
        <w:tab w:val="center" w:pos="4320"/>
        <w:tab w:val="right" w:pos="8640"/>
      </w:tabs>
      <w:autoSpaceDE/>
      <w:autoSpaceDN/>
      <w:adjustRightInd/>
    </w:pPr>
    <w:rPr>
      <w:sz w:val="24"/>
      <w:szCs w:val="24"/>
    </w:rPr>
  </w:style>
  <w:style w:type="paragraph" w:styleId="BalloonText">
    <w:name w:val="Balloon Text"/>
    <w:basedOn w:val="Normal2"/>
    <w:link w:val="BalloonTextChar"/>
    <w:uiPriority w:val="99"/>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customStyle="1" w:styleId="exhibitsource">
    <w:name w:val="exhibit source"/>
    <w:basedOn w:val="Normal2"/>
    <w:rsid w:val="0027613D"/>
    <w:pPr>
      <w:keepLines/>
      <w:autoSpaceDE/>
      <w:autoSpaceDN/>
      <w:adjustRightInd/>
      <w:spacing w:before="120" w:after="240"/>
      <w:ind w:left="187" w:hanging="187"/>
    </w:pPr>
    <w:rPr>
      <w:sz w:val="20"/>
    </w:rPr>
  </w:style>
  <w:style w:type="paragraph" w:customStyle="1" w:styleId="figurewobox">
    <w:name w:val="figure w/o box"/>
    <w:basedOn w:val="Normal2"/>
    <w:rsid w:val="0027613D"/>
    <w:pPr>
      <w:keepNext/>
      <w:autoSpaceDE/>
      <w:autoSpaceDN/>
      <w:adjustRightInd/>
      <w:spacing w:before="240"/>
      <w:jc w:val="center"/>
    </w:pPr>
  </w:style>
  <w:style w:type="paragraph" w:styleId="Footer">
    <w:name w:val="footer"/>
    <w:basedOn w:val="Normal2"/>
    <w:link w:val="FooterChar"/>
    <w:uiPriority w:val="99"/>
    <w:rsid w:val="0027613D"/>
    <w:pPr>
      <w:tabs>
        <w:tab w:val="center" w:pos="4320"/>
        <w:tab w:val="right" w:pos="8640"/>
      </w:tabs>
      <w:autoSpaceDE/>
      <w:autoSpaceDN/>
      <w:adjustRightInd/>
      <w:jc w:val="right"/>
    </w:pPr>
    <w:rPr>
      <w:color w:val="000000"/>
    </w:rPr>
  </w:style>
  <w:style w:type="character" w:styleId="Strong">
    <w:name w:val="Strong"/>
    <w:uiPriority w:val="22"/>
    <w:qFormat/>
    <w:rsid w:val="0027613D"/>
    <w:rPr>
      <w:b/>
      <w:bCs/>
    </w:rPr>
  </w:style>
  <w:style w:type="paragraph" w:styleId="NormalWeb">
    <w:name w:val="Normal (Web)"/>
    <w:basedOn w:val="Normal2"/>
    <w:uiPriority w:val="99"/>
    <w:rsid w:val="0027613D"/>
    <w:pPr>
      <w:autoSpaceDE/>
      <w:autoSpaceDN/>
      <w:adjustRightInd/>
      <w:spacing w:before="100" w:beforeAutospacing="1" w:after="100" w:afterAutospacing="1"/>
    </w:pPr>
    <w:rPr>
      <w:sz w:val="24"/>
      <w:szCs w:val="24"/>
    </w:rPr>
  </w:style>
  <w:style w:type="paragraph" w:customStyle="1" w:styleId="QuestionChar">
    <w:name w:val="Question Char"/>
    <w:basedOn w:val="Normal2"/>
    <w:rsid w:val="0027613D"/>
    <w:pPr>
      <w:keepNext/>
      <w:keepLines/>
      <w:numPr>
        <w:numId w:val="6"/>
      </w:numPr>
      <w:spacing w:before="400" w:after="200"/>
    </w:pPr>
    <w:rPr>
      <w:b/>
      <w:bCs/>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2"/>
    <w:rsid w:val="0027613D"/>
    <w:rPr>
      <w:sz w:val="20"/>
    </w:rPr>
  </w:style>
  <w:style w:type="character" w:styleId="FootnoteReference">
    <w:name w:val="footnote reference"/>
    <w:uiPriority w:val="99"/>
    <w:rsid w:val="0027613D"/>
    <w:rPr>
      <w:position w:val="0"/>
      <w:vertAlign w:val="superscript"/>
    </w:rPr>
  </w:style>
  <w:style w:type="table" w:styleId="TableGrid">
    <w:name w:val="Table Grid"/>
    <w:basedOn w:val="NormalTable2"/>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2"/>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2"/>
    <w:link w:val="CommentTextChar"/>
    <w:uiPriority w:val="99"/>
    <w:rsid w:val="0027613D"/>
  </w:style>
  <w:style w:type="paragraph" w:styleId="CommentSubject">
    <w:name w:val="annotation subject"/>
    <w:basedOn w:val="CommentText"/>
    <w:next w:val="CommentText"/>
    <w:link w:val="CommentSubjectChar"/>
    <w:uiPriority w:val="99"/>
    <w:semiHidden/>
    <w:rsid w:val="0027613D"/>
    <w:rPr>
      <w:b/>
      <w:bCs/>
    </w:rPr>
  </w:style>
  <w:style w:type="paragraph" w:customStyle="1" w:styleId="ResponseCharCharCharCharCharCharCharCharCharCharCharCharCharCharCharChar">
    <w:name w:val="Response Char Char Char Char Char Char Char Char Char Char Char Char Char Char Char Char"/>
    <w:basedOn w:val="Normal2"/>
    <w:rsid w:val="0027613D"/>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2"/>
    <w:next w:val="Normal2"/>
    <w:uiPriority w:val="39"/>
    <w:rsid w:val="0027613D"/>
    <w:pPr>
      <w:spacing w:before="120" w:after="120"/>
    </w:pPr>
    <w:rPr>
      <w:rFonts w:asciiTheme="minorHAnsi" w:hAnsiTheme="minorHAnsi" w:cstheme="minorHAnsi"/>
      <w:b/>
      <w:bCs/>
      <w:caps/>
      <w:sz w:val="20"/>
      <w:szCs w:val="20"/>
    </w:rPr>
  </w:style>
  <w:style w:type="paragraph" w:styleId="TOC2">
    <w:name w:val="toc 2"/>
    <w:basedOn w:val="Normal2"/>
    <w:next w:val="Normal2"/>
    <w:uiPriority w:val="39"/>
    <w:rsid w:val="0027613D"/>
    <w:pPr>
      <w:ind w:left="220"/>
    </w:pPr>
    <w:rPr>
      <w:rFonts w:asciiTheme="minorHAnsi" w:hAnsiTheme="minorHAnsi" w:cstheme="minorHAnsi"/>
      <w:smallCaps/>
      <w:sz w:val="20"/>
      <w:szCs w:val="20"/>
    </w:rPr>
  </w:style>
  <w:style w:type="paragraph" w:customStyle="1" w:styleId="TableTitle">
    <w:name w:val="Table Title"/>
    <w:basedOn w:val="ExhibitTitle"/>
    <w:rsid w:val="0083119F"/>
  </w:style>
  <w:style w:type="paragraph" w:customStyle="1" w:styleId="footnotetex">
    <w:name w:val="footnote tex"/>
    <w:basedOn w:val="Normal2"/>
    <w:semiHidden/>
    <w:rsid w:val="0027613D"/>
    <w:pPr>
      <w:widowControl w:val="0"/>
      <w:autoSpaceDE/>
      <w:autoSpaceDN/>
      <w:adjustRightInd/>
    </w:pPr>
    <w:rPr>
      <w:rFonts w:ascii="Courier New" w:hAnsi="Courier New"/>
      <w:snapToGrid w:val="0"/>
    </w:rPr>
  </w:style>
  <w:style w:type="paragraph" w:styleId="TOC5">
    <w:name w:val="toc 5"/>
    <w:basedOn w:val="Normal2"/>
    <w:next w:val="Normal2"/>
    <w:uiPriority w:val="39"/>
    <w:rsid w:val="00367207"/>
    <w:pPr>
      <w:ind w:left="880"/>
    </w:pPr>
    <w:rPr>
      <w:rFonts w:asciiTheme="minorHAnsi" w:hAnsiTheme="minorHAnsi" w:cstheme="minorHAnsi"/>
      <w:sz w:val="18"/>
      <w:szCs w:val="18"/>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2"/>
    <w:rsid w:val="0027613D"/>
    <w:pPr>
      <w:keepNext/>
      <w:keepLines/>
      <w:autoSpaceDE/>
      <w:autoSpaceDN/>
      <w:adjustRightInd/>
      <w:spacing w:before="120" w:after="240"/>
      <w:ind w:left="1260" w:hanging="1260"/>
    </w:pPr>
    <w:rPr>
      <w:b/>
      <w:bCs/>
    </w:rPr>
  </w:style>
  <w:style w:type="paragraph" w:styleId="TOC3">
    <w:name w:val="toc 3"/>
    <w:basedOn w:val="Normal2"/>
    <w:next w:val="Normal2"/>
    <w:uiPriority w:val="39"/>
    <w:rsid w:val="0027613D"/>
    <w:pPr>
      <w:ind w:left="440"/>
    </w:pPr>
    <w:rPr>
      <w:rFonts w:asciiTheme="minorHAnsi" w:hAnsiTheme="minorHAnsi" w:cstheme="minorHAnsi"/>
      <w:i/>
      <w:iCs/>
      <w:sz w:val="20"/>
      <w:szCs w:val="20"/>
    </w:rPr>
  </w:style>
  <w:style w:type="paragraph" w:styleId="TOC4">
    <w:name w:val="toc 4"/>
    <w:basedOn w:val="Normal2"/>
    <w:next w:val="Normal2"/>
    <w:uiPriority w:val="39"/>
    <w:rsid w:val="0027613D"/>
    <w:pPr>
      <w:ind w:left="660"/>
    </w:pPr>
    <w:rPr>
      <w:rFonts w:asciiTheme="minorHAnsi" w:hAnsiTheme="minorHAnsi" w:cstheme="minorHAnsi"/>
      <w:sz w:val="18"/>
      <w:szCs w:val="18"/>
    </w:rPr>
  </w:style>
  <w:style w:type="paragraph" w:customStyle="1" w:styleId="TOCHeader">
    <w:name w:val="TOC Header"/>
    <w:basedOn w:val="Normal2"/>
    <w:rsid w:val="0027613D"/>
    <w:pPr>
      <w:tabs>
        <w:tab w:val="right" w:pos="9360"/>
      </w:tabs>
      <w:autoSpaceDE/>
      <w:autoSpaceDN/>
      <w:adjustRightInd/>
      <w:spacing w:after="240"/>
    </w:pPr>
    <w:rPr>
      <w:u w:val="words"/>
    </w:rPr>
  </w:style>
  <w:style w:type="paragraph" w:customStyle="1" w:styleId="bullets-blank">
    <w:name w:val="bullets-blank"/>
    <w:basedOn w:val="Normal2"/>
    <w:rsid w:val="0027613D"/>
    <w:pPr>
      <w:autoSpaceDE/>
      <w:autoSpaceDN/>
      <w:adjustRightInd/>
      <w:spacing w:after="120"/>
      <w:ind w:left="1080" w:hanging="360"/>
    </w:pPr>
  </w:style>
  <w:style w:type="paragraph" w:styleId="HTMLPreformatted">
    <w:name w:val="HTML Preformatted"/>
    <w:basedOn w:val="Normal2"/>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2"/>
    <w:rsid w:val="0027613D"/>
    <w:pPr>
      <w:keepLines/>
      <w:autoSpaceDE/>
      <w:autoSpaceDN/>
      <w:adjustRightInd/>
      <w:spacing w:after="240"/>
      <w:ind w:left="720" w:hanging="720"/>
    </w:pPr>
  </w:style>
  <w:style w:type="paragraph" w:customStyle="1" w:styleId="OMBReferences">
    <w:name w:val="OMB References"/>
    <w:basedOn w:val="Normal2"/>
    <w:rsid w:val="0027613D"/>
    <w:pPr>
      <w:autoSpaceDE/>
      <w:autoSpaceDN/>
      <w:adjustRightInd/>
      <w:spacing w:after="240"/>
      <w:ind w:left="720" w:hanging="720"/>
    </w:pPr>
  </w:style>
  <w:style w:type="paragraph" w:customStyle="1" w:styleId="OMBbullets">
    <w:name w:val="OMB bullets"/>
    <w:basedOn w:val="Normal2"/>
    <w:rsid w:val="0027613D"/>
    <w:pPr>
      <w:autoSpaceDE/>
      <w:autoSpaceDN/>
      <w:adjustRightInd/>
      <w:spacing w:after="120"/>
      <w:ind w:left="360" w:hanging="360"/>
    </w:pPr>
  </w:style>
  <w:style w:type="paragraph" w:customStyle="1" w:styleId="bullets">
    <w:name w:val="bullets"/>
    <w:basedOn w:val="Normal2"/>
    <w:rsid w:val="0027613D"/>
    <w:pPr>
      <w:numPr>
        <w:numId w:val="5"/>
      </w:numPr>
      <w:autoSpaceDE/>
      <w:autoSpaceDN/>
      <w:adjustRightInd/>
      <w:spacing w:after="240"/>
      <w:ind w:left="1080"/>
    </w:pPr>
  </w:style>
  <w:style w:type="paragraph" w:customStyle="1" w:styleId="tabletitle0">
    <w:name w:val="tabletitle"/>
    <w:basedOn w:val="Normal2"/>
    <w:rsid w:val="0027613D"/>
    <w:pPr>
      <w:autoSpaceDE/>
      <w:autoSpaceDN/>
      <w:adjustRightInd/>
      <w:spacing w:before="100" w:beforeAutospacing="1" w:after="100" w:afterAutospacing="1"/>
    </w:pPr>
    <w:rPr>
      <w:szCs w:val="24"/>
    </w:rPr>
  </w:style>
  <w:style w:type="paragraph" w:customStyle="1" w:styleId="sidebar">
    <w:name w:val="sidebar"/>
    <w:basedOn w:val="Normal2"/>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2"/>
    <w:next w:val="Normal2"/>
    <w:autoRedefine/>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27613D"/>
    <w:pPr>
      <w:spacing w:after="120" w:line="240" w:lineRule="exact"/>
      <w:ind w:left="1440"/>
    </w:pPr>
  </w:style>
  <w:style w:type="paragraph" w:customStyle="1" w:styleId="bullets-3rdlevel">
    <w:name w:val="bullets-3rd level"/>
    <w:basedOn w:val="Normal2"/>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2"/>
    <w:rsid w:val="0027613D"/>
    <w:pPr>
      <w:autoSpaceDE/>
      <w:autoSpaceDN/>
      <w:adjustRightInd/>
    </w:pPr>
    <w:rPr>
      <w:szCs w:val="24"/>
    </w:rPr>
  </w:style>
  <w:style w:type="paragraph" w:customStyle="1" w:styleId="Tabletext">
    <w:name w:val="Table text"/>
    <w:basedOn w:val="Normal2"/>
    <w:rsid w:val="0027613D"/>
    <w:pPr>
      <w:keepNext/>
      <w:autoSpaceDE/>
      <w:autoSpaceDN/>
      <w:adjustRightInd/>
    </w:pPr>
  </w:style>
  <w:style w:type="paragraph" w:customStyle="1" w:styleId="Tableheading">
    <w:name w:val="Table heading"/>
    <w:rsid w:val="00D53133"/>
    <w:rPr>
      <w:b/>
      <w:noProof/>
    </w:rPr>
  </w:style>
  <w:style w:type="paragraph" w:customStyle="1" w:styleId="AppHeading1">
    <w:name w:val="App Heading 1"/>
    <w:basedOn w:val="heading12"/>
    <w:rsid w:val="0027613D"/>
  </w:style>
  <w:style w:type="paragraph" w:styleId="Index1">
    <w:name w:val="index 1"/>
    <w:basedOn w:val="Normal2"/>
    <w:next w:val="Normal2"/>
    <w:autoRedefine/>
    <w:semiHidden/>
    <w:rsid w:val="0027613D"/>
    <w:pPr>
      <w:ind w:left="220" w:hanging="220"/>
    </w:pPr>
  </w:style>
  <w:style w:type="character" w:styleId="FollowedHyperlink">
    <w:name w:val="FollowedHyperlink"/>
    <w:uiPriority w:val="99"/>
    <w:rsid w:val="0027613D"/>
    <w:rPr>
      <w:color w:val="800080"/>
      <w:u w:val="single"/>
    </w:rPr>
  </w:style>
  <w:style w:type="paragraph" w:customStyle="1" w:styleId="bodytextpsg">
    <w:name w:val="body text_psg"/>
    <w:basedOn w:val="Normal2"/>
    <w:link w:val="bodytextpsgCharChar"/>
    <w:rsid w:val="0027613D"/>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27613D"/>
    <w:rPr>
      <w:rFonts w:eastAsia="MS Mincho"/>
      <w:sz w:val="24"/>
      <w:szCs w:val="24"/>
      <w:lang w:val="en-US" w:eastAsia="en-US" w:bidi="ar-SA"/>
    </w:rPr>
  </w:style>
  <w:style w:type="paragraph" w:customStyle="1" w:styleId="CharCharCharCharCharCharCharCharChar">
    <w:name w:val="Char Char Char Char Char Char Char Char Char"/>
    <w:basedOn w:val="Normal2"/>
    <w:rsid w:val="0027613D"/>
    <w:pPr>
      <w:autoSpaceDE/>
      <w:autoSpaceDN/>
      <w:adjustRightInd/>
      <w:spacing w:before="80" w:after="80"/>
      <w:ind w:left="4320"/>
      <w:jc w:val="both"/>
    </w:pPr>
    <w:rPr>
      <w:rFonts w:ascii="Arial" w:hAnsi="Arial"/>
      <w:sz w:val="24"/>
      <w:szCs w:val="24"/>
    </w:rPr>
  </w:style>
  <w:style w:type="paragraph" w:styleId="BlockText">
    <w:name w:val="Block Text"/>
    <w:basedOn w:val="Normal2"/>
    <w:rsid w:val="0027613D"/>
    <w:pPr>
      <w:autoSpaceDE/>
      <w:autoSpaceDN/>
      <w:adjustRightInd/>
      <w:spacing w:after="120"/>
      <w:ind w:left="1440" w:right="1440"/>
    </w:pPr>
    <w:rPr>
      <w:sz w:val="24"/>
      <w:szCs w:val="24"/>
    </w:rPr>
  </w:style>
  <w:style w:type="paragraph" w:styleId="BodyText2">
    <w:name w:val="Body Text 2"/>
    <w:basedOn w:val="Normal2"/>
    <w:rsid w:val="0027613D"/>
    <w:pPr>
      <w:autoSpaceDE/>
      <w:autoSpaceDN/>
      <w:adjustRightInd/>
      <w:spacing w:after="120" w:line="480" w:lineRule="auto"/>
    </w:pPr>
    <w:rPr>
      <w:sz w:val="24"/>
      <w:szCs w:val="24"/>
    </w:rPr>
  </w:style>
  <w:style w:type="paragraph" w:styleId="BodyText3">
    <w:name w:val="Body Text 3"/>
    <w:basedOn w:val="Normal2"/>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2"/>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2"/>
    <w:rsid w:val="0027613D"/>
    <w:pPr>
      <w:autoSpaceDE/>
      <w:autoSpaceDN/>
      <w:adjustRightInd/>
      <w:spacing w:after="120" w:line="480" w:lineRule="auto"/>
      <w:ind w:left="360"/>
    </w:pPr>
    <w:rPr>
      <w:sz w:val="24"/>
      <w:szCs w:val="24"/>
    </w:rPr>
  </w:style>
  <w:style w:type="paragraph" w:styleId="BodyTextIndent3">
    <w:name w:val="Body Text Indent 3"/>
    <w:basedOn w:val="Normal2"/>
    <w:rsid w:val="0027613D"/>
    <w:pPr>
      <w:autoSpaceDE/>
      <w:autoSpaceDN/>
      <w:adjustRightInd/>
      <w:spacing w:after="120"/>
      <w:ind w:left="360"/>
    </w:pPr>
    <w:rPr>
      <w:sz w:val="16"/>
      <w:szCs w:val="16"/>
    </w:rPr>
  </w:style>
  <w:style w:type="paragraph" w:styleId="Caption">
    <w:name w:val="caption"/>
    <w:basedOn w:val="Normal2"/>
    <w:next w:val="Normal2"/>
    <w:qFormat/>
    <w:rsid w:val="0027613D"/>
    <w:pPr>
      <w:autoSpaceDE/>
      <w:autoSpaceDN/>
      <w:adjustRightInd/>
    </w:pPr>
    <w:rPr>
      <w:b/>
      <w:bCs/>
      <w:sz w:val="20"/>
    </w:rPr>
  </w:style>
  <w:style w:type="paragraph" w:styleId="Closing">
    <w:name w:val="Closing"/>
    <w:basedOn w:val="Normal2"/>
    <w:rsid w:val="0027613D"/>
    <w:pPr>
      <w:autoSpaceDE/>
      <w:autoSpaceDN/>
      <w:adjustRightInd/>
      <w:ind w:left="4320"/>
    </w:pPr>
    <w:rPr>
      <w:sz w:val="24"/>
      <w:szCs w:val="24"/>
    </w:rPr>
  </w:style>
  <w:style w:type="paragraph" w:styleId="Date">
    <w:name w:val="Date"/>
    <w:basedOn w:val="Normal2"/>
    <w:next w:val="Normal2"/>
    <w:rsid w:val="0027613D"/>
    <w:pPr>
      <w:autoSpaceDE/>
      <w:autoSpaceDN/>
      <w:adjustRightInd/>
    </w:pPr>
    <w:rPr>
      <w:sz w:val="24"/>
      <w:szCs w:val="24"/>
    </w:rPr>
  </w:style>
  <w:style w:type="paragraph" w:styleId="DocumentMap">
    <w:name w:val="Document Map"/>
    <w:basedOn w:val="Normal2"/>
    <w:semiHidden/>
    <w:rsid w:val="0027613D"/>
    <w:pPr>
      <w:shd w:val="clear" w:color="auto" w:fill="000080"/>
      <w:autoSpaceDE/>
      <w:autoSpaceDN/>
      <w:adjustRightInd/>
    </w:pPr>
    <w:rPr>
      <w:rFonts w:ascii="Tahoma" w:hAnsi="Tahoma" w:cs="Tahoma"/>
      <w:sz w:val="20"/>
    </w:rPr>
  </w:style>
  <w:style w:type="paragraph" w:styleId="EndnoteText">
    <w:name w:val="endnote text"/>
    <w:basedOn w:val="Normal2"/>
    <w:semiHidden/>
    <w:rsid w:val="0027613D"/>
    <w:pPr>
      <w:autoSpaceDE/>
      <w:autoSpaceDN/>
      <w:adjustRightInd/>
    </w:pPr>
    <w:rPr>
      <w:sz w:val="20"/>
    </w:rPr>
  </w:style>
  <w:style w:type="paragraph" w:styleId="EnvelopeAddress">
    <w:name w:val="envelope address"/>
    <w:basedOn w:val="Normal2"/>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2"/>
    <w:rsid w:val="0027613D"/>
    <w:pPr>
      <w:autoSpaceDE/>
      <w:autoSpaceDN/>
      <w:adjustRightInd/>
    </w:pPr>
    <w:rPr>
      <w:rFonts w:ascii="Arial" w:hAnsi="Arial" w:cs="Arial"/>
      <w:sz w:val="20"/>
    </w:rPr>
  </w:style>
  <w:style w:type="paragraph" w:styleId="HTMLAddress">
    <w:name w:val="HTML Address"/>
    <w:basedOn w:val="Normal2"/>
    <w:rsid w:val="0027613D"/>
    <w:pPr>
      <w:autoSpaceDE/>
      <w:autoSpaceDN/>
      <w:adjustRightInd/>
    </w:pPr>
    <w:rPr>
      <w:i/>
      <w:iCs/>
      <w:sz w:val="24"/>
      <w:szCs w:val="24"/>
    </w:rPr>
  </w:style>
  <w:style w:type="paragraph" w:styleId="Index2">
    <w:name w:val="index 2"/>
    <w:basedOn w:val="Normal2"/>
    <w:next w:val="Normal2"/>
    <w:autoRedefine/>
    <w:semiHidden/>
    <w:rsid w:val="0027613D"/>
    <w:pPr>
      <w:autoSpaceDE/>
      <w:autoSpaceDN/>
      <w:adjustRightInd/>
      <w:ind w:left="480" w:hanging="240"/>
    </w:pPr>
    <w:rPr>
      <w:sz w:val="24"/>
      <w:szCs w:val="24"/>
    </w:rPr>
  </w:style>
  <w:style w:type="paragraph" w:styleId="Index3">
    <w:name w:val="index 3"/>
    <w:basedOn w:val="Normal2"/>
    <w:next w:val="Normal2"/>
    <w:autoRedefine/>
    <w:semiHidden/>
    <w:rsid w:val="0027613D"/>
    <w:pPr>
      <w:autoSpaceDE/>
      <w:autoSpaceDN/>
      <w:adjustRightInd/>
      <w:ind w:left="720" w:hanging="240"/>
    </w:pPr>
    <w:rPr>
      <w:sz w:val="24"/>
      <w:szCs w:val="24"/>
    </w:rPr>
  </w:style>
  <w:style w:type="paragraph" w:styleId="Index4">
    <w:name w:val="index 4"/>
    <w:basedOn w:val="Normal2"/>
    <w:next w:val="Normal2"/>
    <w:autoRedefine/>
    <w:semiHidden/>
    <w:rsid w:val="0027613D"/>
    <w:pPr>
      <w:autoSpaceDE/>
      <w:autoSpaceDN/>
      <w:adjustRightInd/>
      <w:ind w:left="960" w:hanging="240"/>
    </w:pPr>
    <w:rPr>
      <w:sz w:val="24"/>
      <w:szCs w:val="24"/>
    </w:rPr>
  </w:style>
  <w:style w:type="paragraph" w:styleId="Index5">
    <w:name w:val="index 5"/>
    <w:basedOn w:val="Normal2"/>
    <w:next w:val="Normal2"/>
    <w:autoRedefine/>
    <w:semiHidden/>
    <w:rsid w:val="0027613D"/>
    <w:pPr>
      <w:autoSpaceDE/>
      <w:autoSpaceDN/>
      <w:adjustRightInd/>
      <w:ind w:left="1200" w:hanging="240"/>
    </w:pPr>
    <w:rPr>
      <w:sz w:val="24"/>
      <w:szCs w:val="24"/>
    </w:rPr>
  </w:style>
  <w:style w:type="paragraph" w:styleId="Index6">
    <w:name w:val="index 6"/>
    <w:basedOn w:val="Normal2"/>
    <w:next w:val="Normal2"/>
    <w:autoRedefine/>
    <w:semiHidden/>
    <w:rsid w:val="0027613D"/>
    <w:pPr>
      <w:autoSpaceDE/>
      <w:autoSpaceDN/>
      <w:adjustRightInd/>
      <w:ind w:left="1440" w:hanging="240"/>
    </w:pPr>
    <w:rPr>
      <w:sz w:val="24"/>
      <w:szCs w:val="24"/>
    </w:rPr>
  </w:style>
  <w:style w:type="paragraph" w:styleId="Index8">
    <w:name w:val="index 8"/>
    <w:basedOn w:val="Normal2"/>
    <w:next w:val="Normal2"/>
    <w:autoRedefine/>
    <w:semiHidden/>
    <w:rsid w:val="0027613D"/>
    <w:pPr>
      <w:autoSpaceDE/>
      <w:autoSpaceDN/>
      <w:adjustRightInd/>
      <w:ind w:left="1920" w:hanging="240"/>
    </w:pPr>
    <w:rPr>
      <w:sz w:val="24"/>
      <w:szCs w:val="24"/>
    </w:rPr>
  </w:style>
  <w:style w:type="paragraph" w:styleId="Index9">
    <w:name w:val="index 9"/>
    <w:basedOn w:val="Normal2"/>
    <w:next w:val="Normal2"/>
    <w:autoRedefine/>
    <w:semiHidden/>
    <w:rsid w:val="0027613D"/>
    <w:pPr>
      <w:autoSpaceDE/>
      <w:autoSpaceDN/>
      <w:adjustRightInd/>
      <w:ind w:left="2160" w:hanging="240"/>
    </w:pPr>
    <w:rPr>
      <w:sz w:val="24"/>
      <w:szCs w:val="24"/>
    </w:rPr>
  </w:style>
  <w:style w:type="paragraph" w:styleId="IndexHeading">
    <w:name w:val="index heading"/>
    <w:basedOn w:val="Normal2"/>
    <w:next w:val="Index1"/>
    <w:semiHidden/>
    <w:rsid w:val="0027613D"/>
    <w:pPr>
      <w:autoSpaceDE/>
      <w:autoSpaceDN/>
      <w:adjustRightInd/>
    </w:pPr>
    <w:rPr>
      <w:rFonts w:ascii="Arial" w:hAnsi="Arial" w:cs="Arial"/>
      <w:b/>
      <w:bCs/>
      <w:sz w:val="24"/>
      <w:szCs w:val="24"/>
    </w:rPr>
  </w:style>
  <w:style w:type="paragraph" w:styleId="List">
    <w:name w:val="List"/>
    <w:basedOn w:val="Normal2"/>
    <w:rsid w:val="0027613D"/>
    <w:pPr>
      <w:autoSpaceDE/>
      <w:autoSpaceDN/>
      <w:adjustRightInd/>
      <w:ind w:left="360" w:hanging="360"/>
    </w:pPr>
    <w:rPr>
      <w:sz w:val="24"/>
      <w:szCs w:val="24"/>
    </w:rPr>
  </w:style>
  <w:style w:type="paragraph" w:styleId="List2">
    <w:name w:val="List 2"/>
    <w:basedOn w:val="Normal2"/>
    <w:rsid w:val="0027613D"/>
    <w:pPr>
      <w:autoSpaceDE/>
      <w:autoSpaceDN/>
      <w:adjustRightInd/>
      <w:ind w:left="720" w:hanging="360"/>
    </w:pPr>
    <w:rPr>
      <w:sz w:val="24"/>
      <w:szCs w:val="24"/>
    </w:rPr>
  </w:style>
  <w:style w:type="paragraph" w:styleId="List3">
    <w:name w:val="List 3"/>
    <w:basedOn w:val="Normal2"/>
    <w:rsid w:val="0027613D"/>
    <w:pPr>
      <w:autoSpaceDE/>
      <w:autoSpaceDN/>
      <w:adjustRightInd/>
      <w:ind w:left="1080" w:hanging="360"/>
    </w:pPr>
    <w:rPr>
      <w:sz w:val="24"/>
      <w:szCs w:val="24"/>
    </w:rPr>
  </w:style>
  <w:style w:type="paragraph" w:styleId="List4">
    <w:name w:val="List 4"/>
    <w:basedOn w:val="Normal2"/>
    <w:rsid w:val="0027613D"/>
    <w:pPr>
      <w:autoSpaceDE/>
      <w:autoSpaceDN/>
      <w:adjustRightInd/>
      <w:ind w:left="1440" w:hanging="360"/>
    </w:pPr>
    <w:rPr>
      <w:sz w:val="24"/>
      <w:szCs w:val="24"/>
    </w:rPr>
  </w:style>
  <w:style w:type="paragraph" w:styleId="List5">
    <w:name w:val="List 5"/>
    <w:basedOn w:val="Normal2"/>
    <w:rsid w:val="0027613D"/>
    <w:pPr>
      <w:autoSpaceDE/>
      <w:autoSpaceDN/>
      <w:adjustRightInd/>
      <w:ind w:left="1800" w:hanging="360"/>
    </w:pPr>
    <w:rPr>
      <w:sz w:val="24"/>
      <w:szCs w:val="24"/>
    </w:rPr>
  </w:style>
  <w:style w:type="paragraph" w:styleId="ListBullet">
    <w:name w:val="List Bullet"/>
    <w:basedOn w:val="Normal2"/>
    <w:rsid w:val="0027613D"/>
    <w:pPr>
      <w:tabs>
        <w:tab w:val="num" w:pos="720"/>
      </w:tabs>
      <w:autoSpaceDE/>
      <w:autoSpaceDN/>
      <w:adjustRightInd/>
      <w:ind w:left="720" w:hanging="720"/>
    </w:pPr>
    <w:rPr>
      <w:sz w:val="24"/>
      <w:szCs w:val="24"/>
    </w:rPr>
  </w:style>
  <w:style w:type="paragraph" w:styleId="ListBullet2">
    <w:name w:val="List Bullet 2"/>
    <w:basedOn w:val="Normal2"/>
    <w:rsid w:val="0027613D"/>
    <w:pPr>
      <w:tabs>
        <w:tab w:val="num" w:pos="720"/>
      </w:tabs>
      <w:autoSpaceDE/>
      <w:autoSpaceDN/>
      <w:adjustRightInd/>
      <w:ind w:left="720" w:hanging="720"/>
    </w:pPr>
    <w:rPr>
      <w:sz w:val="24"/>
      <w:szCs w:val="24"/>
    </w:rPr>
  </w:style>
  <w:style w:type="paragraph" w:styleId="ListBullet3">
    <w:name w:val="List Bullet 3"/>
    <w:basedOn w:val="Normal2"/>
    <w:rsid w:val="0027613D"/>
    <w:pPr>
      <w:tabs>
        <w:tab w:val="num" w:pos="720"/>
      </w:tabs>
      <w:autoSpaceDE/>
      <w:autoSpaceDN/>
      <w:adjustRightInd/>
      <w:ind w:left="720" w:hanging="720"/>
    </w:pPr>
    <w:rPr>
      <w:sz w:val="24"/>
      <w:szCs w:val="24"/>
    </w:rPr>
  </w:style>
  <w:style w:type="paragraph" w:styleId="ListBullet4">
    <w:name w:val="List Bullet 4"/>
    <w:basedOn w:val="Normal2"/>
    <w:rsid w:val="0027613D"/>
    <w:pPr>
      <w:tabs>
        <w:tab w:val="num" w:pos="720"/>
      </w:tabs>
      <w:autoSpaceDE/>
      <w:autoSpaceDN/>
      <w:adjustRightInd/>
      <w:ind w:left="720" w:hanging="720"/>
    </w:pPr>
    <w:rPr>
      <w:sz w:val="24"/>
      <w:szCs w:val="24"/>
    </w:rPr>
  </w:style>
  <w:style w:type="paragraph" w:styleId="ListBullet5">
    <w:name w:val="List Bullet 5"/>
    <w:basedOn w:val="Normal2"/>
    <w:rsid w:val="0027613D"/>
    <w:pPr>
      <w:tabs>
        <w:tab w:val="num" w:pos="720"/>
      </w:tabs>
      <w:autoSpaceDE/>
      <w:autoSpaceDN/>
      <w:adjustRightInd/>
      <w:ind w:left="720" w:hanging="720"/>
    </w:pPr>
    <w:rPr>
      <w:sz w:val="24"/>
      <w:szCs w:val="24"/>
    </w:rPr>
  </w:style>
  <w:style w:type="paragraph" w:styleId="ListContinue">
    <w:name w:val="List Continue"/>
    <w:basedOn w:val="Normal2"/>
    <w:rsid w:val="0027613D"/>
    <w:pPr>
      <w:autoSpaceDE/>
      <w:autoSpaceDN/>
      <w:adjustRightInd/>
      <w:spacing w:after="120"/>
      <w:ind w:left="360"/>
    </w:pPr>
    <w:rPr>
      <w:sz w:val="24"/>
      <w:szCs w:val="24"/>
    </w:rPr>
  </w:style>
  <w:style w:type="paragraph" w:styleId="ListContinue2">
    <w:name w:val="List Continue 2"/>
    <w:basedOn w:val="Normal2"/>
    <w:rsid w:val="0027613D"/>
    <w:pPr>
      <w:autoSpaceDE/>
      <w:autoSpaceDN/>
      <w:adjustRightInd/>
      <w:spacing w:after="120"/>
      <w:ind w:left="720"/>
    </w:pPr>
    <w:rPr>
      <w:sz w:val="24"/>
      <w:szCs w:val="24"/>
    </w:rPr>
  </w:style>
  <w:style w:type="paragraph" w:styleId="ListContinue3">
    <w:name w:val="List Continue 3"/>
    <w:basedOn w:val="Normal2"/>
    <w:rsid w:val="0027613D"/>
    <w:pPr>
      <w:autoSpaceDE/>
      <w:autoSpaceDN/>
      <w:adjustRightInd/>
      <w:spacing w:after="120"/>
      <w:ind w:left="1080"/>
    </w:pPr>
    <w:rPr>
      <w:sz w:val="24"/>
      <w:szCs w:val="24"/>
    </w:rPr>
  </w:style>
  <w:style w:type="paragraph" w:styleId="ListContinue4">
    <w:name w:val="List Continue 4"/>
    <w:basedOn w:val="Normal2"/>
    <w:rsid w:val="0027613D"/>
    <w:pPr>
      <w:autoSpaceDE/>
      <w:autoSpaceDN/>
      <w:adjustRightInd/>
      <w:spacing w:after="120"/>
      <w:ind w:left="1440"/>
    </w:pPr>
    <w:rPr>
      <w:sz w:val="24"/>
      <w:szCs w:val="24"/>
    </w:rPr>
  </w:style>
  <w:style w:type="paragraph" w:styleId="ListContinue5">
    <w:name w:val="List Continue 5"/>
    <w:basedOn w:val="Normal2"/>
    <w:rsid w:val="0027613D"/>
    <w:pPr>
      <w:autoSpaceDE/>
      <w:autoSpaceDN/>
      <w:adjustRightInd/>
      <w:spacing w:after="120"/>
      <w:ind w:left="1800"/>
    </w:pPr>
    <w:rPr>
      <w:sz w:val="24"/>
      <w:szCs w:val="24"/>
    </w:rPr>
  </w:style>
  <w:style w:type="paragraph" w:styleId="ListNumber">
    <w:name w:val="List Number"/>
    <w:basedOn w:val="Normal2"/>
    <w:rsid w:val="0027613D"/>
    <w:pPr>
      <w:tabs>
        <w:tab w:val="num" w:pos="720"/>
      </w:tabs>
      <w:autoSpaceDE/>
      <w:autoSpaceDN/>
      <w:adjustRightInd/>
      <w:ind w:left="720" w:hanging="720"/>
    </w:pPr>
    <w:rPr>
      <w:sz w:val="24"/>
      <w:szCs w:val="24"/>
    </w:rPr>
  </w:style>
  <w:style w:type="paragraph" w:styleId="ListNumber2">
    <w:name w:val="List Number 2"/>
    <w:basedOn w:val="Normal2"/>
    <w:rsid w:val="0027613D"/>
    <w:pPr>
      <w:tabs>
        <w:tab w:val="num" w:pos="720"/>
      </w:tabs>
      <w:autoSpaceDE/>
      <w:autoSpaceDN/>
      <w:adjustRightInd/>
      <w:ind w:left="720" w:hanging="720"/>
    </w:pPr>
    <w:rPr>
      <w:sz w:val="24"/>
      <w:szCs w:val="24"/>
    </w:rPr>
  </w:style>
  <w:style w:type="paragraph" w:styleId="ListNumber3">
    <w:name w:val="List Number 3"/>
    <w:basedOn w:val="Normal2"/>
    <w:rsid w:val="0027613D"/>
    <w:pPr>
      <w:tabs>
        <w:tab w:val="num" w:pos="720"/>
      </w:tabs>
      <w:autoSpaceDE/>
      <w:autoSpaceDN/>
      <w:adjustRightInd/>
      <w:ind w:left="720" w:hanging="720"/>
    </w:pPr>
    <w:rPr>
      <w:sz w:val="24"/>
      <w:szCs w:val="24"/>
    </w:rPr>
  </w:style>
  <w:style w:type="paragraph" w:styleId="ListNumber4">
    <w:name w:val="List Number 4"/>
    <w:basedOn w:val="Normal2"/>
    <w:rsid w:val="0027613D"/>
    <w:pPr>
      <w:tabs>
        <w:tab w:val="num" w:pos="720"/>
      </w:tabs>
      <w:autoSpaceDE/>
      <w:autoSpaceDN/>
      <w:adjustRightInd/>
      <w:ind w:left="720" w:hanging="720"/>
    </w:pPr>
    <w:rPr>
      <w:sz w:val="24"/>
      <w:szCs w:val="24"/>
    </w:rPr>
  </w:style>
  <w:style w:type="paragraph" w:styleId="ListNumber5">
    <w:name w:val="List Number 5"/>
    <w:basedOn w:val="Normal2"/>
    <w:rsid w:val="0027613D"/>
    <w:pPr>
      <w:tabs>
        <w:tab w:val="num" w:pos="720"/>
      </w:tabs>
      <w:autoSpaceDE/>
      <w:autoSpaceDN/>
      <w:adjustRightInd/>
      <w:ind w:left="720" w:hanging="720"/>
    </w:pPr>
    <w:rPr>
      <w:sz w:val="24"/>
      <w:szCs w:val="24"/>
    </w:rPr>
  </w:style>
  <w:style w:type="paragraph" w:styleId="Macro">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2"/>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2"/>
    <w:rsid w:val="0027613D"/>
    <w:pPr>
      <w:autoSpaceDE/>
      <w:autoSpaceDN/>
      <w:adjustRightInd/>
      <w:ind w:left="720"/>
    </w:pPr>
    <w:rPr>
      <w:sz w:val="24"/>
      <w:szCs w:val="24"/>
    </w:rPr>
  </w:style>
  <w:style w:type="paragraph" w:styleId="NoteHeading">
    <w:name w:val="Note Heading"/>
    <w:basedOn w:val="Normal2"/>
    <w:next w:val="Normal2"/>
    <w:rsid w:val="0027613D"/>
    <w:pPr>
      <w:autoSpaceDE/>
      <w:autoSpaceDN/>
      <w:adjustRightInd/>
    </w:pPr>
    <w:rPr>
      <w:sz w:val="24"/>
      <w:szCs w:val="24"/>
    </w:rPr>
  </w:style>
  <w:style w:type="paragraph" w:styleId="PlainText">
    <w:name w:val="Plain Text"/>
    <w:basedOn w:val="Normal2"/>
    <w:rsid w:val="0027613D"/>
    <w:pPr>
      <w:autoSpaceDE/>
      <w:autoSpaceDN/>
      <w:adjustRightInd/>
    </w:pPr>
    <w:rPr>
      <w:rFonts w:ascii="Courier New" w:hAnsi="Courier New" w:cs="Courier New"/>
      <w:sz w:val="20"/>
    </w:rPr>
  </w:style>
  <w:style w:type="paragraph" w:styleId="Salutation">
    <w:name w:val="Salutation"/>
    <w:basedOn w:val="Normal2"/>
    <w:next w:val="Normal2"/>
    <w:rsid w:val="0027613D"/>
    <w:pPr>
      <w:autoSpaceDE/>
      <w:autoSpaceDN/>
      <w:adjustRightInd/>
    </w:pPr>
    <w:rPr>
      <w:sz w:val="24"/>
      <w:szCs w:val="24"/>
    </w:rPr>
  </w:style>
  <w:style w:type="paragraph" w:styleId="Signature">
    <w:name w:val="Signature"/>
    <w:basedOn w:val="Normal2"/>
    <w:rsid w:val="0027613D"/>
    <w:pPr>
      <w:autoSpaceDE/>
      <w:autoSpaceDN/>
      <w:adjustRightInd/>
      <w:ind w:left="4320"/>
    </w:pPr>
    <w:rPr>
      <w:sz w:val="24"/>
      <w:szCs w:val="24"/>
    </w:rPr>
  </w:style>
  <w:style w:type="paragraph" w:styleId="Subtitle">
    <w:name w:val="Subtitle"/>
    <w:basedOn w:val="Normal2"/>
    <w:next w:val="Normal2"/>
    <w:uiPriority w:val="11"/>
    <w:qFormat/>
    <w:pPr>
      <w:spacing w:after="60"/>
      <w:jc w:val="center"/>
    </w:pPr>
    <w:rPr>
      <w:rFonts w:ascii="Arial" w:eastAsia="Arial" w:hAnsi="Arial" w:cs="Arial"/>
      <w:sz w:val="24"/>
      <w:szCs w:val="24"/>
    </w:rPr>
  </w:style>
  <w:style w:type="paragraph" w:styleId="TableofAuthorities">
    <w:name w:val="table of authorities"/>
    <w:basedOn w:val="Normal2"/>
    <w:next w:val="Normal2"/>
    <w:semiHidden/>
    <w:rsid w:val="0027613D"/>
    <w:pPr>
      <w:autoSpaceDE/>
      <w:autoSpaceDN/>
      <w:adjustRightInd/>
      <w:ind w:left="240" w:hanging="240"/>
    </w:pPr>
    <w:rPr>
      <w:sz w:val="24"/>
      <w:szCs w:val="24"/>
    </w:rPr>
  </w:style>
  <w:style w:type="paragraph" w:styleId="TableofFigures">
    <w:name w:val="table of figures"/>
    <w:basedOn w:val="Normal2"/>
    <w:next w:val="Normal2"/>
    <w:semiHidden/>
    <w:rsid w:val="0027613D"/>
    <w:pPr>
      <w:autoSpaceDE/>
      <w:autoSpaceDN/>
      <w:adjustRightInd/>
    </w:pPr>
    <w:rPr>
      <w:sz w:val="24"/>
      <w:szCs w:val="24"/>
    </w:rPr>
  </w:style>
  <w:style w:type="paragraph" w:styleId="TOAHeading">
    <w:name w:val="toa heading"/>
    <w:basedOn w:val="Normal2"/>
    <w:next w:val="Normal2"/>
    <w:semiHidden/>
    <w:rsid w:val="0027613D"/>
    <w:pPr>
      <w:autoSpaceDE/>
      <w:autoSpaceDN/>
      <w:adjustRightInd/>
      <w:spacing w:before="120"/>
    </w:pPr>
    <w:rPr>
      <w:rFonts w:ascii="Arial" w:hAnsi="Arial" w:cs="Arial"/>
      <w:b/>
      <w:bCs/>
      <w:sz w:val="24"/>
      <w:szCs w:val="24"/>
    </w:rPr>
  </w:style>
  <w:style w:type="paragraph" w:styleId="TOC6">
    <w:name w:val="toc 6"/>
    <w:basedOn w:val="Normal2"/>
    <w:next w:val="Normal2"/>
    <w:autoRedefine/>
    <w:semiHidden/>
    <w:rsid w:val="0027613D"/>
    <w:pPr>
      <w:ind w:left="1100"/>
    </w:pPr>
    <w:rPr>
      <w:rFonts w:asciiTheme="minorHAnsi" w:hAnsiTheme="minorHAnsi" w:cstheme="minorHAnsi"/>
      <w:sz w:val="18"/>
      <w:szCs w:val="18"/>
    </w:rPr>
  </w:style>
  <w:style w:type="paragraph" w:styleId="TOC7">
    <w:name w:val="toc 7"/>
    <w:basedOn w:val="Normal2"/>
    <w:next w:val="Normal2"/>
    <w:autoRedefine/>
    <w:semiHidden/>
    <w:rsid w:val="0027613D"/>
    <w:pPr>
      <w:ind w:left="1320"/>
    </w:pPr>
    <w:rPr>
      <w:rFonts w:asciiTheme="minorHAnsi" w:hAnsiTheme="minorHAnsi" w:cstheme="minorHAnsi"/>
      <w:sz w:val="18"/>
      <w:szCs w:val="18"/>
    </w:rPr>
  </w:style>
  <w:style w:type="paragraph" w:styleId="TOC8">
    <w:name w:val="toc 8"/>
    <w:basedOn w:val="Normal2"/>
    <w:next w:val="Normal2"/>
    <w:autoRedefine/>
    <w:uiPriority w:val="39"/>
    <w:rsid w:val="0027613D"/>
    <w:pPr>
      <w:ind w:left="1540"/>
    </w:pPr>
    <w:rPr>
      <w:rFonts w:asciiTheme="minorHAnsi" w:hAnsiTheme="minorHAnsi" w:cstheme="minorHAnsi"/>
      <w:sz w:val="18"/>
      <w:szCs w:val="18"/>
    </w:rPr>
  </w:style>
  <w:style w:type="paragraph" w:styleId="TOC9">
    <w:name w:val="toc 9"/>
    <w:basedOn w:val="Normal2"/>
    <w:next w:val="Normal2"/>
    <w:autoRedefine/>
    <w:semiHidden/>
    <w:rsid w:val="0027613D"/>
    <w:pPr>
      <w:ind w:left="1760"/>
    </w:pPr>
    <w:rPr>
      <w:rFonts w:asciiTheme="minorHAnsi" w:hAnsiTheme="minorHAnsi" w:cstheme="minorHAnsi"/>
      <w:sz w:val="18"/>
      <w:szCs w:val="18"/>
    </w:rPr>
  </w:style>
  <w:style w:type="paragraph" w:customStyle="1" w:styleId="StyleHeading1BoldNounderline">
    <w:name w:val="Style Heading 1 + Bold No underline"/>
    <w:basedOn w:val="heading12"/>
    <w:link w:val="StyleHeading1BoldNounderlineChar"/>
    <w:rsid w:val="0027613D"/>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27613D"/>
    <w:rPr>
      <w:rFonts w:ascii="Arial" w:hAnsi="Arial"/>
      <w:b/>
      <w:bCs/>
      <w:sz w:val="24"/>
      <w:szCs w:val="24"/>
      <w:u w:val="single"/>
      <w:lang w:val="en-US" w:eastAsia="en-US" w:bidi="ar-SA"/>
    </w:rPr>
  </w:style>
  <w:style w:type="character" w:customStyle="1" w:styleId="Heading1Char">
    <w:name w:val="Heading 1 Char"/>
    <w:aliases w:val="l1 Char"/>
    <w:link w:val="heading12"/>
    <w:rsid w:val="0027613D"/>
    <w:rPr>
      <w:b/>
      <w:caps/>
      <w:sz w:val="22"/>
      <w:lang w:val="en-US" w:eastAsia="en-US" w:bidi="ar-SA"/>
    </w:rPr>
  </w:style>
  <w:style w:type="paragraph" w:customStyle="1" w:styleId="Char">
    <w:name w:val="Char"/>
    <w:basedOn w:val="Normal2"/>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2"/>
    <w:rsid w:val="0027613D"/>
    <w:pPr>
      <w:widowControl w:val="0"/>
      <w:autoSpaceDE/>
      <w:autoSpaceDN/>
      <w:adjustRightInd/>
    </w:pPr>
    <w:rPr>
      <w:sz w:val="24"/>
    </w:rPr>
  </w:style>
  <w:style w:type="character" w:customStyle="1" w:styleId="CommentTextChar">
    <w:name w:val="Comment Text Char"/>
    <w:link w:val="CommentText"/>
    <w:uiPriority w:val="99"/>
    <w:rsid w:val="00D932E9"/>
    <w:rPr>
      <w:sz w:val="22"/>
    </w:rPr>
  </w:style>
  <w:style w:type="paragraph" w:customStyle="1" w:styleId="BodyText20">
    <w:name w:val="Body Text2"/>
    <w:basedOn w:val="Normal2"/>
    <w:rsid w:val="00D932E9"/>
    <w:pPr>
      <w:autoSpaceDE/>
      <w:autoSpaceDN/>
      <w:adjustRightInd/>
      <w:spacing w:after="240" w:line="300" w:lineRule="exact"/>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2"/>
    <w:link w:val="ListParagraphChar"/>
    <w:uiPriority w:val="34"/>
    <w:qFormat/>
    <w:rsid w:val="00C44FE7"/>
    <w:pPr>
      <w:autoSpaceDE/>
      <w:autoSpaceDN/>
      <w:adjustRightInd/>
      <w:ind w:left="720"/>
    </w:pPr>
    <w:rPr>
      <w:rFonts w:ascii="Calibri" w:eastAsia="Calibri" w:hAnsi="Calibri"/>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ocked/>
    <w:rsid w:val="005A3545"/>
    <w:rPr>
      <w:sz w:val="22"/>
    </w:rPr>
  </w:style>
  <w:style w:type="paragraph" w:customStyle="1" w:styleId="hivsmalltext">
    <w:name w:val="hivsmalltext"/>
    <w:basedOn w:val="Normal2"/>
    <w:rsid w:val="00EF6BC3"/>
    <w:pPr>
      <w:autoSpaceDE/>
      <w:autoSpaceDN/>
      <w:adjustRightInd/>
      <w:spacing w:before="100" w:beforeAutospacing="1" w:after="100" w:afterAutospacing="1"/>
    </w:pPr>
    <w:rPr>
      <w:sz w:val="24"/>
      <w:szCs w:val="24"/>
    </w:rPr>
  </w:style>
  <w:style w:type="character" w:customStyle="1" w:styleId="tp-label">
    <w:name w:val="tp-label"/>
    <w:rsid w:val="00EF6BC3"/>
  </w:style>
  <w:style w:type="character" w:styleId="Emphasis">
    <w:name w:val="Emphasis"/>
    <w:uiPriority w:val="20"/>
    <w:qFormat/>
    <w:rsid w:val="00EF6BC3"/>
    <w:rPr>
      <w:i/>
      <w:iCs/>
    </w:rPr>
  </w:style>
  <w:style w:type="character" w:customStyle="1" w:styleId="FooterChar">
    <w:name w:val="Footer Char"/>
    <w:link w:val="Footer"/>
    <w:uiPriority w:val="99"/>
    <w:rsid w:val="008A3B68"/>
    <w:rPr>
      <w:color w:val="000000"/>
      <w:sz w:val="22"/>
    </w:rPr>
  </w:style>
  <w:style w:type="character" w:customStyle="1" w:styleId="Heading3Char">
    <w:name w:val="Heading 3 Char"/>
    <w:aliases w:val="l3 Char"/>
    <w:link w:val="heading32"/>
    <w:uiPriority w:val="9"/>
    <w:rsid w:val="008A3B68"/>
    <w:rPr>
      <w:b/>
      <w:i/>
      <w:sz w:val="22"/>
    </w:rPr>
  </w:style>
  <w:style w:type="paragraph" w:styleId="Revision">
    <w:name w:val="Revision"/>
    <w:hidden/>
    <w:uiPriority w:val="99"/>
    <w:semiHidden/>
    <w:rsid w:val="00901CDC"/>
  </w:style>
  <w:style w:type="character" w:customStyle="1" w:styleId="ListParagraphChar">
    <w:name w:val="List Paragraph Char"/>
    <w:link w:val="ListParagraph"/>
    <w:uiPriority w:val="34"/>
    <w:locked/>
    <w:rsid w:val="00250C2B"/>
    <w:rPr>
      <w:rFonts w:ascii="Calibri" w:eastAsia="Calibri" w:hAnsi="Calibri"/>
      <w:sz w:val="22"/>
      <w:szCs w:val="22"/>
    </w:rPr>
  </w:style>
  <w:style w:type="character" w:styleId="UnresolvedMention">
    <w:name w:val="Unresolved Mention"/>
    <w:basedOn w:val="DefaultParagraphFont"/>
    <w:uiPriority w:val="99"/>
    <w:unhideWhenUsed/>
    <w:rsid w:val="0002368B"/>
    <w:rPr>
      <w:color w:val="605E5C"/>
      <w:shd w:val="clear" w:color="auto" w:fill="E1DFDD"/>
    </w:rPr>
  </w:style>
  <w:style w:type="character" w:customStyle="1" w:styleId="cf01">
    <w:name w:val="cf01"/>
    <w:basedOn w:val="DefaultParagraphFont"/>
    <w:rsid w:val="0002368B"/>
    <w:rPr>
      <w:rFonts w:ascii="Segoe UI" w:hAnsi="Segoe UI" w:cs="Segoe UI" w:hint="default"/>
      <w:color w:val="666666"/>
      <w:sz w:val="18"/>
      <w:szCs w:val="18"/>
    </w:rPr>
  </w:style>
  <w:style w:type="table" w:customStyle="1" w:styleId="a">
    <w:name w:val="a"/>
    <w:basedOn w:val="NormalTable2"/>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NormalTable2"/>
    <w:tblPr>
      <w:tblStyleRowBandSize w:val="1"/>
      <w:tblStyleColBandSize w:val="1"/>
      <w:tblCellMar>
        <w:left w:w="115" w:type="dxa"/>
        <w:right w:w="115" w:type="dxa"/>
      </w:tblCellMar>
    </w:tblPr>
  </w:style>
  <w:style w:type="table" w:customStyle="1" w:styleId="a1">
    <w:name w:val="a1"/>
    <w:basedOn w:val="NormalTable2"/>
    <w:tblPr>
      <w:tblStyleRowBandSize w:val="1"/>
      <w:tblStyleColBandSize w:val="1"/>
      <w:tblCellMar>
        <w:left w:w="115" w:type="dxa"/>
        <w:right w:w="115" w:type="dxa"/>
      </w:tblCellMar>
    </w:tblPr>
  </w:style>
  <w:style w:type="table" w:customStyle="1" w:styleId="a2">
    <w:name w:val="a2"/>
    <w:basedOn w:val="NormalTable2"/>
    <w:tblPr>
      <w:tblStyleRowBandSize w:val="1"/>
      <w:tblStyleColBandSize w:val="1"/>
      <w:tblCellMar>
        <w:left w:w="115" w:type="dxa"/>
        <w:right w:w="115" w:type="dxa"/>
      </w:tblCellMar>
    </w:tblPr>
  </w:style>
  <w:style w:type="table" w:customStyle="1" w:styleId="a3">
    <w:name w:val="a3"/>
    <w:basedOn w:val="NormalTable2"/>
    <w:tblPr>
      <w:tblStyleRowBandSize w:val="1"/>
      <w:tblStyleColBandSize w:val="1"/>
      <w:tblCellMar>
        <w:left w:w="115" w:type="dxa"/>
        <w:right w:w="115" w:type="dxa"/>
      </w:tblCellMar>
    </w:tblPr>
  </w:style>
  <w:style w:type="table" w:customStyle="1" w:styleId="a4">
    <w:name w:val="a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NormalTable2"/>
    <w:tblPr>
      <w:tblStyleRowBandSize w:val="1"/>
      <w:tblStyleColBandSize w:val="1"/>
      <w:tblCellMar>
        <w:left w:w="115" w:type="dxa"/>
        <w:right w:w="115" w:type="dxa"/>
      </w:tblCellMar>
    </w:tblPr>
  </w:style>
  <w:style w:type="table" w:customStyle="1" w:styleId="a7">
    <w:name w:val="a7"/>
    <w:basedOn w:val="NormalTable2"/>
    <w:tblPr>
      <w:tblStyleRowBandSize w:val="1"/>
      <w:tblStyleColBandSize w:val="1"/>
      <w:tblCellMar>
        <w:left w:w="115" w:type="dxa"/>
        <w:right w:w="115" w:type="dxa"/>
      </w:tblCellMar>
    </w:tblPr>
  </w:style>
  <w:style w:type="table" w:customStyle="1" w:styleId="a8">
    <w:name w:val="a8"/>
    <w:basedOn w:val="NormalTable2"/>
    <w:tblPr>
      <w:tblStyleRowBandSize w:val="1"/>
      <w:tblStyleColBandSize w:val="1"/>
      <w:tblCellMar>
        <w:left w:w="115" w:type="dxa"/>
        <w:right w:w="115" w:type="dxa"/>
      </w:tblCellMar>
    </w:tblPr>
  </w:style>
  <w:style w:type="table" w:customStyle="1" w:styleId="a9">
    <w:name w:val="a9"/>
    <w:basedOn w:val="NormalTable2"/>
    <w:tblPr>
      <w:tblStyleRowBandSize w:val="1"/>
      <w:tblStyleColBandSize w:val="1"/>
      <w:tblCellMar>
        <w:left w:w="115" w:type="dxa"/>
        <w:right w:w="115" w:type="dxa"/>
      </w:tblCellMar>
    </w:tblPr>
  </w:style>
  <w:style w:type="table" w:customStyle="1" w:styleId="aa">
    <w:name w:val="aa"/>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b">
    <w:name w:val="ab"/>
    <w:basedOn w:val="NormalTable2"/>
    <w:tblPr>
      <w:tblStyleRowBandSize w:val="1"/>
      <w:tblStyleColBandSize w:val="1"/>
      <w:tblCellMar>
        <w:left w:w="115" w:type="dxa"/>
        <w:right w:w="115" w:type="dxa"/>
      </w:tblCellMar>
    </w:tblPr>
  </w:style>
  <w:style w:type="table" w:customStyle="1" w:styleId="ac">
    <w:name w:val="ac"/>
    <w:basedOn w:val="NormalTable2"/>
    <w:tblPr>
      <w:tblStyleRowBandSize w:val="1"/>
      <w:tblStyleColBandSize w:val="1"/>
      <w:tblCellMar>
        <w:left w:w="115" w:type="dxa"/>
        <w:right w:w="115" w:type="dxa"/>
      </w:tblCellMar>
    </w:tblPr>
  </w:style>
  <w:style w:type="table" w:customStyle="1" w:styleId="ad">
    <w:name w:val="ad"/>
    <w:basedOn w:val="NormalTable2"/>
    <w:tblPr>
      <w:tblStyleRowBandSize w:val="1"/>
      <w:tblStyleColBandSize w:val="1"/>
      <w:tblCellMar>
        <w:left w:w="115" w:type="dxa"/>
        <w:right w:w="115" w:type="dxa"/>
      </w:tblCellMar>
    </w:tblPr>
  </w:style>
  <w:style w:type="table" w:customStyle="1" w:styleId="ae">
    <w:name w:val="ae"/>
    <w:basedOn w:val="NormalTable2"/>
    <w:tblPr>
      <w:tblStyleRowBandSize w:val="1"/>
      <w:tblStyleColBandSize w:val="1"/>
      <w:tblCellMar>
        <w:left w:w="115" w:type="dxa"/>
        <w:right w:w="115" w:type="dxa"/>
      </w:tblCellMar>
    </w:tblPr>
  </w:style>
  <w:style w:type="paragraph" w:styleId="TOCHeading">
    <w:name w:val="TOC Heading"/>
    <w:basedOn w:val="heading12"/>
    <w:next w:val="Normal2"/>
    <w:uiPriority w:val="39"/>
    <w:unhideWhenUsed/>
    <w:qFormat/>
    <w:rsid w:val="0032744C"/>
    <w:pPr>
      <w:keepNext/>
      <w:keepLine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rPr>
  </w:style>
  <w:style w:type="table" w:customStyle="1" w:styleId="af">
    <w:name w:val="af"/>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0">
    <w:name w:val="af0"/>
    <w:basedOn w:val="NormalTable2"/>
    <w:tblPr>
      <w:tblStyleRowBandSize w:val="1"/>
      <w:tblStyleColBandSize w:val="1"/>
      <w:tblCellMar>
        <w:left w:w="115" w:type="dxa"/>
        <w:right w:w="115" w:type="dxa"/>
      </w:tblCellMar>
    </w:tblPr>
  </w:style>
  <w:style w:type="table" w:customStyle="1" w:styleId="af1">
    <w:name w:val="af1"/>
    <w:basedOn w:val="NormalTable2"/>
    <w:tblPr>
      <w:tblStyleRowBandSize w:val="1"/>
      <w:tblStyleColBandSize w:val="1"/>
      <w:tblCellMar>
        <w:left w:w="115" w:type="dxa"/>
        <w:right w:w="115" w:type="dxa"/>
      </w:tblCellMar>
    </w:tblPr>
  </w:style>
  <w:style w:type="table" w:customStyle="1" w:styleId="af2">
    <w:name w:val="af2"/>
    <w:basedOn w:val="NormalTable2"/>
    <w:tblPr>
      <w:tblStyleRowBandSize w:val="1"/>
      <w:tblStyleColBandSize w:val="1"/>
      <w:tblCellMar>
        <w:left w:w="115" w:type="dxa"/>
        <w:right w:w="115" w:type="dxa"/>
      </w:tblCellMar>
    </w:tblPr>
  </w:style>
  <w:style w:type="table" w:customStyle="1" w:styleId="af3">
    <w:name w:val="af3"/>
    <w:basedOn w:val="NormalTable2"/>
    <w:tblPr>
      <w:tblStyleRowBandSize w:val="1"/>
      <w:tblStyleColBandSize w:val="1"/>
      <w:tblCellMar>
        <w:left w:w="115" w:type="dxa"/>
        <w:right w:w="115" w:type="dxa"/>
      </w:tblCellMar>
    </w:tblPr>
  </w:style>
  <w:style w:type="table" w:customStyle="1" w:styleId="af4">
    <w:name w:val="af4"/>
    <w:basedOn w:val="NormalTable2"/>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5">
    <w:name w:val="af5"/>
    <w:basedOn w:val="NormalTable2"/>
    <w:tblPr>
      <w:tblStyleRowBandSize w:val="1"/>
      <w:tblStyleColBandSize w:val="1"/>
      <w:tblCellMar>
        <w:top w:w="100" w:type="dxa"/>
        <w:left w:w="100" w:type="dxa"/>
        <w:bottom w:w="100" w:type="dxa"/>
        <w:right w:w="100" w:type="dxa"/>
      </w:tblCellMar>
    </w:tblPr>
  </w:style>
  <w:style w:type="table" w:customStyle="1" w:styleId="af6">
    <w:name w:val="af6"/>
    <w:basedOn w:val="NormalTable2"/>
    <w:tblPr>
      <w:tblStyleRowBandSize w:val="1"/>
      <w:tblStyleColBandSize w:val="1"/>
      <w:tblCellMar>
        <w:top w:w="100" w:type="dxa"/>
        <w:left w:w="100" w:type="dxa"/>
        <w:bottom w:w="100" w:type="dxa"/>
        <w:right w:w="100" w:type="dxa"/>
      </w:tblCellMar>
    </w:tblPr>
  </w:style>
  <w:style w:type="table" w:customStyle="1" w:styleId="af7">
    <w:name w:val="af7"/>
    <w:basedOn w:val="NormalTable2"/>
    <w:tblPr>
      <w:tblStyleRowBandSize w:val="1"/>
      <w:tblStyleColBandSize w:val="1"/>
      <w:tblCellMar>
        <w:left w:w="115" w:type="dxa"/>
        <w:right w:w="115" w:type="dxa"/>
      </w:tblCellMar>
    </w:tblPr>
  </w:style>
  <w:style w:type="table" w:customStyle="1" w:styleId="af8">
    <w:name w:val="af8"/>
    <w:basedOn w:val="NormalTable2"/>
    <w:tblPr>
      <w:tblStyleRowBandSize w:val="1"/>
      <w:tblStyleColBandSize w:val="1"/>
      <w:tblCellMar>
        <w:left w:w="115" w:type="dxa"/>
        <w:right w:w="115" w:type="dxa"/>
      </w:tblCellMar>
    </w:tblPr>
  </w:style>
  <w:style w:type="paragraph" w:customStyle="1" w:styleId="Subtitle0">
    <w:name w:val="Subtitle0"/>
    <w:basedOn w:val="Normal2"/>
    <w:next w:val="Normal2"/>
    <w:pPr>
      <w:spacing w:after="60"/>
      <w:jc w:val="center"/>
    </w:pPr>
    <w:rPr>
      <w:rFonts w:ascii="Arial" w:eastAsia="Arial" w:hAnsi="Arial" w:cs="Arial"/>
      <w:sz w:val="24"/>
      <w:szCs w:val="24"/>
    </w:rPr>
  </w:style>
  <w:style w:type="table" w:customStyle="1" w:styleId="af9">
    <w:name w:val="af9"/>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a">
    <w:name w:val="afa"/>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b">
    <w:name w:val="afb"/>
    <w:basedOn w:val="NormalTable2"/>
    <w:tblPr>
      <w:tblStyleRowBandSize w:val="1"/>
      <w:tblStyleColBandSize w:val="1"/>
      <w:tblCellMar>
        <w:top w:w="100" w:type="dxa"/>
        <w:left w:w="100" w:type="dxa"/>
        <w:bottom w:w="100" w:type="dxa"/>
        <w:right w:w="100" w:type="dxa"/>
      </w:tblCellMar>
    </w:tblPr>
  </w:style>
  <w:style w:type="table" w:customStyle="1" w:styleId="afc">
    <w:name w:val="afc"/>
    <w:basedOn w:val="NormalTable2"/>
    <w:tblPr>
      <w:tblStyleRowBandSize w:val="1"/>
      <w:tblStyleColBandSize w:val="1"/>
      <w:tblCellMar>
        <w:top w:w="100" w:type="dxa"/>
        <w:left w:w="100" w:type="dxa"/>
        <w:bottom w:w="100" w:type="dxa"/>
        <w:right w:w="100" w:type="dxa"/>
      </w:tblCellMar>
    </w:tblPr>
  </w:style>
  <w:style w:type="table" w:customStyle="1" w:styleId="afd">
    <w:name w:val="afd"/>
    <w:basedOn w:val="NormalTable2"/>
    <w:tblPr>
      <w:tblStyleRowBandSize w:val="1"/>
      <w:tblStyleColBandSize w:val="1"/>
      <w:tblCellMar>
        <w:top w:w="100" w:type="dxa"/>
        <w:left w:w="115" w:type="dxa"/>
        <w:bottom w:w="100" w:type="dxa"/>
        <w:right w:w="115" w:type="dxa"/>
      </w:tblCellMar>
    </w:tblPr>
  </w:style>
  <w:style w:type="table" w:customStyle="1" w:styleId="afe">
    <w:name w:val="afe"/>
    <w:basedOn w:val="NormalTable2"/>
    <w:tblPr>
      <w:tblStyleRowBandSize w:val="1"/>
      <w:tblStyleColBandSize w:val="1"/>
      <w:tblCellMar>
        <w:top w:w="100" w:type="dxa"/>
        <w:left w:w="115" w:type="dxa"/>
        <w:bottom w:w="100" w:type="dxa"/>
        <w:right w:w="115" w:type="dxa"/>
      </w:tblCellMar>
    </w:tblPr>
  </w:style>
  <w:style w:type="paragraph" w:customStyle="1" w:styleId="Subtitle1">
    <w:name w:val="Subtitle1"/>
    <w:basedOn w:val="Normal2"/>
    <w:next w:val="Normal2"/>
    <w:pPr>
      <w:spacing w:after="60"/>
      <w:jc w:val="center"/>
    </w:pPr>
    <w:rPr>
      <w:rFonts w:ascii="Arial" w:eastAsia="Arial" w:hAnsi="Arial" w:cs="Arial"/>
      <w:sz w:val="24"/>
      <w:szCs w:val="24"/>
    </w:rPr>
  </w:style>
  <w:style w:type="table" w:customStyle="1" w:styleId="aff">
    <w:name w:val="aff"/>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0">
    <w:name w:val="aff0"/>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1">
    <w:name w:val="aff1"/>
    <w:basedOn w:val="NormalTable2"/>
    <w:tblPr>
      <w:tblStyleRowBandSize w:val="1"/>
      <w:tblStyleColBandSize w:val="1"/>
      <w:tblCellMar>
        <w:top w:w="100" w:type="dxa"/>
        <w:left w:w="100" w:type="dxa"/>
        <w:bottom w:w="100" w:type="dxa"/>
        <w:right w:w="100" w:type="dxa"/>
      </w:tblCellMar>
    </w:tblPr>
  </w:style>
  <w:style w:type="table" w:customStyle="1" w:styleId="aff2">
    <w:name w:val="aff2"/>
    <w:basedOn w:val="NormalTable2"/>
    <w:tblPr>
      <w:tblStyleRowBandSize w:val="1"/>
      <w:tblStyleColBandSize w:val="1"/>
      <w:tblCellMar>
        <w:top w:w="100" w:type="dxa"/>
        <w:left w:w="100" w:type="dxa"/>
        <w:bottom w:w="100" w:type="dxa"/>
        <w:right w:w="100" w:type="dxa"/>
      </w:tblCellMar>
    </w:tblPr>
  </w:style>
  <w:style w:type="table" w:customStyle="1" w:styleId="aff3">
    <w:name w:val="aff3"/>
    <w:basedOn w:val="NormalTable2"/>
    <w:tblPr>
      <w:tblStyleRowBandSize w:val="1"/>
      <w:tblStyleColBandSize w:val="1"/>
      <w:tblCellMar>
        <w:top w:w="100" w:type="dxa"/>
        <w:left w:w="115" w:type="dxa"/>
        <w:bottom w:w="100" w:type="dxa"/>
        <w:right w:w="115" w:type="dxa"/>
      </w:tblCellMar>
    </w:tblPr>
  </w:style>
  <w:style w:type="table" w:customStyle="1" w:styleId="aff4">
    <w:name w:val="aff4"/>
    <w:basedOn w:val="NormalTable2"/>
    <w:tblPr>
      <w:tblStyleRowBandSize w:val="1"/>
      <w:tblStyleColBandSize w:val="1"/>
      <w:tblCellMar>
        <w:top w:w="100" w:type="dxa"/>
        <w:left w:w="115" w:type="dxa"/>
        <w:bottom w:w="100" w:type="dxa"/>
        <w:right w:w="115" w:type="dxa"/>
      </w:tblCellMar>
    </w:tblPr>
  </w:style>
  <w:style w:type="paragraph" w:customStyle="1" w:styleId="Subtitle2">
    <w:name w:val="Subtitle2"/>
    <w:basedOn w:val="Normal2"/>
    <w:next w:val="Normal2"/>
    <w:pPr>
      <w:spacing w:after="60"/>
      <w:jc w:val="center"/>
    </w:pPr>
    <w:rPr>
      <w:rFonts w:ascii="Arial" w:eastAsia="Arial" w:hAnsi="Arial" w:cs="Arial"/>
      <w:sz w:val="24"/>
      <w:szCs w:val="24"/>
    </w:rPr>
  </w:style>
  <w:style w:type="table" w:customStyle="1" w:styleId="aff5">
    <w:name w:val="aff5"/>
    <w:basedOn w:val="NormalTable2"/>
    <w:tblPr>
      <w:tblStyleRowBandSize w:val="1"/>
      <w:tblStyleColBandSize w:val="1"/>
      <w:tblCellMar>
        <w:top w:w="100" w:type="dxa"/>
        <w:left w:w="100" w:type="dxa"/>
        <w:bottom w:w="100" w:type="dxa"/>
        <w:right w:w="100" w:type="dxa"/>
      </w:tblCellMar>
    </w:tblPr>
  </w:style>
  <w:style w:type="table" w:customStyle="1" w:styleId="aff6">
    <w:name w:val="aff6"/>
    <w:basedOn w:val="NormalTable2"/>
    <w:tblPr>
      <w:tblStyleRowBandSize w:val="1"/>
      <w:tblStyleColBandSize w:val="1"/>
      <w:tblCellMar>
        <w:top w:w="100" w:type="dxa"/>
        <w:left w:w="115" w:type="dxa"/>
        <w:bottom w:w="10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7">
    <w:name w:val="aff7"/>
    <w:basedOn w:val="NormalTable2"/>
    <w:tblPr>
      <w:tblStyleRowBandSize w:val="1"/>
      <w:tblStyleColBandSize w:val="1"/>
      <w:tblCellMar>
        <w:top w:w="100" w:type="dxa"/>
        <w:left w:w="100" w:type="dxa"/>
        <w:bottom w:w="100" w:type="dxa"/>
        <w:right w:w="100" w:type="dxa"/>
      </w:tblCellMar>
    </w:tblPr>
  </w:style>
  <w:style w:type="table" w:customStyle="1" w:styleId="aff8">
    <w:name w:val="aff8"/>
    <w:basedOn w:val="NormalTable2"/>
    <w:tblPr>
      <w:tblStyleRowBandSize w:val="1"/>
      <w:tblStyleColBandSize w:val="1"/>
      <w:tblCellMar>
        <w:top w:w="100" w:type="dxa"/>
        <w:left w:w="100" w:type="dxa"/>
        <w:bottom w:w="100" w:type="dxa"/>
        <w:right w:w="100" w:type="dxa"/>
      </w:tblCellMar>
    </w:tblPr>
  </w:style>
  <w:style w:type="table" w:customStyle="1" w:styleId="aff9">
    <w:name w:val="aff9"/>
    <w:basedOn w:val="NormalTable2"/>
    <w:tblPr>
      <w:tblStyleRowBandSize w:val="1"/>
      <w:tblStyleColBandSize w:val="1"/>
      <w:tblCellMar>
        <w:top w:w="100" w:type="dxa"/>
        <w:left w:w="115" w:type="dxa"/>
        <w:bottom w:w="100" w:type="dxa"/>
        <w:right w:w="115" w:type="dxa"/>
      </w:tblCellMar>
    </w:tblPr>
  </w:style>
  <w:style w:type="table" w:customStyle="1" w:styleId="affa">
    <w:name w:val="affa"/>
    <w:basedOn w:val="NormalTable2"/>
    <w:tblPr>
      <w:tblStyleRowBandSize w:val="1"/>
      <w:tblStyleColBandSize w:val="1"/>
      <w:tblCellMar>
        <w:top w:w="100" w:type="dxa"/>
        <w:left w:w="115" w:type="dxa"/>
        <w:bottom w:w="100" w:type="dxa"/>
        <w:right w:w="115" w:type="dxa"/>
      </w:tblCellMar>
    </w:tblPr>
  </w:style>
  <w:style w:type="character" w:styleId="Mention">
    <w:name w:val="Mention"/>
    <w:basedOn w:val="DefaultParagraphFont"/>
    <w:uiPriority w:val="99"/>
    <w:unhideWhenUsed/>
    <w:rsid w:val="0056193B"/>
    <w:rPr>
      <w:color w:val="2B579A"/>
      <w:shd w:val="clear" w:color="auto" w:fill="E1DFDD"/>
    </w:rPr>
  </w:style>
  <w:style w:type="paragraph" w:styleId="Bibliography">
    <w:name w:val="Bibliography"/>
    <w:basedOn w:val="Normal"/>
    <w:next w:val="Normal"/>
    <w:uiPriority w:val="37"/>
    <w:unhideWhenUsed/>
    <w:rsid w:val="00F9787B"/>
    <w:pPr>
      <w:tabs>
        <w:tab w:val="left" w:pos="260"/>
      </w:tabs>
      <w:spacing w:after="240"/>
      <w:ind w:left="264" w:hanging="264"/>
    </w:pPr>
  </w:style>
  <w:style w:type="character" w:customStyle="1" w:styleId="Heading4Char">
    <w:name w:val="Heading 4 Char"/>
    <w:basedOn w:val="DefaultParagraphFont"/>
    <w:link w:val="Heading4"/>
    <w:uiPriority w:val="9"/>
    <w:rsid w:val="008B1376"/>
    <w:rPr>
      <w:i/>
    </w:rPr>
  </w:style>
  <w:style w:type="paragraph" w:customStyle="1" w:styleId="coverdate">
    <w:name w:val="cover date"/>
    <w:qFormat/>
    <w:rsid w:val="008B1376"/>
    <w:pPr>
      <w:spacing w:line="440" w:lineRule="exact"/>
    </w:pPr>
    <w:rPr>
      <w:rFonts w:ascii="Arial" w:hAnsi="Arial"/>
      <w:sz w:val="34"/>
      <w:szCs w:val="26"/>
    </w:rPr>
  </w:style>
  <w:style w:type="numbering" w:customStyle="1" w:styleId="NoList1">
    <w:name w:val="No List1"/>
    <w:next w:val="NoList"/>
    <w:uiPriority w:val="99"/>
    <w:semiHidden/>
    <w:unhideWhenUsed/>
    <w:rsid w:val="00270855"/>
  </w:style>
  <w:style w:type="character" w:customStyle="1" w:styleId="HeaderChar">
    <w:name w:val="Header Char"/>
    <w:basedOn w:val="DefaultParagraphFont"/>
    <w:link w:val="Header"/>
    <w:uiPriority w:val="99"/>
    <w:rsid w:val="00270855"/>
    <w:rPr>
      <w:sz w:val="24"/>
      <w:szCs w:val="24"/>
    </w:rPr>
  </w:style>
  <w:style w:type="character" w:customStyle="1" w:styleId="BalloonTextChar">
    <w:name w:val="Balloon Text Char"/>
    <w:basedOn w:val="DefaultParagraphFont"/>
    <w:link w:val="BalloonText"/>
    <w:uiPriority w:val="99"/>
    <w:semiHidden/>
    <w:rsid w:val="00270855"/>
    <w:rPr>
      <w:rFonts w:ascii="Tahoma" w:hAnsi="Tahoma" w:cs="Tahoma"/>
      <w:sz w:val="16"/>
      <w:szCs w:val="16"/>
    </w:rPr>
  </w:style>
  <w:style w:type="table" w:customStyle="1" w:styleId="TableGrid1">
    <w:name w:val="Table Grid1"/>
    <w:basedOn w:val="TableNormal"/>
    <w:next w:val="TableGrid"/>
    <w:uiPriority w:val="59"/>
    <w:rsid w:val="00270855"/>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Default"/>
    <w:next w:val="Default"/>
    <w:uiPriority w:val="99"/>
    <w:rsid w:val="00270855"/>
    <w:pPr>
      <w:widowControl/>
    </w:pPr>
    <w:rPr>
      <w:rFonts w:ascii="Arial" w:hAnsi="Arial" w:cs="Arial"/>
      <w:color w:val="auto"/>
    </w:rPr>
  </w:style>
  <w:style w:type="character" w:customStyle="1" w:styleId="Heading2Char">
    <w:name w:val="Heading 2 Char"/>
    <w:basedOn w:val="DefaultParagraphFont"/>
    <w:link w:val="Heading2"/>
    <w:uiPriority w:val="9"/>
    <w:rsid w:val="00270855"/>
    <w:rPr>
      <w:b/>
    </w:rPr>
  </w:style>
  <w:style w:type="paragraph" w:customStyle="1" w:styleId="B1BodyCopy">
    <w:name w:val="B1 Body Copy"/>
    <w:basedOn w:val="Normal"/>
    <w:qFormat/>
    <w:rsid w:val="00270855"/>
    <w:pPr>
      <w:tabs>
        <w:tab w:val="right" w:pos="9360"/>
      </w:tabs>
      <w:spacing w:line="276" w:lineRule="auto"/>
      <w:ind w:left="720"/>
    </w:pPr>
    <w:rPr>
      <w:rFonts w:ascii="Myriad Pro" w:eastAsia="Calibri" w:hAnsi="Myriad Pro"/>
      <w:color w:val="1F497D"/>
    </w:rPr>
  </w:style>
  <w:style w:type="character" w:customStyle="1" w:styleId="CommentSubjectChar">
    <w:name w:val="Comment Subject Char"/>
    <w:basedOn w:val="CommentTextChar"/>
    <w:link w:val="CommentSubject"/>
    <w:uiPriority w:val="99"/>
    <w:semiHidden/>
    <w:rsid w:val="00270855"/>
    <w:rPr>
      <w:b/>
      <w:bCs/>
      <w:sz w:val="22"/>
    </w:rPr>
  </w:style>
  <w:style w:type="character" w:customStyle="1" w:styleId="Heading5Char">
    <w:name w:val="Heading 5 Char"/>
    <w:basedOn w:val="DefaultParagraphFont"/>
    <w:link w:val="Heading5"/>
    <w:uiPriority w:val="9"/>
    <w:rsid w:val="00270855"/>
    <w:rPr>
      <w:b/>
      <w:i/>
      <w:sz w:val="26"/>
      <w:szCs w:val="26"/>
    </w:rPr>
  </w:style>
  <w:style w:type="character" w:customStyle="1" w:styleId="Heading6Char">
    <w:name w:val="Heading 6 Char"/>
    <w:basedOn w:val="DefaultParagraphFont"/>
    <w:link w:val="Heading6"/>
    <w:uiPriority w:val="9"/>
    <w:rsid w:val="00270855"/>
    <w:rPr>
      <w:b/>
    </w:rPr>
  </w:style>
  <w:style w:type="character" w:customStyle="1" w:styleId="cf11">
    <w:name w:val="cf11"/>
    <w:basedOn w:val="DefaultParagraphFont"/>
    <w:rsid w:val="00C538BC"/>
    <w:rPr>
      <w:rFonts w:ascii="Segoe UI" w:hAnsi="Segoe UI" w:cs="Segoe UI" w:hint="default"/>
      <w:color w:val="0563C1"/>
      <w:sz w:val="18"/>
      <w:szCs w:val="18"/>
      <w:u w:val="single"/>
    </w:rPr>
  </w:style>
  <w:style w:type="paragraph" w:customStyle="1" w:styleId="paragraph">
    <w:name w:val="paragraph"/>
    <w:basedOn w:val="Normal"/>
    <w:rsid w:val="001545FC"/>
    <w:pPr>
      <w:spacing w:before="100" w:beforeAutospacing="1" w:after="100" w:afterAutospacing="1"/>
    </w:pPr>
    <w:rPr>
      <w:sz w:val="24"/>
      <w:szCs w:val="24"/>
    </w:rPr>
  </w:style>
  <w:style w:type="character" w:customStyle="1" w:styleId="normaltextrun">
    <w:name w:val="normaltextrun"/>
    <w:basedOn w:val="DefaultParagraphFont"/>
    <w:rsid w:val="001545FC"/>
  </w:style>
  <w:style w:type="character" w:customStyle="1" w:styleId="eop">
    <w:name w:val="eop"/>
    <w:basedOn w:val="DefaultParagraphFont"/>
    <w:rsid w:val="0015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glfhc.org/faculty-and-staff/" TargetMode="External" /><Relationship Id="rId16" Type="http://schemas.openxmlformats.org/officeDocument/2006/relationships/hyperlink" Target="http://dx.doi.org/10.15585/mmwr.mm7315a1" TargetMode="External" /><Relationship Id="rId17" Type="http://schemas.openxmlformats.org/officeDocument/2006/relationships/hyperlink" Target="https://www.nasa.gov/earth/nasa-finds-summer-2024-hottest-to-date/" TargetMode="External" /><Relationship Id="rId18" Type="http://schemas.openxmlformats.org/officeDocument/2006/relationships/hyperlink" Target="https://nca2023.globalchange.gov/" TargetMode="External" /><Relationship Id="rId19" Type="http://schemas.openxmlformats.org/officeDocument/2006/relationships/hyperlink" Target="https://www.americares.org/what-we-do/community-health/climate-resilient-health-clinics/" TargetMode="External" /><Relationship Id="rId2" Type="http://schemas.openxmlformats.org/officeDocument/2006/relationships/webSettings" Target="webSettings.xml" /><Relationship Id="rId20" Type="http://schemas.openxmlformats.org/officeDocument/2006/relationships/hyperlink" Target="https://doi.org/10.1186/1748-5908-7-50" TargetMode="External" /><Relationship Id="rId21" Type="http://schemas.openxmlformats.org/officeDocument/2006/relationships/hyperlink" Target="https://www.bls.gov/ces/data/employment-and-earnings/2022/summarytable_202212.htm"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416qLU8bxUTcLXRiBF8i0ABVQ==">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
        <AccountId xsi:nil="true"/>
        <AccountType/>
      </UserInfo>
    </SharedWithUsers>
    <TaxCatchAll xmlns="ee43d889-edc4-48e1-b12c-dadc2f31c19b" xsi:nil="true"/>
    <lcf76f155ced4ddcb4097134ff3c332f xmlns="ac88879c-8775-4fb3-bbeb-7d83bdfaa3b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F485C-E369-4E03-B7DD-E5A9B0EC9D9B}">
  <ds:schemaRefs>
    <ds:schemaRef ds:uri="http://schemas.microsoft.com/sharepoint/v3/contenttype/forms"/>
  </ds:schemaRefs>
</ds:datastoreItem>
</file>

<file path=customXml/itemProps3.xml><?xml version="1.0" encoding="utf-8"?>
<ds:datastoreItem xmlns:ds="http://schemas.openxmlformats.org/officeDocument/2006/customXml" ds:itemID="{EBA53384-19D5-CD45-BBC6-C7BEBAD19218}">
  <ds:schemaRefs>
    <ds:schemaRef ds:uri="http://schemas.openxmlformats.org/officeDocument/2006/bibliography"/>
  </ds:schemaRefs>
</ds:datastoreItem>
</file>

<file path=customXml/itemProps4.xml><?xml version="1.0" encoding="utf-8"?>
<ds:datastoreItem xmlns:ds="http://schemas.openxmlformats.org/officeDocument/2006/customXml" ds:itemID="{E747F710-76A6-4FB7-90F8-3BB80380782A}">
  <ds:schemaRefs>
    <ds:schemaRef ds:uri="http://schemas.microsoft.com/office/2006/metadata/properties"/>
    <ds:schemaRef ds:uri="http://schemas.microsoft.com/office/infopath/2007/PartnerControls"/>
    <ds:schemaRef ds:uri="ee43d889-edc4-48e1-b12c-dadc2f31c19b"/>
    <ds:schemaRef ds:uri="ac88879c-8775-4fb3-bbeb-7d83bdfaa3b0"/>
  </ds:schemaRefs>
</ds:datastoreItem>
</file>

<file path=customXml/itemProps5.xml><?xml version="1.0" encoding="utf-8"?>
<ds:datastoreItem xmlns:ds="http://schemas.openxmlformats.org/officeDocument/2006/customXml" ds:itemID="{A7539939-C378-4EDB-AA46-B1EE8C25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Zirger, Jeffrey (CDC/OD/OS)</cp:lastModifiedBy>
  <cp:revision>2</cp:revision>
  <dcterms:created xsi:type="dcterms:W3CDTF">2024-12-13T20:50:00Z</dcterms:created>
  <dcterms:modified xsi:type="dcterms:W3CDTF">2024-12-13T20:50:00Z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0x01010043A477F68F2F9343951B98BC995DD51F</vt:lpwstr>
  </property>
  <property fmtid="{D5CDD505-2E9C-101B-9397-08002B2CF9AE}" pid="4" name="MediaServiceImageTags">
    <vt:lpwstr/>
  </property>
  <property fmtid="{D5CDD505-2E9C-101B-9397-08002B2CF9AE}" pid="5" name="MSIP_Label_8af03ff0-41c5-4c41-b55e-fabb8fae94be_ActionId">
    <vt:lpwstr>724d7618-1391-4608-894e-00b1d750c437</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2024-12-13T20:26:21Z</vt:lpwstr>
  </property>
  <property fmtid="{D5CDD505-2E9C-101B-9397-08002B2CF9AE}" pid="11" name="MSIP_Label_8af03ff0-41c5-4c41-b55e-fabb8fae94be_SiteId">
    <vt:lpwstr>9ce70869-60db-44fd-abe8-d2767077fc8f</vt:lpwstr>
  </property>
  <property fmtid="{D5CDD505-2E9C-101B-9397-08002B2CF9AE}" pid="12" name="Order">
    <vt:r8>4688900</vt:r8>
  </property>
  <property fmtid="{D5CDD505-2E9C-101B-9397-08002B2CF9AE}" pid="13" name="TriggerFlowInfo">
    <vt:lpwstr/>
  </property>
  <property fmtid="{D5CDD505-2E9C-101B-9397-08002B2CF9AE}" pid="14" name="ZOTERO_PREF_1">
    <vt:lpwstr>&lt;data data-version="3" zotero-version="6.0.23"&gt;&lt;session id="WQIybb0Z"/&gt;&lt;style id="http://www.zotero.org/styles/american-medical-association" hasBibliography="1" bibliographyStyleHasBeenSet="1"/&gt;&lt;prefs&gt;&lt;pref name="fieldType" value="Field"/&gt;&lt;pref name="auto</vt:lpwstr>
  </property>
  <property fmtid="{D5CDD505-2E9C-101B-9397-08002B2CF9AE}" pid="15" name="ZOTERO_PREF_2">
    <vt:lpwstr>maticJournalAbbreviations" value="true"/&gt;&lt;/prefs&gt;&lt;/data&gt;</vt:lpwstr>
  </property>
  <property fmtid="{D5CDD505-2E9C-101B-9397-08002B2CF9AE}" pid="16" name="_activity">
    <vt:lpwstr>{"FileActivityType":"6","FileActivityTimeStamp":"2023-04-15T01:01:39.160Z","FileActivityUsersOnPage":[{"DisplayName":"Vivolo, Alana (CDC/DDNID/NCIPC/DOP)","Id":"goz4@cdc.gov"}],"FileActivityNavigationId":null}</vt:lpwstr>
  </property>
  <property fmtid="{D5CDD505-2E9C-101B-9397-08002B2CF9AE}" pid="17" name="_ExtendedDescription">
    <vt:lpwstr/>
  </property>
</Properties>
</file>