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50E" w:rsidRPr="00177C1F" w:rsidP="007F3FE5" w14:paraId="6E2F1DF9" w14:textId="77777777">
      <w:pPr>
        <w:widowControl/>
        <w:contextualSpacing/>
        <w:rPr>
          <w:bCs/>
        </w:rPr>
      </w:pPr>
    </w:p>
    <w:p w:rsidR="00BA550E" w:rsidRPr="00177C1F" w:rsidP="007F3FE5" w14:paraId="209DBEC3" w14:textId="77777777">
      <w:pPr>
        <w:widowControl/>
        <w:contextualSpacing/>
        <w:jc w:val="center"/>
        <w:rPr>
          <w:bCs/>
        </w:rPr>
      </w:pPr>
    </w:p>
    <w:p w:rsidR="00BA550E" w:rsidRPr="00177C1F" w:rsidP="007F3FE5" w14:paraId="5EAC087E" w14:textId="77777777">
      <w:pPr>
        <w:widowControl/>
        <w:contextualSpacing/>
        <w:jc w:val="center"/>
        <w:rPr>
          <w:bCs/>
        </w:rPr>
      </w:pPr>
    </w:p>
    <w:p w:rsidR="00BA550E" w:rsidRPr="00177C1F" w:rsidP="007F3FE5" w14:paraId="08CEB8D2" w14:textId="77777777">
      <w:pPr>
        <w:widowControl/>
        <w:contextualSpacing/>
        <w:jc w:val="center"/>
        <w:rPr>
          <w:bCs/>
        </w:rPr>
      </w:pPr>
    </w:p>
    <w:p w:rsidR="00F97EB7" w:rsidRPr="00F97EB7" w:rsidP="00F97EB7" w14:paraId="7D950B1B" w14:textId="77777777">
      <w:pPr>
        <w:widowControl/>
        <w:spacing w:line="360" w:lineRule="auto"/>
        <w:jc w:val="center"/>
        <w:rPr>
          <w:bCs/>
        </w:rPr>
      </w:pPr>
      <w:r w:rsidRPr="00F97EB7">
        <w:rPr>
          <w:bCs/>
        </w:rPr>
        <w:t xml:space="preserve">Supporting Statement </w:t>
      </w:r>
      <w:r w:rsidR="005863D8">
        <w:rPr>
          <w:bCs/>
        </w:rPr>
        <w:t>A</w:t>
      </w:r>
    </w:p>
    <w:p w:rsidR="00782203" w:rsidP="00F97EB7" w14:paraId="59D7FB33" w14:textId="77777777">
      <w:pPr>
        <w:widowControl/>
        <w:spacing w:line="360" w:lineRule="auto"/>
        <w:jc w:val="center"/>
        <w:rPr>
          <w:bCs/>
        </w:rPr>
      </w:pPr>
      <w:bookmarkStart w:id="0" w:name="_Hlk132986538"/>
      <w:r w:rsidRPr="00435469">
        <w:rPr>
          <w:bCs/>
        </w:rPr>
        <w:t>Public Health Emergency Management Capacity Assessment Tool (PHEM TOOL)</w:t>
      </w:r>
    </w:p>
    <w:p w:rsidR="00A47B8A" w:rsidRPr="00177C1F" w:rsidP="00F97EB7" w14:paraId="4DCCBF0D" w14:textId="77777777">
      <w:pPr>
        <w:widowControl/>
        <w:spacing w:line="360" w:lineRule="auto"/>
        <w:jc w:val="center"/>
        <w:rPr>
          <w:bCs/>
        </w:rPr>
      </w:pPr>
      <w:r w:rsidRPr="00F97EB7">
        <w:rPr>
          <w:bCs/>
        </w:rPr>
        <w:t>(OMB Control No. 0920-</w:t>
      </w:r>
      <w:r w:rsidR="00782203">
        <w:rPr>
          <w:bCs/>
        </w:rPr>
        <w:t>xxx</w:t>
      </w:r>
      <w:r w:rsidRPr="00F97EB7">
        <w:rPr>
          <w:bCs/>
        </w:rPr>
        <w:t xml:space="preserve">) </w:t>
      </w:r>
    </w:p>
    <w:p w:rsidR="00A47B8A" w:rsidRPr="00177C1F" w:rsidP="00A47B8A" w14:paraId="42CA224D" w14:textId="77777777">
      <w:pPr>
        <w:widowControl/>
        <w:spacing w:line="360" w:lineRule="auto"/>
        <w:jc w:val="center"/>
        <w:rPr>
          <w:bCs/>
        </w:rPr>
      </w:pPr>
      <w:r>
        <w:rPr>
          <w:bCs/>
        </w:rPr>
        <w:t>New</w:t>
      </w:r>
    </w:p>
    <w:p w:rsidR="00A47B8A" w:rsidRPr="00177C1F" w:rsidP="00A47B8A" w14:paraId="5F92AFE0" w14:textId="77777777">
      <w:pPr>
        <w:widowControl/>
        <w:spacing w:line="360" w:lineRule="auto"/>
        <w:jc w:val="center"/>
        <w:rPr>
          <w:bCs/>
        </w:rPr>
      </w:pPr>
    </w:p>
    <w:p w:rsidR="00A47B8A" w:rsidRPr="00177C1F" w:rsidP="00A47B8A" w14:paraId="1971FE4B" w14:textId="77777777">
      <w:pPr>
        <w:widowControl/>
        <w:spacing w:line="360" w:lineRule="auto"/>
        <w:jc w:val="center"/>
        <w:rPr>
          <w:bCs/>
        </w:rPr>
      </w:pPr>
      <w:r w:rsidRPr="00177C1F">
        <w:rPr>
          <w:bCs/>
        </w:rPr>
        <w:t>Centers for Disease Control and Prevention</w:t>
      </w:r>
    </w:p>
    <w:p w:rsidR="00A47B8A" w:rsidRPr="00177C1F" w:rsidP="00A47B8A" w14:paraId="45353586" w14:textId="77777777">
      <w:pPr>
        <w:spacing w:line="360" w:lineRule="auto"/>
        <w:jc w:val="center"/>
      </w:pPr>
      <w:r w:rsidRPr="00177C1F">
        <w:t xml:space="preserve">Office of </w:t>
      </w:r>
      <w:r w:rsidR="005863D8">
        <w:t>Readiness</w:t>
      </w:r>
      <w:r w:rsidRPr="00177C1F">
        <w:t xml:space="preserve"> and Response </w:t>
      </w:r>
    </w:p>
    <w:p w:rsidR="00A47B8A" w:rsidRPr="00553D27" w:rsidP="00A47B8A" w14:paraId="25532AF3" w14:textId="77777777">
      <w:pPr>
        <w:widowControl/>
        <w:tabs>
          <w:tab w:val="left" w:pos="-1440"/>
        </w:tabs>
        <w:spacing w:line="360" w:lineRule="auto"/>
        <w:jc w:val="center"/>
        <w:rPr>
          <w:bCs/>
        </w:rPr>
      </w:pPr>
      <w:r w:rsidRPr="00553D27">
        <w:rPr>
          <w:bCs/>
        </w:rPr>
        <w:t>Division of Emergency Operations</w:t>
      </w:r>
    </w:p>
    <w:p w:rsidR="00706B32" w:rsidRPr="00706B32" w:rsidP="00706B32" w14:paraId="02A37AE2" w14:textId="77777777">
      <w:pPr>
        <w:widowControl/>
        <w:tabs>
          <w:tab w:val="left" w:pos="-1440"/>
        </w:tabs>
        <w:spacing w:line="360" w:lineRule="auto"/>
        <w:jc w:val="center"/>
        <w:rPr>
          <w:bCs/>
        </w:rPr>
      </w:pPr>
    </w:p>
    <w:p w:rsidR="00706B32" w:rsidRPr="00706B32" w:rsidP="00706B32" w14:paraId="54ADD1F8" w14:textId="77777777">
      <w:pPr>
        <w:widowControl/>
        <w:tabs>
          <w:tab w:val="left" w:pos="-1440"/>
        </w:tabs>
        <w:spacing w:line="360" w:lineRule="auto"/>
        <w:jc w:val="center"/>
        <w:rPr>
          <w:bCs/>
        </w:rPr>
      </w:pPr>
      <w:r w:rsidRPr="00706B32">
        <w:rPr>
          <w:bCs/>
        </w:rPr>
        <w:t>Sharanya Krishnan</w:t>
      </w:r>
      <w:r>
        <w:rPr>
          <w:bCs/>
        </w:rPr>
        <w:t xml:space="preserve"> </w:t>
      </w:r>
      <w:r w:rsidRPr="00706B32">
        <w:rPr>
          <w:bCs/>
        </w:rPr>
        <w:t xml:space="preserve"> </w:t>
      </w:r>
    </w:p>
    <w:p w:rsidR="00706B32" w:rsidRPr="00706B32" w:rsidP="00706B32" w14:paraId="2B5CF4D5" w14:textId="77777777">
      <w:pPr>
        <w:widowControl/>
        <w:tabs>
          <w:tab w:val="left" w:pos="-1440"/>
        </w:tabs>
        <w:spacing w:line="360" w:lineRule="auto"/>
        <w:jc w:val="center"/>
        <w:rPr>
          <w:bCs/>
        </w:rPr>
      </w:pPr>
      <w:r w:rsidRPr="00706B32">
        <w:rPr>
          <w:bCs/>
        </w:rPr>
        <w:t xml:space="preserve">404.426.3313 </w:t>
      </w:r>
    </w:p>
    <w:p w:rsidR="00706B32" w:rsidRPr="00706B32" w:rsidP="00706B32" w14:paraId="282962C7" w14:textId="77777777">
      <w:pPr>
        <w:widowControl/>
        <w:tabs>
          <w:tab w:val="left" w:pos="-1440"/>
        </w:tabs>
        <w:spacing w:line="360" w:lineRule="auto"/>
        <w:jc w:val="center"/>
        <w:rPr>
          <w:bCs/>
        </w:rPr>
      </w:pPr>
      <w:r w:rsidRPr="00706B32">
        <w:rPr>
          <w:bCs/>
        </w:rPr>
        <w:t xml:space="preserve">Eug9@cdc.gov </w:t>
      </w:r>
    </w:p>
    <w:p w:rsidR="00706B32" w:rsidRPr="00706B32" w:rsidP="00706B32" w14:paraId="56BF2623" w14:textId="77777777">
      <w:pPr>
        <w:widowControl/>
        <w:tabs>
          <w:tab w:val="left" w:pos="-1440"/>
        </w:tabs>
        <w:spacing w:line="360" w:lineRule="auto"/>
        <w:jc w:val="center"/>
        <w:rPr>
          <w:bCs/>
        </w:rPr>
      </w:pPr>
      <w:r w:rsidRPr="00706B32">
        <w:rPr>
          <w:bCs/>
        </w:rPr>
        <w:t xml:space="preserve">August 21, </w:t>
      </w:r>
      <w:r>
        <w:rPr>
          <w:bCs/>
        </w:rPr>
        <w:t>2</w:t>
      </w:r>
      <w:r w:rsidRPr="00706B32">
        <w:rPr>
          <w:bCs/>
        </w:rPr>
        <w:t>023</w:t>
      </w:r>
    </w:p>
    <w:p w:rsidR="00A47B8A" w:rsidRPr="00553D27" w:rsidP="00706B32" w14:paraId="7E26EF3E" w14:textId="77777777">
      <w:pPr>
        <w:widowControl/>
        <w:tabs>
          <w:tab w:val="left" w:pos="-1440"/>
        </w:tabs>
        <w:spacing w:line="360" w:lineRule="auto"/>
        <w:jc w:val="center"/>
        <w:rPr>
          <w:bCs/>
        </w:rPr>
      </w:pPr>
      <w:r w:rsidRPr="00706B32">
        <w:rPr>
          <w:bCs/>
        </w:rPr>
        <w:t> </w:t>
      </w:r>
    </w:p>
    <w:bookmarkEnd w:id="0"/>
    <w:p w:rsidR="004560AE" w:rsidP="00A47B8A" w14:paraId="36B51842" w14:textId="77777777">
      <w:pPr>
        <w:widowControl/>
        <w:tabs>
          <w:tab w:val="left" w:pos="-1440"/>
        </w:tabs>
        <w:spacing w:line="276" w:lineRule="auto"/>
        <w:jc w:val="center"/>
        <w:rPr>
          <w:bCs/>
        </w:rPr>
      </w:pPr>
    </w:p>
    <w:p w:rsidR="00BA550E" w:rsidRPr="00177C1F" w:rsidP="004560AE" w14:paraId="5C7063D5" w14:textId="77777777">
      <w:pPr>
        <w:widowControl/>
        <w:tabs>
          <w:tab w:val="left" w:pos="-1440"/>
        </w:tabs>
        <w:spacing w:line="276" w:lineRule="auto"/>
        <w:jc w:val="center"/>
        <w:rPr>
          <w:bCs/>
        </w:rPr>
      </w:pPr>
      <w:r>
        <w:rPr>
          <w:bCs/>
        </w:rPr>
        <w:br w:type="page"/>
      </w:r>
      <w:r w:rsidRPr="00177C1F" w:rsidR="00793601">
        <w:rPr>
          <w:bCs/>
        </w:rPr>
        <w:t>Table of Content</w:t>
      </w:r>
    </w:p>
    <w:p w:rsidR="00BA550E" w:rsidRPr="00177C1F" w:rsidP="007F3FE5" w14:paraId="5EB2C3A2" w14:textId="77777777">
      <w:pPr>
        <w:contextualSpacing/>
      </w:pPr>
    </w:p>
    <w:p w:rsidR="008B2C91" w:rsidRPr="007775A0" w14:paraId="0B081537"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anchor="_Toc60052606" w:history="1">
        <w:r w:rsidRPr="00417E20">
          <w:rPr>
            <w:rStyle w:val="Hyperlink"/>
            <w:noProof/>
          </w:rPr>
          <w:t>A.  Justification</w:t>
        </w:r>
        <w:r>
          <w:rPr>
            <w:noProof/>
          </w:rPr>
          <w:tab/>
        </w:r>
        <w:r>
          <w:rPr>
            <w:noProof/>
          </w:rPr>
          <w:fldChar w:fldCharType="begin"/>
        </w:r>
        <w:r>
          <w:rPr>
            <w:noProof/>
          </w:rPr>
          <w:instrText xml:space="preserve"> PAGEREF _Toc60052606 \h </w:instrText>
        </w:r>
        <w:r>
          <w:rPr>
            <w:noProof/>
          </w:rPr>
          <w:fldChar w:fldCharType="separate"/>
        </w:r>
        <w:r>
          <w:rPr>
            <w:noProof/>
          </w:rPr>
          <w:t>3</w:t>
        </w:r>
        <w:r>
          <w:rPr>
            <w:noProof/>
          </w:rPr>
          <w:fldChar w:fldCharType="end"/>
        </w:r>
      </w:hyperlink>
    </w:p>
    <w:p w:rsidR="008B2C91" w:rsidRPr="007775A0" w14:paraId="5022A004" w14:textId="77777777">
      <w:pPr>
        <w:pStyle w:val="TOC3"/>
        <w:tabs>
          <w:tab w:val="right" w:leader="dot" w:pos="9350"/>
        </w:tabs>
        <w:rPr>
          <w:rFonts w:ascii="Calibri" w:hAnsi="Calibri"/>
          <w:noProof/>
          <w:sz w:val="22"/>
          <w:szCs w:val="22"/>
        </w:rPr>
      </w:pPr>
      <w:hyperlink w:anchor="_Toc60052607" w:history="1">
        <w:r w:rsidRPr="00417E20">
          <w:rPr>
            <w:rStyle w:val="Hyperlink"/>
            <w:noProof/>
          </w:rPr>
          <w:t>1.  Circumstances Making the Collection of Information Neces</w:t>
        </w:r>
        <w:r w:rsidRPr="00417E20">
          <w:rPr>
            <w:rStyle w:val="Hyperlink"/>
            <w:noProof/>
          </w:rPr>
          <w:t>s</w:t>
        </w:r>
        <w:r w:rsidRPr="00417E20">
          <w:rPr>
            <w:rStyle w:val="Hyperlink"/>
            <w:noProof/>
          </w:rPr>
          <w:t>ary</w:t>
        </w:r>
        <w:r>
          <w:rPr>
            <w:noProof/>
          </w:rPr>
          <w:tab/>
        </w:r>
        <w:r>
          <w:rPr>
            <w:noProof/>
          </w:rPr>
          <w:fldChar w:fldCharType="begin"/>
        </w:r>
        <w:r>
          <w:rPr>
            <w:noProof/>
          </w:rPr>
          <w:instrText xml:space="preserve"> PAGEREF _Toc60052607 \h </w:instrText>
        </w:r>
        <w:r>
          <w:rPr>
            <w:noProof/>
          </w:rPr>
          <w:fldChar w:fldCharType="separate"/>
        </w:r>
        <w:r>
          <w:rPr>
            <w:noProof/>
          </w:rPr>
          <w:t>3</w:t>
        </w:r>
        <w:r>
          <w:rPr>
            <w:noProof/>
          </w:rPr>
          <w:fldChar w:fldCharType="end"/>
        </w:r>
      </w:hyperlink>
    </w:p>
    <w:p w:rsidR="008B2C91" w:rsidRPr="007775A0" w14:paraId="5B61ACC4" w14:textId="77777777">
      <w:pPr>
        <w:pStyle w:val="TOC3"/>
        <w:tabs>
          <w:tab w:val="right" w:leader="dot" w:pos="9350"/>
        </w:tabs>
        <w:rPr>
          <w:rFonts w:ascii="Calibri" w:hAnsi="Calibri"/>
          <w:noProof/>
          <w:sz w:val="22"/>
          <w:szCs w:val="22"/>
        </w:rPr>
      </w:pPr>
      <w:hyperlink w:anchor="_Toc60052608" w:history="1">
        <w:r w:rsidRPr="00417E20">
          <w:rPr>
            <w:rStyle w:val="Hyperlink"/>
            <w:noProof/>
          </w:rPr>
          <w:t>2.  Purpose and Use of Information Collection</w:t>
        </w:r>
        <w:r>
          <w:rPr>
            <w:noProof/>
          </w:rPr>
          <w:tab/>
        </w:r>
        <w:r>
          <w:rPr>
            <w:noProof/>
          </w:rPr>
          <w:fldChar w:fldCharType="begin"/>
        </w:r>
        <w:r>
          <w:rPr>
            <w:noProof/>
          </w:rPr>
          <w:instrText xml:space="preserve"> PAGEREF _Toc60052608 \h </w:instrText>
        </w:r>
        <w:r>
          <w:rPr>
            <w:noProof/>
          </w:rPr>
          <w:fldChar w:fldCharType="separate"/>
        </w:r>
        <w:r>
          <w:rPr>
            <w:noProof/>
          </w:rPr>
          <w:t>4</w:t>
        </w:r>
        <w:r>
          <w:rPr>
            <w:noProof/>
          </w:rPr>
          <w:fldChar w:fldCharType="end"/>
        </w:r>
      </w:hyperlink>
    </w:p>
    <w:p w:rsidR="008B2C91" w:rsidRPr="007775A0" w14:paraId="4D2DC9F2" w14:textId="77777777">
      <w:pPr>
        <w:pStyle w:val="TOC3"/>
        <w:tabs>
          <w:tab w:val="right" w:leader="dot" w:pos="9350"/>
        </w:tabs>
        <w:rPr>
          <w:rFonts w:ascii="Calibri" w:hAnsi="Calibri"/>
          <w:noProof/>
          <w:sz w:val="22"/>
          <w:szCs w:val="22"/>
        </w:rPr>
      </w:pPr>
      <w:hyperlink w:anchor="_Toc60052609" w:history="1">
        <w:r w:rsidRPr="00417E20">
          <w:rPr>
            <w:rStyle w:val="Hyperlink"/>
            <w:noProof/>
          </w:rPr>
          <w:t>3.  Use of Improved Technology and Burden Reduction</w:t>
        </w:r>
        <w:r>
          <w:rPr>
            <w:noProof/>
          </w:rPr>
          <w:tab/>
        </w:r>
        <w:r>
          <w:rPr>
            <w:noProof/>
          </w:rPr>
          <w:fldChar w:fldCharType="begin"/>
        </w:r>
        <w:r>
          <w:rPr>
            <w:noProof/>
          </w:rPr>
          <w:instrText xml:space="preserve"> PAGEREF _Toc60052609 \h </w:instrText>
        </w:r>
        <w:r>
          <w:rPr>
            <w:noProof/>
          </w:rPr>
          <w:fldChar w:fldCharType="separate"/>
        </w:r>
        <w:r>
          <w:rPr>
            <w:noProof/>
          </w:rPr>
          <w:t>5</w:t>
        </w:r>
        <w:r>
          <w:rPr>
            <w:noProof/>
          </w:rPr>
          <w:fldChar w:fldCharType="end"/>
        </w:r>
      </w:hyperlink>
    </w:p>
    <w:p w:rsidR="008B2C91" w:rsidRPr="007775A0" w14:paraId="70A93495" w14:textId="77777777">
      <w:pPr>
        <w:pStyle w:val="TOC3"/>
        <w:tabs>
          <w:tab w:val="right" w:leader="dot" w:pos="9350"/>
        </w:tabs>
        <w:rPr>
          <w:rFonts w:ascii="Calibri" w:hAnsi="Calibri"/>
          <w:noProof/>
          <w:sz w:val="22"/>
          <w:szCs w:val="22"/>
        </w:rPr>
      </w:pPr>
      <w:hyperlink w:anchor="_Toc60052610" w:history="1">
        <w:r w:rsidRPr="00417E20">
          <w:rPr>
            <w:rStyle w:val="Hyperlink"/>
            <w:noProof/>
          </w:rPr>
          <w:t xml:space="preserve">4. </w:t>
        </w:r>
        <w:r w:rsidR="00147A0A">
          <w:rPr>
            <w:rStyle w:val="Hyperlink"/>
            <w:noProof/>
          </w:rPr>
          <w:t xml:space="preserve"> </w:t>
        </w:r>
        <w:r w:rsidRPr="00417E20">
          <w:rPr>
            <w:rStyle w:val="Hyperlink"/>
            <w:noProof/>
          </w:rPr>
          <w:t>Efforts to Identify Duplication and Use of Similar Information</w:t>
        </w:r>
        <w:r>
          <w:rPr>
            <w:noProof/>
          </w:rPr>
          <w:tab/>
        </w:r>
        <w:r>
          <w:rPr>
            <w:noProof/>
          </w:rPr>
          <w:fldChar w:fldCharType="begin"/>
        </w:r>
        <w:r>
          <w:rPr>
            <w:noProof/>
          </w:rPr>
          <w:instrText xml:space="preserve"> PAGEREF _Toc60052610 \h </w:instrText>
        </w:r>
        <w:r>
          <w:rPr>
            <w:noProof/>
          </w:rPr>
          <w:fldChar w:fldCharType="separate"/>
        </w:r>
        <w:r>
          <w:rPr>
            <w:noProof/>
          </w:rPr>
          <w:t>5</w:t>
        </w:r>
        <w:r>
          <w:rPr>
            <w:noProof/>
          </w:rPr>
          <w:fldChar w:fldCharType="end"/>
        </w:r>
      </w:hyperlink>
    </w:p>
    <w:p w:rsidR="008B2C91" w:rsidRPr="007775A0" w14:paraId="26533902" w14:textId="77777777">
      <w:pPr>
        <w:pStyle w:val="TOC3"/>
        <w:tabs>
          <w:tab w:val="right" w:leader="dot" w:pos="9350"/>
        </w:tabs>
        <w:rPr>
          <w:rFonts w:ascii="Calibri" w:hAnsi="Calibri"/>
          <w:noProof/>
          <w:sz w:val="22"/>
          <w:szCs w:val="22"/>
        </w:rPr>
      </w:pPr>
      <w:hyperlink w:anchor="_Toc60052611" w:history="1">
        <w:r w:rsidRPr="00417E20">
          <w:rPr>
            <w:rStyle w:val="Hyperlink"/>
            <w:noProof/>
          </w:rPr>
          <w:t>5.  Impact on Small Businesses or Other Small Entities</w:t>
        </w:r>
        <w:r>
          <w:rPr>
            <w:noProof/>
          </w:rPr>
          <w:tab/>
        </w:r>
        <w:r>
          <w:rPr>
            <w:noProof/>
          </w:rPr>
          <w:fldChar w:fldCharType="begin"/>
        </w:r>
        <w:r>
          <w:rPr>
            <w:noProof/>
          </w:rPr>
          <w:instrText xml:space="preserve"> PAGEREF _Toc60052611 \h </w:instrText>
        </w:r>
        <w:r>
          <w:rPr>
            <w:noProof/>
          </w:rPr>
          <w:fldChar w:fldCharType="separate"/>
        </w:r>
        <w:r>
          <w:rPr>
            <w:noProof/>
          </w:rPr>
          <w:t>5</w:t>
        </w:r>
        <w:r>
          <w:rPr>
            <w:noProof/>
          </w:rPr>
          <w:fldChar w:fldCharType="end"/>
        </w:r>
      </w:hyperlink>
    </w:p>
    <w:p w:rsidR="008B2C91" w:rsidRPr="007775A0" w14:paraId="61BEC563" w14:textId="77777777">
      <w:pPr>
        <w:pStyle w:val="TOC3"/>
        <w:tabs>
          <w:tab w:val="right" w:leader="dot" w:pos="9350"/>
        </w:tabs>
        <w:rPr>
          <w:rFonts w:ascii="Calibri" w:hAnsi="Calibri"/>
          <w:noProof/>
          <w:sz w:val="22"/>
          <w:szCs w:val="22"/>
        </w:rPr>
      </w:pPr>
      <w:hyperlink w:anchor="_Toc60052612" w:history="1">
        <w:r w:rsidRPr="00417E20">
          <w:rPr>
            <w:rStyle w:val="Hyperlink"/>
            <w:noProof/>
          </w:rPr>
          <w:t>6.  Consequences of Collecting the Information Less Frequently</w:t>
        </w:r>
        <w:r>
          <w:rPr>
            <w:noProof/>
          </w:rPr>
          <w:tab/>
        </w:r>
        <w:r>
          <w:rPr>
            <w:noProof/>
          </w:rPr>
          <w:fldChar w:fldCharType="begin"/>
        </w:r>
        <w:r>
          <w:rPr>
            <w:noProof/>
          </w:rPr>
          <w:instrText xml:space="preserve"> PAGEREF _Toc60052612 \h </w:instrText>
        </w:r>
        <w:r>
          <w:rPr>
            <w:noProof/>
          </w:rPr>
          <w:fldChar w:fldCharType="separate"/>
        </w:r>
        <w:r>
          <w:rPr>
            <w:noProof/>
          </w:rPr>
          <w:t>5</w:t>
        </w:r>
        <w:r>
          <w:rPr>
            <w:noProof/>
          </w:rPr>
          <w:fldChar w:fldCharType="end"/>
        </w:r>
      </w:hyperlink>
    </w:p>
    <w:p w:rsidR="008B2C91" w:rsidRPr="007775A0" w14:paraId="6EA741A0" w14:textId="77777777">
      <w:pPr>
        <w:pStyle w:val="TOC3"/>
        <w:tabs>
          <w:tab w:val="right" w:leader="dot" w:pos="9350"/>
        </w:tabs>
        <w:rPr>
          <w:rFonts w:ascii="Calibri" w:hAnsi="Calibri"/>
          <w:noProof/>
          <w:sz w:val="22"/>
          <w:szCs w:val="22"/>
        </w:rPr>
      </w:pPr>
      <w:hyperlink w:anchor="_Toc60052613" w:history="1">
        <w:r w:rsidRPr="00417E20">
          <w:rPr>
            <w:rStyle w:val="Hyperlink"/>
            <w:noProof/>
          </w:rPr>
          <w:t>7.  Special Circumstances Relating to the Guidelines of 5 CFR 1320.5</w:t>
        </w:r>
        <w:r>
          <w:rPr>
            <w:noProof/>
          </w:rPr>
          <w:tab/>
        </w:r>
        <w:r>
          <w:rPr>
            <w:noProof/>
          </w:rPr>
          <w:fldChar w:fldCharType="begin"/>
        </w:r>
        <w:r>
          <w:rPr>
            <w:noProof/>
          </w:rPr>
          <w:instrText xml:space="preserve"> PAGEREF _Toc60052613 \h </w:instrText>
        </w:r>
        <w:r>
          <w:rPr>
            <w:noProof/>
          </w:rPr>
          <w:fldChar w:fldCharType="separate"/>
        </w:r>
        <w:r>
          <w:rPr>
            <w:noProof/>
          </w:rPr>
          <w:t>5</w:t>
        </w:r>
        <w:r>
          <w:rPr>
            <w:noProof/>
          </w:rPr>
          <w:fldChar w:fldCharType="end"/>
        </w:r>
      </w:hyperlink>
    </w:p>
    <w:p w:rsidR="008B2C91" w:rsidRPr="007775A0" w14:paraId="218D8F16" w14:textId="77777777">
      <w:pPr>
        <w:pStyle w:val="TOC3"/>
        <w:tabs>
          <w:tab w:val="right" w:leader="dot" w:pos="9350"/>
        </w:tabs>
        <w:rPr>
          <w:rFonts w:ascii="Calibri" w:hAnsi="Calibri"/>
          <w:noProof/>
          <w:sz w:val="22"/>
          <w:szCs w:val="22"/>
        </w:rPr>
      </w:pPr>
      <w:hyperlink w:anchor="_Toc60052614" w:history="1">
        <w:r w:rsidRPr="00417E20">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_Toc60052614 \h </w:instrText>
        </w:r>
        <w:r>
          <w:rPr>
            <w:noProof/>
          </w:rPr>
          <w:fldChar w:fldCharType="separate"/>
        </w:r>
        <w:r>
          <w:rPr>
            <w:noProof/>
          </w:rPr>
          <w:t>5</w:t>
        </w:r>
        <w:r>
          <w:rPr>
            <w:noProof/>
          </w:rPr>
          <w:fldChar w:fldCharType="end"/>
        </w:r>
      </w:hyperlink>
    </w:p>
    <w:p w:rsidR="008B2C91" w:rsidRPr="007775A0" w14:paraId="4EB7117D" w14:textId="77777777">
      <w:pPr>
        <w:pStyle w:val="TOC3"/>
        <w:tabs>
          <w:tab w:val="right" w:leader="dot" w:pos="9350"/>
        </w:tabs>
        <w:rPr>
          <w:rFonts w:ascii="Calibri" w:hAnsi="Calibri"/>
          <w:noProof/>
          <w:sz w:val="22"/>
          <w:szCs w:val="22"/>
        </w:rPr>
      </w:pPr>
      <w:hyperlink w:anchor="_Toc60052615" w:history="1">
        <w:r w:rsidRPr="00417E20">
          <w:rPr>
            <w:rStyle w:val="Hyperlink"/>
            <w:noProof/>
          </w:rPr>
          <w:t>9.  Explanation of Any Payment or Gift to Respondents</w:t>
        </w:r>
        <w:r>
          <w:rPr>
            <w:noProof/>
          </w:rPr>
          <w:tab/>
        </w:r>
        <w:r>
          <w:rPr>
            <w:noProof/>
          </w:rPr>
          <w:fldChar w:fldCharType="begin"/>
        </w:r>
        <w:r>
          <w:rPr>
            <w:noProof/>
          </w:rPr>
          <w:instrText xml:space="preserve"> PAGEREF _Toc60052615 \h </w:instrText>
        </w:r>
        <w:r>
          <w:rPr>
            <w:noProof/>
          </w:rPr>
          <w:fldChar w:fldCharType="separate"/>
        </w:r>
        <w:r>
          <w:rPr>
            <w:noProof/>
          </w:rPr>
          <w:t>6</w:t>
        </w:r>
        <w:r>
          <w:rPr>
            <w:noProof/>
          </w:rPr>
          <w:fldChar w:fldCharType="end"/>
        </w:r>
      </w:hyperlink>
    </w:p>
    <w:p w:rsidR="008B2C91" w:rsidRPr="007775A0" w14:paraId="6026C1B9" w14:textId="77777777">
      <w:pPr>
        <w:pStyle w:val="TOC3"/>
        <w:tabs>
          <w:tab w:val="right" w:leader="dot" w:pos="9350"/>
        </w:tabs>
        <w:rPr>
          <w:rFonts w:ascii="Calibri" w:hAnsi="Calibri"/>
          <w:noProof/>
          <w:sz w:val="22"/>
          <w:szCs w:val="22"/>
        </w:rPr>
      </w:pPr>
      <w:hyperlink w:anchor="_Toc60052616" w:history="1">
        <w:r w:rsidRPr="00417E20">
          <w:rPr>
            <w:rStyle w:val="Hyperlink"/>
            <w:noProof/>
          </w:rPr>
          <w:t>10.  Assurance of Confidentiality Provided to Respondents</w:t>
        </w:r>
        <w:r>
          <w:rPr>
            <w:noProof/>
          </w:rPr>
          <w:tab/>
        </w:r>
        <w:r>
          <w:rPr>
            <w:noProof/>
          </w:rPr>
          <w:fldChar w:fldCharType="begin"/>
        </w:r>
        <w:r>
          <w:rPr>
            <w:noProof/>
          </w:rPr>
          <w:instrText xml:space="preserve"> PAGEREF _Toc60052616 \h </w:instrText>
        </w:r>
        <w:r>
          <w:rPr>
            <w:noProof/>
          </w:rPr>
          <w:fldChar w:fldCharType="separate"/>
        </w:r>
        <w:r>
          <w:rPr>
            <w:noProof/>
          </w:rPr>
          <w:t>6</w:t>
        </w:r>
        <w:r>
          <w:rPr>
            <w:noProof/>
          </w:rPr>
          <w:fldChar w:fldCharType="end"/>
        </w:r>
      </w:hyperlink>
    </w:p>
    <w:p w:rsidR="008B2C91" w:rsidRPr="007775A0" w14:paraId="49E2C3D4" w14:textId="77777777">
      <w:pPr>
        <w:pStyle w:val="TOC3"/>
        <w:tabs>
          <w:tab w:val="right" w:leader="dot" w:pos="9350"/>
        </w:tabs>
        <w:rPr>
          <w:rFonts w:ascii="Calibri" w:hAnsi="Calibri"/>
          <w:noProof/>
          <w:sz w:val="22"/>
          <w:szCs w:val="22"/>
        </w:rPr>
      </w:pPr>
      <w:hyperlink w:anchor="_Toc60052617" w:history="1">
        <w:r w:rsidRPr="00417E20">
          <w:rPr>
            <w:rStyle w:val="Hyperlink"/>
            <w:noProof/>
          </w:rPr>
          <w:t>11.  Justification of Sensitive Questions</w:t>
        </w:r>
        <w:r>
          <w:rPr>
            <w:noProof/>
          </w:rPr>
          <w:tab/>
        </w:r>
        <w:r>
          <w:rPr>
            <w:noProof/>
          </w:rPr>
          <w:fldChar w:fldCharType="begin"/>
        </w:r>
        <w:r>
          <w:rPr>
            <w:noProof/>
          </w:rPr>
          <w:instrText xml:space="preserve"> PAGEREF _Toc60052617 \h </w:instrText>
        </w:r>
        <w:r>
          <w:rPr>
            <w:noProof/>
          </w:rPr>
          <w:fldChar w:fldCharType="separate"/>
        </w:r>
        <w:r>
          <w:rPr>
            <w:noProof/>
          </w:rPr>
          <w:t>8</w:t>
        </w:r>
        <w:r>
          <w:rPr>
            <w:noProof/>
          </w:rPr>
          <w:fldChar w:fldCharType="end"/>
        </w:r>
      </w:hyperlink>
    </w:p>
    <w:p w:rsidR="008B2C91" w:rsidRPr="007775A0" w14:paraId="1B7F6BE4" w14:textId="77777777">
      <w:pPr>
        <w:pStyle w:val="TOC3"/>
        <w:tabs>
          <w:tab w:val="right" w:leader="dot" w:pos="9350"/>
        </w:tabs>
        <w:rPr>
          <w:rFonts w:ascii="Calibri" w:hAnsi="Calibri"/>
          <w:noProof/>
          <w:sz w:val="22"/>
          <w:szCs w:val="22"/>
        </w:rPr>
      </w:pPr>
      <w:hyperlink w:anchor="_Toc60052618" w:history="1">
        <w:r w:rsidRPr="00417E20">
          <w:rPr>
            <w:rStyle w:val="Hyperlink"/>
            <w:noProof/>
          </w:rPr>
          <w:t>12.  Estimates of Annualized Burden Hours and Costs</w:t>
        </w:r>
        <w:r>
          <w:rPr>
            <w:noProof/>
          </w:rPr>
          <w:tab/>
        </w:r>
        <w:r>
          <w:rPr>
            <w:noProof/>
          </w:rPr>
          <w:fldChar w:fldCharType="begin"/>
        </w:r>
        <w:r>
          <w:rPr>
            <w:noProof/>
          </w:rPr>
          <w:instrText xml:space="preserve"> PAGEREF _Toc60052618 \h </w:instrText>
        </w:r>
        <w:r>
          <w:rPr>
            <w:noProof/>
          </w:rPr>
          <w:fldChar w:fldCharType="separate"/>
        </w:r>
        <w:r>
          <w:rPr>
            <w:noProof/>
          </w:rPr>
          <w:t>8</w:t>
        </w:r>
        <w:r>
          <w:rPr>
            <w:noProof/>
          </w:rPr>
          <w:fldChar w:fldCharType="end"/>
        </w:r>
      </w:hyperlink>
    </w:p>
    <w:p w:rsidR="008B2C91" w:rsidRPr="007775A0" w14:paraId="025AD56F" w14:textId="77777777">
      <w:pPr>
        <w:pStyle w:val="TOC3"/>
        <w:tabs>
          <w:tab w:val="right" w:leader="dot" w:pos="9350"/>
        </w:tabs>
        <w:rPr>
          <w:rFonts w:ascii="Calibri" w:hAnsi="Calibri"/>
          <w:noProof/>
          <w:sz w:val="22"/>
          <w:szCs w:val="22"/>
        </w:rPr>
      </w:pPr>
      <w:hyperlink w:anchor="_Toc60052619" w:history="1">
        <w:r w:rsidRPr="00417E20">
          <w:rPr>
            <w:rStyle w:val="Hyperlink"/>
            <w:noProof/>
          </w:rPr>
          <w:t>13.  Estimates of Other Total Annual Cost Burden to Respondents or Record keepers</w:t>
        </w:r>
        <w:r>
          <w:rPr>
            <w:noProof/>
          </w:rPr>
          <w:tab/>
        </w:r>
        <w:r>
          <w:rPr>
            <w:noProof/>
          </w:rPr>
          <w:fldChar w:fldCharType="begin"/>
        </w:r>
        <w:r>
          <w:rPr>
            <w:noProof/>
          </w:rPr>
          <w:instrText xml:space="preserve"> PAGEREF _Toc60052619 \h </w:instrText>
        </w:r>
        <w:r>
          <w:rPr>
            <w:noProof/>
          </w:rPr>
          <w:fldChar w:fldCharType="separate"/>
        </w:r>
        <w:r>
          <w:rPr>
            <w:noProof/>
          </w:rPr>
          <w:t>9</w:t>
        </w:r>
        <w:r>
          <w:rPr>
            <w:noProof/>
          </w:rPr>
          <w:fldChar w:fldCharType="end"/>
        </w:r>
      </w:hyperlink>
    </w:p>
    <w:p w:rsidR="008B2C91" w:rsidRPr="007775A0" w14:paraId="71BAC15D" w14:textId="77777777">
      <w:pPr>
        <w:pStyle w:val="TOC3"/>
        <w:tabs>
          <w:tab w:val="right" w:leader="dot" w:pos="9350"/>
        </w:tabs>
        <w:rPr>
          <w:rFonts w:ascii="Calibri" w:hAnsi="Calibri"/>
          <w:noProof/>
          <w:sz w:val="22"/>
          <w:szCs w:val="22"/>
        </w:rPr>
      </w:pPr>
      <w:hyperlink w:anchor="_Toc60052620" w:history="1">
        <w:r w:rsidRPr="00417E20">
          <w:rPr>
            <w:rStyle w:val="Hyperlink"/>
            <w:noProof/>
          </w:rPr>
          <w:t>14.  Annualized Cost to the Government</w:t>
        </w:r>
        <w:r>
          <w:rPr>
            <w:noProof/>
          </w:rPr>
          <w:tab/>
        </w:r>
        <w:r>
          <w:rPr>
            <w:noProof/>
          </w:rPr>
          <w:fldChar w:fldCharType="begin"/>
        </w:r>
        <w:r>
          <w:rPr>
            <w:noProof/>
          </w:rPr>
          <w:instrText xml:space="preserve"> PAGEREF _Toc60052620 \h </w:instrText>
        </w:r>
        <w:r>
          <w:rPr>
            <w:noProof/>
          </w:rPr>
          <w:fldChar w:fldCharType="separate"/>
        </w:r>
        <w:r>
          <w:rPr>
            <w:noProof/>
          </w:rPr>
          <w:t>9</w:t>
        </w:r>
        <w:r>
          <w:rPr>
            <w:noProof/>
          </w:rPr>
          <w:fldChar w:fldCharType="end"/>
        </w:r>
      </w:hyperlink>
    </w:p>
    <w:p w:rsidR="008B2C91" w:rsidRPr="007775A0" w14:paraId="2498F5EA" w14:textId="77777777">
      <w:pPr>
        <w:pStyle w:val="TOC3"/>
        <w:tabs>
          <w:tab w:val="right" w:leader="dot" w:pos="9350"/>
        </w:tabs>
        <w:rPr>
          <w:rFonts w:ascii="Calibri" w:hAnsi="Calibri"/>
          <w:noProof/>
          <w:sz w:val="22"/>
          <w:szCs w:val="22"/>
        </w:rPr>
      </w:pPr>
      <w:hyperlink w:anchor="_Toc60052621" w:history="1">
        <w:r w:rsidRPr="00417E20">
          <w:rPr>
            <w:rStyle w:val="Hyperlink"/>
            <w:noProof/>
          </w:rPr>
          <w:t>15.  Explanation for Program Changes or Adjustments</w:t>
        </w:r>
        <w:r>
          <w:rPr>
            <w:noProof/>
          </w:rPr>
          <w:tab/>
        </w:r>
        <w:r>
          <w:rPr>
            <w:noProof/>
          </w:rPr>
          <w:fldChar w:fldCharType="begin"/>
        </w:r>
        <w:r>
          <w:rPr>
            <w:noProof/>
          </w:rPr>
          <w:instrText xml:space="preserve"> PAGEREF _Toc60052621 \h </w:instrText>
        </w:r>
        <w:r>
          <w:rPr>
            <w:noProof/>
          </w:rPr>
          <w:fldChar w:fldCharType="separate"/>
        </w:r>
        <w:r>
          <w:rPr>
            <w:noProof/>
          </w:rPr>
          <w:t>10</w:t>
        </w:r>
        <w:r>
          <w:rPr>
            <w:noProof/>
          </w:rPr>
          <w:fldChar w:fldCharType="end"/>
        </w:r>
      </w:hyperlink>
    </w:p>
    <w:p w:rsidR="008B2C91" w:rsidRPr="007775A0" w14:paraId="1B1ED66C" w14:textId="77777777">
      <w:pPr>
        <w:pStyle w:val="TOC3"/>
        <w:tabs>
          <w:tab w:val="right" w:leader="dot" w:pos="9350"/>
        </w:tabs>
        <w:rPr>
          <w:rFonts w:ascii="Calibri" w:hAnsi="Calibri"/>
          <w:noProof/>
          <w:sz w:val="22"/>
          <w:szCs w:val="22"/>
        </w:rPr>
      </w:pPr>
      <w:hyperlink w:anchor="_Toc60052622" w:history="1">
        <w:r w:rsidRPr="00417E20">
          <w:rPr>
            <w:rStyle w:val="Hyperlink"/>
            <w:noProof/>
          </w:rPr>
          <w:t>16.  Plans for Tabulation and Publication and Project Time Schedule</w:t>
        </w:r>
        <w:r>
          <w:rPr>
            <w:noProof/>
          </w:rPr>
          <w:tab/>
        </w:r>
        <w:r>
          <w:rPr>
            <w:noProof/>
          </w:rPr>
          <w:fldChar w:fldCharType="begin"/>
        </w:r>
        <w:r>
          <w:rPr>
            <w:noProof/>
          </w:rPr>
          <w:instrText xml:space="preserve"> PAGEREF _Toc60052622 \h </w:instrText>
        </w:r>
        <w:r>
          <w:rPr>
            <w:noProof/>
          </w:rPr>
          <w:fldChar w:fldCharType="separate"/>
        </w:r>
        <w:r>
          <w:rPr>
            <w:noProof/>
          </w:rPr>
          <w:t>10</w:t>
        </w:r>
        <w:r>
          <w:rPr>
            <w:noProof/>
          </w:rPr>
          <w:fldChar w:fldCharType="end"/>
        </w:r>
      </w:hyperlink>
    </w:p>
    <w:p w:rsidR="008B2C91" w:rsidRPr="007775A0" w14:paraId="09149A7F" w14:textId="77777777">
      <w:pPr>
        <w:pStyle w:val="TOC3"/>
        <w:tabs>
          <w:tab w:val="right" w:leader="dot" w:pos="9350"/>
        </w:tabs>
        <w:rPr>
          <w:rFonts w:ascii="Calibri" w:hAnsi="Calibri"/>
          <w:noProof/>
          <w:sz w:val="22"/>
          <w:szCs w:val="22"/>
        </w:rPr>
      </w:pPr>
      <w:hyperlink w:anchor="_Toc60052623" w:history="1">
        <w:r w:rsidRPr="00417E20">
          <w:rPr>
            <w:rStyle w:val="Hyperlink"/>
            <w:noProof/>
          </w:rPr>
          <w:t>17.  Reason(s) Display of OMB Ex</w:t>
        </w:r>
        <w:r w:rsidRPr="00417E20">
          <w:rPr>
            <w:rStyle w:val="Hyperlink"/>
            <w:noProof/>
          </w:rPr>
          <w:t>p</w:t>
        </w:r>
        <w:r w:rsidRPr="00417E20">
          <w:rPr>
            <w:rStyle w:val="Hyperlink"/>
            <w:noProof/>
          </w:rPr>
          <w:t>iration Date is Inappropriate</w:t>
        </w:r>
        <w:r>
          <w:rPr>
            <w:noProof/>
          </w:rPr>
          <w:tab/>
        </w:r>
        <w:r>
          <w:rPr>
            <w:noProof/>
          </w:rPr>
          <w:fldChar w:fldCharType="begin"/>
        </w:r>
        <w:r>
          <w:rPr>
            <w:noProof/>
          </w:rPr>
          <w:instrText xml:space="preserve"> PAGEREF _Toc60052623 \h </w:instrText>
        </w:r>
        <w:r>
          <w:rPr>
            <w:noProof/>
          </w:rPr>
          <w:fldChar w:fldCharType="separate"/>
        </w:r>
        <w:r>
          <w:rPr>
            <w:noProof/>
          </w:rPr>
          <w:t>10</w:t>
        </w:r>
        <w:r>
          <w:rPr>
            <w:noProof/>
          </w:rPr>
          <w:fldChar w:fldCharType="end"/>
        </w:r>
      </w:hyperlink>
    </w:p>
    <w:p w:rsidR="008B2C91" w:rsidRPr="007775A0" w14:paraId="7677A285" w14:textId="77777777">
      <w:pPr>
        <w:pStyle w:val="TOC3"/>
        <w:tabs>
          <w:tab w:val="right" w:leader="dot" w:pos="9350"/>
        </w:tabs>
        <w:rPr>
          <w:rFonts w:ascii="Calibri" w:hAnsi="Calibri"/>
          <w:noProof/>
          <w:sz w:val="22"/>
          <w:szCs w:val="22"/>
        </w:rPr>
      </w:pPr>
      <w:hyperlink w:anchor="_Toc60052624" w:history="1">
        <w:r w:rsidRPr="00417E20">
          <w:rPr>
            <w:rStyle w:val="Hyperlink"/>
            <w:noProof/>
          </w:rPr>
          <w:t>18.  Exceptions to Certif</w:t>
        </w:r>
        <w:r w:rsidRPr="00417E20">
          <w:rPr>
            <w:rStyle w:val="Hyperlink"/>
            <w:noProof/>
          </w:rPr>
          <w:t>i</w:t>
        </w:r>
        <w:r w:rsidRPr="00417E20">
          <w:rPr>
            <w:rStyle w:val="Hyperlink"/>
            <w:noProof/>
          </w:rPr>
          <w:t>cation for Paperwork Reduction Act Submissions</w:t>
        </w:r>
        <w:r>
          <w:rPr>
            <w:noProof/>
          </w:rPr>
          <w:tab/>
        </w:r>
        <w:r>
          <w:rPr>
            <w:noProof/>
          </w:rPr>
          <w:fldChar w:fldCharType="begin"/>
        </w:r>
        <w:r>
          <w:rPr>
            <w:noProof/>
          </w:rPr>
          <w:instrText xml:space="preserve"> PAGEREF _Toc60052624 \h </w:instrText>
        </w:r>
        <w:r>
          <w:rPr>
            <w:noProof/>
          </w:rPr>
          <w:fldChar w:fldCharType="separate"/>
        </w:r>
        <w:r>
          <w:rPr>
            <w:noProof/>
          </w:rPr>
          <w:t>10</w:t>
        </w:r>
        <w:r>
          <w:rPr>
            <w:noProof/>
          </w:rPr>
          <w:fldChar w:fldCharType="end"/>
        </w:r>
      </w:hyperlink>
    </w:p>
    <w:p w:rsidR="008B2C91" w:rsidRPr="007775A0" w14:paraId="66A2C4D8" w14:textId="77777777">
      <w:pPr>
        <w:pStyle w:val="TOC2"/>
        <w:tabs>
          <w:tab w:val="right" w:leader="dot" w:pos="9350"/>
        </w:tabs>
        <w:rPr>
          <w:rFonts w:ascii="Calibri" w:hAnsi="Calibri"/>
          <w:noProof/>
          <w:sz w:val="22"/>
          <w:szCs w:val="22"/>
        </w:rPr>
      </w:pPr>
      <w:hyperlink w:anchor="_Toc60052625" w:history="1">
        <w:r w:rsidRPr="00417E20">
          <w:rPr>
            <w:rStyle w:val="Hyperlink"/>
            <w:noProof/>
          </w:rPr>
          <w:t>List of Attachments:</w:t>
        </w:r>
        <w:r>
          <w:rPr>
            <w:noProof/>
          </w:rPr>
          <w:tab/>
        </w:r>
        <w:r>
          <w:rPr>
            <w:noProof/>
          </w:rPr>
          <w:fldChar w:fldCharType="begin"/>
        </w:r>
        <w:r>
          <w:rPr>
            <w:noProof/>
          </w:rPr>
          <w:instrText xml:space="preserve"> PAGEREF _Toc60052625 \h </w:instrText>
        </w:r>
        <w:r>
          <w:rPr>
            <w:noProof/>
          </w:rPr>
          <w:fldChar w:fldCharType="separate"/>
        </w:r>
        <w:r>
          <w:rPr>
            <w:noProof/>
          </w:rPr>
          <w:t>11</w:t>
        </w:r>
        <w:r>
          <w:rPr>
            <w:noProof/>
          </w:rPr>
          <w:fldChar w:fldCharType="end"/>
        </w:r>
      </w:hyperlink>
    </w:p>
    <w:p w:rsidR="00BA550E" w:rsidRPr="00177C1F" w:rsidP="007F3FE5" w14:paraId="0D668E7A" w14:textId="77777777">
      <w:pPr>
        <w:pStyle w:val="TOC1"/>
        <w:tabs>
          <w:tab w:val="right" w:leader="dot" w:pos="9350"/>
        </w:tabs>
        <w:contextualSpacing/>
      </w:pPr>
      <w:r w:rsidRPr="00177C1F">
        <w:fldChar w:fldCharType="end"/>
      </w:r>
    </w:p>
    <w:p w:rsidR="00BA550E" w:rsidRPr="00177C1F" w:rsidP="007F3FE5" w14:paraId="3274A966" w14:textId="77777777">
      <w:pPr>
        <w:pStyle w:val="TOC1"/>
        <w:tabs>
          <w:tab w:val="right" w:leader="dot" w:pos="9350"/>
        </w:tabs>
        <w:contextualSpacing/>
      </w:pPr>
    </w:p>
    <w:p w:rsidR="00BA550E" w:rsidRPr="00177C1F" w:rsidP="007F3FE5" w14:paraId="4093880B" w14:textId="77777777">
      <w:pPr>
        <w:pStyle w:val="TOC1"/>
        <w:tabs>
          <w:tab w:val="right" w:leader="dot" w:pos="9350"/>
        </w:tabs>
        <w:contextualSpacing/>
      </w:pPr>
    </w:p>
    <w:p w:rsidR="00BA550E" w:rsidRPr="00177C1F" w:rsidP="007F3FE5" w14:paraId="76D6ED9A" w14:textId="77777777">
      <w:pPr>
        <w:pStyle w:val="TOC1"/>
        <w:tabs>
          <w:tab w:val="right" w:leader="dot" w:pos="9350"/>
        </w:tabs>
        <w:contextualSpacing/>
      </w:pPr>
    </w:p>
    <w:p w:rsidR="00BA550E" w:rsidRPr="00177C1F" w:rsidP="007F3FE5" w14:paraId="2E662475" w14:textId="77777777">
      <w:pPr>
        <w:pStyle w:val="TOC1"/>
        <w:tabs>
          <w:tab w:val="right" w:leader="dot" w:pos="9350"/>
        </w:tabs>
        <w:contextualSpacing/>
      </w:pPr>
    </w:p>
    <w:p w:rsidR="00BA550E" w:rsidRPr="00177C1F" w:rsidP="007F3FE5" w14:paraId="1F916B8E" w14:textId="77777777">
      <w:pPr>
        <w:widowControl/>
        <w:contextualSpacing/>
        <w:jc w:val="center"/>
        <w:rPr>
          <w:bCs/>
        </w:rPr>
      </w:pPr>
      <w:r w:rsidRPr="00177C1F">
        <w:rPr>
          <w:bCs/>
        </w:rPr>
        <w:br w:type="page"/>
      </w:r>
    </w:p>
    <w:p w:rsidR="00016741" w:rsidP="00553D27" w14:paraId="28D7F244" w14:textId="77777777">
      <w:pPr>
        <w:widowControl/>
        <w:contextualSpacing/>
        <w:jc w:val="center"/>
        <w:rPr>
          <w:bCs/>
        </w:rPr>
      </w:pPr>
      <w:r w:rsidRPr="00177C1F">
        <w:rPr>
          <w:bCs/>
        </w:rPr>
        <w:t>Supporting Statement A</w:t>
      </w:r>
    </w:p>
    <w:p w:rsidR="00553D27" w:rsidP="00553D27" w14:paraId="7F75DFB5" w14:textId="77777777">
      <w:pPr>
        <w:widowControl/>
        <w:contextualSpacing/>
        <w:jc w:val="center"/>
        <w:rPr>
          <w:bCs/>
        </w:rPr>
      </w:pPr>
    </w:p>
    <w:tbl>
      <w:tblPr>
        <w:tblpPr w:leftFromText="187" w:rightFromText="187" w:bottomFromText="720" w:vertAnchor="text" w:horzAnchor="margin" w:tblpY="44"/>
        <w:tblOverlap w:val="never"/>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
      <w:tblGrid>
        <w:gridCol w:w="9175"/>
      </w:tblGrid>
      <w:tr w14:paraId="693A2F67" w14:textId="77777777">
        <w:tblPrEx>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Ex>
        <w:trPr>
          <w:tblHeader/>
        </w:trPr>
        <w:tc>
          <w:tcPr>
            <w:tcW w:w="9175" w:type="dxa"/>
            <w:shd w:val="clear" w:color="auto" w:fill="auto"/>
          </w:tcPr>
          <w:p w:rsidR="00553D27" w14:paraId="68142E1E" w14:textId="77777777">
            <w:pPr>
              <w:spacing w:before="240"/>
              <w:rPr>
                <w:rFonts w:ascii="Arial Nova" w:hAnsi="Arial Nova"/>
                <w:b/>
                <w:color w:val="000000"/>
              </w:rPr>
            </w:pPr>
            <w:r>
              <w:rPr>
                <w:rFonts w:ascii="Arial Nova" w:hAnsi="Arial Nova"/>
                <w:b/>
                <w:color w:val="000000"/>
              </w:rPr>
              <w:t>Goal of the project</w:t>
            </w:r>
            <w:r>
              <w:rPr>
                <w:rFonts w:ascii="Arial Nova" w:hAnsi="Arial Nova"/>
                <w:color w:val="000000"/>
              </w:rPr>
              <w:t xml:space="preserve">: </w:t>
            </w:r>
            <w:bookmarkStart w:id="1" w:name="_Hlk132364308"/>
            <w:r>
              <w:rPr>
                <w:rFonts w:ascii="Arial Nova" w:hAnsi="Arial Nova"/>
                <w:color w:val="000000"/>
              </w:rPr>
              <w:t xml:space="preserve">The Center for Disease Control and Prevention’s (CDC) Global Emergency Management Capacity Development (GEMCD) team will use the PHEM Tool to assess public health emergency management (PHEM) program and Public Health Emergency Operations Center (PHEOC) capacity of Global Health Security Agenda (GHSA) countries.  </w:t>
            </w:r>
            <w:bookmarkEnd w:id="1"/>
          </w:p>
        </w:tc>
      </w:tr>
      <w:tr w14:paraId="513B0099" w14:textId="77777777">
        <w:tblPrEx>
          <w:tblW w:w="0" w:type="auto"/>
          <w:tblCellMar>
            <w:top w:w="72" w:type="dxa"/>
            <w:left w:w="115" w:type="dxa"/>
            <w:bottom w:w="72" w:type="dxa"/>
            <w:right w:w="115" w:type="dxa"/>
          </w:tblCellMar>
          <w:tblLook w:val="04A0"/>
        </w:tblPrEx>
        <w:tc>
          <w:tcPr>
            <w:tcW w:w="9175" w:type="dxa"/>
            <w:shd w:val="clear" w:color="auto" w:fill="auto"/>
          </w:tcPr>
          <w:p w:rsidR="00553D27" w14:paraId="783981F1" w14:textId="77777777">
            <w:pPr>
              <w:rPr>
                <w:rFonts w:ascii="Arial Nova" w:hAnsi="Arial Nova"/>
                <w:b/>
                <w:color w:val="000000"/>
              </w:rPr>
            </w:pPr>
            <w:r>
              <w:rPr>
                <w:rFonts w:ascii="Arial Nova" w:hAnsi="Arial Nova"/>
                <w:b/>
                <w:color w:val="000000"/>
              </w:rPr>
              <w:t>Intended use of the resulting data</w:t>
            </w:r>
            <w:r>
              <w:rPr>
                <w:rFonts w:ascii="Arial Nova" w:hAnsi="Arial Nova"/>
                <w:color w:val="000000"/>
              </w:rPr>
              <w:t xml:space="preserve">: </w:t>
            </w:r>
            <w:bookmarkStart w:id="2" w:name="_Hlk132364377"/>
            <w:r>
              <w:rPr>
                <w:rFonts w:ascii="Arial Nova" w:hAnsi="Arial Nova"/>
                <w:color w:val="000000"/>
              </w:rPr>
              <w:t xml:space="preserve">Data will identify strengths and weaknesses, capabilities, and gaps in PHEM programs and PHEOCs in GHSA countries.  Findings will guide GEMCD team program planning initiatives and determine appropriate technical assistance (TA) for GHSA countries.  </w:t>
            </w:r>
            <w:bookmarkEnd w:id="2"/>
          </w:p>
        </w:tc>
      </w:tr>
      <w:tr w14:paraId="1CBA0EC1" w14:textId="77777777">
        <w:tblPrEx>
          <w:tblW w:w="0" w:type="auto"/>
          <w:tblCellMar>
            <w:top w:w="72" w:type="dxa"/>
            <w:left w:w="115" w:type="dxa"/>
            <w:bottom w:w="72" w:type="dxa"/>
            <w:right w:w="115" w:type="dxa"/>
          </w:tblCellMar>
          <w:tblLook w:val="04A0"/>
        </w:tblPrEx>
        <w:tc>
          <w:tcPr>
            <w:tcW w:w="9175" w:type="dxa"/>
            <w:shd w:val="clear" w:color="auto" w:fill="auto"/>
          </w:tcPr>
          <w:p w:rsidR="00553D27" w14:paraId="5F92C5C5" w14:textId="77777777">
            <w:pPr>
              <w:rPr>
                <w:rFonts w:ascii="Arial Nova" w:hAnsi="Arial Nova"/>
                <w:color w:val="000000"/>
              </w:rPr>
            </w:pPr>
            <w:r>
              <w:rPr>
                <w:rFonts w:ascii="Arial Nova" w:hAnsi="Arial Nova"/>
                <w:b/>
                <w:color w:val="000000"/>
              </w:rPr>
              <w:t>Methods to be used to collect</w:t>
            </w:r>
            <w:r>
              <w:rPr>
                <w:rFonts w:ascii="Arial Nova" w:hAnsi="Arial Nova"/>
                <w:color w:val="000000"/>
              </w:rPr>
              <w:t xml:space="preserve">:  </w:t>
            </w:r>
            <w:bookmarkStart w:id="3" w:name="_Hlk132364355"/>
            <w:r>
              <w:rPr>
                <w:rFonts w:ascii="Arial Nova" w:hAnsi="Arial Nova"/>
                <w:color w:val="000000"/>
              </w:rPr>
              <w:t xml:space="preserve">The GEMCD team’s Emergency Management Technical Advisors (EMTAs) will use the Tool to guide an in-person interview with GHSA countries Ministry of Health, Public Health Emergency Operations Center (PHEOC) Manager and optional additional staff, to characterize the country’s PHEM program and capabilities. EMTAs will document responses in an excel based form that will be entered into and maintained in the CDCReady data base.  </w:t>
            </w:r>
            <w:bookmarkEnd w:id="3"/>
          </w:p>
        </w:tc>
      </w:tr>
      <w:tr w14:paraId="054C9C41" w14:textId="77777777">
        <w:tblPrEx>
          <w:tblW w:w="0" w:type="auto"/>
          <w:tblCellMar>
            <w:top w:w="72" w:type="dxa"/>
            <w:left w:w="115" w:type="dxa"/>
            <w:bottom w:w="72" w:type="dxa"/>
            <w:right w:w="115" w:type="dxa"/>
          </w:tblCellMar>
          <w:tblLook w:val="04A0"/>
        </w:tblPrEx>
        <w:tc>
          <w:tcPr>
            <w:tcW w:w="9175" w:type="dxa"/>
            <w:shd w:val="clear" w:color="auto" w:fill="auto"/>
          </w:tcPr>
          <w:p w:rsidR="00553D27" w14:paraId="28D4C314" w14:textId="77777777">
            <w:pPr>
              <w:rPr>
                <w:rFonts w:ascii="Arial Nova" w:hAnsi="Arial Nova"/>
                <w:color w:val="000000"/>
              </w:rPr>
            </w:pPr>
            <w:r>
              <w:rPr>
                <w:rFonts w:ascii="Arial Nova" w:hAnsi="Arial Nova"/>
                <w:b/>
                <w:color w:val="000000"/>
              </w:rPr>
              <w:t>The subpopulation to be studied</w:t>
            </w:r>
            <w:r>
              <w:rPr>
                <w:rFonts w:ascii="Arial Nova" w:hAnsi="Arial Nova"/>
                <w:color w:val="000000"/>
              </w:rPr>
              <w:t xml:space="preserve">:  GHSA countries’ PHEOC leadership and staff will be interviewed.  </w:t>
            </w:r>
          </w:p>
        </w:tc>
      </w:tr>
      <w:tr w14:paraId="6150240C" w14:textId="77777777">
        <w:tblPrEx>
          <w:tblW w:w="0" w:type="auto"/>
          <w:tblCellMar>
            <w:top w:w="72" w:type="dxa"/>
            <w:left w:w="115" w:type="dxa"/>
            <w:bottom w:w="72" w:type="dxa"/>
            <w:right w:w="115" w:type="dxa"/>
          </w:tblCellMar>
          <w:tblLook w:val="04A0"/>
        </w:tblPrEx>
        <w:tc>
          <w:tcPr>
            <w:tcW w:w="9175" w:type="dxa"/>
            <w:shd w:val="clear" w:color="auto" w:fill="auto"/>
          </w:tcPr>
          <w:p w:rsidR="00553D27" w14:paraId="67130FC0" w14:textId="77777777">
            <w:pPr>
              <w:spacing w:after="240"/>
              <w:rPr>
                <w:rFonts w:ascii="Arial Nova" w:hAnsi="Arial Nova"/>
                <w:color w:val="000000"/>
              </w:rPr>
            </w:pPr>
            <w:r>
              <w:rPr>
                <w:rFonts w:ascii="Arial Nova" w:hAnsi="Arial Nova"/>
                <w:b/>
                <w:color w:val="000000"/>
              </w:rPr>
              <w:t>How the data will be analyzed</w:t>
            </w:r>
            <w:r>
              <w:rPr>
                <w:rFonts w:ascii="Arial Nova" w:hAnsi="Arial Nova"/>
                <w:color w:val="000000"/>
              </w:rPr>
              <w:t xml:space="preserve">: </w:t>
            </w:r>
            <w:bookmarkStart w:id="4" w:name="_Hlk132364412"/>
            <w:r>
              <w:rPr>
                <w:rFonts w:ascii="Arial Nova" w:hAnsi="Arial Nova"/>
                <w:color w:val="000000"/>
              </w:rPr>
              <w:t xml:space="preserve">Data will be analyzed to identify the presence or absence of specific PHEM and PHEOC requirements, such as plans, policies, and procedures, etc.  Additional analysis will focus upon the status of PHEM and PHEOC plans, policies, and procedures, e.g., date of publication, relevance, etc. The survey will be conducted annually to identify progress and document changes from one year to the next in terms of PHEM program and PHEOC capabilities.   </w:t>
            </w:r>
            <w:bookmarkEnd w:id="4"/>
          </w:p>
        </w:tc>
      </w:tr>
    </w:tbl>
    <w:p w:rsidR="00553D27" w:rsidRPr="00782203" w:rsidP="00553D27" w14:paraId="5A83BE65" w14:textId="77777777">
      <w:pPr>
        <w:widowControl/>
        <w:contextualSpacing/>
        <w:jc w:val="center"/>
        <w:rPr>
          <w:bCs/>
        </w:rPr>
      </w:pPr>
    </w:p>
    <w:p w:rsidR="00782203" w:rsidRPr="00782203" w:rsidP="007F3FE5" w14:paraId="0B2C00F6" w14:textId="77777777">
      <w:pPr>
        <w:widowControl/>
        <w:contextualSpacing/>
        <w:rPr>
          <w:bCs/>
        </w:rPr>
      </w:pPr>
    </w:p>
    <w:p w:rsidR="00BA550E" w:rsidRPr="00782203" w:rsidP="00177C1F" w14:paraId="322D8FCC" w14:textId="77777777">
      <w:pPr>
        <w:pStyle w:val="Heading2"/>
        <w:rPr>
          <w:rFonts w:ascii="Times New Roman" w:hAnsi="Times New Roman"/>
          <w:sz w:val="24"/>
          <w:szCs w:val="24"/>
        </w:rPr>
      </w:pPr>
      <w:bookmarkStart w:id="5" w:name="_Toc60052606"/>
      <w:r w:rsidRPr="00782203">
        <w:rPr>
          <w:rFonts w:ascii="Times New Roman" w:hAnsi="Times New Roman"/>
          <w:sz w:val="24"/>
          <w:szCs w:val="24"/>
        </w:rPr>
        <w:t>A.  Justification</w:t>
      </w:r>
      <w:bookmarkEnd w:id="5"/>
    </w:p>
    <w:p w:rsidR="00DC12DA" w:rsidRPr="00782203" w:rsidP="00883A5F" w14:paraId="18F241F4" w14:textId="77777777">
      <w:pPr>
        <w:widowControl/>
        <w:contextualSpacing/>
      </w:pPr>
    </w:p>
    <w:p w:rsidR="00BA550E" w:rsidRPr="00782203" w:rsidP="00177C1F" w14:paraId="20D8F400" w14:textId="77777777">
      <w:pPr>
        <w:pStyle w:val="Heading3"/>
        <w:rPr>
          <w:rFonts w:ascii="Times New Roman" w:hAnsi="Times New Roman"/>
          <w:color w:val="auto"/>
          <w:sz w:val="24"/>
          <w:szCs w:val="24"/>
        </w:rPr>
      </w:pPr>
      <w:bookmarkStart w:id="6" w:name="_Toc60052607"/>
      <w:r w:rsidRPr="00782203">
        <w:rPr>
          <w:rFonts w:ascii="Times New Roman" w:hAnsi="Times New Roman"/>
          <w:color w:val="auto"/>
          <w:sz w:val="24"/>
          <w:szCs w:val="24"/>
        </w:rPr>
        <w:t>1.  Circumstances Making the Collection of Information Necessary</w:t>
      </w:r>
      <w:bookmarkEnd w:id="6"/>
    </w:p>
    <w:p w:rsidR="00BA550E" w:rsidRPr="00782203" w:rsidP="007F3FE5" w14:paraId="3E156CFB" w14:textId="77777777">
      <w:pPr>
        <w:widowControl/>
        <w:contextualSpacing/>
        <w:rPr>
          <w:bCs/>
        </w:rPr>
      </w:pPr>
    </w:p>
    <w:p w:rsidR="00553D27" w:rsidP="00553D27" w14:paraId="5702AFE0" w14:textId="77777777">
      <w:pPr>
        <w:spacing w:line="276" w:lineRule="auto"/>
      </w:pPr>
      <w:r>
        <w:t xml:space="preserve">The PHEM Tool is used by GEMCD team EMTAs with GHSA Country participants to assess PHEM program and PHEOC capacity in the country.  Collected data are used to determine appropriate programmatic technical assistance for a given year. For country activities occurring for more than one year, data can be used to assess progress.  The PHEM Tool provides evidence to support the GEMCD Team’s program activities, specifically in terms of technical assistance.  </w:t>
      </w:r>
    </w:p>
    <w:p w:rsidR="00553D27" w:rsidP="00553D27" w14:paraId="1D220449" w14:textId="77777777">
      <w:pPr>
        <w:spacing w:line="276" w:lineRule="auto"/>
      </w:pPr>
    </w:p>
    <w:p w:rsidR="00553D27" w:rsidP="00553D27" w14:paraId="3D0B2B2D" w14:textId="77777777">
      <w:pPr>
        <w:spacing w:line="276" w:lineRule="auto"/>
      </w:pPr>
      <w:r>
        <w:t xml:space="preserve">The GEMCD team is the CDC lead for PHEM in the international setting. The PHEM Tool is used to determine the status of PHEM programs and PHEOCs in participating GHSA countries. Countries are required by the International Health Regulations, 2005 (IHR) to achieve </w:t>
      </w:r>
      <w:r w:rsidR="000C4F34">
        <w:t>b</w:t>
      </w:r>
      <w:r>
        <w:t xml:space="preserve">enchmarks related to emergency response, and GEMCD provides subject matter expertise in the creation and sustainment of PHEM programs and PHEOCs.  </w:t>
      </w:r>
    </w:p>
    <w:p w:rsidR="00553D27" w:rsidP="00553D27" w14:paraId="70844233" w14:textId="77777777">
      <w:pPr>
        <w:spacing w:line="276" w:lineRule="auto"/>
      </w:pPr>
    </w:p>
    <w:p w:rsidR="00221AEB" w:rsidRPr="00782203" w:rsidP="000C4F34" w14:paraId="1CEC8B1A" w14:textId="269F51DB">
      <w:pPr>
        <w:spacing w:line="276" w:lineRule="auto"/>
        <w:rPr>
          <w:rFonts w:eastAsia="Calibri"/>
          <w:color w:val="000000"/>
          <w:highlight w:val="yellow"/>
        </w:rPr>
      </w:pPr>
      <w:r>
        <w:t xml:space="preserve">GEMCD works with countries to ensure that they are able to prepare for and effectively respond to public health emergencies as mandated by the IHR. </w:t>
      </w:r>
      <w:r w:rsidRPr="00782203">
        <w:t xml:space="preserve">The information collection request is </w:t>
      </w:r>
      <w:r w:rsidRPr="00782203" w:rsidR="00933C03">
        <w:t>new,</w:t>
      </w:r>
      <w:r w:rsidRPr="00782203">
        <w:t xml:space="preserve"> and the length of time requested is 3 years. </w:t>
      </w:r>
      <w:r w:rsidRPr="000C4F34" w:rsidR="000C4F34">
        <w:rPr>
          <w:rFonts w:eastAsia="Calibri"/>
        </w:rPr>
        <w:t>This data collection is authorized by Section 301 of the Public Health Service Act (42 U.S.C. 241)</w:t>
      </w:r>
      <w:r w:rsidR="00C2374C">
        <w:rPr>
          <w:rFonts w:eastAsia="Calibri"/>
        </w:rPr>
        <w:t xml:space="preserve"> (Attac</w:t>
      </w:r>
      <w:r w:rsidR="00933C03">
        <w:rPr>
          <w:rFonts w:eastAsia="Calibri"/>
        </w:rPr>
        <w:t>h</w:t>
      </w:r>
      <w:r w:rsidR="00C2374C">
        <w:rPr>
          <w:rFonts w:eastAsia="Calibri"/>
        </w:rPr>
        <w:t>ment 1)</w:t>
      </w:r>
      <w:r w:rsidR="00F15C6F">
        <w:rPr>
          <w:rFonts w:eastAsia="Calibri"/>
        </w:rPr>
        <w:t xml:space="preserve">. </w:t>
      </w:r>
      <w:r w:rsidRPr="00C2374C" w:rsidR="00C2374C">
        <w:rPr>
          <w:rFonts w:eastAsia="Calibri"/>
        </w:rPr>
        <w:t xml:space="preserve">The information collection request is for three years, at which time the </w:t>
      </w:r>
      <w:r w:rsidR="00C2374C">
        <w:rPr>
          <w:rFonts w:eastAsia="Calibri"/>
        </w:rPr>
        <w:t xml:space="preserve">PHEM </w:t>
      </w:r>
      <w:r w:rsidRPr="00C2374C" w:rsidR="00C2374C">
        <w:rPr>
          <w:rFonts w:eastAsia="Calibri"/>
        </w:rPr>
        <w:t>Tool renewal may be sought.</w:t>
      </w:r>
    </w:p>
    <w:p w:rsidR="00221AEB" w:rsidRPr="00782203" w:rsidP="00221AEB" w14:paraId="39A11F90" w14:textId="77777777">
      <w:pPr>
        <w:rPr>
          <w:color w:val="000000"/>
          <w:highlight w:val="yellow"/>
        </w:rPr>
      </w:pPr>
    </w:p>
    <w:p w:rsidR="00A95FC8" w:rsidP="00B966F7" w14:paraId="7544BD36" w14:textId="77777777">
      <w:pPr>
        <w:widowControl/>
        <w:contextualSpacing/>
      </w:pPr>
    </w:p>
    <w:p w:rsidR="00BA550E" w:rsidRPr="00177C1F" w:rsidP="00177C1F" w14:paraId="691BC204" w14:textId="77777777">
      <w:pPr>
        <w:pStyle w:val="Heading3"/>
        <w:rPr>
          <w:rFonts w:ascii="Times New Roman" w:hAnsi="Times New Roman"/>
          <w:color w:val="auto"/>
          <w:sz w:val="24"/>
          <w:szCs w:val="24"/>
        </w:rPr>
      </w:pPr>
      <w:bookmarkStart w:id="7" w:name="_Toc60052608"/>
      <w:r w:rsidRPr="00177C1F">
        <w:rPr>
          <w:rFonts w:ascii="Times New Roman" w:hAnsi="Times New Roman"/>
          <w:color w:val="auto"/>
          <w:sz w:val="24"/>
          <w:szCs w:val="24"/>
        </w:rPr>
        <w:t>2.  Purpose and Use of Information Collection</w:t>
      </w:r>
      <w:bookmarkEnd w:id="7"/>
    </w:p>
    <w:p w:rsidR="00BA550E" w:rsidRPr="00177C1F" w:rsidP="007F3FE5" w14:paraId="68EF07F7" w14:textId="77777777">
      <w:pPr>
        <w:widowControl/>
        <w:contextualSpacing/>
        <w:rPr>
          <w:bCs/>
        </w:rPr>
      </w:pPr>
    </w:p>
    <w:p w:rsidR="00782203" w:rsidP="00E259CA" w14:paraId="351179E1" w14:textId="77777777">
      <w:pPr>
        <w:widowControl/>
        <w:contextualSpacing/>
        <w:rPr>
          <w:bCs/>
        </w:rPr>
      </w:pPr>
      <w:r w:rsidRPr="00E259CA">
        <w:rPr>
          <w:bCs/>
        </w:rPr>
        <w:t xml:space="preserve">The goal of the PHEM Tool </w:t>
      </w:r>
      <w:r w:rsidR="00C2374C">
        <w:rPr>
          <w:bCs/>
        </w:rPr>
        <w:t>(</w:t>
      </w:r>
      <w:r w:rsidRPr="00C2374C" w:rsidR="00C2374C">
        <w:rPr>
          <w:b/>
        </w:rPr>
        <w:t>Attachment 3</w:t>
      </w:r>
      <w:r w:rsidR="00C2374C">
        <w:rPr>
          <w:bCs/>
        </w:rPr>
        <w:t xml:space="preserve">) </w:t>
      </w:r>
      <w:r w:rsidRPr="00E259CA">
        <w:rPr>
          <w:bCs/>
        </w:rPr>
        <w:t>is to provide an easy to use but comprehensive questionnaire to assess public health emergency management (PHEM) program capacity and public health emergency operations centers' (PHEOC) capabilities, for the purpose of identifying areas of technical assistance support</w:t>
      </w:r>
      <w:r w:rsidR="00F15C6F">
        <w:rPr>
          <w:bCs/>
        </w:rPr>
        <w:t xml:space="preserve"> the following:</w:t>
      </w:r>
    </w:p>
    <w:p w:rsidR="00E259CA" w:rsidP="00E259CA" w14:paraId="7A7D7CD5" w14:textId="77777777">
      <w:pPr>
        <w:widowControl/>
        <w:contextualSpacing/>
        <w:rPr>
          <w:bCs/>
        </w:rPr>
      </w:pPr>
    </w:p>
    <w:p w:rsidR="00F15C6F" w:rsidP="00E259CA" w14:paraId="7B68B54A" w14:textId="203407DB">
      <w:pPr>
        <w:widowControl/>
        <w:contextualSpacing/>
        <w:rPr>
          <w:bCs/>
        </w:rPr>
      </w:pPr>
      <w:r w:rsidRPr="00E259CA">
        <w:rPr>
          <w:bCs/>
        </w:rPr>
        <w:t xml:space="preserve">1. To create an easy to use and comprehensive PHEM Program and PHEOC assessment tool for use in Global Health Security Agenda as well as USG/ CDC priority countries. </w:t>
      </w:r>
    </w:p>
    <w:p w:rsidR="00E259CA" w:rsidRPr="00E259CA" w:rsidP="00E259CA" w14:paraId="7AFFC221" w14:textId="77777777">
      <w:pPr>
        <w:widowControl/>
        <w:contextualSpacing/>
        <w:rPr>
          <w:bCs/>
        </w:rPr>
      </w:pPr>
      <w:r w:rsidRPr="00E259CA">
        <w:rPr>
          <w:bCs/>
        </w:rPr>
        <w:t xml:space="preserve">2. To use data collected using the tool to identify focus areas for programmatic </w:t>
      </w:r>
    </w:p>
    <w:p w:rsidR="00F15C6F" w:rsidP="00E259CA" w14:paraId="40C75BB5" w14:textId="77777777">
      <w:pPr>
        <w:widowControl/>
        <w:contextualSpacing/>
        <w:rPr>
          <w:bCs/>
        </w:rPr>
      </w:pPr>
      <w:r w:rsidRPr="00E259CA">
        <w:rPr>
          <w:bCs/>
        </w:rPr>
        <w:t xml:space="preserve">activities and Technical Assistance. </w:t>
      </w:r>
    </w:p>
    <w:p w:rsidR="00E259CA" w:rsidRPr="00E259CA" w:rsidP="00E259CA" w14:paraId="3B160200" w14:textId="77777777">
      <w:pPr>
        <w:widowControl/>
        <w:contextualSpacing/>
        <w:rPr>
          <w:bCs/>
        </w:rPr>
      </w:pPr>
      <w:r w:rsidRPr="00E259CA">
        <w:rPr>
          <w:bCs/>
        </w:rPr>
        <w:t xml:space="preserve">3. To use tool each program year to document improvements or decreases in public health </w:t>
      </w:r>
    </w:p>
    <w:p w:rsidR="00E259CA" w:rsidP="00E259CA" w14:paraId="56578C45" w14:textId="77777777">
      <w:pPr>
        <w:widowControl/>
        <w:contextualSpacing/>
        <w:rPr>
          <w:bCs/>
        </w:rPr>
      </w:pPr>
      <w:r w:rsidRPr="00E259CA">
        <w:rPr>
          <w:bCs/>
        </w:rPr>
        <w:t>emergency management and/ or Public Health Emergency Operations Center capabilities.</w:t>
      </w:r>
    </w:p>
    <w:p w:rsidR="00E259CA" w:rsidP="007F3FE5" w14:paraId="77AD1DD6" w14:textId="77777777">
      <w:pPr>
        <w:widowControl/>
        <w:contextualSpacing/>
        <w:rPr>
          <w:bCs/>
        </w:rPr>
      </w:pPr>
    </w:p>
    <w:p w:rsidR="00E259CA" w:rsidP="007F3FE5" w14:paraId="475E94BA" w14:textId="77777777">
      <w:pPr>
        <w:widowControl/>
        <w:contextualSpacing/>
        <w:rPr>
          <w:bCs/>
        </w:rPr>
      </w:pPr>
    </w:p>
    <w:p w:rsidR="00F15C6F" w:rsidP="00E259CA" w14:paraId="127C7253" w14:textId="77777777">
      <w:pPr>
        <w:widowControl/>
        <w:contextualSpacing/>
        <w:rPr>
          <w:bCs/>
        </w:rPr>
      </w:pPr>
      <w:r>
        <w:rPr>
          <w:bCs/>
        </w:rPr>
        <w:t>P</w:t>
      </w:r>
      <w:r w:rsidRPr="00E259CA" w:rsidR="00E259CA">
        <w:rPr>
          <w:bCs/>
        </w:rPr>
        <w:t xml:space="preserve">HEM Tool data will be used to tailor technical assistance and programmatic activities in participant countries. PHEM Tool data will be available to participant CDC country teams, in report form. In addition, these reports may be shared with Ministry of Health officials, at the discretion of the CDC Country or Regional Teams. GEMCD may use data collected using the PHEM Tool to develop reports for programmatic use, internal to DEO, </w:t>
      </w:r>
      <w:r w:rsidR="00C961CD">
        <w:rPr>
          <w:bCs/>
        </w:rPr>
        <w:t>ORR</w:t>
      </w:r>
      <w:r w:rsidRPr="00E259CA" w:rsidR="00E259CA">
        <w:rPr>
          <w:bCs/>
        </w:rPr>
        <w:t>, o</w:t>
      </w:r>
      <w:r w:rsidR="00C961CD">
        <w:rPr>
          <w:bCs/>
        </w:rPr>
        <w:t>r</w:t>
      </w:r>
      <w:r w:rsidRPr="00E259CA" w:rsidR="00E259CA">
        <w:rPr>
          <w:bCs/>
        </w:rPr>
        <w:t xml:space="preserve"> Global Health. Aggregated or de-identified PHEM Tool data may also be used in publications pertaining to emergency management, capacity development, public health workforce development, etc. </w:t>
      </w:r>
    </w:p>
    <w:p w:rsidR="00E259CA" w:rsidP="00E259CA" w14:paraId="4B3A89F5" w14:textId="77777777">
      <w:pPr>
        <w:widowControl/>
        <w:contextualSpacing/>
        <w:rPr>
          <w:bCs/>
        </w:rPr>
      </w:pPr>
      <w:r w:rsidRPr="00E259CA">
        <w:rPr>
          <w:bCs/>
        </w:rPr>
        <w:t>Publications external to CDC will reference country specific data in an anonymous format or as one of many represented in the case of regional comparisons. PHEM Tool data for use in external publications or presentations will be submitted through CDC</w:t>
      </w:r>
      <w:r w:rsidR="00C424F1">
        <w:rPr>
          <w:bCs/>
        </w:rPr>
        <w:t>’</w:t>
      </w:r>
      <w:r w:rsidRPr="00E259CA">
        <w:rPr>
          <w:bCs/>
        </w:rPr>
        <w:t>s approval and clearance process.</w:t>
      </w:r>
      <w:r w:rsidRPr="00E259CA">
        <w:rPr>
          <w:bCs/>
        </w:rPr>
        <w:cr/>
      </w:r>
    </w:p>
    <w:p w:rsidR="00BA550E" w:rsidRPr="00177C1F" w:rsidP="00177C1F" w14:paraId="1FCB5180" w14:textId="77777777">
      <w:pPr>
        <w:pStyle w:val="Heading3"/>
        <w:rPr>
          <w:rFonts w:ascii="Times New Roman" w:hAnsi="Times New Roman"/>
          <w:color w:val="auto"/>
          <w:sz w:val="24"/>
          <w:szCs w:val="24"/>
        </w:rPr>
      </w:pPr>
      <w:bookmarkStart w:id="8" w:name="_Toc60052609"/>
      <w:r w:rsidRPr="00177C1F">
        <w:rPr>
          <w:rFonts w:ascii="Times New Roman" w:hAnsi="Times New Roman"/>
          <w:color w:val="auto"/>
          <w:sz w:val="24"/>
          <w:szCs w:val="24"/>
        </w:rPr>
        <w:t>3.  Use of Improved Technology and Burden Reduction</w:t>
      </w:r>
      <w:bookmarkEnd w:id="8"/>
      <w:r w:rsidRPr="00177C1F">
        <w:rPr>
          <w:rFonts w:ascii="Times New Roman" w:hAnsi="Times New Roman"/>
          <w:color w:val="auto"/>
          <w:sz w:val="24"/>
          <w:szCs w:val="24"/>
        </w:rPr>
        <w:t xml:space="preserve">  </w:t>
      </w:r>
    </w:p>
    <w:p w:rsidR="00D6788A" w:rsidRPr="00177C1F" w:rsidP="007F3FE5" w14:paraId="560258A4" w14:textId="77777777">
      <w:pPr>
        <w:contextualSpacing/>
        <w:rPr>
          <w:bCs/>
        </w:rPr>
      </w:pPr>
    </w:p>
    <w:p w:rsidR="00782203" w:rsidP="00016D5B" w14:paraId="330F6DCF" w14:textId="77777777">
      <w:pPr>
        <w:adjustRightInd w:val="0"/>
      </w:pPr>
      <w:r>
        <w:rPr>
          <w:bCs/>
        </w:rPr>
        <w:t>I</w:t>
      </w:r>
      <w:r w:rsidRPr="00566643">
        <w:rPr>
          <w:bCs/>
        </w:rPr>
        <w:t>nterviewers will enter respondents</w:t>
      </w:r>
      <w:r w:rsidR="00C961CD">
        <w:rPr>
          <w:bCs/>
        </w:rPr>
        <w:t>’</w:t>
      </w:r>
      <w:r w:rsidRPr="00566643">
        <w:rPr>
          <w:bCs/>
        </w:rPr>
        <w:t xml:space="preserve"> information into an </w:t>
      </w:r>
      <w:r>
        <w:rPr>
          <w:bCs/>
        </w:rPr>
        <w:t>E</w:t>
      </w:r>
      <w:r w:rsidRPr="00566643">
        <w:rPr>
          <w:bCs/>
        </w:rPr>
        <w:t>xcel spreadsheet</w:t>
      </w:r>
      <w:r>
        <w:rPr>
          <w:bCs/>
        </w:rPr>
        <w:t xml:space="preserve">. </w:t>
      </w:r>
    </w:p>
    <w:p w:rsidR="00BA550E" w:rsidRPr="00177C1F" w:rsidP="00177C1F" w14:paraId="71F47D0E" w14:textId="77777777">
      <w:pPr>
        <w:pStyle w:val="Heading3"/>
        <w:rPr>
          <w:rFonts w:ascii="Times New Roman" w:hAnsi="Times New Roman"/>
          <w:color w:val="auto"/>
          <w:sz w:val="24"/>
          <w:szCs w:val="24"/>
        </w:rPr>
      </w:pPr>
      <w:bookmarkStart w:id="9" w:name="_Toc60052610"/>
      <w:r w:rsidRPr="00177C1F">
        <w:rPr>
          <w:rFonts w:ascii="Times New Roman" w:hAnsi="Times New Roman"/>
          <w:color w:val="auto"/>
          <w:sz w:val="24"/>
          <w:szCs w:val="24"/>
        </w:rPr>
        <w:t>4. Efforts to Identify Duplication and Use of Similar Information</w:t>
      </w:r>
      <w:bookmarkEnd w:id="9"/>
    </w:p>
    <w:p w:rsidR="00221AEB" w:rsidP="00DE5E2E" w14:paraId="4B6E80A4" w14:textId="77777777">
      <w:pPr>
        <w:pStyle w:val="Heading3"/>
        <w:rPr>
          <w:rFonts w:ascii="Times New Roman" w:hAnsi="Times New Roman"/>
          <w:b w:val="0"/>
          <w:bCs w:val="0"/>
          <w:color w:val="auto"/>
          <w:sz w:val="24"/>
          <w:szCs w:val="24"/>
        </w:rPr>
      </w:pPr>
      <w:bookmarkStart w:id="10" w:name="_Toc60052611"/>
      <w:r w:rsidRPr="00DE5E2E">
        <w:rPr>
          <w:rFonts w:ascii="Times New Roman" w:hAnsi="Times New Roman"/>
          <w:b w:val="0"/>
          <w:bCs w:val="0"/>
          <w:color w:val="auto"/>
          <w:sz w:val="24"/>
          <w:szCs w:val="24"/>
        </w:rPr>
        <w:t xml:space="preserve">GEMCD team is the CDC lead for PHEM program and PHEOC support to GHSA countries working to achieve IHR standards.  GEMCD collaborates closely with other CDC entities responsible for their own programmatic activities related to GHSA and IHR standards, </w:t>
      </w:r>
      <w:r w:rsidRPr="00DE5E2E" w:rsidR="00C961CD">
        <w:rPr>
          <w:rFonts w:ascii="Times New Roman" w:hAnsi="Times New Roman"/>
          <w:b w:val="0"/>
          <w:bCs w:val="0"/>
          <w:color w:val="auto"/>
          <w:sz w:val="24"/>
          <w:szCs w:val="24"/>
        </w:rPr>
        <w:t>e.g.,</w:t>
      </w:r>
      <w:r w:rsidRPr="00DE5E2E">
        <w:rPr>
          <w:rFonts w:ascii="Times New Roman" w:hAnsi="Times New Roman"/>
          <w:b w:val="0"/>
          <w:bCs w:val="0"/>
          <w:color w:val="auto"/>
          <w:sz w:val="24"/>
          <w:szCs w:val="24"/>
        </w:rPr>
        <w:t xml:space="preserve"> surveillance, point of entry, etc. In addition, GEMCD collaborates closely with WHO in development and review of guidance related to PHEM program and PHEOC practices.  GEMCD Team is requested to provide and conduct the PHEM Tool as part of its “needs assessment” to provide Technical Assistance pertaining to PHEM. The Tool is designed uniquely for this purpose and crosswalks PHEM focused capabilities as required by the International Health Regulations and the Joint External Evaluation tool. It is intended to be administered annually, to assess progress or challenges a country is facing as pertains to their PHEM programs.</w:t>
      </w:r>
      <w:r>
        <w:rPr>
          <w:rFonts w:ascii="Times New Roman" w:hAnsi="Times New Roman"/>
          <w:b w:val="0"/>
          <w:bCs w:val="0"/>
          <w:color w:val="auto"/>
          <w:sz w:val="24"/>
          <w:szCs w:val="24"/>
        </w:rPr>
        <w:t xml:space="preserve"> </w:t>
      </w:r>
      <w:r w:rsidRPr="00221AEB">
        <w:rPr>
          <w:rFonts w:ascii="Times New Roman" w:hAnsi="Times New Roman"/>
          <w:b w:val="0"/>
          <w:bCs w:val="0"/>
          <w:color w:val="auto"/>
          <w:sz w:val="24"/>
          <w:szCs w:val="24"/>
        </w:rPr>
        <w:t xml:space="preserve">There are no similar data/information availability for the </w:t>
      </w:r>
      <w:r w:rsidRPr="00DE5E2E">
        <w:rPr>
          <w:rFonts w:ascii="Times New Roman" w:hAnsi="Times New Roman"/>
          <w:b w:val="0"/>
          <w:bCs w:val="0"/>
          <w:color w:val="auto"/>
          <w:sz w:val="24"/>
          <w:szCs w:val="24"/>
        </w:rPr>
        <w:t>PHEM Tool</w:t>
      </w:r>
      <w:r>
        <w:rPr>
          <w:rFonts w:ascii="Times New Roman" w:hAnsi="Times New Roman"/>
          <w:b w:val="0"/>
          <w:bCs w:val="0"/>
          <w:color w:val="auto"/>
          <w:sz w:val="24"/>
          <w:szCs w:val="24"/>
        </w:rPr>
        <w:t xml:space="preserve">. </w:t>
      </w:r>
    </w:p>
    <w:p w:rsidR="00BA550E" w:rsidRPr="00177C1F" w:rsidP="00221AEB" w14:paraId="6949E579" w14:textId="77777777">
      <w:pPr>
        <w:pStyle w:val="Heading3"/>
        <w:rPr>
          <w:rFonts w:ascii="Times New Roman" w:hAnsi="Times New Roman"/>
          <w:color w:val="auto"/>
          <w:sz w:val="24"/>
          <w:szCs w:val="24"/>
        </w:rPr>
      </w:pPr>
      <w:r w:rsidRPr="00177C1F">
        <w:rPr>
          <w:rFonts w:ascii="Times New Roman" w:hAnsi="Times New Roman"/>
          <w:color w:val="auto"/>
          <w:sz w:val="24"/>
          <w:szCs w:val="24"/>
        </w:rPr>
        <w:t>5.  Impact on Small Businesses or Other Small Entities</w:t>
      </w:r>
      <w:bookmarkEnd w:id="10"/>
    </w:p>
    <w:p w:rsidR="00BA550E" w:rsidRPr="00177C1F" w:rsidP="007F3FE5" w14:paraId="52F54140" w14:textId="77777777">
      <w:pPr>
        <w:widowControl/>
        <w:contextualSpacing/>
        <w:rPr>
          <w:bCs/>
        </w:rPr>
      </w:pPr>
    </w:p>
    <w:p w:rsidR="00465707" w:rsidRPr="00DC7AAA" w:rsidP="00465707" w14:paraId="25D51C7A" w14:textId="77777777">
      <w:pPr>
        <w:adjustRightInd w:val="0"/>
        <w:jc w:val="both"/>
        <w:rPr>
          <w:bCs/>
        </w:rPr>
      </w:pPr>
      <w:r w:rsidRPr="0030731F">
        <w:t>Collection of information may involve some small businesses or other small entities, but the burden has been limited to providing minimal information on forms, verifying information by telephone, and mailing information to the appropriate parties.  CDC has made every effort to ensure that the information collection is the minimal amount necessary to meet the requirements of the law and places a minimal burden on all parties involved.</w:t>
      </w:r>
    </w:p>
    <w:p w:rsidR="00BA550E" w:rsidRPr="00177C1F" w:rsidP="007F3FE5" w14:paraId="7BB24132" w14:textId="77777777">
      <w:pPr>
        <w:widowControl/>
        <w:contextualSpacing/>
        <w:rPr>
          <w:bCs/>
        </w:rPr>
      </w:pPr>
    </w:p>
    <w:p w:rsidR="00BA550E" w:rsidRPr="00177C1F" w:rsidP="00177C1F" w14:paraId="007C02F2" w14:textId="77777777">
      <w:pPr>
        <w:pStyle w:val="Heading3"/>
        <w:rPr>
          <w:rFonts w:ascii="Times New Roman" w:hAnsi="Times New Roman"/>
          <w:color w:val="auto"/>
          <w:sz w:val="24"/>
          <w:szCs w:val="24"/>
        </w:rPr>
      </w:pPr>
      <w:bookmarkStart w:id="11" w:name="_Toc60052612"/>
      <w:r w:rsidRPr="00BD1001">
        <w:rPr>
          <w:rFonts w:ascii="Times New Roman" w:hAnsi="Times New Roman"/>
          <w:color w:val="auto"/>
          <w:sz w:val="24"/>
          <w:szCs w:val="24"/>
        </w:rPr>
        <w:t>6.  Consequences of Collecting the Information Less Frequently</w:t>
      </w:r>
      <w:bookmarkEnd w:id="11"/>
    </w:p>
    <w:p w:rsidR="00BA550E" w:rsidRPr="00177C1F" w:rsidP="007F3FE5" w14:paraId="3089A10F" w14:textId="77777777">
      <w:pPr>
        <w:widowControl/>
        <w:contextualSpacing/>
        <w:rPr>
          <w:bCs/>
        </w:rPr>
      </w:pPr>
    </w:p>
    <w:p w:rsidR="00465707" w:rsidRPr="00DC7AAA" w:rsidP="00465707" w14:paraId="2AF47732" w14:textId="77777777">
      <w:pPr>
        <w:adjustRightInd w:val="0"/>
        <w:jc w:val="both"/>
      </w:pPr>
      <w:r>
        <w:t xml:space="preserve">CDC may not be </w:t>
      </w:r>
      <w:r w:rsidR="00AB3A95">
        <w:t xml:space="preserve">able </w:t>
      </w:r>
      <w:r>
        <w:t>to provide timely technical assistance to GHS</w:t>
      </w:r>
      <w:r w:rsidR="00C424F1">
        <w:t xml:space="preserve">A </w:t>
      </w:r>
      <w:r>
        <w:t xml:space="preserve">countries </w:t>
      </w:r>
      <w:r w:rsidR="00286813">
        <w:t>resulting in these partner countries with specific needs that are not met. This may impact their ability to respond to emergencies according to IHR standards.</w:t>
      </w:r>
      <w:r w:rsidR="00C961CD">
        <w:t xml:space="preserve"> Delay or inability to respond may lead to additional morbidity and mortality in an impacted country.  </w:t>
      </w:r>
      <w:r w:rsidR="00286813">
        <w:t xml:space="preserve"> </w:t>
      </w:r>
    </w:p>
    <w:p w:rsidR="001458FB" w:rsidRPr="00177C1F" w:rsidP="007F3FE5" w14:paraId="7F8D87B9" w14:textId="77777777">
      <w:pPr>
        <w:widowControl/>
        <w:contextualSpacing/>
        <w:rPr>
          <w:bCs/>
        </w:rPr>
      </w:pPr>
    </w:p>
    <w:p w:rsidR="00BA550E" w:rsidRPr="00177C1F" w:rsidP="00177C1F" w14:paraId="739CC27F" w14:textId="77777777">
      <w:pPr>
        <w:pStyle w:val="Heading3"/>
        <w:rPr>
          <w:rFonts w:ascii="Times New Roman" w:hAnsi="Times New Roman"/>
          <w:color w:val="auto"/>
          <w:sz w:val="24"/>
          <w:szCs w:val="24"/>
        </w:rPr>
      </w:pPr>
      <w:bookmarkStart w:id="12" w:name="_Toc60052613"/>
      <w:r w:rsidRPr="00177C1F">
        <w:rPr>
          <w:rFonts w:ascii="Times New Roman" w:hAnsi="Times New Roman"/>
          <w:color w:val="auto"/>
          <w:sz w:val="24"/>
          <w:szCs w:val="24"/>
        </w:rPr>
        <w:t>7.  Special Circumstances Relating to the Guidelines of 5 CFR 1320.5</w:t>
      </w:r>
      <w:bookmarkEnd w:id="12"/>
    </w:p>
    <w:p w:rsidR="00BA550E" w:rsidRPr="00177C1F" w:rsidP="007F3FE5" w14:paraId="5FDE7526" w14:textId="77777777">
      <w:pPr>
        <w:widowControl/>
        <w:contextualSpacing/>
        <w:rPr>
          <w:bCs/>
        </w:rPr>
      </w:pPr>
    </w:p>
    <w:p w:rsidR="00BA550E" w:rsidRPr="00177C1F" w:rsidP="007F3FE5" w14:paraId="74412C1C" w14:textId="77777777">
      <w:pPr>
        <w:widowControl/>
        <w:contextualSpacing/>
        <w:rPr>
          <w:bCs/>
        </w:rPr>
      </w:pPr>
      <w:r w:rsidRPr="00177C1F">
        <w:rPr>
          <w:bCs/>
        </w:rPr>
        <w:t xml:space="preserve">This request fully complies with the regulation in 5 CFR 1320.5. </w:t>
      </w:r>
    </w:p>
    <w:p w:rsidR="00BA550E" w:rsidRPr="00177C1F" w:rsidP="007F3FE5" w14:paraId="0346314D" w14:textId="77777777">
      <w:pPr>
        <w:widowControl/>
        <w:contextualSpacing/>
        <w:rPr>
          <w:bCs/>
        </w:rPr>
      </w:pPr>
    </w:p>
    <w:p w:rsidR="0001790E" w:rsidRPr="00177C1F" w:rsidP="00177C1F" w14:paraId="36DE05A7" w14:textId="77777777">
      <w:pPr>
        <w:pStyle w:val="Heading3"/>
        <w:rPr>
          <w:rFonts w:ascii="Times New Roman" w:hAnsi="Times New Roman"/>
          <w:color w:val="auto"/>
          <w:sz w:val="24"/>
          <w:szCs w:val="24"/>
        </w:rPr>
      </w:pPr>
      <w:bookmarkStart w:id="13" w:name="_Toc361747987"/>
      <w:bookmarkStart w:id="14" w:name="_Toc60052614"/>
      <w:r w:rsidRPr="00177C1F">
        <w:rPr>
          <w:rFonts w:ascii="Times New Roman" w:hAnsi="Times New Roman"/>
          <w:color w:val="auto"/>
          <w:sz w:val="24"/>
          <w:szCs w:val="24"/>
        </w:rPr>
        <w:t>8.  Comments in Response to the Federal Register Notice and Efforts to Consult Outside the Agency</w:t>
      </w:r>
      <w:bookmarkEnd w:id="13"/>
      <w:bookmarkEnd w:id="14"/>
    </w:p>
    <w:p w:rsidR="0001790E" w:rsidRPr="00177C1F" w:rsidP="0001790E" w14:paraId="7E8BB7BA" w14:textId="77777777">
      <w:pPr>
        <w:adjustRightInd w:val="0"/>
        <w:jc w:val="both"/>
        <w:rPr>
          <w:bCs/>
          <w:highlight w:val="yellow"/>
        </w:rPr>
      </w:pPr>
    </w:p>
    <w:p w:rsidR="009F0E4F" w:rsidRPr="00177C1F" w:rsidP="0001790E" w14:paraId="5114462B" w14:textId="77777777">
      <w:pPr>
        <w:adjustRightInd w:val="0"/>
        <w:jc w:val="both"/>
      </w:pPr>
      <w:r w:rsidRPr="008C4B44">
        <w:rPr>
          <w:b/>
          <w:bCs/>
        </w:rPr>
        <w:t>A8A.</w:t>
      </w:r>
      <w:r w:rsidRPr="008C4B44">
        <w:rPr>
          <w:bCs/>
        </w:rPr>
        <w:t xml:space="preserve">  A </w:t>
      </w:r>
      <w:r w:rsidRPr="008C4B44">
        <w:rPr>
          <w:b/>
          <w:bCs/>
        </w:rPr>
        <w:t>“60 Day Federal Register Notice”</w:t>
      </w:r>
      <w:r w:rsidRPr="008C4B44">
        <w:rPr>
          <w:bCs/>
        </w:rPr>
        <w:t xml:space="preserve"> was published in the Federal Register on </w:t>
      </w:r>
      <w:r w:rsidR="00022F9F">
        <w:rPr>
          <w:bCs/>
        </w:rPr>
        <w:t>M</w:t>
      </w:r>
      <w:r w:rsidRPr="00022F9F" w:rsidR="00022F9F">
        <w:rPr>
          <w:bCs/>
        </w:rPr>
        <w:t>ay</w:t>
      </w:r>
      <w:r w:rsidR="00022F9F">
        <w:rPr>
          <w:bCs/>
        </w:rPr>
        <w:t xml:space="preserve"> 01</w:t>
      </w:r>
      <w:r w:rsidR="006F2EDC">
        <w:rPr>
          <w:bCs/>
        </w:rPr>
        <w:t>, 202</w:t>
      </w:r>
      <w:r w:rsidR="00022F9F">
        <w:rPr>
          <w:bCs/>
        </w:rPr>
        <w:t>3</w:t>
      </w:r>
      <w:r w:rsidR="00147A0A">
        <w:rPr>
          <w:bCs/>
        </w:rPr>
        <w:t>,</w:t>
      </w:r>
      <w:r w:rsidRPr="008C4B44">
        <w:rPr>
          <w:bCs/>
        </w:rPr>
        <w:t xml:space="preserve"> Vol. </w:t>
      </w:r>
      <w:r w:rsidR="00022F9F">
        <w:rPr>
          <w:bCs/>
        </w:rPr>
        <w:t>88</w:t>
      </w:r>
      <w:r w:rsidRPr="008C4B44">
        <w:rPr>
          <w:bCs/>
        </w:rPr>
        <w:t>, No.</w:t>
      </w:r>
      <w:r w:rsidR="00147A0A">
        <w:rPr>
          <w:bCs/>
        </w:rPr>
        <w:t xml:space="preserve"> </w:t>
      </w:r>
      <w:r w:rsidR="00022F9F">
        <w:rPr>
          <w:bCs/>
        </w:rPr>
        <w:t>83</w:t>
      </w:r>
      <w:r w:rsidRPr="008C4B44">
        <w:rPr>
          <w:bCs/>
        </w:rPr>
        <w:t>, Page</w:t>
      </w:r>
      <w:r w:rsidR="008F2046">
        <w:rPr>
          <w:bCs/>
        </w:rPr>
        <w:t xml:space="preserve">s </w:t>
      </w:r>
      <w:r w:rsidR="00022F9F">
        <w:rPr>
          <w:bCs/>
        </w:rPr>
        <w:t>26546-26547</w:t>
      </w:r>
      <w:r w:rsidR="008F2046">
        <w:rPr>
          <w:bCs/>
        </w:rPr>
        <w:t xml:space="preserve"> </w:t>
      </w:r>
      <w:r w:rsidRPr="00552F75" w:rsidR="008F2046">
        <w:rPr>
          <w:b/>
        </w:rPr>
        <w:t>(Attachment 2)</w:t>
      </w:r>
      <w:r w:rsidRPr="00552F75">
        <w:rPr>
          <w:b/>
        </w:rPr>
        <w:t>.</w:t>
      </w:r>
      <w:r w:rsidR="00552F75">
        <w:rPr>
          <w:bCs/>
        </w:rPr>
        <w:t xml:space="preserve"> </w:t>
      </w:r>
      <w:r w:rsidRPr="008C4B44">
        <w:rPr>
          <w:bCs/>
        </w:rPr>
        <w:t xml:space="preserve">  </w:t>
      </w:r>
      <w:r w:rsidR="00EE493E">
        <w:rPr>
          <w:bCs/>
        </w:rPr>
        <w:t xml:space="preserve">One </w:t>
      </w:r>
      <w:r w:rsidR="00147A0A">
        <w:rPr>
          <w:bCs/>
        </w:rPr>
        <w:t>comment w</w:t>
      </w:r>
      <w:r w:rsidR="00EE493E">
        <w:rPr>
          <w:bCs/>
        </w:rPr>
        <w:t>as</w:t>
      </w:r>
      <w:r w:rsidR="00147A0A">
        <w:rPr>
          <w:bCs/>
        </w:rPr>
        <w:t xml:space="preserve"> received regarding this notice</w:t>
      </w:r>
      <w:r w:rsidR="00552F75">
        <w:rPr>
          <w:bCs/>
        </w:rPr>
        <w:t xml:space="preserve"> and CDC responded accordingly. </w:t>
      </w:r>
      <w:r w:rsidRPr="00552F75" w:rsidR="00552F75">
        <w:rPr>
          <w:b/>
        </w:rPr>
        <w:t>(Attachment 2a)</w:t>
      </w:r>
    </w:p>
    <w:p w:rsidR="0069511B" w:rsidRPr="00177C1F" w:rsidP="0069511B" w14:paraId="11D4B32B" w14:textId="77777777">
      <w:pPr>
        <w:pStyle w:val="Heading4"/>
        <w:spacing w:line="240" w:lineRule="auto"/>
        <w:jc w:val="both"/>
        <w:rPr>
          <w:rFonts w:ascii="Times New Roman" w:hAnsi="Times New Roman"/>
          <w:bCs w:val="0"/>
          <w:i w:val="0"/>
          <w:color w:val="auto"/>
          <w:sz w:val="24"/>
          <w:szCs w:val="24"/>
        </w:rPr>
      </w:pPr>
      <w:bookmarkStart w:id="15" w:name="_Toc361747988"/>
      <w:r w:rsidRPr="00177C1F">
        <w:rPr>
          <w:rFonts w:ascii="Times New Roman" w:hAnsi="Times New Roman"/>
          <w:i w:val="0"/>
          <w:color w:val="auto"/>
          <w:sz w:val="24"/>
          <w:szCs w:val="24"/>
        </w:rPr>
        <w:t>A8B. Consultation Outside the Agency</w:t>
      </w:r>
      <w:bookmarkEnd w:id="15"/>
    </w:p>
    <w:p w:rsidR="0069511B" w:rsidRPr="00177C1F" w:rsidP="007F3FE5" w14:paraId="27EA4067" w14:textId="77777777">
      <w:pPr>
        <w:widowControl/>
        <w:contextualSpacing/>
        <w:rPr>
          <w:bCs/>
        </w:rPr>
      </w:pPr>
    </w:p>
    <w:p w:rsidR="00C961CD" w:rsidP="000A00C1" w14:paraId="60B589B4" w14:textId="77777777">
      <w:pPr>
        <w:adjustRightInd w:val="0"/>
        <w:jc w:val="both"/>
        <w:rPr>
          <w:highlight w:val="yellow"/>
        </w:rPr>
      </w:pPr>
    </w:p>
    <w:p w:rsidR="00C961CD" w:rsidRPr="000A00C1" w:rsidP="000A00C1" w14:paraId="2F70B9E0" w14:textId="77777777">
      <w:pPr>
        <w:adjustRightInd w:val="0"/>
        <w:jc w:val="both"/>
        <w:rPr>
          <w:highlight w:val="yellow"/>
        </w:rPr>
      </w:pPr>
      <w:r w:rsidRPr="00706B32">
        <w:t xml:space="preserve">GEMCD </w:t>
      </w:r>
      <w:r>
        <w:t xml:space="preserve">assists countries in developing their PHEM programs and PHEOC capabilities. An early step of this process is to ask questions of key personnel that work in the PHEM program or PHEOC about the existing strengths, weaknesses, etc. of their PHEM program, PHEOC or challenges personnel are facing, etc. These data will inform the project plan for improving the PHEM program or PHEOC, addressing personnel training needs, etc. </w:t>
      </w:r>
    </w:p>
    <w:p w:rsidR="00C961CD" w:rsidP="000A00C1" w14:paraId="1297870B" w14:textId="77777777">
      <w:pPr>
        <w:adjustRightInd w:val="0"/>
        <w:jc w:val="both"/>
        <w:rPr>
          <w:highlight w:val="yellow"/>
        </w:rPr>
      </w:pPr>
    </w:p>
    <w:p w:rsidR="00215F7D" w:rsidRPr="00177C1F" w:rsidP="00215F7D" w14:paraId="5A245B1B" w14:textId="77777777">
      <w:pPr>
        <w:widowControl/>
        <w:tabs>
          <w:tab w:val="left" w:pos="-1440"/>
        </w:tabs>
        <w:contextualSpacing/>
      </w:pPr>
    </w:p>
    <w:p w:rsidR="00BA550E" w:rsidRPr="00177C1F" w:rsidP="00177C1F" w14:paraId="3FC7F7CC" w14:textId="77777777">
      <w:pPr>
        <w:pStyle w:val="Heading3"/>
        <w:rPr>
          <w:rFonts w:ascii="Times New Roman" w:hAnsi="Times New Roman"/>
          <w:color w:val="auto"/>
          <w:sz w:val="24"/>
          <w:szCs w:val="24"/>
        </w:rPr>
      </w:pPr>
      <w:bookmarkStart w:id="16" w:name="_Toc60052615"/>
      <w:r w:rsidRPr="00177C1F">
        <w:rPr>
          <w:rFonts w:ascii="Times New Roman" w:hAnsi="Times New Roman"/>
          <w:color w:val="auto"/>
          <w:sz w:val="24"/>
          <w:szCs w:val="24"/>
        </w:rPr>
        <w:t>9.  Explanation of Any Payment or Gift to Respondents</w:t>
      </w:r>
      <w:bookmarkEnd w:id="16"/>
    </w:p>
    <w:p w:rsidR="00BA550E" w:rsidRPr="00177C1F" w:rsidP="007F3FE5" w14:paraId="757A108B" w14:textId="77777777">
      <w:pPr>
        <w:widowControl/>
        <w:contextualSpacing/>
        <w:rPr>
          <w:bCs/>
        </w:rPr>
      </w:pPr>
    </w:p>
    <w:p w:rsidR="0069511B" w:rsidRPr="00177C1F" w:rsidP="0069511B" w14:paraId="66D9909E" w14:textId="77777777">
      <w:pPr>
        <w:adjustRightInd w:val="0"/>
        <w:jc w:val="both"/>
      </w:pPr>
      <w:r w:rsidRPr="00177C1F">
        <w:t xml:space="preserve">Respondents will not receive any payment or gift. </w:t>
      </w:r>
    </w:p>
    <w:p w:rsidR="00BA550E" w:rsidRPr="00177C1F" w:rsidP="007F3FE5" w14:paraId="438DDB6F" w14:textId="77777777">
      <w:pPr>
        <w:widowControl/>
        <w:contextualSpacing/>
        <w:rPr>
          <w:bCs/>
        </w:rPr>
      </w:pPr>
    </w:p>
    <w:p w:rsidR="00BA550E" w:rsidRPr="00177C1F" w:rsidP="00177C1F" w14:paraId="34280997" w14:textId="77777777">
      <w:pPr>
        <w:pStyle w:val="Heading3"/>
        <w:rPr>
          <w:rFonts w:ascii="Times New Roman" w:hAnsi="Times New Roman"/>
          <w:color w:val="auto"/>
          <w:sz w:val="24"/>
          <w:szCs w:val="24"/>
        </w:rPr>
      </w:pPr>
      <w:bookmarkStart w:id="17" w:name="_Toc60052616"/>
      <w:r w:rsidRPr="00177C1F">
        <w:rPr>
          <w:rFonts w:ascii="Times New Roman" w:hAnsi="Times New Roman"/>
          <w:color w:val="auto"/>
          <w:sz w:val="24"/>
          <w:szCs w:val="24"/>
        </w:rPr>
        <w:t>10.  Assurance of Confidentiality Provided to Respondents</w:t>
      </w:r>
      <w:bookmarkEnd w:id="17"/>
    </w:p>
    <w:p w:rsidR="007C4632" w:rsidP="007C4632" w14:paraId="7F04BEA4" w14:textId="77777777">
      <w:pPr>
        <w:widowControl/>
        <w:contextualSpacing/>
      </w:pPr>
      <w:r>
        <w:t xml:space="preserve">The </w:t>
      </w:r>
      <w:r w:rsidR="00543E6F">
        <w:t>Office of Readiness and Response</w:t>
      </w:r>
      <w:r>
        <w:t xml:space="preserve"> has determined that the Privacy Act does not apply to this information collection. The data collection does not involve collection of sensitive or identifiable personal information. Although contact information is obtained for, the contact person provides information about the organization, not personal information. No system of records will be created under the Privacy Act. </w:t>
      </w:r>
    </w:p>
    <w:p w:rsidR="007C4632" w:rsidP="007C4632" w14:paraId="7412A325" w14:textId="77777777">
      <w:pPr>
        <w:widowControl/>
        <w:contextualSpacing/>
      </w:pPr>
    </w:p>
    <w:p w:rsidR="007C4632" w:rsidP="00E259CA" w14:paraId="0A09AF2A" w14:textId="77777777">
      <w:pPr>
        <w:widowControl/>
        <w:contextualSpacing/>
      </w:pPr>
      <w:r>
        <w:t>Information</w:t>
      </w:r>
      <w:r w:rsidR="00E259CA">
        <w:t xml:space="preserve"> </w:t>
      </w:r>
      <w:r>
        <w:t xml:space="preserve">will be kept secure </w:t>
      </w:r>
      <w:r w:rsidR="00E259CA">
        <w:t xml:space="preserve">by the DEO Information Technology (IT) </w:t>
      </w:r>
      <w:r w:rsidR="00C961CD">
        <w:t>Team’s</w:t>
      </w:r>
      <w:r w:rsidR="00E259CA">
        <w:t xml:space="preserve"> CDCReady. The IT Team will act as the Data Manager (DM) for the PHEM Tool data, ensuring that it is maintained over time in the CDCReady platform, available to specific, role based programmatic staff.</w:t>
      </w:r>
      <w:r>
        <w:t xml:space="preserve"> No IIF will be distributed.</w:t>
      </w:r>
    </w:p>
    <w:p w:rsidR="00BA550E" w:rsidRPr="00177C1F" w:rsidP="007C4632" w14:paraId="3091A750" w14:textId="77777777">
      <w:pPr>
        <w:widowControl/>
        <w:contextualSpacing/>
        <w:rPr>
          <w:bCs/>
        </w:rPr>
      </w:pPr>
    </w:p>
    <w:p w:rsidR="00BA550E" w:rsidRPr="00177C1F" w:rsidP="00177C1F" w14:paraId="5ECC85B9" w14:textId="77777777">
      <w:pPr>
        <w:pStyle w:val="Heading3"/>
        <w:rPr>
          <w:rFonts w:ascii="Times New Roman" w:hAnsi="Times New Roman"/>
          <w:color w:val="auto"/>
          <w:sz w:val="24"/>
          <w:szCs w:val="24"/>
        </w:rPr>
      </w:pPr>
      <w:bookmarkStart w:id="18" w:name="_Toc60052617"/>
      <w:r w:rsidRPr="00177C1F">
        <w:rPr>
          <w:rFonts w:ascii="Times New Roman" w:hAnsi="Times New Roman"/>
          <w:color w:val="auto"/>
          <w:sz w:val="24"/>
          <w:szCs w:val="24"/>
        </w:rPr>
        <w:t>11.  Justification of Sensitive Questions</w:t>
      </w:r>
      <w:bookmarkEnd w:id="18"/>
    </w:p>
    <w:p w:rsidR="00BA550E" w:rsidRPr="00177C1F" w:rsidP="007F3FE5" w14:paraId="6732E5FE" w14:textId="77777777">
      <w:pPr>
        <w:widowControl/>
        <w:contextualSpacing/>
        <w:rPr>
          <w:bCs/>
        </w:rPr>
      </w:pPr>
    </w:p>
    <w:p w:rsidR="00141A47" w:rsidRPr="00DC7AAA" w:rsidP="00141A47" w14:paraId="26AE2EAC" w14:textId="77777777">
      <w:pPr>
        <w:adjustRightInd w:val="0"/>
        <w:jc w:val="both"/>
        <w:rPr>
          <w:bCs/>
        </w:rPr>
      </w:pPr>
      <w:r w:rsidRPr="00625B31">
        <w:rPr>
          <w:rFonts w:eastAsia="SimSun"/>
          <w:lang w:eastAsia="zh-CN"/>
        </w:rPr>
        <w:t>This data collection does not include personal questions of a sensitive nature.</w:t>
      </w:r>
    </w:p>
    <w:p w:rsidR="00C332B2" w:rsidRPr="00177C1F" w:rsidP="007F3FE5" w14:paraId="03413775" w14:textId="77777777">
      <w:pPr>
        <w:widowControl/>
        <w:contextualSpacing/>
        <w:rPr>
          <w:bCs/>
        </w:rPr>
      </w:pPr>
    </w:p>
    <w:p w:rsidR="00BA550E" w:rsidRPr="00177C1F" w:rsidP="00177C1F" w14:paraId="77F9351A" w14:textId="77777777">
      <w:pPr>
        <w:pStyle w:val="Heading3"/>
        <w:rPr>
          <w:rFonts w:ascii="Times New Roman" w:hAnsi="Times New Roman"/>
          <w:color w:val="auto"/>
          <w:sz w:val="24"/>
          <w:szCs w:val="24"/>
        </w:rPr>
      </w:pPr>
      <w:bookmarkStart w:id="19" w:name="_Toc60052618"/>
      <w:r w:rsidRPr="00177C1F">
        <w:rPr>
          <w:rFonts w:ascii="Times New Roman" w:hAnsi="Times New Roman"/>
          <w:color w:val="auto"/>
          <w:sz w:val="24"/>
          <w:szCs w:val="24"/>
        </w:rPr>
        <w:t>12.  Estimates of Annualized Burden Hours and Costs</w:t>
      </w:r>
      <w:bookmarkEnd w:id="19"/>
    </w:p>
    <w:p w:rsidR="00BA550E" w:rsidRPr="00177C1F" w:rsidP="007F3FE5" w14:paraId="2E773018" w14:textId="77777777">
      <w:pPr>
        <w:widowControl/>
        <w:contextualSpacing/>
        <w:rPr>
          <w:bCs/>
        </w:rPr>
      </w:pPr>
    </w:p>
    <w:p w:rsidR="00286813" w:rsidP="008B2CEB" w14:paraId="2D7CC6B0" w14:textId="77777777">
      <w:pPr>
        <w:pStyle w:val="Heading4"/>
        <w:spacing w:line="240" w:lineRule="auto"/>
        <w:jc w:val="both"/>
        <w:rPr>
          <w:rFonts w:ascii="Times New Roman" w:hAnsi="Times New Roman"/>
          <w:b w:val="0"/>
          <w:i w:val="0"/>
          <w:iCs w:val="0"/>
          <w:color w:val="auto"/>
          <w:sz w:val="24"/>
          <w:szCs w:val="24"/>
        </w:rPr>
      </w:pPr>
      <w:r w:rsidRPr="00286813">
        <w:rPr>
          <w:rFonts w:ascii="Times New Roman" w:hAnsi="Times New Roman"/>
          <w:b w:val="0"/>
          <w:i w:val="0"/>
          <w:iCs w:val="0"/>
          <w:color w:val="auto"/>
          <w:sz w:val="24"/>
          <w:szCs w:val="24"/>
        </w:rPr>
        <w:t>The PHEM Tool is intended to be administered by the EMTA with key responders from GHSA country MoH representatives and/ or CDC country office personnel.  The questions can be answered easily by well-informed programmatic staff and may take more time for those less familiar with PHEM and the PHEM program and the country’s PHEOC. In previous pilots, the Tool can be completed in an estimated time of 6 hours.  Burden hours in the table reflect one staff member providing responses.</w:t>
      </w:r>
      <w:r>
        <w:rPr>
          <w:rFonts w:ascii="Times New Roman" w:hAnsi="Times New Roman"/>
          <w:b w:val="0"/>
          <w:i w:val="0"/>
          <w:iCs w:val="0"/>
          <w:color w:val="auto"/>
          <w:sz w:val="24"/>
          <w:szCs w:val="24"/>
        </w:rPr>
        <w:t xml:space="preserve"> </w:t>
      </w:r>
    </w:p>
    <w:p w:rsidR="008B2CEB" w:rsidP="008B2CEB" w14:paraId="26DF09BB" w14:textId="77777777">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t>Table A12A. Estimate of Annualized Burden Hours</w:t>
      </w:r>
    </w:p>
    <w:p w:rsidR="00B167DC" w:rsidP="00B167DC" w14:paraId="558522D3" w14:textId="77777777"/>
    <w:tbl>
      <w:tblPr>
        <w:tblpPr w:leftFromText="180" w:rightFromText="180" w:vertAnchor="text" w:tblpY="748"/>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2160"/>
        <w:gridCol w:w="1695"/>
        <w:gridCol w:w="1620"/>
        <w:gridCol w:w="1380"/>
        <w:gridCol w:w="1070"/>
      </w:tblGrid>
      <w:tr w14:paraId="743E9303" w14:textId="77777777" w:rsidTr="00C3427B">
        <w:tblPrEx>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55" w:type="dxa"/>
            <w:tcBorders>
              <w:bottom w:val="single" w:sz="4" w:space="0" w:color="auto"/>
            </w:tcBorders>
            <w:shd w:val="clear" w:color="auto" w:fill="auto"/>
          </w:tcPr>
          <w:p w:rsidR="002119B1" w:rsidRPr="004805E4" w:rsidP="00C3427B" w14:paraId="6F95D4F6" w14:textId="77777777">
            <w:pPr>
              <w:rPr>
                <w:bCs/>
              </w:rPr>
            </w:pPr>
            <w:bookmarkStart w:id="20" w:name="_Hlk132889740"/>
            <w:r w:rsidRPr="004805E4">
              <w:rPr>
                <w:bCs/>
              </w:rPr>
              <w:t>Type of Respondents</w:t>
            </w:r>
          </w:p>
        </w:tc>
        <w:tc>
          <w:tcPr>
            <w:tcW w:w="2160" w:type="dxa"/>
            <w:tcBorders>
              <w:bottom w:val="single" w:sz="4" w:space="0" w:color="auto"/>
            </w:tcBorders>
            <w:shd w:val="clear" w:color="auto" w:fill="auto"/>
          </w:tcPr>
          <w:p w:rsidR="002119B1" w:rsidRPr="004805E4" w:rsidP="00C3427B" w14:paraId="6217D92D" w14:textId="77777777">
            <w:pPr>
              <w:rPr>
                <w:bCs/>
              </w:rPr>
            </w:pPr>
            <w:r w:rsidRPr="004805E4">
              <w:rPr>
                <w:bCs/>
              </w:rPr>
              <w:t>Form Name</w:t>
            </w:r>
          </w:p>
        </w:tc>
        <w:tc>
          <w:tcPr>
            <w:tcW w:w="1695" w:type="dxa"/>
            <w:tcBorders>
              <w:bottom w:val="single" w:sz="4" w:space="0" w:color="auto"/>
            </w:tcBorders>
            <w:shd w:val="clear" w:color="auto" w:fill="auto"/>
          </w:tcPr>
          <w:p w:rsidR="002119B1" w:rsidRPr="004805E4" w:rsidP="00C3427B" w14:paraId="47F37E45" w14:textId="77777777">
            <w:pPr>
              <w:rPr>
                <w:bCs/>
                <w:highlight w:val="yellow"/>
              </w:rPr>
            </w:pPr>
            <w:r w:rsidRPr="004805E4">
              <w:rPr>
                <w:bCs/>
              </w:rPr>
              <w:t>Number of Respondents</w:t>
            </w:r>
          </w:p>
        </w:tc>
        <w:tc>
          <w:tcPr>
            <w:tcW w:w="1620" w:type="dxa"/>
            <w:tcBorders>
              <w:bottom w:val="single" w:sz="4" w:space="0" w:color="auto"/>
            </w:tcBorders>
            <w:shd w:val="clear" w:color="auto" w:fill="auto"/>
          </w:tcPr>
          <w:p w:rsidR="002119B1" w:rsidRPr="004805E4" w:rsidP="00C3427B" w14:paraId="633FFE9F" w14:textId="77777777">
            <w:pPr>
              <w:rPr>
                <w:bCs/>
              </w:rPr>
            </w:pPr>
            <w:r w:rsidRPr="004805E4">
              <w:rPr>
                <w:bCs/>
              </w:rPr>
              <w:t>Number of Responses per Respondent</w:t>
            </w:r>
          </w:p>
        </w:tc>
        <w:tc>
          <w:tcPr>
            <w:tcW w:w="1380" w:type="dxa"/>
            <w:tcBorders>
              <w:bottom w:val="single" w:sz="4" w:space="0" w:color="auto"/>
            </w:tcBorders>
            <w:shd w:val="clear" w:color="auto" w:fill="auto"/>
          </w:tcPr>
          <w:p w:rsidR="002119B1" w:rsidRPr="004805E4" w:rsidP="00C3427B" w14:paraId="291806A2" w14:textId="77777777">
            <w:pPr>
              <w:rPr>
                <w:bCs/>
              </w:rPr>
            </w:pPr>
            <w:r w:rsidRPr="004805E4">
              <w:rPr>
                <w:bCs/>
              </w:rPr>
              <w:t>Average Burden per Response (in hours)</w:t>
            </w:r>
          </w:p>
        </w:tc>
        <w:tc>
          <w:tcPr>
            <w:tcW w:w="1070" w:type="dxa"/>
            <w:tcBorders>
              <w:bottom w:val="single" w:sz="4" w:space="0" w:color="auto"/>
            </w:tcBorders>
            <w:shd w:val="clear" w:color="auto" w:fill="auto"/>
          </w:tcPr>
          <w:p w:rsidR="002119B1" w:rsidRPr="004805E4" w:rsidP="00C3427B" w14:paraId="19C34BC5" w14:textId="77777777">
            <w:pPr>
              <w:rPr>
                <w:bCs/>
              </w:rPr>
            </w:pPr>
            <w:r w:rsidRPr="004805E4">
              <w:rPr>
                <w:bCs/>
              </w:rPr>
              <w:t>Total Burden (in hours)</w:t>
            </w:r>
          </w:p>
        </w:tc>
      </w:tr>
      <w:tr w14:paraId="132AE9A8" w14:textId="77777777" w:rsidTr="00C3427B">
        <w:tblPrEx>
          <w:tblW w:w="9980" w:type="dxa"/>
          <w:tblLayout w:type="fixed"/>
          <w:tblLook w:val="04A0"/>
        </w:tblPrEx>
        <w:tc>
          <w:tcPr>
            <w:tcW w:w="2055" w:type="dxa"/>
            <w:shd w:val="clear" w:color="auto" w:fill="auto"/>
          </w:tcPr>
          <w:p w:rsidR="002119B1" w:rsidRPr="004805E4" w:rsidP="00C3427B" w14:paraId="1F9AE11D" w14:textId="77777777">
            <w:pPr>
              <w:rPr>
                <w:rFonts w:eastAsia="Arial Nova"/>
                <w:bCs/>
              </w:rPr>
            </w:pPr>
            <w:r w:rsidRPr="00136ABD">
              <w:rPr>
                <w:rFonts w:eastAsia="Arial Nova"/>
                <w:bCs/>
              </w:rPr>
              <w:t>Ministry of Health personnel responsible for Public Health Emergency Management (PHEM) Program in participating GHSA countries</w:t>
            </w:r>
          </w:p>
        </w:tc>
        <w:tc>
          <w:tcPr>
            <w:tcW w:w="2160" w:type="dxa"/>
            <w:shd w:val="clear" w:color="auto" w:fill="auto"/>
          </w:tcPr>
          <w:p w:rsidR="002119B1" w:rsidRPr="004805E4" w:rsidP="00C3427B" w14:paraId="13BAD54D" w14:textId="77777777">
            <w:pPr>
              <w:rPr>
                <w:rFonts w:eastAsia="Arial Nova"/>
                <w:bCs/>
              </w:rPr>
            </w:pPr>
            <w:r w:rsidRPr="00DE5E2E">
              <w:rPr>
                <w:rFonts w:eastAsia="Arial Nova"/>
                <w:bCs/>
              </w:rPr>
              <w:t>PHEM Tool</w:t>
            </w:r>
          </w:p>
        </w:tc>
        <w:tc>
          <w:tcPr>
            <w:tcW w:w="1695" w:type="dxa"/>
            <w:shd w:val="clear" w:color="auto" w:fill="auto"/>
          </w:tcPr>
          <w:p w:rsidR="002119B1" w:rsidRPr="004805E4" w:rsidP="00C3427B" w14:paraId="0195B48E" w14:textId="77777777">
            <w:pPr>
              <w:rPr>
                <w:bCs/>
              </w:rPr>
            </w:pPr>
            <w:r>
              <w:rPr>
                <w:bCs/>
              </w:rPr>
              <w:t>12</w:t>
            </w:r>
          </w:p>
        </w:tc>
        <w:tc>
          <w:tcPr>
            <w:tcW w:w="1620" w:type="dxa"/>
            <w:shd w:val="clear" w:color="auto" w:fill="auto"/>
          </w:tcPr>
          <w:p w:rsidR="002119B1" w:rsidRPr="004805E4" w:rsidP="00C3427B" w14:paraId="673C6D4C" w14:textId="77777777">
            <w:pPr>
              <w:rPr>
                <w:bCs/>
              </w:rPr>
            </w:pPr>
            <w:r w:rsidRPr="004805E4">
              <w:rPr>
                <w:bCs/>
              </w:rPr>
              <w:t xml:space="preserve"> 1</w:t>
            </w:r>
          </w:p>
        </w:tc>
        <w:tc>
          <w:tcPr>
            <w:tcW w:w="1380" w:type="dxa"/>
            <w:shd w:val="clear" w:color="auto" w:fill="auto"/>
          </w:tcPr>
          <w:p w:rsidR="002119B1" w:rsidRPr="004805E4" w:rsidP="00C3427B" w14:paraId="1439E1EB" w14:textId="77777777">
            <w:pPr>
              <w:rPr>
                <w:bCs/>
              </w:rPr>
            </w:pPr>
            <w:r>
              <w:rPr>
                <w:bCs/>
              </w:rPr>
              <w:t>6</w:t>
            </w:r>
          </w:p>
        </w:tc>
        <w:tc>
          <w:tcPr>
            <w:tcW w:w="1070" w:type="dxa"/>
            <w:shd w:val="clear" w:color="auto" w:fill="auto"/>
          </w:tcPr>
          <w:p w:rsidR="002119B1" w:rsidRPr="004805E4" w:rsidP="00C3427B" w14:paraId="0B9CA321" w14:textId="77777777">
            <w:pPr>
              <w:rPr>
                <w:bCs/>
              </w:rPr>
            </w:pPr>
            <w:r>
              <w:rPr>
                <w:bCs/>
              </w:rPr>
              <w:t>72</w:t>
            </w:r>
          </w:p>
        </w:tc>
      </w:tr>
      <w:tr w14:paraId="1264B601" w14:textId="77777777" w:rsidTr="00C3427B">
        <w:tblPrEx>
          <w:tblW w:w="9980" w:type="dxa"/>
          <w:tblLayout w:type="fixed"/>
          <w:tblLook w:val="04A0"/>
        </w:tblPrEx>
        <w:tc>
          <w:tcPr>
            <w:tcW w:w="2055" w:type="dxa"/>
            <w:shd w:val="clear" w:color="auto" w:fill="auto"/>
          </w:tcPr>
          <w:p w:rsidR="002119B1" w:rsidRPr="004805E4" w:rsidP="00C3427B" w14:paraId="70527C23" w14:textId="77777777">
            <w:pPr>
              <w:rPr>
                <w:rFonts w:eastAsia="Arial Nova"/>
                <w:bCs/>
              </w:rPr>
            </w:pPr>
            <w:r w:rsidRPr="004805E4">
              <w:rPr>
                <w:rFonts w:eastAsia="Arial Nova"/>
                <w:bCs/>
              </w:rPr>
              <w:t>Total</w:t>
            </w:r>
          </w:p>
        </w:tc>
        <w:tc>
          <w:tcPr>
            <w:tcW w:w="2160" w:type="dxa"/>
            <w:shd w:val="clear" w:color="auto" w:fill="auto"/>
          </w:tcPr>
          <w:p w:rsidR="002119B1" w:rsidRPr="004805E4" w:rsidP="00C3427B" w14:paraId="27714E11" w14:textId="77777777">
            <w:pPr>
              <w:rPr>
                <w:rFonts w:eastAsia="Arial Nova"/>
                <w:bCs/>
              </w:rPr>
            </w:pPr>
            <w:r w:rsidRPr="004805E4">
              <w:rPr>
                <w:rFonts w:eastAsia="Arial Nova"/>
                <w:bCs/>
              </w:rPr>
              <w:t>-----------------------</w:t>
            </w:r>
          </w:p>
        </w:tc>
        <w:tc>
          <w:tcPr>
            <w:tcW w:w="1695" w:type="dxa"/>
            <w:shd w:val="clear" w:color="auto" w:fill="auto"/>
          </w:tcPr>
          <w:p w:rsidR="002119B1" w:rsidRPr="004805E4" w:rsidP="00C3427B" w14:paraId="40CCA5B0" w14:textId="77777777">
            <w:pPr>
              <w:rPr>
                <w:bCs/>
              </w:rPr>
            </w:pPr>
            <w:r w:rsidRPr="004805E4">
              <w:rPr>
                <w:bCs/>
              </w:rPr>
              <w:t>-----------------</w:t>
            </w:r>
          </w:p>
        </w:tc>
        <w:tc>
          <w:tcPr>
            <w:tcW w:w="1620" w:type="dxa"/>
            <w:shd w:val="clear" w:color="auto" w:fill="auto"/>
          </w:tcPr>
          <w:p w:rsidR="002119B1" w:rsidRPr="004805E4" w:rsidP="00C3427B" w14:paraId="05FD1DAB" w14:textId="77777777">
            <w:pPr>
              <w:rPr>
                <w:bCs/>
              </w:rPr>
            </w:pPr>
            <w:r w:rsidRPr="004805E4">
              <w:rPr>
                <w:bCs/>
              </w:rPr>
              <w:t>----------------</w:t>
            </w:r>
          </w:p>
        </w:tc>
        <w:tc>
          <w:tcPr>
            <w:tcW w:w="1380" w:type="dxa"/>
            <w:shd w:val="clear" w:color="auto" w:fill="auto"/>
          </w:tcPr>
          <w:p w:rsidR="002119B1" w:rsidRPr="004805E4" w:rsidP="00C3427B" w14:paraId="5A67DC98" w14:textId="77777777">
            <w:pPr>
              <w:rPr>
                <w:bCs/>
              </w:rPr>
            </w:pPr>
            <w:r w:rsidRPr="004805E4">
              <w:rPr>
                <w:bCs/>
              </w:rPr>
              <w:t>-------------</w:t>
            </w:r>
          </w:p>
        </w:tc>
        <w:tc>
          <w:tcPr>
            <w:tcW w:w="1070" w:type="dxa"/>
            <w:shd w:val="clear" w:color="auto" w:fill="auto"/>
          </w:tcPr>
          <w:p w:rsidR="002119B1" w:rsidRPr="004805E4" w:rsidP="00C3427B" w14:paraId="5D86AB41" w14:textId="77777777">
            <w:pPr>
              <w:rPr>
                <w:bCs/>
              </w:rPr>
            </w:pPr>
            <w:r w:rsidRPr="004805E4">
              <w:rPr>
                <w:bCs/>
              </w:rPr>
              <w:t xml:space="preserve">72 </w:t>
            </w:r>
          </w:p>
        </w:tc>
      </w:tr>
      <w:bookmarkEnd w:id="20"/>
    </w:tbl>
    <w:p w:rsidR="00C07AB5" w:rsidRPr="004805E4" w:rsidP="002E31F3" w14:paraId="3CA71297" w14:textId="77777777">
      <w:pPr>
        <w:adjustRightInd w:val="0"/>
        <w:jc w:val="both"/>
        <w:rPr>
          <w:bCs/>
        </w:rPr>
      </w:pPr>
    </w:p>
    <w:p w:rsidR="002E31F3" w:rsidP="002E31F3" w14:paraId="7080F69B" w14:textId="77777777">
      <w:pPr>
        <w:pStyle w:val="Heading4"/>
        <w:spacing w:line="240" w:lineRule="auto"/>
        <w:rPr>
          <w:rFonts w:ascii="Times New Roman" w:hAnsi="Times New Roman"/>
          <w:b w:val="0"/>
          <w:i w:val="0"/>
          <w:color w:val="auto"/>
          <w:sz w:val="24"/>
          <w:szCs w:val="24"/>
        </w:rPr>
      </w:pPr>
      <w:bookmarkStart w:id="21" w:name="_Toc361747996"/>
      <w:r w:rsidRPr="004805E4">
        <w:rPr>
          <w:rFonts w:ascii="Times New Roman" w:hAnsi="Times New Roman"/>
          <w:b w:val="0"/>
          <w:i w:val="0"/>
          <w:color w:val="auto"/>
          <w:sz w:val="24"/>
          <w:szCs w:val="24"/>
        </w:rPr>
        <w:t>Table A12B. Estimate of Annualized Cost to Respondent</w:t>
      </w:r>
      <w:bookmarkEnd w:id="21"/>
    </w:p>
    <w:p w:rsidR="00AC1992" w:rsidRPr="00AC1992" w:rsidP="00AC1992" w14:paraId="1E818AA7" w14:textId="77777777"/>
    <w:p w:rsidR="002E31F3" w:rsidRPr="004805E4" w:rsidP="002E31F3" w14:paraId="6AB0E356" w14:textId="77777777">
      <w:pPr>
        <w:adjustRightInd w:val="0"/>
        <w:rPr>
          <w:bCs/>
        </w:rPr>
      </w:pPr>
      <w:r w:rsidRPr="00AC1992">
        <w:rPr>
          <w:bCs/>
        </w:rPr>
        <w:t xml:space="preserve">When estimating the annualized burden costs, CDC </w:t>
      </w:r>
      <w:r w:rsidR="00136ABD">
        <w:rPr>
          <w:bCs/>
        </w:rPr>
        <w:t>is</w:t>
      </w:r>
      <w:r w:rsidRPr="00AC1992">
        <w:rPr>
          <w:bCs/>
        </w:rPr>
        <w:t xml:space="preserve"> using an average hourly respondent labor rate of $</w:t>
      </w:r>
      <w:r w:rsidRPr="00136ABD" w:rsidR="00136ABD">
        <w:rPr>
          <w:bCs/>
        </w:rPr>
        <w:t>42.74</w:t>
      </w:r>
      <w:r w:rsidR="00136ABD">
        <w:rPr>
          <w:bCs/>
        </w:rPr>
        <w:t xml:space="preserve"> </w:t>
      </w:r>
      <w:r w:rsidRPr="00136ABD" w:rsidR="00136ABD">
        <w:rPr>
          <w:bCs/>
        </w:rPr>
        <w:t xml:space="preserve">for Emergency Management </w:t>
      </w:r>
      <w:r w:rsidR="00136ABD">
        <w:rPr>
          <w:bCs/>
        </w:rPr>
        <w:t>D</w:t>
      </w:r>
      <w:r w:rsidRPr="00136ABD" w:rsidR="00136ABD">
        <w:rPr>
          <w:bCs/>
        </w:rPr>
        <w:t>irectors</w:t>
      </w:r>
      <w:r w:rsidRPr="00AC1992">
        <w:rPr>
          <w:bCs/>
        </w:rPr>
        <w:t xml:space="preserve">.  These rates were obtained from the Bureau of Labor Statistics, from the </w:t>
      </w:r>
      <w:r w:rsidR="00136ABD">
        <w:rPr>
          <w:bCs/>
        </w:rPr>
        <w:t xml:space="preserve">May 2022 </w:t>
      </w:r>
      <w:r w:rsidRPr="00136ABD" w:rsidR="00136ABD">
        <w:rPr>
          <w:bCs/>
        </w:rPr>
        <w:t>Occupational Employment and Wage Statistics</w:t>
      </w:r>
      <w:r w:rsidR="00136ABD">
        <w:rPr>
          <w:bCs/>
        </w:rPr>
        <w:t xml:space="preserve"> Data table</w:t>
      </w:r>
      <w:r w:rsidRPr="00AC1992">
        <w:rPr>
          <w:bCs/>
        </w:rPr>
        <w:t xml:space="preserve"> (</w:t>
      </w:r>
      <w:hyperlink r:id="rId4" w:history="1">
        <w:r w:rsidRPr="009C577D" w:rsidR="00136ABD">
          <w:rPr>
            <w:rStyle w:val="Hyperlink"/>
            <w:bCs/>
          </w:rPr>
          <w:t>https://www.bls.gov/oes/current/oes119161</w:t>
        </w:r>
        <w:r w:rsidRPr="009C577D" w:rsidR="00136ABD">
          <w:rPr>
            <w:rStyle w:val="Hyperlink"/>
            <w:bCs/>
          </w:rPr>
          <w:t>.</w:t>
        </w:r>
        <w:r w:rsidRPr="009C577D" w:rsidR="00136ABD">
          <w:rPr>
            <w:rStyle w:val="Hyperlink"/>
            <w:bCs/>
          </w:rPr>
          <w:t>htmL</w:t>
        </w:r>
      </w:hyperlink>
      <w:r w:rsidR="00136ABD">
        <w:rPr>
          <w:bCs/>
        </w:rPr>
        <w:t xml:space="preserve"> </w:t>
      </w:r>
      <w:r w:rsidRPr="00AC1992">
        <w:rPr>
          <w:bCs/>
        </w:rPr>
        <w:t>.</w:t>
      </w:r>
      <w:r w:rsidR="00016D5B">
        <w:rPr>
          <w:bCs/>
        </w:rPr>
        <w:t xml:space="preserve"> The total estimate of the annualized costs to the respondents is </w:t>
      </w:r>
      <w:r w:rsidRPr="00016D5B" w:rsidR="00016D5B">
        <w:rPr>
          <w:bCs/>
        </w:rPr>
        <w:t>$</w:t>
      </w:r>
      <w:r w:rsidR="00AF7CCD">
        <w:rPr>
          <w:bCs/>
        </w:rPr>
        <w:t>3077.28</w:t>
      </w:r>
      <w:r w:rsidR="00016D5B">
        <w:rPr>
          <w:bCs/>
        </w:rPr>
        <w:t xml:space="preserve">. </w:t>
      </w:r>
    </w:p>
    <w:tbl>
      <w:tblPr>
        <w:tblpPr w:leftFromText="180" w:rightFromText="180" w:vertAnchor="text" w:tblpY="74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3003"/>
        <w:gridCol w:w="1260"/>
        <w:gridCol w:w="1212"/>
        <w:gridCol w:w="1380"/>
      </w:tblGrid>
      <w:tr w14:paraId="4F1F1AEA" w14:textId="77777777" w:rsidTr="00AC1992">
        <w:tblPrEx>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55" w:type="dxa"/>
            <w:tcBorders>
              <w:bottom w:val="single" w:sz="4" w:space="0" w:color="auto"/>
            </w:tcBorders>
            <w:shd w:val="clear" w:color="auto" w:fill="auto"/>
          </w:tcPr>
          <w:p w:rsidR="00AC1992" w:rsidRPr="004805E4" w:rsidP="00C3427B" w14:paraId="1F0E3CB3" w14:textId="77777777">
            <w:pPr>
              <w:rPr>
                <w:bCs/>
              </w:rPr>
            </w:pPr>
            <w:r w:rsidRPr="004805E4">
              <w:rPr>
                <w:bCs/>
              </w:rPr>
              <w:t>Type of Respondents</w:t>
            </w:r>
          </w:p>
        </w:tc>
        <w:tc>
          <w:tcPr>
            <w:tcW w:w="3003" w:type="dxa"/>
            <w:tcBorders>
              <w:bottom w:val="single" w:sz="4" w:space="0" w:color="auto"/>
            </w:tcBorders>
            <w:shd w:val="clear" w:color="auto" w:fill="auto"/>
          </w:tcPr>
          <w:p w:rsidR="00AC1992" w:rsidRPr="004805E4" w:rsidP="00C3427B" w14:paraId="003B6C6F" w14:textId="77777777">
            <w:pPr>
              <w:rPr>
                <w:bCs/>
              </w:rPr>
            </w:pPr>
            <w:r w:rsidRPr="004805E4">
              <w:rPr>
                <w:bCs/>
              </w:rPr>
              <w:t>Form Name</w:t>
            </w:r>
          </w:p>
        </w:tc>
        <w:tc>
          <w:tcPr>
            <w:tcW w:w="1260" w:type="dxa"/>
            <w:tcBorders>
              <w:bottom w:val="single" w:sz="4" w:space="0" w:color="auto"/>
            </w:tcBorders>
            <w:shd w:val="clear" w:color="auto" w:fill="auto"/>
          </w:tcPr>
          <w:p w:rsidR="00AC1992" w:rsidRPr="004805E4" w:rsidP="00AC1992" w14:paraId="02BB83CB" w14:textId="77777777">
            <w:pPr>
              <w:jc w:val="center"/>
              <w:rPr>
                <w:bCs/>
                <w:highlight w:val="yellow"/>
              </w:rPr>
            </w:pPr>
            <w:r w:rsidRPr="00AC1992">
              <w:rPr>
                <w:bCs/>
              </w:rPr>
              <w:t>Total Burden (in hours)</w:t>
            </w:r>
          </w:p>
        </w:tc>
        <w:tc>
          <w:tcPr>
            <w:tcW w:w="1212" w:type="dxa"/>
            <w:tcBorders>
              <w:bottom w:val="single" w:sz="4" w:space="0" w:color="auto"/>
            </w:tcBorders>
            <w:shd w:val="clear" w:color="auto" w:fill="auto"/>
          </w:tcPr>
          <w:p w:rsidR="00AC1992" w:rsidRPr="004805E4" w:rsidP="00AC1992" w14:paraId="6EBBAF54" w14:textId="77777777">
            <w:pPr>
              <w:jc w:val="center"/>
              <w:rPr>
                <w:bCs/>
              </w:rPr>
            </w:pPr>
            <w:r>
              <w:rPr>
                <w:bCs/>
              </w:rPr>
              <w:t>Hourly Wage Rate</w:t>
            </w:r>
          </w:p>
        </w:tc>
        <w:tc>
          <w:tcPr>
            <w:tcW w:w="1380" w:type="dxa"/>
            <w:tcBorders>
              <w:bottom w:val="single" w:sz="4" w:space="0" w:color="auto"/>
            </w:tcBorders>
            <w:shd w:val="clear" w:color="auto" w:fill="auto"/>
          </w:tcPr>
          <w:p w:rsidR="00AC1992" w:rsidRPr="004805E4" w:rsidP="00AC1992" w14:paraId="314214A7" w14:textId="77777777">
            <w:pPr>
              <w:jc w:val="center"/>
              <w:rPr>
                <w:bCs/>
              </w:rPr>
            </w:pPr>
            <w:r>
              <w:rPr>
                <w:bCs/>
              </w:rPr>
              <w:t>Total Respondent Costs</w:t>
            </w:r>
          </w:p>
        </w:tc>
      </w:tr>
      <w:tr w14:paraId="3BFD7573" w14:textId="77777777" w:rsidTr="00AC1992">
        <w:tblPrEx>
          <w:tblW w:w="8910" w:type="dxa"/>
          <w:tblLayout w:type="fixed"/>
          <w:tblLook w:val="04A0"/>
        </w:tblPrEx>
        <w:tc>
          <w:tcPr>
            <w:tcW w:w="2055" w:type="dxa"/>
            <w:shd w:val="clear" w:color="auto" w:fill="auto"/>
          </w:tcPr>
          <w:p w:rsidR="00016D5B" w:rsidRPr="004805E4" w:rsidP="00016D5B" w14:paraId="77587173" w14:textId="77777777">
            <w:pPr>
              <w:rPr>
                <w:rFonts w:eastAsia="Arial Nova"/>
                <w:bCs/>
              </w:rPr>
            </w:pPr>
            <w:r w:rsidRPr="00136ABD">
              <w:rPr>
                <w:rFonts w:eastAsia="Arial Nova"/>
                <w:bCs/>
              </w:rPr>
              <w:t>Ministry of Health personnel responsible for Public Health Emergency Management (PHEM) Program in participating GHSA countries</w:t>
            </w:r>
          </w:p>
        </w:tc>
        <w:tc>
          <w:tcPr>
            <w:tcW w:w="3003" w:type="dxa"/>
            <w:shd w:val="clear" w:color="auto" w:fill="auto"/>
          </w:tcPr>
          <w:p w:rsidR="00016D5B" w:rsidRPr="004805E4" w:rsidP="00016D5B" w14:paraId="17053EF1" w14:textId="77777777">
            <w:pPr>
              <w:rPr>
                <w:rFonts w:eastAsia="Arial Nova"/>
                <w:bCs/>
              </w:rPr>
            </w:pPr>
            <w:r w:rsidRPr="00136ABD">
              <w:rPr>
                <w:rFonts w:eastAsia="Arial Nova"/>
                <w:bCs/>
              </w:rPr>
              <w:t>PHEM Tool</w:t>
            </w:r>
          </w:p>
        </w:tc>
        <w:tc>
          <w:tcPr>
            <w:tcW w:w="1260" w:type="dxa"/>
            <w:shd w:val="clear" w:color="auto" w:fill="auto"/>
          </w:tcPr>
          <w:p w:rsidR="00016D5B" w:rsidRPr="004805E4" w:rsidP="00016D5B" w14:paraId="3F4C6843" w14:textId="77777777">
            <w:pPr>
              <w:jc w:val="center"/>
              <w:rPr>
                <w:bCs/>
              </w:rPr>
            </w:pPr>
            <w:r>
              <w:rPr>
                <w:bCs/>
              </w:rPr>
              <w:t>72</w:t>
            </w:r>
          </w:p>
        </w:tc>
        <w:tc>
          <w:tcPr>
            <w:tcW w:w="1212" w:type="dxa"/>
            <w:shd w:val="clear" w:color="auto" w:fill="auto"/>
          </w:tcPr>
          <w:p w:rsidR="00016D5B" w:rsidRPr="004805E4" w:rsidP="00016D5B" w14:paraId="71489B78" w14:textId="32D77B90">
            <w:pPr>
              <w:jc w:val="center"/>
              <w:rPr>
                <w:bCs/>
              </w:rPr>
            </w:pPr>
            <w:r>
              <w:rPr>
                <w:bCs/>
              </w:rPr>
              <w:t>$4</w:t>
            </w:r>
            <w:r w:rsidR="00187F3F">
              <w:rPr>
                <w:bCs/>
              </w:rPr>
              <w:t>2</w:t>
            </w:r>
            <w:r>
              <w:rPr>
                <w:bCs/>
              </w:rPr>
              <w:t>.74</w:t>
            </w:r>
          </w:p>
        </w:tc>
        <w:tc>
          <w:tcPr>
            <w:tcW w:w="1380" w:type="dxa"/>
            <w:shd w:val="clear" w:color="auto" w:fill="auto"/>
          </w:tcPr>
          <w:p w:rsidR="00016D5B" w:rsidRPr="004805E4" w:rsidP="00016D5B" w14:paraId="09812F3A" w14:textId="77777777">
            <w:pPr>
              <w:jc w:val="center"/>
              <w:rPr>
                <w:bCs/>
              </w:rPr>
            </w:pPr>
            <w:r>
              <w:rPr>
                <w:bCs/>
              </w:rPr>
              <w:t>$3077.28</w:t>
            </w:r>
          </w:p>
        </w:tc>
      </w:tr>
      <w:tr w14:paraId="2E2C7098" w14:textId="77777777" w:rsidTr="00AC1992">
        <w:tblPrEx>
          <w:tblW w:w="8910" w:type="dxa"/>
          <w:tblLayout w:type="fixed"/>
          <w:tblLook w:val="04A0"/>
        </w:tblPrEx>
        <w:tc>
          <w:tcPr>
            <w:tcW w:w="2055" w:type="dxa"/>
            <w:shd w:val="clear" w:color="auto" w:fill="auto"/>
          </w:tcPr>
          <w:p w:rsidR="00016D5B" w:rsidRPr="004805E4" w:rsidP="00016D5B" w14:paraId="058F8B28" w14:textId="77777777">
            <w:pPr>
              <w:rPr>
                <w:rFonts w:eastAsia="Arial Nova"/>
                <w:bCs/>
              </w:rPr>
            </w:pPr>
            <w:r w:rsidRPr="004805E4">
              <w:rPr>
                <w:rFonts w:eastAsia="Arial Nova"/>
                <w:bCs/>
              </w:rPr>
              <w:t>Total</w:t>
            </w:r>
          </w:p>
        </w:tc>
        <w:tc>
          <w:tcPr>
            <w:tcW w:w="3003" w:type="dxa"/>
            <w:shd w:val="clear" w:color="auto" w:fill="auto"/>
          </w:tcPr>
          <w:p w:rsidR="00016D5B" w:rsidRPr="004805E4" w:rsidP="00016D5B" w14:paraId="6EDA30DB" w14:textId="77777777">
            <w:pPr>
              <w:rPr>
                <w:rFonts w:eastAsia="Arial Nova"/>
                <w:bCs/>
              </w:rPr>
            </w:pPr>
            <w:r w:rsidRPr="004805E4">
              <w:rPr>
                <w:rFonts w:eastAsia="Arial Nova"/>
                <w:bCs/>
              </w:rPr>
              <w:t>-----------------------</w:t>
            </w:r>
          </w:p>
        </w:tc>
        <w:tc>
          <w:tcPr>
            <w:tcW w:w="1260" w:type="dxa"/>
            <w:shd w:val="clear" w:color="auto" w:fill="auto"/>
          </w:tcPr>
          <w:p w:rsidR="00016D5B" w:rsidRPr="004805E4" w:rsidP="00016D5B" w14:paraId="43912BA8" w14:textId="77777777">
            <w:pPr>
              <w:rPr>
                <w:bCs/>
              </w:rPr>
            </w:pPr>
            <w:r w:rsidRPr="004805E4">
              <w:rPr>
                <w:bCs/>
              </w:rPr>
              <w:t>-----------------</w:t>
            </w:r>
          </w:p>
        </w:tc>
        <w:tc>
          <w:tcPr>
            <w:tcW w:w="1212" w:type="dxa"/>
            <w:shd w:val="clear" w:color="auto" w:fill="auto"/>
          </w:tcPr>
          <w:p w:rsidR="00016D5B" w:rsidRPr="004805E4" w:rsidP="00016D5B" w14:paraId="3344ADAA" w14:textId="77777777">
            <w:pPr>
              <w:rPr>
                <w:bCs/>
              </w:rPr>
            </w:pPr>
            <w:r w:rsidRPr="004805E4">
              <w:rPr>
                <w:bCs/>
              </w:rPr>
              <w:t>----------------</w:t>
            </w:r>
          </w:p>
        </w:tc>
        <w:tc>
          <w:tcPr>
            <w:tcW w:w="1380" w:type="dxa"/>
            <w:shd w:val="clear" w:color="auto" w:fill="auto"/>
          </w:tcPr>
          <w:p w:rsidR="00016D5B" w:rsidRPr="004805E4" w:rsidP="00016D5B" w14:paraId="6CC7203B" w14:textId="77777777">
            <w:pPr>
              <w:rPr>
                <w:bCs/>
              </w:rPr>
            </w:pPr>
            <w:r w:rsidRPr="00136ABD">
              <w:t>$3077.28</w:t>
            </w:r>
          </w:p>
        </w:tc>
      </w:tr>
    </w:tbl>
    <w:p w:rsidR="002E31F3" w:rsidRPr="00DC7AAA" w:rsidP="002E31F3" w14:paraId="79E8461D" w14:textId="77777777">
      <w:pPr>
        <w:adjustRightInd w:val="0"/>
        <w:rPr>
          <w:bCs/>
        </w:rPr>
      </w:pPr>
    </w:p>
    <w:p w:rsidR="00DC6B58" w:rsidRPr="00DC7AAA" w:rsidP="00DC6B58" w14:paraId="5ED6D100" w14:textId="77777777">
      <w:pPr>
        <w:adjustRightInd w:val="0"/>
        <w:rPr>
          <w:bCs/>
        </w:rPr>
      </w:pPr>
    </w:p>
    <w:p w:rsidR="00AC1992" w:rsidP="00DC6B58" w14:paraId="721CE09D" w14:textId="77777777">
      <w:pPr>
        <w:widowControl/>
        <w:contextualSpacing/>
        <w:rPr>
          <w:bCs/>
        </w:rPr>
      </w:pPr>
    </w:p>
    <w:p w:rsidR="00AC1992" w:rsidP="00DC6B58" w14:paraId="58E1CB4A" w14:textId="77777777">
      <w:pPr>
        <w:widowControl/>
        <w:contextualSpacing/>
        <w:rPr>
          <w:bCs/>
        </w:rPr>
      </w:pPr>
    </w:p>
    <w:p w:rsidR="00AC1992" w:rsidP="00DC6B58" w14:paraId="6940B138" w14:textId="77777777">
      <w:pPr>
        <w:widowControl/>
        <w:contextualSpacing/>
        <w:rPr>
          <w:bCs/>
        </w:rPr>
      </w:pPr>
    </w:p>
    <w:p w:rsidR="00DC6B58" w:rsidRPr="00177C1F" w:rsidP="00DC6B58" w14:paraId="71DB9B4A" w14:textId="77777777">
      <w:pPr>
        <w:widowControl/>
        <w:contextualSpacing/>
      </w:pPr>
    </w:p>
    <w:p w:rsidR="00BA550E" w:rsidRPr="00177C1F" w:rsidP="007F3FE5" w14:paraId="10E15FF2" w14:textId="77777777">
      <w:pPr>
        <w:widowControl/>
        <w:contextualSpacing/>
      </w:pPr>
    </w:p>
    <w:p w:rsidR="00BA550E" w:rsidRPr="00177C1F" w:rsidP="00177C1F" w14:paraId="312A7658" w14:textId="77777777">
      <w:pPr>
        <w:pStyle w:val="Heading3"/>
        <w:rPr>
          <w:rFonts w:ascii="Times New Roman" w:hAnsi="Times New Roman"/>
          <w:color w:val="auto"/>
          <w:sz w:val="24"/>
          <w:szCs w:val="24"/>
        </w:rPr>
      </w:pPr>
      <w:bookmarkStart w:id="22" w:name="_Toc60052619"/>
      <w:r w:rsidRPr="00177C1F">
        <w:rPr>
          <w:rFonts w:ascii="Times New Roman" w:hAnsi="Times New Roman"/>
          <w:color w:val="auto"/>
          <w:sz w:val="24"/>
          <w:szCs w:val="24"/>
        </w:rPr>
        <w:t>13.  Estimates of Other Total Annual Cost Burden to Respondents or Record keepers</w:t>
      </w:r>
      <w:bookmarkEnd w:id="22"/>
    </w:p>
    <w:p w:rsidR="00BA550E" w:rsidRPr="00177C1F" w:rsidP="007F3FE5" w14:paraId="450AE6FC" w14:textId="77777777">
      <w:pPr>
        <w:widowControl/>
        <w:contextualSpacing/>
        <w:rPr>
          <w:bCs/>
        </w:rPr>
      </w:pPr>
    </w:p>
    <w:p w:rsidR="003A263C" w:rsidRPr="00DC7AAA" w:rsidP="003A263C" w14:paraId="4E4C234B" w14:textId="77777777">
      <w:pPr>
        <w:adjustRightInd w:val="0"/>
        <w:jc w:val="both"/>
      </w:pPr>
      <w:r w:rsidRPr="00DC7AAA">
        <w:t xml:space="preserve">Respondents incur no capital or maintenance costs.  </w:t>
      </w:r>
    </w:p>
    <w:p w:rsidR="00BA550E" w:rsidRPr="00177C1F" w:rsidP="007F3FE5" w14:paraId="59F2D49A" w14:textId="77777777">
      <w:pPr>
        <w:widowControl/>
        <w:contextualSpacing/>
        <w:rPr>
          <w:bCs/>
        </w:rPr>
      </w:pPr>
      <w:r w:rsidRPr="00177C1F">
        <w:rPr>
          <w:bCs/>
        </w:rPr>
        <w:t xml:space="preserve"> </w:t>
      </w:r>
    </w:p>
    <w:p w:rsidR="00BA550E" w:rsidRPr="00CA28BC" w:rsidP="00177C1F" w14:paraId="53D30869" w14:textId="77777777">
      <w:pPr>
        <w:pStyle w:val="Heading3"/>
        <w:rPr>
          <w:rFonts w:ascii="Times New Roman" w:hAnsi="Times New Roman"/>
          <w:color w:val="auto"/>
          <w:sz w:val="24"/>
          <w:szCs w:val="24"/>
        </w:rPr>
      </w:pPr>
      <w:bookmarkStart w:id="23" w:name="_Toc60052620"/>
      <w:r w:rsidRPr="00CA28BC">
        <w:rPr>
          <w:rFonts w:ascii="Times New Roman" w:hAnsi="Times New Roman"/>
          <w:color w:val="auto"/>
          <w:sz w:val="24"/>
          <w:szCs w:val="24"/>
        </w:rPr>
        <w:t>14.  Annualized Cost to the Government</w:t>
      </w:r>
      <w:bookmarkEnd w:id="23"/>
    </w:p>
    <w:p w:rsidR="003A263C" w:rsidRPr="00BD1001" w:rsidP="003A263C" w14:paraId="61F696A2" w14:textId="77777777">
      <w:pPr>
        <w:jc w:val="both"/>
        <w:rPr>
          <w:bCs/>
          <w:strike/>
        </w:rPr>
      </w:pPr>
      <w:r>
        <w:rPr>
          <w:bCs/>
        </w:rPr>
        <w:t xml:space="preserve">                                                                                                                                                                                                                                                                                                                                                                                                                                                                                                                                                                                                                                                                                                                                                                                                                                                                                                                                                                                                                                                                                                                                                                                                                                  </w:t>
      </w:r>
      <w:r w:rsidRPr="00DC7AAA">
        <w:rPr>
          <w:bCs/>
        </w:rPr>
        <w:t xml:space="preserve"> </w:t>
      </w:r>
      <w:r w:rsidRPr="00136ABD" w:rsidR="00136ABD">
        <w:rPr>
          <w:bCs/>
        </w:rPr>
        <w:t xml:space="preserve">The total estimated cost for implementing </w:t>
      </w:r>
      <w:r w:rsidR="00B11F56">
        <w:rPr>
          <w:bCs/>
        </w:rPr>
        <w:t xml:space="preserve">the PHEM Tool </w:t>
      </w:r>
      <w:r w:rsidR="00136ABD">
        <w:rPr>
          <w:bCs/>
        </w:rPr>
        <w:t xml:space="preserve">data </w:t>
      </w:r>
      <w:r w:rsidR="007A5BCA">
        <w:rPr>
          <w:bCs/>
        </w:rPr>
        <w:t>collection</w:t>
      </w:r>
      <w:r w:rsidRPr="00136ABD" w:rsidR="00136ABD">
        <w:rPr>
          <w:bCs/>
        </w:rPr>
        <w:t xml:space="preserve"> </w:t>
      </w:r>
      <w:r w:rsidRPr="00BD1001" w:rsidR="00136ABD">
        <w:rPr>
          <w:bCs/>
        </w:rPr>
        <w:t>i</w:t>
      </w:r>
      <w:r w:rsidR="00B11F56">
        <w:rPr>
          <w:bCs/>
        </w:rPr>
        <w:t xml:space="preserve">ncludes a range of the hourly rate of the EMTA administering the survey, </w:t>
      </w:r>
      <w:r w:rsidR="0099680F">
        <w:rPr>
          <w:bCs/>
        </w:rPr>
        <w:t xml:space="preserve">and the range of time it takes to complete the interview. An EMTA generally earns </w:t>
      </w:r>
      <w:r w:rsidR="00B11F56">
        <w:rPr>
          <w:bCs/>
        </w:rPr>
        <w:t>between $48.00- $71.00</w:t>
      </w:r>
      <w:r w:rsidR="0099680F">
        <w:rPr>
          <w:bCs/>
        </w:rPr>
        <w:t xml:space="preserve"> and hour.  If the duration of the interview is 6 hours then $48 x 6 hours=  ~</w:t>
      </w:r>
      <w:r w:rsidR="00B11F56">
        <w:rPr>
          <w:bCs/>
        </w:rPr>
        <w:t>$288</w:t>
      </w:r>
      <w:r w:rsidR="0099680F">
        <w:rPr>
          <w:bCs/>
        </w:rPr>
        <w:t xml:space="preserve">, or $71 x 6= ~$426, per interview. Assume analysis of data is completed in 2 hours, and that the analyst earns a range of $48-65 an hour. </w:t>
      </w:r>
    </w:p>
    <w:p w:rsidR="00DB137F" w:rsidRPr="00DC7AAA" w:rsidP="00DB137F" w14:paraId="4BFDB3AC" w14:textId="77777777">
      <w:pPr>
        <w:jc w:val="both"/>
        <w:rPr>
          <w:bCs/>
        </w:rPr>
      </w:pPr>
    </w:p>
    <w:p w:rsidR="00DB137F" w:rsidRPr="00DC7AAA" w:rsidP="00DB137F" w14:paraId="5EE299C3" w14:textId="77777777">
      <w:pPr>
        <w:jc w:val="center"/>
        <w:rPr>
          <w:bCs/>
        </w:rPr>
      </w:pPr>
      <w:r w:rsidRPr="00DC7AAA">
        <w:rPr>
          <w:bCs/>
        </w:rPr>
        <w:t>FY 20</w:t>
      </w:r>
      <w:r>
        <w:rPr>
          <w:bCs/>
        </w:rPr>
        <w:t>20</w:t>
      </w:r>
      <w:r w:rsidRPr="00DC7AAA">
        <w:rPr>
          <w:bCs/>
        </w:rPr>
        <w:t xml:space="preserve"> Annualized Government Cost</w:t>
      </w:r>
    </w:p>
    <w:p w:rsidR="00DB137F" w:rsidRPr="00DC7AAA" w:rsidP="00DB137F" w14:paraId="3631A43C" w14:textId="77777777">
      <w:pPr>
        <w:jc w:val="both"/>
      </w:pPr>
    </w:p>
    <w:p w:rsidR="0099680F" w:rsidP="00344296" w14:paraId="297655D5" w14:textId="77777777">
      <w:pPr>
        <w:ind w:firstLine="720"/>
      </w:pPr>
      <w:r w:rsidRPr="00DC7AAA">
        <w:t xml:space="preserve">Personnel: </w:t>
      </w:r>
      <w:r w:rsidR="007A5BCA">
        <w:t xml:space="preserve">6 </w:t>
      </w:r>
      <w:r w:rsidRPr="00DC7AAA">
        <w:t>FTEs</w:t>
      </w:r>
      <w:r>
        <w:t xml:space="preserve"> </w:t>
      </w:r>
      <w:r w:rsidR="007A5BCA">
        <w:t>(presently)</w:t>
      </w:r>
      <w:r>
        <w:t xml:space="preserve"> conducting up to two PHEM Tool assessments each year</w:t>
      </w:r>
      <w:r w:rsidRPr="00DC7AAA">
        <w:tab/>
      </w:r>
      <w:r w:rsidRPr="00DC7AAA">
        <w:tab/>
      </w:r>
      <w:r w:rsidRPr="00DC7AAA">
        <w:tab/>
      </w:r>
      <w:r w:rsidRPr="00DC7AAA">
        <w:tab/>
      </w:r>
    </w:p>
    <w:p w:rsidR="00344296" w:rsidRPr="00DC7AAA" w:rsidP="00344296" w14:paraId="3BC7A385" w14:textId="77777777">
      <w:pPr>
        <w:spacing w:before="240"/>
        <w:ind w:firstLine="720"/>
        <w:jc w:val="both"/>
      </w:pPr>
      <w:r w:rsidRPr="00BD1001">
        <w:t>~</w:t>
      </w:r>
      <w:r w:rsidRPr="00BD1001" w:rsidR="00DB137F">
        <w:t xml:space="preserve">$ </w:t>
      </w:r>
      <w:r w:rsidRPr="00BD1001">
        <w:t>Total Estimated Range of Annual Cost:</w:t>
      </w:r>
      <w:r w:rsidRPr="00BD1001">
        <w:tab/>
      </w:r>
      <w:r w:rsidRPr="00BD1001">
        <w:tab/>
      </w:r>
      <w:r w:rsidRPr="00BD1001">
        <w:tab/>
      </w:r>
      <w:r w:rsidRPr="00BD1001">
        <w:tab/>
      </w:r>
      <w:r w:rsidRPr="00BD1001">
        <w:tab/>
      </w:r>
      <w:r w:rsidRPr="00BD1001">
        <w:tab/>
      </w:r>
      <w:r w:rsidRPr="00BD1001">
        <w:tab/>
      </w:r>
      <w:r w:rsidRPr="00BD1001">
        <w:tab/>
      </w:r>
      <w:r w:rsidRPr="00BD1001">
        <w:tab/>
        <w:t xml:space="preserve">         $ 5,184- $7,452</w:t>
      </w:r>
    </w:p>
    <w:p w:rsidR="0099680F" w:rsidP="00DB137F" w14:paraId="74D908AB" w14:textId="77777777">
      <w:pPr>
        <w:ind w:firstLine="720"/>
        <w:jc w:val="both"/>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170"/>
        <w:gridCol w:w="1170"/>
        <w:gridCol w:w="990"/>
        <w:gridCol w:w="1080"/>
        <w:gridCol w:w="1170"/>
        <w:gridCol w:w="1260"/>
        <w:gridCol w:w="1260"/>
      </w:tblGrid>
      <w:tr w14:paraId="6C059FE0" w14:textId="77777777" w:rsidTr="003F6E4F">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98" w:type="dxa"/>
            <w:shd w:val="clear" w:color="auto" w:fill="auto"/>
          </w:tcPr>
          <w:p w:rsidR="00344296" w:rsidP="00331E93" w14:paraId="452E82C7" w14:textId="77777777">
            <w:r>
              <w:t>EMTA Hourly Rate</w:t>
            </w:r>
          </w:p>
        </w:tc>
        <w:tc>
          <w:tcPr>
            <w:tcW w:w="1170" w:type="dxa"/>
            <w:shd w:val="clear" w:color="auto" w:fill="auto"/>
          </w:tcPr>
          <w:p w:rsidR="00344296" w:rsidP="00331E93" w14:paraId="245BF379" w14:textId="77777777">
            <w:r>
              <w:t>Time for Interview</w:t>
            </w:r>
          </w:p>
        </w:tc>
        <w:tc>
          <w:tcPr>
            <w:tcW w:w="1170" w:type="dxa"/>
            <w:shd w:val="clear" w:color="auto" w:fill="auto"/>
          </w:tcPr>
          <w:p w:rsidR="00344296" w:rsidP="00331E93" w14:paraId="76982100" w14:textId="77777777">
            <w:r>
              <w:t xml:space="preserve">EMTA Cost per  interview </w:t>
            </w:r>
          </w:p>
        </w:tc>
        <w:tc>
          <w:tcPr>
            <w:tcW w:w="990" w:type="dxa"/>
            <w:shd w:val="clear" w:color="auto" w:fill="auto"/>
          </w:tcPr>
          <w:p w:rsidR="00344296" w:rsidP="00331E93" w14:paraId="4536F81B" w14:textId="77777777">
            <w:r>
              <w:t xml:space="preserve">Analyst Rate </w:t>
            </w:r>
          </w:p>
        </w:tc>
        <w:tc>
          <w:tcPr>
            <w:tcW w:w="1080" w:type="dxa"/>
            <w:shd w:val="clear" w:color="auto" w:fill="auto"/>
          </w:tcPr>
          <w:p w:rsidR="00344296" w:rsidP="00331E93" w14:paraId="68D90E6E" w14:textId="77777777">
            <w:r>
              <w:t>Analyst Time</w:t>
            </w:r>
          </w:p>
        </w:tc>
        <w:tc>
          <w:tcPr>
            <w:tcW w:w="1170" w:type="dxa"/>
            <w:shd w:val="clear" w:color="auto" w:fill="auto"/>
          </w:tcPr>
          <w:p w:rsidR="00344296" w:rsidP="00331E93" w14:paraId="6A0B7E01" w14:textId="77777777">
            <w:r>
              <w:t>Analyst Cost per interview</w:t>
            </w:r>
          </w:p>
        </w:tc>
        <w:tc>
          <w:tcPr>
            <w:tcW w:w="1260" w:type="dxa"/>
            <w:shd w:val="clear" w:color="auto" w:fill="auto"/>
          </w:tcPr>
          <w:p w:rsidR="00344296" w:rsidP="00331E93" w14:paraId="55EDE9B8" w14:textId="77777777">
            <w:r>
              <w:t>Combined Cost per interview</w:t>
            </w:r>
          </w:p>
        </w:tc>
        <w:tc>
          <w:tcPr>
            <w:tcW w:w="1260" w:type="dxa"/>
            <w:shd w:val="clear" w:color="auto" w:fill="auto"/>
          </w:tcPr>
          <w:p w:rsidR="00344296" w:rsidP="00331E93" w14:paraId="232C0D44" w14:textId="77777777">
            <w:r>
              <w:t>Interview x 12</w:t>
            </w:r>
          </w:p>
        </w:tc>
      </w:tr>
      <w:tr w14:paraId="51664423" w14:textId="77777777" w:rsidTr="003F6E4F">
        <w:tblPrEx>
          <w:tblW w:w="9198" w:type="dxa"/>
          <w:tblLayout w:type="fixed"/>
          <w:tblLook w:val="04A0"/>
        </w:tblPrEx>
        <w:tc>
          <w:tcPr>
            <w:tcW w:w="1098" w:type="dxa"/>
            <w:shd w:val="clear" w:color="auto" w:fill="auto"/>
          </w:tcPr>
          <w:p w:rsidR="00344296" w:rsidP="00331E93" w14:paraId="2ED33ABA" w14:textId="77777777">
            <w:r>
              <w:t>$48</w:t>
            </w:r>
          </w:p>
        </w:tc>
        <w:tc>
          <w:tcPr>
            <w:tcW w:w="1170" w:type="dxa"/>
            <w:shd w:val="clear" w:color="auto" w:fill="auto"/>
          </w:tcPr>
          <w:p w:rsidR="00344296" w:rsidP="00331E93" w14:paraId="7880D034" w14:textId="77777777">
            <w:r>
              <w:t>6</w:t>
            </w:r>
          </w:p>
        </w:tc>
        <w:tc>
          <w:tcPr>
            <w:tcW w:w="1170" w:type="dxa"/>
            <w:shd w:val="clear" w:color="auto" w:fill="auto"/>
          </w:tcPr>
          <w:p w:rsidR="00344296" w:rsidP="00331E93" w14:paraId="00C0448B" w14:textId="77777777">
            <w:r>
              <w:t>$288</w:t>
            </w:r>
          </w:p>
        </w:tc>
        <w:tc>
          <w:tcPr>
            <w:tcW w:w="990" w:type="dxa"/>
            <w:shd w:val="clear" w:color="auto" w:fill="auto"/>
          </w:tcPr>
          <w:p w:rsidR="00344296" w:rsidP="00331E93" w14:paraId="6B124077" w14:textId="77777777">
            <w:r>
              <w:t>$48</w:t>
            </w:r>
          </w:p>
        </w:tc>
        <w:tc>
          <w:tcPr>
            <w:tcW w:w="1080" w:type="dxa"/>
            <w:shd w:val="clear" w:color="auto" w:fill="auto"/>
          </w:tcPr>
          <w:p w:rsidR="00344296" w:rsidP="00331E93" w14:paraId="3640095F" w14:textId="77777777">
            <w:r>
              <w:t>3 hours</w:t>
            </w:r>
          </w:p>
        </w:tc>
        <w:tc>
          <w:tcPr>
            <w:tcW w:w="1170" w:type="dxa"/>
            <w:shd w:val="clear" w:color="auto" w:fill="auto"/>
          </w:tcPr>
          <w:p w:rsidR="00344296" w:rsidP="00331E93" w14:paraId="51B4555B" w14:textId="77777777">
            <w:r>
              <w:t>$144</w:t>
            </w:r>
          </w:p>
        </w:tc>
        <w:tc>
          <w:tcPr>
            <w:tcW w:w="1260" w:type="dxa"/>
            <w:shd w:val="clear" w:color="auto" w:fill="auto"/>
          </w:tcPr>
          <w:p w:rsidR="00344296" w:rsidP="00331E93" w14:paraId="0E3B67B7" w14:textId="77777777">
            <w:r>
              <w:t>$432</w:t>
            </w:r>
          </w:p>
        </w:tc>
        <w:tc>
          <w:tcPr>
            <w:tcW w:w="1260" w:type="dxa"/>
            <w:shd w:val="clear" w:color="auto" w:fill="auto"/>
          </w:tcPr>
          <w:p w:rsidR="00344296" w:rsidP="00331E93" w14:paraId="1806A14A" w14:textId="77777777">
            <w:r>
              <w:t>$5,184</w:t>
            </w:r>
          </w:p>
        </w:tc>
      </w:tr>
      <w:tr w14:paraId="33795407" w14:textId="77777777" w:rsidTr="003F6E4F">
        <w:tblPrEx>
          <w:tblW w:w="9198" w:type="dxa"/>
          <w:tblLayout w:type="fixed"/>
          <w:tblLook w:val="04A0"/>
        </w:tblPrEx>
        <w:tc>
          <w:tcPr>
            <w:tcW w:w="1098" w:type="dxa"/>
            <w:shd w:val="clear" w:color="auto" w:fill="auto"/>
          </w:tcPr>
          <w:p w:rsidR="00344296" w:rsidP="00331E93" w14:paraId="5B50CBA7" w14:textId="77777777">
            <w:r>
              <w:t>$71</w:t>
            </w:r>
          </w:p>
        </w:tc>
        <w:tc>
          <w:tcPr>
            <w:tcW w:w="1170" w:type="dxa"/>
            <w:shd w:val="clear" w:color="auto" w:fill="auto"/>
          </w:tcPr>
          <w:p w:rsidR="00344296" w:rsidP="00331E93" w14:paraId="45A1B6CF" w14:textId="77777777">
            <w:r>
              <w:t>6</w:t>
            </w:r>
          </w:p>
        </w:tc>
        <w:tc>
          <w:tcPr>
            <w:tcW w:w="1170" w:type="dxa"/>
            <w:shd w:val="clear" w:color="auto" w:fill="auto"/>
          </w:tcPr>
          <w:p w:rsidR="00344296" w:rsidP="00331E93" w14:paraId="67EF07AD" w14:textId="77777777">
            <w:r>
              <w:t>$ 426</w:t>
            </w:r>
          </w:p>
        </w:tc>
        <w:tc>
          <w:tcPr>
            <w:tcW w:w="990" w:type="dxa"/>
            <w:shd w:val="clear" w:color="auto" w:fill="auto"/>
          </w:tcPr>
          <w:p w:rsidR="00344296" w:rsidP="00331E93" w14:paraId="580667F0" w14:textId="77777777">
            <w:r>
              <w:t>$65</w:t>
            </w:r>
          </w:p>
        </w:tc>
        <w:tc>
          <w:tcPr>
            <w:tcW w:w="1080" w:type="dxa"/>
            <w:shd w:val="clear" w:color="auto" w:fill="auto"/>
          </w:tcPr>
          <w:p w:rsidR="00344296" w:rsidP="00331E93" w14:paraId="08CE5834" w14:textId="77777777">
            <w:r>
              <w:t>3 hours</w:t>
            </w:r>
          </w:p>
        </w:tc>
        <w:tc>
          <w:tcPr>
            <w:tcW w:w="1170" w:type="dxa"/>
            <w:shd w:val="clear" w:color="auto" w:fill="auto"/>
          </w:tcPr>
          <w:p w:rsidR="00344296" w:rsidP="00331E93" w14:paraId="6F1A7996" w14:textId="77777777">
            <w:r>
              <w:t>$195</w:t>
            </w:r>
          </w:p>
        </w:tc>
        <w:tc>
          <w:tcPr>
            <w:tcW w:w="1260" w:type="dxa"/>
            <w:shd w:val="clear" w:color="auto" w:fill="auto"/>
          </w:tcPr>
          <w:p w:rsidR="00344296" w:rsidP="00331E93" w14:paraId="65B76042" w14:textId="77777777">
            <w:r>
              <w:t>$ 621</w:t>
            </w:r>
          </w:p>
        </w:tc>
        <w:tc>
          <w:tcPr>
            <w:tcW w:w="1260" w:type="dxa"/>
            <w:shd w:val="clear" w:color="auto" w:fill="auto"/>
          </w:tcPr>
          <w:p w:rsidR="00344296" w:rsidP="00331E93" w14:paraId="46F4AC0D" w14:textId="77777777">
            <w:r>
              <w:t>$7,452</w:t>
            </w:r>
          </w:p>
        </w:tc>
      </w:tr>
    </w:tbl>
    <w:p w:rsidR="0099680F" w:rsidRPr="00DC7AAA" w:rsidP="00DB137F" w14:paraId="50995A32" w14:textId="77777777">
      <w:pPr>
        <w:ind w:firstLine="720"/>
        <w:jc w:val="both"/>
      </w:pPr>
    </w:p>
    <w:p w:rsidR="00BA550E" w:rsidRPr="00177C1F" w:rsidP="007F3FE5" w14:paraId="26261F36" w14:textId="77777777">
      <w:pPr>
        <w:widowControl/>
        <w:contextualSpacing/>
        <w:rPr>
          <w:bCs/>
        </w:rPr>
      </w:pPr>
      <w:r w:rsidRPr="00177C1F">
        <w:rPr>
          <w:bCs/>
        </w:rPr>
        <w:tab/>
      </w:r>
      <w:r w:rsidRPr="00177C1F">
        <w:rPr>
          <w:bCs/>
        </w:rPr>
        <w:tab/>
      </w:r>
    </w:p>
    <w:p w:rsidR="00BA550E" w:rsidRPr="00177C1F" w:rsidP="00177C1F" w14:paraId="1F881570" w14:textId="77777777">
      <w:pPr>
        <w:pStyle w:val="Heading3"/>
        <w:rPr>
          <w:rFonts w:ascii="Times New Roman" w:hAnsi="Times New Roman"/>
          <w:color w:val="auto"/>
          <w:sz w:val="24"/>
          <w:szCs w:val="24"/>
        </w:rPr>
      </w:pPr>
      <w:bookmarkStart w:id="24" w:name="_Toc60052621"/>
      <w:r w:rsidRPr="00177C1F">
        <w:rPr>
          <w:rFonts w:ascii="Times New Roman" w:hAnsi="Times New Roman"/>
          <w:color w:val="auto"/>
          <w:sz w:val="24"/>
          <w:szCs w:val="24"/>
        </w:rPr>
        <w:t>15.  Explanation for Program Changes or Adjustments</w:t>
      </w:r>
      <w:bookmarkEnd w:id="24"/>
    </w:p>
    <w:p w:rsidR="003C1C3D" w:rsidRPr="00177C1F" w:rsidP="003C1C3D" w14:paraId="42AB33B8" w14:textId="77777777">
      <w:pPr>
        <w:jc w:val="both"/>
      </w:pPr>
    </w:p>
    <w:p w:rsidR="00733437" w:rsidP="00733437" w14:paraId="3CEBDF01" w14:textId="77777777">
      <w:pPr>
        <w:jc w:val="both"/>
      </w:pPr>
      <w:r>
        <w:t xml:space="preserve">This is a new request. </w:t>
      </w:r>
    </w:p>
    <w:p w:rsidR="00C31B09" w:rsidP="00136ABD" w14:paraId="3FD6F5F1" w14:textId="77777777">
      <w:pPr>
        <w:jc w:val="both"/>
      </w:pPr>
    </w:p>
    <w:p w:rsidR="003A263C" w:rsidRPr="001625CA" w:rsidP="003A263C" w14:paraId="34A5EA74" w14:textId="77777777">
      <w:pPr>
        <w:pStyle w:val="Heading3"/>
        <w:spacing w:before="0" w:line="240" w:lineRule="auto"/>
        <w:jc w:val="both"/>
        <w:rPr>
          <w:rFonts w:ascii="Times New Roman" w:hAnsi="Times New Roman"/>
          <w:color w:val="auto"/>
          <w:sz w:val="24"/>
          <w:szCs w:val="24"/>
        </w:rPr>
      </w:pPr>
      <w:bookmarkStart w:id="25" w:name="_Toc361748000"/>
      <w:bookmarkStart w:id="26" w:name="_Toc372114346"/>
      <w:bookmarkStart w:id="27" w:name="_Toc60052622"/>
      <w:r w:rsidRPr="001625CA">
        <w:rPr>
          <w:rFonts w:ascii="Times New Roman" w:hAnsi="Times New Roman"/>
          <w:color w:val="auto"/>
          <w:sz w:val="24"/>
          <w:szCs w:val="24"/>
        </w:rPr>
        <w:t>16.  Plans for Tabulation and Publication and Project Time Schedule</w:t>
      </w:r>
      <w:bookmarkEnd w:id="25"/>
      <w:bookmarkEnd w:id="26"/>
      <w:bookmarkEnd w:id="27"/>
      <w:r w:rsidR="00B167DC">
        <w:rPr>
          <w:rFonts w:ascii="Times New Roman" w:hAnsi="Times New Roman"/>
          <w:color w:val="auto"/>
          <w:sz w:val="24"/>
          <w:szCs w:val="24"/>
        </w:rPr>
        <w:t xml:space="preserve"> </w:t>
      </w:r>
    </w:p>
    <w:p w:rsidR="003A263C" w:rsidRPr="00DC7AAA" w:rsidP="003A263C" w14:paraId="5C203E0E" w14:textId="77777777">
      <w:pPr>
        <w:adjustRightInd w:val="0"/>
        <w:jc w:val="both"/>
      </w:pPr>
    </w:p>
    <w:p w:rsidR="003A263C" w:rsidRPr="00DC7AAA" w:rsidP="003A263C" w14:paraId="5BF977BA" w14:textId="77777777">
      <w:pPr>
        <w:adjustRightInd w:val="0"/>
        <w:jc w:val="both"/>
      </w:pPr>
      <w:r w:rsidRPr="00BD1001">
        <w:rPr>
          <w:bCs/>
        </w:rPr>
        <w:t>Analysis of collected data will be conducted, annually. Data within or between regions may be compared, annually. Findings that are reflective of best or promising practices may be described, in aggregated or anonymous fashion, in publication.</w:t>
      </w:r>
      <w:r>
        <w:rPr>
          <w:bCs/>
        </w:rPr>
        <w:t xml:space="preserve">  </w:t>
      </w:r>
    </w:p>
    <w:p w:rsidR="003A263C" w:rsidRPr="00DC7AAA" w:rsidP="003A263C" w14:paraId="0C72EFD8" w14:textId="77777777">
      <w:pPr>
        <w:adjustRightInd w:val="0"/>
        <w:jc w:val="both"/>
        <w:rPr>
          <w:bCs/>
        </w:rPr>
      </w:pPr>
    </w:p>
    <w:p w:rsidR="003A263C" w:rsidRPr="00242ED3" w:rsidP="003A263C" w14:paraId="3067D9B5" w14:textId="77777777">
      <w:pPr>
        <w:pStyle w:val="Heading3"/>
        <w:spacing w:before="0" w:line="240" w:lineRule="auto"/>
        <w:jc w:val="both"/>
        <w:rPr>
          <w:rFonts w:ascii="Times New Roman" w:hAnsi="Times New Roman"/>
          <w:color w:val="auto"/>
          <w:sz w:val="24"/>
          <w:szCs w:val="24"/>
        </w:rPr>
      </w:pPr>
      <w:bookmarkStart w:id="28" w:name="_Toc361748001"/>
      <w:bookmarkStart w:id="29" w:name="_Toc372114347"/>
      <w:bookmarkStart w:id="30" w:name="_Toc60052623"/>
      <w:r w:rsidRPr="00242ED3">
        <w:rPr>
          <w:rFonts w:ascii="Times New Roman" w:hAnsi="Times New Roman"/>
          <w:color w:val="auto"/>
          <w:sz w:val="24"/>
          <w:szCs w:val="24"/>
        </w:rPr>
        <w:t>17.  Reason(s) Display of OMB Expiration Date is Inappropriate</w:t>
      </w:r>
      <w:bookmarkEnd w:id="28"/>
      <w:bookmarkEnd w:id="29"/>
      <w:bookmarkEnd w:id="30"/>
    </w:p>
    <w:p w:rsidR="003A263C" w:rsidRPr="00DC7AAA" w:rsidP="003A263C" w14:paraId="1B17BCFD" w14:textId="77777777">
      <w:pPr>
        <w:adjustRightInd w:val="0"/>
        <w:jc w:val="both"/>
      </w:pPr>
    </w:p>
    <w:p w:rsidR="003A263C" w:rsidRPr="00DC7AAA" w:rsidP="003A263C" w14:paraId="78B9ED47" w14:textId="77777777">
      <w:pPr>
        <w:adjustRightInd w:val="0"/>
        <w:jc w:val="both"/>
      </w:pPr>
      <w:r w:rsidRPr="00DC7AAA">
        <w:t>The display of the OMB expiration date is not inappropriate.</w:t>
      </w:r>
    </w:p>
    <w:p w:rsidR="003A263C" w:rsidRPr="00DC7AAA" w:rsidP="003A263C" w14:paraId="0FD0C5EA" w14:textId="77777777">
      <w:pPr>
        <w:adjustRightInd w:val="0"/>
        <w:jc w:val="both"/>
      </w:pPr>
    </w:p>
    <w:p w:rsidR="003A263C" w:rsidRPr="00242ED3" w:rsidP="003A263C" w14:paraId="57456511" w14:textId="77777777">
      <w:pPr>
        <w:pStyle w:val="Heading3"/>
        <w:spacing w:before="0" w:line="240" w:lineRule="auto"/>
        <w:jc w:val="both"/>
        <w:rPr>
          <w:rFonts w:ascii="Times New Roman" w:hAnsi="Times New Roman"/>
          <w:color w:val="auto"/>
          <w:sz w:val="24"/>
          <w:szCs w:val="24"/>
        </w:rPr>
      </w:pPr>
      <w:bookmarkStart w:id="31" w:name="_Toc361748002"/>
      <w:bookmarkStart w:id="32" w:name="_Toc372114348"/>
      <w:bookmarkStart w:id="33" w:name="_Toc60052624"/>
      <w:r w:rsidRPr="00242ED3">
        <w:rPr>
          <w:rFonts w:ascii="Times New Roman" w:hAnsi="Times New Roman"/>
          <w:color w:val="auto"/>
          <w:sz w:val="24"/>
          <w:szCs w:val="24"/>
        </w:rPr>
        <w:t>18.  Exceptions to Certification for Paperwork Reduction Act Submissions</w:t>
      </w:r>
      <w:bookmarkEnd w:id="31"/>
      <w:bookmarkEnd w:id="32"/>
      <w:bookmarkEnd w:id="33"/>
    </w:p>
    <w:p w:rsidR="003A263C" w:rsidRPr="00DC7AAA" w:rsidP="003A263C" w14:paraId="1C432CD2" w14:textId="77777777">
      <w:pPr>
        <w:adjustRightInd w:val="0"/>
        <w:jc w:val="both"/>
      </w:pPr>
    </w:p>
    <w:p w:rsidR="003A263C" w:rsidRPr="00DC7AAA" w:rsidP="003A263C" w14:paraId="581B407D" w14:textId="77777777">
      <w:pPr>
        <w:adjustRightInd w:val="0"/>
        <w:jc w:val="both"/>
      </w:pPr>
      <w:r>
        <w:t>There are</w:t>
      </w:r>
      <w:r w:rsidRPr="00DC7AAA">
        <w:t xml:space="preserve"> no exception</w:t>
      </w:r>
      <w:r>
        <w:t>s</w:t>
      </w:r>
      <w:r w:rsidRPr="00DC7AAA">
        <w:t xml:space="preserve"> to the certification.</w:t>
      </w:r>
    </w:p>
    <w:p w:rsidR="00BA550E" w:rsidRPr="00177C1F" w:rsidP="007F3FE5" w14:paraId="2885F133" w14:textId="77777777">
      <w:pPr>
        <w:widowControl/>
        <w:tabs>
          <w:tab w:val="left" w:pos="-1440"/>
        </w:tabs>
        <w:contextualSpacing/>
        <w:rPr>
          <w:bCs/>
        </w:rPr>
      </w:pPr>
    </w:p>
    <w:p w:rsidR="00BA550E" w:rsidRPr="00177C1F" w:rsidP="007F3FE5" w14:paraId="3582F9AF" w14:textId="77777777">
      <w:pPr>
        <w:widowControl/>
        <w:tabs>
          <w:tab w:val="left" w:pos="-1440"/>
        </w:tabs>
        <w:contextualSpacing/>
        <w:rPr>
          <w:bCs/>
        </w:rPr>
      </w:pPr>
    </w:p>
    <w:p w:rsidR="00BA550E" w:rsidRPr="00177C1F" w:rsidP="007F3FE5" w14:paraId="7CB18556" w14:textId="77777777">
      <w:pPr>
        <w:contextualSpacing/>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titlePg/>
        </w:sectPr>
      </w:pPr>
    </w:p>
    <w:p w:rsidR="007703BD" w:rsidRPr="00177C1F" w:rsidP="00177C1F" w14:paraId="4155417B" w14:textId="77777777">
      <w:pPr>
        <w:pStyle w:val="Heading2"/>
        <w:rPr>
          <w:rFonts w:ascii="Times New Roman" w:hAnsi="Times New Roman"/>
          <w:sz w:val="24"/>
          <w:szCs w:val="24"/>
        </w:rPr>
      </w:pPr>
      <w:bookmarkStart w:id="34" w:name="_Toc60052625"/>
      <w:bookmarkStart w:id="35" w:name="_Hlk133241655"/>
      <w:r w:rsidRPr="00177C1F">
        <w:rPr>
          <w:rFonts w:ascii="Times New Roman" w:hAnsi="Times New Roman"/>
          <w:sz w:val="24"/>
          <w:szCs w:val="24"/>
        </w:rPr>
        <w:t>List of Attachments</w:t>
      </w:r>
      <w:r w:rsidRPr="00177C1F" w:rsidR="006F1906">
        <w:rPr>
          <w:rFonts w:ascii="Times New Roman" w:hAnsi="Times New Roman"/>
          <w:sz w:val="24"/>
          <w:szCs w:val="24"/>
        </w:rPr>
        <w:t>:</w:t>
      </w:r>
      <w:bookmarkEnd w:id="34"/>
    </w:p>
    <w:p w:rsidR="00D520EA" w:rsidP="00943137" w14:paraId="7EBDF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bookmarkEnd w:id="35"/>
    <w:p w:rsidR="00543E6F" w:rsidRPr="00543E6F" w:rsidP="00623CD8" w14:paraId="585FBD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1  - Authorizing Legislation - Public Health Service Act, Section 2102 (42 U.S.C. 300a-2)  </w:t>
      </w:r>
    </w:p>
    <w:p w:rsidR="00543E6F" w:rsidRPr="00543E6F" w:rsidP="00543E6F" w14:paraId="6BEB3E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 – 60-Day Federal Register Notice</w:t>
      </w:r>
    </w:p>
    <w:p w:rsidR="00543E6F" w:rsidP="00543E6F" w14:paraId="3ADCB0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2a – 60-Day Comment and CDC Response</w:t>
      </w:r>
    </w:p>
    <w:p w:rsidR="00623CD8" w:rsidP="00543E6F" w14:paraId="3F5F8B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Att3 – PHEM Tool</w:t>
      </w:r>
    </w:p>
    <w:p w:rsidR="00623CD8" w:rsidRPr="00543E6F" w:rsidP="00543E6F" w14:paraId="4F826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sectPr w:rsidSect="00BA550E">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4E87C1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09B992F8" w14:textId="77777777">
    <w:pPr>
      <w:pStyle w:val="Footer"/>
      <w:jc w:val="right"/>
    </w:pPr>
    <w:r>
      <w:fldChar w:fldCharType="begin"/>
    </w:r>
    <w:r>
      <w:instrText xml:space="preserve"> PAGE </w:instrText>
    </w:r>
    <w:r>
      <w:fldChar w:fldCharType="separate"/>
    </w:r>
    <w:r w:rsidR="00327912">
      <w:rPr>
        <w:noProof/>
      </w:rPr>
      <w:t>2</w:t>
    </w:r>
    <w:r>
      <w:fldChar w:fldCharType="end"/>
    </w:r>
  </w:p>
  <w:p w:rsidR="007F49F0" w14:paraId="2F47EC97"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4F8C789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1347A6DC" w14:textId="77777777">
    <w:pPr>
      <w:pStyle w:val="Footer"/>
      <w:jc w:val="right"/>
    </w:pPr>
    <w:r>
      <w:fldChar w:fldCharType="begin"/>
    </w:r>
    <w:r>
      <w:instrText xml:space="preserve"> PAGE </w:instrText>
    </w:r>
    <w:r>
      <w:fldChar w:fldCharType="separate"/>
    </w:r>
    <w:r w:rsidR="00327912">
      <w:rPr>
        <w:noProof/>
      </w:rPr>
      <w:t>12</w:t>
    </w:r>
    <w:r>
      <w:fldChar w:fldCharType="end"/>
    </w:r>
  </w:p>
  <w:p w:rsidR="007F49F0" w14:paraId="3ED8F487"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7A8B0F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164736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079BDF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29E"/>
    <w:multiLevelType w:val="hybridMultilevel"/>
    <w:tmpl w:val="47D8778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FC7E0E"/>
    <w:multiLevelType w:val="hybridMultilevel"/>
    <w:tmpl w:val="486C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5614FC"/>
    <w:multiLevelType w:val="hybridMultilevel"/>
    <w:tmpl w:val="57C815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251ABE"/>
    <w:multiLevelType w:val="hybridMultilevel"/>
    <w:tmpl w:val="589CD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F1069"/>
    <w:multiLevelType w:val="hybridMultilevel"/>
    <w:tmpl w:val="A308E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6E5CD3"/>
    <w:multiLevelType w:val="hybridMultilevel"/>
    <w:tmpl w:val="0C8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D734E2"/>
    <w:multiLevelType w:val="hybridMultilevel"/>
    <w:tmpl w:val="EF22A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6312FB"/>
    <w:multiLevelType w:val="hybridMultilevel"/>
    <w:tmpl w:val="928C881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483433D0"/>
    <w:multiLevelType w:val="hybridMultilevel"/>
    <w:tmpl w:val="FF003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4D38A9"/>
    <w:multiLevelType w:val="hybridMultilevel"/>
    <w:tmpl w:val="F98AD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CF4C76"/>
    <w:multiLevelType w:val="hybridMultilevel"/>
    <w:tmpl w:val="43685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A20757"/>
    <w:multiLevelType w:val="hybridMultilevel"/>
    <w:tmpl w:val="4DAE957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EE1892"/>
    <w:multiLevelType w:val="hybridMultilevel"/>
    <w:tmpl w:val="AC96A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B771DB"/>
    <w:multiLevelType w:val="hybridMultilevel"/>
    <w:tmpl w:val="4386C36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52431453">
    <w:abstractNumId w:val="10"/>
  </w:num>
  <w:num w:numId="2" w16cid:durableId="1080251076">
    <w:abstractNumId w:val="1"/>
  </w:num>
  <w:num w:numId="3" w16cid:durableId="1602758450">
    <w:abstractNumId w:val="3"/>
  </w:num>
  <w:num w:numId="4" w16cid:durableId="1835992246">
    <w:abstractNumId w:val="4"/>
  </w:num>
  <w:num w:numId="5" w16cid:durableId="1718813858">
    <w:abstractNumId w:val="6"/>
  </w:num>
  <w:num w:numId="6" w16cid:durableId="1845704677">
    <w:abstractNumId w:val="9"/>
  </w:num>
  <w:num w:numId="7" w16cid:durableId="2016035331">
    <w:abstractNumId w:val="11"/>
  </w:num>
  <w:num w:numId="8" w16cid:durableId="815534287">
    <w:abstractNumId w:val="5"/>
  </w:num>
  <w:num w:numId="9" w16cid:durableId="143010990">
    <w:abstractNumId w:val="12"/>
  </w:num>
  <w:num w:numId="10" w16cid:durableId="1407461972">
    <w:abstractNumId w:val="2"/>
  </w:num>
  <w:num w:numId="11" w16cid:durableId="59210739">
    <w:abstractNumId w:val="13"/>
  </w:num>
  <w:num w:numId="12" w16cid:durableId="2021811784">
    <w:abstractNumId w:val="8"/>
  </w:num>
  <w:num w:numId="13" w16cid:durableId="796487412">
    <w:abstractNumId w:val="0"/>
  </w:num>
  <w:num w:numId="14" w16cid:durableId="157223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55DA"/>
    <w:rsid w:val="00016741"/>
    <w:rsid w:val="00016D5B"/>
    <w:rsid w:val="0001790E"/>
    <w:rsid w:val="00022F9F"/>
    <w:rsid w:val="000462F7"/>
    <w:rsid w:val="00051E17"/>
    <w:rsid w:val="000538C3"/>
    <w:rsid w:val="00074B2A"/>
    <w:rsid w:val="00076283"/>
    <w:rsid w:val="000801AE"/>
    <w:rsid w:val="00084CE0"/>
    <w:rsid w:val="000939F2"/>
    <w:rsid w:val="000A00C1"/>
    <w:rsid w:val="000A19E4"/>
    <w:rsid w:val="000A64CB"/>
    <w:rsid w:val="000A6FB4"/>
    <w:rsid w:val="000B596F"/>
    <w:rsid w:val="000C348C"/>
    <w:rsid w:val="000C4F34"/>
    <w:rsid w:val="000D6206"/>
    <w:rsid w:val="000E22AE"/>
    <w:rsid w:val="000F497C"/>
    <w:rsid w:val="00105ECF"/>
    <w:rsid w:val="00112BA7"/>
    <w:rsid w:val="00136ABD"/>
    <w:rsid w:val="00141A47"/>
    <w:rsid w:val="00143451"/>
    <w:rsid w:val="00144B73"/>
    <w:rsid w:val="001458FB"/>
    <w:rsid w:val="001465F2"/>
    <w:rsid w:val="00147A0A"/>
    <w:rsid w:val="001625CA"/>
    <w:rsid w:val="001709B7"/>
    <w:rsid w:val="00177C1F"/>
    <w:rsid w:val="00187F3F"/>
    <w:rsid w:val="0019047B"/>
    <w:rsid w:val="00195FA4"/>
    <w:rsid w:val="00196631"/>
    <w:rsid w:val="001B20A8"/>
    <w:rsid w:val="001C4593"/>
    <w:rsid w:val="001D2D15"/>
    <w:rsid w:val="001D4504"/>
    <w:rsid w:val="001D751A"/>
    <w:rsid w:val="001E146A"/>
    <w:rsid w:val="00200FEF"/>
    <w:rsid w:val="00204D58"/>
    <w:rsid w:val="00207CDC"/>
    <w:rsid w:val="002119B1"/>
    <w:rsid w:val="002130C5"/>
    <w:rsid w:val="00215F7D"/>
    <w:rsid w:val="00221AEB"/>
    <w:rsid w:val="00223150"/>
    <w:rsid w:val="00223E97"/>
    <w:rsid w:val="0022452A"/>
    <w:rsid w:val="002270A7"/>
    <w:rsid w:val="00231CA9"/>
    <w:rsid w:val="00234852"/>
    <w:rsid w:val="002368BC"/>
    <w:rsid w:val="00241FE5"/>
    <w:rsid w:val="00242ED3"/>
    <w:rsid w:val="00245C9F"/>
    <w:rsid w:val="00246869"/>
    <w:rsid w:val="00254E96"/>
    <w:rsid w:val="00265828"/>
    <w:rsid w:val="002702CB"/>
    <w:rsid w:val="00286813"/>
    <w:rsid w:val="00295157"/>
    <w:rsid w:val="0029682F"/>
    <w:rsid w:val="002A2963"/>
    <w:rsid w:val="002B0483"/>
    <w:rsid w:val="002C585C"/>
    <w:rsid w:val="002E23EE"/>
    <w:rsid w:val="002E31F3"/>
    <w:rsid w:val="002F0354"/>
    <w:rsid w:val="00300710"/>
    <w:rsid w:val="003069D6"/>
    <w:rsid w:val="0030731F"/>
    <w:rsid w:val="00313D91"/>
    <w:rsid w:val="00327912"/>
    <w:rsid w:val="00331E93"/>
    <w:rsid w:val="00342839"/>
    <w:rsid w:val="003441EB"/>
    <w:rsid w:val="00344296"/>
    <w:rsid w:val="00346470"/>
    <w:rsid w:val="0034653A"/>
    <w:rsid w:val="003604F0"/>
    <w:rsid w:val="00366078"/>
    <w:rsid w:val="003679CA"/>
    <w:rsid w:val="0037574F"/>
    <w:rsid w:val="00382236"/>
    <w:rsid w:val="003861A5"/>
    <w:rsid w:val="00393077"/>
    <w:rsid w:val="00397C21"/>
    <w:rsid w:val="003A263C"/>
    <w:rsid w:val="003A2F4B"/>
    <w:rsid w:val="003A535D"/>
    <w:rsid w:val="003B0AE2"/>
    <w:rsid w:val="003B13B4"/>
    <w:rsid w:val="003C1C3D"/>
    <w:rsid w:val="003D16F3"/>
    <w:rsid w:val="003D3462"/>
    <w:rsid w:val="003D61C0"/>
    <w:rsid w:val="003D631A"/>
    <w:rsid w:val="003D7B30"/>
    <w:rsid w:val="003D7FC6"/>
    <w:rsid w:val="003E07E7"/>
    <w:rsid w:val="003E104E"/>
    <w:rsid w:val="003E10CB"/>
    <w:rsid w:val="003E2308"/>
    <w:rsid w:val="003E344F"/>
    <w:rsid w:val="003F699D"/>
    <w:rsid w:val="003F6E4F"/>
    <w:rsid w:val="003F789F"/>
    <w:rsid w:val="00401B08"/>
    <w:rsid w:val="00402363"/>
    <w:rsid w:val="0040370F"/>
    <w:rsid w:val="004053C6"/>
    <w:rsid w:val="00406A82"/>
    <w:rsid w:val="004106D2"/>
    <w:rsid w:val="00413249"/>
    <w:rsid w:val="004163F9"/>
    <w:rsid w:val="00416619"/>
    <w:rsid w:val="00417E20"/>
    <w:rsid w:val="004242F2"/>
    <w:rsid w:val="00424DE9"/>
    <w:rsid w:val="00426ADB"/>
    <w:rsid w:val="00435469"/>
    <w:rsid w:val="0044526B"/>
    <w:rsid w:val="00446C06"/>
    <w:rsid w:val="0044741E"/>
    <w:rsid w:val="0045341F"/>
    <w:rsid w:val="004560AE"/>
    <w:rsid w:val="00465707"/>
    <w:rsid w:val="00466B9D"/>
    <w:rsid w:val="0047381E"/>
    <w:rsid w:val="004805E4"/>
    <w:rsid w:val="00480A53"/>
    <w:rsid w:val="00485D7F"/>
    <w:rsid w:val="0049473E"/>
    <w:rsid w:val="004A08DA"/>
    <w:rsid w:val="004A7022"/>
    <w:rsid w:val="004B2301"/>
    <w:rsid w:val="004C7D07"/>
    <w:rsid w:val="004D0FD1"/>
    <w:rsid w:val="005017A3"/>
    <w:rsid w:val="005048C9"/>
    <w:rsid w:val="00505646"/>
    <w:rsid w:val="00520019"/>
    <w:rsid w:val="00523D16"/>
    <w:rsid w:val="0053630A"/>
    <w:rsid w:val="0054177B"/>
    <w:rsid w:val="00543E6F"/>
    <w:rsid w:val="00552F75"/>
    <w:rsid w:val="00553D27"/>
    <w:rsid w:val="00563120"/>
    <w:rsid w:val="00566643"/>
    <w:rsid w:val="00584A06"/>
    <w:rsid w:val="00585068"/>
    <w:rsid w:val="005863D8"/>
    <w:rsid w:val="005A3935"/>
    <w:rsid w:val="005A7AC9"/>
    <w:rsid w:val="005B1B74"/>
    <w:rsid w:val="005B303C"/>
    <w:rsid w:val="005C028B"/>
    <w:rsid w:val="005C18F8"/>
    <w:rsid w:val="005C32E9"/>
    <w:rsid w:val="005D2024"/>
    <w:rsid w:val="005E014B"/>
    <w:rsid w:val="005E27C5"/>
    <w:rsid w:val="005F589C"/>
    <w:rsid w:val="006028E6"/>
    <w:rsid w:val="00615502"/>
    <w:rsid w:val="00617CF7"/>
    <w:rsid w:val="006201C0"/>
    <w:rsid w:val="0062179A"/>
    <w:rsid w:val="00623CD8"/>
    <w:rsid w:val="00625B31"/>
    <w:rsid w:val="00626C52"/>
    <w:rsid w:val="0063059E"/>
    <w:rsid w:val="006354B1"/>
    <w:rsid w:val="0065115A"/>
    <w:rsid w:val="00651CAA"/>
    <w:rsid w:val="006570D6"/>
    <w:rsid w:val="00670DD2"/>
    <w:rsid w:val="00684506"/>
    <w:rsid w:val="006918B3"/>
    <w:rsid w:val="0069511B"/>
    <w:rsid w:val="006A1B54"/>
    <w:rsid w:val="006C4133"/>
    <w:rsid w:val="006C74E3"/>
    <w:rsid w:val="006D03E2"/>
    <w:rsid w:val="006D07E0"/>
    <w:rsid w:val="006D5CF7"/>
    <w:rsid w:val="006E12F7"/>
    <w:rsid w:val="006E5032"/>
    <w:rsid w:val="006E764B"/>
    <w:rsid w:val="006F1906"/>
    <w:rsid w:val="006F2EDC"/>
    <w:rsid w:val="006F3560"/>
    <w:rsid w:val="007040D5"/>
    <w:rsid w:val="00706023"/>
    <w:rsid w:val="00706B32"/>
    <w:rsid w:val="00714B99"/>
    <w:rsid w:val="00732793"/>
    <w:rsid w:val="00732ABE"/>
    <w:rsid w:val="00733437"/>
    <w:rsid w:val="007372AF"/>
    <w:rsid w:val="00750F36"/>
    <w:rsid w:val="00752D4F"/>
    <w:rsid w:val="0075667D"/>
    <w:rsid w:val="00765C41"/>
    <w:rsid w:val="007703BD"/>
    <w:rsid w:val="007727F3"/>
    <w:rsid w:val="007739E7"/>
    <w:rsid w:val="007775A0"/>
    <w:rsid w:val="00780C1C"/>
    <w:rsid w:val="00781D39"/>
    <w:rsid w:val="00782203"/>
    <w:rsid w:val="00785A6E"/>
    <w:rsid w:val="00787401"/>
    <w:rsid w:val="00793601"/>
    <w:rsid w:val="00796B34"/>
    <w:rsid w:val="007A5BCA"/>
    <w:rsid w:val="007B2EFD"/>
    <w:rsid w:val="007C4632"/>
    <w:rsid w:val="007C66AF"/>
    <w:rsid w:val="007E3FBE"/>
    <w:rsid w:val="007E4D95"/>
    <w:rsid w:val="007E6066"/>
    <w:rsid w:val="007F2B04"/>
    <w:rsid w:val="007F3FE5"/>
    <w:rsid w:val="007F49F0"/>
    <w:rsid w:val="008121ED"/>
    <w:rsid w:val="00815E4C"/>
    <w:rsid w:val="00824C96"/>
    <w:rsid w:val="00830CB9"/>
    <w:rsid w:val="008333D0"/>
    <w:rsid w:val="00835A16"/>
    <w:rsid w:val="00856342"/>
    <w:rsid w:val="00856F33"/>
    <w:rsid w:val="00864897"/>
    <w:rsid w:val="00867FD8"/>
    <w:rsid w:val="00871774"/>
    <w:rsid w:val="008756D0"/>
    <w:rsid w:val="00883A5F"/>
    <w:rsid w:val="008851AC"/>
    <w:rsid w:val="00886A30"/>
    <w:rsid w:val="0089109E"/>
    <w:rsid w:val="008A0660"/>
    <w:rsid w:val="008A4F65"/>
    <w:rsid w:val="008B2C91"/>
    <w:rsid w:val="008B2CEB"/>
    <w:rsid w:val="008B4B3F"/>
    <w:rsid w:val="008C4B44"/>
    <w:rsid w:val="008D1B75"/>
    <w:rsid w:val="008D3DD7"/>
    <w:rsid w:val="008D50D3"/>
    <w:rsid w:val="008D54F0"/>
    <w:rsid w:val="008D5DF5"/>
    <w:rsid w:val="008E532D"/>
    <w:rsid w:val="008E75D3"/>
    <w:rsid w:val="008F1422"/>
    <w:rsid w:val="008F2046"/>
    <w:rsid w:val="008F52C7"/>
    <w:rsid w:val="00907AEF"/>
    <w:rsid w:val="0091115D"/>
    <w:rsid w:val="00911C14"/>
    <w:rsid w:val="009309BE"/>
    <w:rsid w:val="00933C03"/>
    <w:rsid w:val="00940E68"/>
    <w:rsid w:val="00941AC6"/>
    <w:rsid w:val="00943137"/>
    <w:rsid w:val="009448DC"/>
    <w:rsid w:val="00966FB4"/>
    <w:rsid w:val="00970D03"/>
    <w:rsid w:val="00975D0A"/>
    <w:rsid w:val="009812F9"/>
    <w:rsid w:val="009865C8"/>
    <w:rsid w:val="00986684"/>
    <w:rsid w:val="0099680F"/>
    <w:rsid w:val="009A54D5"/>
    <w:rsid w:val="009A5699"/>
    <w:rsid w:val="009A75AE"/>
    <w:rsid w:val="009B1B92"/>
    <w:rsid w:val="009B69C0"/>
    <w:rsid w:val="009C3BCD"/>
    <w:rsid w:val="009C577D"/>
    <w:rsid w:val="009D26A2"/>
    <w:rsid w:val="009D3354"/>
    <w:rsid w:val="009F0E4F"/>
    <w:rsid w:val="009F7000"/>
    <w:rsid w:val="00A05F49"/>
    <w:rsid w:val="00A36648"/>
    <w:rsid w:val="00A3717D"/>
    <w:rsid w:val="00A42C4B"/>
    <w:rsid w:val="00A44B99"/>
    <w:rsid w:val="00A4513C"/>
    <w:rsid w:val="00A4659E"/>
    <w:rsid w:val="00A47B8A"/>
    <w:rsid w:val="00A70D53"/>
    <w:rsid w:val="00A72693"/>
    <w:rsid w:val="00A74233"/>
    <w:rsid w:val="00A86B82"/>
    <w:rsid w:val="00A92B24"/>
    <w:rsid w:val="00A95FC8"/>
    <w:rsid w:val="00AA00AF"/>
    <w:rsid w:val="00AA3BF5"/>
    <w:rsid w:val="00AB2EB2"/>
    <w:rsid w:val="00AB3A95"/>
    <w:rsid w:val="00AC1992"/>
    <w:rsid w:val="00AC4374"/>
    <w:rsid w:val="00AD0DD2"/>
    <w:rsid w:val="00AE05F2"/>
    <w:rsid w:val="00AE62F8"/>
    <w:rsid w:val="00AF7CCD"/>
    <w:rsid w:val="00B021B7"/>
    <w:rsid w:val="00B11F56"/>
    <w:rsid w:val="00B167DC"/>
    <w:rsid w:val="00B25765"/>
    <w:rsid w:val="00B33D6C"/>
    <w:rsid w:val="00B37146"/>
    <w:rsid w:val="00B37571"/>
    <w:rsid w:val="00B37EB0"/>
    <w:rsid w:val="00B53829"/>
    <w:rsid w:val="00B5384F"/>
    <w:rsid w:val="00B60599"/>
    <w:rsid w:val="00B605DC"/>
    <w:rsid w:val="00B65381"/>
    <w:rsid w:val="00B71C65"/>
    <w:rsid w:val="00B71CF0"/>
    <w:rsid w:val="00B966F7"/>
    <w:rsid w:val="00B978FF"/>
    <w:rsid w:val="00BA550E"/>
    <w:rsid w:val="00BA59E7"/>
    <w:rsid w:val="00BA6A77"/>
    <w:rsid w:val="00BD1001"/>
    <w:rsid w:val="00BD76A9"/>
    <w:rsid w:val="00BE18CC"/>
    <w:rsid w:val="00BE1F65"/>
    <w:rsid w:val="00BF7CC2"/>
    <w:rsid w:val="00C02A7D"/>
    <w:rsid w:val="00C07AB5"/>
    <w:rsid w:val="00C1446E"/>
    <w:rsid w:val="00C17200"/>
    <w:rsid w:val="00C20112"/>
    <w:rsid w:val="00C2374C"/>
    <w:rsid w:val="00C31B09"/>
    <w:rsid w:val="00C332B2"/>
    <w:rsid w:val="00C3427B"/>
    <w:rsid w:val="00C368DD"/>
    <w:rsid w:val="00C3690B"/>
    <w:rsid w:val="00C41A11"/>
    <w:rsid w:val="00C424F1"/>
    <w:rsid w:val="00C42554"/>
    <w:rsid w:val="00C4301C"/>
    <w:rsid w:val="00C449F7"/>
    <w:rsid w:val="00C47A67"/>
    <w:rsid w:val="00C5135C"/>
    <w:rsid w:val="00C53044"/>
    <w:rsid w:val="00C63B75"/>
    <w:rsid w:val="00C72CA1"/>
    <w:rsid w:val="00C754AA"/>
    <w:rsid w:val="00C961CD"/>
    <w:rsid w:val="00C97219"/>
    <w:rsid w:val="00C9757C"/>
    <w:rsid w:val="00CA28BC"/>
    <w:rsid w:val="00CA5BF7"/>
    <w:rsid w:val="00CB1AEC"/>
    <w:rsid w:val="00CB6E2D"/>
    <w:rsid w:val="00CC0105"/>
    <w:rsid w:val="00CC1A2C"/>
    <w:rsid w:val="00CD3DD1"/>
    <w:rsid w:val="00CE2CE4"/>
    <w:rsid w:val="00CE51CD"/>
    <w:rsid w:val="00D0773B"/>
    <w:rsid w:val="00D3101F"/>
    <w:rsid w:val="00D31730"/>
    <w:rsid w:val="00D43A2D"/>
    <w:rsid w:val="00D520EA"/>
    <w:rsid w:val="00D54E31"/>
    <w:rsid w:val="00D60086"/>
    <w:rsid w:val="00D6788A"/>
    <w:rsid w:val="00D73519"/>
    <w:rsid w:val="00D73D6E"/>
    <w:rsid w:val="00D76B72"/>
    <w:rsid w:val="00D91200"/>
    <w:rsid w:val="00DA03E7"/>
    <w:rsid w:val="00DA18CA"/>
    <w:rsid w:val="00DA4A1F"/>
    <w:rsid w:val="00DB137F"/>
    <w:rsid w:val="00DB35C0"/>
    <w:rsid w:val="00DB5688"/>
    <w:rsid w:val="00DB5790"/>
    <w:rsid w:val="00DB644D"/>
    <w:rsid w:val="00DC12DA"/>
    <w:rsid w:val="00DC2AAE"/>
    <w:rsid w:val="00DC6B58"/>
    <w:rsid w:val="00DC7AAA"/>
    <w:rsid w:val="00DE1FD1"/>
    <w:rsid w:val="00DE31EB"/>
    <w:rsid w:val="00DE5E2E"/>
    <w:rsid w:val="00DE673D"/>
    <w:rsid w:val="00DE72D6"/>
    <w:rsid w:val="00DF2A85"/>
    <w:rsid w:val="00DF54B9"/>
    <w:rsid w:val="00DF5E31"/>
    <w:rsid w:val="00E0405D"/>
    <w:rsid w:val="00E078D5"/>
    <w:rsid w:val="00E1565B"/>
    <w:rsid w:val="00E259CA"/>
    <w:rsid w:val="00E512D7"/>
    <w:rsid w:val="00E61A13"/>
    <w:rsid w:val="00E6313E"/>
    <w:rsid w:val="00E663FD"/>
    <w:rsid w:val="00E67BF9"/>
    <w:rsid w:val="00E72DE0"/>
    <w:rsid w:val="00E81328"/>
    <w:rsid w:val="00E8654E"/>
    <w:rsid w:val="00E97A7D"/>
    <w:rsid w:val="00EA3AA6"/>
    <w:rsid w:val="00EA7C1C"/>
    <w:rsid w:val="00EB11DD"/>
    <w:rsid w:val="00EB22B9"/>
    <w:rsid w:val="00EB765E"/>
    <w:rsid w:val="00EC1148"/>
    <w:rsid w:val="00EC5CC1"/>
    <w:rsid w:val="00ED1425"/>
    <w:rsid w:val="00EE21D7"/>
    <w:rsid w:val="00EE493E"/>
    <w:rsid w:val="00EF4989"/>
    <w:rsid w:val="00EF7F34"/>
    <w:rsid w:val="00F15C6F"/>
    <w:rsid w:val="00F162C3"/>
    <w:rsid w:val="00F2752E"/>
    <w:rsid w:val="00F426A7"/>
    <w:rsid w:val="00F4387D"/>
    <w:rsid w:val="00F467FB"/>
    <w:rsid w:val="00F560F6"/>
    <w:rsid w:val="00F57234"/>
    <w:rsid w:val="00F72102"/>
    <w:rsid w:val="00F7404C"/>
    <w:rsid w:val="00F75EF2"/>
    <w:rsid w:val="00F76885"/>
    <w:rsid w:val="00F97EB7"/>
    <w:rsid w:val="00FA7A78"/>
    <w:rsid w:val="00FB210A"/>
    <w:rsid w:val="00FC69BF"/>
    <w:rsid w:val="00FD2942"/>
    <w:rsid w:val="00FF0599"/>
    <w:rsid w:val="00FF4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5E336"/>
  <w15:docId w15:val="{D50EAAF7-AF60-4022-9DCB-610A617D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550E"/>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 w:type="character" w:styleId="UnresolvedMention">
    <w:name w:val="Unresolved Mention"/>
    <w:uiPriority w:val="99"/>
    <w:semiHidden/>
    <w:unhideWhenUsed/>
    <w:rsid w:val="004560AE"/>
    <w:rPr>
      <w:color w:val="605E5C"/>
      <w:shd w:val="clear" w:color="auto" w:fill="E1DFDD"/>
    </w:rPr>
  </w:style>
  <w:style w:type="table" w:styleId="TableGrid">
    <w:name w:val="Table Grid"/>
    <w:basedOn w:val="TableNormal"/>
    <w:uiPriority w:val="59"/>
    <w:rsid w:val="0022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19161.htm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zoz1</dc:creator>
  <cp:lastModifiedBy>Joyce, Kevin J. (CDC/DDPHSS/OS/OSI)</cp:lastModifiedBy>
  <cp:revision>3</cp:revision>
  <cp:lastPrinted>2017-10-27T15:43:00Z</cp:lastPrinted>
  <dcterms:created xsi:type="dcterms:W3CDTF">2023-09-01T16:47:00Z</dcterms:created>
  <dcterms:modified xsi:type="dcterms:W3CDTF">2023-09-01T16:50:00Z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c66526a7-fb5d-4899-a008-da6e82b5a7d8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2020-12-28T17:06:54Z</vt:lpwstr>
  </property>
  <property fmtid="{D5CDD505-2E9C-101B-9397-08002B2CF9AE}" pid="8" name="MSIP_Label_8af03ff0-41c5-4c41-b55e-fabb8fae94be_SiteId">
    <vt:lpwstr>9ce70869-60db-44fd-abe8-d2767077fc8f</vt:lpwstr>
  </property>
</Properties>
</file>