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 xml:space="preserve">The information gathered will only be used internally </w:t>
            </w:r>
            <w:r>
              <w:rPr>
                <w:rFonts w:eastAsiaTheme="minorHAnsi"/>
                <w:sz w:val="22"/>
                <w:szCs w:val="22"/>
              </w:rPr>
              <w:t>to</w:t>
            </w:r>
            <w:r>
              <w:rPr>
                <w:rFonts w:eastAsiaTheme="minorHAnsi"/>
                <w:sz w:val="22"/>
                <w:szCs w:val="22"/>
              </w:rPr>
              <w:t xml:space="preserve"> CDC.</w:t>
            </w:r>
          </w:p>
          <w:p w:rsidR="00145293" w14:paraId="1F296C70" w14:textId="71B7C9E5">
            <w:pPr>
              <w:rPr>
                <w:rFonts w:eastAsiaTheme="minorHAnsi"/>
                <w:sz w:val="22"/>
                <w:szCs w:val="22"/>
              </w:rPr>
            </w:pPr>
            <w:r>
              <w:rPr>
                <w:rFonts w:eastAsiaTheme="minorHAnsi"/>
                <w:sz w:val="22"/>
                <w:szCs w:val="22"/>
              </w:rPr>
              <w:t xml:space="preserve">[ </w:t>
            </w:r>
            <w:r w:rsidR="00E10B91">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5921849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sidR="00E10B91">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2C943F6">
            <w:pPr>
              <w:rPr>
                <w:rFonts w:eastAsiaTheme="minorHAnsi"/>
                <w:sz w:val="22"/>
                <w:szCs w:val="22"/>
              </w:rPr>
            </w:pPr>
            <w:r>
              <w:rPr>
                <w:rFonts w:eastAsiaTheme="minorHAnsi"/>
                <w:sz w:val="22"/>
                <w:szCs w:val="22"/>
              </w:rPr>
              <w:t xml:space="preserve">[  </w:t>
            </w:r>
            <w:r w:rsidR="00E10B91">
              <w:rPr>
                <w:rFonts w:eastAsiaTheme="minorHAnsi"/>
                <w:sz w:val="22"/>
                <w:szCs w:val="22"/>
              </w:rPr>
              <w:t>X</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15646D74">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sidR="00E10B91">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453D596">
            <w:pPr>
              <w:rPr>
                <w:rFonts w:eastAsiaTheme="minorHAnsi"/>
                <w:sz w:val="22"/>
                <w:szCs w:val="22"/>
              </w:rPr>
            </w:pPr>
            <w:r>
              <w:rPr>
                <w:rFonts w:eastAsiaTheme="minorHAnsi"/>
                <w:sz w:val="22"/>
                <w:szCs w:val="22"/>
              </w:rPr>
              <w:t xml:space="preserve">[ </w:t>
            </w:r>
            <w:r w:rsidR="00E10B91">
              <w:rPr>
                <w:rFonts w:eastAsiaTheme="minorHAnsi"/>
                <w:sz w:val="22"/>
                <w:szCs w:val="22"/>
              </w:rPr>
              <w:t>X</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6BAA4146">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sidR="00E10B91">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53CB2B95">
            <w:pPr>
              <w:rPr>
                <w:rFonts w:eastAsiaTheme="minorHAnsi"/>
                <w:sz w:val="22"/>
                <w:szCs w:val="22"/>
              </w:rPr>
            </w:pPr>
            <w:r>
              <w:rPr>
                <w:rFonts w:eastAsiaTheme="minorHAnsi"/>
                <w:sz w:val="22"/>
                <w:szCs w:val="22"/>
              </w:rPr>
              <w:t xml:space="preserve">[ </w:t>
            </w:r>
            <w:r w:rsidR="00E10B91">
              <w:rPr>
                <w:rFonts w:eastAsiaTheme="minorHAnsi"/>
                <w:sz w:val="22"/>
                <w:szCs w:val="22"/>
              </w:rPr>
              <w:t>X</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7BD4B08B">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sidR="00E10B91">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a current</w:t>
            </w:r>
            <w:r w:rsidR="00F60CA9">
              <w:rPr>
                <w:rFonts w:eastAsiaTheme="minorHAnsi"/>
                <w:sz w:val="22"/>
                <w:szCs w:val="22"/>
              </w:rPr>
              <w:t xml:space="preserve"> CDC </w:t>
            </w:r>
            <w:r>
              <w:rPr>
                <w:rFonts w:eastAsiaTheme="minorHAnsi"/>
                <w:sz w:val="22"/>
                <w:szCs w:val="22"/>
              </w:rPr>
              <w:t>program.</w:t>
            </w:r>
          </w:p>
          <w:p w:rsidR="00145293" w14:paraId="19592842" w14:textId="5FA203C3">
            <w:pPr>
              <w:rPr>
                <w:rFonts w:eastAsiaTheme="minorHAnsi"/>
                <w:sz w:val="22"/>
                <w:szCs w:val="22"/>
              </w:rPr>
            </w:pPr>
            <w:r>
              <w:rPr>
                <w:rFonts w:eastAsiaTheme="minorHAnsi"/>
                <w:sz w:val="22"/>
                <w:szCs w:val="22"/>
              </w:rPr>
              <w:t>[</w:t>
            </w:r>
            <w:r w:rsidR="00E10B91">
              <w:rPr>
                <w:rFonts w:eastAsiaTheme="minorHAnsi"/>
                <w:sz w:val="22"/>
                <w:szCs w:val="22"/>
              </w:rPr>
              <w:t>X</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FDD7A52">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sidR="00E10B91">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p>
          <w:p w:rsidR="00FD6D92" w:rsidRPr="003C4F49" w:rsidP="003C4F49" w14:paraId="71699EB3" w14:textId="45B5DE3A">
            <w:pPr>
              <w:rPr>
                <w:sz w:val="22"/>
                <w:szCs w:val="22"/>
              </w:rPr>
            </w:pPr>
            <w:r w:rsidRPr="003C4F49">
              <w:rPr>
                <w:rFonts w:eastAsiaTheme="minorHAnsi"/>
                <w:sz w:val="22"/>
                <w:szCs w:val="22"/>
              </w:rPr>
              <w:t>[</w:t>
            </w:r>
            <w:r w:rsidR="00E10B91">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  ]</w:t>
            </w:r>
            <w:r w:rsidRPr="003C4F49">
              <w:rPr>
                <w:rFonts w:eastAsiaTheme="minorHAnsi"/>
                <w:sz w:val="22"/>
                <w:szCs w:val="22"/>
              </w:rPr>
              <w:t xml:space="preserve">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1B4AC2DF">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26A976F8">
        <w:rPr>
          <w:b/>
          <w:bCs/>
        </w:rPr>
        <w:t>TITLE OF INFORMATION COLLECTION</w:t>
      </w:r>
      <w:r w:rsidRPr="26A976F8">
        <w:rPr>
          <w:b/>
          <w:bCs/>
        </w:rPr>
        <w:t>:</w:t>
      </w:r>
      <w:r>
        <w:t xml:space="preserve">  </w:t>
      </w:r>
      <w:r w:rsidR="3DBC875A">
        <w:t>2026</w:t>
      </w:r>
      <w:r w:rsidR="3DBC875A">
        <w:t xml:space="preserve"> CFA stakeholder survey.</w:t>
      </w:r>
    </w:p>
    <w:p w:rsidR="00B46F2C" w14:paraId="29476A1F" w14:textId="77777777"/>
    <w:p w:rsidR="00B46F2C" w14:paraId="33BEEBF9" w14:textId="77777777">
      <w:r>
        <w:rPr>
          <w:b/>
        </w:rPr>
        <w:t>PURPOSE</w:t>
      </w:r>
      <w:r w:rsidRPr="009239AA">
        <w:rPr>
          <w:b/>
        </w:rPr>
        <w:t xml:space="preserve">:  </w:t>
      </w:r>
    </w:p>
    <w:p w:rsidR="00B46F2C" w:rsidRPr="00E10B91" w14:paraId="3E6F7896" w14:textId="77777777">
      <w:pPr>
        <w:rPr>
          <w:rFonts w:asciiTheme="minorHAnsi" w:hAnsiTheme="minorHAnsi" w:cstheme="minorHAnsi"/>
        </w:rPr>
      </w:pPr>
    </w:p>
    <w:p w:rsidR="00B65DF2" w:rsidP="2C51517E" w14:paraId="6A9994AE" w14:textId="77777777">
      <w:pPr>
        <w:rPr>
          <w:rFonts w:asciiTheme="minorHAnsi" w:hAnsiTheme="minorHAnsi" w:cstheme="minorBidi"/>
        </w:rPr>
      </w:pPr>
      <w:r w:rsidRPr="1EC4DB57">
        <w:rPr>
          <w:rFonts w:asciiTheme="minorHAnsi" w:hAnsiTheme="minorHAnsi" w:cstheme="minorBidi"/>
        </w:rPr>
        <w:t xml:space="preserve">The Center for Forecasting and Outbreak Analytics (CFA) Stakeholder Survey collects qualitative feedback on CFA output from internal and external stakeholders. The survey gathers information on an individual’s role, as well as awareness and use of </w:t>
      </w:r>
      <w:r w:rsidR="00E72763">
        <w:rPr>
          <w:rFonts w:asciiTheme="minorHAnsi" w:hAnsiTheme="minorHAnsi" w:cstheme="minorBidi"/>
        </w:rPr>
        <w:t xml:space="preserve">the following </w:t>
      </w:r>
      <w:r w:rsidRPr="1EC4DB57">
        <w:rPr>
          <w:rFonts w:asciiTheme="minorHAnsi" w:hAnsiTheme="minorHAnsi" w:cstheme="minorBidi"/>
        </w:rPr>
        <w:t>CFA products</w:t>
      </w:r>
      <w:r>
        <w:rPr>
          <w:rFonts w:asciiTheme="minorHAnsi" w:hAnsiTheme="minorHAnsi" w:cstheme="minorBidi"/>
        </w:rPr>
        <w:t xml:space="preserve">: </w:t>
      </w:r>
    </w:p>
    <w:p w:rsidR="00B65DF2" w:rsidRPr="00B65DF2" w:rsidP="00B65DF2" w14:paraId="3A5A3055" w14:textId="77777777">
      <w:pPr>
        <w:pStyle w:val="ListParagraph"/>
        <w:numPr>
          <w:ilvl w:val="0"/>
          <w:numId w:val="19"/>
        </w:numPr>
        <w:rPr>
          <w:rFonts w:asciiTheme="minorHAnsi" w:hAnsiTheme="minorHAnsi" w:cstheme="minorHAnsi"/>
        </w:rPr>
      </w:pPr>
      <w:hyperlink r:id="rId8" w:history="1">
        <w:r w:rsidRPr="00B65DF2">
          <w:rPr>
            <w:rStyle w:val="Hyperlink"/>
            <w:rFonts w:asciiTheme="minorHAnsi" w:hAnsiTheme="minorHAnsi" w:cstheme="minorHAnsi"/>
            <w:color w:val="auto"/>
            <w:u w:val="none"/>
          </w:rPr>
          <w:t>Behind the Model: Interactive Measles Outbreak Simulator</w:t>
        </w:r>
      </w:hyperlink>
      <w:r w:rsidRPr="00B65DF2">
        <w:rPr>
          <w:rFonts w:asciiTheme="minorHAnsi" w:hAnsiTheme="minorHAnsi" w:cstheme="minorHAnsi"/>
        </w:rPr>
        <w:t>  </w:t>
      </w:r>
    </w:p>
    <w:p w:rsidR="00B65DF2" w:rsidRPr="00B65DF2" w:rsidP="00B65DF2" w14:paraId="30FD0D9D" w14:textId="77777777">
      <w:pPr>
        <w:pStyle w:val="ListParagraph"/>
        <w:numPr>
          <w:ilvl w:val="0"/>
          <w:numId w:val="19"/>
        </w:numPr>
        <w:rPr>
          <w:rFonts w:asciiTheme="minorHAnsi" w:hAnsiTheme="minorHAnsi" w:cstheme="minorHAnsi"/>
        </w:rPr>
      </w:pPr>
      <w:hyperlink r:id="rId9" w:history="1">
        <w:r w:rsidRPr="00B65DF2">
          <w:rPr>
            <w:rStyle w:val="Hyperlink"/>
            <w:rFonts w:asciiTheme="minorHAnsi" w:hAnsiTheme="minorHAnsi" w:cstheme="minorHAnsi"/>
            <w:color w:val="auto"/>
            <w:u w:val="none"/>
          </w:rPr>
          <w:t>Behind the Model: Nowcasting</w:t>
        </w:r>
      </w:hyperlink>
      <w:r w:rsidRPr="00B65DF2">
        <w:rPr>
          <w:rFonts w:asciiTheme="minorHAnsi" w:hAnsiTheme="minorHAnsi" w:cstheme="minorHAnsi"/>
        </w:rPr>
        <w:t xml:space="preserve"> </w:t>
      </w:r>
    </w:p>
    <w:p w:rsidR="00B65DF2" w:rsidRPr="00B65DF2" w:rsidP="00B65DF2" w14:paraId="7700069D" w14:textId="77777777">
      <w:pPr>
        <w:pStyle w:val="ListParagraph"/>
        <w:numPr>
          <w:ilvl w:val="0"/>
          <w:numId w:val="19"/>
        </w:numPr>
        <w:rPr>
          <w:rFonts w:asciiTheme="minorHAnsi" w:hAnsiTheme="minorHAnsi" w:cstheme="minorHAnsi"/>
        </w:rPr>
      </w:pPr>
      <w:hyperlink r:id="rId10" w:history="1">
        <w:r w:rsidRPr="00B65DF2">
          <w:rPr>
            <w:rStyle w:val="Hyperlink"/>
            <w:rFonts w:asciiTheme="minorHAnsi" w:hAnsiTheme="minorHAnsi" w:cstheme="minorHAnsi"/>
            <w:color w:val="auto"/>
            <w:u w:val="none"/>
          </w:rPr>
          <w:t>Behind the Model: Short-term Forecasts to Estimate the Hospital Burden of COVID-1</w:t>
        </w:r>
      </w:hyperlink>
      <w:r w:rsidRPr="00B65DF2">
        <w:rPr>
          <w:rFonts w:asciiTheme="minorHAnsi" w:hAnsiTheme="minorHAnsi" w:cstheme="minorHAnsi"/>
        </w:rPr>
        <w:t xml:space="preserve">9 </w:t>
      </w:r>
    </w:p>
    <w:p w:rsidR="00B65DF2" w:rsidRPr="00B65DF2" w:rsidP="00B65DF2" w14:paraId="570AB948" w14:textId="77777777">
      <w:pPr>
        <w:pStyle w:val="ListParagraph"/>
        <w:numPr>
          <w:ilvl w:val="0"/>
          <w:numId w:val="19"/>
        </w:numPr>
        <w:rPr>
          <w:rFonts w:asciiTheme="minorHAnsi" w:hAnsiTheme="minorHAnsi" w:cstheme="minorHAnsi"/>
        </w:rPr>
      </w:pPr>
      <w:hyperlink r:id="rId11" w:history="1">
        <w:r w:rsidRPr="00B65DF2">
          <w:rPr>
            <w:rStyle w:val="Hyperlink"/>
            <w:rFonts w:asciiTheme="minorHAnsi" w:hAnsiTheme="minorHAnsi" w:cstheme="minorHAnsi"/>
            <w:color w:val="auto"/>
            <w:u w:val="none"/>
          </w:rPr>
          <w:t>Behind the Model: How Scenario Modeling Can Inform Public Health Decision-Making</w:t>
        </w:r>
      </w:hyperlink>
      <w:r w:rsidRPr="00B65DF2">
        <w:rPr>
          <w:rFonts w:asciiTheme="minorHAnsi" w:hAnsiTheme="minorHAnsi" w:cstheme="minorHAnsi"/>
        </w:rPr>
        <w:t xml:space="preserve"> </w:t>
      </w:r>
    </w:p>
    <w:p w:rsidR="00B65DF2" w:rsidRPr="00B65DF2" w:rsidP="00B65DF2" w14:paraId="5172EFEC" w14:textId="34DDCE45">
      <w:pPr>
        <w:pStyle w:val="ListParagraph"/>
        <w:numPr>
          <w:ilvl w:val="0"/>
          <w:numId w:val="19"/>
        </w:numPr>
        <w:rPr>
          <w:rFonts w:asciiTheme="minorHAnsi" w:hAnsiTheme="minorHAnsi" w:cstheme="minorHAnsi"/>
        </w:rPr>
      </w:pPr>
      <w:hyperlink r:id="rId12" w:history="1">
        <w:r w:rsidRPr="00B65DF2">
          <w:rPr>
            <w:rStyle w:val="Hyperlink"/>
            <w:rFonts w:asciiTheme="minorHAnsi" w:hAnsiTheme="minorHAnsi" w:cstheme="minorHAnsi"/>
            <w:color w:val="auto"/>
            <w:u w:val="none"/>
          </w:rPr>
          <w:t>Technical Explainer: Infectious Disease Transmission Models</w:t>
        </w:r>
      </w:hyperlink>
      <w:r w:rsidRPr="00B65DF2">
        <w:rPr>
          <w:rFonts w:asciiTheme="minorHAnsi" w:hAnsiTheme="minorHAnsi" w:cstheme="minorHAnsi"/>
        </w:rPr>
        <w:t xml:space="preserve">  </w:t>
      </w:r>
    </w:p>
    <w:p w:rsidR="00B65DF2" w:rsidRPr="00B65DF2" w:rsidP="00B65DF2" w14:paraId="416B18BC" w14:textId="77777777">
      <w:pPr>
        <w:pStyle w:val="ListParagraph"/>
        <w:numPr>
          <w:ilvl w:val="0"/>
          <w:numId w:val="19"/>
        </w:numPr>
        <w:rPr>
          <w:rFonts w:asciiTheme="minorHAnsi" w:hAnsiTheme="minorHAnsi" w:cstheme="minorHAnsi"/>
        </w:rPr>
      </w:pPr>
      <w:r w:rsidRPr="00B65DF2">
        <w:rPr>
          <w:rFonts w:asciiTheme="minorHAnsi" w:hAnsiTheme="minorHAnsi" w:cstheme="minorHAnsi"/>
        </w:rPr>
        <w:t>COVID-19 Hospital Admissions Forecast</w:t>
      </w:r>
    </w:p>
    <w:p w:rsidR="00B65DF2" w:rsidRPr="00B65DF2" w:rsidP="00B65DF2" w14:paraId="44A0C2A2" w14:textId="77777777">
      <w:pPr>
        <w:pStyle w:val="ListParagraph"/>
        <w:numPr>
          <w:ilvl w:val="0"/>
          <w:numId w:val="19"/>
        </w:numPr>
        <w:rPr>
          <w:rFonts w:asciiTheme="minorHAnsi" w:hAnsiTheme="minorHAnsi" w:cstheme="minorHAnsi"/>
        </w:rPr>
      </w:pPr>
      <w:r w:rsidRPr="00B65DF2">
        <w:rPr>
          <w:rFonts w:asciiTheme="minorHAnsi" w:hAnsiTheme="minorHAnsi" w:cstheme="minorHAnsi"/>
        </w:rPr>
        <w:t>Current Epidemic Trends (Based on Rt</w:t>
      </w:r>
    </w:p>
    <w:p w:rsidR="00B65DF2" w:rsidRPr="00B65DF2" w:rsidP="00B65DF2" w14:paraId="66578EA0"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Respiratory Disease Season Outlook </w:t>
      </w:r>
    </w:p>
    <w:p w:rsidR="00B65DF2" w:rsidRPr="00B65DF2" w:rsidP="00B65DF2" w14:paraId="48077ECB"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Ebola Virus Disease in DRC (2025) Risk Assessment </w:t>
      </w:r>
    </w:p>
    <w:p w:rsidR="00B65DF2" w:rsidRPr="00B65DF2" w:rsidP="00B65DF2" w14:paraId="62981673"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H5N1 Risk Assessment </w:t>
      </w:r>
    </w:p>
    <w:p w:rsidR="00B65DF2" w:rsidRPr="00B65DF2" w:rsidP="00B65DF2" w14:paraId="7FA21869"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Sudan Virus Disease Risk Assessment </w:t>
      </w:r>
    </w:p>
    <w:p w:rsidR="00B65DF2" w:rsidRPr="00B65DF2" w:rsidP="00B65DF2" w14:paraId="088F5DCC"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Marburg Virus Outbreak in Rwanda Risk Assessment </w:t>
      </w:r>
    </w:p>
    <w:p w:rsidR="00B65DF2" w:rsidRPr="00B65DF2" w:rsidP="00B65DF2" w14:paraId="7F0E1314"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Marburg Virus Outbreak in Ethiopia Risk Assessment </w:t>
      </w:r>
    </w:p>
    <w:p w:rsidR="00B65DF2" w:rsidRPr="00B65DF2" w:rsidP="00B65DF2" w14:paraId="59FEDA67"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Scenario Assessment: Ebola Virus Disease in DRC (2025) </w:t>
      </w:r>
    </w:p>
    <w:p w:rsidR="00B65DF2" w:rsidRPr="00B65DF2" w:rsidP="00B65DF2" w14:paraId="210D903D"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Scenario Assessment: Ebola Outbreak Caused by the Sudan Virus in Uganda </w:t>
      </w:r>
    </w:p>
    <w:p w:rsidR="00B65DF2" w:rsidRPr="00B65DF2" w:rsidP="00B65DF2" w14:paraId="20634070"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Scenario Assessment: Marburg Virus Outbreak in Ethiopia </w:t>
      </w:r>
    </w:p>
    <w:p w:rsidR="00B65DF2" w:rsidRPr="00B65DF2" w:rsidP="00B65DF2" w14:paraId="1AABDF15" w14:textId="77777777">
      <w:pPr>
        <w:pStyle w:val="ListParagraph"/>
        <w:numPr>
          <w:ilvl w:val="0"/>
          <w:numId w:val="19"/>
        </w:numPr>
        <w:rPr>
          <w:rFonts w:asciiTheme="minorHAnsi" w:hAnsiTheme="minorHAnsi" w:cstheme="minorHAnsi"/>
        </w:rPr>
      </w:pPr>
      <w:r w:rsidRPr="00B65DF2">
        <w:rPr>
          <w:rFonts w:asciiTheme="minorHAnsi" w:hAnsiTheme="minorHAnsi" w:cstheme="minorHAnsi"/>
        </w:rPr>
        <w:t xml:space="preserve">Measles Outbreak Simulator </w:t>
      </w:r>
    </w:p>
    <w:p w:rsidR="00B65DF2" w:rsidP="2C51517E" w14:paraId="43A9A9D2" w14:textId="77777777">
      <w:pPr>
        <w:rPr>
          <w:rFonts w:asciiTheme="minorHAnsi" w:hAnsiTheme="minorHAnsi" w:cstheme="minorBidi"/>
        </w:rPr>
      </w:pPr>
    </w:p>
    <w:p w:rsidR="00B65DF2" w:rsidP="2C51517E" w14:paraId="2862E993" w14:textId="77777777">
      <w:pPr>
        <w:rPr>
          <w:rFonts w:asciiTheme="minorHAnsi" w:hAnsiTheme="minorHAnsi" w:cstheme="minorBidi"/>
        </w:rPr>
      </w:pPr>
    </w:p>
    <w:p w:rsidR="00B46F2C" w:rsidRPr="00E10B91" w:rsidP="2C51517E" w14:paraId="5571F71F" w14:textId="30D2E0D4">
      <w:pPr>
        <w:rPr>
          <w:rFonts w:asciiTheme="minorHAnsi" w:hAnsiTheme="minorHAnsi" w:cstheme="minorBidi"/>
        </w:rPr>
      </w:pPr>
      <w:r w:rsidRPr="1EC4DB57">
        <w:rPr>
          <w:rFonts w:asciiTheme="minorHAnsi" w:hAnsiTheme="minorHAnsi" w:cstheme="minorBidi"/>
        </w:rPr>
        <w:t xml:space="preserve">CFA plans to continually improve products and outreach methods based on the user feedback provided. </w:t>
      </w:r>
      <w:r w:rsidRPr="1EC4DB57">
        <w:rPr>
          <w:rFonts w:asciiTheme="minorHAnsi" w:hAnsiTheme="minorHAnsi" w:cstheme="minorBidi"/>
        </w:rPr>
        <w:t>REDCap</w:t>
      </w:r>
      <w:r w:rsidRPr="1EC4DB57">
        <w:rPr>
          <w:rFonts w:asciiTheme="minorHAnsi" w:hAnsiTheme="minorHAnsi" w:cstheme="minorBidi"/>
        </w:rPr>
        <w:t xml:space="preserve"> will be used to collect stakeholder feedback, and results will be analyzed via </w:t>
      </w:r>
      <w:r w:rsidRPr="1EC4DB57">
        <w:rPr>
          <w:rFonts w:asciiTheme="minorHAnsi" w:hAnsiTheme="minorHAnsi" w:cstheme="minorBidi"/>
        </w:rPr>
        <w:t>REDCap</w:t>
      </w:r>
      <w:r w:rsidRPr="1EC4DB57">
        <w:rPr>
          <w:rFonts w:asciiTheme="minorHAnsi" w:hAnsiTheme="minorHAnsi" w:cstheme="minorBidi"/>
        </w:rPr>
        <w:t xml:space="preserve">, Microsoft Excel and R. </w:t>
      </w:r>
      <w:r w:rsidR="00B65DF2">
        <w:rPr>
          <w:rFonts w:asciiTheme="minorHAnsi" w:hAnsiTheme="minorHAnsi" w:cstheme="minorBidi"/>
          <w:strike/>
        </w:rPr>
        <w:t xml:space="preserve">  </w:t>
      </w:r>
      <w:r w:rsidRPr="00E5298D" w:rsidR="00B65DF2">
        <w:rPr>
          <w:rFonts w:asciiTheme="minorHAnsi" w:hAnsiTheme="minorHAnsi" w:cstheme="minorBidi"/>
        </w:rPr>
        <w:t>Feedback will be used internally to improve the existing CFA products.</w:t>
      </w:r>
      <w:r w:rsidR="00B65DF2">
        <w:rPr>
          <w:rFonts w:asciiTheme="minorHAnsi" w:hAnsiTheme="minorHAnsi" w:cstheme="minorBidi"/>
          <w:strike/>
        </w:rPr>
        <w:t xml:space="preserve"> </w:t>
      </w:r>
    </w:p>
    <w:p w:rsidR="00B46F2C" w:rsidP="00434E33" w14:paraId="53CD42CA" w14:textId="307B33E0">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rsidRPr="00E10B91" w14:paraId="72E660C4" w14:textId="77777777">
      <w:pPr>
        <w:rPr>
          <w:sz w:val="18"/>
          <w:szCs w:val="18"/>
        </w:rPr>
      </w:pPr>
    </w:p>
    <w:p w:rsidR="00B46F2C" w:rsidRPr="00E10B91" w:rsidP="2C51517E" w14:paraId="0B1B36A4" w14:textId="3BDD8ADB">
      <w:pPr>
        <w:rPr>
          <w:rFonts w:asciiTheme="minorHAnsi" w:hAnsiTheme="minorHAnsi" w:cstheme="minorBidi"/>
        </w:rPr>
      </w:pPr>
      <w:r w:rsidRPr="1EC4DB57">
        <w:rPr>
          <w:rFonts w:asciiTheme="minorHAnsi" w:hAnsiTheme="minorHAnsi" w:cstheme="minorBidi"/>
        </w:rPr>
        <w:t xml:space="preserve">Data will be collected from </w:t>
      </w:r>
      <w:r w:rsidRPr="1EC4DB57" w:rsidR="6AC4A3F5">
        <w:rPr>
          <w:rFonts w:asciiTheme="minorHAnsi" w:hAnsiTheme="minorHAnsi" w:cstheme="minorBidi"/>
        </w:rPr>
        <w:t xml:space="preserve">select staff </w:t>
      </w:r>
      <w:r w:rsidRPr="1EC4DB57">
        <w:rPr>
          <w:rFonts w:asciiTheme="minorHAnsi" w:hAnsiTheme="minorHAnsi" w:cstheme="minorBidi"/>
        </w:rPr>
        <w:t xml:space="preserve">across the </w:t>
      </w:r>
      <w:r w:rsidRPr="1EC4DB57" w:rsidR="38C98863">
        <w:rPr>
          <w:rFonts w:asciiTheme="minorHAnsi" w:hAnsiTheme="minorHAnsi" w:cstheme="minorBidi"/>
        </w:rPr>
        <w:t xml:space="preserve">CDC centers, </w:t>
      </w:r>
      <w:r w:rsidRPr="1EC4DB57" w:rsidR="38C98863">
        <w:rPr>
          <w:rFonts w:asciiTheme="minorHAnsi" w:hAnsiTheme="minorHAnsi" w:cstheme="minorBidi"/>
        </w:rPr>
        <w:t>institutes, and</w:t>
      </w:r>
      <w:r w:rsidRPr="1EC4DB57" w:rsidR="38C98863">
        <w:rPr>
          <w:rFonts w:asciiTheme="minorHAnsi" w:hAnsiTheme="minorHAnsi" w:cstheme="minorBidi"/>
        </w:rPr>
        <w:t xml:space="preserve"> officers</w:t>
      </w:r>
      <w:r w:rsidRPr="1EC4DB57">
        <w:rPr>
          <w:rFonts w:asciiTheme="minorHAnsi" w:hAnsiTheme="minorHAnsi" w:cstheme="minorBidi"/>
        </w:rPr>
        <w:t xml:space="preserve"> and state, tribal, local, and territorial (STLT) partners</w:t>
      </w:r>
      <w:r w:rsidRPr="1EC4DB57" w:rsidR="6E24B5B6">
        <w:rPr>
          <w:rFonts w:asciiTheme="minorHAnsi" w:hAnsiTheme="minorHAnsi" w:cstheme="minorBidi"/>
        </w:rPr>
        <w:t xml:space="preserve"> that have worked with CFA in recent years</w:t>
      </w:r>
      <w:r w:rsidRPr="1EC4DB57">
        <w:rPr>
          <w:rFonts w:asciiTheme="minorHAnsi" w:hAnsiTheme="minorHAnsi" w:cstheme="minorBidi"/>
        </w:rPr>
        <w:t xml:space="preserve">. </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6080FFDB">
      <w:pPr>
        <w:pStyle w:val="BodyTextIndent"/>
        <w:tabs>
          <w:tab w:val="left" w:pos="360"/>
        </w:tabs>
        <w:ind w:left="0"/>
        <w:rPr>
          <w:bCs/>
          <w:sz w:val="24"/>
        </w:rPr>
      </w:pPr>
      <w:r w:rsidRPr="00F06866">
        <w:rPr>
          <w:bCs/>
          <w:sz w:val="24"/>
        </w:rPr>
        <w:t>[ ]</w:t>
      </w:r>
      <w:r w:rsidRPr="00F06866">
        <w:rPr>
          <w:bCs/>
          <w:sz w:val="24"/>
        </w:rPr>
        <w:t xml:space="preserve"> Customer Comment Card/Complaint </w:t>
      </w:r>
      <w:r w:rsidRPr="00F06866">
        <w:rPr>
          <w:bCs/>
          <w:sz w:val="24"/>
        </w:rPr>
        <w:t xml:space="preserve">Form </w:t>
      </w:r>
      <w:r w:rsidRPr="00F06866">
        <w:rPr>
          <w:bCs/>
          <w:sz w:val="24"/>
        </w:rPr>
        <w:tab/>
        <w:t>[</w:t>
      </w:r>
      <w:r w:rsidR="00E10B91">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r>
      <w:r>
        <w:rPr>
          <w:bCs/>
          <w:sz w:val="24"/>
        </w:rPr>
        <w:t>[ ]</w:t>
      </w:r>
      <w:r>
        <w:rPr>
          <w:bCs/>
          <w:sz w:val="24"/>
        </w:rPr>
        <w:t xml:space="preserve">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04559836">
      <w:r>
        <w:t>Name:_</w:t>
      </w:r>
      <w:r>
        <w:t>_</w:t>
      </w:r>
      <w:r w:rsidR="00E10B91">
        <w:t>Kayla</w:t>
      </w:r>
      <w:r w:rsidR="00E10B91">
        <w:t xml:space="preserve"> English</w:t>
      </w:r>
      <w:r>
        <w:t>______________________________________________</w:t>
      </w:r>
    </w:p>
    <w:p w:rsidR="00B46F2C" w:rsidP="009C13B9" w14:paraId="6E04CB38" w14:textId="77777777">
      <w:pPr>
        <w:pStyle w:val="ListParagraph"/>
        <w:ind w:left="360"/>
      </w:pPr>
    </w:p>
    <w:p w:rsidR="00B46F2C" w:rsidP="009C13B9" w14:paraId="48F5202D" w14:textId="77777777">
      <w:r>
        <w:t xml:space="preserve">To </w:t>
      </w:r>
      <w:r>
        <w:t>assist</w:t>
      </w:r>
      <w:r>
        <w:t xml:space="preserve"> review, please provide answers to the following </w:t>
      </w:r>
      <w:r>
        <w:t>question</w:t>
      </w:r>
      <w:r>
        <w:t>:</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06FEAEF9">
      <w:pPr>
        <w:pStyle w:val="ListParagraph"/>
        <w:numPr>
          <w:ilvl w:val="0"/>
          <w:numId w:val="18"/>
        </w:numPr>
      </w:pPr>
      <w:r>
        <w:t xml:space="preserve">Is personally identifiable information (PII) collected?  </w:t>
      </w:r>
      <w:r>
        <w:t>[  ]</w:t>
      </w:r>
      <w:r>
        <w:t xml:space="preserve"> </w:t>
      </w:r>
      <w:r>
        <w:t>Yes  [</w:t>
      </w:r>
      <w:r w:rsidR="00E10B91">
        <w:t>X</w:t>
      </w:r>
      <w:r>
        <w:t>]  No</w:t>
      </w:r>
      <w:r>
        <w:t xml:space="preserve"> </w:t>
      </w:r>
    </w:p>
    <w:p w:rsidR="00B46F2C" w:rsidP="00C86E91" w14:paraId="059C2C9E" w14:textId="3FEA279F">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w:t>
      </w:r>
      <w:r>
        <w:t>Yes</w:t>
      </w:r>
      <w:r>
        <w:t xml:space="preserve"> [</w:t>
      </w:r>
      <w:r w:rsidR="00E10B91">
        <w:t>X</w:t>
      </w:r>
      <w:r>
        <w:t xml:space="preserve">] No   </w:t>
      </w:r>
    </w:p>
    <w:p w:rsidR="00B46F2C" w:rsidP="00C86E91" w14:paraId="53684D4A" w14:textId="1B2AFABA">
      <w:pPr>
        <w:pStyle w:val="ListParagraph"/>
        <w:numPr>
          <w:ilvl w:val="0"/>
          <w:numId w:val="18"/>
        </w:numPr>
      </w:pPr>
      <w:r>
        <w:t xml:space="preserve">If Applicable, has a System or Records Notice been published?  </w:t>
      </w:r>
      <w:r>
        <w:t>[  ]</w:t>
      </w:r>
      <w:r>
        <w:t xml:space="preserve"> </w:t>
      </w:r>
      <w:r>
        <w:t>Yes  [</w:t>
      </w:r>
      <w:r w:rsidR="00E10B91">
        <w:t>X]</w:t>
      </w:r>
      <w:r>
        <w:t xml:space="preserve">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086634BC">
      <w:r>
        <w:t xml:space="preserve">Is an incentive (e.g., money or reimbursement of expenses, token of appreciation) provided to participants?  </w:t>
      </w:r>
      <w:r>
        <w:t>[  ]</w:t>
      </w:r>
      <w:r>
        <w:t xml:space="preserve"> </w:t>
      </w:r>
      <w:r>
        <w:t>Yes</w:t>
      </w:r>
      <w:r>
        <w:t xml:space="preserve"> [</w:t>
      </w:r>
      <w:r w:rsidR="00E10B91">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BFDF9FE" w14:textId="77777777">
      <w:pPr>
        <w:rPr>
          <w:b/>
        </w:rPr>
      </w:pPr>
    </w:p>
    <w:p w:rsidR="00B46F2C" w:rsidRPr="00031D6D" w:rsidP="1EC4DB57" w14:paraId="396C6BC7" w14:textId="77777777">
      <w:pPr>
        <w:rPr>
          <w:i/>
          <w:iCs/>
        </w:rPr>
      </w:pPr>
      <w:r w:rsidRPr="1EC4DB57">
        <w:rPr>
          <w:b/>
          <w:bCs/>
        </w:rPr>
        <w:t>BURDEN HOURS</w:t>
      </w:r>
      <w:r>
        <w:t xml:space="preserve"> </w:t>
      </w:r>
    </w:p>
    <w:p w:rsidR="1DB44DA9" w14:paraId="19C8C6EA" w14:textId="4263B356">
      <w:r>
        <w:t>We expect the survey to take no longer than 1</w:t>
      </w:r>
      <w:r w:rsidR="003D4BCD">
        <w:t>2</w:t>
      </w:r>
      <w:r>
        <w:t xml:space="preserve"> minutes per respondent. The number of respondents listed below represents an upper estimate of the number of expected responses</w:t>
      </w:r>
      <w:r w:rsidR="0DBC4D67">
        <w:t xml:space="preserve"> and is more than double the number of responses to a similar survey completed in 2024</w:t>
      </w:r>
      <w:r>
        <w:t>.</w:t>
      </w:r>
    </w:p>
    <w:p w:rsidR="00B46F2C" w:rsidRPr="000D49BF"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269"/>
        <w:gridCol w:w="1859"/>
        <w:gridCol w:w="1859"/>
        <w:gridCol w:w="1405"/>
      </w:tblGrid>
      <w:tr w14:paraId="1B73BC2F" w14:textId="77777777" w:rsidTr="1EC4DB5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538" w:type="dxa"/>
            <w:gridSpan w:val="2"/>
          </w:tcPr>
          <w:p w:rsidR="00B46F2C" w:rsidP="1EC4DB57" w14:paraId="434F721C" w14:textId="6ED2CCCC">
            <w:pPr>
              <w:rPr>
                <w:b/>
                <w:bCs/>
              </w:rPr>
            </w:pPr>
            <w:r w:rsidRPr="1EC4DB57">
              <w:rPr>
                <w:b/>
                <w:bCs/>
              </w:rPr>
              <w:t xml:space="preserve">Category of Respondent </w:t>
            </w:r>
          </w:p>
        </w:tc>
        <w:tc>
          <w:tcPr>
            <w:tcW w:w="1859" w:type="dxa"/>
          </w:tcPr>
          <w:p w:rsidR="00B46F2C" w:rsidRPr="000D49BF" w:rsidP="00843796" w14:paraId="0DE1B170" w14:textId="77777777">
            <w:pPr>
              <w:rPr>
                <w:b/>
              </w:rPr>
            </w:pPr>
            <w:r w:rsidRPr="000D49BF">
              <w:rPr>
                <w:b/>
              </w:rPr>
              <w:t>No. of Respondents</w:t>
            </w:r>
          </w:p>
        </w:tc>
        <w:tc>
          <w:tcPr>
            <w:tcW w:w="1859" w:type="dxa"/>
          </w:tcPr>
          <w:p w:rsidR="00B46F2C" w:rsidRPr="000D49BF" w:rsidP="0E2F012E" w14:paraId="2660CDBC" w14:textId="40795AB0">
            <w:pPr>
              <w:rPr>
                <w:b/>
                <w:bCs/>
              </w:rPr>
            </w:pPr>
            <w:r w:rsidRPr="0E2F012E">
              <w:rPr>
                <w:b/>
                <w:bCs/>
              </w:rPr>
              <w:t>Participation Time</w:t>
            </w:r>
            <w:r w:rsidRPr="0E2F012E" w:rsidR="7DCF7A7C">
              <w:rPr>
                <w:b/>
                <w:bCs/>
              </w:rPr>
              <w:t xml:space="preserve"> (hours)</w:t>
            </w:r>
          </w:p>
        </w:tc>
        <w:tc>
          <w:tcPr>
            <w:tcW w:w="1405" w:type="dxa"/>
          </w:tcPr>
          <w:p w:rsidR="00B46F2C" w:rsidRPr="000D49BF" w:rsidP="0E2F012E" w14:paraId="6AC17A0A" w14:textId="26A9E702">
            <w:pPr>
              <w:rPr>
                <w:b/>
                <w:bCs/>
              </w:rPr>
            </w:pPr>
            <w:r w:rsidRPr="0E2F012E">
              <w:rPr>
                <w:b/>
                <w:bCs/>
              </w:rPr>
              <w:t>Burden</w:t>
            </w:r>
            <w:r w:rsidRPr="0E2F012E" w:rsidR="4259A961">
              <w:rPr>
                <w:b/>
                <w:bCs/>
              </w:rPr>
              <w:t xml:space="preserve"> (in hours)</w:t>
            </w:r>
          </w:p>
        </w:tc>
      </w:tr>
      <w:tr w14:paraId="0FB0D82A" w14:textId="77777777" w:rsidTr="1EC4DB57">
        <w:tblPrEx>
          <w:tblW w:w="9661" w:type="dxa"/>
          <w:tblLayout w:type="fixed"/>
          <w:tblLook w:val="01E0"/>
        </w:tblPrEx>
        <w:trPr>
          <w:trHeight w:val="274"/>
        </w:trPr>
        <w:tc>
          <w:tcPr>
            <w:tcW w:w="2269" w:type="dxa"/>
          </w:tcPr>
          <w:p w:rsidR="031D76DB" w:rsidP="26A976F8" w14:paraId="3E4AA57B" w14:textId="249CBCA5">
            <w:r>
              <w:t>CDC employee</w:t>
            </w:r>
          </w:p>
        </w:tc>
        <w:tc>
          <w:tcPr>
            <w:tcW w:w="2269" w:type="dxa"/>
          </w:tcPr>
          <w:p w:rsidR="00B46F2C" w:rsidRPr="00547881" w:rsidP="00843796" w14:paraId="420715CA" w14:textId="3AD6DBC6">
            <w:r>
              <w:t>Agency public health r</w:t>
            </w:r>
            <w:r w:rsidR="337AAF23">
              <w:t>esponse i</w:t>
            </w:r>
            <w:r w:rsidR="00C46760">
              <w:t>ncident manag</w:t>
            </w:r>
            <w:r w:rsidR="12488B9D">
              <w:t>ement leadership</w:t>
            </w:r>
          </w:p>
        </w:tc>
        <w:tc>
          <w:tcPr>
            <w:tcW w:w="1859" w:type="dxa"/>
          </w:tcPr>
          <w:p w:rsidR="00B46F2C" w:rsidRPr="00547881" w:rsidP="0E2F012E" w14:paraId="24DBC17F" w14:textId="5E5D8AA2">
            <w:r>
              <w:t>5</w:t>
            </w:r>
          </w:p>
        </w:tc>
        <w:tc>
          <w:tcPr>
            <w:tcW w:w="1859" w:type="dxa"/>
          </w:tcPr>
          <w:p w:rsidR="00B46F2C" w:rsidRPr="001F1A8F" w:rsidP="0E2F012E" w14:paraId="1D9AFA2F" w14:textId="6F2D4374">
            <w:r>
              <w:t>0.2</w:t>
            </w:r>
            <w:r w:rsidR="1BCD5ECA">
              <w:t>0</w:t>
            </w:r>
          </w:p>
        </w:tc>
        <w:tc>
          <w:tcPr>
            <w:tcW w:w="1405" w:type="dxa"/>
          </w:tcPr>
          <w:p w:rsidR="00B46F2C" w:rsidRPr="000D49BF" w:rsidP="00843796" w14:paraId="5D7C96C4" w14:textId="5D64B212">
            <w:r>
              <w:t>1</w:t>
            </w:r>
          </w:p>
        </w:tc>
      </w:tr>
      <w:tr w14:paraId="4C029DE4" w14:textId="77777777" w:rsidTr="1EC4DB57">
        <w:tblPrEx>
          <w:tblW w:w="9661" w:type="dxa"/>
          <w:tblLayout w:type="fixed"/>
          <w:tblLook w:val="01E0"/>
        </w:tblPrEx>
        <w:trPr>
          <w:trHeight w:val="274"/>
        </w:trPr>
        <w:tc>
          <w:tcPr>
            <w:tcW w:w="2269" w:type="dxa"/>
          </w:tcPr>
          <w:p w:rsidR="26A976F8" w:rsidP="26A976F8" w14:paraId="54F38A4F" w14:textId="554F4115"/>
        </w:tc>
        <w:tc>
          <w:tcPr>
            <w:tcW w:w="2269" w:type="dxa"/>
          </w:tcPr>
          <w:p w:rsidR="00C46760" w:rsidRPr="00547881" w:rsidP="26A976F8" w14:paraId="18E7A454" w14:textId="3B7A68DA">
            <w:r>
              <w:t xml:space="preserve"> </w:t>
            </w:r>
            <w:r w:rsidR="00A81DA1">
              <w:t>Agency public health r</w:t>
            </w:r>
            <w:r>
              <w:t>esponse taskforce</w:t>
            </w:r>
            <w:r w:rsidR="00547881">
              <w:t xml:space="preserve"> lead</w:t>
            </w:r>
          </w:p>
        </w:tc>
        <w:tc>
          <w:tcPr>
            <w:tcW w:w="1859" w:type="dxa"/>
          </w:tcPr>
          <w:p w:rsidR="00C46760" w:rsidRPr="00547881" w:rsidP="0E2F012E" w14:paraId="0997D6BA" w14:textId="177DA90D">
            <w:r>
              <w:t>10</w:t>
            </w:r>
          </w:p>
        </w:tc>
        <w:tc>
          <w:tcPr>
            <w:tcW w:w="1859" w:type="dxa"/>
          </w:tcPr>
          <w:p w:rsidR="00C46760" w:rsidRPr="001F1A8F" w:rsidP="26A976F8" w14:paraId="2115577E" w14:textId="10F30260">
            <w:r>
              <w:t>0.2</w:t>
            </w:r>
            <w:r w:rsidR="007B4741">
              <w:t>0</w:t>
            </w:r>
          </w:p>
        </w:tc>
        <w:tc>
          <w:tcPr>
            <w:tcW w:w="1405" w:type="dxa"/>
          </w:tcPr>
          <w:p w:rsidR="00C46760" w:rsidRPr="000D49BF" w:rsidP="00843796" w14:paraId="4ACA3FE9" w14:textId="36A22277">
            <w:r>
              <w:t>2</w:t>
            </w:r>
          </w:p>
        </w:tc>
      </w:tr>
      <w:tr w14:paraId="023758D9" w14:textId="77777777" w:rsidTr="1EC4DB57">
        <w:tblPrEx>
          <w:tblW w:w="9661" w:type="dxa"/>
          <w:tblLayout w:type="fixed"/>
          <w:tblLook w:val="01E0"/>
        </w:tblPrEx>
        <w:trPr>
          <w:trHeight w:val="274"/>
        </w:trPr>
        <w:tc>
          <w:tcPr>
            <w:tcW w:w="2269" w:type="dxa"/>
          </w:tcPr>
          <w:p w:rsidR="26A976F8" w:rsidP="26A976F8" w14:paraId="6BD8C6FC" w14:textId="1342122E"/>
        </w:tc>
        <w:tc>
          <w:tcPr>
            <w:tcW w:w="2269" w:type="dxa"/>
          </w:tcPr>
          <w:p w:rsidR="00C46760" w:rsidRPr="00547881" w:rsidP="26A976F8" w14:paraId="2A0D7E47" w14:textId="0CACFE7E">
            <w:r>
              <w:t xml:space="preserve"> </w:t>
            </w:r>
            <w:r w:rsidR="00A81DA1">
              <w:t>Agency public health r</w:t>
            </w:r>
            <w:r>
              <w:t>esponse t</w:t>
            </w:r>
            <w:r w:rsidR="00547881">
              <w:t>eam lead</w:t>
            </w:r>
          </w:p>
        </w:tc>
        <w:tc>
          <w:tcPr>
            <w:tcW w:w="1859" w:type="dxa"/>
          </w:tcPr>
          <w:p w:rsidR="00C46760" w:rsidRPr="00547881" w:rsidP="0E2F012E" w14:paraId="62B23013" w14:textId="6DC96F0C">
            <w:r>
              <w:t>15</w:t>
            </w:r>
          </w:p>
        </w:tc>
        <w:tc>
          <w:tcPr>
            <w:tcW w:w="1859" w:type="dxa"/>
          </w:tcPr>
          <w:p w:rsidR="00C46760" w:rsidRPr="001F1A8F" w:rsidP="26A976F8" w14:paraId="68EB3146" w14:textId="1C2DAACE">
            <w:r>
              <w:t>0.2</w:t>
            </w:r>
            <w:r w:rsidR="007B4741">
              <w:t>0</w:t>
            </w:r>
          </w:p>
        </w:tc>
        <w:tc>
          <w:tcPr>
            <w:tcW w:w="1405" w:type="dxa"/>
          </w:tcPr>
          <w:p w:rsidR="00C46760" w:rsidRPr="000D49BF" w:rsidP="00843796" w14:paraId="21CE4B9C" w14:textId="1F76264E">
            <w:r>
              <w:t>3</w:t>
            </w:r>
          </w:p>
        </w:tc>
      </w:tr>
      <w:tr w14:paraId="58B43E13" w14:textId="77777777" w:rsidTr="1EC4DB57">
        <w:tblPrEx>
          <w:tblW w:w="9661" w:type="dxa"/>
          <w:tblLayout w:type="fixed"/>
          <w:tblLook w:val="01E0"/>
        </w:tblPrEx>
        <w:trPr>
          <w:trHeight w:val="274"/>
        </w:trPr>
        <w:tc>
          <w:tcPr>
            <w:tcW w:w="2269" w:type="dxa"/>
          </w:tcPr>
          <w:p w:rsidR="26A976F8" w:rsidP="26A976F8" w14:paraId="4841D17E" w14:textId="2D3AD32B"/>
        </w:tc>
        <w:tc>
          <w:tcPr>
            <w:tcW w:w="2269" w:type="dxa"/>
          </w:tcPr>
          <w:p w:rsidR="00C46760" w:rsidRPr="00547881" w:rsidP="00843796" w14:paraId="425BE615" w14:textId="70BBFCA0">
            <w:r>
              <w:t>Agency public health r</w:t>
            </w:r>
            <w:r w:rsidR="353D3E2A">
              <w:t>esponse t</w:t>
            </w:r>
            <w:r w:rsidR="00547881">
              <w:t>eam member</w:t>
            </w:r>
          </w:p>
        </w:tc>
        <w:tc>
          <w:tcPr>
            <w:tcW w:w="1859" w:type="dxa"/>
          </w:tcPr>
          <w:p w:rsidR="00C46760" w:rsidRPr="00547881" w:rsidP="0E2F012E" w14:paraId="5A967B69" w14:textId="205239C8">
            <w:r>
              <w:t>20</w:t>
            </w:r>
          </w:p>
        </w:tc>
        <w:tc>
          <w:tcPr>
            <w:tcW w:w="1859" w:type="dxa"/>
          </w:tcPr>
          <w:p w:rsidR="00C46760" w:rsidRPr="001F1A8F" w:rsidP="26A976F8" w14:paraId="5A09456F" w14:textId="3A0B9001">
            <w:r>
              <w:t>0.2</w:t>
            </w:r>
            <w:r w:rsidR="46103511">
              <w:t>0</w:t>
            </w:r>
          </w:p>
        </w:tc>
        <w:tc>
          <w:tcPr>
            <w:tcW w:w="1405" w:type="dxa"/>
          </w:tcPr>
          <w:p w:rsidR="00C46760" w:rsidRPr="000D49BF" w:rsidP="00843796" w14:paraId="30B98872" w14:textId="40F14BFB">
            <w:r>
              <w:t>4</w:t>
            </w:r>
          </w:p>
        </w:tc>
      </w:tr>
      <w:tr w14:paraId="166228E2" w14:textId="77777777" w:rsidTr="1EC4DB57">
        <w:tblPrEx>
          <w:tblW w:w="9661" w:type="dxa"/>
          <w:tblLayout w:type="fixed"/>
          <w:tblLook w:val="01E0"/>
        </w:tblPrEx>
        <w:trPr>
          <w:trHeight w:val="274"/>
        </w:trPr>
        <w:tc>
          <w:tcPr>
            <w:tcW w:w="2269" w:type="dxa"/>
          </w:tcPr>
          <w:p w:rsidR="26A976F8" w:rsidP="26A976F8" w14:paraId="6D304215" w14:textId="078EDA7B"/>
        </w:tc>
        <w:tc>
          <w:tcPr>
            <w:tcW w:w="2269" w:type="dxa"/>
          </w:tcPr>
          <w:p w:rsidR="001F1A8F" w:rsidRPr="00547881" w:rsidP="00843796" w14:paraId="243B7B0F" w14:textId="1E12C676">
            <w:r>
              <w:t>N</w:t>
            </w:r>
            <w:r>
              <w:t>on-response</w:t>
            </w:r>
          </w:p>
        </w:tc>
        <w:tc>
          <w:tcPr>
            <w:tcW w:w="1859" w:type="dxa"/>
          </w:tcPr>
          <w:p w:rsidR="001F1A8F" w:rsidP="0E2F012E" w14:paraId="18ECC3CC" w14:textId="7C538E04">
            <w:r>
              <w:t>20</w:t>
            </w:r>
          </w:p>
        </w:tc>
        <w:tc>
          <w:tcPr>
            <w:tcW w:w="1859" w:type="dxa"/>
          </w:tcPr>
          <w:p w:rsidR="001F1A8F" w:rsidRPr="001F1A8F" w:rsidP="26A976F8" w14:paraId="4E201850" w14:textId="34480DFA">
            <w:r>
              <w:t>0.2</w:t>
            </w:r>
            <w:r w:rsidR="46103511">
              <w:t>0</w:t>
            </w:r>
          </w:p>
        </w:tc>
        <w:tc>
          <w:tcPr>
            <w:tcW w:w="1405" w:type="dxa"/>
          </w:tcPr>
          <w:p w:rsidR="001F1A8F" w:rsidRPr="000D49BF" w:rsidP="00843796" w14:paraId="40519F89" w14:textId="1087DE03">
            <w:r>
              <w:t>4</w:t>
            </w:r>
          </w:p>
        </w:tc>
      </w:tr>
      <w:tr w14:paraId="3017ED23" w14:textId="77777777" w:rsidTr="1EC4DB57">
        <w:tblPrEx>
          <w:tblW w:w="9661" w:type="dxa"/>
          <w:tblLayout w:type="fixed"/>
          <w:tblLook w:val="01E0"/>
        </w:tblPrEx>
        <w:trPr>
          <w:trHeight w:val="274"/>
        </w:trPr>
        <w:tc>
          <w:tcPr>
            <w:tcW w:w="2269" w:type="dxa"/>
          </w:tcPr>
          <w:p w:rsidR="0BFD3709" w:rsidP="26A976F8" w14:paraId="4BB02376" w14:textId="7D3C6CCE">
            <w:r>
              <w:t>Federal employee</w:t>
            </w:r>
          </w:p>
        </w:tc>
        <w:tc>
          <w:tcPr>
            <w:tcW w:w="2269" w:type="dxa"/>
          </w:tcPr>
          <w:p w:rsidR="00D36F36" w:rsidRPr="00547881" w:rsidP="00843796" w14:paraId="3E1465FA" w14:textId="77E49872">
            <w:r>
              <w:t>Non-CDC federal government employee</w:t>
            </w:r>
          </w:p>
        </w:tc>
        <w:tc>
          <w:tcPr>
            <w:tcW w:w="1859" w:type="dxa"/>
          </w:tcPr>
          <w:p w:rsidR="00D36F36" w:rsidRPr="00547881" w:rsidP="0E2F012E" w14:paraId="2F990808" w14:textId="2AFE2504">
            <w:r>
              <w:t>10</w:t>
            </w:r>
          </w:p>
        </w:tc>
        <w:tc>
          <w:tcPr>
            <w:tcW w:w="1859" w:type="dxa"/>
          </w:tcPr>
          <w:p w:rsidR="00D36F36" w:rsidRPr="001F1A8F" w:rsidP="26A976F8" w14:paraId="1CD5D713" w14:textId="4D807A60">
            <w:r>
              <w:t>0.2</w:t>
            </w:r>
            <w:r w:rsidR="2FA1875E">
              <w:t>0</w:t>
            </w:r>
          </w:p>
        </w:tc>
        <w:tc>
          <w:tcPr>
            <w:tcW w:w="1405" w:type="dxa"/>
          </w:tcPr>
          <w:p w:rsidR="00D36F36" w:rsidRPr="000D49BF" w:rsidP="00843796" w14:paraId="52A8C845" w14:textId="03395113">
            <w:r>
              <w:t>2</w:t>
            </w:r>
          </w:p>
        </w:tc>
      </w:tr>
      <w:tr w14:paraId="5F6B02D5" w14:textId="77777777" w:rsidTr="1EC4DB57">
        <w:tblPrEx>
          <w:tblW w:w="9661" w:type="dxa"/>
          <w:tblLayout w:type="fixed"/>
          <w:tblLook w:val="01E0"/>
        </w:tblPrEx>
        <w:trPr>
          <w:trHeight w:val="274"/>
        </w:trPr>
        <w:tc>
          <w:tcPr>
            <w:tcW w:w="2269" w:type="dxa"/>
          </w:tcPr>
          <w:p w:rsidR="77CB544E" w:rsidP="26A976F8" w14:paraId="3CBDB478" w14:textId="31E1EAF3">
            <w:r>
              <w:t>STLT employee</w:t>
            </w:r>
          </w:p>
        </w:tc>
        <w:tc>
          <w:tcPr>
            <w:tcW w:w="2269" w:type="dxa"/>
          </w:tcPr>
          <w:p w:rsidR="00B46F2C" w:rsidRPr="00547881" w:rsidP="00843796" w14:paraId="0E617982" w14:textId="42480045">
            <w:r>
              <w:t xml:space="preserve"> Public health executive leadership</w:t>
            </w:r>
          </w:p>
        </w:tc>
        <w:tc>
          <w:tcPr>
            <w:tcW w:w="1859" w:type="dxa"/>
          </w:tcPr>
          <w:p w:rsidR="00B46F2C" w:rsidRPr="00547881" w:rsidP="00843796" w14:paraId="4C7F372F" w14:textId="2FE482FC">
            <w:r>
              <w:t>50</w:t>
            </w:r>
          </w:p>
        </w:tc>
        <w:tc>
          <w:tcPr>
            <w:tcW w:w="1859" w:type="dxa"/>
          </w:tcPr>
          <w:p w:rsidR="00B46F2C" w:rsidRPr="001F1A8F" w:rsidP="26A976F8" w14:paraId="4774E070" w14:textId="22D9A31E">
            <w:r>
              <w:t>0.2</w:t>
            </w:r>
            <w:r w:rsidR="32B7025D">
              <w:t>0</w:t>
            </w:r>
          </w:p>
        </w:tc>
        <w:tc>
          <w:tcPr>
            <w:tcW w:w="1405" w:type="dxa"/>
          </w:tcPr>
          <w:p w:rsidR="00B46F2C" w:rsidRPr="000D49BF" w:rsidP="00843796" w14:paraId="69D304C6" w14:textId="100E6B1F">
            <w:r>
              <w:t>1</w:t>
            </w:r>
            <w:r w:rsidR="544BA242">
              <w:t>0</w:t>
            </w:r>
          </w:p>
        </w:tc>
      </w:tr>
      <w:tr w14:paraId="19053425" w14:textId="77777777" w:rsidTr="1EC4DB57">
        <w:tblPrEx>
          <w:tblW w:w="9661" w:type="dxa"/>
          <w:tblLayout w:type="fixed"/>
          <w:tblLook w:val="01E0"/>
        </w:tblPrEx>
        <w:trPr>
          <w:trHeight w:val="274"/>
        </w:trPr>
        <w:tc>
          <w:tcPr>
            <w:tcW w:w="2269" w:type="dxa"/>
          </w:tcPr>
          <w:p w:rsidR="26A976F8" w:rsidP="26A976F8" w14:paraId="2366CC87" w14:textId="56AE8EEF"/>
        </w:tc>
        <w:tc>
          <w:tcPr>
            <w:tcW w:w="2269" w:type="dxa"/>
          </w:tcPr>
          <w:p w:rsidR="00480981" w:rsidRPr="00547881" w:rsidP="00843796" w14:paraId="1EF86E79" w14:textId="4FDDCC12">
            <w:r>
              <w:t xml:space="preserve"> </w:t>
            </w:r>
            <w:r w:rsidR="00303DEC">
              <w:t>Public health department staff</w:t>
            </w:r>
          </w:p>
        </w:tc>
        <w:tc>
          <w:tcPr>
            <w:tcW w:w="1859" w:type="dxa"/>
          </w:tcPr>
          <w:p w:rsidR="00480981" w:rsidRPr="00547881" w:rsidP="00843796" w14:paraId="3BB2E5CF" w14:textId="39374B3A">
            <w:r>
              <w:t>75</w:t>
            </w:r>
          </w:p>
        </w:tc>
        <w:tc>
          <w:tcPr>
            <w:tcW w:w="1859" w:type="dxa"/>
          </w:tcPr>
          <w:p w:rsidR="00480981" w:rsidRPr="001F1A8F" w:rsidP="26A976F8" w14:paraId="59270579" w14:textId="503E39A0">
            <w:r>
              <w:t>0.2</w:t>
            </w:r>
            <w:r w:rsidR="2D27B971">
              <w:t>0</w:t>
            </w:r>
          </w:p>
        </w:tc>
        <w:tc>
          <w:tcPr>
            <w:tcW w:w="1405" w:type="dxa"/>
          </w:tcPr>
          <w:p w:rsidR="00480981" w:rsidRPr="000D49BF" w:rsidP="00843796" w14:paraId="4909D38A" w14:textId="7902F30D">
            <w:r>
              <w:t>1</w:t>
            </w:r>
            <w:r w:rsidR="68B892CC">
              <w:t>5</w:t>
            </w:r>
          </w:p>
        </w:tc>
      </w:tr>
      <w:tr w14:paraId="440D7C10" w14:textId="77777777" w:rsidTr="1EC4DB57">
        <w:tblPrEx>
          <w:tblW w:w="9661" w:type="dxa"/>
          <w:tblLayout w:type="fixed"/>
          <w:tblLook w:val="01E0"/>
        </w:tblPrEx>
        <w:trPr>
          <w:trHeight w:val="289"/>
        </w:trPr>
        <w:tc>
          <w:tcPr>
            <w:tcW w:w="2269" w:type="dxa"/>
          </w:tcPr>
          <w:p w:rsidR="26A976F8" w:rsidP="26A976F8" w14:paraId="31A7A19E" w14:textId="498B3BA2">
            <w:pPr>
              <w:rPr>
                <w:b/>
                <w:bCs/>
              </w:rPr>
            </w:pPr>
          </w:p>
        </w:tc>
        <w:tc>
          <w:tcPr>
            <w:tcW w:w="2269" w:type="dxa"/>
          </w:tcPr>
          <w:p w:rsidR="00B46F2C" w:rsidRPr="000D49BF" w:rsidP="00843796" w14:paraId="27589C97" w14:textId="77777777">
            <w:pPr>
              <w:rPr>
                <w:b/>
              </w:rPr>
            </w:pPr>
            <w:r w:rsidRPr="000D49BF">
              <w:rPr>
                <w:b/>
              </w:rPr>
              <w:t>Totals</w:t>
            </w:r>
          </w:p>
        </w:tc>
        <w:tc>
          <w:tcPr>
            <w:tcW w:w="1859" w:type="dxa"/>
          </w:tcPr>
          <w:p w:rsidR="00B46F2C" w:rsidRPr="000D49BF" w:rsidP="26A976F8" w14:paraId="0D7C2653" w14:textId="2FEADA2E">
            <w:pPr>
              <w:rPr>
                <w:b/>
                <w:bCs/>
              </w:rPr>
            </w:pPr>
            <w:r w:rsidRPr="1EC4DB57">
              <w:rPr>
                <w:b/>
                <w:bCs/>
              </w:rPr>
              <w:t>205</w:t>
            </w:r>
          </w:p>
        </w:tc>
        <w:tc>
          <w:tcPr>
            <w:tcW w:w="1859" w:type="dxa"/>
          </w:tcPr>
          <w:p w:rsidR="00B46F2C" w:rsidRPr="000D49BF" w:rsidP="00843796" w14:paraId="6ED6ECFB" w14:textId="77777777"/>
        </w:tc>
        <w:tc>
          <w:tcPr>
            <w:tcW w:w="1405" w:type="dxa"/>
          </w:tcPr>
          <w:p w:rsidR="00B46F2C" w:rsidRPr="000D49BF" w:rsidP="26A976F8" w14:paraId="464E472E" w14:textId="27A4389B">
            <w:pPr>
              <w:rPr>
                <w:b/>
                <w:bCs/>
              </w:rPr>
            </w:pPr>
            <w:r w:rsidRPr="1EC4DB57">
              <w:rPr>
                <w:b/>
                <w:bCs/>
              </w:rPr>
              <w:t xml:space="preserve">41 </w:t>
            </w:r>
          </w:p>
        </w:tc>
      </w:tr>
    </w:tbl>
    <w:p w:rsidR="00B46F2C" w:rsidRPr="000D49BF" w:rsidP="00F3170F" w14:paraId="545D4F2C" w14:textId="77777777">
      <w:pPr>
        <w:rPr>
          <w:highlight w:val="yellow"/>
        </w:rPr>
      </w:pPr>
    </w:p>
    <w:p w:rsidR="0E2F012E" w:rsidRPr="00787AA2" w:rsidP="1EC4DB57" w14:paraId="0E1E0D9E" w14:textId="0B00EA68">
      <w:pPr>
        <w:rPr>
          <w:highlight w:val="yellow"/>
        </w:rPr>
      </w:pPr>
    </w:p>
    <w:p w:rsidR="4D6DBB92" w:rsidP="26A976F8" w14:paraId="10CC0328" w14:textId="16DDA397">
      <w:r w:rsidRPr="1EC4DB57">
        <w:rPr>
          <w:b/>
          <w:bCs/>
          <w:i/>
          <w:iCs/>
        </w:rPr>
        <w:t>FEDERAL COST</w:t>
      </w:r>
      <w:r w:rsidRPr="1EC4DB57">
        <w:rPr>
          <w:b/>
          <w:bCs/>
          <w:i/>
          <w:iCs/>
        </w:rPr>
        <w:t xml:space="preserve">: </w:t>
      </w:r>
      <w:r>
        <w:t xml:space="preserve"> The</w:t>
      </w:r>
      <w:r>
        <w:t xml:space="preserve"> estimated annual cost to the Federal government is </w:t>
      </w:r>
      <w:r w:rsidR="7CF63A20">
        <w:t xml:space="preserve">less than </w:t>
      </w:r>
      <w:r>
        <w:t>$</w:t>
      </w:r>
      <w:r w:rsidR="0786CB9E">
        <w:t>5</w:t>
      </w:r>
      <w:r>
        <w:t>,</w:t>
      </w:r>
      <w:r w:rsidR="1471AD92">
        <w:t>0</w:t>
      </w:r>
      <w:r>
        <w:t xml:space="preserve">00. This is based on pay for </w:t>
      </w:r>
      <w:r w:rsidR="7EF782A0">
        <w:t xml:space="preserve">two </w:t>
      </w:r>
      <w:r>
        <w:t xml:space="preserve">positions. The first position estimate is based on the time required for one </w:t>
      </w:r>
      <w:r w:rsidR="327F930B">
        <w:t xml:space="preserve">FTE (GS12) </w:t>
      </w:r>
      <w:r>
        <w:t>to design survey</w:t>
      </w:r>
      <w:r w:rsidR="1BB79576">
        <w:t xml:space="preserve">, </w:t>
      </w:r>
      <w:r>
        <w:t xml:space="preserve">reach out to potential respondents </w:t>
      </w:r>
      <w:r w:rsidR="6ED4AD3E">
        <w:t xml:space="preserve">and </w:t>
      </w:r>
      <w:r>
        <w:t>partner organizations</w:t>
      </w:r>
      <w:r w:rsidR="1C56AC22">
        <w:t>, and analyze the data</w:t>
      </w:r>
      <w:r>
        <w:t xml:space="preserve">. The second position is for a </w:t>
      </w:r>
      <w:r w:rsidR="1D113D58">
        <w:t xml:space="preserve">team </w:t>
      </w:r>
      <w:r w:rsidR="1D113D58">
        <w:t>lead</w:t>
      </w:r>
      <w:r w:rsidR="1D113D58">
        <w:t xml:space="preserve"> (GS14) to review the survey materials and results</w:t>
      </w:r>
      <w:r>
        <w:t xml:space="preserve">. </w:t>
      </w:r>
      <w:r w:rsidR="7CB4FADE">
        <w:t xml:space="preserve"> </w:t>
      </w:r>
    </w:p>
    <w:p w:rsidR="00676CB0" w:rsidRPr="004E70B5" w:rsidP="26A976F8" w14:paraId="2F58EDA4" w14:textId="77777777">
      <w:pPr>
        <w:rPr>
          <w:rFonts w:ascii="Calibri" w:eastAsia="Calibri" w:hAnsi="Calibri" w:cs="Calibri"/>
          <w:b/>
          <w:bCs/>
          <w:sz w:val="22"/>
          <w:szCs w:val="22"/>
        </w:rPr>
      </w:pPr>
    </w:p>
    <w:p w:rsidR="4D6DBB92" w:rsidRPr="004E70B5" w:rsidP="1EC4DB57" w14:paraId="28C89021" w14:textId="52D3F6DE">
      <w:pPr>
        <w:spacing w:line="276" w:lineRule="auto"/>
        <w:rPr>
          <w:i/>
          <w:iCs/>
        </w:rPr>
      </w:pPr>
      <w:r w:rsidRPr="1EC4DB57">
        <w:rPr>
          <w:i/>
          <w:iCs/>
        </w:rPr>
        <w:t>Estimated Annualized Cost to the Federal Government</w:t>
      </w:r>
    </w:p>
    <w:tbl>
      <w:tblPr>
        <w:tblW w:w="0" w:type="auto"/>
        <w:tblLook w:val="04A0"/>
      </w:tblPr>
      <w:tblGrid>
        <w:gridCol w:w="5129"/>
        <w:gridCol w:w="1363"/>
        <w:gridCol w:w="1236"/>
        <w:gridCol w:w="1173"/>
      </w:tblGrid>
      <w:tr w14:paraId="54A69D95" w14:textId="77777777" w:rsidTr="1EC4DB57">
        <w:tblPrEx>
          <w:tblW w:w="0" w:type="auto"/>
          <w:tblLook w:val="04A0"/>
        </w:tblPrEx>
        <w:trPr>
          <w:trHeight w:val="600"/>
        </w:trPr>
        <w:tc>
          <w:tcPr>
            <w:tcW w:w="5129" w:type="dxa"/>
            <w:tcBorders>
              <w:top w:val="single" w:sz="8" w:space="0" w:color="auto"/>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E2F012E" w:rsidRPr="004E70B5" w:rsidP="1EC4DB57" w14:paraId="3B54DC81" w14:textId="7788F1F8">
            <w:pPr>
              <w:spacing w:line="276" w:lineRule="auto"/>
              <w:jc w:val="center"/>
              <w:rPr>
                <w:b/>
                <w:bCs/>
                <w:i/>
                <w:iCs/>
                <w:color w:val="000000" w:themeColor="text1"/>
              </w:rPr>
            </w:pPr>
            <w:r w:rsidRPr="1EC4DB57">
              <w:rPr>
                <w:b/>
                <w:bCs/>
                <w:i/>
                <w:iCs/>
                <w:color w:val="000000" w:themeColor="text1"/>
              </w:rPr>
              <w:t>Staff (FTE)</w:t>
            </w:r>
          </w:p>
        </w:tc>
        <w:tc>
          <w:tcPr>
            <w:tcW w:w="1363" w:type="dxa"/>
            <w:tcBorders>
              <w:top w:val="single" w:sz="8" w:space="0" w:color="auto"/>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E2F012E" w:rsidRPr="004E70B5" w:rsidP="1EC4DB57" w14:paraId="41653E51" w14:textId="2B78B72D">
            <w:pPr>
              <w:spacing w:line="276" w:lineRule="auto"/>
              <w:jc w:val="center"/>
              <w:rPr>
                <w:b/>
                <w:bCs/>
                <w:i/>
                <w:iCs/>
                <w:color w:val="000000" w:themeColor="text1"/>
              </w:rPr>
            </w:pPr>
            <w:r w:rsidRPr="1EC4DB57">
              <w:rPr>
                <w:b/>
                <w:bCs/>
                <w:i/>
                <w:iCs/>
                <w:color w:val="000000" w:themeColor="text1"/>
              </w:rPr>
              <w:t xml:space="preserve">Estimated Hours </w:t>
            </w:r>
          </w:p>
        </w:tc>
        <w:tc>
          <w:tcPr>
            <w:tcW w:w="1236" w:type="dxa"/>
            <w:tcBorders>
              <w:top w:val="single" w:sz="8" w:space="0" w:color="auto"/>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E2F012E" w:rsidRPr="004E70B5" w:rsidP="1EC4DB57" w14:paraId="0037B80B" w14:textId="185B5F45">
            <w:pPr>
              <w:spacing w:line="276" w:lineRule="auto"/>
              <w:jc w:val="center"/>
              <w:rPr>
                <w:b/>
                <w:bCs/>
                <w:i/>
                <w:iCs/>
                <w:color w:val="000000" w:themeColor="text1"/>
              </w:rPr>
            </w:pPr>
            <w:r w:rsidRPr="1EC4DB57">
              <w:rPr>
                <w:b/>
                <w:bCs/>
                <w:i/>
                <w:iCs/>
                <w:color w:val="000000" w:themeColor="text1"/>
              </w:rPr>
              <w:t>Hourly Rate</w:t>
            </w:r>
          </w:p>
        </w:tc>
        <w:tc>
          <w:tcPr>
            <w:tcW w:w="1173" w:type="dxa"/>
            <w:tcBorders>
              <w:top w:val="single" w:sz="8" w:space="0" w:color="auto"/>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E2F012E" w:rsidRPr="004E70B5" w:rsidP="1EC4DB57" w14:paraId="2CFCC0CD" w14:textId="60475B01">
            <w:pPr>
              <w:spacing w:line="276" w:lineRule="auto"/>
              <w:jc w:val="center"/>
              <w:rPr>
                <w:b/>
                <w:bCs/>
                <w:i/>
                <w:iCs/>
                <w:color w:val="000000" w:themeColor="text1"/>
              </w:rPr>
            </w:pPr>
            <w:r w:rsidRPr="1EC4DB57">
              <w:rPr>
                <w:b/>
                <w:bCs/>
                <w:i/>
                <w:iCs/>
                <w:color w:val="000000" w:themeColor="text1"/>
              </w:rPr>
              <w:t>Total Cost</w:t>
            </w:r>
          </w:p>
        </w:tc>
      </w:tr>
      <w:tr w14:paraId="62FFCEC9" w14:textId="77777777" w:rsidTr="1EC4DB57">
        <w:tblPrEx>
          <w:tblW w:w="0" w:type="auto"/>
          <w:tblLook w:val="04A0"/>
        </w:tblPrEx>
        <w:trPr>
          <w:trHeight w:val="300"/>
        </w:trPr>
        <w:tc>
          <w:tcPr>
            <w:tcW w:w="5129"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559E5BAA" w14:textId="5FC7317B">
            <w:pPr>
              <w:spacing w:line="276" w:lineRule="auto"/>
              <w:rPr>
                <w:i/>
                <w:iCs/>
              </w:rPr>
            </w:pPr>
            <w:r w:rsidRPr="1EC4DB57">
              <w:rPr>
                <w:i/>
                <w:iCs/>
              </w:rPr>
              <w:t>Health Scientist</w:t>
            </w:r>
            <w:r w:rsidRPr="1EC4DB57" w:rsidR="045168B0">
              <w:rPr>
                <w:i/>
                <w:iCs/>
              </w:rPr>
              <w:t xml:space="preserve"> (GS 12)</w:t>
            </w:r>
            <w:r w:rsidRPr="1EC4DB57" w:rsidR="1BE95DC9">
              <w:rPr>
                <w:i/>
                <w:iCs/>
              </w:rPr>
              <w:t>:</w:t>
            </w:r>
          </w:p>
          <w:p w:rsidR="0E2F012E" w:rsidRPr="004E70B5" w:rsidP="1EC4DB57" w14:paraId="24FD8FDD" w14:textId="450BB3AA">
            <w:pPr>
              <w:spacing w:line="276" w:lineRule="auto"/>
              <w:rPr>
                <w:i/>
                <w:iCs/>
              </w:rPr>
            </w:pPr>
            <w:r w:rsidRPr="1EC4DB57">
              <w:rPr>
                <w:i/>
                <w:iCs/>
              </w:rPr>
              <w:t>Design of survey; outreach to public health agencies to distribute surveys</w:t>
            </w:r>
            <w:r w:rsidRPr="1EC4DB57" w:rsidR="01FCAD2F">
              <w:rPr>
                <w:i/>
                <w:iCs/>
              </w:rPr>
              <w:t xml:space="preserve">, descriptive analysis of data </w:t>
            </w:r>
          </w:p>
        </w:tc>
        <w:tc>
          <w:tcPr>
            <w:tcW w:w="1363"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29065692" w14:textId="1A619AA3">
            <w:pPr>
              <w:spacing w:line="276" w:lineRule="auto"/>
              <w:jc w:val="center"/>
              <w:rPr>
                <w:i/>
                <w:iCs/>
              </w:rPr>
            </w:pPr>
            <w:r w:rsidRPr="1EC4DB57">
              <w:rPr>
                <w:i/>
                <w:iCs/>
              </w:rPr>
              <w:t>30</w:t>
            </w:r>
          </w:p>
        </w:tc>
        <w:tc>
          <w:tcPr>
            <w:tcW w:w="1236"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25837355" w14:textId="254931A7">
            <w:pPr>
              <w:spacing w:line="276" w:lineRule="auto"/>
              <w:jc w:val="center"/>
              <w:rPr>
                <w:i/>
                <w:iCs/>
              </w:rPr>
            </w:pPr>
            <w:r w:rsidRPr="1EC4DB57">
              <w:rPr>
                <w:i/>
                <w:iCs/>
              </w:rPr>
              <w:t>55</w:t>
            </w:r>
          </w:p>
        </w:tc>
        <w:tc>
          <w:tcPr>
            <w:tcW w:w="1173"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19A9FF06" w14:textId="184363A4">
            <w:pPr>
              <w:spacing w:line="276" w:lineRule="auto"/>
              <w:jc w:val="center"/>
              <w:rPr>
                <w:i/>
                <w:iCs/>
              </w:rPr>
            </w:pPr>
            <w:r w:rsidRPr="1EC4DB57">
              <w:rPr>
                <w:i/>
                <w:iCs/>
              </w:rPr>
              <w:t>$1650</w:t>
            </w:r>
          </w:p>
        </w:tc>
      </w:tr>
      <w:tr w14:paraId="5DF15BCC" w14:textId="77777777" w:rsidTr="1EC4DB57">
        <w:tblPrEx>
          <w:tblW w:w="0" w:type="auto"/>
          <w:tblLook w:val="04A0"/>
        </w:tblPrEx>
        <w:trPr>
          <w:trHeight w:val="300"/>
        </w:trPr>
        <w:tc>
          <w:tcPr>
            <w:tcW w:w="5129" w:type="dxa"/>
            <w:tcBorders>
              <w:top w:val="single" w:sz="12" w:space="0" w:color="auto"/>
              <w:left w:val="single" w:sz="8" w:space="0" w:color="auto"/>
              <w:bottom w:val="single" w:sz="12" w:space="0" w:color="auto"/>
              <w:right w:val="single" w:sz="8" w:space="0" w:color="auto"/>
            </w:tcBorders>
            <w:tcMar>
              <w:left w:w="108" w:type="dxa"/>
              <w:right w:w="108" w:type="dxa"/>
            </w:tcMar>
          </w:tcPr>
          <w:p w:rsidR="765291F9" w:rsidP="1EC4DB57" w14:paraId="6660EC78" w14:textId="0669FA7F">
            <w:pPr>
              <w:spacing w:line="276" w:lineRule="auto"/>
              <w:rPr>
                <w:i/>
                <w:iCs/>
              </w:rPr>
            </w:pPr>
            <w:r w:rsidRPr="1EC4DB57">
              <w:rPr>
                <w:i/>
                <w:iCs/>
              </w:rPr>
              <w:t>Team lead (GS 14):</w:t>
            </w:r>
          </w:p>
          <w:p w:rsidR="765291F9" w:rsidP="1EC4DB57" w14:paraId="280ABCBD" w14:textId="6CF9B4B8">
            <w:pPr>
              <w:spacing w:line="276" w:lineRule="auto"/>
              <w:rPr>
                <w:i/>
                <w:iCs/>
              </w:rPr>
            </w:pPr>
            <w:r w:rsidRPr="1EC4DB57">
              <w:rPr>
                <w:i/>
                <w:iCs/>
              </w:rPr>
              <w:t>Review of survey materials and analysis</w:t>
            </w:r>
          </w:p>
        </w:tc>
        <w:tc>
          <w:tcPr>
            <w:tcW w:w="1363" w:type="dxa"/>
            <w:tcBorders>
              <w:top w:val="single" w:sz="12" w:space="0" w:color="auto"/>
              <w:left w:val="single" w:sz="8" w:space="0" w:color="auto"/>
              <w:bottom w:val="single" w:sz="12" w:space="0" w:color="auto"/>
              <w:right w:val="single" w:sz="8" w:space="0" w:color="auto"/>
            </w:tcBorders>
            <w:tcMar>
              <w:left w:w="108" w:type="dxa"/>
              <w:right w:w="108" w:type="dxa"/>
            </w:tcMar>
          </w:tcPr>
          <w:p w:rsidR="765291F9" w:rsidP="1EC4DB57" w14:paraId="73DFD50A" w14:textId="3AB91BC9">
            <w:pPr>
              <w:spacing w:line="276" w:lineRule="auto"/>
              <w:jc w:val="center"/>
              <w:rPr>
                <w:i/>
                <w:iCs/>
              </w:rPr>
            </w:pPr>
            <w:r w:rsidRPr="1EC4DB57">
              <w:rPr>
                <w:i/>
                <w:iCs/>
              </w:rPr>
              <w:t>10</w:t>
            </w:r>
          </w:p>
        </w:tc>
        <w:tc>
          <w:tcPr>
            <w:tcW w:w="1236" w:type="dxa"/>
            <w:tcBorders>
              <w:top w:val="single" w:sz="12" w:space="0" w:color="auto"/>
              <w:left w:val="single" w:sz="8" w:space="0" w:color="auto"/>
              <w:bottom w:val="single" w:sz="12" w:space="0" w:color="auto"/>
              <w:right w:val="single" w:sz="8" w:space="0" w:color="auto"/>
            </w:tcBorders>
            <w:tcMar>
              <w:left w:w="108" w:type="dxa"/>
              <w:right w:w="108" w:type="dxa"/>
            </w:tcMar>
          </w:tcPr>
          <w:p w:rsidR="765291F9" w:rsidP="1EC4DB57" w14:paraId="69E8593E" w14:textId="76D08813">
            <w:pPr>
              <w:spacing w:line="276" w:lineRule="auto"/>
              <w:jc w:val="center"/>
              <w:rPr>
                <w:i/>
                <w:iCs/>
              </w:rPr>
            </w:pPr>
            <w:r w:rsidRPr="1EC4DB57">
              <w:rPr>
                <w:i/>
                <w:iCs/>
              </w:rPr>
              <w:t>75</w:t>
            </w:r>
          </w:p>
        </w:tc>
        <w:tc>
          <w:tcPr>
            <w:tcW w:w="1173" w:type="dxa"/>
            <w:tcBorders>
              <w:top w:val="single" w:sz="12" w:space="0" w:color="auto"/>
              <w:left w:val="single" w:sz="8" w:space="0" w:color="auto"/>
              <w:bottom w:val="single" w:sz="12" w:space="0" w:color="auto"/>
              <w:right w:val="single" w:sz="8" w:space="0" w:color="auto"/>
            </w:tcBorders>
            <w:tcMar>
              <w:left w:w="108" w:type="dxa"/>
              <w:right w:w="108" w:type="dxa"/>
            </w:tcMar>
          </w:tcPr>
          <w:p w:rsidR="765291F9" w:rsidP="1EC4DB57" w14:paraId="2FEA66AE" w14:textId="03B300AD">
            <w:pPr>
              <w:spacing w:line="276" w:lineRule="auto"/>
              <w:jc w:val="center"/>
              <w:rPr>
                <w:i/>
                <w:iCs/>
              </w:rPr>
            </w:pPr>
            <w:r>
              <w:rPr>
                <w:i/>
                <w:iCs/>
              </w:rPr>
              <w:t>$</w:t>
            </w:r>
            <w:r w:rsidRPr="1EC4DB57" w:rsidR="4633AAE8">
              <w:rPr>
                <w:i/>
                <w:iCs/>
              </w:rPr>
              <w:t>750</w:t>
            </w:r>
          </w:p>
        </w:tc>
      </w:tr>
      <w:tr w14:paraId="640385FF" w14:textId="77777777" w:rsidTr="1EC4DB57">
        <w:tblPrEx>
          <w:tblW w:w="0" w:type="auto"/>
          <w:tblLook w:val="04A0"/>
        </w:tblPrEx>
        <w:trPr>
          <w:trHeight w:val="300"/>
        </w:trPr>
        <w:tc>
          <w:tcPr>
            <w:tcW w:w="5129" w:type="dxa"/>
            <w:tcBorders>
              <w:top w:val="single" w:sz="12" w:space="0" w:color="auto"/>
              <w:left w:val="single" w:sz="8" w:space="0" w:color="auto"/>
              <w:bottom w:val="single" w:sz="12" w:space="0" w:color="auto"/>
              <w:right w:val="single" w:sz="8" w:space="0" w:color="auto"/>
            </w:tcBorders>
            <w:tcMar>
              <w:left w:w="108" w:type="dxa"/>
              <w:right w:w="108" w:type="dxa"/>
            </w:tcMar>
          </w:tcPr>
          <w:p w:rsidR="1D49B3DB" w:rsidP="1EC4DB57" w14:paraId="5D990B03" w14:textId="1990C108">
            <w:pPr>
              <w:spacing w:line="276" w:lineRule="auto"/>
              <w:rPr>
                <w:b/>
                <w:bCs/>
                <w:i/>
                <w:iCs/>
              </w:rPr>
            </w:pPr>
            <w:r w:rsidRPr="1EC4DB57">
              <w:rPr>
                <w:b/>
                <w:bCs/>
                <w:i/>
                <w:iCs/>
              </w:rPr>
              <w:t>Software</w:t>
            </w:r>
          </w:p>
        </w:tc>
        <w:tc>
          <w:tcPr>
            <w:tcW w:w="1363" w:type="dxa"/>
            <w:tcBorders>
              <w:top w:val="single" w:sz="12" w:space="0" w:color="auto"/>
              <w:left w:val="single" w:sz="8" w:space="0" w:color="auto"/>
              <w:bottom w:val="single" w:sz="12" w:space="0" w:color="auto"/>
              <w:right w:val="single" w:sz="8" w:space="0" w:color="auto"/>
            </w:tcBorders>
            <w:tcMar>
              <w:left w:w="108" w:type="dxa"/>
              <w:right w:w="108" w:type="dxa"/>
            </w:tcMar>
          </w:tcPr>
          <w:p w:rsidR="26A976F8" w:rsidP="26A976F8" w14:paraId="4B547836" w14:textId="1E8CF295">
            <w:pPr>
              <w:spacing w:line="276" w:lineRule="auto"/>
              <w:jc w:val="center"/>
              <w:rPr>
                <w:i/>
                <w:iCs/>
              </w:rPr>
            </w:pPr>
          </w:p>
        </w:tc>
        <w:tc>
          <w:tcPr>
            <w:tcW w:w="1236" w:type="dxa"/>
            <w:tcBorders>
              <w:top w:val="single" w:sz="12" w:space="0" w:color="auto"/>
              <w:left w:val="single" w:sz="8" w:space="0" w:color="auto"/>
              <w:bottom w:val="single" w:sz="12" w:space="0" w:color="auto"/>
              <w:right w:val="single" w:sz="8" w:space="0" w:color="auto"/>
            </w:tcBorders>
            <w:tcMar>
              <w:left w:w="108" w:type="dxa"/>
              <w:right w:w="108" w:type="dxa"/>
            </w:tcMar>
          </w:tcPr>
          <w:p w:rsidR="26A976F8" w:rsidP="26A976F8" w14:paraId="1A604D4D" w14:textId="509EA5EE">
            <w:pPr>
              <w:spacing w:line="276" w:lineRule="auto"/>
              <w:jc w:val="center"/>
              <w:rPr>
                <w:i/>
                <w:iCs/>
              </w:rPr>
            </w:pPr>
          </w:p>
        </w:tc>
        <w:tc>
          <w:tcPr>
            <w:tcW w:w="1173" w:type="dxa"/>
            <w:tcBorders>
              <w:top w:val="single" w:sz="12" w:space="0" w:color="auto"/>
              <w:left w:val="single" w:sz="8" w:space="0" w:color="auto"/>
              <w:bottom w:val="single" w:sz="12" w:space="0" w:color="auto"/>
              <w:right w:val="single" w:sz="8" w:space="0" w:color="auto"/>
            </w:tcBorders>
            <w:tcMar>
              <w:left w:w="108" w:type="dxa"/>
              <w:right w:w="108" w:type="dxa"/>
            </w:tcMar>
          </w:tcPr>
          <w:p w:rsidR="26A976F8" w:rsidP="26A976F8" w14:paraId="500C126D" w14:textId="429CE3C8">
            <w:pPr>
              <w:spacing w:line="276" w:lineRule="auto"/>
              <w:jc w:val="center"/>
              <w:rPr>
                <w:i/>
                <w:iCs/>
              </w:rPr>
            </w:pPr>
          </w:p>
        </w:tc>
      </w:tr>
      <w:tr w14:paraId="526A1DE7" w14:textId="77777777" w:rsidTr="1EC4DB57">
        <w:tblPrEx>
          <w:tblW w:w="0" w:type="auto"/>
          <w:tblLook w:val="04A0"/>
        </w:tblPrEx>
        <w:trPr>
          <w:trHeight w:val="300"/>
        </w:trPr>
        <w:tc>
          <w:tcPr>
            <w:tcW w:w="5129"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634DF7EC" w14:textId="30EAD73C">
            <w:pPr>
              <w:spacing w:line="276" w:lineRule="auto"/>
              <w:rPr>
                <w:i/>
                <w:iCs/>
              </w:rPr>
            </w:pPr>
            <w:r w:rsidRPr="1EC4DB57">
              <w:rPr>
                <w:i/>
                <w:iCs/>
              </w:rPr>
              <w:t xml:space="preserve">Data collection </w:t>
            </w:r>
            <w:r w:rsidRPr="1EC4DB57">
              <w:rPr>
                <w:i/>
                <w:iCs/>
              </w:rPr>
              <w:t>software</w:t>
            </w:r>
            <w:r w:rsidRPr="1EC4DB57" w:rsidR="11528079">
              <w:rPr>
                <w:i/>
                <w:iCs/>
              </w:rPr>
              <w:t xml:space="preserve"> </w:t>
            </w:r>
            <w:r w:rsidRPr="1EC4DB57">
              <w:rPr>
                <w:i/>
                <w:iCs/>
              </w:rPr>
              <w:t>- no cost will use existing</w:t>
            </w:r>
            <w:r w:rsidRPr="1EC4DB57" w:rsidR="7EBE03CE">
              <w:rPr>
                <w:i/>
                <w:iCs/>
              </w:rPr>
              <w:t xml:space="preserve"> </w:t>
            </w:r>
            <w:r w:rsidRPr="1EC4DB57">
              <w:rPr>
                <w:i/>
                <w:iCs/>
              </w:rPr>
              <w:t xml:space="preserve">with </w:t>
            </w:r>
            <w:r w:rsidRPr="1EC4DB57" w:rsidR="6ED994DB">
              <w:rPr>
                <w:i/>
                <w:iCs/>
              </w:rPr>
              <w:t>REDCap</w:t>
            </w:r>
          </w:p>
        </w:tc>
        <w:tc>
          <w:tcPr>
            <w:tcW w:w="1363"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574E6C40" w14:textId="34C8F994">
            <w:pPr>
              <w:spacing w:line="276" w:lineRule="auto"/>
              <w:jc w:val="center"/>
              <w:rPr>
                <w:i/>
                <w:iCs/>
              </w:rPr>
            </w:pPr>
            <w:r w:rsidRPr="1EC4DB57">
              <w:rPr>
                <w:i/>
                <w:iCs/>
              </w:rPr>
              <w:t>N/A</w:t>
            </w:r>
          </w:p>
        </w:tc>
        <w:tc>
          <w:tcPr>
            <w:tcW w:w="1236"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3EEECD4A" w14:textId="3BB47957">
            <w:pPr>
              <w:spacing w:line="276" w:lineRule="auto"/>
              <w:jc w:val="center"/>
              <w:rPr>
                <w:i/>
                <w:iCs/>
              </w:rPr>
            </w:pPr>
            <w:r w:rsidRPr="1EC4DB57">
              <w:rPr>
                <w:i/>
                <w:iCs/>
              </w:rPr>
              <w:t>$0</w:t>
            </w:r>
          </w:p>
        </w:tc>
        <w:tc>
          <w:tcPr>
            <w:tcW w:w="1173" w:type="dxa"/>
            <w:tcBorders>
              <w:top w:val="single" w:sz="12" w:space="0" w:color="auto"/>
              <w:left w:val="single" w:sz="8" w:space="0" w:color="auto"/>
              <w:bottom w:val="single" w:sz="12" w:space="0" w:color="auto"/>
              <w:right w:val="single" w:sz="8" w:space="0" w:color="auto"/>
            </w:tcBorders>
            <w:tcMar>
              <w:left w:w="108" w:type="dxa"/>
              <w:right w:w="108" w:type="dxa"/>
            </w:tcMar>
          </w:tcPr>
          <w:p w:rsidR="0E2F012E" w:rsidRPr="004E70B5" w:rsidP="1EC4DB57" w14:paraId="19AA222F" w14:textId="08661802">
            <w:pPr>
              <w:spacing w:line="276" w:lineRule="auto"/>
              <w:jc w:val="center"/>
              <w:rPr>
                <w:i/>
                <w:iCs/>
              </w:rPr>
            </w:pPr>
            <w:r w:rsidRPr="1EC4DB57">
              <w:rPr>
                <w:i/>
                <w:iCs/>
              </w:rPr>
              <w:t>$0</w:t>
            </w:r>
          </w:p>
        </w:tc>
      </w:tr>
      <w:tr w14:paraId="387BABE2" w14:textId="77777777" w:rsidTr="1EC4DB57">
        <w:tblPrEx>
          <w:tblW w:w="0" w:type="auto"/>
          <w:tblLook w:val="04A0"/>
        </w:tblPrEx>
        <w:trPr>
          <w:trHeight w:val="300"/>
        </w:trPr>
        <w:tc>
          <w:tcPr>
            <w:tcW w:w="5129" w:type="dxa"/>
            <w:tcBorders>
              <w:top w:val="single" w:sz="12" w:space="0" w:color="auto"/>
              <w:left w:val="single" w:sz="8" w:space="0" w:color="auto"/>
              <w:bottom w:val="single" w:sz="12" w:space="0" w:color="auto"/>
              <w:right w:val="single" w:sz="8" w:space="0" w:color="auto"/>
            </w:tcBorders>
            <w:tcMar>
              <w:left w:w="108" w:type="dxa"/>
              <w:right w:w="108" w:type="dxa"/>
            </w:tcMar>
          </w:tcPr>
          <w:p w:rsidR="19A13565" w:rsidP="1EC4DB57" w14:paraId="4E825308" w14:textId="1CFCDA77">
            <w:pPr>
              <w:spacing w:line="276" w:lineRule="auto"/>
              <w:rPr>
                <w:i/>
                <w:iCs/>
              </w:rPr>
            </w:pPr>
            <w:r w:rsidRPr="1EC4DB57">
              <w:rPr>
                <w:i/>
                <w:iCs/>
              </w:rPr>
              <w:t>Analytic</w:t>
            </w:r>
            <w:r w:rsidRPr="1EC4DB57" w:rsidR="16B998E2">
              <w:rPr>
                <w:i/>
                <w:iCs/>
              </w:rPr>
              <w:t xml:space="preserve"> software</w:t>
            </w:r>
            <w:r w:rsidRPr="1EC4DB57" w:rsidR="2829A838">
              <w:rPr>
                <w:i/>
                <w:iCs/>
              </w:rPr>
              <w:t xml:space="preserve"> – no cost, will use existing R (free) analytic software</w:t>
            </w:r>
          </w:p>
        </w:tc>
        <w:tc>
          <w:tcPr>
            <w:tcW w:w="1363" w:type="dxa"/>
            <w:tcBorders>
              <w:top w:val="single" w:sz="12" w:space="0" w:color="auto"/>
              <w:left w:val="single" w:sz="8" w:space="0" w:color="auto"/>
              <w:bottom w:val="single" w:sz="12" w:space="0" w:color="auto"/>
              <w:right w:val="single" w:sz="8" w:space="0" w:color="auto"/>
            </w:tcBorders>
            <w:tcMar>
              <w:left w:w="108" w:type="dxa"/>
              <w:right w:w="108" w:type="dxa"/>
            </w:tcMar>
          </w:tcPr>
          <w:p w:rsidR="26A976F8" w:rsidP="26A976F8" w14:paraId="36F528F6" w14:textId="34C8F994">
            <w:pPr>
              <w:spacing w:line="276" w:lineRule="auto"/>
              <w:jc w:val="center"/>
              <w:rPr>
                <w:i/>
                <w:iCs/>
              </w:rPr>
            </w:pPr>
            <w:r w:rsidRPr="26A976F8">
              <w:rPr>
                <w:i/>
                <w:iCs/>
              </w:rPr>
              <w:t>N/A</w:t>
            </w:r>
          </w:p>
        </w:tc>
        <w:tc>
          <w:tcPr>
            <w:tcW w:w="1236" w:type="dxa"/>
            <w:tcBorders>
              <w:top w:val="single" w:sz="12" w:space="0" w:color="auto"/>
              <w:left w:val="single" w:sz="8" w:space="0" w:color="auto"/>
              <w:bottom w:val="single" w:sz="12" w:space="0" w:color="auto"/>
              <w:right w:val="single" w:sz="8" w:space="0" w:color="auto"/>
            </w:tcBorders>
            <w:tcMar>
              <w:left w:w="108" w:type="dxa"/>
              <w:right w:w="108" w:type="dxa"/>
            </w:tcMar>
          </w:tcPr>
          <w:p w:rsidR="26A976F8" w:rsidP="26A976F8" w14:paraId="7C367E1B" w14:textId="3BB47957">
            <w:pPr>
              <w:spacing w:line="276" w:lineRule="auto"/>
              <w:jc w:val="center"/>
              <w:rPr>
                <w:i/>
                <w:iCs/>
              </w:rPr>
            </w:pPr>
            <w:r w:rsidRPr="26A976F8">
              <w:rPr>
                <w:i/>
                <w:iCs/>
              </w:rPr>
              <w:t>$0</w:t>
            </w:r>
          </w:p>
        </w:tc>
        <w:tc>
          <w:tcPr>
            <w:tcW w:w="1173" w:type="dxa"/>
            <w:tcBorders>
              <w:top w:val="single" w:sz="12" w:space="0" w:color="auto"/>
              <w:left w:val="single" w:sz="8" w:space="0" w:color="auto"/>
              <w:bottom w:val="single" w:sz="12" w:space="0" w:color="auto"/>
              <w:right w:val="single" w:sz="8" w:space="0" w:color="auto"/>
            </w:tcBorders>
            <w:tcMar>
              <w:left w:w="108" w:type="dxa"/>
              <w:right w:w="108" w:type="dxa"/>
            </w:tcMar>
          </w:tcPr>
          <w:p w:rsidR="26A976F8" w:rsidP="26A976F8" w14:paraId="19BF6D44" w14:textId="08661802">
            <w:pPr>
              <w:spacing w:line="276" w:lineRule="auto"/>
              <w:jc w:val="center"/>
              <w:rPr>
                <w:i/>
                <w:iCs/>
              </w:rPr>
            </w:pPr>
            <w:r w:rsidRPr="26A976F8">
              <w:rPr>
                <w:i/>
                <w:iCs/>
              </w:rPr>
              <w:t>$0</w:t>
            </w:r>
          </w:p>
        </w:tc>
      </w:tr>
    </w:tbl>
    <w:p w:rsidR="0E2F012E" w:rsidRPr="004E70B5" w:rsidP="26A976F8" w14:paraId="797D38AF" w14:textId="76230211">
      <w:pPr>
        <w:rPr>
          <w:b/>
          <w:bCs/>
        </w:rPr>
      </w:pPr>
    </w:p>
    <w:p w:rsidR="0E2F012E" w:rsidRPr="004E70B5" w:rsidP="0E2F012E" w14:paraId="682BE837" w14:textId="052FB936">
      <w:pPr>
        <w:rPr>
          <w:b/>
          <w:bCs/>
          <w:highlight w:val="yellow"/>
        </w:rPr>
      </w:pPr>
    </w:p>
    <w:p w:rsidR="00B46F2C" w:rsidRPr="004E70B5" w14:paraId="28C1E765" w14:textId="77777777">
      <w:pPr>
        <w:rPr>
          <w:b/>
          <w:bCs/>
          <w:highlight w:val="yellow"/>
          <w:u w:val="single"/>
        </w:rPr>
      </w:pPr>
    </w:p>
    <w:p w:rsidR="00B46F2C" w:rsidP="00F06866" w14:paraId="31D6CD62" w14:textId="77777777">
      <w:pPr>
        <w:rPr>
          <w:b/>
        </w:rPr>
      </w:pPr>
      <w:r w:rsidRPr="000D49BF">
        <w:rPr>
          <w:b/>
          <w:bCs/>
          <w:u w:val="single"/>
        </w:rPr>
        <w:t xml:space="preserve">If you are conducting a focus group, survey, or plan to employ statistical methods, </w:t>
      </w:r>
      <w:r w:rsidRPr="000D49BF">
        <w:rPr>
          <w:b/>
          <w:bCs/>
          <w:u w:val="single"/>
        </w:rPr>
        <w:t>please  provide</w:t>
      </w:r>
      <w:r w:rsidRPr="000D49BF">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69C0B166">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E10B91">
        <w:t>X</w:t>
      </w:r>
      <w:r>
        <w:t>]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0D49BF" w:rsidP="00A403BB" w14:paraId="3BA20530" w14:textId="77777777"/>
    <w:p w:rsidR="00B63FE1" w:rsidP="00A403BB" w14:paraId="31AB02A6" w14:textId="3D337E5D">
      <w:r w:rsidRPr="00B63FE1">
        <w:t>The survey will be shared through existing e-mail channels established during previous collaboration</w:t>
      </w:r>
      <w:r w:rsidR="002251CF">
        <w:t>s</w:t>
      </w:r>
      <w:r w:rsidRPr="00B63FE1">
        <w:t xml:space="preserve"> with CFA.  Potential respondents include the following: 1) CDC staff involved in agency public health response activities, </w:t>
      </w:r>
      <w:r w:rsidR="002A62BF">
        <w:t>CDC staff not involved in response activities</w:t>
      </w:r>
      <w:r w:rsidR="00133C0D">
        <w:t xml:space="preserve"> (staff from </w:t>
      </w:r>
      <w:r w:rsidRPr="00B63FE1">
        <w:t>N</w:t>
      </w:r>
      <w:r w:rsidR="00133C0D">
        <w:t xml:space="preserve">ational </w:t>
      </w:r>
      <w:r w:rsidRPr="00B63FE1">
        <w:t>C</w:t>
      </w:r>
      <w:r w:rsidR="00133C0D">
        <w:t>enter for I</w:t>
      </w:r>
      <w:r w:rsidR="00A23634">
        <w:t>mmunization and Respiratory Diseases</w:t>
      </w:r>
      <w:r w:rsidR="005213FB">
        <w:t>,</w:t>
      </w:r>
      <w:r w:rsidRPr="00B63FE1">
        <w:t xml:space="preserve">  </w:t>
      </w:r>
      <w:r w:rsidR="005213FB">
        <w:t xml:space="preserve">Office of Public Health Data </w:t>
      </w:r>
      <w:r w:rsidR="00A453F9">
        <w:t>Surveillance</w:t>
      </w:r>
      <w:r w:rsidR="005213FB">
        <w:t xml:space="preserve"> and Technology, </w:t>
      </w:r>
      <w:r w:rsidR="00496A4C">
        <w:t xml:space="preserve">National Center for Emerging and </w:t>
      </w:r>
      <w:r w:rsidR="00A453F9">
        <w:t>Zoonotic</w:t>
      </w:r>
      <w:r w:rsidR="00496A4C">
        <w:t xml:space="preserve"> Infectious Diseases</w:t>
      </w:r>
      <w:r w:rsidR="00A453F9">
        <w:t>, and Office of Readiness and Response</w:t>
      </w:r>
      <w:r w:rsidRPr="00B63FE1">
        <w:t>; 2) STLT contacts identified from forecasting and modeling channels and State Epidemiologists or their designees. </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847CD65">
      <w:pPr>
        <w:ind w:left="720"/>
      </w:pPr>
      <w:r>
        <w:t>[</w:t>
      </w:r>
      <w:r w:rsidR="000D49BF">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46021886">
      <w:pPr>
        <w:pStyle w:val="ListParagraph"/>
        <w:numPr>
          <w:ilvl w:val="0"/>
          <w:numId w:val="17"/>
        </w:numPr>
      </w:pPr>
      <w:r>
        <w:t xml:space="preserve">Will interviewers or facilitators be used?  </w:t>
      </w:r>
      <w:r>
        <w:t>[  ]</w:t>
      </w:r>
      <w:r>
        <w:t xml:space="preserve"> </w:t>
      </w:r>
      <w:r>
        <w:t>Yes</w:t>
      </w:r>
      <w:r>
        <w:t xml:space="preserve"> [</w:t>
      </w:r>
      <w:r w:rsidR="000D49BF">
        <w:t>X</w:t>
      </w:r>
      <w:r>
        <w:t>] No</w:t>
      </w:r>
    </w:p>
    <w:p w:rsidR="00B46F2C" w:rsidP="00F24CFC" w14:paraId="1BB31248" w14:textId="77777777">
      <w:pPr>
        <w:pStyle w:val="ListParagraph"/>
        <w:ind w:left="360"/>
      </w:pPr>
      <w:r>
        <w:t xml:space="preserve"> </w:t>
      </w:r>
    </w:p>
    <w:p w:rsidR="003A4C87" w:rsidP="00F24CFC" w14:paraId="404020DA" w14:textId="7013A254">
      <w:pPr>
        <w:rPr>
          <w:b/>
        </w:rPr>
      </w:pPr>
    </w:p>
    <w:p w:rsidR="00B46F2C" w:rsidRPr="00F24CFC" w:rsidP="00F24CFC" w14:paraId="77392A47"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B46F2C" w:rsidP="00F24CFC" w14:paraId="6717D2E3" w14:textId="77777777">
      <w:pPr>
        <w:tabs>
          <w:tab w:val="left" w:pos="5670"/>
        </w:tabs>
        <w:suppressAutoHyphens/>
      </w:pPr>
    </w:p>
    <w:sectPr w:rsidSect="00194AC6">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91A113E"/>
    <w:multiLevelType w:val="hybridMultilevel"/>
    <w:tmpl w:val="72D4A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4590684">
    <w:abstractNumId w:val="11"/>
  </w:num>
  <w:num w:numId="2" w16cid:durableId="686054268">
    <w:abstractNumId w:val="17"/>
  </w:num>
  <w:num w:numId="3" w16cid:durableId="731076132">
    <w:abstractNumId w:val="16"/>
  </w:num>
  <w:num w:numId="4" w16cid:durableId="2012097860">
    <w:abstractNumId w:val="18"/>
  </w:num>
  <w:num w:numId="5" w16cid:durableId="1071736018">
    <w:abstractNumId w:val="3"/>
  </w:num>
  <w:num w:numId="6" w16cid:durableId="190189304">
    <w:abstractNumId w:val="1"/>
  </w:num>
  <w:num w:numId="7" w16cid:durableId="1145077666">
    <w:abstractNumId w:val="9"/>
  </w:num>
  <w:num w:numId="8" w16cid:durableId="1387224325">
    <w:abstractNumId w:val="14"/>
  </w:num>
  <w:num w:numId="9" w16cid:durableId="1944609813">
    <w:abstractNumId w:val="10"/>
  </w:num>
  <w:num w:numId="10" w16cid:durableId="635985272">
    <w:abstractNumId w:val="2"/>
  </w:num>
  <w:num w:numId="11" w16cid:durableId="1904215651">
    <w:abstractNumId w:val="6"/>
  </w:num>
  <w:num w:numId="12" w16cid:durableId="1147698347">
    <w:abstractNumId w:val="7"/>
  </w:num>
  <w:num w:numId="13" w16cid:durableId="1579703557">
    <w:abstractNumId w:val="0"/>
  </w:num>
  <w:num w:numId="14" w16cid:durableId="819539837">
    <w:abstractNumId w:val="15"/>
  </w:num>
  <w:num w:numId="15" w16cid:durableId="1351025760">
    <w:abstractNumId w:val="13"/>
  </w:num>
  <w:num w:numId="16" w16cid:durableId="390274857">
    <w:abstractNumId w:val="12"/>
  </w:num>
  <w:num w:numId="17" w16cid:durableId="131562085">
    <w:abstractNumId w:val="4"/>
  </w:num>
  <w:num w:numId="18" w16cid:durableId="603344272">
    <w:abstractNumId w:val="5"/>
  </w:num>
  <w:num w:numId="19" w16cid:durableId="450318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1D6D"/>
    <w:rsid w:val="00047A64"/>
    <w:rsid w:val="0005452C"/>
    <w:rsid w:val="00067329"/>
    <w:rsid w:val="00095862"/>
    <w:rsid w:val="000B2838"/>
    <w:rsid w:val="000C448C"/>
    <w:rsid w:val="000D44CA"/>
    <w:rsid w:val="000D49BF"/>
    <w:rsid w:val="000D5EF5"/>
    <w:rsid w:val="000E200B"/>
    <w:rsid w:val="000F68BE"/>
    <w:rsid w:val="000F6D85"/>
    <w:rsid w:val="00133C0D"/>
    <w:rsid w:val="00134EDE"/>
    <w:rsid w:val="00145293"/>
    <w:rsid w:val="00146B20"/>
    <w:rsid w:val="00157E81"/>
    <w:rsid w:val="00170D16"/>
    <w:rsid w:val="001927A4"/>
    <w:rsid w:val="00194AC6"/>
    <w:rsid w:val="001A23B0"/>
    <w:rsid w:val="001A25CC"/>
    <w:rsid w:val="001B06C9"/>
    <w:rsid w:val="001B0AAA"/>
    <w:rsid w:val="001C39F7"/>
    <w:rsid w:val="001F1A8F"/>
    <w:rsid w:val="0021783A"/>
    <w:rsid w:val="00220784"/>
    <w:rsid w:val="002251CF"/>
    <w:rsid w:val="00231A39"/>
    <w:rsid w:val="00237B48"/>
    <w:rsid w:val="0024521E"/>
    <w:rsid w:val="00263C3D"/>
    <w:rsid w:val="00265236"/>
    <w:rsid w:val="00274D0B"/>
    <w:rsid w:val="00277E78"/>
    <w:rsid w:val="002821FF"/>
    <w:rsid w:val="00291893"/>
    <w:rsid w:val="002A62BF"/>
    <w:rsid w:val="002B3C95"/>
    <w:rsid w:val="002D0B92"/>
    <w:rsid w:val="002E52CD"/>
    <w:rsid w:val="00303DEC"/>
    <w:rsid w:val="003539C8"/>
    <w:rsid w:val="003675DB"/>
    <w:rsid w:val="00384011"/>
    <w:rsid w:val="003859BC"/>
    <w:rsid w:val="00386BC5"/>
    <w:rsid w:val="00391BB4"/>
    <w:rsid w:val="003A13C0"/>
    <w:rsid w:val="003A4C87"/>
    <w:rsid w:val="003C4F49"/>
    <w:rsid w:val="003D4BCD"/>
    <w:rsid w:val="003D5BBE"/>
    <w:rsid w:val="003E05AC"/>
    <w:rsid w:val="003E3C61"/>
    <w:rsid w:val="003E5926"/>
    <w:rsid w:val="003F1C5B"/>
    <w:rsid w:val="0040417A"/>
    <w:rsid w:val="0041337D"/>
    <w:rsid w:val="00434E33"/>
    <w:rsid w:val="00441434"/>
    <w:rsid w:val="0045031C"/>
    <w:rsid w:val="00450CC2"/>
    <w:rsid w:val="0045264C"/>
    <w:rsid w:val="0046117A"/>
    <w:rsid w:val="00480981"/>
    <w:rsid w:val="004876EC"/>
    <w:rsid w:val="00487E31"/>
    <w:rsid w:val="0049335C"/>
    <w:rsid w:val="00496A4C"/>
    <w:rsid w:val="004A52CE"/>
    <w:rsid w:val="004D6E14"/>
    <w:rsid w:val="004E1C18"/>
    <w:rsid w:val="004E70B5"/>
    <w:rsid w:val="005009B0"/>
    <w:rsid w:val="00512CA7"/>
    <w:rsid w:val="005213FB"/>
    <w:rsid w:val="005343AB"/>
    <w:rsid w:val="005408A3"/>
    <w:rsid w:val="00547881"/>
    <w:rsid w:val="005A1006"/>
    <w:rsid w:val="005A1ED9"/>
    <w:rsid w:val="005E714A"/>
    <w:rsid w:val="00607F2C"/>
    <w:rsid w:val="006140A0"/>
    <w:rsid w:val="00621E79"/>
    <w:rsid w:val="00636621"/>
    <w:rsid w:val="00642B49"/>
    <w:rsid w:val="00660A3F"/>
    <w:rsid w:val="00676CB0"/>
    <w:rsid w:val="006832D9"/>
    <w:rsid w:val="0069403B"/>
    <w:rsid w:val="006C0A11"/>
    <w:rsid w:val="006C11EF"/>
    <w:rsid w:val="006C6388"/>
    <w:rsid w:val="006D296F"/>
    <w:rsid w:val="006E0B5B"/>
    <w:rsid w:val="006F3DDE"/>
    <w:rsid w:val="00704678"/>
    <w:rsid w:val="00712505"/>
    <w:rsid w:val="007425E7"/>
    <w:rsid w:val="00747486"/>
    <w:rsid w:val="007640F5"/>
    <w:rsid w:val="0078690F"/>
    <w:rsid w:val="00787AA2"/>
    <w:rsid w:val="007B05B4"/>
    <w:rsid w:val="007B4741"/>
    <w:rsid w:val="007B6A5C"/>
    <w:rsid w:val="007D7387"/>
    <w:rsid w:val="00802607"/>
    <w:rsid w:val="008101A5"/>
    <w:rsid w:val="00822664"/>
    <w:rsid w:val="008411C5"/>
    <w:rsid w:val="00843796"/>
    <w:rsid w:val="00856FE5"/>
    <w:rsid w:val="00862122"/>
    <w:rsid w:val="008779FD"/>
    <w:rsid w:val="00895229"/>
    <w:rsid w:val="008A6562"/>
    <w:rsid w:val="008F0203"/>
    <w:rsid w:val="008F50D4"/>
    <w:rsid w:val="009239AA"/>
    <w:rsid w:val="00932540"/>
    <w:rsid w:val="00935927"/>
    <w:rsid w:val="00935ADA"/>
    <w:rsid w:val="00946B6C"/>
    <w:rsid w:val="00955A71"/>
    <w:rsid w:val="0096108F"/>
    <w:rsid w:val="009C13B9"/>
    <w:rsid w:val="009D01A2"/>
    <w:rsid w:val="009F0559"/>
    <w:rsid w:val="009F5923"/>
    <w:rsid w:val="00A23634"/>
    <w:rsid w:val="00A35D5D"/>
    <w:rsid w:val="00A403BB"/>
    <w:rsid w:val="00A453F9"/>
    <w:rsid w:val="00A6223E"/>
    <w:rsid w:val="00A674DF"/>
    <w:rsid w:val="00A81DA1"/>
    <w:rsid w:val="00A83AA6"/>
    <w:rsid w:val="00A92656"/>
    <w:rsid w:val="00AA323B"/>
    <w:rsid w:val="00AB1F5D"/>
    <w:rsid w:val="00AC33FA"/>
    <w:rsid w:val="00AD1AD0"/>
    <w:rsid w:val="00AD3D72"/>
    <w:rsid w:val="00AD52AF"/>
    <w:rsid w:val="00AE1809"/>
    <w:rsid w:val="00B16B95"/>
    <w:rsid w:val="00B46F2C"/>
    <w:rsid w:val="00B63FE1"/>
    <w:rsid w:val="00B65DF2"/>
    <w:rsid w:val="00B76F71"/>
    <w:rsid w:val="00B80D76"/>
    <w:rsid w:val="00B876F2"/>
    <w:rsid w:val="00BA2105"/>
    <w:rsid w:val="00BA7E06"/>
    <w:rsid w:val="00BB43B5"/>
    <w:rsid w:val="00BB6219"/>
    <w:rsid w:val="00BD290F"/>
    <w:rsid w:val="00C003D1"/>
    <w:rsid w:val="00C008AA"/>
    <w:rsid w:val="00C14CC4"/>
    <w:rsid w:val="00C33C52"/>
    <w:rsid w:val="00C40D8B"/>
    <w:rsid w:val="00C43AE7"/>
    <w:rsid w:val="00C4403F"/>
    <w:rsid w:val="00C44924"/>
    <w:rsid w:val="00C46760"/>
    <w:rsid w:val="00C809B5"/>
    <w:rsid w:val="00C8407A"/>
    <w:rsid w:val="00C8488C"/>
    <w:rsid w:val="00C86E91"/>
    <w:rsid w:val="00C930DB"/>
    <w:rsid w:val="00C9606B"/>
    <w:rsid w:val="00CA2650"/>
    <w:rsid w:val="00CA6662"/>
    <w:rsid w:val="00CB1078"/>
    <w:rsid w:val="00CB438B"/>
    <w:rsid w:val="00CC6FAF"/>
    <w:rsid w:val="00CD70E5"/>
    <w:rsid w:val="00CE7721"/>
    <w:rsid w:val="00D24698"/>
    <w:rsid w:val="00D36F36"/>
    <w:rsid w:val="00D41D0E"/>
    <w:rsid w:val="00D50400"/>
    <w:rsid w:val="00D6383F"/>
    <w:rsid w:val="00D71221"/>
    <w:rsid w:val="00D945AA"/>
    <w:rsid w:val="00DB0B46"/>
    <w:rsid w:val="00DB59D0"/>
    <w:rsid w:val="00DC33D3"/>
    <w:rsid w:val="00DE4385"/>
    <w:rsid w:val="00E02391"/>
    <w:rsid w:val="00E04761"/>
    <w:rsid w:val="00E075C2"/>
    <w:rsid w:val="00E10B91"/>
    <w:rsid w:val="00E252F3"/>
    <w:rsid w:val="00E26329"/>
    <w:rsid w:val="00E40B50"/>
    <w:rsid w:val="00E50293"/>
    <w:rsid w:val="00E51334"/>
    <w:rsid w:val="00E5298D"/>
    <w:rsid w:val="00E57B71"/>
    <w:rsid w:val="00E65FFC"/>
    <w:rsid w:val="00E72763"/>
    <w:rsid w:val="00E74514"/>
    <w:rsid w:val="00E80951"/>
    <w:rsid w:val="00E854FE"/>
    <w:rsid w:val="00E86CC6"/>
    <w:rsid w:val="00E8713A"/>
    <w:rsid w:val="00EB56B3"/>
    <w:rsid w:val="00EC408C"/>
    <w:rsid w:val="00ED4413"/>
    <w:rsid w:val="00ED6492"/>
    <w:rsid w:val="00EE2516"/>
    <w:rsid w:val="00EE6CB1"/>
    <w:rsid w:val="00EF2095"/>
    <w:rsid w:val="00EF484B"/>
    <w:rsid w:val="00F06866"/>
    <w:rsid w:val="00F121F6"/>
    <w:rsid w:val="00F132BA"/>
    <w:rsid w:val="00F15956"/>
    <w:rsid w:val="00F16A67"/>
    <w:rsid w:val="00F24CFC"/>
    <w:rsid w:val="00F3170F"/>
    <w:rsid w:val="00F32F66"/>
    <w:rsid w:val="00F3472B"/>
    <w:rsid w:val="00F4017B"/>
    <w:rsid w:val="00F414FD"/>
    <w:rsid w:val="00F54F1F"/>
    <w:rsid w:val="00F60CA9"/>
    <w:rsid w:val="00F976B0"/>
    <w:rsid w:val="00FA6DE7"/>
    <w:rsid w:val="00FC0A8E"/>
    <w:rsid w:val="00FD6D92"/>
    <w:rsid w:val="00FE2FA6"/>
    <w:rsid w:val="00FE3DF2"/>
    <w:rsid w:val="00FF03F0"/>
    <w:rsid w:val="012A8CB1"/>
    <w:rsid w:val="01FCAD2F"/>
    <w:rsid w:val="01FE3EE7"/>
    <w:rsid w:val="031D76DB"/>
    <w:rsid w:val="03E96CF3"/>
    <w:rsid w:val="045168B0"/>
    <w:rsid w:val="0786CB9E"/>
    <w:rsid w:val="0872AE70"/>
    <w:rsid w:val="0B491334"/>
    <w:rsid w:val="0BFD3709"/>
    <w:rsid w:val="0DBC4D67"/>
    <w:rsid w:val="0E2F012E"/>
    <w:rsid w:val="11528079"/>
    <w:rsid w:val="11613EE4"/>
    <w:rsid w:val="12488B9D"/>
    <w:rsid w:val="1471AD92"/>
    <w:rsid w:val="16A80954"/>
    <w:rsid w:val="16B998E2"/>
    <w:rsid w:val="17118B80"/>
    <w:rsid w:val="19A13565"/>
    <w:rsid w:val="1BB79576"/>
    <w:rsid w:val="1BCD5ECA"/>
    <w:rsid w:val="1BE95DC9"/>
    <w:rsid w:val="1C30A052"/>
    <w:rsid w:val="1C56AC22"/>
    <w:rsid w:val="1D113D58"/>
    <w:rsid w:val="1D49B3DB"/>
    <w:rsid w:val="1DB44DA9"/>
    <w:rsid w:val="1EC4DB57"/>
    <w:rsid w:val="22B4E13A"/>
    <w:rsid w:val="26A976F8"/>
    <w:rsid w:val="2829A838"/>
    <w:rsid w:val="28B7609E"/>
    <w:rsid w:val="2A2DEF43"/>
    <w:rsid w:val="2B10246B"/>
    <w:rsid w:val="2C51517E"/>
    <w:rsid w:val="2D27B971"/>
    <w:rsid w:val="2FA1875E"/>
    <w:rsid w:val="2FB4052B"/>
    <w:rsid w:val="302206EE"/>
    <w:rsid w:val="314810AE"/>
    <w:rsid w:val="31936724"/>
    <w:rsid w:val="31E2109C"/>
    <w:rsid w:val="327F930B"/>
    <w:rsid w:val="32B7025D"/>
    <w:rsid w:val="337AAF23"/>
    <w:rsid w:val="353D3E2A"/>
    <w:rsid w:val="3587A096"/>
    <w:rsid w:val="38BEBDA9"/>
    <w:rsid w:val="38C98863"/>
    <w:rsid w:val="398E3ABA"/>
    <w:rsid w:val="3DBC875A"/>
    <w:rsid w:val="3E3428F1"/>
    <w:rsid w:val="3FEBD3F2"/>
    <w:rsid w:val="40F14982"/>
    <w:rsid w:val="422D11C4"/>
    <w:rsid w:val="4259A961"/>
    <w:rsid w:val="42653C05"/>
    <w:rsid w:val="42B27A96"/>
    <w:rsid w:val="45781A48"/>
    <w:rsid w:val="46103511"/>
    <w:rsid w:val="4633AAE8"/>
    <w:rsid w:val="4704FDA8"/>
    <w:rsid w:val="473BF1EE"/>
    <w:rsid w:val="49F88C7F"/>
    <w:rsid w:val="4A7708D0"/>
    <w:rsid w:val="4C136607"/>
    <w:rsid w:val="4D6DBB92"/>
    <w:rsid w:val="4F187471"/>
    <w:rsid w:val="509A0DB1"/>
    <w:rsid w:val="5134B6C3"/>
    <w:rsid w:val="51FB6E57"/>
    <w:rsid w:val="52C79918"/>
    <w:rsid w:val="538050D2"/>
    <w:rsid w:val="544BA242"/>
    <w:rsid w:val="55063D04"/>
    <w:rsid w:val="568492CF"/>
    <w:rsid w:val="57153F4F"/>
    <w:rsid w:val="58183595"/>
    <w:rsid w:val="59019962"/>
    <w:rsid w:val="5BF5ADD8"/>
    <w:rsid w:val="5BFE6DCF"/>
    <w:rsid w:val="5C93BA74"/>
    <w:rsid w:val="5E72A484"/>
    <w:rsid w:val="68B892CC"/>
    <w:rsid w:val="68F55B97"/>
    <w:rsid w:val="6AC4A3F5"/>
    <w:rsid w:val="6CF4860F"/>
    <w:rsid w:val="6D3CB456"/>
    <w:rsid w:val="6E24B5B6"/>
    <w:rsid w:val="6E9B9294"/>
    <w:rsid w:val="6ED4AD3E"/>
    <w:rsid w:val="6ED994DB"/>
    <w:rsid w:val="706E66BA"/>
    <w:rsid w:val="71170D86"/>
    <w:rsid w:val="765291F9"/>
    <w:rsid w:val="77CB544E"/>
    <w:rsid w:val="7B541488"/>
    <w:rsid w:val="7C823FC6"/>
    <w:rsid w:val="7CB2A204"/>
    <w:rsid w:val="7CB4FADE"/>
    <w:rsid w:val="7CF63A20"/>
    <w:rsid w:val="7D3952A1"/>
    <w:rsid w:val="7DCF7A7C"/>
    <w:rsid w:val="7E47B58C"/>
    <w:rsid w:val="7EBE03CE"/>
    <w:rsid w:val="7EF782A0"/>
    <w:rsid w:val="7F27F5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6991BA4D-02FF-45CE-961D-ED0656F5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7640F5"/>
    <w:rPr>
      <w:sz w:val="24"/>
      <w:szCs w:val="24"/>
    </w:rPr>
  </w:style>
  <w:style w:type="character" w:styleId="Hyperlink">
    <w:name w:val="Hyperlink"/>
    <w:basedOn w:val="DefaultParagraphFont"/>
    <w:uiPriority w:val="99"/>
    <w:unhideWhenUsed/>
    <w:rsid w:val="00C43AE7"/>
    <w:rPr>
      <w:color w:val="0000FF" w:themeColor="hyperlink"/>
      <w:u w:val="single"/>
    </w:rPr>
  </w:style>
  <w:style w:type="character" w:styleId="UnresolvedMention">
    <w:name w:val="Unresolved Mention"/>
    <w:basedOn w:val="DefaultParagraphFont"/>
    <w:uiPriority w:val="99"/>
    <w:semiHidden/>
    <w:unhideWhenUsed/>
    <w:rsid w:val="00C4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 TargetMode="External" /><Relationship Id="rId11" Type="http://schemas.openxmlformats.org/officeDocument/2006/relationships/hyperlink" Target="https://www.cdc.gov/cfa-qualitative-assessments/php/data-research/eboladrc2025-scenarioassessment.html" TargetMode="External" /><Relationship Id="rId12" Type="http://schemas.openxmlformats.org/officeDocument/2006/relationships/hyperlink" Target="https://www.cdc.gov/cfa-modeling-and-forecasting/about/explainer-transmission-models.htm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cfa-modeling-and-forecasting/rt-estimates/index.html" TargetMode="External" /><Relationship Id="rId9" Type="http://schemas.openxmlformats.org/officeDocument/2006/relationships/hyperlink" Target="https://www.cdc.gov/cfa-behind-the-model/php/data-research/nowcast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8" ma:contentTypeDescription="Create a new document." ma:contentTypeScope="" ma:versionID="31e406d4beb4ab8532d2a6c2ad44478e">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17950de56599c8245ef983c86c2cd458"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F8B06-6256-4215-A0FF-329CB4A9A4FB}">
  <ds:schemaRefs>
    <ds:schemaRef ds:uri="http://schemas.microsoft.com/sharepoint/v3/contenttype/forms"/>
  </ds:schemaRefs>
</ds:datastoreItem>
</file>

<file path=customXml/itemProps2.xml><?xml version="1.0" encoding="utf-8"?>
<ds:datastoreItem xmlns:ds="http://schemas.openxmlformats.org/officeDocument/2006/customXml" ds:itemID="{80CC3CC9-CB10-4034-8763-070CB2FA605B}">
  <ds:schemaRefs>
    <ds:schemaRef ds:uri="http://schemas.microsoft.com/office/2006/metadata/properties"/>
    <ds:schemaRef ds:uri="http://schemas.microsoft.com/office/infopath/2007/PartnerControls"/>
    <ds:schemaRef ds:uri="1cb68687-f496-4db3-b5bd-c41440381a4a"/>
    <ds:schemaRef ds:uri="bd64ead2-f373-4c38-be2a-defab1dc671f"/>
  </ds:schemaRefs>
</ds:datastoreItem>
</file>

<file path=customXml/itemProps3.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4.xml><?xml version="1.0" encoding="utf-8"?>
<ds:datastoreItem xmlns:ds="http://schemas.openxmlformats.org/officeDocument/2006/customXml" ds:itemID="{247D440A-2FA2-41C4-8CF7-786C309F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1419</Words>
  <Characters>8302</Characters>
  <Application>Microsoft Office Word</Application>
  <DocSecurity>0</DocSecurity>
  <Lines>286</Lines>
  <Paragraphs>167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(CDC/OD/OS)</cp:lastModifiedBy>
  <cp:revision>5</cp:revision>
  <cp:lastPrinted>2019-03-29T22:58:00Z</cp:lastPrinted>
  <dcterms:created xsi:type="dcterms:W3CDTF">2026-02-27T16:02:00Z</dcterms:created>
  <dcterms:modified xsi:type="dcterms:W3CDTF">2026-02-27T16:31:00Z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ediaServiceImageTags">
    <vt:lpwstr/>
  </property>
  <property fmtid="{D5CDD505-2E9C-101B-9397-08002B2CF9AE}" pid="4" name="MSIP_Label_7b94a7b8-f06c-4dfe-bdcc-9b548fd58c31_ActionId">
    <vt:lpwstr>895ad35e-e7a7-45bd-820b-61a994867322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2025-12-08T14:47:33Z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NewReviewCycle">
    <vt:lpwstr/>
  </property>
</Properties>
</file>