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067B" w:rsidRPr="005466E4" w:rsidP="00EE2E9D" w14:paraId="79022684" w14:textId="19780E64">
      <w:pPr>
        <w:jc w:val="center"/>
        <w:rPr>
          <w:rFonts w:ascii="Arial" w:hAnsi="Arial" w:cs="Arial"/>
          <w:b/>
          <w:bCs/>
          <w:sz w:val="24"/>
          <w:szCs w:val="24"/>
        </w:rPr>
      </w:pPr>
      <w:r w:rsidRPr="00B77323">
        <w:rPr>
          <w:rFonts w:ascii="Arial" w:hAnsi="Arial" w:cs="Arial"/>
          <w:b/>
          <w:bCs/>
          <w:sz w:val="24"/>
          <w:szCs w:val="24"/>
        </w:rPr>
        <w:t xml:space="preserve">Evaluation of Robot-to-Human Communication Designs </w:t>
      </w:r>
      <w:r w:rsidRPr="005466E4">
        <w:rPr>
          <w:rFonts w:ascii="Arial" w:hAnsi="Arial" w:cs="Arial"/>
          <w:b/>
          <w:bCs/>
          <w:sz w:val="24"/>
          <w:szCs w:val="24"/>
        </w:rPr>
        <w:t>Sampling Plan for Human Subject Recruitment</w:t>
      </w:r>
    </w:p>
    <w:p w:rsidR="0004067B" w:rsidRPr="005466E4" w:rsidP="0004067B" w14:paraId="1F98A291" w14:textId="77777777">
      <w:pPr>
        <w:pStyle w:val="ListParagraph"/>
        <w:ind w:left="360"/>
        <w:rPr>
          <w:rFonts w:ascii="Arial" w:hAnsi="Arial" w:cs="Arial"/>
          <w:sz w:val="24"/>
          <w:szCs w:val="24"/>
        </w:rPr>
      </w:pPr>
    </w:p>
    <w:p w:rsidR="0004067B" w:rsidRPr="005466E4" w:rsidP="0004067B" w14:paraId="2F166B6C" w14:textId="1FBC4594">
      <w:pPr>
        <w:pStyle w:val="ListParagraph"/>
        <w:ind w:left="360"/>
        <w:rPr>
          <w:rFonts w:ascii="Arial" w:hAnsi="Arial" w:cs="Arial"/>
          <w:sz w:val="24"/>
          <w:szCs w:val="24"/>
        </w:rPr>
      </w:pPr>
      <w:r w:rsidRPr="005466E4">
        <w:rPr>
          <w:rFonts w:ascii="Arial" w:hAnsi="Arial" w:cs="Arial"/>
          <w:sz w:val="24"/>
          <w:szCs w:val="24"/>
        </w:rPr>
        <w:t>The Protective Technology Branch (PTB) of the Division of Safety Research (DSR) of NIOSH is conducting a project titled “</w:t>
      </w:r>
      <w:r w:rsidRPr="005466E4" w:rsidR="004F05E3">
        <w:rPr>
          <w:rFonts w:ascii="Arial" w:hAnsi="Arial" w:cs="Arial"/>
          <w:sz w:val="24"/>
          <w:szCs w:val="24"/>
        </w:rPr>
        <w:t>Evaluation of Robot-to-Human Communication Designs</w:t>
      </w:r>
      <w:r w:rsidRPr="005466E4">
        <w:rPr>
          <w:rFonts w:ascii="Arial" w:hAnsi="Arial" w:cs="Arial"/>
          <w:sz w:val="24"/>
          <w:szCs w:val="24"/>
        </w:rPr>
        <w:t>.” This project aims</w:t>
      </w:r>
      <w:r w:rsidRPr="005466E4" w:rsidR="00CD06CE">
        <w:rPr>
          <w:rFonts w:ascii="Arial" w:hAnsi="Arial" w:cs="Arial"/>
          <w:sz w:val="24"/>
          <w:szCs w:val="24"/>
        </w:rPr>
        <w:t xml:space="preserve"> to investigate the effectiveness of robot-to-human communication designs</w:t>
      </w:r>
      <w:r w:rsidRPr="005466E4">
        <w:rPr>
          <w:rFonts w:ascii="Arial" w:hAnsi="Arial" w:cs="Arial"/>
          <w:sz w:val="24"/>
          <w:szCs w:val="24"/>
        </w:rPr>
        <w:t>.</w:t>
      </w:r>
      <w:r w:rsidRPr="005466E4" w:rsidR="00323D61">
        <w:rPr>
          <w:rFonts w:ascii="Arial" w:hAnsi="Arial" w:cs="Arial"/>
          <w:sz w:val="24"/>
          <w:szCs w:val="24"/>
        </w:rPr>
        <w:t xml:space="preserve"> Data will be collected in </w:t>
      </w:r>
      <w:r w:rsidRPr="005466E4" w:rsidR="00EE2E9D">
        <w:rPr>
          <w:rFonts w:ascii="Arial" w:hAnsi="Arial" w:cs="Arial"/>
          <w:sz w:val="24"/>
          <w:szCs w:val="24"/>
        </w:rPr>
        <w:t xml:space="preserve">NIOSH’s </w:t>
      </w:r>
      <w:r w:rsidRPr="005466E4" w:rsidR="00CD06CE">
        <w:rPr>
          <w:rFonts w:ascii="Arial" w:hAnsi="Arial" w:cs="Arial"/>
          <w:sz w:val="24"/>
          <w:szCs w:val="24"/>
        </w:rPr>
        <w:t xml:space="preserve">Robotics </w:t>
      </w:r>
      <w:r w:rsidRPr="005466E4" w:rsidR="00323D61">
        <w:rPr>
          <w:rFonts w:ascii="Arial" w:hAnsi="Arial" w:cs="Arial"/>
          <w:sz w:val="24"/>
          <w:szCs w:val="24"/>
        </w:rPr>
        <w:t xml:space="preserve">Lab </w:t>
      </w:r>
      <w:r w:rsidRPr="005466E4" w:rsidR="00EE2E9D">
        <w:rPr>
          <w:rFonts w:ascii="Arial" w:hAnsi="Arial" w:cs="Arial"/>
          <w:sz w:val="24"/>
          <w:szCs w:val="24"/>
        </w:rPr>
        <w:t>located in Morgantown, WV.</w:t>
      </w:r>
      <w:r w:rsidRPr="005466E4" w:rsidR="009835EC">
        <w:rPr>
          <w:rFonts w:ascii="Arial" w:hAnsi="Arial" w:cs="Arial"/>
          <w:sz w:val="24"/>
          <w:szCs w:val="24"/>
        </w:rPr>
        <w:t xml:space="preserve"> T</w:t>
      </w:r>
      <w:r w:rsidRPr="005466E4" w:rsidR="00323D61">
        <w:rPr>
          <w:rFonts w:ascii="Arial" w:hAnsi="Arial" w:cs="Arial"/>
          <w:sz w:val="24"/>
          <w:szCs w:val="24"/>
        </w:rPr>
        <w:t>h</w:t>
      </w:r>
      <w:r w:rsidRPr="005466E4" w:rsidR="00C43D0E">
        <w:rPr>
          <w:rFonts w:ascii="Arial" w:hAnsi="Arial" w:cs="Arial"/>
          <w:sz w:val="24"/>
          <w:szCs w:val="24"/>
        </w:rPr>
        <w:t>e purpose of this Sampling Plan is to ensure, to the extent possible, that the participants will re</w:t>
      </w:r>
      <w:r w:rsidRPr="005466E4" w:rsidR="009E4BCD">
        <w:rPr>
          <w:rFonts w:ascii="Arial" w:hAnsi="Arial" w:cs="Arial"/>
          <w:sz w:val="24"/>
          <w:szCs w:val="24"/>
        </w:rPr>
        <w:t xml:space="preserve">flect the demographic composition of the </w:t>
      </w:r>
      <w:r w:rsidRPr="005466E4" w:rsidR="00CD06CE">
        <w:rPr>
          <w:rFonts w:ascii="Arial" w:hAnsi="Arial" w:cs="Arial"/>
          <w:sz w:val="24"/>
          <w:szCs w:val="24"/>
        </w:rPr>
        <w:t>Manufacturing</w:t>
      </w:r>
      <w:r w:rsidRPr="005466E4" w:rsidR="009E4BCD">
        <w:rPr>
          <w:rFonts w:ascii="Arial" w:hAnsi="Arial" w:cs="Arial"/>
          <w:sz w:val="24"/>
          <w:szCs w:val="24"/>
        </w:rPr>
        <w:t xml:space="preserve"> workforce across the United States.</w:t>
      </w:r>
    </w:p>
    <w:p w:rsidR="0004067B" w:rsidRPr="005466E4" w:rsidP="0004067B" w14:paraId="7153BB13" w14:textId="77777777">
      <w:pPr>
        <w:pStyle w:val="ListParagraph"/>
        <w:ind w:left="360"/>
        <w:rPr>
          <w:rFonts w:ascii="Arial" w:hAnsi="Arial" w:cs="Arial"/>
          <w:sz w:val="24"/>
          <w:szCs w:val="24"/>
        </w:rPr>
      </w:pPr>
    </w:p>
    <w:p w:rsidR="0004067B" w:rsidRPr="005466E4" w:rsidP="0004067B" w14:paraId="251E9909" w14:textId="65B7499C">
      <w:pPr>
        <w:pStyle w:val="ListParagraph"/>
        <w:numPr>
          <w:ilvl w:val="0"/>
          <w:numId w:val="1"/>
        </w:numPr>
        <w:ind w:left="360"/>
        <w:rPr>
          <w:rFonts w:ascii="Arial" w:hAnsi="Arial" w:cs="Arial"/>
          <w:b/>
          <w:bCs/>
          <w:sz w:val="24"/>
          <w:szCs w:val="24"/>
        </w:rPr>
      </w:pPr>
      <w:r w:rsidRPr="005466E4">
        <w:rPr>
          <w:rFonts w:ascii="Arial" w:hAnsi="Arial" w:cs="Arial"/>
          <w:b/>
          <w:bCs/>
          <w:sz w:val="24"/>
          <w:szCs w:val="24"/>
        </w:rPr>
        <w:t>Respondent Universe and Sampling Methods</w:t>
      </w:r>
    </w:p>
    <w:p w:rsidR="00CD08A1" w:rsidRPr="005466E4" w:rsidP="00CD08A1" w14:paraId="62EB5D8E" w14:textId="77777777">
      <w:pPr>
        <w:pStyle w:val="ListParagraph"/>
        <w:ind w:left="360"/>
        <w:rPr>
          <w:rFonts w:ascii="Arial" w:hAnsi="Arial" w:cs="Arial"/>
          <w:b/>
          <w:bCs/>
          <w:sz w:val="24"/>
          <w:szCs w:val="24"/>
        </w:rPr>
      </w:pPr>
    </w:p>
    <w:p w:rsidR="00CD08A1" w:rsidRPr="005466E4" w:rsidP="00CD08A1" w14:paraId="4B958153" w14:textId="52875816">
      <w:pPr>
        <w:pStyle w:val="ListParagraph"/>
        <w:ind w:left="360"/>
        <w:rPr>
          <w:rFonts w:ascii="Arial" w:hAnsi="Arial" w:cs="Arial"/>
          <w:sz w:val="24"/>
          <w:szCs w:val="24"/>
          <w:u w:val="single"/>
        </w:rPr>
      </w:pPr>
      <w:r w:rsidRPr="005466E4">
        <w:rPr>
          <w:rFonts w:ascii="Arial" w:hAnsi="Arial" w:cs="Arial"/>
          <w:sz w:val="24"/>
          <w:szCs w:val="24"/>
          <w:u w:val="single"/>
        </w:rPr>
        <w:t>Potential Respondent Universe</w:t>
      </w:r>
    </w:p>
    <w:p w:rsidR="0004067B" w:rsidRPr="005466E4" w:rsidP="0004067B" w14:paraId="1B4E4020" w14:textId="77777777">
      <w:pPr>
        <w:pStyle w:val="ListParagraph"/>
        <w:ind w:left="360"/>
        <w:rPr>
          <w:rFonts w:ascii="Arial" w:hAnsi="Arial" w:cs="Arial"/>
          <w:sz w:val="24"/>
          <w:szCs w:val="24"/>
        </w:rPr>
      </w:pPr>
    </w:p>
    <w:p w:rsidR="00CD08A1" w:rsidRPr="005466E4" w:rsidP="0004067B" w14:paraId="7E152E4B" w14:textId="14E0F6F3">
      <w:pPr>
        <w:pStyle w:val="ListParagraph"/>
        <w:ind w:left="360"/>
        <w:rPr>
          <w:rFonts w:ascii="Arial" w:hAnsi="Arial" w:cs="Arial"/>
          <w:sz w:val="24"/>
          <w:szCs w:val="24"/>
        </w:rPr>
      </w:pPr>
      <w:r w:rsidRPr="005466E4">
        <w:rPr>
          <w:rFonts w:ascii="Arial" w:hAnsi="Arial" w:cs="Arial"/>
          <w:sz w:val="24"/>
          <w:szCs w:val="24"/>
        </w:rPr>
        <w:t xml:space="preserve">This project includes data collection with </w:t>
      </w:r>
      <w:r w:rsidRPr="005466E4" w:rsidR="00EE33C0">
        <w:rPr>
          <w:rFonts w:ascii="Arial" w:hAnsi="Arial" w:cs="Arial"/>
          <w:sz w:val="24"/>
          <w:szCs w:val="24"/>
        </w:rPr>
        <w:t>manufacturing workers</w:t>
      </w:r>
      <w:r w:rsidRPr="005466E4" w:rsidR="0004067B">
        <w:rPr>
          <w:rFonts w:ascii="Arial" w:hAnsi="Arial" w:cs="Arial"/>
          <w:sz w:val="24"/>
          <w:szCs w:val="24"/>
        </w:rPr>
        <w:t xml:space="preserve">. The project aims </w:t>
      </w:r>
      <w:r w:rsidRPr="005466E4">
        <w:rPr>
          <w:rFonts w:ascii="Arial" w:hAnsi="Arial" w:cs="Arial"/>
          <w:sz w:val="24"/>
          <w:szCs w:val="24"/>
        </w:rPr>
        <w:t xml:space="preserve">to </w:t>
      </w:r>
      <w:r w:rsidRPr="005466E4" w:rsidR="0004067B">
        <w:rPr>
          <w:rFonts w:ascii="Arial" w:hAnsi="Arial" w:cs="Arial"/>
          <w:sz w:val="24"/>
          <w:szCs w:val="24"/>
        </w:rPr>
        <w:t xml:space="preserve">recruit a study population that is representative to the current composition of the </w:t>
      </w:r>
      <w:r w:rsidRPr="005466E4" w:rsidR="00A15124">
        <w:rPr>
          <w:rFonts w:ascii="Arial" w:hAnsi="Arial" w:cs="Arial"/>
          <w:sz w:val="24"/>
          <w:szCs w:val="24"/>
        </w:rPr>
        <w:t xml:space="preserve">manufacturing </w:t>
      </w:r>
      <w:r w:rsidRPr="005466E4" w:rsidR="0004067B">
        <w:rPr>
          <w:rFonts w:ascii="Arial" w:hAnsi="Arial" w:cs="Arial"/>
          <w:sz w:val="24"/>
          <w:szCs w:val="24"/>
        </w:rPr>
        <w:t xml:space="preserve">workforce in the United States. </w:t>
      </w:r>
      <w:r w:rsidRPr="005466E4" w:rsidR="004958E5">
        <w:rPr>
          <w:rFonts w:ascii="Arial" w:hAnsi="Arial" w:cs="Arial"/>
          <w:sz w:val="24"/>
          <w:szCs w:val="24"/>
        </w:rPr>
        <w:t>This composition, according to data from the Bureau of Labor Statistics (</w:t>
      </w:r>
      <w:r w:rsidRPr="005466E4" w:rsidR="00A15124">
        <w:rPr>
          <w:rFonts w:ascii="Arial" w:hAnsi="Arial" w:cs="Arial"/>
          <w:sz w:val="24"/>
          <w:szCs w:val="24"/>
        </w:rPr>
        <w:t>2023</w:t>
      </w:r>
      <w:r w:rsidRPr="005466E4" w:rsidR="004958E5">
        <w:rPr>
          <w:rFonts w:ascii="Arial" w:hAnsi="Arial" w:cs="Arial"/>
          <w:sz w:val="24"/>
          <w:szCs w:val="24"/>
        </w:rPr>
        <w:t>)</w:t>
      </w:r>
      <w:r w:rsidRPr="005466E4" w:rsidR="005F2B5D">
        <w:rPr>
          <w:rFonts w:ascii="Arial" w:hAnsi="Arial" w:cs="Arial"/>
          <w:sz w:val="24"/>
          <w:szCs w:val="24"/>
        </w:rPr>
        <w:t xml:space="preserve"> [1]</w:t>
      </w:r>
      <w:r w:rsidRPr="005466E4" w:rsidR="004958E5">
        <w:rPr>
          <w:rFonts w:ascii="Arial" w:hAnsi="Arial" w:cs="Arial"/>
          <w:sz w:val="24"/>
          <w:szCs w:val="24"/>
        </w:rPr>
        <w:t xml:space="preserve">, is </w:t>
      </w:r>
      <w:r w:rsidRPr="005466E4" w:rsidR="0069694D">
        <w:rPr>
          <w:rFonts w:ascii="Arial" w:hAnsi="Arial" w:cs="Arial"/>
          <w:sz w:val="24"/>
          <w:szCs w:val="24"/>
        </w:rPr>
        <w:t>30</w:t>
      </w:r>
      <w:r w:rsidRPr="005466E4" w:rsidR="004958E5">
        <w:rPr>
          <w:rFonts w:ascii="Arial" w:hAnsi="Arial" w:cs="Arial"/>
          <w:sz w:val="24"/>
          <w:szCs w:val="24"/>
        </w:rPr>
        <w:t xml:space="preserve">% women, </w:t>
      </w:r>
      <w:r w:rsidRPr="005466E4" w:rsidR="004F032E">
        <w:rPr>
          <w:rFonts w:ascii="Arial" w:hAnsi="Arial" w:cs="Arial"/>
          <w:sz w:val="24"/>
          <w:szCs w:val="24"/>
        </w:rPr>
        <w:t>78</w:t>
      </w:r>
      <w:r w:rsidRPr="005466E4" w:rsidR="004958E5">
        <w:rPr>
          <w:rFonts w:ascii="Arial" w:hAnsi="Arial" w:cs="Arial"/>
          <w:sz w:val="24"/>
          <w:szCs w:val="24"/>
        </w:rPr>
        <w:t xml:space="preserve">% White, </w:t>
      </w:r>
      <w:r w:rsidRPr="005466E4" w:rsidR="004F032E">
        <w:rPr>
          <w:rFonts w:ascii="Arial" w:hAnsi="Arial" w:cs="Arial"/>
          <w:sz w:val="24"/>
          <w:szCs w:val="24"/>
        </w:rPr>
        <w:t>1</w:t>
      </w:r>
      <w:r w:rsidRPr="005466E4" w:rsidR="00D5155F">
        <w:rPr>
          <w:rFonts w:ascii="Arial" w:hAnsi="Arial" w:cs="Arial"/>
          <w:sz w:val="24"/>
          <w:szCs w:val="24"/>
        </w:rPr>
        <w:t>1</w:t>
      </w:r>
      <w:r w:rsidRPr="005466E4" w:rsidR="004958E5">
        <w:rPr>
          <w:rFonts w:ascii="Arial" w:hAnsi="Arial" w:cs="Arial"/>
          <w:sz w:val="24"/>
          <w:szCs w:val="24"/>
        </w:rPr>
        <w:t xml:space="preserve">% Black or African American, </w:t>
      </w:r>
      <w:r w:rsidRPr="005466E4" w:rsidR="00D5155F">
        <w:rPr>
          <w:rFonts w:ascii="Arial" w:hAnsi="Arial" w:cs="Arial"/>
          <w:sz w:val="24"/>
          <w:szCs w:val="24"/>
        </w:rPr>
        <w:t>8</w:t>
      </w:r>
      <w:r w:rsidRPr="005466E4" w:rsidR="004958E5">
        <w:rPr>
          <w:rFonts w:ascii="Arial" w:hAnsi="Arial" w:cs="Arial"/>
          <w:sz w:val="24"/>
          <w:szCs w:val="24"/>
        </w:rPr>
        <w:t xml:space="preserve">.0% Asian, and </w:t>
      </w:r>
      <w:r w:rsidRPr="005466E4" w:rsidR="00D5155F">
        <w:rPr>
          <w:rFonts w:ascii="Arial" w:hAnsi="Arial" w:cs="Arial"/>
          <w:sz w:val="24"/>
          <w:szCs w:val="24"/>
        </w:rPr>
        <w:t>18</w:t>
      </w:r>
      <w:r w:rsidRPr="005466E4" w:rsidR="004958E5">
        <w:rPr>
          <w:rFonts w:ascii="Arial" w:hAnsi="Arial" w:cs="Arial"/>
          <w:sz w:val="24"/>
          <w:szCs w:val="24"/>
        </w:rPr>
        <w:t xml:space="preserve">% Hispanic or Latino. Table 1 shows the potential respondent universe in the recruiting area. </w:t>
      </w:r>
    </w:p>
    <w:p w:rsidR="00CD08A1" w:rsidRPr="005466E4" w:rsidP="00F86422" w14:paraId="0CA6E46B" w14:textId="651AC5B1">
      <w:pPr>
        <w:ind w:left="360"/>
        <w:rPr>
          <w:rFonts w:ascii="Arial" w:hAnsi="Arial" w:cs="Arial"/>
          <w:sz w:val="24"/>
          <w:szCs w:val="24"/>
        </w:rPr>
      </w:pPr>
      <w:r w:rsidRPr="005466E4">
        <w:rPr>
          <w:rFonts w:ascii="Arial" w:hAnsi="Arial" w:cs="Arial"/>
          <w:sz w:val="24"/>
          <w:szCs w:val="24"/>
        </w:rPr>
        <w:t>Table 1. Potential Respondent Universe in Recruiting Area</w:t>
      </w:r>
    </w:p>
    <w:tbl>
      <w:tblPr>
        <w:tblStyle w:val="TableGrid"/>
        <w:tblW w:w="9445" w:type="dxa"/>
        <w:tblInd w:w="360" w:type="dxa"/>
        <w:tblLook w:val="04A0"/>
      </w:tblPr>
      <w:tblGrid>
        <w:gridCol w:w="4765"/>
        <w:gridCol w:w="4680"/>
      </w:tblGrid>
      <w:tr w14:paraId="22FEECC6" w14:textId="77777777" w:rsidTr="00F86422">
        <w:tblPrEx>
          <w:tblW w:w="9445" w:type="dxa"/>
          <w:tblInd w:w="360" w:type="dxa"/>
          <w:tblLook w:val="04A0"/>
        </w:tblPrEx>
        <w:tc>
          <w:tcPr>
            <w:tcW w:w="4765" w:type="dxa"/>
          </w:tcPr>
          <w:p w:rsidR="00CD08A1" w:rsidRPr="005466E4" w:rsidP="00227B1B" w14:paraId="694C7448" w14:textId="5DF1E704">
            <w:pPr>
              <w:rPr>
                <w:rFonts w:ascii="Arial" w:hAnsi="Arial" w:cs="Arial"/>
                <w:b/>
                <w:bCs/>
                <w:sz w:val="24"/>
                <w:szCs w:val="24"/>
              </w:rPr>
            </w:pPr>
            <w:r w:rsidRPr="005466E4">
              <w:rPr>
                <w:rFonts w:ascii="Arial" w:hAnsi="Arial" w:cs="Arial"/>
                <w:b/>
                <w:bCs/>
                <w:sz w:val="24"/>
                <w:szCs w:val="24"/>
              </w:rPr>
              <w:t xml:space="preserve">Number of </w:t>
            </w:r>
            <w:r w:rsidRPr="005466E4" w:rsidR="00EF2DF3">
              <w:rPr>
                <w:rFonts w:ascii="Arial" w:hAnsi="Arial" w:cs="Arial"/>
                <w:b/>
                <w:bCs/>
                <w:sz w:val="24"/>
                <w:szCs w:val="24"/>
              </w:rPr>
              <w:t>Manufacturing</w:t>
            </w:r>
            <w:r w:rsidRPr="005466E4" w:rsidR="002E348B">
              <w:rPr>
                <w:rFonts w:ascii="Arial" w:hAnsi="Arial" w:cs="Arial"/>
                <w:b/>
                <w:bCs/>
                <w:sz w:val="24"/>
                <w:szCs w:val="24"/>
              </w:rPr>
              <w:t xml:space="preserve"> Companies</w:t>
            </w:r>
            <w:r w:rsidRPr="005466E4">
              <w:rPr>
                <w:rFonts w:ascii="Arial" w:hAnsi="Arial" w:cs="Arial"/>
                <w:b/>
                <w:bCs/>
                <w:sz w:val="24"/>
                <w:szCs w:val="24"/>
              </w:rPr>
              <w:t xml:space="preserve"> in Recruiting Area</w:t>
            </w:r>
            <w:r w:rsidRPr="005466E4" w:rsidR="005F2B5D">
              <w:rPr>
                <w:rFonts w:ascii="Arial" w:hAnsi="Arial" w:cs="Arial"/>
                <w:b/>
                <w:bCs/>
                <w:sz w:val="24"/>
                <w:szCs w:val="24"/>
              </w:rPr>
              <w:t xml:space="preserve"> [2,</w:t>
            </w:r>
            <w:r w:rsidRPr="005466E4" w:rsidR="00822259">
              <w:rPr>
                <w:rFonts w:ascii="Arial" w:hAnsi="Arial" w:cs="Arial"/>
                <w:b/>
                <w:bCs/>
                <w:sz w:val="24"/>
                <w:szCs w:val="24"/>
              </w:rPr>
              <w:t xml:space="preserve"> </w:t>
            </w:r>
            <w:r w:rsidRPr="005466E4" w:rsidR="005F2B5D">
              <w:rPr>
                <w:rFonts w:ascii="Arial" w:hAnsi="Arial" w:cs="Arial"/>
                <w:b/>
                <w:bCs/>
                <w:sz w:val="24"/>
                <w:szCs w:val="24"/>
              </w:rPr>
              <w:t xml:space="preserve">3] </w:t>
            </w:r>
          </w:p>
        </w:tc>
        <w:tc>
          <w:tcPr>
            <w:tcW w:w="4680" w:type="dxa"/>
          </w:tcPr>
          <w:p w:rsidR="004958E5" w:rsidRPr="005466E4" w:rsidP="00227B1B" w14:paraId="3515DE53" w14:textId="3473EA57">
            <w:pPr>
              <w:rPr>
                <w:rFonts w:ascii="Arial" w:hAnsi="Arial" w:cs="Arial"/>
                <w:b/>
                <w:bCs/>
                <w:sz w:val="24"/>
                <w:szCs w:val="24"/>
              </w:rPr>
            </w:pPr>
            <w:r w:rsidRPr="005466E4">
              <w:rPr>
                <w:rFonts w:ascii="Arial" w:hAnsi="Arial" w:cs="Arial"/>
                <w:b/>
                <w:bCs/>
                <w:sz w:val="24"/>
                <w:szCs w:val="24"/>
              </w:rPr>
              <w:t xml:space="preserve">Number of </w:t>
            </w:r>
            <w:r w:rsidRPr="005466E4" w:rsidR="00EF2DF3">
              <w:rPr>
                <w:rFonts w:ascii="Arial" w:hAnsi="Arial" w:cs="Arial"/>
                <w:b/>
                <w:bCs/>
                <w:sz w:val="24"/>
                <w:szCs w:val="24"/>
              </w:rPr>
              <w:t>Manufacturing</w:t>
            </w:r>
            <w:r w:rsidRPr="005466E4">
              <w:rPr>
                <w:rFonts w:ascii="Arial" w:hAnsi="Arial" w:cs="Arial"/>
                <w:b/>
                <w:bCs/>
                <w:sz w:val="24"/>
                <w:szCs w:val="24"/>
              </w:rPr>
              <w:t xml:space="preserve"> Employees in Recruiting Area </w:t>
            </w:r>
            <w:r w:rsidRPr="005466E4" w:rsidR="00822259">
              <w:rPr>
                <w:rFonts w:ascii="Arial" w:hAnsi="Arial" w:cs="Arial"/>
                <w:b/>
                <w:bCs/>
                <w:sz w:val="24"/>
                <w:szCs w:val="24"/>
              </w:rPr>
              <w:t>[4, 5]</w:t>
            </w:r>
          </w:p>
        </w:tc>
      </w:tr>
      <w:tr w14:paraId="592EE2D7" w14:textId="77777777" w:rsidTr="00F86422">
        <w:tblPrEx>
          <w:tblW w:w="9445" w:type="dxa"/>
          <w:tblInd w:w="360" w:type="dxa"/>
          <w:tblLook w:val="04A0"/>
        </w:tblPrEx>
        <w:tc>
          <w:tcPr>
            <w:tcW w:w="4765" w:type="dxa"/>
          </w:tcPr>
          <w:p w:rsidR="00CD08A1" w:rsidRPr="005466E4" w:rsidP="00227B1B" w14:paraId="28CE1A82" w14:textId="2C4550F9">
            <w:pPr>
              <w:rPr>
                <w:rFonts w:ascii="Arial" w:hAnsi="Arial" w:cs="Arial"/>
                <w:sz w:val="24"/>
                <w:szCs w:val="24"/>
              </w:rPr>
            </w:pPr>
            <w:r w:rsidRPr="005466E4">
              <w:rPr>
                <w:rStyle w:val="Hyperlink"/>
                <w:rFonts w:ascii="Arial" w:hAnsi="Arial" w:cs="Arial"/>
                <w:color w:val="auto"/>
                <w:sz w:val="24"/>
                <w:szCs w:val="24"/>
                <w:u w:val="none"/>
              </w:rPr>
              <w:t xml:space="preserve">There are approximately </w:t>
            </w:r>
            <w:r w:rsidRPr="005466E4" w:rsidR="003337E5">
              <w:rPr>
                <w:rStyle w:val="Hyperlink"/>
                <w:rFonts w:ascii="Arial" w:hAnsi="Arial" w:cs="Arial"/>
                <w:color w:val="auto"/>
                <w:sz w:val="24"/>
                <w:szCs w:val="24"/>
                <w:u w:val="none"/>
              </w:rPr>
              <w:t>1,906</w:t>
            </w:r>
            <w:r w:rsidRPr="005466E4">
              <w:rPr>
                <w:rStyle w:val="Hyperlink"/>
                <w:rFonts w:ascii="Arial" w:hAnsi="Arial" w:cs="Arial"/>
                <w:color w:val="auto"/>
                <w:sz w:val="24"/>
                <w:szCs w:val="24"/>
                <w:u w:val="none"/>
              </w:rPr>
              <w:t xml:space="preserve"> </w:t>
            </w:r>
            <w:r w:rsidRPr="005466E4" w:rsidR="00EF2DF3">
              <w:rPr>
                <w:rStyle w:val="Hyperlink"/>
                <w:rFonts w:ascii="Arial" w:hAnsi="Arial" w:cs="Arial"/>
                <w:color w:val="auto"/>
                <w:sz w:val="24"/>
                <w:szCs w:val="24"/>
                <w:u w:val="none"/>
              </w:rPr>
              <w:t>manufacturing</w:t>
            </w:r>
            <w:r w:rsidRPr="005466E4">
              <w:rPr>
                <w:rStyle w:val="Hyperlink"/>
                <w:rFonts w:ascii="Arial" w:hAnsi="Arial" w:cs="Arial"/>
                <w:color w:val="auto"/>
                <w:sz w:val="24"/>
                <w:szCs w:val="24"/>
                <w:u w:val="none"/>
              </w:rPr>
              <w:t xml:space="preserve"> companies in the Pittsburgh Metropolitan Area.</w:t>
            </w:r>
          </w:p>
        </w:tc>
        <w:tc>
          <w:tcPr>
            <w:tcW w:w="4680" w:type="dxa"/>
          </w:tcPr>
          <w:p w:rsidR="00CD08A1" w:rsidRPr="005466E4" w:rsidP="00227B1B" w14:paraId="05DBB802" w14:textId="4C6C2794">
            <w:pPr>
              <w:rPr>
                <w:rFonts w:ascii="Arial" w:hAnsi="Arial" w:cs="Arial"/>
                <w:sz w:val="24"/>
                <w:szCs w:val="24"/>
              </w:rPr>
            </w:pPr>
            <w:r w:rsidRPr="005466E4">
              <w:rPr>
                <w:rFonts w:ascii="Arial" w:hAnsi="Arial" w:cs="Arial"/>
                <w:sz w:val="24"/>
                <w:szCs w:val="24"/>
              </w:rPr>
              <w:t>86,300</w:t>
            </w:r>
            <w:r w:rsidRPr="005466E4">
              <w:rPr>
                <w:rFonts w:ascii="Arial" w:hAnsi="Arial" w:cs="Arial"/>
                <w:sz w:val="24"/>
                <w:szCs w:val="24"/>
              </w:rPr>
              <w:t xml:space="preserve"> individuals employed in </w:t>
            </w:r>
            <w:r w:rsidRPr="005466E4">
              <w:rPr>
                <w:rFonts w:ascii="Arial" w:hAnsi="Arial" w:cs="Arial"/>
                <w:sz w:val="24"/>
                <w:szCs w:val="24"/>
              </w:rPr>
              <w:t>manufacturing occupations</w:t>
            </w:r>
            <w:r w:rsidRPr="005466E4" w:rsidR="00293DAE">
              <w:rPr>
                <w:rFonts w:ascii="Arial" w:hAnsi="Arial" w:cs="Arial"/>
                <w:sz w:val="24"/>
                <w:szCs w:val="24"/>
              </w:rPr>
              <w:t>.</w:t>
            </w:r>
          </w:p>
        </w:tc>
      </w:tr>
      <w:tr w14:paraId="4BBE776D" w14:textId="77777777" w:rsidTr="00F86422">
        <w:tblPrEx>
          <w:tblW w:w="9445" w:type="dxa"/>
          <w:tblInd w:w="360" w:type="dxa"/>
          <w:tblLook w:val="04A0"/>
        </w:tblPrEx>
        <w:tc>
          <w:tcPr>
            <w:tcW w:w="4765" w:type="dxa"/>
          </w:tcPr>
          <w:p w:rsidR="00293DAE" w:rsidRPr="005466E4" w:rsidP="00227B1B" w14:paraId="6EE43969" w14:textId="3D725F6F">
            <w:pPr>
              <w:rPr>
                <w:rStyle w:val="Hyperlink"/>
                <w:rFonts w:ascii="Arial" w:hAnsi="Arial" w:cs="Arial"/>
                <w:color w:val="auto"/>
                <w:sz w:val="24"/>
                <w:szCs w:val="24"/>
                <w:u w:val="none"/>
              </w:rPr>
            </w:pPr>
            <w:r w:rsidRPr="005466E4">
              <w:rPr>
                <w:rStyle w:val="Hyperlink"/>
                <w:rFonts w:ascii="Arial" w:hAnsi="Arial" w:cs="Arial"/>
                <w:color w:val="auto"/>
                <w:sz w:val="24"/>
                <w:szCs w:val="24"/>
                <w:u w:val="none"/>
              </w:rPr>
              <w:t xml:space="preserve">There are approximately </w:t>
            </w:r>
            <w:r w:rsidRPr="005466E4" w:rsidR="009C6951">
              <w:rPr>
                <w:rStyle w:val="Hyperlink"/>
                <w:rFonts w:ascii="Arial" w:hAnsi="Arial" w:cs="Arial"/>
                <w:color w:val="auto"/>
                <w:sz w:val="24"/>
                <w:szCs w:val="24"/>
                <w:u w:val="none"/>
              </w:rPr>
              <w:t>151 manufacturing</w:t>
            </w:r>
            <w:r w:rsidRPr="005466E4">
              <w:rPr>
                <w:rStyle w:val="Hyperlink"/>
                <w:rFonts w:ascii="Arial" w:hAnsi="Arial" w:cs="Arial"/>
                <w:color w:val="auto"/>
                <w:sz w:val="24"/>
                <w:szCs w:val="24"/>
                <w:u w:val="none"/>
              </w:rPr>
              <w:t xml:space="preserve"> companies in the </w:t>
            </w:r>
            <w:r w:rsidRPr="005466E4">
              <w:rPr>
                <w:rStyle w:val="Hyperlink"/>
                <w:rFonts w:ascii="Arial" w:hAnsi="Arial" w:cs="Arial"/>
                <w:color w:val="auto"/>
                <w:sz w:val="24"/>
                <w:szCs w:val="24"/>
                <w:u w:val="none"/>
              </w:rPr>
              <w:t>Morgantown Metropolitan Area</w:t>
            </w:r>
          </w:p>
        </w:tc>
        <w:tc>
          <w:tcPr>
            <w:tcW w:w="4680" w:type="dxa"/>
          </w:tcPr>
          <w:p w:rsidR="00293DAE" w:rsidRPr="005466E4" w:rsidP="00227B1B" w14:paraId="447B5D7E" w14:textId="7337ACA1">
            <w:pPr>
              <w:rPr>
                <w:rFonts w:ascii="Arial" w:hAnsi="Arial" w:cs="Arial"/>
                <w:sz w:val="24"/>
                <w:szCs w:val="24"/>
              </w:rPr>
            </w:pPr>
            <w:r w:rsidRPr="005466E4">
              <w:rPr>
                <w:rFonts w:ascii="Arial" w:hAnsi="Arial" w:cs="Arial"/>
                <w:sz w:val="24"/>
                <w:szCs w:val="24"/>
              </w:rPr>
              <w:t>1,800</w:t>
            </w:r>
            <w:r w:rsidRPr="005466E4">
              <w:rPr>
                <w:rFonts w:ascii="Arial" w:hAnsi="Arial" w:cs="Arial"/>
                <w:sz w:val="24"/>
                <w:szCs w:val="24"/>
              </w:rPr>
              <w:t xml:space="preserve"> individuals employed in </w:t>
            </w:r>
            <w:r w:rsidRPr="005466E4">
              <w:rPr>
                <w:rFonts w:ascii="Arial" w:hAnsi="Arial" w:cs="Arial"/>
                <w:sz w:val="24"/>
                <w:szCs w:val="24"/>
              </w:rPr>
              <w:t>manufacturing o</w:t>
            </w:r>
            <w:r w:rsidRPr="005466E4">
              <w:rPr>
                <w:rFonts w:ascii="Arial" w:hAnsi="Arial" w:cs="Arial"/>
                <w:sz w:val="24"/>
                <w:szCs w:val="24"/>
              </w:rPr>
              <w:t>ccupations</w:t>
            </w:r>
          </w:p>
        </w:tc>
      </w:tr>
      <w:tr w14:paraId="116EFBBD" w14:textId="77777777" w:rsidTr="00F86422">
        <w:tblPrEx>
          <w:tblW w:w="9445" w:type="dxa"/>
          <w:tblInd w:w="360" w:type="dxa"/>
          <w:tblLook w:val="04A0"/>
        </w:tblPrEx>
        <w:tc>
          <w:tcPr>
            <w:tcW w:w="4765" w:type="dxa"/>
          </w:tcPr>
          <w:p w:rsidR="00CD08A1" w:rsidRPr="005466E4" w:rsidP="00227B1B" w14:paraId="77884D4F" w14:textId="6AA6587D">
            <w:pPr>
              <w:rPr>
                <w:rFonts w:ascii="Arial" w:hAnsi="Arial" w:cs="Arial"/>
                <w:sz w:val="24"/>
                <w:szCs w:val="24"/>
              </w:rPr>
            </w:pPr>
            <w:r w:rsidRPr="005466E4">
              <w:rPr>
                <w:rFonts w:ascii="Arial" w:hAnsi="Arial" w:cs="Arial"/>
                <w:sz w:val="24"/>
                <w:szCs w:val="24"/>
              </w:rPr>
              <w:t xml:space="preserve">Potential establishment respondent: </w:t>
            </w:r>
            <w:r w:rsidRPr="005466E4" w:rsidR="00D237A6">
              <w:rPr>
                <w:rFonts w:ascii="Arial" w:hAnsi="Arial" w:cs="Arial"/>
                <w:sz w:val="24"/>
                <w:szCs w:val="24"/>
              </w:rPr>
              <w:t>2,057</w:t>
            </w:r>
          </w:p>
        </w:tc>
        <w:tc>
          <w:tcPr>
            <w:tcW w:w="4680" w:type="dxa"/>
          </w:tcPr>
          <w:p w:rsidR="00CD08A1" w:rsidRPr="005466E4" w:rsidP="00227B1B" w14:paraId="430AD3DF" w14:textId="4316D855">
            <w:pPr>
              <w:rPr>
                <w:rFonts w:ascii="Arial" w:hAnsi="Arial" w:cs="Arial"/>
                <w:sz w:val="24"/>
                <w:szCs w:val="24"/>
              </w:rPr>
            </w:pPr>
            <w:r w:rsidRPr="005466E4">
              <w:rPr>
                <w:rFonts w:ascii="Arial" w:hAnsi="Arial" w:cs="Arial"/>
                <w:sz w:val="24"/>
                <w:szCs w:val="24"/>
              </w:rPr>
              <w:t xml:space="preserve">Potential workforce respondent population: </w:t>
            </w:r>
            <w:r w:rsidRPr="005466E4" w:rsidR="00D237A6">
              <w:rPr>
                <w:rFonts w:ascii="Arial" w:hAnsi="Arial" w:cs="Arial"/>
                <w:sz w:val="24"/>
                <w:szCs w:val="24"/>
              </w:rPr>
              <w:t>88,100</w:t>
            </w:r>
          </w:p>
        </w:tc>
      </w:tr>
    </w:tbl>
    <w:p w:rsidR="00653D09" w:rsidRPr="005466E4" w:rsidP="004958E5" w14:paraId="7A2D4C9A" w14:textId="77777777">
      <w:pPr>
        <w:rPr>
          <w:rFonts w:ascii="Arial" w:hAnsi="Arial" w:cs="Arial"/>
          <w:sz w:val="24"/>
          <w:szCs w:val="24"/>
        </w:rPr>
      </w:pPr>
    </w:p>
    <w:p w:rsidR="0004067B" w:rsidRPr="005466E4" w:rsidP="0004067B" w14:paraId="73850075" w14:textId="6C6B7312">
      <w:pPr>
        <w:pStyle w:val="ListParagraph"/>
        <w:numPr>
          <w:ilvl w:val="0"/>
          <w:numId w:val="1"/>
        </w:numPr>
        <w:ind w:left="360"/>
        <w:rPr>
          <w:rFonts w:ascii="Arial" w:hAnsi="Arial" w:cs="Arial"/>
          <w:b/>
          <w:bCs/>
          <w:sz w:val="24"/>
          <w:szCs w:val="24"/>
        </w:rPr>
      </w:pPr>
      <w:r w:rsidRPr="005466E4">
        <w:rPr>
          <w:rFonts w:ascii="Arial" w:hAnsi="Arial" w:cs="Arial"/>
          <w:b/>
          <w:bCs/>
          <w:sz w:val="24"/>
          <w:szCs w:val="24"/>
        </w:rPr>
        <w:t xml:space="preserve">Sampling </w:t>
      </w:r>
      <w:r w:rsidRPr="005466E4" w:rsidR="003C4295">
        <w:rPr>
          <w:rFonts w:ascii="Arial" w:hAnsi="Arial" w:cs="Arial"/>
          <w:b/>
          <w:bCs/>
          <w:sz w:val="24"/>
          <w:szCs w:val="24"/>
        </w:rPr>
        <w:t>Methods</w:t>
      </w:r>
    </w:p>
    <w:p w:rsidR="0004067B" w:rsidRPr="005466E4" w:rsidP="0004067B" w14:paraId="65F5B1DF" w14:textId="77777777">
      <w:pPr>
        <w:pStyle w:val="ListParagraph"/>
        <w:ind w:left="360"/>
        <w:rPr>
          <w:rFonts w:ascii="Arial" w:hAnsi="Arial" w:cs="Arial"/>
          <w:sz w:val="24"/>
          <w:szCs w:val="24"/>
        </w:rPr>
      </w:pPr>
    </w:p>
    <w:p w:rsidR="007E2021" w:rsidRPr="005466E4" w:rsidP="0004067B" w14:paraId="0683B816" w14:textId="08021EDE">
      <w:pPr>
        <w:pStyle w:val="ListParagraph"/>
        <w:ind w:left="360"/>
        <w:rPr>
          <w:rFonts w:ascii="Arial" w:hAnsi="Arial" w:cs="Arial"/>
          <w:sz w:val="24"/>
          <w:szCs w:val="24"/>
        </w:rPr>
      </w:pPr>
      <w:r w:rsidRPr="005466E4">
        <w:rPr>
          <w:rFonts w:ascii="Arial" w:hAnsi="Arial" w:cs="Arial"/>
          <w:sz w:val="24"/>
          <w:szCs w:val="24"/>
        </w:rPr>
        <w:t xml:space="preserve">This study utilizes both a convenience and purposive sampling strategy. A convenience method is used based on organizations or individuals who respond to recruitment materials (Attachment </w:t>
      </w:r>
      <w:r w:rsidRPr="005466E4" w:rsidR="004958E5">
        <w:rPr>
          <w:rFonts w:ascii="Arial" w:hAnsi="Arial" w:cs="Arial"/>
          <w:sz w:val="24"/>
          <w:szCs w:val="24"/>
        </w:rPr>
        <w:t>A</w:t>
      </w:r>
      <w:r w:rsidRPr="005466E4">
        <w:rPr>
          <w:rFonts w:ascii="Arial" w:hAnsi="Arial" w:cs="Arial"/>
          <w:sz w:val="24"/>
          <w:szCs w:val="24"/>
        </w:rPr>
        <w:t xml:space="preserve">). </w:t>
      </w:r>
      <w:r w:rsidRPr="005466E4" w:rsidR="006169B7">
        <w:rPr>
          <w:rFonts w:ascii="Arial" w:hAnsi="Arial" w:cs="Arial"/>
          <w:sz w:val="24"/>
          <w:szCs w:val="24"/>
        </w:rPr>
        <w:t>From experience gained while conducting similar projects in the Virtual Reality Laboratory of NIOSH in Morgantown, West Virginia, one of the main challenges that researchers expect to encounter during the recruitment process is low response numbers. The reasons being that 1) the study population has specific age (18 years of older) and experience (</w:t>
      </w:r>
      <w:r w:rsidRPr="005466E4" w:rsidR="00212F4A">
        <w:rPr>
          <w:rFonts w:ascii="Arial" w:hAnsi="Arial" w:cs="Arial"/>
          <w:sz w:val="24"/>
          <w:szCs w:val="24"/>
        </w:rPr>
        <w:t>in</w:t>
      </w:r>
      <w:r w:rsidRPr="005466E4" w:rsidR="006169B7">
        <w:rPr>
          <w:rFonts w:ascii="Arial" w:hAnsi="Arial" w:cs="Arial"/>
          <w:sz w:val="24"/>
          <w:szCs w:val="24"/>
        </w:rPr>
        <w:t xml:space="preserve"> </w:t>
      </w:r>
      <w:r w:rsidRPr="005466E4" w:rsidR="00212F4A">
        <w:rPr>
          <w:rFonts w:ascii="Arial" w:hAnsi="Arial" w:cs="Arial"/>
          <w:sz w:val="24"/>
          <w:szCs w:val="24"/>
        </w:rPr>
        <w:t>manufacturing</w:t>
      </w:r>
      <w:r w:rsidRPr="005466E4" w:rsidR="006169B7">
        <w:rPr>
          <w:rFonts w:ascii="Arial" w:hAnsi="Arial" w:cs="Arial"/>
          <w:sz w:val="24"/>
          <w:szCs w:val="24"/>
        </w:rPr>
        <w:t xml:space="preserve">) </w:t>
      </w:r>
      <w:r w:rsidRPr="005466E4" w:rsidR="006169B7">
        <w:rPr>
          <w:rFonts w:ascii="Arial" w:hAnsi="Arial" w:cs="Arial"/>
          <w:sz w:val="24"/>
          <w:szCs w:val="24"/>
        </w:rPr>
        <w:t>requirements</w:t>
      </w:r>
      <w:r w:rsidRPr="005466E4" w:rsidR="00B41769">
        <w:rPr>
          <w:rFonts w:ascii="Arial" w:hAnsi="Arial" w:cs="Arial"/>
          <w:sz w:val="24"/>
          <w:szCs w:val="24"/>
        </w:rPr>
        <w:t>, i.e., Purposive Sampling,</w:t>
      </w:r>
      <w:r w:rsidRPr="005466E4" w:rsidR="006169B7">
        <w:rPr>
          <w:rFonts w:ascii="Arial" w:hAnsi="Arial" w:cs="Arial"/>
          <w:sz w:val="24"/>
          <w:szCs w:val="24"/>
        </w:rPr>
        <w:t xml:space="preserve"> and 2) the relatively small population of the Morgantown metropolitan area. To circumvent these challenges, the recruitment area was extended to include the Pittsburgh metropolitan area. </w:t>
      </w:r>
    </w:p>
    <w:p w:rsidR="007E2021" w:rsidRPr="005466E4" w:rsidP="0004067B" w14:paraId="75539985" w14:textId="77777777">
      <w:pPr>
        <w:pStyle w:val="ListParagraph"/>
        <w:ind w:left="360"/>
        <w:rPr>
          <w:rFonts w:ascii="Arial" w:hAnsi="Arial" w:cs="Arial"/>
          <w:sz w:val="24"/>
          <w:szCs w:val="24"/>
        </w:rPr>
      </w:pPr>
    </w:p>
    <w:p w:rsidR="003C4295" w:rsidRPr="005466E4" w:rsidP="0004067B" w14:paraId="0BB6CECD" w14:textId="45913277">
      <w:pPr>
        <w:pStyle w:val="ListParagraph"/>
        <w:ind w:left="360"/>
        <w:rPr>
          <w:rFonts w:ascii="Arial" w:hAnsi="Arial" w:cs="Arial"/>
          <w:sz w:val="24"/>
          <w:szCs w:val="24"/>
        </w:rPr>
      </w:pPr>
      <w:r w:rsidRPr="005466E4">
        <w:rPr>
          <w:rFonts w:ascii="Arial" w:hAnsi="Arial" w:cs="Arial"/>
          <w:sz w:val="24"/>
          <w:szCs w:val="24"/>
        </w:rPr>
        <w:t>Initially, researchers will include all interested human subjects that meet the inclusion criteria</w:t>
      </w:r>
      <w:r w:rsidR="00F345BD">
        <w:rPr>
          <w:rFonts w:ascii="Arial" w:hAnsi="Arial" w:cs="Arial"/>
          <w:sz w:val="24"/>
          <w:szCs w:val="24"/>
        </w:rPr>
        <w:t>,</w:t>
      </w:r>
      <w:r w:rsidRPr="005466E4">
        <w:rPr>
          <w:rFonts w:ascii="Arial" w:hAnsi="Arial" w:cs="Arial"/>
          <w:sz w:val="24"/>
          <w:szCs w:val="24"/>
        </w:rPr>
        <w:t xml:space="preserve"> reflect</w:t>
      </w:r>
      <w:r w:rsidR="00F345BD">
        <w:rPr>
          <w:rFonts w:ascii="Arial" w:hAnsi="Arial" w:cs="Arial"/>
          <w:sz w:val="24"/>
          <w:szCs w:val="24"/>
        </w:rPr>
        <w:t>ing</w:t>
      </w:r>
      <w:r w:rsidRPr="005466E4">
        <w:rPr>
          <w:rFonts w:ascii="Arial" w:hAnsi="Arial" w:cs="Arial"/>
          <w:sz w:val="24"/>
          <w:szCs w:val="24"/>
        </w:rPr>
        <w:t xml:space="preserve"> a random selection </w:t>
      </w:r>
      <w:r w:rsidRPr="005466E4" w:rsidR="00B41769">
        <w:rPr>
          <w:rFonts w:ascii="Arial" w:hAnsi="Arial" w:cs="Arial"/>
          <w:sz w:val="24"/>
          <w:szCs w:val="24"/>
        </w:rPr>
        <w:t xml:space="preserve">process </w:t>
      </w:r>
      <w:r w:rsidRPr="005466E4">
        <w:rPr>
          <w:rFonts w:ascii="Arial" w:hAnsi="Arial" w:cs="Arial"/>
          <w:sz w:val="24"/>
          <w:szCs w:val="24"/>
        </w:rPr>
        <w:t>of participants</w:t>
      </w:r>
      <w:r w:rsidRPr="005466E4">
        <w:rPr>
          <w:rFonts w:ascii="Arial" w:hAnsi="Arial" w:cs="Arial"/>
          <w:sz w:val="24"/>
          <w:szCs w:val="24"/>
        </w:rPr>
        <w:t xml:space="preserve"> from a convenience sample</w:t>
      </w:r>
      <w:r w:rsidRPr="005466E4">
        <w:rPr>
          <w:rFonts w:ascii="Arial" w:hAnsi="Arial" w:cs="Arial"/>
          <w:sz w:val="24"/>
          <w:szCs w:val="24"/>
        </w:rPr>
        <w:t>. Then, as</w:t>
      </w:r>
      <w:r w:rsidRPr="005466E4">
        <w:rPr>
          <w:rFonts w:ascii="Arial" w:hAnsi="Arial" w:cs="Arial"/>
          <w:sz w:val="24"/>
          <w:szCs w:val="24"/>
        </w:rPr>
        <w:t xml:space="preserve"> additional screening and eligibility processes occur</w:t>
      </w:r>
      <w:r w:rsidR="007735A3">
        <w:rPr>
          <w:rFonts w:ascii="Arial" w:hAnsi="Arial" w:cs="Arial"/>
          <w:sz w:val="24"/>
          <w:szCs w:val="24"/>
        </w:rPr>
        <w:t xml:space="preserve"> (e.g., do not suffer from motion sickness</w:t>
      </w:r>
      <w:r w:rsidR="0005288A">
        <w:rPr>
          <w:rFonts w:ascii="Arial" w:hAnsi="Arial" w:cs="Arial"/>
          <w:sz w:val="24"/>
          <w:szCs w:val="24"/>
        </w:rPr>
        <w:t>)</w:t>
      </w:r>
      <w:r w:rsidRPr="005466E4">
        <w:rPr>
          <w:rFonts w:ascii="Arial" w:hAnsi="Arial" w:cs="Arial"/>
          <w:sz w:val="24"/>
          <w:szCs w:val="24"/>
        </w:rPr>
        <w:t>,</w:t>
      </w:r>
      <w:r w:rsidRPr="005466E4">
        <w:rPr>
          <w:rFonts w:ascii="Arial" w:hAnsi="Arial" w:cs="Arial"/>
          <w:sz w:val="24"/>
          <w:szCs w:val="24"/>
        </w:rPr>
        <w:t xml:space="preserve"> researchers will analyze the demographic composition of the human subjects that </w:t>
      </w:r>
      <w:r w:rsidRPr="005466E4">
        <w:rPr>
          <w:rFonts w:ascii="Arial" w:hAnsi="Arial" w:cs="Arial"/>
          <w:sz w:val="24"/>
          <w:szCs w:val="24"/>
        </w:rPr>
        <w:t xml:space="preserve">are volunteering to </w:t>
      </w:r>
      <w:r w:rsidRPr="005466E4" w:rsidR="004958E5">
        <w:rPr>
          <w:rFonts w:ascii="Arial" w:hAnsi="Arial" w:cs="Arial"/>
          <w:sz w:val="24"/>
          <w:szCs w:val="24"/>
        </w:rPr>
        <w:t>participate and</w:t>
      </w:r>
      <w:r w:rsidRPr="005466E4">
        <w:rPr>
          <w:rFonts w:ascii="Arial" w:hAnsi="Arial" w:cs="Arial"/>
          <w:sz w:val="24"/>
          <w:szCs w:val="24"/>
        </w:rPr>
        <w:t xml:space="preserve"> will compare this composition against the targeted demographic composition aimed by the study, until the quota for every demographic composition is filled</w:t>
      </w:r>
      <w:r w:rsidRPr="005466E4" w:rsidR="000D1F5E">
        <w:rPr>
          <w:rFonts w:ascii="Arial" w:hAnsi="Arial" w:cs="Arial"/>
          <w:sz w:val="24"/>
          <w:szCs w:val="24"/>
        </w:rPr>
        <w:t xml:space="preserve"> as much as reasonably practical</w:t>
      </w:r>
      <w:r w:rsidRPr="005466E4">
        <w:rPr>
          <w:rFonts w:ascii="Arial" w:hAnsi="Arial" w:cs="Arial"/>
          <w:sz w:val="24"/>
          <w:szCs w:val="24"/>
        </w:rPr>
        <w:t>, composing our purposive sample.</w:t>
      </w:r>
    </w:p>
    <w:p w:rsidR="003C4295" w:rsidRPr="005466E4" w:rsidP="0004067B" w14:paraId="103E857F" w14:textId="77777777">
      <w:pPr>
        <w:pStyle w:val="ListParagraph"/>
        <w:ind w:left="360"/>
        <w:rPr>
          <w:rFonts w:ascii="Arial" w:hAnsi="Arial" w:cs="Arial"/>
          <w:sz w:val="24"/>
          <w:szCs w:val="24"/>
        </w:rPr>
      </w:pPr>
    </w:p>
    <w:p w:rsidR="003C4295" w:rsidRPr="005466E4" w:rsidP="00FE55EA" w14:paraId="0BF6F8BF" w14:textId="339C6D31">
      <w:pPr>
        <w:pStyle w:val="ListParagraph"/>
        <w:numPr>
          <w:ilvl w:val="0"/>
          <w:numId w:val="1"/>
        </w:numPr>
        <w:ind w:left="360"/>
        <w:rPr>
          <w:rFonts w:ascii="Arial" w:hAnsi="Arial" w:cs="Arial"/>
          <w:b/>
          <w:bCs/>
          <w:sz w:val="24"/>
          <w:szCs w:val="24"/>
        </w:rPr>
      </w:pPr>
      <w:r w:rsidRPr="005466E4">
        <w:rPr>
          <w:rFonts w:ascii="Arial" w:hAnsi="Arial" w:cs="Arial"/>
          <w:b/>
          <w:bCs/>
          <w:sz w:val="24"/>
          <w:szCs w:val="24"/>
        </w:rPr>
        <w:t>Respondent Selection Methods and Anticipated Sample</w:t>
      </w:r>
    </w:p>
    <w:p w:rsidR="003C4295" w:rsidRPr="005466E4" w:rsidP="0004067B" w14:paraId="7336C257" w14:textId="77777777">
      <w:pPr>
        <w:pStyle w:val="ListParagraph"/>
        <w:ind w:left="360"/>
        <w:rPr>
          <w:rFonts w:ascii="Arial" w:hAnsi="Arial" w:cs="Arial"/>
          <w:sz w:val="24"/>
          <w:szCs w:val="24"/>
        </w:rPr>
      </w:pPr>
    </w:p>
    <w:p w:rsidR="009108D5" w:rsidP="00F133A4" w14:paraId="05C1E3BA" w14:textId="5DA70312">
      <w:pPr>
        <w:pStyle w:val="ListParagraph"/>
        <w:ind w:left="360"/>
        <w:rPr>
          <w:rFonts w:ascii="Arial" w:hAnsi="Arial" w:cs="Arial"/>
          <w:sz w:val="24"/>
          <w:szCs w:val="24"/>
        </w:rPr>
      </w:pPr>
      <w:r w:rsidRPr="005466E4">
        <w:rPr>
          <w:rFonts w:ascii="Arial" w:hAnsi="Arial" w:cs="Arial"/>
          <w:sz w:val="24"/>
          <w:szCs w:val="24"/>
        </w:rPr>
        <w:t xml:space="preserve">According to the Bureau of Labor Statistics, as shown in </w:t>
      </w:r>
      <w:r w:rsidR="006912DC">
        <w:rPr>
          <w:rFonts w:ascii="Arial" w:hAnsi="Arial" w:cs="Arial"/>
          <w:sz w:val="24"/>
          <w:szCs w:val="24"/>
        </w:rPr>
        <w:t>Figure</w:t>
      </w:r>
      <w:r w:rsidRPr="005466E4">
        <w:rPr>
          <w:rFonts w:ascii="Arial" w:hAnsi="Arial" w:cs="Arial"/>
          <w:sz w:val="24"/>
          <w:szCs w:val="24"/>
        </w:rPr>
        <w:t xml:space="preserve"> 1, the demographic composition of </w:t>
      </w:r>
      <w:r w:rsidRPr="005466E4">
        <w:rPr>
          <w:rFonts w:ascii="Arial" w:hAnsi="Arial" w:cs="Arial"/>
          <w:sz w:val="24"/>
          <w:szCs w:val="24"/>
        </w:rPr>
        <w:t xml:space="preserve">manufacturing workings </w:t>
      </w:r>
      <w:r w:rsidRPr="005466E4">
        <w:rPr>
          <w:rFonts w:ascii="Arial" w:hAnsi="Arial" w:cs="Arial"/>
          <w:sz w:val="24"/>
          <w:szCs w:val="24"/>
        </w:rPr>
        <w:t>in the United States in 20</w:t>
      </w:r>
      <w:r w:rsidRPr="005466E4">
        <w:rPr>
          <w:rFonts w:ascii="Arial" w:hAnsi="Arial" w:cs="Arial"/>
          <w:sz w:val="24"/>
          <w:szCs w:val="24"/>
        </w:rPr>
        <w:t>23</w:t>
      </w:r>
      <w:r w:rsidRPr="005466E4">
        <w:rPr>
          <w:rFonts w:ascii="Arial" w:hAnsi="Arial" w:cs="Arial"/>
          <w:sz w:val="24"/>
          <w:szCs w:val="24"/>
        </w:rPr>
        <w:t xml:space="preserve"> was </w:t>
      </w:r>
      <w:r w:rsidRPr="005466E4">
        <w:rPr>
          <w:rFonts w:ascii="Arial" w:hAnsi="Arial" w:cs="Arial"/>
          <w:sz w:val="24"/>
          <w:szCs w:val="24"/>
        </w:rPr>
        <w:t>30% women, 78% White, 11% Black or African American, 8.0% Asian, and 18% Hispanic or Latino</w:t>
      </w:r>
      <w:r w:rsidRPr="005466E4">
        <w:rPr>
          <w:rFonts w:ascii="Arial" w:hAnsi="Arial" w:cs="Arial"/>
          <w:bCs/>
          <w:sz w:val="24"/>
          <w:szCs w:val="24"/>
        </w:rPr>
        <w:t xml:space="preserve">. </w:t>
      </w:r>
      <w:r w:rsidRPr="005466E4">
        <w:rPr>
          <w:rFonts w:ascii="Arial" w:hAnsi="Arial" w:cs="Arial"/>
          <w:sz w:val="24"/>
          <w:szCs w:val="24"/>
        </w:rPr>
        <w:t xml:space="preserve">According to the </w:t>
      </w:r>
      <w:r w:rsidRPr="005466E4">
        <w:rPr>
          <w:rFonts w:ascii="Arial" w:hAnsi="Arial" w:cs="Arial"/>
          <w:sz w:val="24"/>
          <w:szCs w:val="24"/>
        </w:rPr>
        <w:t>CensusReporter</w:t>
      </w:r>
      <w:r w:rsidRPr="005466E4">
        <w:rPr>
          <w:rFonts w:ascii="Arial" w:hAnsi="Arial" w:cs="Arial"/>
          <w:sz w:val="24"/>
          <w:szCs w:val="24"/>
        </w:rPr>
        <w:t xml:space="preserve"> website</w:t>
      </w:r>
      <w:r w:rsidRPr="005466E4" w:rsidR="00930059">
        <w:rPr>
          <w:rFonts w:ascii="Arial" w:hAnsi="Arial" w:cs="Arial"/>
          <w:sz w:val="24"/>
          <w:szCs w:val="24"/>
        </w:rPr>
        <w:t xml:space="preserve"> [6, 7]</w:t>
      </w:r>
      <w:r w:rsidRPr="005466E4">
        <w:rPr>
          <w:rFonts w:ascii="Arial" w:hAnsi="Arial" w:cs="Arial"/>
          <w:sz w:val="24"/>
          <w:szCs w:val="24"/>
        </w:rPr>
        <w:t xml:space="preserve">, the metropolitan area of Morgantown, WV is shown in Figure 1a, and has a total population of </w:t>
      </w:r>
      <w:r w:rsidRPr="005466E4" w:rsidR="00877007">
        <w:rPr>
          <w:rFonts w:ascii="Arial" w:hAnsi="Arial" w:cs="Arial"/>
          <w:sz w:val="24"/>
          <w:szCs w:val="24"/>
        </w:rPr>
        <w:t xml:space="preserve">141,041 inhabitants, of which 47.9% are Women, 86.2% are White, 3.7% are Black or African American, 2.6% are Asian, and 2.8% are Hispanic or Latino. To increase the pool of potential participants, project researchers will expand the recruitment area to the Pittsburgh metropolitan area, which includes Pittsburgh, New Castle, Weirton PA-OH-WV combined statistical areas. The Pittsburgh metropolitan area, as shown in </w:t>
      </w:r>
      <w:r w:rsidR="006912DC">
        <w:rPr>
          <w:rFonts w:ascii="Arial" w:hAnsi="Arial" w:cs="Arial"/>
          <w:sz w:val="24"/>
          <w:szCs w:val="24"/>
        </w:rPr>
        <w:t>Figure 1</w:t>
      </w:r>
      <w:r w:rsidRPr="005466E4" w:rsidR="00877007">
        <w:rPr>
          <w:rFonts w:ascii="Arial" w:hAnsi="Arial" w:cs="Arial"/>
          <w:sz w:val="24"/>
          <w:szCs w:val="24"/>
        </w:rPr>
        <w:t>, and Figure 1b, has a demographic composition of 50.8% Women, 82.7% White, 7.3% Black or African American, 2.7% Asian, and 2.1% Hispanic or Latino.</w:t>
      </w:r>
    </w:p>
    <w:p w:rsidR="00F133A4" w:rsidRPr="00F133A4" w:rsidP="00F133A4" w14:paraId="55DAF89E" w14:textId="77777777">
      <w:pPr>
        <w:pStyle w:val="ListParagraph"/>
        <w:ind w:left="360"/>
        <w:rPr>
          <w:rFonts w:ascii="Arial" w:hAnsi="Arial" w:cs="Arial"/>
          <w:sz w:val="24"/>
          <w:szCs w:val="24"/>
        </w:rPr>
      </w:pPr>
    </w:p>
    <w:tbl>
      <w:tblPr>
        <w:tblStyle w:val="TableGrid"/>
        <w:tblW w:w="0" w:type="auto"/>
        <w:tblInd w:w="360" w:type="dxa"/>
        <w:tblBorders>
          <w:left w:val="none" w:sz="0" w:space="0" w:color="auto"/>
          <w:right w:val="none" w:sz="0" w:space="0" w:color="auto"/>
          <w:insideH w:val="none" w:sz="0" w:space="0" w:color="auto"/>
          <w:insideV w:val="none" w:sz="0" w:space="0" w:color="auto"/>
        </w:tblBorders>
        <w:tblCellMar>
          <w:top w:w="72" w:type="dxa"/>
          <w:bottom w:w="72" w:type="dxa"/>
        </w:tblCellMar>
        <w:tblLook w:val="04A0"/>
      </w:tblPr>
      <w:tblGrid>
        <w:gridCol w:w="1738"/>
        <w:gridCol w:w="1353"/>
        <w:gridCol w:w="1151"/>
        <w:gridCol w:w="1263"/>
        <w:gridCol w:w="1269"/>
        <w:gridCol w:w="1008"/>
        <w:gridCol w:w="1210"/>
      </w:tblGrid>
      <w:tr w14:paraId="323190CA" w14:textId="77777777" w:rsidTr="00A479E4">
        <w:tblPrEx>
          <w:tblW w:w="0" w:type="auto"/>
          <w:tblInd w:w="360" w:type="dxa"/>
          <w:tblBorders>
            <w:left w:val="none" w:sz="0" w:space="0" w:color="auto"/>
            <w:right w:val="none" w:sz="0" w:space="0" w:color="auto"/>
            <w:insideH w:val="none" w:sz="0" w:space="0" w:color="auto"/>
            <w:insideV w:val="none" w:sz="0" w:space="0" w:color="auto"/>
          </w:tblBorders>
          <w:tblCellMar>
            <w:top w:w="72" w:type="dxa"/>
            <w:bottom w:w="72" w:type="dxa"/>
          </w:tblCellMar>
          <w:tblLook w:val="04A0"/>
        </w:tblPrEx>
        <w:tc>
          <w:tcPr>
            <w:tcW w:w="1738" w:type="dxa"/>
            <w:vMerge w:val="restart"/>
            <w:tcBorders>
              <w:top w:val="single" w:sz="4" w:space="0" w:color="auto"/>
              <w:bottom w:val="nil"/>
            </w:tcBorders>
            <w:vAlign w:val="center"/>
          </w:tcPr>
          <w:p w:rsidR="00BE7971" w:rsidRPr="00F133A4" w:rsidP="00F604F0" w14:paraId="2347AB7D" w14:textId="77777777">
            <w:pPr>
              <w:pStyle w:val="ListParagraph"/>
              <w:ind w:left="0"/>
              <w:jc w:val="center"/>
              <w:rPr>
                <w:rFonts w:ascii="Arial" w:hAnsi="Arial" w:cs="Arial"/>
                <w:b/>
                <w:bCs/>
              </w:rPr>
            </w:pPr>
          </w:p>
        </w:tc>
        <w:tc>
          <w:tcPr>
            <w:tcW w:w="1351" w:type="dxa"/>
            <w:vMerge w:val="restart"/>
            <w:tcBorders>
              <w:top w:val="single" w:sz="4" w:space="0" w:color="auto"/>
              <w:bottom w:val="nil"/>
            </w:tcBorders>
            <w:vAlign w:val="center"/>
          </w:tcPr>
          <w:p w:rsidR="00BE7971" w:rsidRPr="00F133A4" w:rsidP="00F604F0" w14:paraId="0F8A8C9E" w14:textId="0D1634E0">
            <w:pPr>
              <w:pStyle w:val="ListParagraph"/>
              <w:ind w:left="0"/>
              <w:jc w:val="center"/>
              <w:rPr>
                <w:rFonts w:ascii="Arial" w:hAnsi="Arial" w:cs="Arial"/>
                <w:b/>
                <w:bCs/>
              </w:rPr>
            </w:pPr>
            <w:r w:rsidRPr="00F133A4">
              <w:rPr>
                <w:rFonts w:ascii="Arial" w:hAnsi="Arial" w:cs="Arial"/>
                <w:b/>
                <w:bCs/>
              </w:rPr>
              <w:t>Total Population</w:t>
            </w:r>
          </w:p>
        </w:tc>
        <w:tc>
          <w:tcPr>
            <w:tcW w:w="1151" w:type="dxa"/>
            <w:vMerge w:val="restart"/>
            <w:tcBorders>
              <w:top w:val="single" w:sz="4" w:space="0" w:color="auto"/>
              <w:bottom w:val="nil"/>
            </w:tcBorders>
            <w:vAlign w:val="center"/>
          </w:tcPr>
          <w:p w:rsidR="00BE7971" w:rsidRPr="00F133A4" w:rsidP="00F604F0" w14:paraId="51413156" w14:textId="6E4E74C7">
            <w:pPr>
              <w:pStyle w:val="ListParagraph"/>
              <w:ind w:left="0"/>
              <w:jc w:val="center"/>
              <w:rPr>
                <w:rFonts w:ascii="Arial" w:hAnsi="Arial" w:cs="Arial"/>
                <w:b/>
                <w:bCs/>
              </w:rPr>
            </w:pPr>
            <w:r w:rsidRPr="00F133A4">
              <w:rPr>
                <w:rFonts w:ascii="Arial" w:hAnsi="Arial" w:cs="Arial"/>
                <w:b/>
                <w:bCs/>
              </w:rPr>
              <w:t>Percent Women (%)</w:t>
            </w:r>
          </w:p>
        </w:tc>
        <w:tc>
          <w:tcPr>
            <w:tcW w:w="4750" w:type="dxa"/>
            <w:gridSpan w:val="4"/>
            <w:tcBorders>
              <w:top w:val="single" w:sz="4" w:space="0" w:color="auto"/>
              <w:bottom w:val="single" w:sz="4" w:space="0" w:color="auto"/>
            </w:tcBorders>
            <w:vAlign w:val="center"/>
          </w:tcPr>
          <w:p w:rsidR="00BE7971" w:rsidRPr="00F133A4" w:rsidP="00F604F0" w14:paraId="455392BF" w14:textId="66E5357B">
            <w:pPr>
              <w:pStyle w:val="ListParagraph"/>
              <w:ind w:left="0"/>
              <w:jc w:val="center"/>
              <w:rPr>
                <w:rFonts w:ascii="Arial" w:hAnsi="Arial" w:cs="Arial"/>
                <w:b/>
                <w:bCs/>
              </w:rPr>
            </w:pPr>
            <w:r w:rsidRPr="00F133A4">
              <w:rPr>
                <w:rFonts w:ascii="Arial" w:hAnsi="Arial" w:cs="Arial"/>
                <w:b/>
                <w:bCs/>
              </w:rPr>
              <w:t>Demographic Composition (%)</w:t>
            </w:r>
          </w:p>
        </w:tc>
      </w:tr>
      <w:tr w14:paraId="24BFB54F" w14:textId="77777777" w:rsidTr="00A479E4">
        <w:tblPrEx>
          <w:tblW w:w="0" w:type="auto"/>
          <w:tblInd w:w="360" w:type="dxa"/>
          <w:tblCellMar>
            <w:top w:w="72" w:type="dxa"/>
            <w:bottom w:w="72" w:type="dxa"/>
          </w:tblCellMar>
          <w:tblLook w:val="04A0"/>
        </w:tblPrEx>
        <w:tc>
          <w:tcPr>
            <w:tcW w:w="1738" w:type="dxa"/>
            <w:vMerge/>
            <w:tcBorders>
              <w:top w:val="nil"/>
              <w:bottom w:val="single" w:sz="4" w:space="0" w:color="auto"/>
            </w:tcBorders>
            <w:vAlign w:val="center"/>
          </w:tcPr>
          <w:p w:rsidR="00BE7971" w:rsidRPr="00F133A4" w:rsidP="00F604F0" w14:paraId="328C6256" w14:textId="77777777">
            <w:pPr>
              <w:pStyle w:val="ListParagraph"/>
              <w:ind w:left="0"/>
              <w:jc w:val="center"/>
              <w:rPr>
                <w:rFonts w:ascii="Arial" w:hAnsi="Arial" w:cs="Arial"/>
                <w:b/>
                <w:bCs/>
              </w:rPr>
            </w:pPr>
          </w:p>
        </w:tc>
        <w:tc>
          <w:tcPr>
            <w:tcW w:w="1351" w:type="dxa"/>
            <w:vMerge/>
            <w:tcBorders>
              <w:top w:val="nil"/>
              <w:bottom w:val="single" w:sz="4" w:space="0" w:color="auto"/>
            </w:tcBorders>
            <w:vAlign w:val="center"/>
          </w:tcPr>
          <w:p w:rsidR="00BE7971" w:rsidRPr="00F133A4" w:rsidP="00F604F0" w14:paraId="4EA5459F" w14:textId="77777777">
            <w:pPr>
              <w:pStyle w:val="ListParagraph"/>
              <w:ind w:left="0"/>
              <w:jc w:val="center"/>
              <w:rPr>
                <w:rFonts w:ascii="Arial" w:hAnsi="Arial" w:cs="Arial"/>
                <w:b/>
                <w:bCs/>
              </w:rPr>
            </w:pPr>
          </w:p>
        </w:tc>
        <w:tc>
          <w:tcPr>
            <w:tcW w:w="1151" w:type="dxa"/>
            <w:vMerge/>
            <w:tcBorders>
              <w:top w:val="nil"/>
              <w:bottom w:val="single" w:sz="4" w:space="0" w:color="auto"/>
            </w:tcBorders>
            <w:vAlign w:val="center"/>
          </w:tcPr>
          <w:p w:rsidR="00BE7971" w:rsidRPr="00F133A4" w:rsidP="00F604F0" w14:paraId="356CD06F" w14:textId="77777777">
            <w:pPr>
              <w:pStyle w:val="ListParagraph"/>
              <w:ind w:left="0"/>
              <w:jc w:val="center"/>
              <w:rPr>
                <w:rFonts w:ascii="Arial" w:hAnsi="Arial" w:cs="Arial"/>
                <w:b/>
                <w:bCs/>
              </w:rPr>
            </w:pPr>
          </w:p>
        </w:tc>
        <w:tc>
          <w:tcPr>
            <w:tcW w:w="1263" w:type="dxa"/>
            <w:tcBorders>
              <w:top w:val="single" w:sz="4" w:space="0" w:color="auto"/>
              <w:bottom w:val="single" w:sz="4" w:space="0" w:color="auto"/>
            </w:tcBorders>
            <w:vAlign w:val="center"/>
          </w:tcPr>
          <w:p w:rsidR="00BE7971" w:rsidRPr="00F133A4" w:rsidP="00F604F0" w14:paraId="2A850CD7" w14:textId="01A9C3A7">
            <w:pPr>
              <w:pStyle w:val="ListParagraph"/>
              <w:ind w:left="0"/>
              <w:jc w:val="center"/>
              <w:rPr>
                <w:rFonts w:ascii="Arial" w:hAnsi="Arial" w:cs="Arial"/>
                <w:b/>
                <w:bCs/>
              </w:rPr>
            </w:pPr>
            <w:r w:rsidRPr="00F133A4">
              <w:rPr>
                <w:rFonts w:ascii="Arial" w:hAnsi="Arial" w:cs="Arial"/>
                <w:b/>
                <w:bCs/>
              </w:rPr>
              <w:t>White</w:t>
            </w:r>
          </w:p>
        </w:tc>
        <w:tc>
          <w:tcPr>
            <w:tcW w:w="1269" w:type="dxa"/>
            <w:tcBorders>
              <w:top w:val="single" w:sz="4" w:space="0" w:color="auto"/>
              <w:bottom w:val="single" w:sz="4" w:space="0" w:color="auto"/>
            </w:tcBorders>
            <w:vAlign w:val="center"/>
          </w:tcPr>
          <w:p w:rsidR="00BE7971" w:rsidRPr="00F133A4" w:rsidP="00F604F0" w14:paraId="4D4A57C4" w14:textId="68C39D21">
            <w:pPr>
              <w:pStyle w:val="ListParagraph"/>
              <w:ind w:left="0"/>
              <w:jc w:val="center"/>
              <w:rPr>
                <w:rFonts w:ascii="Arial" w:hAnsi="Arial" w:cs="Arial"/>
                <w:b/>
                <w:bCs/>
              </w:rPr>
            </w:pPr>
            <w:r w:rsidRPr="00F133A4">
              <w:rPr>
                <w:rFonts w:ascii="Arial" w:hAnsi="Arial" w:cs="Arial"/>
                <w:b/>
                <w:bCs/>
              </w:rPr>
              <w:t>Black or African American</w:t>
            </w:r>
          </w:p>
        </w:tc>
        <w:tc>
          <w:tcPr>
            <w:tcW w:w="1008" w:type="dxa"/>
            <w:tcBorders>
              <w:top w:val="single" w:sz="4" w:space="0" w:color="auto"/>
              <w:bottom w:val="single" w:sz="4" w:space="0" w:color="auto"/>
            </w:tcBorders>
            <w:vAlign w:val="center"/>
          </w:tcPr>
          <w:p w:rsidR="00BE7971" w:rsidRPr="00F133A4" w:rsidP="00F604F0" w14:paraId="3815D4DE" w14:textId="336FF56C">
            <w:pPr>
              <w:pStyle w:val="ListParagraph"/>
              <w:ind w:left="0"/>
              <w:jc w:val="center"/>
              <w:rPr>
                <w:rFonts w:ascii="Arial" w:hAnsi="Arial" w:cs="Arial"/>
                <w:b/>
                <w:bCs/>
              </w:rPr>
            </w:pPr>
            <w:r w:rsidRPr="00F133A4">
              <w:rPr>
                <w:rFonts w:ascii="Arial" w:hAnsi="Arial" w:cs="Arial"/>
                <w:b/>
                <w:bCs/>
              </w:rPr>
              <w:t>Asian</w:t>
            </w:r>
          </w:p>
        </w:tc>
        <w:tc>
          <w:tcPr>
            <w:tcW w:w="1210" w:type="dxa"/>
            <w:tcBorders>
              <w:top w:val="single" w:sz="4" w:space="0" w:color="auto"/>
              <w:bottom w:val="single" w:sz="4" w:space="0" w:color="auto"/>
            </w:tcBorders>
            <w:vAlign w:val="center"/>
          </w:tcPr>
          <w:p w:rsidR="00BE7971" w:rsidRPr="00F133A4" w:rsidP="00F604F0" w14:paraId="38941A3F" w14:textId="69270DE4">
            <w:pPr>
              <w:pStyle w:val="ListParagraph"/>
              <w:ind w:left="0"/>
              <w:jc w:val="center"/>
              <w:rPr>
                <w:rFonts w:ascii="Arial" w:hAnsi="Arial" w:cs="Arial"/>
                <w:b/>
                <w:bCs/>
              </w:rPr>
            </w:pPr>
            <w:r w:rsidRPr="00F133A4">
              <w:rPr>
                <w:rFonts w:ascii="Arial" w:hAnsi="Arial" w:cs="Arial"/>
                <w:b/>
                <w:bCs/>
              </w:rPr>
              <w:t>Hispanic or Latino</w:t>
            </w:r>
          </w:p>
        </w:tc>
      </w:tr>
      <w:tr w14:paraId="089A876B" w14:textId="77777777" w:rsidTr="00A479E4">
        <w:tblPrEx>
          <w:tblW w:w="0" w:type="auto"/>
          <w:tblInd w:w="360" w:type="dxa"/>
          <w:tblCellMar>
            <w:top w:w="72" w:type="dxa"/>
            <w:bottom w:w="72" w:type="dxa"/>
          </w:tblCellMar>
          <w:tblLook w:val="04A0"/>
        </w:tblPrEx>
        <w:tc>
          <w:tcPr>
            <w:tcW w:w="1738" w:type="dxa"/>
            <w:tcBorders>
              <w:top w:val="single" w:sz="4" w:space="0" w:color="auto"/>
            </w:tcBorders>
            <w:vAlign w:val="center"/>
          </w:tcPr>
          <w:p w:rsidR="00F604F0" w:rsidRPr="00F133A4" w:rsidP="00F604F0" w14:paraId="699B6A0B" w14:textId="63E5506C">
            <w:pPr>
              <w:pStyle w:val="ListParagraph"/>
              <w:ind w:left="0"/>
              <w:jc w:val="center"/>
              <w:rPr>
                <w:rFonts w:ascii="Arial" w:hAnsi="Arial" w:cs="Arial"/>
                <w:b/>
                <w:bCs/>
              </w:rPr>
            </w:pPr>
            <w:r w:rsidRPr="00F133A4">
              <w:rPr>
                <w:rFonts w:ascii="Arial" w:hAnsi="Arial" w:cs="Arial"/>
                <w:b/>
                <w:bCs/>
              </w:rPr>
              <w:t>US Manufacturing Workforce</w:t>
            </w:r>
          </w:p>
        </w:tc>
        <w:tc>
          <w:tcPr>
            <w:tcW w:w="1351" w:type="dxa"/>
            <w:tcBorders>
              <w:top w:val="single" w:sz="4" w:space="0" w:color="auto"/>
            </w:tcBorders>
            <w:vAlign w:val="center"/>
          </w:tcPr>
          <w:p w:rsidR="00F604F0" w:rsidRPr="00F133A4" w:rsidP="00F604F0" w14:paraId="0A4019BE" w14:textId="2588D743">
            <w:pPr>
              <w:pStyle w:val="ListParagraph"/>
              <w:ind w:left="0"/>
              <w:jc w:val="center"/>
              <w:rPr>
                <w:rFonts w:ascii="Arial" w:hAnsi="Arial" w:cs="Arial"/>
              </w:rPr>
            </w:pPr>
            <w:r w:rsidRPr="00F133A4">
              <w:rPr>
                <w:rFonts w:ascii="Arial" w:hAnsi="Arial" w:cs="Arial"/>
              </w:rPr>
              <w:t>15,570,000</w:t>
            </w:r>
          </w:p>
        </w:tc>
        <w:tc>
          <w:tcPr>
            <w:tcW w:w="1151" w:type="dxa"/>
            <w:tcBorders>
              <w:top w:val="single" w:sz="4" w:space="0" w:color="auto"/>
            </w:tcBorders>
            <w:vAlign w:val="center"/>
          </w:tcPr>
          <w:p w:rsidR="00F604F0" w:rsidRPr="00F133A4" w:rsidP="00F604F0" w14:paraId="58283728" w14:textId="74E188CD">
            <w:pPr>
              <w:pStyle w:val="ListParagraph"/>
              <w:ind w:left="0"/>
              <w:jc w:val="center"/>
              <w:rPr>
                <w:rFonts w:ascii="Arial" w:hAnsi="Arial" w:cs="Arial"/>
              </w:rPr>
            </w:pPr>
            <w:r w:rsidRPr="00F133A4">
              <w:rPr>
                <w:rFonts w:ascii="Arial" w:hAnsi="Arial" w:cs="Arial"/>
              </w:rPr>
              <w:t>30</w:t>
            </w:r>
          </w:p>
        </w:tc>
        <w:tc>
          <w:tcPr>
            <w:tcW w:w="1263" w:type="dxa"/>
            <w:tcBorders>
              <w:top w:val="single" w:sz="4" w:space="0" w:color="auto"/>
            </w:tcBorders>
            <w:vAlign w:val="center"/>
          </w:tcPr>
          <w:p w:rsidR="00F604F0" w:rsidRPr="00F133A4" w:rsidP="00F604F0" w14:paraId="19D8EF05" w14:textId="3295A40C">
            <w:pPr>
              <w:pStyle w:val="ListParagraph"/>
              <w:ind w:left="0"/>
              <w:jc w:val="center"/>
              <w:rPr>
                <w:rFonts w:ascii="Arial" w:hAnsi="Arial" w:cs="Arial"/>
              </w:rPr>
            </w:pPr>
            <w:r w:rsidRPr="00F133A4">
              <w:rPr>
                <w:rFonts w:ascii="Arial" w:hAnsi="Arial" w:cs="Arial"/>
              </w:rPr>
              <w:t>78</w:t>
            </w:r>
          </w:p>
        </w:tc>
        <w:tc>
          <w:tcPr>
            <w:tcW w:w="1269" w:type="dxa"/>
            <w:tcBorders>
              <w:top w:val="single" w:sz="4" w:space="0" w:color="auto"/>
            </w:tcBorders>
            <w:vAlign w:val="center"/>
          </w:tcPr>
          <w:p w:rsidR="00F604F0" w:rsidRPr="00F133A4" w:rsidP="00F604F0" w14:paraId="32566577" w14:textId="2624502A">
            <w:pPr>
              <w:pStyle w:val="ListParagraph"/>
              <w:ind w:left="0"/>
              <w:jc w:val="center"/>
              <w:rPr>
                <w:rFonts w:ascii="Arial" w:hAnsi="Arial" w:cs="Arial"/>
              </w:rPr>
            </w:pPr>
            <w:r w:rsidRPr="00F133A4">
              <w:rPr>
                <w:rFonts w:ascii="Arial" w:hAnsi="Arial" w:cs="Arial"/>
              </w:rPr>
              <w:t>11</w:t>
            </w:r>
          </w:p>
        </w:tc>
        <w:tc>
          <w:tcPr>
            <w:tcW w:w="1008" w:type="dxa"/>
            <w:tcBorders>
              <w:top w:val="single" w:sz="4" w:space="0" w:color="auto"/>
            </w:tcBorders>
            <w:vAlign w:val="center"/>
          </w:tcPr>
          <w:p w:rsidR="00F604F0" w:rsidRPr="00F133A4" w:rsidP="00F604F0" w14:paraId="377F471F" w14:textId="5A2415B3">
            <w:pPr>
              <w:pStyle w:val="ListParagraph"/>
              <w:ind w:left="0"/>
              <w:jc w:val="center"/>
              <w:rPr>
                <w:rFonts w:ascii="Arial" w:hAnsi="Arial" w:cs="Arial"/>
              </w:rPr>
            </w:pPr>
            <w:r w:rsidRPr="00F133A4">
              <w:rPr>
                <w:rFonts w:ascii="Arial" w:hAnsi="Arial" w:cs="Arial"/>
              </w:rPr>
              <w:t>8</w:t>
            </w:r>
          </w:p>
        </w:tc>
        <w:tc>
          <w:tcPr>
            <w:tcW w:w="1210" w:type="dxa"/>
            <w:tcBorders>
              <w:top w:val="single" w:sz="4" w:space="0" w:color="auto"/>
            </w:tcBorders>
            <w:vAlign w:val="center"/>
          </w:tcPr>
          <w:p w:rsidR="00F604F0" w:rsidRPr="00F133A4" w:rsidP="00F604F0" w14:paraId="28D82F47" w14:textId="77A03792">
            <w:pPr>
              <w:pStyle w:val="ListParagraph"/>
              <w:ind w:left="0"/>
              <w:jc w:val="center"/>
              <w:rPr>
                <w:rFonts w:ascii="Arial" w:hAnsi="Arial" w:cs="Arial"/>
              </w:rPr>
            </w:pPr>
            <w:r w:rsidRPr="00F133A4">
              <w:rPr>
                <w:rFonts w:ascii="Arial" w:hAnsi="Arial" w:cs="Arial"/>
              </w:rPr>
              <w:t>18</w:t>
            </w:r>
          </w:p>
        </w:tc>
      </w:tr>
      <w:tr w14:paraId="72FDC0EA" w14:textId="77777777" w:rsidTr="00A479E4">
        <w:tblPrEx>
          <w:tblW w:w="0" w:type="auto"/>
          <w:tblInd w:w="360" w:type="dxa"/>
          <w:tblCellMar>
            <w:top w:w="72" w:type="dxa"/>
            <w:bottom w:w="72" w:type="dxa"/>
          </w:tblCellMar>
          <w:tblLook w:val="04A0"/>
        </w:tblPrEx>
        <w:tc>
          <w:tcPr>
            <w:tcW w:w="1738" w:type="dxa"/>
            <w:vAlign w:val="center"/>
          </w:tcPr>
          <w:p w:rsidR="00F604F0" w:rsidRPr="00F133A4" w:rsidP="00F604F0" w14:paraId="2B49D86F" w14:textId="34BFD238">
            <w:pPr>
              <w:pStyle w:val="ListParagraph"/>
              <w:ind w:left="0"/>
              <w:jc w:val="center"/>
              <w:rPr>
                <w:rFonts w:ascii="Arial" w:hAnsi="Arial" w:cs="Arial"/>
                <w:b/>
                <w:bCs/>
              </w:rPr>
            </w:pPr>
            <w:r w:rsidRPr="00F133A4">
              <w:rPr>
                <w:rFonts w:ascii="Arial" w:hAnsi="Arial" w:cs="Arial"/>
                <w:b/>
                <w:bCs/>
              </w:rPr>
              <w:t>Morgantown, WV</w:t>
            </w:r>
          </w:p>
        </w:tc>
        <w:tc>
          <w:tcPr>
            <w:tcW w:w="1351" w:type="dxa"/>
            <w:vAlign w:val="center"/>
          </w:tcPr>
          <w:p w:rsidR="00F604F0" w:rsidRPr="00F133A4" w:rsidP="00F604F0" w14:paraId="4B00D584" w14:textId="66AC558E">
            <w:pPr>
              <w:pStyle w:val="ListParagraph"/>
              <w:ind w:left="0"/>
              <w:jc w:val="center"/>
              <w:rPr>
                <w:rFonts w:ascii="Arial" w:hAnsi="Arial" w:cs="Arial"/>
              </w:rPr>
            </w:pPr>
            <w:r w:rsidRPr="00F133A4">
              <w:rPr>
                <w:rFonts w:ascii="Arial" w:hAnsi="Arial" w:cs="Arial"/>
              </w:rPr>
              <w:t>14</w:t>
            </w:r>
            <w:r w:rsidRPr="00F133A4" w:rsidR="00A479E4">
              <w:rPr>
                <w:rFonts w:ascii="Arial" w:hAnsi="Arial" w:cs="Arial"/>
              </w:rPr>
              <w:t>1,041</w:t>
            </w:r>
          </w:p>
        </w:tc>
        <w:tc>
          <w:tcPr>
            <w:tcW w:w="1151" w:type="dxa"/>
            <w:vAlign w:val="center"/>
          </w:tcPr>
          <w:p w:rsidR="00F604F0" w:rsidRPr="00F133A4" w:rsidP="00F604F0" w14:paraId="7A0C15D2" w14:textId="4785943F">
            <w:pPr>
              <w:pStyle w:val="ListParagraph"/>
              <w:ind w:left="0"/>
              <w:jc w:val="center"/>
              <w:rPr>
                <w:rFonts w:ascii="Arial" w:hAnsi="Arial" w:cs="Arial"/>
              </w:rPr>
            </w:pPr>
            <w:r w:rsidRPr="00F133A4">
              <w:rPr>
                <w:rFonts w:ascii="Arial" w:hAnsi="Arial" w:cs="Arial"/>
              </w:rPr>
              <w:t>47.9</w:t>
            </w:r>
          </w:p>
        </w:tc>
        <w:tc>
          <w:tcPr>
            <w:tcW w:w="1263" w:type="dxa"/>
            <w:vAlign w:val="center"/>
          </w:tcPr>
          <w:p w:rsidR="00F604F0" w:rsidRPr="00F133A4" w:rsidP="00F604F0" w14:paraId="3CAE1692" w14:textId="75B2EC99">
            <w:pPr>
              <w:pStyle w:val="ListParagraph"/>
              <w:ind w:left="0"/>
              <w:jc w:val="center"/>
              <w:rPr>
                <w:rFonts w:ascii="Arial" w:hAnsi="Arial" w:cs="Arial"/>
              </w:rPr>
            </w:pPr>
            <w:r w:rsidRPr="00F133A4">
              <w:rPr>
                <w:rFonts w:ascii="Arial" w:hAnsi="Arial" w:cs="Arial"/>
              </w:rPr>
              <w:t>86.2</w:t>
            </w:r>
          </w:p>
        </w:tc>
        <w:tc>
          <w:tcPr>
            <w:tcW w:w="1269" w:type="dxa"/>
            <w:vAlign w:val="center"/>
          </w:tcPr>
          <w:p w:rsidR="00F604F0" w:rsidRPr="00F133A4" w:rsidP="00F604F0" w14:paraId="7DA4AD7C" w14:textId="16A25883">
            <w:pPr>
              <w:pStyle w:val="ListParagraph"/>
              <w:ind w:left="0"/>
              <w:jc w:val="center"/>
              <w:rPr>
                <w:rFonts w:ascii="Arial" w:hAnsi="Arial" w:cs="Arial"/>
              </w:rPr>
            </w:pPr>
            <w:r w:rsidRPr="00F133A4">
              <w:rPr>
                <w:rFonts w:ascii="Arial" w:hAnsi="Arial" w:cs="Arial"/>
              </w:rPr>
              <w:t>3.7</w:t>
            </w:r>
          </w:p>
        </w:tc>
        <w:tc>
          <w:tcPr>
            <w:tcW w:w="1008" w:type="dxa"/>
            <w:vAlign w:val="center"/>
          </w:tcPr>
          <w:p w:rsidR="00F604F0" w:rsidRPr="00F133A4" w:rsidP="00F604F0" w14:paraId="31A07512" w14:textId="6D2A4FB0">
            <w:pPr>
              <w:pStyle w:val="ListParagraph"/>
              <w:ind w:left="0"/>
              <w:jc w:val="center"/>
              <w:rPr>
                <w:rFonts w:ascii="Arial" w:hAnsi="Arial" w:cs="Arial"/>
              </w:rPr>
            </w:pPr>
            <w:r w:rsidRPr="00F133A4">
              <w:rPr>
                <w:rFonts w:ascii="Arial" w:hAnsi="Arial" w:cs="Arial"/>
              </w:rPr>
              <w:t>2.6</w:t>
            </w:r>
          </w:p>
        </w:tc>
        <w:tc>
          <w:tcPr>
            <w:tcW w:w="1210" w:type="dxa"/>
            <w:vAlign w:val="center"/>
          </w:tcPr>
          <w:p w:rsidR="00F604F0" w:rsidRPr="00F133A4" w:rsidP="00F604F0" w14:paraId="73B7F34D" w14:textId="2F401679">
            <w:pPr>
              <w:pStyle w:val="ListParagraph"/>
              <w:ind w:left="0"/>
              <w:jc w:val="center"/>
              <w:rPr>
                <w:rFonts w:ascii="Arial" w:hAnsi="Arial" w:cs="Arial"/>
              </w:rPr>
            </w:pPr>
            <w:r w:rsidRPr="00F133A4">
              <w:rPr>
                <w:rFonts w:ascii="Arial" w:hAnsi="Arial" w:cs="Arial"/>
              </w:rPr>
              <w:t>2.8</w:t>
            </w:r>
          </w:p>
        </w:tc>
      </w:tr>
      <w:tr w14:paraId="7D18026D" w14:textId="77777777" w:rsidTr="00A479E4">
        <w:tblPrEx>
          <w:tblW w:w="0" w:type="auto"/>
          <w:tblInd w:w="360" w:type="dxa"/>
          <w:tblCellMar>
            <w:top w:w="72" w:type="dxa"/>
            <w:bottom w:w="72" w:type="dxa"/>
          </w:tblCellMar>
          <w:tblLook w:val="04A0"/>
        </w:tblPrEx>
        <w:tc>
          <w:tcPr>
            <w:tcW w:w="1738" w:type="dxa"/>
            <w:vAlign w:val="center"/>
          </w:tcPr>
          <w:p w:rsidR="00F604F0" w:rsidRPr="00F133A4" w:rsidP="00F604F0" w14:paraId="0BDEB93D" w14:textId="22506B4F">
            <w:pPr>
              <w:pStyle w:val="ListParagraph"/>
              <w:ind w:left="0"/>
              <w:jc w:val="center"/>
              <w:rPr>
                <w:rFonts w:ascii="Arial" w:hAnsi="Arial" w:cs="Arial"/>
                <w:b/>
                <w:bCs/>
              </w:rPr>
            </w:pPr>
            <w:r w:rsidRPr="00F133A4">
              <w:rPr>
                <w:rFonts w:ascii="Arial" w:hAnsi="Arial" w:cs="Arial"/>
                <w:b/>
                <w:bCs/>
              </w:rPr>
              <w:t>Pittsburgh, PA</w:t>
            </w:r>
          </w:p>
        </w:tc>
        <w:tc>
          <w:tcPr>
            <w:tcW w:w="1351" w:type="dxa"/>
            <w:vAlign w:val="center"/>
          </w:tcPr>
          <w:p w:rsidR="00F604F0" w:rsidRPr="00F133A4" w:rsidP="00F604F0" w14:paraId="7A74FFBF" w14:textId="7972706B">
            <w:pPr>
              <w:pStyle w:val="ListParagraph"/>
              <w:ind w:left="0"/>
              <w:jc w:val="center"/>
              <w:rPr>
                <w:rFonts w:ascii="Arial" w:hAnsi="Arial" w:cs="Arial"/>
              </w:rPr>
            </w:pPr>
            <w:r w:rsidRPr="00F133A4">
              <w:rPr>
                <w:rFonts w:ascii="Arial" w:hAnsi="Arial" w:cs="Arial"/>
              </w:rPr>
              <w:t>2,349,172</w:t>
            </w:r>
          </w:p>
        </w:tc>
        <w:tc>
          <w:tcPr>
            <w:tcW w:w="1151" w:type="dxa"/>
            <w:vAlign w:val="center"/>
          </w:tcPr>
          <w:p w:rsidR="00F604F0" w:rsidRPr="00F133A4" w:rsidP="00F604F0" w14:paraId="75843121" w14:textId="6A951E29">
            <w:pPr>
              <w:pStyle w:val="ListParagraph"/>
              <w:ind w:left="0"/>
              <w:jc w:val="center"/>
              <w:rPr>
                <w:rFonts w:ascii="Arial" w:hAnsi="Arial" w:cs="Arial"/>
              </w:rPr>
            </w:pPr>
            <w:r w:rsidRPr="00F133A4">
              <w:rPr>
                <w:rFonts w:ascii="Arial" w:hAnsi="Arial" w:cs="Arial"/>
              </w:rPr>
              <w:t>50.8</w:t>
            </w:r>
          </w:p>
        </w:tc>
        <w:tc>
          <w:tcPr>
            <w:tcW w:w="1263" w:type="dxa"/>
            <w:vAlign w:val="center"/>
          </w:tcPr>
          <w:p w:rsidR="00F604F0" w:rsidRPr="00F133A4" w:rsidP="00F604F0" w14:paraId="6B5DAACF" w14:textId="6C2BA463">
            <w:pPr>
              <w:pStyle w:val="ListParagraph"/>
              <w:ind w:left="0"/>
              <w:jc w:val="center"/>
              <w:rPr>
                <w:rFonts w:ascii="Arial" w:hAnsi="Arial" w:cs="Arial"/>
              </w:rPr>
            </w:pPr>
            <w:r w:rsidRPr="00F133A4">
              <w:rPr>
                <w:rFonts w:ascii="Arial" w:hAnsi="Arial" w:cs="Arial"/>
              </w:rPr>
              <w:t>82.7</w:t>
            </w:r>
          </w:p>
        </w:tc>
        <w:tc>
          <w:tcPr>
            <w:tcW w:w="1269" w:type="dxa"/>
            <w:vAlign w:val="center"/>
          </w:tcPr>
          <w:p w:rsidR="00F604F0" w:rsidRPr="00F133A4" w:rsidP="00F604F0" w14:paraId="036EAFBA" w14:textId="614E5F13">
            <w:pPr>
              <w:pStyle w:val="ListParagraph"/>
              <w:ind w:left="0"/>
              <w:jc w:val="center"/>
              <w:rPr>
                <w:rFonts w:ascii="Arial" w:hAnsi="Arial" w:cs="Arial"/>
              </w:rPr>
            </w:pPr>
            <w:r w:rsidRPr="00F133A4">
              <w:rPr>
                <w:rFonts w:ascii="Arial" w:hAnsi="Arial" w:cs="Arial"/>
              </w:rPr>
              <w:t>7.3</w:t>
            </w:r>
          </w:p>
        </w:tc>
        <w:tc>
          <w:tcPr>
            <w:tcW w:w="1008" w:type="dxa"/>
            <w:vAlign w:val="center"/>
          </w:tcPr>
          <w:p w:rsidR="00F604F0" w:rsidRPr="00F133A4" w:rsidP="00F604F0" w14:paraId="48583508" w14:textId="0B3FF253">
            <w:pPr>
              <w:pStyle w:val="ListParagraph"/>
              <w:ind w:left="0"/>
              <w:jc w:val="center"/>
              <w:rPr>
                <w:rFonts w:ascii="Arial" w:hAnsi="Arial" w:cs="Arial"/>
              </w:rPr>
            </w:pPr>
            <w:r w:rsidRPr="00F133A4">
              <w:rPr>
                <w:rFonts w:ascii="Arial" w:hAnsi="Arial" w:cs="Arial"/>
              </w:rPr>
              <w:t>2.7</w:t>
            </w:r>
          </w:p>
        </w:tc>
        <w:tc>
          <w:tcPr>
            <w:tcW w:w="1210" w:type="dxa"/>
            <w:vAlign w:val="center"/>
          </w:tcPr>
          <w:p w:rsidR="00F604F0" w:rsidRPr="00F133A4" w:rsidP="00F604F0" w14:paraId="7AF7522A" w14:textId="48AADBE6">
            <w:pPr>
              <w:pStyle w:val="ListParagraph"/>
              <w:ind w:left="0"/>
              <w:jc w:val="center"/>
              <w:rPr>
                <w:rFonts w:ascii="Arial" w:hAnsi="Arial" w:cs="Arial"/>
              </w:rPr>
            </w:pPr>
            <w:r w:rsidRPr="00F133A4">
              <w:rPr>
                <w:rFonts w:ascii="Arial" w:hAnsi="Arial" w:cs="Arial"/>
              </w:rPr>
              <w:t>2.1</w:t>
            </w:r>
          </w:p>
        </w:tc>
      </w:tr>
    </w:tbl>
    <w:p w:rsidR="003C4295" w:rsidRPr="005466E4" w:rsidP="003C4295" w14:paraId="7862C622" w14:textId="77777777">
      <w:pPr>
        <w:pStyle w:val="ListParagraph"/>
        <w:ind w:left="360"/>
        <w:rPr>
          <w:rFonts w:ascii="Arial" w:hAnsi="Arial" w:cs="Arial"/>
          <w:sz w:val="24"/>
          <w:szCs w:val="24"/>
        </w:rPr>
      </w:pPr>
    </w:p>
    <w:tbl>
      <w:tblPr>
        <w:tblStyle w:val="TableGrid"/>
        <w:tblW w:w="0" w:type="auto"/>
        <w:tblInd w:w="360" w:type="dxa"/>
        <w:tblLook w:val="04A0"/>
      </w:tblPr>
      <w:tblGrid>
        <w:gridCol w:w="4619"/>
        <w:gridCol w:w="4371"/>
      </w:tblGrid>
      <w:tr w14:paraId="4645DF02" w14:textId="77777777" w:rsidTr="00227B1B">
        <w:tblPrEx>
          <w:tblW w:w="0" w:type="auto"/>
          <w:tblInd w:w="360" w:type="dxa"/>
          <w:tblLook w:val="04A0"/>
        </w:tblPrEx>
        <w:tc>
          <w:tcPr>
            <w:tcW w:w="4619" w:type="dxa"/>
          </w:tcPr>
          <w:p w:rsidR="003C4295" w:rsidRPr="005466E4" w:rsidP="00227B1B" w14:paraId="0057EEBB" w14:textId="77777777">
            <w:pPr>
              <w:pStyle w:val="ListParagraph"/>
              <w:ind w:left="0"/>
              <w:rPr>
                <w:rFonts w:ascii="Arial" w:hAnsi="Arial" w:cs="Arial"/>
                <w:sz w:val="24"/>
                <w:szCs w:val="24"/>
              </w:rPr>
            </w:pPr>
            <w:r w:rsidRPr="005466E4">
              <w:rPr>
                <w:noProof/>
              </w:rPr>
              <w:drawing>
                <wp:inline distT="0" distB="0" distL="0" distR="0">
                  <wp:extent cx="2743200" cy="22037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2743200" cy="2203704"/>
                          </a:xfrm>
                          <a:prstGeom prst="rect">
                            <a:avLst/>
                          </a:prstGeom>
                        </pic:spPr>
                      </pic:pic>
                    </a:graphicData>
                  </a:graphic>
                </wp:inline>
              </w:drawing>
            </w:r>
          </w:p>
        </w:tc>
        <w:tc>
          <w:tcPr>
            <w:tcW w:w="4371" w:type="dxa"/>
          </w:tcPr>
          <w:p w:rsidR="003C4295" w:rsidRPr="005466E4" w:rsidP="00227B1B" w14:paraId="486E3075" w14:textId="77777777">
            <w:pPr>
              <w:pStyle w:val="ListParagraph"/>
              <w:ind w:left="0"/>
              <w:jc w:val="center"/>
              <w:rPr>
                <w:rFonts w:ascii="Arial" w:hAnsi="Arial" w:cs="Arial"/>
                <w:sz w:val="24"/>
                <w:szCs w:val="24"/>
              </w:rPr>
            </w:pPr>
            <w:r w:rsidRPr="005466E4">
              <w:rPr>
                <w:noProof/>
              </w:rPr>
              <w:drawing>
                <wp:inline distT="0" distB="0" distL="0" distR="0">
                  <wp:extent cx="2350008" cy="22037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2350008" cy="2203704"/>
                          </a:xfrm>
                          <a:prstGeom prst="rect">
                            <a:avLst/>
                          </a:prstGeom>
                        </pic:spPr>
                      </pic:pic>
                    </a:graphicData>
                  </a:graphic>
                </wp:inline>
              </w:drawing>
            </w:r>
          </w:p>
        </w:tc>
      </w:tr>
      <w:tr w14:paraId="22977499" w14:textId="77777777" w:rsidTr="00227B1B">
        <w:tblPrEx>
          <w:tblW w:w="0" w:type="auto"/>
          <w:tblInd w:w="360" w:type="dxa"/>
          <w:tblLook w:val="04A0"/>
        </w:tblPrEx>
        <w:tc>
          <w:tcPr>
            <w:tcW w:w="4619" w:type="dxa"/>
          </w:tcPr>
          <w:p w:rsidR="003C4295" w:rsidRPr="005466E4" w:rsidP="003C4295" w14:paraId="0189242D" w14:textId="77777777">
            <w:pPr>
              <w:pStyle w:val="ListParagraph"/>
              <w:numPr>
                <w:ilvl w:val="0"/>
                <w:numId w:val="2"/>
              </w:numPr>
              <w:rPr>
                <w:rFonts w:ascii="Arial" w:hAnsi="Arial" w:cs="Arial"/>
                <w:i/>
                <w:iCs/>
                <w:sz w:val="24"/>
                <w:szCs w:val="24"/>
              </w:rPr>
            </w:pPr>
            <w:r w:rsidRPr="005466E4">
              <w:rPr>
                <w:rFonts w:ascii="Arial" w:hAnsi="Arial" w:cs="Arial"/>
                <w:i/>
                <w:iCs/>
                <w:sz w:val="24"/>
                <w:szCs w:val="24"/>
              </w:rPr>
              <w:t>Morgantown metropolitan area.</w:t>
            </w:r>
          </w:p>
        </w:tc>
        <w:tc>
          <w:tcPr>
            <w:tcW w:w="4371" w:type="dxa"/>
          </w:tcPr>
          <w:p w:rsidR="003C4295" w:rsidRPr="005466E4" w:rsidP="003C4295" w14:paraId="053D7AAA" w14:textId="77777777">
            <w:pPr>
              <w:pStyle w:val="ListParagraph"/>
              <w:numPr>
                <w:ilvl w:val="0"/>
                <w:numId w:val="2"/>
              </w:numPr>
              <w:rPr>
                <w:rFonts w:ascii="Arial" w:hAnsi="Arial" w:cs="Arial"/>
                <w:i/>
                <w:iCs/>
                <w:sz w:val="24"/>
                <w:szCs w:val="24"/>
              </w:rPr>
            </w:pPr>
            <w:r w:rsidRPr="005466E4">
              <w:rPr>
                <w:rFonts w:ascii="Arial" w:hAnsi="Arial" w:cs="Arial"/>
                <w:i/>
                <w:iCs/>
                <w:sz w:val="24"/>
                <w:szCs w:val="24"/>
              </w:rPr>
              <w:t>Pittsburgh metropolitan area.</w:t>
            </w:r>
          </w:p>
        </w:tc>
      </w:tr>
      <w:tr w14:paraId="482510A7" w14:textId="77777777" w:rsidTr="00227B1B">
        <w:tblPrEx>
          <w:tblW w:w="0" w:type="auto"/>
          <w:tblInd w:w="360" w:type="dxa"/>
          <w:tblLook w:val="04A0"/>
        </w:tblPrEx>
        <w:tc>
          <w:tcPr>
            <w:tcW w:w="8990" w:type="dxa"/>
            <w:gridSpan w:val="2"/>
          </w:tcPr>
          <w:p w:rsidR="003C4295" w:rsidRPr="005466E4" w:rsidP="00227B1B" w14:paraId="2760D055" w14:textId="77777777">
            <w:pPr>
              <w:pStyle w:val="ListParagraph"/>
              <w:ind w:left="0"/>
              <w:rPr>
                <w:rFonts w:ascii="Arial" w:hAnsi="Arial" w:cs="Arial"/>
                <w:i/>
                <w:iCs/>
                <w:sz w:val="24"/>
                <w:szCs w:val="24"/>
              </w:rPr>
            </w:pPr>
            <w:r w:rsidRPr="005466E4">
              <w:rPr>
                <w:rFonts w:ascii="Arial" w:hAnsi="Arial" w:cs="Arial"/>
                <w:b/>
                <w:bCs/>
                <w:i/>
                <w:iCs/>
                <w:sz w:val="24"/>
                <w:szCs w:val="24"/>
              </w:rPr>
              <w:t>Figure 1.</w:t>
            </w:r>
            <w:r w:rsidRPr="005466E4">
              <w:rPr>
                <w:rFonts w:ascii="Arial" w:hAnsi="Arial" w:cs="Arial"/>
                <w:i/>
                <w:iCs/>
                <w:sz w:val="24"/>
                <w:szCs w:val="24"/>
              </w:rPr>
              <w:t xml:space="preserve"> Potential metropolitan areas for recruitment of human subjects.</w:t>
            </w:r>
          </w:p>
        </w:tc>
      </w:tr>
    </w:tbl>
    <w:p w:rsidR="003C4295" w:rsidRPr="005466E4" w:rsidP="0004067B" w14:paraId="67C2233C" w14:textId="77777777">
      <w:pPr>
        <w:pStyle w:val="ListParagraph"/>
        <w:ind w:left="360"/>
        <w:rPr>
          <w:rFonts w:ascii="Arial" w:hAnsi="Arial" w:cs="Arial"/>
          <w:sz w:val="24"/>
          <w:szCs w:val="24"/>
        </w:rPr>
      </w:pPr>
    </w:p>
    <w:p w:rsidR="00814005" w:rsidRPr="005466E4" w:rsidP="00EF5099" w14:paraId="3BC824DD" w14:textId="4F174AF4">
      <w:pPr>
        <w:pStyle w:val="ListParagraph"/>
        <w:ind w:left="360"/>
        <w:rPr>
          <w:rFonts w:ascii="Arial" w:hAnsi="Arial" w:cs="Arial"/>
          <w:sz w:val="24"/>
          <w:szCs w:val="24"/>
        </w:rPr>
      </w:pPr>
      <w:r w:rsidRPr="005466E4">
        <w:rPr>
          <w:rFonts w:ascii="Arial" w:hAnsi="Arial" w:cs="Arial"/>
          <w:sz w:val="24"/>
          <w:szCs w:val="24"/>
        </w:rPr>
        <w:t xml:space="preserve">The target number of participants is 53. </w:t>
      </w:r>
      <w:r w:rsidRPr="005466E4" w:rsidR="002D1170">
        <w:rPr>
          <w:rFonts w:ascii="Arial" w:hAnsi="Arial" w:cs="Arial"/>
          <w:sz w:val="24"/>
          <w:szCs w:val="24"/>
        </w:rPr>
        <w:t xml:space="preserve">Table 2 represents the </w:t>
      </w:r>
      <w:r w:rsidRPr="005466E4" w:rsidR="009A34D0">
        <w:rPr>
          <w:rFonts w:ascii="Arial" w:hAnsi="Arial" w:cs="Arial"/>
          <w:sz w:val="24"/>
          <w:szCs w:val="24"/>
        </w:rPr>
        <w:t xml:space="preserve">quota we will attempt to recruit which </w:t>
      </w:r>
      <w:r w:rsidRPr="005466E4" w:rsidR="00834120">
        <w:rPr>
          <w:rFonts w:ascii="Arial" w:hAnsi="Arial" w:cs="Arial"/>
          <w:sz w:val="24"/>
          <w:szCs w:val="24"/>
        </w:rPr>
        <w:t>includes</w:t>
      </w:r>
      <w:r w:rsidRPr="005466E4" w:rsidR="00C268FE">
        <w:rPr>
          <w:rFonts w:ascii="Arial" w:hAnsi="Arial" w:cs="Arial"/>
          <w:sz w:val="24"/>
          <w:szCs w:val="24"/>
        </w:rPr>
        <w:t xml:space="preserve"> </w:t>
      </w:r>
      <w:r w:rsidRPr="005466E4" w:rsidR="001D5003">
        <w:rPr>
          <w:rFonts w:ascii="Arial" w:hAnsi="Arial" w:cs="Arial"/>
          <w:sz w:val="24"/>
          <w:szCs w:val="24"/>
        </w:rPr>
        <w:t xml:space="preserve">16 females, </w:t>
      </w:r>
      <w:r w:rsidRPr="005466E4" w:rsidR="00C268FE">
        <w:rPr>
          <w:rFonts w:ascii="Arial" w:hAnsi="Arial" w:cs="Arial"/>
          <w:sz w:val="24"/>
          <w:szCs w:val="24"/>
        </w:rPr>
        <w:t>36</w:t>
      </w:r>
      <w:r w:rsidRPr="005466E4" w:rsidR="0060704F">
        <w:rPr>
          <w:rFonts w:ascii="Arial" w:hAnsi="Arial" w:cs="Arial"/>
          <w:sz w:val="24"/>
          <w:szCs w:val="24"/>
        </w:rPr>
        <w:t xml:space="preserve"> participants </w:t>
      </w:r>
      <w:r w:rsidRPr="005466E4" w:rsidR="000D1F5E">
        <w:rPr>
          <w:rFonts w:ascii="Arial" w:hAnsi="Arial" w:cs="Arial"/>
          <w:sz w:val="24"/>
          <w:szCs w:val="24"/>
        </w:rPr>
        <w:t>who are</w:t>
      </w:r>
      <w:r w:rsidRPr="005466E4" w:rsidR="0060704F">
        <w:rPr>
          <w:rFonts w:ascii="Arial" w:hAnsi="Arial" w:cs="Arial"/>
          <w:sz w:val="24"/>
          <w:szCs w:val="24"/>
        </w:rPr>
        <w:t xml:space="preserve"> White</w:t>
      </w:r>
      <w:r w:rsidRPr="005466E4" w:rsidR="00834120">
        <w:rPr>
          <w:rFonts w:ascii="Arial" w:hAnsi="Arial" w:cs="Arial"/>
          <w:sz w:val="24"/>
          <w:szCs w:val="24"/>
        </w:rPr>
        <w:t>,</w:t>
      </w:r>
      <w:r w:rsidRPr="005466E4" w:rsidR="0060704F">
        <w:rPr>
          <w:rFonts w:ascii="Arial" w:hAnsi="Arial" w:cs="Arial"/>
          <w:sz w:val="24"/>
          <w:szCs w:val="24"/>
        </w:rPr>
        <w:t xml:space="preserve"> 6 </w:t>
      </w:r>
      <w:r w:rsidRPr="005466E4" w:rsidR="000D1F5E">
        <w:rPr>
          <w:rFonts w:ascii="Arial" w:hAnsi="Arial" w:cs="Arial"/>
          <w:sz w:val="24"/>
          <w:szCs w:val="24"/>
        </w:rPr>
        <w:t>that are</w:t>
      </w:r>
      <w:r w:rsidRPr="005466E4" w:rsidR="00DF38C9">
        <w:rPr>
          <w:rFonts w:ascii="Arial" w:hAnsi="Arial" w:cs="Arial"/>
          <w:sz w:val="24"/>
          <w:szCs w:val="24"/>
        </w:rPr>
        <w:t xml:space="preserve"> Black or African American, </w:t>
      </w:r>
      <w:r w:rsidRPr="005466E4" w:rsidR="00C268FE">
        <w:rPr>
          <w:rFonts w:ascii="Arial" w:hAnsi="Arial" w:cs="Arial"/>
          <w:sz w:val="24"/>
          <w:szCs w:val="24"/>
        </w:rPr>
        <w:t>4</w:t>
      </w:r>
      <w:r w:rsidRPr="005466E4" w:rsidR="00DF38C9">
        <w:rPr>
          <w:rFonts w:ascii="Arial" w:hAnsi="Arial" w:cs="Arial"/>
          <w:sz w:val="24"/>
          <w:szCs w:val="24"/>
        </w:rPr>
        <w:t xml:space="preserve"> </w:t>
      </w:r>
      <w:r w:rsidRPr="005466E4" w:rsidR="000D1F5E">
        <w:rPr>
          <w:rFonts w:ascii="Arial" w:hAnsi="Arial" w:cs="Arial"/>
          <w:sz w:val="24"/>
          <w:szCs w:val="24"/>
        </w:rPr>
        <w:t xml:space="preserve">that are </w:t>
      </w:r>
      <w:r w:rsidRPr="005466E4" w:rsidR="00DF38C9">
        <w:rPr>
          <w:rFonts w:ascii="Arial" w:hAnsi="Arial" w:cs="Arial"/>
          <w:sz w:val="24"/>
          <w:szCs w:val="24"/>
        </w:rPr>
        <w:t>Asian</w:t>
      </w:r>
      <w:r w:rsidRPr="005466E4" w:rsidR="002F3A3D">
        <w:rPr>
          <w:rFonts w:ascii="Arial" w:hAnsi="Arial" w:cs="Arial"/>
          <w:sz w:val="24"/>
          <w:szCs w:val="24"/>
        </w:rPr>
        <w:t>, and</w:t>
      </w:r>
      <w:r w:rsidRPr="005466E4" w:rsidR="00B57A7B">
        <w:rPr>
          <w:rFonts w:ascii="Arial" w:hAnsi="Arial" w:cs="Arial"/>
          <w:sz w:val="24"/>
          <w:szCs w:val="24"/>
        </w:rPr>
        <w:t xml:space="preserve"> 7</w:t>
      </w:r>
      <w:r w:rsidRPr="005466E4" w:rsidR="002F3A3D">
        <w:rPr>
          <w:rFonts w:ascii="Arial" w:hAnsi="Arial" w:cs="Arial"/>
          <w:sz w:val="24"/>
          <w:szCs w:val="24"/>
        </w:rPr>
        <w:t xml:space="preserve"> that are Hispanic or Latino</w:t>
      </w:r>
      <w:r w:rsidRPr="005466E4" w:rsidR="00DF38C9">
        <w:rPr>
          <w:rFonts w:ascii="Arial" w:hAnsi="Arial" w:cs="Arial"/>
          <w:sz w:val="24"/>
          <w:szCs w:val="24"/>
        </w:rPr>
        <w:t>.</w:t>
      </w:r>
      <w:r w:rsidR="008F0E8D">
        <w:rPr>
          <w:rFonts w:ascii="Arial" w:hAnsi="Arial" w:cs="Arial"/>
          <w:sz w:val="24"/>
          <w:szCs w:val="24"/>
        </w:rPr>
        <w:t xml:space="preserve"> </w:t>
      </w:r>
      <w:r w:rsidRPr="005466E4" w:rsidR="008F0E8D">
        <w:rPr>
          <w:rFonts w:ascii="Arial" w:hAnsi="Arial" w:cs="Arial"/>
          <w:sz w:val="24"/>
          <w:szCs w:val="24"/>
        </w:rPr>
        <w:t>The race/ethnicity list is incomplete and people whose ethnicity is identified as Hispanic or Latino may be of any race, therefore the percentages don’t add up to 100%.</w:t>
      </w:r>
    </w:p>
    <w:p w:rsidR="00EF5099" w:rsidRPr="005466E4" w:rsidP="00EF5099" w14:paraId="5576B8B4" w14:textId="77777777">
      <w:pPr>
        <w:pStyle w:val="ListParagraph"/>
        <w:ind w:left="360"/>
        <w:rPr>
          <w:rFonts w:ascii="Arial" w:hAnsi="Arial" w:cs="Arial"/>
          <w:sz w:val="24"/>
          <w:szCs w:val="24"/>
        </w:rPr>
      </w:pPr>
    </w:p>
    <w:p w:rsidR="001E622E" w:rsidRPr="005466E4" w:rsidP="0004067B" w14:paraId="0F4F1C30" w14:textId="56AC9379">
      <w:pPr>
        <w:pStyle w:val="ListParagraph"/>
        <w:ind w:left="360"/>
        <w:rPr>
          <w:rFonts w:ascii="Arial" w:hAnsi="Arial" w:cs="Arial"/>
          <w:sz w:val="24"/>
          <w:szCs w:val="24"/>
        </w:rPr>
      </w:pPr>
      <w:r w:rsidRPr="005466E4">
        <w:rPr>
          <w:rFonts w:ascii="Arial" w:hAnsi="Arial" w:cs="Arial"/>
          <w:sz w:val="24"/>
          <w:szCs w:val="24"/>
        </w:rPr>
        <w:t>Table 2. Quota for participants</w:t>
      </w:r>
    </w:p>
    <w:tbl>
      <w:tblPr>
        <w:tblStyle w:val="TableGrid"/>
        <w:tblW w:w="0" w:type="auto"/>
        <w:tblInd w:w="360" w:type="dxa"/>
        <w:tblLook w:val="04A0"/>
      </w:tblPr>
      <w:tblGrid>
        <w:gridCol w:w="3505"/>
        <w:gridCol w:w="2512"/>
        <w:gridCol w:w="2973"/>
      </w:tblGrid>
      <w:tr w14:paraId="5C7DA4C1" w14:textId="77777777" w:rsidTr="00BA76AB">
        <w:tblPrEx>
          <w:tblW w:w="0" w:type="auto"/>
          <w:tblInd w:w="360" w:type="dxa"/>
          <w:tblLook w:val="04A0"/>
        </w:tblPrEx>
        <w:tc>
          <w:tcPr>
            <w:tcW w:w="3505" w:type="dxa"/>
          </w:tcPr>
          <w:p w:rsidR="00814005" w:rsidRPr="005466E4" w:rsidP="0004067B" w14:paraId="516EF0EF" w14:textId="186B6712">
            <w:pPr>
              <w:pStyle w:val="ListParagraph"/>
              <w:ind w:left="0"/>
              <w:rPr>
                <w:rFonts w:ascii="Arial" w:hAnsi="Arial" w:cs="Arial"/>
                <w:b/>
                <w:bCs/>
                <w:sz w:val="24"/>
                <w:szCs w:val="24"/>
              </w:rPr>
            </w:pPr>
            <w:r w:rsidRPr="005466E4">
              <w:rPr>
                <w:rFonts w:ascii="Arial" w:hAnsi="Arial" w:cs="Arial"/>
                <w:b/>
                <w:bCs/>
                <w:sz w:val="24"/>
                <w:szCs w:val="24"/>
              </w:rPr>
              <w:t>Race/Ethnicity</w:t>
            </w:r>
          </w:p>
        </w:tc>
        <w:tc>
          <w:tcPr>
            <w:tcW w:w="2512" w:type="dxa"/>
          </w:tcPr>
          <w:p w:rsidR="00814005" w:rsidRPr="005466E4" w:rsidP="0004067B" w14:paraId="281DD904" w14:textId="13B8E99D">
            <w:pPr>
              <w:pStyle w:val="ListParagraph"/>
              <w:ind w:left="0"/>
              <w:rPr>
                <w:rFonts w:ascii="Arial" w:hAnsi="Arial" w:cs="Arial"/>
                <w:b/>
                <w:bCs/>
                <w:sz w:val="24"/>
                <w:szCs w:val="24"/>
              </w:rPr>
            </w:pPr>
            <w:r w:rsidRPr="005466E4">
              <w:rPr>
                <w:rFonts w:ascii="Arial" w:hAnsi="Arial" w:cs="Arial"/>
                <w:b/>
                <w:bCs/>
                <w:sz w:val="24"/>
                <w:szCs w:val="24"/>
              </w:rPr>
              <w:t>Manufacturing Percentage</w:t>
            </w:r>
          </w:p>
        </w:tc>
        <w:tc>
          <w:tcPr>
            <w:tcW w:w="2973" w:type="dxa"/>
          </w:tcPr>
          <w:p w:rsidR="00814005" w:rsidRPr="005466E4" w:rsidP="0004067B" w14:paraId="1C1B4047" w14:textId="6DC015B4">
            <w:pPr>
              <w:pStyle w:val="ListParagraph"/>
              <w:ind w:left="0"/>
              <w:rPr>
                <w:rFonts w:ascii="Arial" w:hAnsi="Arial" w:cs="Arial"/>
                <w:b/>
                <w:bCs/>
                <w:sz w:val="24"/>
                <w:szCs w:val="24"/>
              </w:rPr>
            </w:pPr>
            <w:r w:rsidRPr="005466E4">
              <w:rPr>
                <w:rFonts w:ascii="Arial" w:hAnsi="Arial" w:cs="Arial"/>
                <w:b/>
                <w:bCs/>
                <w:sz w:val="24"/>
                <w:szCs w:val="24"/>
              </w:rPr>
              <w:t>Participant Sample</w:t>
            </w:r>
          </w:p>
        </w:tc>
      </w:tr>
      <w:tr w14:paraId="56F0FF73" w14:textId="77777777" w:rsidTr="00BA76AB">
        <w:tblPrEx>
          <w:tblW w:w="0" w:type="auto"/>
          <w:tblInd w:w="360" w:type="dxa"/>
          <w:tblLook w:val="04A0"/>
        </w:tblPrEx>
        <w:tc>
          <w:tcPr>
            <w:tcW w:w="3505" w:type="dxa"/>
          </w:tcPr>
          <w:p w:rsidR="00823645" w:rsidRPr="005466E4" w:rsidP="00823645" w14:paraId="5B266C75" w14:textId="2919A415">
            <w:pPr>
              <w:pStyle w:val="ListParagraph"/>
              <w:ind w:left="0"/>
              <w:rPr>
                <w:rFonts w:ascii="Arial" w:hAnsi="Arial" w:cs="Arial"/>
                <w:b/>
                <w:bCs/>
                <w:sz w:val="24"/>
                <w:szCs w:val="24"/>
              </w:rPr>
            </w:pPr>
            <w:r w:rsidRPr="005466E4">
              <w:rPr>
                <w:rFonts w:ascii="Arial" w:hAnsi="Arial" w:cs="Arial"/>
                <w:b/>
                <w:bCs/>
                <w:sz w:val="24"/>
                <w:szCs w:val="24"/>
              </w:rPr>
              <w:t>Females</w:t>
            </w:r>
          </w:p>
        </w:tc>
        <w:tc>
          <w:tcPr>
            <w:tcW w:w="2512" w:type="dxa"/>
          </w:tcPr>
          <w:p w:rsidR="00823645" w:rsidRPr="005466E4" w:rsidP="00823645" w14:paraId="6C1BB75E" w14:textId="26204A0B">
            <w:pPr>
              <w:pStyle w:val="ListParagraph"/>
              <w:ind w:left="0"/>
              <w:rPr>
                <w:rFonts w:ascii="Arial" w:hAnsi="Arial" w:cs="Arial"/>
                <w:sz w:val="24"/>
                <w:szCs w:val="24"/>
              </w:rPr>
            </w:pPr>
            <w:r w:rsidRPr="005466E4">
              <w:rPr>
                <w:rFonts w:ascii="Arial" w:hAnsi="Arial" w:cs="Arial"/>
                <w:sz w:val="24"/>
                <w:szCs w:val="24"/>
              </w:rPr>
              <w:t>30</w:t>
            </w:r>
            <w:r w:rsidRPr="005466E4" w:rsidR="006F68EC">
              <w:rPr>
                <w:rFonts w:ascii="Arial" w:hAnsi="Arial" w:cs="Arial"/>
                <w:sz w:val="24"/>
                <w:szCs w:val="24"/>
              </w:rPr>
              <w:t>%</w:t>
            </w:r>
          </w:p>
        </w:tc>
        <w:tc>
          <w:tcPr>
            <w:tcW w:w="2973" w:type="dxa"/>
          </w:tcPr>
          <w:p w:rsidR="00823645" w:rsidRPr="005466E4" w:rsidP="00823645" w14:paraId="7E567C71" w14:textId="4044B182">
            <w:pPr>
              <w:pStyle w:val="ListParagraph"/>
              <w:ind w:left="0"/>
              <w:rPr>
                <w:rFonts w:ascii="Arial" w:hAnsi="Arial" w:cs="Arial"/>
                <w:sz w:val="24"/>
                <w:szCs w:val="24"/>
              </w:rPr>
            </w:pPr>
            <w:r w:rsidRPr="005466E4">
              <w:rPr>
                <w:rFonts w:ascii="Arial" w:hAnsi="Arial" w:cs="Arial"/>
                <w:sz w:val="24"/>
                <w:szCs w:val="24"/>
              </w:rPr>
              <w:t>16</w:t>
            </w:r>
          </w:p>
        </w:tc>
      </w:tr>
      <w:tr w14:paraId="2749C260" w14:textId="77777777" w:rsidTr="00BA76AB">
        <w:tblPrEx>
          <w:tblW w:w="0" w:type="auto"/>
          <w:tblInd w:w="360" w:type="dxa"/>
          <w:tblLook w:val="04A0"/>
        </w:tblPrEx>
        <w:tc>
          <w:tcPr>
            <w:tcW w:w="3505" w:type="dxa"/>
          </w:tcPr>
          <w:p w:rsidR="00823645" w:rsidRPr="005466E4" w:rsidP="00823645" w14:paraId="7684B71D" w14:textId="716DD8C7">
            <w:pPr>
              <w:pStyle w:val="ListParagraph"/>
              <w:ind w:left="0"/>
              <w:rPr>
                <w:rFonts w:ascii="Arial" w:hAnsi="Arial" w:cs="Arial"/>
                <w:b/>
                <w:bCs/>
                <w:sz w:val="24"/>
                <w:szCs w:val="24"/>
              </w:rPr>
            </w:pPr>
            <w:r w:rsidRPr="005466E4">
              <w:rPr>
                <w:rFonts w:ascii="Arial" w:hAnsi="Arial" w:cs="Arial"/>
                <w:b/>
                <w:bCs/>
                <w:sz w:val="24"/>
                <w:szCs w:val="24"/>
              </w:rPr>
              <w:t>White</w:t>
            </w:r>
          </w:p>
        </w:tc>
        <w:tc>
          <w:tcPr>
            <w:tcW w:w="2512" w:type="dxa"/>
          </w:tcPr>
          <w:p w:rsidR="00823645" w:rsidRPr="005466E4" w:rsidP="00823645" w14:paraId="5C71D9A8" w14:textId="3FC55A7E">
            <w:pPr>
              <w:pStyle w:val="ListParagraph"/>
              <w:ind w:left="0"/>
              <w:rPr>
                <w:rFonts w:ascii="Arial" w:hAnsi="Arial" w:cs="Arial"/>
                <w:sz w:val="24"/>
                <w:szCs w:val="24"/>
              </w:rPr>
            </w:pPr>
            <w:r w:rsidRPr="005466E4">
              <w:rPr>
                <w:rFonts w:ascii="Arial" w:hAnsi="Arial" w:cs="Arial"/>
                <w:sz w:val="24"/>
                <w:szCs w:val="24"/>
              </w:rPr>
              <w:t>78</w:t>
            </w:r>
            <w:r w:rsidRPr="005466E4" w:rsidR="006F68EC">
              <w:rPr>
                <w:rFonts w:ascii="Arial" w:hAnsi="Arial" w:cs="Arial"/>
                <w:sz w:val="24"/>
                <w:szCs w:val="24"/>
              </w:rPr>
              <w:t>%</w:t>
            </w:r>
          </w:p>
        </w:tc>
        <w:tc>
          <w:tcPr>
            <w:tcW w:w="2973" w:type="dxa"/>
          </w:tcPr>
          <w:p w:rsidR="00823645" w:rsidRPr="005466E4" w:rsidP="00823645" w14:paraId="16B7E145" w14:textId="6AC9AB53">
            <w:pPr>
              <w:pStyle w:val="ListParagraph"/>
              <w:ind w:left="0"/>
              <w:rPr>
                <w:rFonts w:ascii="Arial" w:hAnsi="Arial" w:cs="Arial"/>
                <w:sz w:val="24"/>
                <w:szCs w:val="24"/>
              </w:rPr>
            </w:pPr>
            <w:r w:rsidRPr="005466E4">
              <w:rPr>
                <w:rFonts w:ascii="Arial" w:hAnsi="Arial" w:cs="Arial"/>
                <w:sz w:val="24"/>
                <w:szCs w:val="24"/>
              </w:rPr>
              <w:t>3</w:t>
            </w:r>
            <w:r w:rsidRPr="005466E4" w:rsidR="00281F1C">
              <w:rPr>
                <w:rFonts w:ascii="Arial" w:hAnsi="Arial" w:cs="Arial"/>
                <w:sz w:val="24"/>
                <w:szCs w:val="24"/>
              </w:rPr>
              <w:t>6</w:t>
            </w:r>
          </w:p>
        </w:tc>
      </w:tr>
      <w:tr w14:paraId="585F17B7" w14:textId="77777777" w:rsidTr="00BA76AB">
        <w:tblPrEx>
          <w:tblW w:w="0" w:type="auto"/>
          <w:tblInd w:w="360" w:type="dxa"/>
          <w:tblLook w:val="04A0"/>
        </w:tblPrEx>
        <w:tc>
          <w:tcPr>
            <w:tcW w:w="3505" w:type="dxa"/>
          </w:tcPr>
          <w:p w:rsidR="00823645" w:rsidRPr="005466E4" w:rsidP="00823645" w14:paraId="53B29A17" w14:textId="2D87F384">
            <w:pPr>
              <w:pStyle w:val="ListParagraph"/>
              <w:ind w:left="0"/>
              <w:rPr>
                <w:rFonts w:ascii="Arial" w:hAnsi="Arial" w:cs="Arial"/>
                <w:b/>
                <w:bCs/>
                <w:sz w:val="24"/>
                <w:szCs w:val="24"/>
              </w:rPr>
            </w:pPr>
            <w:r w:rsidRPr="005466E4">
              <w:rPr>
                <w:rFonts w:ascii="Arial" w:hAnsi="Arial" w:cs="Arial"/>
                <w:b/>
                <w:bCs/>
                <w:sz w:val="24"/>
                <w:szCs w:val="24"/>
              </w:rPr>
              <w:t>Black or African American</w:t>
            </w:r>
          </w:p>
        </w:tc>
        <w:tc>
          <w:tcPr>
            <w:tcW w:w="2512" w:type="dxa"/>
          </w:tcPr>
          <w:p w:rsidR="00823645" w:rsidRPr="005466E4" w:rsidP="00823645" w14:paraId="05CE4D8F" w14:textId="112D6D17">
            <w:pPr>
              <w:pStyle w:val="ListParagraph"/>
              <w:ind w:left="0"/>
              <w:rPr>
                <w:rFonts w:ascii="Arial" w:hAnsi="Arial" w:cs="Arial"/>
                <w:sz w:val="24"/>
                <w:szCs w:val="24"/>
              </w:rPr>
            </w:pPr>
            <w:r w:rsidRPr="005466E4">
              <w:rPr>
                <w:rFonts w:ascii="Arial" w:hAnsi="Arial" w:cs="Arial"/>
                <w:sz w:val="24"/>
                <w:szCs w:val="24"/>
              </w:rPr>
              <w:t>11</w:t>
            </w:r>
            <w:r w:rsidRPr="005466E4" w:rsidR="006F68EC">
              <w:rPr>
                <w:rFonts w:ascii="Arial" w:hAnsi="Arial" w:cs="Arial"/>
                <w:sz w:val="24"/>
                <w:szCs w:val="24"/>
              </w:rPr>
              <w:t>%</w:t>
            </w:r>
          </w:p>
        </w:tc>
        <w:tc>
          <w:tcPr>
            <w:tcW w:w="2973" w:type="dxa"/>
          </w:tcPr>
          <w:p w:rsidR="00823645" w:rsidRPr="005466E4" w:rsidP="00823645" w14:paraId="56821B53" w14:textId="6FDB2EA5">
            <w:pPr>
              <w:pStyle w:val="ListParagraph"/>
              <w:ind w:left="0"/>
              <w:rPr>
                <w:rFonts w:ascii="Arial" w:hAnsi="Arial" w:cs="Arial"/>
                <w:sz w:val="24"/>
                <w:szCs w:val="24"/>
              </w:rPr>
            </w:pPr>
            <w:r w:rsidRPr="005466E4">
              <w:rPr>
                <w:rFonts w:ascii="Arial" w:hAnsi="Arial" w:cs="Arial"/>
                <w:sz w:val="24"/>
                <w:szCs w:val="24"/>
              </w:rPr>
              <w:t>6</w:t>
            </w:r>
          </w:p>
        </w:tc>
      </w:tr>
      <w:tr w14:paraId="793742DF" w14:textId="77777777" w:rsidTr="00BA76AB">
        <w:tblPrEx>
          <w:tblW w:w="0" w:type="auto"/>
          <w:tblInd w:w="360" w:type="dxa"/>
          <w:tblLook w:val="04A0"/>
        </w:tblPrEx>
        <w:tc>
          <w:tcPr>
            <w:tcW w:w="3505" w:type="dxa"/>
          </w:tcPr>
          <w:p w:rsidR="00823645" w:rsidRPr="005466E4" w:rsidP="00823645" w14:paraId="5D326EE2" w14:textId="2BECA8CC">
            <w:pPr>
              <w:pStyle w:val="ListParagraph"/>
              <w:ind w:left="0"/>
              <w:rPr>
                <w:rFonts w:ascii="Arial" w:hAnsi="Arial" w:cs="Arial"/>
                <w:b/>
                <w:bCs/>
                <w:sz w:val="24"/>
                <w:szCs w:val="24"/>
              </w:rPr>
            </w:pPr>
            <w:r w:rsidRPr="005466E4">
              <w:rPr>
                <w:rFonts w:ascii="Arial" w:hAnsi="Arial" w:cs="Arial"/>
                <w:b/>
                <w:bCs/>
                <w:sz w:val="24"/>
                <w:szCs w:val="24"/>
              </w:rPr>
              <w:t>Asian</w:t>
            </w:r>
          </w:p>
        </w:tc>
        <w:tc>
          <w:tcPr>
            <w:tcW w:w="2512" w:type="dxa"/>
          </w:tcPr>
          <w:p w:rsidR="00823645" w:rsidRPr="005466E4" w:rsidP="00823645" w14:paraId="72D4AAB7" w14:textId="16BED29D">
            <w:pPr>
              <w:pStyle w:val="ListParagraph"/>
              <w:ind w:left="0"/>
              <w:rPr>
                <w:rFonts w:ascii="Arial" w:hAnsi="Arial" w:cs="Arial"/>
                <w:sz w:val="24"/>
                <w:szCs w:val="24"/>
              </w:rPr>
            </w:pPr>
            <w:r w:rsidRPr="005466E4">
              <w:rPr>
                <w:rFonts w:ascii="Arial" w:hAnsi="Arial" w:cs="Arial"/>
                <w:sz w:val="24"/>
                <w:szCs w:val="24"/>
              </w:rPr>
              <w:t>8</w:t>
            </w:r>
            <w:r w:rsidRPr="005466E4" w:rsidR="006F68EC">
              <w:rPr>
                <w:rFonts w:ascii="Arial" w:hAnsi="Arial" w:cs="Arial"/>
                <w:sz w:val="24"/>
                <w:szCs w:val="24"/>
              </w:rPr>
              <w:t>%</w:t>
            </w:r>
          </w:p>
        </w:tc>
        <w:tc>
          <w:tcPr>
            <w:tcW w:w="2973" w:type="dxa"/>
          </w:tcPr>
          <w:p w:rsidR="00823645" w:rsidRPr="005466E4" w:rsidP="00823645" w14:paraId="63A62DC8" w14:textId="46996B6C">
            <w:pPr>
              <w:pStyle w:val="ListParagraph"/>
              <w:ind w:left="0"/>
              <w:rPr>
                <w:rFonts w:ascii="Arial" w:hAnsi="Arial" w:cs="Arial"/>
                <w:sz w:val="24"/>
                <w:szCs w:val="24"/>
              </w:rPr>
            </w:pPr>
            <w:r w:rsidRPr="005466E4">
              <w:rPr>
                <w:rFonts w:ascii="Arial" w:hAnsi="Arial" w:cs="Arial"/>
                <w:sz w:val="24"/>
                <w:szCs w:val="24"/>
              </w:rPr>
              <w:t>4</w:t>
            </w:r>
          </w:p>
        </w:tc>
      </w:tr>
      <w:tr w14:paraId="01CCDEA3" w14:textId="77777777" w:rsidTr="00BA76AB">
        <w:tblPrEx>
          <w:tblW w:w="0" w:type="auto"/>
          <w:tblInd w:w="360" w:type="dxa"/>
          <w:tblLook w:val="04A0"/>
        </w:tblPrEx>
        <w:tc>
          <w:tcPr>
            <w:tcW w:w="3505" w:type="dxa"/>
          </w:tcPr>
          <w:p w:rsidR="00823645" w:rsidRPr="005466E4" w:rsidP="00823645" w14:paraId="2E9787F0" w14:textId="63457231">
            <w:pPr>
              <w:pStyle w:val="ListParagraph"/>
              <w:ind w:left="0"/>
              <w:rPr>
                <w:rFonts w:ascii="Arial" w:hAnsi="Arial" w:cs="Arial"/>
                <w:b/>
                <w:bCs/>
                <w:sz w:val="24"/>
                <w:szCs w:val="24"/>
              </w:rPr>
            </w:pPr>
            <w:r w:rsidRPr="005466E4">
              <w:rPr>
                <w:rFonts w:ascii="Arial" w:hAnsi="Arial" w:cs="Arial"/>
                <w:b/>
                <w:bCs/>
                <w:sz w:val="24"/>
                <w:szCs w:val="24"/>
              </w:rPr>
              <w:t>Hispanic</w:t>
            </w:r>
            <w:r w:rsidRPr="005466E4" w:rsidR="002F3A3D">
              <w:rPr>
                <w:rFonts w:ascii="Arial" w:hAnsi="Arial" w:cs="Arial"/>
                <w:b/>
                <w:bCs/>
                <w:sz w:val="24"/>
                <w:szCs w:val="24"/>
              </w:rPr>
              <w:t xml:space="preserve"> or Latino</w:t>
            </w:r>
          </w:p>
        </w:tc>
        <w:tc>
          <w:tcPr>
            <w:tcW w:w="2512" w:type="dxa"/>
          </w:tcPr>
          <w:p w:rsidR="00823645" w:rsidRPr="005466E4" w:rsidP="00823645" w14:paraId="0646D450" w14:textId="31A2A0E9">
            <w:pPr>
              <w:pStyle w:val="ListParagraph"/>
              <w:ind w:left="0"/>
              <w:rPr>
                <w:rFonts w:ascii="Arial" w:hAnsi="Arial" w:cs="Arial"/>
                <w:sz w:val="24"/>
                <w:szCs w:val="24"/>
              </w:rPr>
            </w:pPr>
            <w:r w:rsidRPr="005466E4">
              <w:rPr>
                <w:rFonts w:ascii="Arial" w:hAnsi="Arial" w:cs="Arial"/>
                <w:sz w:val="24"/>
                <w:szCs w:val="24"/>
              </w:rPr>
              <w:t>18</w:t>
            </w:r>
            <w:r w:rsidRPr="005466E4" w:rsidR="006F68EC">
              <w:rPr>
                <w:rFonts w:ascii="Arial" w:hAnsi="Arial" w:cs="Arial"/>
                <w:sz w:val="24"/>
                <w:szCs w:val="24"/>
              </w:rPr>
              <w:t>%</w:t>
            </w:r>
          </w:p>
        </w:tc>
        <w:tc>
          <w:tcPr>
            <w:tcW w:w="2973" w:type="dxa"/>
          </w:tcPr>
          <w:p w:rsidR="00823645" w:rsidRPr="005466E4" w:rsidP="00823645" w14:paraId="664BB789" w14:textId="257FFB56">
            <w:pPr>
              <w:pStyle w:val="ListParagraph"/>
              <w:ind w:left="0"/>
              <w:rPr>
                <w:rFonts w:ascii="Arial" w:hAnsi="Arial" w:cs="Arial"/>
                <w:sz w:val="24"/>
                <w:szCs w:val="24"/>
              </w:rPr>
            </w:pPr>
            <w:r w:rsidRPr="005466E4">
              <w:rPr>
                <w:rFonts w:ascii="Arial" w:hAnsi="Arial" w:cs="Arial"/>
                <w:sz w:val="24"/>
                <w:szCs w:val="24"/>
              </w:rPr>
              <w:t>7</w:t>
            </w:r>
          </w:p>
        </w:tc>
      </w:tr>
    </w:tbl>
    <w:p w:rsidR="001E622E" w:rsidRPr="005466E4" w:rsidP="0004067B" w14:paraId="358EF16C" w14:textId="77777777">
      <w:pPr>
        <w:pStyle w:val="ListParagraph"/>
        <w:ind w:left="360"/>
        <w:rPr>
          <w:rFonts w:ascii="Arial" w:hAnsi="Arial" w:cs="Arial"/>
          <w:sz w:val="24"/>
          <w:szCs w:val="24"/>
        </w:rPr>
      </w:pPr>
    </w:p>
    <w:p w:rsidR="003C4295" w:rsidRPr="005466E4" w:rsidP="00FE55EA" w14:paraId="396BA926" w14:textId="0F541977">
      <w:pPr>
        <w:pStyle w:val="ListParagraph"/>
        <w:numPr>
          <w:ilvl w:val="0"/>
          <w:numId w:val="1"/>
        </w:numPr>
        <w:ind w:left="360"/>
        <w:rPr>
          <w:rFonts w:ascii="Arial" w:hAnsi="Arial" w:cs="Arial"/>
          <w:b/>
          <w:bCs/>
          <w:sz w:val="24"/>
          <w:szCs w:val="24"/>
        </w:rPr>
      </w:pPr>
      <w:r w:rsidRPr="005466E4">
        <w:rPr>
          <w:rFonts w:ascii="Arial" w:hAnsi="Arial" w:cs="Arial"/>
          <w:b/>
          <w:bCs/>
          <w:sz w:val="24"/>
          <w:szCs w:val="24"/>
        </w:rPr>
        <w:t>Sampling and Recruitment Procedures</w:t>
      </w:r>
    </w:p>
    <w:p w:rsidR="00CD4F5C" w:rsidRPr="005466E4" w:rsidP="003D0E06" w14:paraId="0A4C045E" w14:textId="2494AC24">
      <w:pPr>
        <w:pStyle w:val="ListParagraph"/>
        <w:ind w:left="360"/>
        <w:rPr>
          <w:rFonts w:ascii="Arial" w:hAnsi="Arial" w:cs="Arial"/>
          <w:sz w:val="24"/>
          <w:szCs w:val="24"/>
        </w:rPr>
      </w:pPr>
      <w:r w:rsidRPr="005466E4">
        <w:rPr>
          <w:rFonts w:ascii="Arial" w:hAnsi="Arial" w:cs="Arial"/>
          <w:sz w:val="24"/>
          <w:szCs w:val="24"/>
        </w:rPr>
        <w:t>The instrument that will be used to recruit potential human subjects is a Recruitment Flyer</w:t>
      </w:r>
      <w:r w:rsidRPr="005466E4" w:rsidR="00E9597F">
        <w:rPr>
          <w:rFonts w:ascii="Arial" w:hAnsi="Arial" w:cs="Arial"/>
          <w:sz w:val="24"/>
          <w:szCs w:val="24"/>
        </w:rPr>
        <w:t>, shown in A</w:t>
      </w:r>
      <w:r w:rsidRPr="005466E4" w:rsidR="000D1F5E">
        <w:rPr>
          <w:rFonts w:ascii="Arial" w:hAnsi="Arial" w:cs="Arial"/>
          <w:sz w:val="24"/>
          <w:szCs w:val="24"/>
        </w:rPr>
        <w:t>ttachment</w:t>
      </w:r>
      <w:r w:rsidRPr="005466E4" w:rsidR="00E9597F">
        <w:rPr>
          <w:rFonts w:ascii="Arial" w:hAnsi="Arial" w:cs="Arial"/>
          <w:sz w:val="24"/>
          <w:szCs w:val="24"/>
        </w:rPr>
        <w:t xml:space="preserve"> A</w:t>
      </w:r>
      <w:r w:rsidRPr="005466E4">
        <w:rPr>
          <w:rFonts w:ascii="Arial" w:hAnsi="Arial" w:cs="Arial"/>
          <w:sz w:val="24"/>
          <w:szCs w:val="24"/>
        </w:rPr>
        <w:t xml:space="preserve">. Researchers will contact </w:t>
      </w:r>
      <w:r w:rsidRPr="005466E4" w:rsidR="00DE732E">
        <w:rPr>
          <w:rFonts w:ascii="Arial" w:hAnsi="Arial" w:cs="Arial"/>
          <w:sz w:val="24"/>
          <w:szCs w:val="24"/>
        </w:rPr>
        <w:t>manufacturing</w:t>
      </w:r>
      <w:r w:rsidRPr="005466E4">
        <w:rPr>
          <w:rFonts w:ascii="Arial" w:hAnsi="Arial" w:cs="Arial"/>
          <w:sz w:val="24"/>
          <w:szCs w:val="24"/>
        </w:rPr>
        <w:t xml:space="preserve"> </w:t>
      </w:r>
      <w:r w:rsidRPr="005466E4" w:rsidR="00203BCB">
        <w:rPr>
          <w:rFonts w:ascii="Arial" w:hAnsi="Arial" w:cs="Arial"/>
          <w:sz w:val="24"/>
          <w:szCs w:val="24"/>
        </w:rPr>
        <w:t>companies and</w:t>
      </w:r>
      <w:r w:rsidRPr="005466E4">
        <w:rPr>
          <w:rFonts w:ascii="Arial" w:hAnsi="Arial" w:cs="Arial"/>
          <w:sz w:val="24"/>
          <w:szCs w:val="24"/>
        </w:rPr>
        <w:t xml:space="preserve"> ask them to post the flyers in common areas of their workplace. Interested parties who call the telephone number listed on the recruitment flyer will be provided information about the project</w:t>
      </w:r>
      <w:r w:rsidRPr="005466E4">
        <w:rPr>
          <w:rFonts w:ascii="Arial" w:hAnsi="Arial" w:cs="Arial"/>
          <w:sz w:val="24"/>
          <w:szCs w:val="24"/>
        </w:rPr>
        <w:t>, its purpose, duration, and compensation</w:t>
      </w:r>
      <w:r w:rsidRPr="005466E4">
        <w:rPr>
          <w:rFonts w:ascii="Arial" w:hAnsi="Arial" w:cs="Arial"/>
          <w:sz w:val="24"/>
          <w:szCs w:val="24"/>
        </w:rPr>
        <w:t xml:space="preserve">; they will be asked two questions to determine whether they are susceptible to </w:t>
      </w:r>
      <w:r w:rsidRPr="005466E4">
        <w:rPr>
          <w:rFonts w:ascii="Arial" w:hAnsi="Arial" w:cs="Arial"/>
          <w:sz w:val="24"/>
          <w:szCs w:val="24"/>
        </w:rPr>
        <w:t>motion sickness, and if they meet the inclusion crite</w:t>
      </w:r>
      <w:r w:rsidRPr="005466E4" w:rsidR="008B27FD">
        <w:rPr>
          <w:rFonts w:ascii="Arial" w:hAnsi="Arial" w:cs="Arial"/>
          <w:sz w:val="24"/>
          <w:szCs w:val="24"/>
        </w:rPr>
        <w:t>ria</w:t>
      </w:r>
      <w:r w:rsidRPr="005466E4">
        <w:rPr>
          <w:rFonts w:ascii="Arial" w:hAnsi="Arial" w:cs="Arial"/>
          <w:sz w:val="24"/>
          <w:szCs w:val="24"/>
        </w:rPr>
        <w:t xml:space="preserve">, they will be </w:t>
      </w:r>
      <w:r w:rsidRPr="005466E4" w:rsidR="008B27FD">
        <w:rPr>
          <w:rFonts w:ascii="Arial" w:hAnsi="Arial" w:cs="Arial"/>
          <w:sz w:val="24"/>
          <w:szCs w:val="24"/>
        </w:rPr>
        <w:t>e-</w:t>
      </w:r>
      <w:r w:rsidRPr="005466E4">
        <w:rPr>
          <w:rFonts w:ascii="Arial" w:hAnsi="Arial" w:cs="Arial"/>
          <w:sz w:val="24"/>
          <w:szCs w:val="24"/>
        </w:rPr>
        <w:t xml:space="preserve">mailed their scheduled date and time, along with a copy of the </w:t>
      </w:r>
      <w:r w:rsidR="00154CB9">
        <w:rPr>
          <w:rFonts w:ascii="Arial" w:hAnsi="Arial" w:cs="Arial"/>
          <w:sz w:val="24"/>
          <w:szCs w:val="24"/>
        </w:rPr>
        <w:t>I</w:t>
      </w:r>
      <w:r w:rsidRPr="005466E4">
        <w:rPr>
          <w:rFonts w:ascii="Arial" w:hAnsi="Arial" w:cs="Arial"/>
          <w:sz w:val="24"/>
          <w:szCs w:val="24"/>
        </w:rPr>
        <w:t xml:space="preserve">nformed Consent </w:t>
      </w:r>
      <w:r w:rsidR="00154CB9">
        <w:rPr>
          <w:rFonts w:ascii="Arial" w:hAnsi="Arial" w:cs="Arial"/>
          <w:sz w:val="24"/>
          <w:szCs w:val="24"/>
        </w:rPr>
        <w:t>F</w:t>
      </w:r>
      <w:r w:rsidRPr="005466E4">
        <w:rPr>
          <w:rFonts w:ascii="Arial" w:hAnsi="Arial" w:cs="Arial"/>
          <w:sz w:val="24"/>
          <w:szCs w:val="24"/>
        </w:rPr>
        <w:t>orm</w:t>
      </w:r>
      <w:r w:rsidRPr="005466E4" w:rsidR="00BB0D84">
        <w:rPr>
          <w:rFonts w:ascii="Arial" w:hAnsi="Arial" w:cs="Arial"/>
          <w:sz w:val="24"/>
          <w:szCs w:val="24"/>
        </w:rPr>
        <w:t xml:space="preserve"> (Attachment </w:t>
      </w:r>
      <w:r w:rsidR="00457474">
        <w:rPr>
          <w:rFonts w:ascii="Arial" w:hAnsi="Arial" w:cs="Arial"/>
          <w:sz w:val="24"/>
          <w:szCs w:val="24"/>
        </w:rPr>
        <w:t>B</w:t>
      </w:r>
      <w:r w:rsidRPr="005466E4" w:rsidR="00BB0D84">
        <w:rPr>
          <w:rFonts w:ascii="Arial" w:hAnsi="Arial" w:cs="Arial"/>
          <w:sz w:val="24"/>
          <w:szCs w:val="24"/>
        </w:rPr>
        <w:t>)</w:t>
      </w:r>
      <w:r w:rsidRPr="005466E4">
        <w:rPr>
          <w:rFonts w:ascii="Arial" w:hAnsi="Arial" w:cs="Arial"/>
          <w:sz w:val="24"/>
          <w:szCs w:val="24"/>
        </w:rPr>
        <w:t>.</w:t>
      </w:r>
      <w:r w:rsidRPr="005466E4" w:rsidR="00795CB5">
        <w:rPr>
          <w:rFonts w:ascii="Arial" w:hAnsi="Arial" w:cs="Arial"/>
          <w:sz w:val="24"/>
          <w:szCs w:val="24"/>
        </w:rPr>
        <w:t xml:space="preserve"> The recruitment flyer will also be </w:t>
      </w:r>
      <w:r w:rsidRPr="005466E4" w:rsidR="008B27FD">
        <w:rPr>
          <w:rFonts w:ascii="Arial" w:hAnsi="Arial" w:cs="Arial"/>
          <w:sz w:val="24"/>
          <w:szCs w:val="24"/>
        </w:rPr>
        <w:t xml:space="preserve">shared with the student and employee population at West Virginia University and </w:t>
      </w:r>
      <w:r w:rsidRPr="005466E4" w:rsidR="00795CB5">
        <w:rPr>
          <w:rFonts w:ascii="Arial" w:hAnsi="Arial" w:cs="Arial"/>
          <w:sz w:val="24"/>
          <w:szCs w:val="24"/>
        </w:rPr>
        <w:t>posted in social networks like Facebook, and LinkedIn, to reach as many potential participants as possible.</w:t>
      </w:r>
    </w:p>
    <w:p w:rsidR="0028441C" w:rsidP="004850B2" w14:paraId="4FAA0756" w14:textId="77777777">
      <w:pPr>
        <w:pStyle w:val="ListParagraph"/>
        <w:ind w:left="360"/>
        <w:rPr>
          <w:rFonts w:ascii="Arial" w:hAnsi="Arial" w:cs="Arial"/>
          <w:sz w:val="24"/>
          <w:szCs w:val="24"/>
        </w:rPr>
      </w:pPr>
    </w:p>
    <w:p w:rsidR="0025508E" w:rsidRPr="005466E4" w:rsidP="004850B2" w14:paraId="68961BB6" w14:textId="77777777">
      <w:pPr>
        <w:pStyle w:val="ListParagraph"/>
        <w:ind w:left="360"/>
        <w:rPr>
          <w:rFonts w:ascii="Arial" w:hAnsi="Arial" w:cs="Arial"/>
          <w:sz w:val="24"/>
          <w:szCs w:val="24"/>
        </w:rPr>
      </w:pPr>
    </w:p>
    <w:p w:rsidR="004F51CA" w:rsidRPr="005466E4" w:rsidP="00952BA9" w14:paraId="0C8699D7" w14:textId="3930F349">
      <w:pPr>
        <w:pStyle w:val="ListParagraph"/>
        <w:numPr>
          <w:ilvl w:val="0"/>
          <w:numId w:val="1"/>
        </w:numPr>
        <w:ind w:left="360"/>
        <w:rPr>
          <w:rFonts w:ascii="Arial" w:hAnsi="Arial" w:cs="Arial"/>
          <w:b/>
          <w:bCs/>
          <w:sz w:val="24"/>
          <w:szCs w:val="24"/>
        </w:rPr>
      </w:pPr>
      <w:r w:rsidRPr="005466E4">
        <w:rPr>
          <w:rFonts w:ascii="Arial" w:hAnsi="Arial" w:cs="Arial"/>
          <w:b/>
          <w:bCs/>
          <w:sz w:val="24"/>
          <w:szCs w:val="24"/>
        </w:rPr>
        <w:t xml:space="preserve">Statistical Method for Sample Selection </w:t>
      </w:r>
    </w:p>
    <w:p w:rsidR="004F51CA" w:rsidRPr="005466E4" w:rsidP="00625502" w14:paraId="2C5A3CC9" w14:textId="77777777">
      <w:pPr>
        <w:pStyle w:val="ListParagraph"/>
        <w:ind w:left="360"/>
        <w:rPr>
          <w:rFonts w:ascii="Arial" w:hAnsi="Arial" w:cs="Arial"/>
          <w:sz w:val="24"/>
          <w:szCs w:val="24"/>
        </w:rPr>
      </w:pPr>
    </w:p>
    <w:p w:rsidR="00BB0D84" w:rsidRPr="005466E4" w:rsidP="00BB0D84" w14:paraId="31DF2253" w14:textId="68B024B6">
      <w:pPr>
        <w:pStyle w:val="ListParagraph"/>
        <w:ind w:left="360"/>
        <w:rPr>
          <w:rFonts w:ascii="Arial" w:hAnsi="Arial" w:cs="Arial"/>
          <w:sz w:val="24"/>
          <w:szCs w:val="24"/>
        </w:rPr>
      </w:pPr>
      <w:r w:rsidRPr="005466E4">
        <w:rPr>
          <w:rFonts w:ascii="Arial" w:hAnsi="Arial" w:cs="Arial"/>
          <w:sz w:val="24"/>
          <w:szCs w:val="24"/>
        </w:rPr>
        <w:t>Th</w:t>
      </w:r>
      <w:r w:rsidR="001A2831">
        <w:rPr>
          <w:rFonts w:ascii="Arial" w:hAnsi="Arial" w:cs="Arial"/>
          <w:sz w:val="24"/>
          <w:szCs w:val="24"/>
        </w:rPr>
        <w:t>e</w:t>
      </w:r>
      <w:r w:rsidRPr="005466E4">
        <w:rPr>
          <w:rFonts w:ascii="Arial" w:hAnsi="Arial" w:cs="Arial"/>
          <w:sz w:val="24"/>
          <w:szCs w:val="24"/>
        </w:rPr>
        <w:t xml:space="preserve"> estimate </w:t>
      </w:r>
      <w:r w:rsidR="00846BBD">
        <w:rPr>
          <w:rFonts w:ascii="Arial" w:hAnsi="Arial" w:cs="Arial"/>
          <w:sz w:val="24"/>
          <w:szCs w:val="24"/>
        </w:rPr>
        <w:t>for this sample (</w:t>
      </w:r>
      <w:r w:rsidR="001A2831">
        <w:rPr>
          <w:rFonts w:ascii="Arial" w:hAnsi="Arial" w:cs="Arial"/>
          <w:sz w:val="24"/>
          <w:szCs w:val="24"/>
        </w:rPr>
        <w:t xml:space="preserve">n=53) </w:t>
      </w:r>
      <w:r w:rsidRPr="005466E4">
        <w:rPr>
          <w:rFonts w:ascii="Arial" w:hAnsi="Arial" w:cs="Arial"/>
          <w:sz w:val="24"/>
          <w:szCs w:val="24"/>
        </w:rPr>
        <w:t xml:space="preserve">was calculated using </w:t>
      </w:r>
      <w:r w:rsidRPr="005466E4">
        <w:rPr>
          <w:rFonts w:ascii="Arial" w:hAnsi="Arial" w:cs="Arial"/>
          <w:sz w:val="24"/>
          <w:szCs w:val="24"/>
        </w:rPr>
        <w:t>GPower’s</w:t>
      </w:r>
      <w:r w:rsidRPr="005466E4">
        <w:rPr>
          <w:rFonts w:ascii="Arial" w:hAnsi="Arial" w:cs="Arial"/>
          <w:sz w:val="24"/>
          <w:szCs w:val="24"/>
        </w:rPr>
        <w:t xml:space="preserve"> repeated measures ANOVA sample size estimator. A small effect size of </w:t>
      </w:r>
      <w:r w:rsidR="001A2831">
        <w:rPr>
          <w:rFonts w:ascii="Arial" w:hAnsi="Arial" w:cs="Arial"/>
          <w:sz w:val="24"/>
          <w:szCs w:val="24"/>
        </w:rPr>
        <w:t>0</w:t>
      </w:r>
      <w:r w:rsidRPr="005466E4">
        <w:rPr>
          <w:rFonts w:ascii="Arial" w:hAnsi="Arial" w:cs="Arial"/>
          <w:sz w:val="24"/>
          <w:szCs w:val="24"/>
        </w:rPr>
        <w:t xml:space="preserve">.10 power of </w:t>
      </w:r>
      <w:r w:rsidR="001A2831">
        <w:rPr>
          <w:rFonts w:ascii="Arial" w:hAnsi="Arial" w:cs="Arial"/>
          <w:sz w:val="24"/>
          <w:szCs w:val="24"/>
        </w:rPr>
        <w:t>0</w:t>
      </w:r>
      <w:r w:rsidRPr="005466E4">
        <w:rPr>
          <w:rFonts w:ascii="Arial" w:hAnsi="Arial" w:cs="Arial"/>
          <w:sz w:val="24"/>
          <w:szCs w:val="24"/>
        </w:rPr>
        <w:t xml:space="preserve">.80, and a significance level of </w:t>
      </w:r>
      <w:r w:rsidR="001A2831">
        <w:rPr>
          <w:rFonts w:ascii="Arial" w:hAnsi="Arial" w:cs="Arial"/>
          <w:sz w:val="24"/>
          <w:szCs w:val="24"/>
        </w:rPr>
        <w:t>0</w:t>
      </w:r>
      <w:r w:rsidRPr="005466E4">
        <w:rPr>
          <w:rFonts w:ascii="Arial" w:hAnsi="Arial" w:cs="Arial"/>
          <w:sz w:val="24"/>
          <w:szCs w:val="24"/>
        </w:rPr>
        <w:t>.05 were utilized to obtain this estimate. A mean dropout rate of 15.6% was observed in a meta-analysis of 46 studies that utilized</w:t>
      </w:r>
      <w:r w:rsidR="00E81807">
        <w:rPr>
          <w:rFonts w:ascii="Arial" w:hAnsi="Arial" w:cs="Arial"/>
          <w:sz w:val="24"/>
          <w:szCs w:val="24"/>
        </w:rPr>
        <w:t xml:space="preserve"> head-mounted displays in virtual reality settings (</w:t>
      </w:r>
      <w:r w:rsidRPr="005466E4">
        <w:rPr>
          <w:rFonts w:ascii="Arial" w:hAnsi="Arial" w:cs="Arial"/>
          <w:sz w:val="24"/>
          <w:szCs w:val="24"/>
        </w:rPr>
        <w:t>HMD-VR</w:t>
      </w:r>
      <w:r w:rsidR="00E81807">
        <w:rPr>
          <w:rFonts w:ascii="Arial" w:hAnsi="Arial" w:cs="Arial"/>
          <w:sz w:val="24"/>
          <w:szCs w:val="24"/>
        </w:rPr>
        <w:t>)</w:t>
      </w:r>
      <w:r w:rsidRPr="005466E4">
        <w:rPr>
          <w:rFonts w:ascii="Arial" w:hAnsi="Arial" w:cs="Arial"/>
          <w:sz w:val="24"/>
          <w:szCs w:val="24"/>
        </w:rPr>
        <w:t xml:space="preserve"> (</w:t>
      </w:r>
      <w:r w:rsidRPr="005466E4">
        <w:rPr>
          <w:rFonts w:ascii="Arial" w:hAnsi="Arial" w:cs="Arial"/>
          <w:sz w:val="24"/>
          <w:szCs w:val="24"/>
        </w:rPr>
        <w:t>Saredakis</w:t>
      </w:r>
      <w:r w:rsidRPr="005466E4">
        <w:rPr>
          <w:rFonts w:ascii="Arial" w:hAnsi="Arial" w:cs="Arial"/>
          <w:sz w:val="24"/>
          <w:szCs w:val="24"/>
        </w:rPr>
        <w:t xml:space="preserve"> et al., 2020). We anticipate a similar dropout rate of around 15% for the current study. Therefore,</w:t>
      </w:r>
      <w:r w:rsidR="00E81807">
        <w:rPr>
          <w:rFonts w:ascii="Arial" w:hAnsi="Arial" w:cs="Arial"/>
          <w:sz w:val="24"/>
          <w:szCs w:val="24"/>
        </w:rPr>
        <w:t xml:space="preserve"> up to</w:t>
      </w:r>
      <w:r w:rsidRPr="005466E4">
        <w:rPr>
          <w:rFonts w:ascii="Arial" w:hAnsi="Arial" w:cs="Arial"/>
          <w:sz w:val="24"/>
          <w:szCs w:val="24"/>
        </w:rPr>
        <w:t xml:space="preserve"> 61 participants </w:t>
      </w:r>
      <w:r w:rsidR="00E81807">
        <w:rPr>
          <w:rFonts w:ascii="Arial" w:hAnsi="Arial" w:cs="Arial"/>
          <w:sz w:val="24"/>
          <w:szCs w:val="24"/>
        </w:rPr>
        <w:t>may</w:t>
      </w:r>
      <w:r w:rsidRPr="005466E4">
        <w:rPr>
          <w:rFonts w:ascii="Arial" w:hAnsi="Arial" w:cs="Arial"/>
          <w:sz w:val="24"/>
          <w:szCs w:val="24"/>
        </w:rPr>
        <w:t xml:space="preserve"> be recruited.</w:t>
      </w:r>
    </w:p>
    <w:p w:rsidR="004A7792" w:rsidRPr="005466E4" w:rsidP="00BB0D84" w14:paraId="59CD9987" w14:textId="77777777">
      <w:pPr>
        <w:pStyle w:val="ListParagraph"/>
        <w:ind w:left="360"/>
        <w:rPr>
          <w:rFonts w:ascii="Arial" w:hAnsi="Arial" w:cs="Arial"/>
          <w:sz w:val="24"/>
          <w:szCs w:val="24"/>
        </w:rPr>
      </w:pPr>
    </w:p>
    <w:p w:rsidR="00E673BE" w:rsidRPr="005466E4" w:rsidP="008006A7" w14:paraId="599EBB09" w14:textId="6C7C55C6">
      <w:pPr>
        <w:pStyle w:val="ListParagraph"/>
        <w:numPr>
          <w:ilvl w:val="0"/>
          <w:numId w:val="1"/>
        </w:numPr>
        <w:ind w:left="360"/>
        <w:rPr>
          <w:rFonts w:ascii="Arial" w:hAnsi="Arial" w:cs="Arial"/>
          <w:b/>
          <w:bCs/>
          <w:sz w:val="24"/>
          <w:szCs w:val="24"/>
        </w:rPr>
      </w:pPr>
      <w:r w:rsidRPr="005466E4">
        <w:rPr>
          <w:rFonts w:ascii="Arial" w:hAnsi="Arial" w:cs="Arial"/>
          <w:b/>
          <w:bCs/>
          <w:sz w:val="24"/>
          <w:szCs w:val="24"/>
        </w:rPr>
        <w:t>Data Collection and Organization</w:t>
      </w:r>
    </w:p>
    <w:p w:rsidR="00A04884" w:rsidRPr="005466E4" w:rsidP="006879C1" w14:paraId="668F7DCE" w14:textId="6C14BC92">
      <w:pPr>
        <w:ind w:left="360"/>
        <w:rPr>
          <w:rFonts w:ascii="Arial" w:hAnsi="Arial" w:cs="Arial"/>
          <w:sz w:val="24"/>
          <w:szCs w:val="24"/>
        </w:rPr>
      </w:pPr>
      <w:r w:rsidRPr="005466E4">
        <w:rPr>
          <w:rFonts w:ascii="Arial" w:hAnsi="Arial" w:cs="Arial"/>
          <w:sz w:val="24"/>
          <w:szCs w:val="24"/>
        </w:rPr>
        <w:t xml:space="preserve">This research study will take place at the NIOSH Research Robotics’ Lab in Morgantown, WV. </w:t>
      </w:r>
      <w:r w:rsidRPr="005466E4" w:rsidR="002024D3">
        <w:rPr>
          <w:rFonts w:ascii="Arial" w:hAnsi="Arial" w:cs="Arial"/>
          <w:sz w:val="24"/>
          <w:szCs w:val="24"/>
        </w:rPr>
        <w:t xml:space="preserve"> The total duration of the experiment session is app</w:t>
      </w:r>
      <w:r w:rsidRPr="005466E4" w:rsidR="00E673BE">
        <w:rPr>
          <w:rFonts w:ascii="Arial" w:hAnsi="Arial" w:cs="Arial"/>
          <w:sz w:val="24"/>
          <w:szCs w:val="24"/>
        </w:rPr>
        <w:t xml:space="preserve">roximately 4 hours. </w:t>
      </w:r>
      <w:r w:rsidRPr="005466E4" w:rsidR="004B578D">
        <w:rPr>
          <w:rFonts w:ascii="Arial" w:hAnsi="Arial" w:cs="Arial"/>
          <w:sz w:val="24"/>
          <w:szCs w:val="24"/>
        </w:rPr>
        <w:t xml:space="preserve">This study will use a Head-Mounted Display (HMD) </w:t>
      </w:r>
      <w:r w:rsidR="00FE0CBD">
        <w:rPr>
          <w:rFonts w:ascii="Arial" w:hAnsi="Arial" w:cs="Arial"/>
          <w:sz w:val="24"/>
          <w:szCs w:val="24"/>
        </w:rPr>
        <w:t>virtual reality (</w:t>
      </w:r>
      <w:r w:rsidRPr="005466E4" w:rsidR="004B578D">
        <w:rPr>
          <w:rFonts w:ascii="Arial" w:hAnsi="Arial" w:cs="Arial"/>
          <w:sz w:val="24"/>
          <w:szCs w:val="24"/>
        </w:rPr>
        <w:t>VR</w:t>
      </w:r>
      <w:r w:rsidR="00FE0CBD">
        <w:rPr>
          <w:rFonts w:ascii="Arial" w:hAnsi="Arial" w:cs="Arial"/>
          <w:sz w:val="24"/>
          <w:szCs w:val="24"/>
        </w:rPr>
        <w:t>)</w:t>
      </w:r>
      <w:r w:rsidRPr="005466E4" w:rsidR="004B578D">
        <w:rPr>
          <w:rFonts w:ascii="Arial" w:hAnsi="Arial" w:cs="Arial"/>
          <w:sz w:val="24"/>
          <w:szCs w:val="24"/>
        </w:rPr>
        <w:t xml:space="preserve"> headset (HTC </w:t>
      </w:r>
      <w:r w:rsidRPr="005466E4" w:rsidR="004B578D">
        <w:rPr>
          <w:rFonts w:ascii="Arial" w:hAnsi="Arial" w:cs="Arial"/>
          <w:sz w:val="24"/>
          <w:szCs w:val="24"/>
        </w:rPr>
        <w:t>Vive</w:t>
      </w:r>
      <w:r w:rsidRPr="005466E4" w:rsidR="004B578D">
        <w:rPr>
          <w:rFonts w:ascii="Arial" w:hAnsi="Arial" w:cs="Arial"/>
          <w:sz w:val="24"/>
          <w:szCs w:val="24"/>
        </w:rPr>
        <w:t xml:space="preserve"> Pro) to provide participants with a simulated sensory experience of the work environment</w:t>
      </w:r>
      <w:r w:rsidRPr="005466E4" w:rsidR="0098763A">
        <w:rPr>
          <w:rFonts w:ascii="Arial" w:hAnsi="Arial" w:cs="Arial"/>
          <w:sz w:val="24"/>
          <w:szCs w:val="24"/>
        </w:rPr>
        <w:t xml:space="preserve">. </w:t>
      </w:r>
      <w:r w:rsidRPr="005466E4" w:rsidR="004B578D">
        <w:rPr>
          <w:rFonts w:ascii="Arial" w:hAnsi="Arial" w:cs="Arial"/>
          <w:sz w:val="24"/>
          <w:szCs w:val="24"/>
        </w:rPr>
        <w:t xml:space="preserve">Used in conjunction with the HTC </w:t>
      </w:r>
      <w:r w:rsidRPr="005466E4" w:rsidR="004B578D">
        <w:rPr>
          <w:rFonts w:ascii="Arial" w:hAnsi="Arial" w:cs="Arial"/>
          <w:sz w:val="24"/>
          <w:szCs w:val="24"/>
        </w:rPr>
        <w:t>Vive</w:t>
      </w:r>
      <w:r w:rsidRPr="005466E4" w:rsidR="004B578D">
        <w:rPr>
          <w:rFonts w:ascii="Arial" w:hAnsi="Arial" w:cs="Arial"/>
          <w:sz w:val="24"/>
          <w:szCs w:val="24"/>
        </w:rPr>
        <w:t xml:space="preserve"> Pro HMD headset will be the </w:t>
      </w:r>
      <w:r w:rsidRPr="005466E4" w:rsidR="004B578D">
        <w:rPr>
          <w:rFonts w:ascii="Arial" w:hAnsi="Arial" w:cs="Arial"/>
          <w:sz w:val="24"/>
          <w:szCs w:val="24"/>
        </w:rPr>
        <w:t>Vive</w:t>
      </w:r>
      <w:r w:rsidRPr="005466E4" w:rsidR="004B578D">
        <w:rPr>
          <w:rFonts w:ascii="Arial" w:hAnsi="Arial" w:cs="Arial"/>
          <w:sz w:val="24"/>
          <w:szCs w:val="24"/>
        </w:rPr>
        <w:t xml:space="preserve"> VR controllers to simulate the human-robot collaboration task. The HMD system will be used to record the participant’s reaction time and accuracy in responding to the 12 robot errors, and total time to task completion for each of the study conditions. </w:t>
      </w:r>
    </w:p>
    <w:p w:rsidR="00A27697" w:rsidRPr="005466E4" w:rsidP="00E81807" w14:paraId="13A9CDD6" w14:textId="06FD59CE">
      <w:pPr>
        <w:ind w:left="360"/>
        <w:rPr>
          <w:rFonts w:ascii="Arial" w:hAnsi="Arial" w:cs="Arial"/>
          <w:sz w:val="24"/>
          <w:szCs w:val="24"/>
        </w:rPr>
      </w:pPr>
      <w:r w:rsidRPr="005466E4">
        <w:rPr>
          <w:rFonts w:ascii="Arial" w:hAnsi="Arial" w:cs="Arial"/>
          <w:sz w:val="24"/>
          <w:szCs w:val="24"/>
        </w:rPr>
        <w:t>Following the HMD VR device setup, participants will take part in a 5-minute practice session to: 1) explore the virtual environment; 2) practice picking up and releasing objects as the robot passes them to the participant; and 3) practice responding to robot error conditions by pressing one of the three buttons on the virtual response panel.</w:t>
      </w:r>
    </w:p>
    <w:p w:rsidR="00A27697" w:rsidRPr="005466E4" w:rsidP="00A27697" w14:paraId="744A3992" w14:textId="6E0C1A29">
      <w:pPr>
        <w:ind w:left="360"/>
        <w:rPr>
          <w:rFonts w:ascii="Arial" w:hAnsi="Arial" w:cs="Arial"/>
          <w:sz w:val="24"/>
          <w:szCs w:val="24"/>
        </w:rPr>
      </w:pPr>
      <w:r w:rsidRPr="005466E4">
        <w:rPr>
          <w:rFonts w:ascii="Arial" w:hAnsi="Arial" w:cs="Arial"/>
          <w:sz w:val="24"/>
          <w:szCs w:val="24"/>
        </w:rPr>
        <w:t xml:space="preserve">Participants will perform the task while standing stationary in the corner of the </w:t>
      </w:r>
      <w:r w:rsidR="00761632">
        <w:rPr>
          <w:rFonts w:ascii="Arial" w:hAnsi="Arial" w:cs="Arial"/>
          <w:sz w:val="24"/>
          <w:szCs w:val="24"/>
        </w:rPr>
        <w:t xml:space="preserve">NIOSH </w:t>
      </w:r>
      <w:r w:rsidRPr="005466E4">
        <w:rPr>
          <w:rFonts w:ascii="Arial" w:hAnsi="Arial" w:cs="Arial"/>
          <w:sz w:val="24"/>
          <w:szCs w:val="24"/>
        </w:rPr>
        <w:t xml:space="preserve">Robotics Lab. The task requires only upper body movement. The area is free of obstructions and distractions. Two NIOSH researchers will be present to observe and instruct the participant while they </w:t>
      </w:r>
      <w:r w:rsidR="00BA6AFF">
        <w:rPr>
          <w:rFonts w:ascii="Arial" w:hAnsi="Arial" w:cs="Arial"/>
          <w:sz w:val="24"/>
          <w:szCs w:val="24"/>
        </w:rPr>
        <w:t>participate</w:t>
      </w:r>
      <w:r w:rsidRPr="005466E4">
        <w:rPr>
          <w:rFonts w:ascii="Arial" w:hAnsi="Arial" w:cs="Arial"/>
          <w:sz w:val="24"/>
          <w:szCs w:val="24"/>
        </w:rPr>
        <w:t xml:space="preserve">. </w:t>
      </w:r>
      <w:r w:rsidR="00BA6AFF">
        <w:rPr>
          <w:rFonts w:ascii="Arial" w:hAnsi="Arial" w:cs="Arial"/>
          <w:sz w:val="24"/>
          <w:szCs w:val="24"/>
        </w:rPr>
        <w:t>Researchers</w:t>
      </w:r>
      <w:r w:rsidRPr="005466E4">
        <w:rPr>
          <w:rFonts w:ascii="Arial" w:hAnsi="Arial" w:cs="Arial"/>
          <w:sz w:val="24"/>
          <w:szCs w:val="24"/>
        </w:rPr>
        <w:t xml:space="preserve"> will also observe and monitor the participant to watch for risks such as potential loss of balance and intervene with the participant if necessary. </w:t>
      </w:r>
    </w:p>
    <w:p w:rsidR="00A27697" w:rsidRPr="005466E4" w:rsidP="00A27697" w14:paraId="48CFE82E" w14:textId="0DE5D3B1">
      <w:pPr>
        <w:ind w:left="360"/>
        <w:rPr>
          <w:rFonts w:ascii="Arial" w:hAnsi="Arial" w:cs="Arial"/>
          <w:sz w:val="24"/>
          <w:szCs w:val="24"/>
        </w:rPr>
      </w:pPr>
      <w:r w:rsidRPr="005466E4">
        <w:rPr>
          <w:rFonts w:ascii="Arial" w:hAnsi="Arial" w:cs="Arial"/>
          <w:sz w:val="24"/>
          <w:szCs w:val="24"/>
        </w:rPr>
        <w:t xml:space="preserve">Participants will progress through and complete 20 simulated conditions (5 modalities x 2 message types x 2 safety-relevancies). In </w:t>
      </w:r>
      <w:r w:rsidR="00BA6AFF">
        <w:rPr>
          <w:rFonts w:ascii="Arial" w:hAnsi="Arial" w:cs="Arial"/>
          <w:sz w:val="24"/>
          <w:szCs w:val="24"/>
        </w:rPr>
        <w:t>the Robotics Lab, which has a</w:t>
      </w:r>
      <w:r w:rsidRPr="005466E4">
        <w:rPr>
          <w:rFonts w:ascii="Arial" w:hAnsi="Arial" w:cs="Arial"/>
          <w:sz w:val="24"/>
          <w:szCs w:val="24"/>
        </w:rPr>
        <w:t xml:space="preserve"> simulated VR environment, </w:t>
      </w:r>
      <w:r w:rsidR="00095371">
        <w:rPr>
          <w:rFonts w:ascii="Arial" w:hAnsi="Arial" w:cs="Arial"/>
          <w:sz w:val="24"/>
          <w:szCs w:val="24"/>
        </w:rPr>
        <w:t>participants</w:t>
      </w:r>
      <w:r w:rsidRPr="005466E4">
        <w:rPr>
          <w:rFonts w:ascii="Arial" w:hAnsi="Arial" w:cs="Arial"/>
          <w:sz w:val="24"/>
          <w:szCs w:val="24"/>
        </w:rPr>
        <w:t xml:space="preserve"> will be tasked with receiving objects from the virtual robot as the robot arm moves toward them. There will be three types of errors encountered during the simulations: gripper, arm, and body errors. Each error type will occur 4 times in each condition.</w:t>
      </w:r>
    </w:p>
    <w:p w:rsidR="00A27697" w:rsidRPr="005466E4" w:rsidP="00A27697" w14:paraId="6E703A5C" w14:textId="44F6D649">
      <w:pPr>
        <w:ind w:left="360"/>
        <w:rPr>
          <w:rFonts w:ascii="Arial" w:hAnsi="Arial" w:cs="Arial"/>
          <w:sz w:val="24"/>
          <w:szCs w:val="24"/>
        </w:rPr>
      </w:pPr>
      <w:r w:rsidRPr="005466E4">
        <w:rPr>
          <w:rFonts w:ascii="Arial" w:hAnsi="Arial" w:cs="Arial"/>
          <w:sz w:val="24"/>
          <w:szCs w:val="24"/>
        </w:rPr>
        <w:t>The errors will occur randomly throughout each condition, and the order of different types of errors will be randomized. During the error trial, the robot will exhibit a sign and move at a slowed speed. When an error occurs, the robot will communicate the error via the specific interface modality and message type of the current condition. The participant then has a limited amount of time to respond to the error on the response panel. Within each condition, data will be collected for each participant’s time to complete the condition and response accuracy and reaction time. After each condition, participants will respond to questions regarding their perception of safety and trust in the robot, difficulty of the interface modality, mental and team workload</w:t>
      </w:r>
      <w:r w:rsidR="00095371">
        <w:rPr>
          <w:rFonts w:ascii="Arial" w:hAnsi="Arial" w:cs="Arial"/>
          <w:sz w:val="24"/>
          <w:szCs w:val="24"/>
        </w:rPr>
        <w:t>,</w:t>
      </w:r>
      <w:r w:rsidRPr="005466E4">
        <w:rPr>
          <w:rFonts w:ascii="Arial" w:hAnsi="Arial" w:cs="Arial"/>
          <w:sz w:val="24"/>
          <w:szCs w:val="24"/>
        </w:rPr>
        <w:t xml:space="preserve"> and their evaluation of the robot. Participants will be given a short break after every three conditions or per request.   </w:t>
      </w:r>
    </w:p>
    <w:p w:rsidR="0098763A" w:rsidRPr="005466E4" w:rsidP="00A27697" w14:paraId="5B48B3D5" w14:textId="75FD00F0">
      <w:pPr>
        <w:ind w:left="360"/>
        <w:rPr>
          <w:rFonts w:ascii="Arial" w:hAnsi="Arial" w:cs="Arial"/>
          <w:sz w:val="24"/>
          <w:szCs w:val="24"/>
        </w:rPr>
      </w:pPr>
      <w:r w:rsidRPr="005466E4">
        <w:rPr>
          <w:rFonts w:ascii="Arial" w:hAnsi="Arial" w:cs="Arial"/>
          <w:sz w:val="24"/>
          <w:szCs w:val="24"/>
        </w:rPr>
        <w:t xml:space="preserve">After completion of the study trials, researchers will remove the HMD-VR headset from the participant and commence the debriefing. Researchers will check participants’ level of nausea using the Virtual Reality Sickness Questionnaire and </w:t>
      </w:r>
      <w:r w:rsidR="00095371">
        <w:rPr>
          <w:rFonts w:ascii="Arial" w:hAnsi="Arial" w:cs="Arial"/>
          <w:sz w:val="24"/>
          <w:szCs w:val="24"/>
        </w:rPr>
        <w:t>pay</w:t>
      </w:r>
      <w:r w:rsidRPr="005466E4">
        <w:rPr>
          <w:rFonts w:ascii="Arial" w:hAnsi="Arial" w:cs="Arial"/>
          <w:sz w:val="24"/>
          <w:szCs w:val="24"/>
        </w:rPr>
        <w:t xml:space="preserve"> them for their time</w:t>
      </w:r>
      <w:r w:rsidR="00323A87">
        <w:rPr>
          <w:rFonts w:ascii="Arial" w:hAnsi="Arial" w:cs="Arial"/>
          <w:sz w:val="24"/>
          <w:szCs w:val="24"/>
        </w:rPr>
        <w:t xml:space="preserve"> via a debit card ($30/per hour)</w:t>
      </w:r>
      <w:r w:rsidRPr="005466E4">
        <w:rPr>
          <w:rFonts w:ascii="Arial" w:hAnsi="Arial" w:cs="Arial"/>
          <w:sz w:val="24"/>
          <w:szCs w:val="24"/>
        </w:rPr>
        <w:t>. If the participant is experiencing any level of nausea based on their responses to the questionnaire, they will not be released until symptoms subside.</w:t>
      </w:r>
    </w:p>
    <w:p w:rsidR="00F77714" w:rsidRPr="005466E4" w:rsidP="00F77714" w14:paraId="093C3849" w14:textId="77777777">
      <w:pPr>
        <w:ind w:left="360"/>
        <w:rPr>
          <w:rStyle w:val="PlaceholderText"/>
          <w:rFonts w:ascii="Arial" w:hAnsi="Arial" w:cs="Arial"/>
          <w:b/>
          <w:bCs/>
          <w:sz w:val="24"/>
          <w:szCs w:val="24"/>
        </w:rPr>
      </w:pPr>
      <w:r w:rsidRPr="005466E4">
        <w:rPr>
          <w:rFonts w:ascii="Arial" w:eastAsia="Times New Roman" w:hAnsi="Arial" w:cs="Arial"/>
          <w:b/>
          <w:bCs/>
          <w:sz w:val="24"/>
          <w:szCs w:val="24"/>
        </w:rPr>
        <w:t>Description of Human-Robot Interaction Conditions</w:t>
      </w:r>
    </w:p>
    <w:p w:rsidR="00F77714" w:rsidRPr="005466E4" w:rsidP="00F77714" w14:paraId="664802F6" w14:textId="77777777">
      <w:pPr>
        <w:pStyle w:val="ListParagraph"/>
        <w:numPr>
          <w:ilvl w:val="0"/>
          <w:numId w:val="10"/>
        </w:numPr>
        <w:rPr>
          <w:rFonts w:ascii="Arial" w:hAnsi="Arial" w:cs="Arial"/>
          <w:sz w:val="24"/>
          <w:szCs w:val="24"/>
        </w:rPr>
      </w:pPr>
      <w:r w:rsidRPr="005466E4">
        <w:rPr>
          <w:rFonts w:ascii="Arial" w:hAnsi="Arial" w:cs="Arial"/>
          <w:b/>
          <w:bCs/>
          <w:sz w:val="24"/>
          <w:szCs w:val="24"/>
        </w:rPr>
        <w:t>Interface modality:</w:t>
      </w:r>
    </w:p>
    <w:p w:rsidR="00F77714" w:rsidRPr="005466E4" w:rsidP="00F77714" w14:paraId="73A68B47" w14:textId="77777777">
      <w:pPr>
        <w:pStyle w:val="ListParagraph"/>
        <w:numPr>
          <w:ilvl w:val="1"/>
          <w:numId w:val="10"/>
        </w:numPr>
        <w:rPr>
          <w:rFonts w:ascii="Arial" w:hAnsi="Arial" w:cs="Arial"/>
          <w:sz w:val="24"/>
          <w:szCs w:val="24"/>
        </w:rPr>
      </w:pPr>
      <w:r w:rsidRPr="005466E4">
        <w:rPr>
          <w:rFonts w:ascii="Arial" w:hAnsi="Arial" w:cs="Arial"/>
          <w:i/>
          <w:iCs/>
          <w:sz w:val="24"/>
          <w:szCs w:val="24"/>
        </w:rPr>
        <w:t>Visual-lights</w:t>
      </w:r>
      <w:r w:rsidRPr="005466E4">
        <w:rPr>
          <w:rFonts w:ascii="Arial" w:hAnsi="Arial" w:cs="Arial"/>
          <w:i/>
          <w:iCs/>
          <w:sz w:val="24"/>
          <w:szCs w:val="24"/>
        </w:rPr>
        <w:t xml:space="preserve">. </w:t>
      </w:r>
      <w:r w:rsidRPr="005466E4">
        <w:rPr>
          <w:rFonts w:ascii="Arial" w:hAnsi="Arial" w:cs="Arial"/>
          <w:sz w:val="24"/>
          <w:szCs w:val="24"/>
        </w:rPr>
        <w:t>This modality is most often seen in collaborative robots and considered as a control condition.</w:t>
      </w:r>
    </w:p>
    <w:p w:rsidR="00F77714" w:rsidRPr="005466E4" w:rsidP="00F77714" w14:paraId="573A22EB" w14:textId="77777777">
      <w:pPr>
        <w:pStyle w:val="ListParagraph"/>
        <w:numPr>
          <w:ilvl w:val="2"/>
          <w:numId w:val="10"/>
        </w:numPr>
        <w:rPr>
          <w:rFonts w:ascii="Arial" w:hAnsi="Arial" w:cs="Arial"/>
          <w:sz w:val="24"/>
          <w:szCs w:val="24"/>
        </w:rPr>
      </w:pPr>
      <w:r w:rsidRPr="005466E4">
        <w:rPr>
          <w:rFonts w:ascii="Arial" w:hAnsi="Arial" w:cs="Arial"/>
          <w:sz w:val="24"/>
          <w:szCs w:val="24"/>
        </w:rPr>
        <w:t>Normal Operation: The robot will display a solid green light (this is a normal LED light encountered in everyday settings – like a green light on a working smoke alarm).</w:t>
      </w:r>
    </w:p>
    <w:p w:rsidR="00F77714" w:rsidRPr="005466E4" w:rsidP="00F77714" w14:paraId="6C5A8296" w14:textId="77777777">
      <w:pPr>
        <w:pStyle w:val="ListParagraph"/>
        <w:numPr>
          <w:ilvl w:val="1"/>
          <w:numId w:val="10"/>
        </w:numPr>
        <w:rPr>
          <w:rFonts w:ascii="Arial" w:hAnsi="Arial" w:cs="Arial"/>
          <w:i/>
          <w:iCs/>
          <w:sz w:val="24"/>
          <w:szCs w:val="24"/>
        </w:rPr>
      </w:pPr>
      <w:r w:rsidRPr="005466E4">
        <w:rPr>
          <w:rFonts w:ascii="Arial" w:hAnsi="Arial" w:cs="Arial"/>
          <w:i/>
          <w:iCs/>
          <w:sz w:val="24"/>
          <w:szCs w:val="24"/>
        </w:rPr>
        <w:t>Visual-graphical</w:t>
      </w:r>
    </w:p>
    <w:p w:rsidR="00F77714" w:rsidRPr="005466E4" w:rsidP="00F77714" w14:paraId="67509FF0" w14:textId="77777777">
      <w:pPr>
        <w:pStyle w:val="ListParagraph"/>
        <w:numPr>
          <w:ilvl w:val="2"/>
          <w:numId w:val="10"/>
        </w:numPr>
        <w:rPr>
          <w:rFonts w:ascii="Arial" w:hAnsi="Arial" w:cs="Arial"/>
          <w:sz w:val="24"/>
          <w:szCs w:val="24"/>
        </w:rPr>
      </w:pPr>
      <w:r w:rsidRPr="005466E4">
        <w:rPr>
          <w:rFonts w:ascii="Arial" w:hAnsi="Arial" w:cs="Arial"/>
          <w:sz w:val="24"/>
          <w:szCs w:val="24"/>
        </w:rPr>
        <w:t>Normal Operation: The robot will display a green checkmark on the screen (e.g., see Figure 2).</w:t>
      </w:r>
    </w:p>
    <w:p w:rsidR="00F77714" w:rsidRPr="005466E4" w:rsidP="00F77714" w14:paraId="1B14A650" w14:textId="77777777">
      <w:pPr>
        <w:pStyle w:val="ListParagraph"/>
        <w:numPr>
          <w:ilvl w:val="1"/>
          <w:numId w:val="10"/>
        </w:numPr>
        <w:rPr>
          <w:rFonts w:ascii="Arial" w:hAnsi="Arial" w:cs="Arial"/>
          <w:i/>
          <w:iCs/>
          <w:sz w:val="24"/>
          <w:szCs w:val="24"/>
        </w:rPr>
      </w:pPr>
      <w:r w:rsidRPr="005466E4">
        <w:rPr>
          <w:rFonts w:ascii="Arial" w:hAnsi="Arial" w:cs="Arial"/>
          <w:i/>
          <w:iCs/>
          <w:sz w:val="24"/>
          <w:szCs w:val="24"/>
        </w:rPr>
        <w:t>Visual-verbal</w:t>
      </w:r>
    </w:p>
    <w:p w:rsidR="00F77714" w:rsidRPr="005466E4" w:rsidP="00F77714" w14:paraId="023D02AA" w14:textId="77777777">
      <w:pPr>
        <w:pStyle w:val="ListParagraph"/>
        <w:numPr>
          <w:ilvl w:val="2"/>
          <w:numId w:val="10"/>
        </w:numPr>
        <w:rPr>
          <w:rFonts w:ascii="Arial" w:hAnsi="Arial" w:cs="Arial"/>
          <w:sz w:val="24"/>
          <w:szCs w:val="24"/>
        </w:rPr>
      </w:pPr>
      <w:r w:rsidRPr="005466E4">
        <w:rPr>
          <w:rFonts w:ascii="Arial" w:hAnsi="Arial" w:cs="Arial"/>
          <w:sz w:val="24"/>
          <w:szCs w:val="24"/>
        </w:rPr>
        <w:t xml:space="preserve">Normal Operation: The robot screen will display text that </w:t>
      </w:r>
      <w:r w:rsidRPr="005466E4">
        <w:rPr>
          <w:rFonts w:ascii="Arial" w:hAnsi="Arial" w:cs="Arial"/>
          <w:sz w:val="24"/>
          <w:szCs w:val="24"/>
        </w:rPr>
        <w:t>says</w:t>
      </w:r>
      <w:r w:rsidRPr="005466E4">
        <w:rPr>
          <w:rFonts w:ascii="Arial" w:hAnsi="Arial" w:cs="Arial"/>
          <w:sz w:val="24"/>
          <w:szCs w:val="24"/>
        </w:rPr>
        <w:t xml:space="preserve"> “Normal Operation.” </w:t>
      </w:r>
    </w:p>
    <w:p w:rsidR="00F77714" w:rsidRPr="005466E4" w:rsidP="00F77714" w14:paraId="799BDEB0" w14:textId="77777777">
      <w:pPr>
        <w:pStyle w:val="ListParagraph"/>
        <w:numPr>
          <w:ilvl w:val="1"/>
          <w:numId w:val="10"/>
        </w:numPr>
        <w:rPr>
          <w:rFonts w:ascii="Arial" w:hAnsi="Arial" w:cs="Arial"/>
          <w:i/>
          <w:iCs/>
          <w:sz w:val="24"/>
          <w:szCs w:val="24"/>
        </w:rPr>
      </w:pPr>
      <w:r w:rsidRPr="005466E4">
        <w:rPr>
          <w:rFonts w:ascii="Arial" w:hAnsi="Arial" w:cs="Arial"/>
          <w:i/>
          <w:iCs/>
          <w:sz w:val="24"/>
          <w:szCs w:val="24"/>
        </w:rPr>
        <w:t>Auditory-tone</w:t>
      </w:r>
    </w:p>
    <w:p w:rsidR="00F77714" w:rsidRPr="005466E4" w:rsidP="00F77714" w14:paraId="6BBB0936" w14:textId="77777777">
      <w:pPr>
        <w:pStyle w:val="ListParagraph"/>
        <w:numPr>
          <w:ilvl w:val="2"/>
          <w:numId w:val="10"/>
        </w:numPr>
        <w:rPr>
          <w:rFonts w:ascii="Arial" w:hAnsi="Arial" w:cs="Arial"/>
          <w:sz w:val="24"/>
          <w:szCs w:val="24"/>
        </w:rPr>
      </w:pPr>
      <w:r w:rsidRPr="005466E4">
        <w:rPr>
          <w:rFonts w:ascii="Arial" w:hAnsi="Arial" w:cs="Arial"/>
          <w:sz w:val="24"/>
          <w:szCs w:val="24"/>
        </w:rPr>
        <w:t xml:space="preserve">Normal Operation: There will be a beeping sound at 500 Hz and 200 </w:t>
      </w:r>
      <w:r w:rsidRPr="005466E4">
        <w:rPr>
          <w:rFonts w:ascii="Arial" w:hAnsi="Arial" w:cs="Arial"/>
          <w:sz w:val="24"/>
          <w:szCs w:val="24"/>
        </w:rPr>
        <w:t>ms</w:t>
      </w:r>
      <w:r w:rsidRPr="005466E4">
        <w:rPr>
          <w:rFonts w:ascii="Arial" w:hAnsi="Arial" w:cs="Arial"/>
          <w:sz w:val="24"/>
          <w:szCs w:val="24"/>
        </w:rPr>
        <w:t xml:space="preserve"> duration. (500 Hz is the lowest frequency to which the human auditory system is most sensitive [between 500 and 4000 Hz]).</w:t>
      </w:r>
    </w:p>
    <w:p w:rsidR="00F77714" w:rsidRPr="005466E4" w:rsidP="00F77714" w14:paraId="015D5688" w14:textId="77777777">
      <w:pPr>
        <w:pStyle w:val="ListParagraph"/>
        <w:numPr>
          <w:ilvl w:val="1"/>
          <w:numId w:val="10"/>
        </w:numPr>
        <w:rPr>
          <w:rFonts w:ascii="Arial" w:hAnsi="Arial" w:cs="Arial"/>
          <w:i/>
          <w:iCs/>
          <w:sz w:val="24"/>
          <w:szCs w:val="24"/>
        </w:rPr>
      </w:pPr>
      <w:r w:rsidRPr="005466E4">
        <w:rPr>
          <w:rFonts w:ascii="Arial" w:hAnsi="Arial" w:cs="Arial"/>
          <w:i/>
          <w:iCs/>
          <w:sz w:val="24"/>
          <w:szCs w:val="24"/>
        </w:rPr>
        <w:t>Auditory-speech</w:t>
      </w:r>
    </w:p>
    <w:p w:rsidR="00F77714" w:rsidRPr="005466E4" w:rsidP="00F77714" w14:paraId="74CD40E5" w14:textId="77777777">
      <w:pPr>
        <w:pStyle w:val="ListParagraph"/>
        <w:numPr>
          <w:ilvl w:val="2"/>
          <w:numId w:val="10"/>
        </w:numPr>
        <w:rPr>
          <w:rFonts w:ascii="Arial" w:hAnsi="Arial" w:cs="Arial"/>
          <w:sz w:val="24"/>
          <w:szCs w:val="24"/>
        </w:rPr>
      </w:pPr>
      <w:r w:rsidRPr="005466E4">
        <w:rPr>
          <w:rFonts w:ascii="Arial" w:hAnsi="Arial" w:cs="Arial"/>
          <w:sz w:val="24"/>
          <w:szCs w:val="24"/>
        </w:rPr>
        <w:t xml:space="preserve">Normal Operation: Same as the auditory-tone interface modality. There will be a beeping sound at 500 Hz and 200 </w:t>
      </w:r>
      <w:r w:rsidRPr="005466E4">
        <w:rPr>
          <w:rFonts w:ascii="Arial" w:hAnsi="Arial" w:cs="Arial"/>
          <w:sz w:val="24"/>
          <w:szCs w:val="24"/>
        </w:rPr>
        <w:t>ms</w:t>
      </w:r>
      <w:r w:rsidRPr="005466E4">
        <w:rPr>
          <w:rFonts w:ascii="Arial" w:hAnsi="Arial" w:cs="Arial"/>
          <w:sz w:val="24"/>
          <w:szCs w:val="24"/>
        </w:rPr>
        <w:t xml:space="preserve"> duration.</w:t>
      </w:r>
    </w:p>
    <w:p w:rsidR="00F77714" w:rsidRPr="005466E4" w:rsidP="00F77714" w14:paraId="013F98D1" w14:textId="77777777">
      <w:pPr>
        <w:pStyle w:val="ListParagraph"/>
        <w:ind w:left="1440"/>
        <w:rPr>
          <w:rFonts w:ascii="Arial" w:hAnsi="Arial" w:cs="Arial"/>
          <w:sz w:val="24"/>
          <w:szCs w:val="24"/>
        </w:rPr>
      </w:pPr>
    </w:p>
    <w:p w:rsidR="00F77714" w:rsidRPr="005466E4" w:rsidP="00F77714" w14:paraId="7FD64018" w14:textId="77777777">
      <w:pPr>
        <w:pStyle w:val="ListParagraph"/>
        <w:numPr>
          <w:ilvl w:val="0"/>
          <w:numId w:val="10"/>
        </w:numPr>
        <w:rPr>
          <w:rFonts w:ascii="Arial" w:hAnsi="Arial" w:cs="Arial"/>
          <w:sz w:val="24"/>
          <w:szCs w:val="24"/>
        </w:rPr>
      </w:pPr>
      <w:r w:rsidRPr="005466E4">
        <w:rPr>
          <w:rFonts w:ascii="Arial" w:hAnsi="Arial" w:cs="Arial"/>
          <w:b/>
          <w:bCs/>
          <w:sz w:val="24"/>
          <w:szCs w:val="24"/>
        </w:rPr>
        <w:t>Message type:</w:t>
      </w:r>
    </w:p>
    <w:p w:rsidR="00F77714" w:rsidRPr="005466E4" w:rsidP="00F77714" w14:paraId="5965E56F" w14:textId="77777777">
      <w:pPr>
        <w:pStyle w:val="ListParagraph"/>
        <w:numPr>
          <w:ilvl w:val="1"/>
          <w:numId w:val="10"/>
        </w:numPr>
        <w:rPr>
          <w:rFonts w:ascii="Arial" w:hAnsi="Arial" w:cs="Arial"/>
          <w:sz w:val="24"/>
          <w:szCs w:val="24"/>
        </w:rPr>
      </w:pPr>
      <w:r w:rsidRPr="005466E4">
        <w:rPr>
          <w:rFonts w:ascii="Arial" w:hAnsi="Arial" w:cs="Arial"/>
          <w:i/>
          <w:iCs/>
          <w:sz w:val="24"/>
          <w:szCs w:val="24"/>
        </w:rPr>
        <w:t xml:space="preserve">Status-based: </w:t>
      </w:r>
      <w:r w:rsidRPr="005466E4">
        <w:rPr>
          <w:rFonts w:ascii="Arial" w:hAnsi="Arial" w:cs="Arial"/>
          <w:sz w:val="24"/>
          <w:szCs w:val="24"/>
        </w:rPr>
        <w:t xml:space="preserve">conveys the current status of the robot’s </w:t>
      </w:r>
      <w:r w:rsidRPr="005466E4">
        <w:rPr>
          <w:rFonts w:ascii="Arial" w:hAnsi="Arial" w:cs="Arial"/>
          <w:sz w:val="24"/>
          <w:szCs w:val="24"/>
        </w:rPr>
        <w:t>operation</w:t>
      </w:r>
    </w:p>
    <w:p w:rsidR="00F77714" w:rsidRPr="005466E4" w:rsidP="00F77714" w14:paraId="351FBD59" w14:textId="77777777">
      <w:pPr>
        <w:pStyle w:val="ListParagraph"/>
        <w:numPr>
          <w:ilvl w:val="1"/>
          <w:numId w:val="10"/>
        </w:numPr>
        <w:rPr>
          <w:rFonts w:ascii="Arial" w:hAnsi="Arial" w:cs="Arial"/>
          <w:sz w:val="24"/>
          <w:szCs w:val="24"/>
        </w:rPr>
      </w:pPr>
      <w:r w:rsidRPr="005466E4">
        <w:rPr>
          <w:rFonts w:ascii="Arial" w:hAnsi="Arial" w:cs="Arial"/>
          <w:i/>
          <w:iCs/>
          <w:sz w:val="24"/>
          <w:szCs w:val="24"/>
        </w:rPr>
        <w:t xml:space="preserve">Intention-based: </w:t>
      </w:r>
      <w:r w:rsidRPr="005466E4">
        <w:rPr>
          <w:rFonts w:ascii="Arial" w:hAnsi="Arial" w:cs="Arial"/>
          <w:sz w:val="24"/>
          <w:szCs w:val="24"/>
        </w:rPr>
        <w:t xml:space="preserve">conveys information indicating [future] intention of the </w:t>
      </w:r>
      <w:r w:rsidRPr="005466E4">
        <w:rPr>
          <w:rFonts w:ascii="Arial" w:hAnsi="Arial" w:cs="Arial"/>
          <w:sz w:val="24"/>
          <w:szCs w:val="24"/>
        </w:rPr>
        <w:t>robot</w:t>
      </w:r>
      <w:r w:rsidRPr="005466E4">
        <w:rPr>
          <w:rFonts w:ascii="Arial" w:hAnsi="Arial" w:cs="Arial"/>
          <w:sz w:val="24"/>
          <w:szCs w:val="24"/>
        </w:rPr>
        <w:t xml:space="preserve"> </w:t>
      </w:r>
    </w:p>
    <w:p w:rsidR="00F77714" w:rsidRPr="005466E4" w:rsidP="00F77714" w14:paraId="1DAFD9FF" w14:textId="77777777">
      <w:pPr>
        <w:pStyle w:val="ListParagraph"/>
        <w:rPr>
          <w:rFonts w:ascii="Arial" w:hAnsi="Arial" w:cs="Arial"/>
          <w:sz w:val="24"/>
          <w:szCs w:val="24"/>
        </w:rPr>
      </w:pPr>
    </w:p>
    <w:p w:rsidR="00F77714" w:rsidRPr="005466E4" w:rsidP="00F77714" w14:paraId="7E4ADD3B" w14:textId="77777777">
      <w:pPr>
        <w:pStyle w:val="ListParagraph"/>
        <w:numPr>
          <w:ilvl w:val="0"/>
          <w:numId w:val="10"/>
        </w:numPr>
        <w:rPr>
          <w:rFonts w:ascii="Arial" w:hAnsi="Arial" w:cs="Arial"/>
          <w:sz w:val="24"/>
          <w:szCs w:val="24"/>
        </w:rPr>
      </w:pPr>
      <w:r w:rsidRPr="005466E4">
        <w:rPr>
          <w:rFonts w:ascii="Arial" w:hAnsi="Arial" w:cs="Arial"/>
          <w:b/>
          <w:bCs/>
          <w:sz w:val="24"/>
          <w:szCs w:val="24"/>
        </w:rPr>
        <w:t>Safety-relevancies</w:t>
      </w:r>
      <w:r w:rsidRPr="005466E4">
        <w:rPr>
          <w:rFonts w:ascii="Arial" w:hAnsi="Arial" w:cs="Arial"/>
          <w:sz w:val="24"/>
          <w:szCs w:val="24"/>
        </w:rPr>
        <w:t>:</w:t>
      </w:r>
    </w:p>
    <w:p w:rsidR="00F77714" w:rsidRPr="005466E4" w:rsidP="00F77714" w14:paraId="19161938" w14:textId="77777777">
      <w:pPr>
        <w:pStyle w:val="ListParagraph"/>
        <w:numPr>
          <w:ilvl w:val="1"/>
          <w:numId w:val="10"/>
        </w:numPr>
        <w:rPr>
          <w:rFonts w:ascii="Arial" w:hAnsi="Arial" w:cs="Arial"/>
          <w:sz w:val="24"/>
          <w:szCs w:val="24"/>
        </w:rPr>
      </w:pPr>
      <w:r w:rsidRPr="005466E4">
        <w:rPr>
          <w:rFonts w:ascii="Arial" w:hAnsi="Arial" w:cs="Arial"/>
          <w:i/>
          <w:iCs/>
          <w:sz w:val="24"/>
          <w:szCs w:val="24"/>
        </w:rPr>
        <w:t>Low:</w:t>
      </w:r>
      <w:r w:rsidRPr="005466E4">
        <w:rPr>
          <w:rFonts w:ascii="Arial" w:hAnsi="Arial" w:cs="Arial"/>
          <w:sz w:val="24"/>
          <w:szCs w:val="24"/>
        </w:rPr>
        <w:t xml:space="preserve"> simulated non-hazardous object is being handled (e.g., smooth object)</w:t>
      </w:r>
    </w:p>
    <w:p w:rsidR="00671093" w:rsidRPr="00323A87" w:rsidP="00323A87" w14:paraId="23E8485A" w14:textId="5C2AB007">
      <w:pPr>
        <w:pStyle w:val="ListParagraph"/>
        <w:numPr>
          <w:ilvl w:val="1"/>
          <w:numId w:val="10"/>
        </w:numPr>
        <w:rPr>
          <w:rFonts w:ascii="Arial" w:hAnsi="Arial" w:cs="Arial"/>
          <w:sz w:val="24"/>
          <w:szCs w:val="24"/>
        </w:rPr>
      </w:pPr>
      <w:r w:rsidRPr="005466E4">
        <w:rPr>
          <w:rFonts w:ascii="Arial" w:hAnsi="Arial" w:cs="Arial"/>
          <w:i/>
          <w:iCs/>
          <w:sz w:val="24"/>
          <w:szCs w:val="24"/>
        </w:rPr>
        <w:t>High</w:t>
      </w:r>
      <w:r w:rsidRPr="005466E4">
        <w:rPr>
          <w:rFonts w:ascii="Arial" w:hAnsi="Arial" w:cs="Arial"/>
          <w:sz w:val="24"/>
          <w:szCs w:val="24"/>
        </w:rPr>
        <w:t>: simulated hazardous object is being handled (e.g., sharp object)</w:t>
      </w:r>
    </w:p>
    <w:p w:rsidR="00BB0D84" w:rsidRPr="005466E4" w:rsidP="00D750A2" w14:paraId="47E60EA5" w14:textId="145433A2">
      <w:pPr>
        <w:ind w:left="360"/>
        <w:rPr>
          <w:rFonts w:ascii="Arial" w:hAnsi="Arial" w:cs="Arial"/>
          <w:b/>
          <w:bCs/>
          <w:iCs/>
          <w:sz w:val="24"/>
          <w:szCs w:val="24"/>
        </w:rPr>
      </w:pPr>
      <w:r w:rsidRPr="005466E4">
        <w:rPr>
          <w:rFonts w:ascii="Arial" w:hAnsi="Arial" w:cs="Arial"/>
          <w:b/>
          <w:bCs/>
          <w:iCs/>
          <w:sz w:val="24"/>
          <w:szCs w:val="24"/>
        </w:rPr>
        <w:t>Description of Dependent Variables</w:t>
      </w:r>
    </w:p>
    <w:p w:rsidR="00915718" w:rsidRPr="005466E4" w:rsidP="00DC7857" w14:paraId="64339B4D" w14:textId="5D147D6F">
      <w:pPr>
        <w:pStyle w:val="ListParagraph"/>
        <w:numPr>
          <w:ilvl w:val="0"/>
          <w:numId w:val="9"/>
        </w:numPr>
        <w:spacing w:after="0"/>
        <w:rPr>
          <w:rFonts w:ascii="Arial" w:hAnsi="Arial" w:cs="Arial"/>
          <w:noProof/>
          <w:sz w:val="24"/>
          <w:szCs w:val="24"/>
        </w:rPr>
      </w:pPr>
      <w:r w:rsidRPr="005466E4">
        <w:rPr>
          <w:rFonts w:ascii="Arial" w:hAnsi="Arial" w:cs="Arial"/>
          <w:noProof/>
          <w:sz w:val="24"/>
          <w:szCs w:val="24"/>
        </w:rPr>
        <w:t>Task Perform</w:t>
      </w:r>
      <w:r w:rsidRPr="005466E4" w:rsidR="00D41BAF">
        <w:rPr>
          <w:rFonts w:ascii="Arial" w:hAnsi="Arial" w:cs="Arial"/>
          <w:noProof/>
          <w:sz w:val="24"/>
          <w:szCs w:val="24"/>
        </w:rPr>
        <w:t>a</w:t>
      </w:r>
      <w:r w:rsidRPr="005466E4">
        <w:rPr>
          <w:rFonts w:ascii="Arial" w:hAnsi="Arial" w:cs="Arial"/>
          <w:noProof/>
          <w:sz w:val="24"/>
          <w:szCs w:val="24"/>
        </w:rPr>
        <w:t>nce</w:t>
      </w:r>
    </w:p>
    <w:p w:rsidR="005E7BFF" w:rsidRPr="005466E4" w:rsidP="005E7BFF" w14:paraId="5668AF5B" w14:textId="55C8EE92">
      <w:pPr>
        <w:pStyle w:val="ListParagraph"/>
        <w:numPr>
          <w:ilvl w:val="1"/>
          <w:numId w:val="9"/>
        </w:numPr>
        <w:spacing w:after="0"/>
        <w:rPr>
          <w:rFonts w:ascii="Arial" w:hAnsi="Arial" w:cs="Arial"/>
          <w:noProof/>
          <w:sz w:val="24"/>
          <w:szCs w:val="24"/>
        </w:rPr>
      </w:pPr>
      <w:r w:rsidRPr="005466E4">
        <w:rPr>
          <w:rFonts w:ascii="Arial" w:hAnsi="Arial" w:cs="Arial"/>
          <w:noProof/>
          <w:sz w:val="24"/>
          <w:szCs w:val="24"/>
        </w:rPr>
        <w:t>Accuracy of a user’s understanding of robot messages (measured by selection of error location)</w:t>
      </w:r>
    </w:p>
    <w:p w:rsidR="005E7BFF" w:rsidRPr="005466E4" w:rsidP="005E7BFF" w14:paraId="091C173F" w14:textId="5F9A4289">
      <w:pPr>
        <w:pStyle w:val="ListParagraph"/>
        <w:numPr>
          <w:ilvl w:val="1"/>
          <w:numId w:val="9"/>
        </w:numPr>
        <w:spacing w:after="0"/>
        <w:rPr>
          <w:rFonts w:ascii="Arial" w:hAnsi="Arial" w:cs="Arial"/>
          <w:noProof/>
          <w:sz w:val="24"/>
          <w:szCs w:val="24"/>
        </w:rPr>
      </w:pPr>
      <w:r w:rsidRPr="005466E4">
        <w:rPr>
          <w:rFonts w:ascii="Arial" w:hAnsi="Arial" w:cs="Arial"/>
          <w:noProof/>
          <w:sz w:val="24"/>
          <w:szCs w:val="24"/>
        </w:rPr>
        <w:t xml:space="preserve">Attention toward the communication to a given interface (measured by the reaction time) </w:t>
      </w:r>
    </w:p>
    <w:p w:rsidR="00915718" w:rsidRPr="005466E4" w:rsidP="005E7BFF" w14:paraId="2438D16D" w14:textId="3E51BEDD">
      <w:pPr>
        <w:pStyle w:val="ListParagraph"/>
        <w:numPr>
          <w:ilvl w:val="1"/>
          <w:numId w:val="9"/>
        </w:numPr>
        <w:spacing w:after="0"/>
        <w:rPr>
          <w:rFonts w:ascii="Arial" w:hAnsi="Arial" w:cs="Arial"/>
          <w:noProof/>
          <w:sz w:val="24"/>
          <w:szCs w:val="24"/>
        </w:rPr>
      </w:pPr>
      <w:r w:rsidRPr="005466E4">
        <w:rPr>
          <w:rFonts w:ascii="Arial" w:hAnsi="Arial" w:cs="Arial"/>
          <w:noProof/>
          <w:sz w:val="24"/>
          <w:szCs w:val="24"/>
        </w:rPr>
        <w:t>Time to task completion</w:t>
      </w:r>
    </w:p>
    <w:p w:rsidR="005E7BFF" w:rsidRPr="005466E4" w:rsidP="005E7BFF" w14:paraId="586D5342" w14:textId="77777777">
      <w:pPr>
        <w:pStyle w:val="ListParagraph"/>
        <w:spacing w:after="0"/>
        <w:ind w:left="1440"/>
        <w:rPr>
          <w:rFonts w:ascii="Arial" w:hAnsi="Arial" w:cs="Arial"/>
          <w:noProof/>
          <w:sz w:val="24"/>
          <w:szCs w:val="24"/>
        </w:rPr>
      </w:pPr>
    </w:p>
    <w:p w:rsidR="00BB0D84" w:rsidRPr="005466E4" w:rsidP="00DC7857" w14:paraId="484F9E33" w14:textId="78FE1128">
      <w:pPr>
        <w:pStyle w:val="ListParagraph"/>
        <w:numPr>
          <w:ilvl w:val="0"/>
          <w:numId w:val="9"/>
        </w:numPr>
        <w:spacing w:after="0"/>
        <w:rPr>
          <w:rFonts w:ascii="Arial" w:hAnsi="Arial" w:cs="Arial"/>
          <w:noProof/>
          <w:sz w:val="24"/>
          <w:szCs w:val="24"/>
        </w:rPr>
      </w:pPr>
      <w:r w:rsidRPr="005466E4">
        <w:rPr>
          <w:rFonts w:ascii="Arial" w:hAnsi="Arial" w:cs="Arial"/>
          <w:b/>
          <w:noProof/>
          <w:sz w:val="24"/>
          <w:szCs w:val="24"/>
        </w:rPr>
        <w:t>Self-reported measures</w:t>
      </w:r>
      <w:r w:rsidRPr="005466E4">
        <w:rPr>
          <w:rFonts w:ascii="Arial" w:hAnsi="Arial" w:cs="Arial"/>
          <w:noProof/>
          <w:sz w:val="24"/>
          <w:szCs w:val="24"/>
        </w:rPr>
        <w:t>:</w:t>
      </w:r>
    </w:p>
    <w:p w:rsidR="00D41BAF" w:rsidRPr="005466E4" w:rsidP="00D41BAF" w14:paraId="30500EF4" w14:textId="77777777">
      <w:pPr>
        <w:pStyle w:val="ListParagraph"/>
        <w:numPr>
          <w:ilvl w:val="1"/>
          <w:numId w:val="9"/>
        </w:numPr>
        <w:spacing w:after="0"/>
        <w:rPr>
          <w:rFonts w:ascii="Arial" w:hAnsi="Arial" w:cs="Arial"/>
          <w:bCs/>
          <w:noProof/>
          <w:sz w:val="24"/>
          <w:szCs w:val="24"/>
        </w:rPr>
      </w:pPr>
      <w:r w:rsidRPr="005466E4">
        <w:rPr>
          <w:rFonts w:ascii="Arial" w:hAnsi="Arial" w:cs="Arial"/>
          <w:bCs/>
          <w:i/>
          <w:iCs/>
          <w:noProof/>
          <w:sz w:val="24"/>
          <w:szCs w:val="24"/>
        </w:rPr>
        <w:t>Perceived Difficulty of Interface Modality</w:t>
      </w:r>
      <w:r w:rsidRPr="005466E4">
        <w:rPr>
          <w:rFonts w:ascii="Arial" w:hAnsi="Arial" w:cs="Arial"/>
          <w:bCs/>
          <w:noProof/>
          <w:sz w:val="24"/>
          <w:szCs w:val="24"/>
        </w:rPr>
        <w:t>: 1 statement indicating the degree of difficulty the participant experienced in understanding the messages from the robot on a 7-point scale from “very difficult” to “very easy.”</w:t>
      </w:r>
    </w:p>
    <w:p w:rsidR="00D41BAF" w:rsidRPr="005466E4" w:rsidP="00D41BAF" w14:paraId="439C7204" w14:textId="77777777">
      <w:pPr>
        <w:pStyle w:val="ListParagraph"/>
        <w:numPr>
          <w:ilvl w:val="1"/>
          <w:numId w:val="9"/>
        </w:numPr>
        <w:spacing w:after="0"/>
        <w:rPr>
          <w:rFonts w:ascii="Arial" w:hAnsi="Arial" w:cs="Arial"/>
          <w:bCs/>
          <w:noProof/>
          <w:sz w:val="24"/>
          <w:szCs w:val="24"/>
        </w:rPr>
      </w:pPr>
      <w:r w:rsidRPr="005466E4">
        <w:rPr>
          <w:rFonts w:ascii="Arial" w:hAnsi="Arial" w:cs="Arial"/>
          <w:bCs/>
          <w:i/>
          <w:iCs/>
          <w:noProof/>
          <w:sz w:val="24"/>
          <w:szCs w:val="24"/>
        </w:rPr>
        <w:t>Perceived Safety</w:t>
      </w:r>
      <w:r w:rsidRPr="005466E4">
        <w:rPr>
          <w:rFonts w:ascii="Arial" w:hAnsi="Arial" w:cs="Arial"/>
          <w:bCs/>
          <w:noProof/>
          <w:sz w:val="24"/>
          <w:szCs w:val="24"/>
        </w:rPr>
        <w:t>: A statement indicating the participants’ feelings of safety while working with the robot on a 7-point scale from “completely disagree” to completely agree.”</w:t>
      </w:r>
    </w:p>
    <w:p w:rsidR="00D41BAF" w:rsidRPr="005466E4" w:rsidP="00D41BAF" w14:paraId="340F3C46" w14:textId="77777777">
      <w:pPr>
        <w:pStyle w:val="ListParagraph"/>
        <w:numPr>
          <w:ilvl w:val="1"/>
          <w:numId w:val="9"/>
        </w:numPr>
        <w:spacing w:after="0"/>
        <w:rPr>
          <w:rFonts w:ascii="Arial" w:hAnsi="Arial" w:cs="Arial"/>
          <w:bCs/>
          <w:noProof/>
          <w:sz w:val="24"/>
          <w:szCs w:val="24"/>
        </w:rPr>
      </w:pPr>
      <w:r w:rsidRPr="005466E4">
        <w:rPr>
          <w:rFonts w:ascii="Arial" w:hAnsi="Arial" w:cs="Arial"/>
          <w:bCs/>
          <w:i/>
          <w:iCs/>
          <w:noProof/>
          <w:sz w:val="24"/>
          <w:szCs w:val="24"/>
        </w:rPr>
        <w:t>Perceived Trust</w:t>
      </w:r>
      <w:r w:rsidRPr="005466E4">
        <w:rPr>
          <w:rFonts w:ascii="Arial" w:hAnsi="Arial" w:cs="Arial"/>
          <w:bCs/>
          <w:noProof/>
          <w:sz w:val="24"/>
          <w:szCs w:val="24"/>
        </w:rPr>
        <w:t>: A statement indicating the participants’ feelings of trust while working with the robot on a 7-point scale from “completely disagree” to “completely agree.”</w:t>
      </w:r>
    </w:p>
    <w:p w:rsidR="00D41BAF" w:rsidRPr="005466E4" w:rsidP="00D41BAF" w14:paraId="06A803BE" w14:textId="77777777">
      <w:pPr>
        <w:pStyle w:val="ListParagraph"/>
        <w:numPr>
          <w:ilvl w:val="1"/>
          <w:numId w:val="9"/>
        </w:numPr>
        <w:spacing w:after="0"/>
        <w:rPr>
          <w:rFonts w:ascii="Arial" w:hAnsi="Arial" w:cs="Arial"/>
          <w:bCs/>
          <w:noProof/>
          <w:sz w:val="24"/>
          <w:szCs w:val="24"/>
        </w:rPr>
      </w:pPr>
      <w:r w:rsidRPr="005466E4">
        <w:rPr>
          <w:rFonts w:ascii="Arial" w:hAnsi="Arial" w:cs="Arial"/>
          <w:bCs/>
          <w:i/>
          <w:iCs/>
          <w:noProof/>
          <w:sz w:val="24"/>
          <w:szCs w:val="24"/>
        </w:rPr>
        <w:t>Team Workload</w:t>
      </w:r>
      <w:r w:rsidRPr="005466E4">
        <w:rPr>
          <w:rFonts w:ascii="Arial" w:hAnsi="Arial" w:cs="Arial"/>
          <w:bCs/>
          <w:noProof/>
          <w:sz w:val="24"/>
          <w:szCs w:val="24"/>
        </w:rPr>
        <w:t>: 9 questions assessing individual and team workload that have been modified to fit the collaborative task; rated on a scale from 0 (minimal) to 10 (maximum).</w:t>
      </w:r>
    </w:p>
    <w:p w:rsidR="00D41BAF" w:rsidRPr="005466E4" w:rsidP="00D41BAF" w14:paraId="78178BE8" w14:textId="025EB73B">
      <w:pPr>
        <w:pStyle w:val="ListParagraph"/>
        <w:numPr>
          <w:ilvl w:val="1"/>
          <w:numId w:val="9"/>
        </w:numPr>
        <w:spacing w:after="0"/>
        <w:rPr>
          <w:rFonts w:ascii="Arial" w:hAnsi="Arial" w:cs="Arial"/>
          <w:bCs/>
          <w:noProof/>
          <w:sz w:val="24"/>
          <w:szCs w:val="24"/>
        </w:rPr>
      </w:pPr>
      <w:r w:rsidRPr="005466E4">
        <w:rPr>
          <w:rFonts w:ascii="Arial" w:hAnsi="Arial" w:cs="Arial"/>
          <w:bCs/>
          <w:i/>
          <w:iCs/>
          <w:noProof/>
          <w:sz w:val="24"/>
          <w:szCs w:val="24"/>
        </w:rPr>
        <w:t>Robot Evaluation</w:t>
      </w:r>
      <w:r w:rsidRPr="005466E4">
        <w:rPr>
          <w:rFonts w:ascii="Arial" w:hAnsi="Arial" w:cs="Arial"/>
          <w:bCs/>
          <w:noProof/>
          <w:sz w:val="24"/>
          <w:szCs w:val="24"/>
        </w:rPr>
        <w:t>: 14 questions rated from 0 to 100% that evaluate different aspects of robot behavior and performance.</w:t>
      </w:r>
    </w:p>
    <w:p w:rsidR="008D2B6D" w:rsidRPr="005466E4" w:rsidP="008D2B6D" w14:paraId="272F2D74" w14:textId="77777777">
      <w:pPr>
        <w:pStyle w:val="ListParagraph"/>
        <w:spacing w:after="0"/>
        <w:ind w:left="1080"/>
        <w:rPr>
          <w:rFonts w:ascii="Arial" w:hAnsi="Arial" w:cs="Arial"/>
          <w:noProof/>
          <w:sz w:val="24"/>
          <w:szCs w:val="24"/>
        </w:rPr>
      </w:pPr>
    </w:p>
    <w:p w:rsidR="005B79A8" w:rsidRPr="005466E4" w:rsidP="00BD0A80" w14:paraId="5C85D52B" w14:textId="23F37657">
      <w:pPr>
        <w:ind w:left="360"/>
        <w:rPr>
          <w:rFonts w:ascii="Arial" w:hAnsi="Arial" w:cs="Arial"/>
          <w:b/>
          <w:bCs/>
          <w:sz w:val="24"/>
          <w:szCs w:val="24"/>
        </w:rPr>
      </w:pPr>
      <w:r w:rsidRPr="005466E4">
        <w:rPr>
          <w:rFonts w:ascii="Arial" w:hAnsi="Arial" w:cs="Arial"/>
          <w:b/>
          <w:bCs/>
          <w:sz w:val="24"/>
          <w:szCs w:val="24"/>
        </w:rPr>
        <w:t>Data</w:t>
      </w:r>
      <w:r w:rsidRPr="005466E4">
        <w:rPr>
          <w:rFonts w:ascii="Arial" w:hAnsi="Arial" w:cs="Arial"/>
          <w:b/>
          <w:bCs/>
          <w:sz w:val="24"/>
          <w:szCs w:val="24"/>
        </w:rPr>
        <w:t xml:space="preserve"> analysis </w:t>
      </w:r>
    </w:p>
    <w:p w:rsidR="00BB0D84" w:rsidP="00DE67EB" w14:paraId="4AF00901" w14:textId="054BAD8F">
      <w:pPr>
        <w:ind w:left="360"/>
        <w:rPr>
          <w:rFonts w:ascii="Arial" w:hAnsi="Arial" w:cs="Arial"/>
          <w:sz w:val="24"/>
          <w:szCs w:val="24"/>
        </w:rPr>
      </w:pPr>
      <w:r>
        <w:rPr>
          <w:rFonts w:ascii="Arial" w:hAnsi="Arial" w:cs="Arial"/>
          <w:sz w:val="24"/>
          <w:szCs w:val="24"/>
        </w:rPr>
        <w:t>A series of r</w:t>
      </w:r>
      <w:r w:rsidRPr="005466E4" w:rsidR="00081AF7">
        <w:rPr>
          <w:rFonts w:ascii="Arial" w:hAnsi="Arial" w:cs="Arial"/>
          <w:sz w:val="24"/>
          <w:szCs w:val="24"/>
        </w:rPr>
        <w:t xml:space="preserve">epeated measures ANOVA will be used to examine the effects of different interface modalities, message types, and safety-relevancies on the accuracy, reaction time, time to complete the task, and self-reported measures. Two-tailed, </w:t>
      </w:r>
      <w:r>
        <w:rPr>
          <w:rFonts w:ascii="Arial" w:hAnsi="Arial" w:cs="Arial"/>
          <w:sz w:val="24"/>
          <w:szCs w:val="24"/>
        </w:rPr>
        <w:t>0</w:t>
      </w:r>
      <w:r w:rsidRPr="005466E4" w:rsidR="00081AF7">
        <w:rPr>
          <w:rFonts w:ascii="Arial" w:hAnsi="Arial" w:cs="Arial"/>
          <w:sz w:val="24"/>
          <w:szCs w:val="24"/>
        </w:rPr>
        <w:t>.05 p-value, and 95% confidence intervals will be used for statistical significance.</w:t>
      </w:r>
      <w:r>
        <w:rPr>
          <w:rFonts w:ascii="Arial" w:hAnsi="Arial" w:cs="Arial"/>
          <w:sz w:val="24"/>
          <w:szCs w:val="24"/>
        </w:rPr>
        <w:t xml:space="preserve"> If the sample size permits, c</w:t>
      </w:r>
      <w:r w:rsidRPr="005466E4" w:rsidR="00081AF7">
        <w:rPr>
          <w:rFonts w:ascii="Arial" w:hAnsi="Arial" w:cs="Arial"/>
          <w:sz w:val="24"/>
          <w:szCs w:val="24"/>
        </w:rPr>
        <w:t>orrelational and regression analysis m</w:t>
      </w:r>
      <w:r>
        <w:rPr>
          <w:rFonts w:ascii="Arial" w:hAnsi="Arial" w:cs="Arial"/>
          <w:sz w:val="24"/>
          <w:szCs w:val="24"/>
        </w:rPr>
        <w:t>ay be used</w:t>
      </w:r>
      <w:r w:rsidRPr="005466E4" w:rsidR="00081AF7">
        <w:rPr>
          <w:rFonts w:ascii="Arial" w:hAnsi="Arial" w:cs="Arial"/>
          <w:sz w:val="24"/>
          <w:szCs w:val="24"/>
        </w:rPr>
        <w:t xml:space="preserve"> to further explore the relationships among variables. Tables and figures will be generated to illustrate the differences between the conditions and any interaction effects.</w:t>
      </w:r>
    </w:p>
    <w:p w:rsidR="00323A87" w:rsidP="00DE67EB" w14:paraId="242ABB23" w14:textId="77777777">
      <w:pPr>
        <w:ind w:left="360"/>
        <w:rPr>
          <w:rFonts w:ascii="Arial" w:hAnsi="Arial" w:cs="Arial"/>
          <w:sz w:val="24"/>
          <w:szCs w:val="24"/>
        </w:rPr>
      </w:pPr>
    </w:p>
    <w:p w:rsidR="00323A87" w:rsidRPr="005466E4" w:rsidP="00DE67EB" w14:paraId="16A446FA" w14:textId="77777777">
      <w:pPr>
        <w:ind w:left="360"/>
        <w:rPr>
          <w:rFonts w:ascii="Arial" w:hAnsi="Arial" w:cs="Arial"/>
          <w:sz w:val="24"/>
          <w:szCs w:val="24"/>
          <w:u w:val="single"/>
        </w:rPr>
      </w:pPr>
    </w:p>
    <w:p w:rsidR="004F51CA" w:rsidRPr="005466E4" w:rsidP="00FB40AD" w14:paraId="13E6D520" w14:textId="03AC20D2">
      <w:pPr>
        <w:pStyle w:val="ListParagraph"/>
        <w:numPr>
          <w:ilvl w:val="0"/>
          <w:numId w:val="1"/>
        </w:numPr>
        <w:ind w:left="360"/>
        <w:rPr>
          <w:rFonts w:ascii="Arial" w:hAnsi="Arial" w:cs="Arial"/>
          <w:b/>
          <w:bCs/>
          <w:sz w:val="24"/>
          <w:szCs w:val="24"/>
        </w:rPr>
      </w:pPr>
      <w:r w:rsidRPr="005466E4">
        <w:rPr>
          <w:rFonts w:ascii="Arial" w:hAnsi="Arial" w:cs="Arial"/>
          <w:b/>
          <w:bCs/>
          <w:sz w:val="24"/>
          <w:szCs w:val="24"/>
        </w:rPr>
        <w:t>Methods to Maximize Response Rates and Deal with Nonresponse</w:t>
      </w:r>
    </w:p>
    <w:p w:rsidR="007F7636" w:rsidRPr="005466E4" w:rsidP="00795CB5" w14:paraId="25FD86C2" w14:textId="77777777">
      <w:pPr>
        <w:pStyle w:val="ListParagraph"/>
        <w:ind w:left="360"/>
        <w:rPr>
          <w:rFonts w:ascii="Arial" w:hAnsi="Arial" w:cs="Arial"/>
          <w:b/>
          <w:bCs/>
          <w:sz w:val="24"/>
          <w:szCs w:val="24"/>
        </w:rPr>
      </w:pPr>
    </w:p>
    <w:p w:rsidR="00A62F04" w:rsidRPr="005466E4" w:rsidP="00795CB5" w14:paraId="4923BD02" w14:textId="126D79AC">
      <w:pPr>
        <w:pStyle w:val="ListParagraph"/>
        <w:ind w:left="360"/>
        <w:rPr>
          <w:rFonts w:ascii="Arial" w:hAnsi="Arial" w:cs="Arial"/>
          <w:sz w:val="24"/>
          <w:szCs w:val="24"/>
        </w:rPr>
      </w:pPr>
      <w:r w:rsidRPr="005466E4">
        <w:rPr>
          <w:rFonts w:ascii="Arial" w:hAnsi="Arial" w:cs="Arial"/>
          <w:sz w:val="24"/>
          <w:szCs w:val="24"/>
        </w:rPr>
        <w:t xml:space="preserve">To maximize participation, we will offer </w:t>
      </w:r>
      <w:r w:rsidRPr="005466E4" w:rsidR="0043257A">
        <w:rPr>
          <w:rFonts w:ascii="Arial" w:hAnsi="Arial" w:cs="Arial"/>
          <w:sz w:val="24"/>
          <w:szCs w:val="24"/>
        </w:rPr>
        <w:t>the following</w:t>
      </w:r>
      <w:r w:rsidRPr="005466E4" w:rsidR="00031F30">
        <w:rPr>
          <w:rFonts w:ascii="Arial" w:hAnsi="Arial" w:cs="Arial"/>
          <w:sz w:val="24"/>
          <w:szCs w:val="24"/>
        </w:rPr>
        <w:t xml:space="preserve"> incentives: 1) </w:t>
      </w:r>
      <w:r w:rsidRPr="005466E4" w:rsidR="0095525D">
        <w:rPr>
          <w:rFonts w:ascii="Arial" w:hAnsi="Arial" w:cs="Arial"/>
          <w:sz w:val="24"/>
          <w:szCs w:val="24"/>
        </w:rPr>
        <w:t xml:space="preserve">Compensation for the participants time at </w:t>
      </w:r>
      <w:r w:rsidRPr="005466E4" w:rsidR="00110F64">
        <w:rPr>
          <w:rFonts w:ascii="Arial" w:hAnsi="Arial" w:cs="Arial"/>
          <w:sz w:val="24"/>
          <w:szCs w:val="24"/>
        </w:rPr>
        <w:t>a rate of $30/hour</w:t>
      </w:r>
      <w:r w:rsidRPr="005466E4" w:rsidR="00CD74BD">
        <w:rPr>
          <w:rFonts w:ascii="Arial" w:hAnsi="Arial" w:cs="Arial"/>
          <w:sz w:val="24"/>
          <w:szCs w:val="24"/>
        </w:rPr>
        <w:t>, with partial payment</w:t>
      </w:r>
      <w:r w:rsidRPr="005466E4" w:rsidR="00E62CD0">
        <w:rPr>
          <w:rFonts w:ascii="Arial" w:hAnsi="Arial" w:cs="Arial"/>
          <w:sz w:val="24"/>
          <w:szCs w:val="24"/>
        </w:rPr>
        <w:t>s</w:t>
      </w:r>
      <w:r w:rsidRPr="005466E4" w:rsidR="00CD74BD">
        <w:rPr>
          <w:rFonts w:ascii="Arial" w:hAnsi="Arial" w:cs="Arial"/>
          <w:sz w:val="24"/>
          <w:szCs w:val="24"/>
        </w:rPr>
        <w:t xml:space="preserve"> at a rate of $10 per 20 minutes, with periods less than 20 minutes rounded up</w:t>
      </w:r>
      <w:r w:rsidRPr="005466E4" w:rsidR="00E62CD0">
        <w:rPr>
          <w:rFonts w:ascii="Arial" w:hAnsi="Arial" w:cs="Arial"/>
          <w:sz w:val="24"/>
          <w:szCs w:val="24"/>
        </w:rPr>
        <w:t>;</w:t>
      </w:r>
      <w:r w:rsidRPr="005466E4" w:rsidR="00EA6FE7">
        <w:rPr>
          <w:rFonts w:ascii="Arial" w:hAnsi="Arial" w:cs="Arial"/>
          <w:sz w:val="24"/>
          <w:szCs w:val="24"/>
        </w:rPr>
        <w:t xml:space="preserve"> 2</w:t>
      </w:r>
      <w:r w:rsidRPr="005466E4" w:rsidR="00110F64">
        <w:rPr>
          <w:rFonts w:ascii="Arial" w:hAnsi="Arial" w:cs="Arial"/>
          <w:sz w:val="24"/>
          <w:szCs w:val="24"/>
        </w:rPr>
        <w:t xml:space="preserve">) </w:t>
      </w:r>
      <w:r w:rsidRPr="005466E4">
        <w:rPr>
          <w:rFonts w:ascii="Arial" w:hAnsi="Arial" w:cs="Arial"/>
          <w:sz w:val="24"/>
          <w:szCs w:val="24"/>
        </w:rPr>
        <w:t>flexible hours</w:t>
      </w:r>
      <w:r w:rsidRPr="005466E4" w:rsidR="00B354F8">
        <w:rPr>
          <w:rFonts w:ascii="Arial" w:hAnsi="Arial" w:cs="Arial"/>
          <w:sz w:val="24"/>
          <w:szCs w:val="24"/>
        </w:rPr>
        <w:t xml:space="preserve"> that include early hours in the mornings </w:t>
      </w:r>
      <w:r w:rsidRPr="005466E4" w:rsidR="00126FCB">
        <w:rPr>
          <w:rFonts w:ascii="Arial" w:hAnsi="Arial" w:cs="Arial"/>
          <w:sz w:val="24"/>
          <w:szCs w:val="24"/>
        </w:rPr>
        <w:t>and/</w:t>
      </w:r>
      <w:r w:rsidRPr="005466E4" w:rsidR="00B354F8">
        <w:rPr>
          <w:rFonts w:ascii="Arial" w:hAnsi="Arial" w:cs="Arial"/>
          <w:sz w:val="24"/>
          <w:szCs w:val="24"/>
        </w:rPr>
        <w:t>or evening hours</w:t>
      </w:r>
      <w:r w:rsidRPr="005466E4" w:rsidR="00373193">
        <w:rPr>
          <w:rFonts w:ascii="Arial" w:hAnsi="Arial" w:cs="Arial"/>
          <w:sz w:val="24"/>
          <w:szCs w:val="24"/>
        </w:rPr>
        <w:t xml:space="preserve">. </w:t>
      </w:r>
      <w:r w:rsidRPr="005466E4">
        <w:rPr>
          <w:rFonts w:ascii="Arial" w:hAnsi="Arial" w:cs="Arial"/>
          <w:sz w:val="24"/>
          <w:szCs w:val="24"/>
        </w:rPr>
        <w:t xml:space="preserve">In addition, </w:t>
      </w:r>
      <w:r w:rsidRPr="005466E4" w:rsidR="0031723F">
        <w:rPr>
          <w:rFonts w:ascii="Arial" w:hAnsi="Arial" w:cs="Arial"/>
          <w:sz w:val="24"/>
          <w:szCs w:val="24"/>
        </w:rPr>
        <w:t xml:space="preserve">to boost the recruitment rate, </w:t>
      </w:r>
      <w:r w:rsidRPr="005466E4">
        <w:rPr>
          <w:rFonts w:ascii="Arial" w:hAnsi="Arial" w:cs="Arial"/>
          <w:sz w:val="24"/>
          <w:szCs w:val="24"/>
        </w:rPr>
        <w:t xml:space="preserve">we will </w:t>
      </w:r>
      <w:r w:rsidR="00E9520E">
        <w:rPr>
          <w:rFonts w:ascii="Arial" w:hAnsi="Arial" w:cs="Arial"/>
          <w:sz w:val="24"/>
          <w:szCs w:val="24"/>
        </w:rPr>
        <w:t>provide all</w:t>
      </w:r>
      <w:r w:rsidRPr="005466E4" w:rsidR="00AB4FBA">
        <w:rPr>
          <w:rFonts w:ascii="Arial" w:hAnsi="Arial" w:cs="Arial"/>
          <w:sz w:val="24"/>
          <w:szCs w:val="24"/>
        </w:rPr>
        <w:t xml:space="preserve"> human subjects </w:t>
      </w:r>
      <w:r w:rsidR="00E9520E">
        <w:rPr>
          <w:rFonts w:ascii="Arial" w:hAnsi="Arial" w:cs="Arial"/>
          <w:sz w:val="24"/>
          <w:szCs w:val="24"/>
        </w:rPr>
        <w:t xml:space="preserve">who </w:t>
      </w:r>
      <w:r w:rsidRPr="005466E4" w:rsidR="00AB4FBA">
        <w:rPr>
          <w:rFonts w:ascii="Arial" w:hAnsi="Arial" w:cs="Arial"/>
          <w:sz w:val="24"/>
          <w:szCs w:val="24"/>
        </w:rPr>
        <w:t>participate</w:t>
      </w:r>
      <w:r w:rsidR="00E9520E">
        <w:rPr>
          <w:rFonts w:ascii="Arial" w:hAnsi="Arial" w:cs="Arial"/>
          <w:sz w:val="24"/>
          <w:szCs w:val="24"/>
        </w:rPr>
        <w:t xml:space="preserve"> information about the study to share with their coworkers, if they desire. </w:t>
      </w:r>
    </w:p>
    <w:p w:rsidR="00373193" w:rsidRPr="005466E4" w:rsidP="007E5144" w14:paraId="57A09967" w14:textId="3C4BB149">
      <w:pPr>
        <w:ind w:left="330"/>
        <w:rPr>
          <w:rFonts w:ascii="Arial" w:hAnsi="Arial" w:cs="Arial"/>
          <w:b/>
          <w:bCs/>
          <w:sz w:val="24"/>
          <w:szCs w:val="24"/>
        </w:rPr>
      </w:pPr>
      <w:r w:rsidRPr="007E5144">
        <w:rPr>
          <w:rFonts w:ascii="Arial" w:hAnsi="Arial" w:cs="Arial"/>
          <w:sz w:val="24"/>
          <w:szCs w:val="24"/>
        </w:rPr>
        <w:t xml:space="preserve">To deal with nonresponse or participant drop out rates, the team </w:t>
      </w:r>
      <w:r w:rsidRPr="007E5144" w:rsidR="007E5144">
        <w:rPr>
          <w:rFonts w:ascii="Arial" w:hAnsi="Arial" w:cs="Arial"/>
          <w:sz w:val="24"/>
          <w:szCs w:val="24"/>
        </w:rPr>
        <w:t xml:space="preserve">intends to overrecruit. </w:t>
      </w:r>
      <w:r w:rsidRPr="005466E4" w:rsidR="007E5144">
        <w:rPr>
          <w:rFonts w:ascii="Arial" w:hAnsi="Arial" w:cs="Arial"/>
          <w:sz w:val="24"/>
          <w:szCs w:val="24"/>
        </w:rPr>
        <w:t>A</w:t>
      </w:r>
      <w:r w:rsidR="007E5144">
        <w:rPr>
          <w:rFonts w:ascii="Arial" w:hAnsi="Arial" w:cs="Arial"/>
          <w:sz w:val="24"/>
          <w:szCs w:val="24"/>
        </w:rPr>
        <w:t>s described earlier, a</w:t>
      </w:r>
      <w:r w:rsidRPr="005466E4" w:rsidR="007E5144">
        <w:rPr>
          <w:rFonts w:ascii="Arial" w:hAnsi="Arial" w:cs="Arial"/>
          <w:sz w:val="24"/>
          <w:szCs w:val="24"/>
        </w:rPr>
        <w:t xml:space="preserve"> mean dropout rate of 15.6% was observed in a meta-analysis of 46 studies that utilized</w:t>
      </w:r>
      <w:r w:rsidR="007E5144">
        <w:rPr>
          <w:rFonts w:ascii="Arial" w:hAnsi="Arial" w:cs="Arial"/>
          <w:sz w:val="24"/>
          <w:szCs w:val="24"/>
        </w:rPr>
        <w:t xml:space="preserve"> head-mounted displays in virtual reality settings (</w:t>
      </w:r>
      <w:r w:rsidRPr="005466E4" w:rsidR="007E5144">
        <w:rPr>
          <w:rFonts w:ascii="Arial" w:hAnsi="Arial" w:cs="Arial"/>
          <w:sz w:val="24"/>
          <w:szCs w:val="24"/>
        </w:rPr>
        <w:t>HMD-VR</w:t>
      </w:r>
      <w:r w:rsidR="007E5144">
        <w:rPr>
          <w:rFonts w:ascii="Arial" w:hAnsi="Arial" w:cs="Arial"/>
          <w:sz w:val="24"/>
          <w:szCs w:val="24"/>
        </w:rPr>
        <w:t>)</w:t>
      </w:r>
      <w:r w:rsidRPr="005466E4" w:rsidR="007E5144">
        <w:rPr>
          <w:rFonts w:ascii="Arial" w:hAnsi="Arial" w:cs="Arial"/>
          <w:sz w:val="24"/>
          <w:szCs w:val="24"/>
        </w:rPr>
        <w:t xml:space="preserve"> (</w:t>
      </w:r>
      <w:r w:rsidRPr="005466E4" w:rsidR="007E5144">
        <w:rPr>
          <w:rFonts w:ascii="Arial" w:hAnsi="Arial" w:cs="Arial"/>
          <w:sz w:val="24"/>
          <w:szCs w:val="24"/>
        </w:rPr>
        <w:t>Saredakis</w:t>
      </w:r>
      <w:r w:rsidRPr="005466E4" w:rsidR="007E5144">
        <w:rPr>
          <w:rFonts w:ascii="Arial" w:hAnsi="Arial" w:cs="Arial"/>
          <w:sz w:val="24"/>
          <w:szCs w:val="24"/>
        </w:rPr>
        <w:t xml:space="preserve"> et al., 2020). We anticipate a similar dropout rate of around 15% for the current study. Therefore,</w:t>
      </w:r>
      <w:r w:rsidR="007E5144">
        <w:rPr>
          <w:rFonts w:ascii="Arial" w:hAnsi="Arial" w:cs="Arial"/>
          <w:sz w:val="24"/>
          <w:szCs w:val="24"/>
        </w:rPr>
        <w:t xml:space="preserve"> up to</w:t>
      </w:r>
      <w:r w:rsidRPr="005466E4" w:rsidR="007E5144">
        <w:rPr>
          <w:rFonts w:ascii="Arial" w:hAnsi="Arial" w:cs="Arial"/>
          <w:sz w:val="24"/>
          <w:szCs w:val="24"/>
        </w:rPr>
        <w:t xml:space="preserve"> 61 participants </w:t>
      </w:r>
      <w:r w:rsidR="007E5144">
        <w:rPr>
          <w:rFonts w:ascii="Arial" w:hAnsi="Arial" w:cs="Arial"/>
          <w:sz w:val="24"/>
          <w:szCs w:val="24"/>
        </w:rPr>
        <w:t>may</w:t>
      </w:r>
      <w:r w:rsidRPr="005466E4" w:rsidR="007E5144">
        <w:rPr>
          <w:rFonts w:ascii="Arial" w:hAnsi="Arial" w:cs="Arial"/>
          <w:sz w:val="24"/>
          <w:szCs w:val="24"/>
        </w:rPr>
        <w:t xml:space="preserve"> be recruited.</w:t>
      </w:r>
    </w:p>
    <w:p w:rsidR="00795CB5" w:rsidRPr="005466E4" w:rsidP="00373193" w14:paraId="2019D7AC" w14:textId="6BEBFEF3">
      <w:pPr>
        <w:rPr>
          <w:rFonts w:ascii="Arial" w:hAnsi="Arial" w:cs="Arial"/>
          <w:b/>
          <w:bCs/>
          <w:sz w:val="24"/>
          <w:szCs w:val="24"/>
        </w:rPr>
      </w:pPr>
      <w:r w:rsidRPr="005466E4">
        <w:rPr>
          <w:rFonts w:ascii="Arial" w:hAnsi="Arial" w:cs="Arial"/>
          <w:b/>
          <w:bCs/>
          <w:sz w:val="24"/>
          <w:szCs w:val="24"/>
        </w:rPr>
        <w:t>References</w:t>
      </w:r>
    </w:p>
    <w:p w:rsidR="00E84850" w:rsidRPr="005466E4" w:rsidP="00930059" w14:paraId="6D623B36" w14:textId="7B91EF21">
      <w:pPr>
        <w:ind w:left="360" w:hanging="360"/>
        <w:rPr>
          <w:rStyle w:val="Hyperlink"/>
          <w:rFonts w:ascii="Arial" w:hAnsi="Arial" w:cs="Arial"/>
          <w:sz w:val="24"/>
          <w:szCs w:val="24"/>
        </w:rPr>
      </w:pPr>
      <w:r w:rsidRPr="005466E4">
        <w:rPr>
          <w:rFonts w:ascii="Arial" w:hAnsi="Arial" w:cs="Arial"/>
          <w:sz w:val="24"/>
          <w:szCs w:val="24"/>
        </w:rPr>
        <w:t>[1] Bureau of Labor Statistics</w:t>
      </w:r>
      <w:r w:rsidRPr="005466E4" w:rsidR="00C07D60">
        <w:rPr>
          <w:rFonts w:ascii="Arial" w:hAnsi="Arial" w:cs="Arial"/>
          <w:sz w:val="24"/>
          <w:szCs w:val="24"/>
        </w:rPr>
        <w:t xml:space="preserve"> (BLS). 2023. Labor Force Statistics from the Current Population Survey. </w:t>
      </w:r>
      <w:r w:rsidRPr="005466E4">
        <w:rPr>
          <w:rFonts w:ascii="Arial" w:hAnsi="Arial" w:cs="Arial"/>
          <w:sz w:val="24"/>
          <w:szCs w:val="24"/>
        </w:rPr>
        <w:t xml:space="preserve"> </w:t>
      </w:r>
      <w:hyperlink r:id="rId7" w:history="1">
        <w:r w:rsidRPr="005466E4">
          <w:rPr>
            <w:rStyle w:val="Hyperlink"/>
            <w:rFonts w:ascii="Arial" w:hAnsi="Arial" w:cs="Arial"/>
            <w:sz w:val="24"/>
            <w:szCs w:val="24"/>
          </w:rPr>
          <w:t xml:space="preserve">Employed persons by detailed industry, sex, race, and Hispanic or Latino </w:t>
        </w:r>
        <w:r w:rsidRPr="005466E4">
          <w:rPr>
            <w:rStyle w:val="Hyperlink"/>
            <w:rFonts w:ascii="Arial" w:hAnsi="Arial" w:cs="Arial"/>
            <w:sz w:val="24"/>
            <w:szCs w:val="24"/>
          </w:rPr>
          <w:t>ethnicity :</w:t>
        </w:r>
        <w:r w:rsidRPr="005466E4">
          <w:rPr>
            <w:rStyle w:val="Hyperlink"/>
            <w:rFonts w:ascii="Arial" w:hAnsi="Arial" w:cs="Arial"/>
            <w:sz w:val="24"/>
            <w:szCs w:val="24"/>
          </w:rPr>
          <w:t xml:space="preserve"> U.S. Bureau of Labor Statistics</w:t>
        </w:r>
      </w:hyperlink>
    </w:p>
    <w:p w:rsidR="005F2B5D" w:rsidRPr="005466E4" w:rsidP="00930059" w14:paraId="49484E1B" w14:textId="77777777">
      <w:pPr>
        <w:ind w:left="360" w:hanging="360"/>
        <w:rPr>
          <w:rFonts w:ascii="Arial" w:hAnsi="Arial" w:cs="Arial"/>
          <w:noProof/>
          <w:sz w:val="24"/>
          <w:szCs w:val="24"/>
        </w:rPr>
      </w:pPr>
      <w:r w:rsidRPr="005466E4">
        <w:rPr>
          <w:rFonts w:ascii="Arial" w:hAnsi="Arial" w:cs="Arial"/>
          <w:sz w:val="24"/>
          <w:szCs w:val="24"/>
        </w:rPr>
        <w:t xml:space="preserve">[2] </w:t>
      </w:r>
      <w:r w:rsidRPr="005466E4">
        <w:rPr>
          <w:rFonts w:ascii="Arial" w:hAnsi="Arial" w:cs="Arial"/>
          <w:noProof/>
          <w:sz w:val="24"/>
          <w:szCs w:val="24"/>
        </w:rPr>
        <w:t xml:space="preserve">Dun and Bradstreet 2024 – </w:t>
      </w:r>
      <w:hyperlink r:id="rId8" w:history="1">
        <w:r w:rsidRPr="005466E4">
          <w:rPr>
            <w:rStyle w:val="Hyperlink"/>
            <w:rFonts w:ascii="Arial" w:hAnsi="Arial" w:cs="Arial"/>
            <w:sz w:val="24"/>
            <w:szCs w:val="24"/>
          </w:rPr>
          <w:t>Find Manufacturing Companies in Morgantown - Dun &amp; Bradstreet</w:t>
        </w:r>
      </w:hyperlink>
      <w:r w:rsidRPr="005466E4">
        <w:rPr>
          <w:rFonts w:ascii="Arial" w:hAnsi="Arial" w:cs="Arial"/>
          <w:noProof/>
          <w:sz w:val="24"/>
          <w:szCs w:val="24"/>
        </w:rPr>
        <w:t xml:space="preserve"> </w:t>
      </w:r>
    </w:p>
    <w:p w:rsidR="00822259" w:rsidRPr="005466E4" w:rsidP="00930059" w14:paraId="7B95F8AF" w14:textId="4B6FDF34">
      <w:pPr>
        <w:ind w:left="360" w:hanging="360"/>
        <w:rPr>
          <w:rFonts w:ascii="Arial" w:hAnsi="Arial" w:cs="Arial"/>
          <w:sz w:val="24"/>
          <w:szCs w:val="24"/>
        </w:rPr>
      </w:pPr>
      <w:r w:rsidRPr="005466E4">
        <w:rPr>
          <w:rFonts w:ascii="Arial" w:hAnsi="Arial" w:cs="Arial"/>
          <w:sz w:val="24"/>
          <w:szCs w:val="24"/>
        </w:rPr>
        <w:t xml:space="preserve">[3] </w:t>
      </w:r>
      <w:r w:rsidRPr="005466E4">
        <w:rPr>
          <w:rFonts w:ascii="Arial" w:hAnsi="Arial" w:cs="Arial"/>
          <w:noProof/>
          <w:sz w:val="24"/>
          <w:szCs w:val="24"/>
        </w:rPr>
        <w:t xml:space="preserve">Dun and Bradstreet 2024 - </w:t>
      </w:r>
      <w:hyperlink r:id="rId9" w:history="1">
        <w:r w:rsidRPr="005466E4">
          <w:rPr>
            <w:rStyle w:val="Hyperlink"/>
            <w:rFonts w:ascii="Arial" w:hAnsi="Arial" w:cs="Arial"/>
            <w:sz w:val="24"/>
            <w:szCs w:val="24"/>
          </w:rPr>
          <w:t>Find Manufacturing Companies in Pittsburgh - Dun &amp; Bradstreet</w:t>
        </w:r>
      </w:hyperlink>
    </w:p>
    <w:p w:rsidR="00514444" w:rsidRPr="005466E4" w:rsidP="00930059" w14:paraId="1ACC0050" w14:textId="79355DEA">
      <w:pPr>
        <w:ind w:left="360" w:hanging="360"/>
        <w:rPr>
          <w:rFonts w:ascii="Arial" w:hAnsi="Arial" w:cs="Arial"/>
          <w:sz w:val="24"/>
          <w:szCs w:val="24"/>
        </w:rPr>
      </w:pPr>
      <w:r w:rsidRPr="005466E4">
        <w:rPr>
          <w:rFonts w:ascii="Arial" w:hAnsi="Arial" w:cs="Arial"/>
          <w:sz w:val="24"/>
          <w:szCs w:val="24"/>
        </w:rPr>
        <w:t xml:space="preserve">[4] </w:t>
      </w:r>
      <w:r w:rsidRPr="005466E4">
        <w:rPr>
          <w:rFonts w:ascii="Arial" w:hAnsi="Arial" w:cs="Arial"/>
          <w:sz w:val="24"/>
          <w:szCs w:val="24"/>
        </w:rPr>
        <w:t xml:space="preserve">Bureau of Labor Statistics (BLS). 2024. Economy at a Glance (Morgantown, WV). </w:t>
      </w:r>
      <w:hyperlink r:id="rId10" w:history="1">
        <w:r w:rsidRPr="005466E4">
          <w:rPr>
            <w:rStyle w:val="Hyperlink"/>
            <w:rFonts w:ascii="Arial" w:hAnsi="Arial" w:cs="Arial"/>
            <w:sz w:val="24"/>
            <w:szCs w:val="24"/>
          </w:rPr>
          <w:t>Morgantown, WV Economy at a Glance</w:t>
        </w:r>
      </w:hyperlink>
    </w:p>
    <w:p w:rsidR="00795CB5" w:rsidRPr="005466E4" w:rsidP="00930059" w14:paraId="5F1C5EA2" w14:textId="7E7861F4">
      <w:pPr>
        <w:ind w:left="360" w:hanging="360"/>
        <w:rPr>
          <w:rFonts w:ascii="Arial" w:hAnsi="Arial" w:cs="Arial"/>
          <w:sz w:val="24"/>
          <w:szCs w:val="24"/>
        </w:rPr>
      </w:pPr>
      <w:r w:rsidRPr="005466E4">
        <w:rPr>
          <w:rFonts w:ascii="Arial" w:hAnsi="Arial" w:cs="Arial"/>
          <w:sz w:val="24"/>
          <w:szCs w:val="24"/>
        </w:rPr>
        <w:t xml:space="preserve">[5] Bureau of Labor Statistics (BLS). 2024. Economy at a Glance (Pittsburgh, PA). </w:t>
      </w:r>
      <w:hyperlink r:id="rId11" w:history="1">
        <w:r w:rsidRPr="005466E4">
          <w:rPr>
            <w:rStyle w:val="Hyperlink"/>
            <w:rFonts w:ascii="Arial" w:hAnsi="Arial" w:cs="Arial"/>
            <w:sz w:val="24"/>
            <w:szCs w:val="24"/>
          </w:rPr>
          <w:t>Pittsburgh, PA Economy at a Glance</w:t>
        </w:r>
      </w:hyperlink>
    </w:p>
    <w:p w:rsidR="00795CB5" w:rsidRPr="005466E4" w:rsidP="00930059" w14:paraId="3E629FB1" w14:textId="2DD65D27">
      <w:pPr>
        <w:pStyle w:val="ListParagraph"/>
        <w:ind w:left="360" w:hanging="360"/>
        <w:rPr>
          <w:rFonts w:ascii="Arial" w:hAnsi="Arial" w:cs="Arial"/>
          <w:sz w:val="24"/>
          <w:szCs w:val="24"/>
        </w:rPr>
      </w:pPr>
      <w:r w:rsidRPr="005466E4">
        <w:rPr>
          <w:rFonts w:ascii="Arial" w:hAnsi="Arial" w:cs="Arial"/>
          <w:sz w:val="24"/>
          <w:szCs w:val="24"/>
        </w:rPr>
        <w:t>[</w:t>
      </w:r>
      <w:r w:rsidRPr="005466E4" w:rsidR="00930059">
        <w:rPr>
          <w:rFonts w:ascii="Arial" w:hAnsi="Arial" w:cs="Arial"/>
          <w:sz w:val="24"/>
          <w:szCs w:val="24"/>
        </w:rPr>
        <w:t>6</w:t>
      </w:r>
      <w:r w:rsidRPr="005466E4">
        <w:rPr>
          <w:rFonts w:ascii="Arial" w:hAnsi="Arial" w:cs="Arial"/>
          <w:sz w:val="24"/>
          <w:szCs w:val="24"/>
        </w:rPr>
        <w:t xml:space="preserve">] </w:t>
      </w:r>
      <w:hyperlink r:id="rId12" w:history="1">
        <w:r w:rsidRPr="005466E4">
          <w:rPr>
            <w:rStyle w:val="Hyperlink"/>
            <w:rFonts w:ascii="Arial" w:hAnsi="Arial" w:cs="Arial"/>
            <w:sz w:val="24"/>
            <w:szCs w:val="24"/>
          </w:rPr>
          <w:t>Pittsburgh-New Castle-Weirton, PA-OH-WV CSA - Profile data - Census Reporter</w:t>
        </w:r>
      </w:hyperlink>
    </w:p>
    <w:p w:rsidR="00795CB5" w:rsidRPr="005466E4" w:rsidP="00930059" w14:paraId="383CA482" w14:textId="77777777">
      <w:pPr>
        <w:pStyle w:val="ListParagraph"/>
        <w:ind w:left="360" w:hanging="360"/>
        <w:rPr>
          <w:rFonts w:ascii="Arial" w:hAnsi="Arial" w:cs="Arial"/>
          <w:sz w:val="24"/>
          <w:szCs w:val="24"/>
        </w:rPr>
      </w:pPr>
    </w:p>
    <w:p w:rsidR="000A6ABA" w:rsidRPr="005466E4" w:rsidP="00930059" w14:paraId="5D1D9D40" w14:textId="773F2B2F">
      <w:pPr>
        <w:pStyle w:val="ListParagraph"/>
        <w:ind w:left="360" w:hanging="360"/>
        <w:rPr>
          <w:rFonts w:ascii="Arial" w:hAnsi="Arial" w:cs="Arial"/>
          <w:sz w:val="24"/>
          <w:szCs w:val="24"/>
        </w:rPr>
      </w:pPr>
      <w:r w:rsidRPr="005466E4">
        <w:rPr>
          <w:rFonts w:ascii="Arial" w:hAnsi="Arial" w:cs="Arial"/>
          <w:sz w:val="24"/>
          <w:szCs w:val="24"/>
        </w:rPr>
        <w:t>[</w:t>
      </w:r>
      <w:r w:rsidRPr="005466E4" w:rsidR="00930059">
        <w:rPr>
          <w:rFonts w:ascii="Arial" w:hAnsi="Arial" w:cs="Arial"/>
          <w:sz w:val="24"/>
          <w:szCs w:val="24"/>
        </w:rPr>
        <w:t>7</w:t>
      </w:r>
      <w:r w:rsidRPr="005466E4">
        <w:rPr>
          <w:rFonts w:ascii="Arial" w:hAnsi="Arial" w:cs="Arial"/>
          <w:sz w:val="24"/>
          <w:szCs w:val="24"/>
        </w:rPr>
        <w:t xml:space="preserve">] </w:t>
      </w:r>
      <w:hyperlink r:id="rId13" w:history="1">
        <w:r w:rsidRPr="005466E4">
          <w:rPr>
            <w:rStyle w:val="Hyperlink"/>
            <w:rFonts w:ascii="Arial" w:hAnsi="Arial" w:cs="Arial"/>
            <w:sz w:val="24"/>
            <w:szCs w:val="24"/>
          </w:rPr>
          <w:t>Morgantown-Fairmont, WV CSA - Profile data - Census Reporter</w:t>
        </w:r>
      </w:hyperlink>
    </w:p>
    <w:p w:rsidR="000A6ABA" w:rsidP="00930059" w14:paraId="66C70C41" w14:textId="3C075238">
      <w:pPr>
        <w:ind w:left="360" w:hanging="360"/>
        <w:rPr>
          <w:rFonts w:ascii="Arial" w:hAnsi="Arial" w:cs="Arial"/>
          <w:noProof/>
          <w:sz w:val="24"/>
          <w:szCs w:val="24"/>
        </w:rPr>
      </w:pPr>
      <w:r w:rsidRPr="005466E4">
        <w:rPr>
          <w:rFonts w:ascii="Arial" w:hAnsi="Arial" w:cs="Arial"/>
          <w:noProof/>
          <w:sz w:val="24"/>
          <w:szCs w:val="24"/>
        </w:rPr>
        <w:t xml:space="preserve">[8] </w:t>
      </w:r>
      <w:r w:rsidRPr="005466E4">
        <w:rPr>
          <w:rFonts w:ascii="Arial" w:hAnsi="Arial" w:cs="Arial"/>
          <w:noProof/>
          <w:sz w:val="24"/>
          <w:szCs w:val="24"/>
        </w:rPr>
        <w:t>Saredakis, D., Szpak, A., Birckhead, B., Keage, H. A., Rizzo, A., &amp; Loetscher, T. (2020). Factors associated with virtual reality sickness in head-mounted displays: a systematic review and meta-analysis. Frontiers in Human Neuroscience, 14.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67D2C"/>
    <w:multiLevelType w:val="hybridMultilevel"/>
    <w:tmpl w:val="711220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6C5D58"/>
    <w:multiLevelType w:val="hybridMultilevel"/>
    <w:tmpl w:val="20F6F8CC"/>
    <w:lvl w:ilvl="0">
      <w:start w:val="0"/>
      <w:numFmt w:val="bullet"/>
      <w:lvlText w:val="-"/>
      <w:lvlJc w:val="left"/>
      <w:pPr>
        <w:ind w:left="360" w:hanging="360"/>
      </w:pPr>
      <w:rPr>
        <w:rFonts w:ascii="Arial" w:hAnsi="Arial" w:eastAsiaTheme="minorHAnsi" w:cs="Arial" w:hint="default"/>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CF5062"/>
    <w:multiLevelType w:val="hybridMultilevel"/>
    <w:tmpl w:val="2F624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B3EDC"/>
    <w:multiLevelType w:val="hybridMultilevel"/>
    <w:tmpl w:val="03BCA4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5971B7"/>
    <w:multiLevelType w:val="hybridMultilevel"/>
    <w:tmpl w:val="1A9C4938"/>
    <w:lvl w:ilvl="0">
      <w:start w:val="1"/>
      <w:numFmt w:val="decimal"/>
      <w:lvlText w:val="%1)"/>
      <w:lvlJc w:val="left"/>
      <w:pPr>
        <w:ind w:left="3240" w:hanging="360"/>
      </w:pPr>
      <w:rPr>
        <w:rFonts w:ascii="Times New Roman" w:hAnsi="Times New Roman" w:eastAsiaTheme="minorEastAsia" w:cstheme="minorBidi"/>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
    <w:nsid w:val="43E43900"/>
    <w:multiLevelType w:val="hybridMultilevel"/>
    <w:tmpl w:val="0CE61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640D3B"/>
    <w:multiLevelType w:val="hybridMultilevel"/>
    <w:tmpl w:val="F294D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83653D"/>
    <w:multiLevelType w:val="hybridMultilevel"/>
    <w:tmpl w:val="A5262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4B5CCB"/>
    <w:multiLevelType w:val="multilevel"/>
    <w:tmpl w:val="5CDCCEB8"/>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5394BA7"/>
    <w:multiLevelType w:val="hybridMultilevel"/>
    <w:tmpl w:val="D87ED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7991365">
    <w:abstractNumId w:val="8"/>
  </w:num>
  <w:num w:numId="2" w16cid:durableId="1616594735">
    <w:abstractNumId w:val="0"/>
  </w:num>
  <w:num w:numId="3" w16cid:durableId="601689351">
    <w:abstractNumId w:val="9"/>
  </w:num>
  <w:num w:numId="4" w16cid:durableId="1710179768">
    <w:abstractNumId w:val="3"/>
  </w:num>
  <w:num w:numId="5" w16cid:durableId="285042512">
    <w:abstractNumId w:val="1"/>
  </w:num>
  <w:num w:numId="6" w16cid:durableId="1934972800">
    <w:abstractNumId w:val="7"/>
  </w:num>
  <w:num w:numId="7" w16cid:durableId="609165662">
    <w:abstractNumId w:val="2"/>
  </w:num>
  <w:num w:numId="8" w16cid:durableId="612177863">
    <w:abstractNumId w:val="4"/>
  </w:num>
  <w:num w:numId="9" w16cid:durableId="1599098182">
    <w:abstractNumId w:val="6"/>
  </w:num>
  <w:num w:numId="10" w16cid:durableId="758214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7B"/>
    <w:rsid w:val="00031F30"/>
    <w:rsid w:val="000341B2"/>
    <w:rsid w:val="0004067B"/>
    <w:rsid w:val="0005288A"/>
    <w:rsid w:val="00081AF7"/>
    <w:rsid w:val="00093C92"/>
    <w:rsid w:val="00095371"/>
    <w:rsid w:val="000A4032"/>
    <w:rsid w:val="000A6ABA"/>
    <w:rsid w:val="000D1F5E"/>
    <w:rsid w:val="000E00AB"/>
    <w:rsid w:val="000F2BAF"/>
    <w:rsid w:val="0010689E"/>
    <w:rsid w:val="00110F64"/>
    <w:rsid w:val="001228E1"/>
    <w:rsid w:val="00126FCB"/>
    <w:rsid w:val="00132E34"/>
    <w:rsid w:val="00146329"/>
    <w:rsid w:val="00154CB9"/>
    <w:rsid w:val="001560CA"/>
    <w:rsid w:val="001A2831"/>
    <w:rsid w:val="001D5003"/>
    <w:rsid w:val="001E622E"/>
    <w:rsid w:val="002024D3"/>
    <w:rsid w:val="00203A17"/>
    <w:rsid w:val="00203BCB"/>
    <w:rsid w:val="00212F4A"/>
    <w:rsid w:val="00213A69"/>
    <w:rsid w:val="00224C77"/>
    <w:rsid w:val="00227B1B"/>
    <w:rsid w:val="00236CA8"/>
    <w:rsid w:val="0025508E"/>
    <w:rsid w:val="0027477B"/>
    <w:rsid w:val="002750D1"/>
    <w:rsid w:val="00281F1C"/>
    <w:rsid w:val="0028441C"/>
    <w:rsid w:val="00293DAE"/>
    <w:rsid w:val="002963BB"/>
    <w:rsid w:val="002B5303"/>
    <w:rsid w:val="002D1170"/>
    <w:rsid w:val="002E348B"/>
    <w:rsid w:val="002F1252"/>
    <w:rsid w:val="002F3A3D"/>
    <w:rsid w:val="002F6AFE"/>
    <w:rsid w:val="0031723F"/>
    <w:rsid w:val="00323A87"/>
    <w:rsid w:val="00323D61"/>
    <w:rsid w:val="0033370C"/>
    <w:rsid w:val="003337E5"/>
    <w:rsid w:val="003576AF"/>
    <w:rsid w:val="00373193"/>
    <w:rsid w:val="003A5EFD"/>
    <w:rsid w:val="003B073E"/>
    <w:rsid w:val="003B48CC"/>
    <w:rsid w:val="003C4295"/>
    <w:rsid w:val="003D0E06"/>
    <w:rsid w:val="003D24F6"/>
    <w:rsid w:val="003D7B24"/>
    <w:rsid w:val="003E3430"/>
    <w:rsid w:val="00401425"/>
    <w:rsid w:val="00411523"/>
    <w:rsid w:val="00423C87"/>
    <w:rsid w:val="0043257A"/>
    <w:rsid w:val="00457474"/>
    <w:rsid w:val="00457F97"/>
    <w:rsid w:val="00462A0F"/>
    <w:rsid w:val="00471AE9"/>
    <w:rsid w:val="00481FFF"/>
    <w:rsid w:val="004850B2"/>
    <w:rsid w:val="00492203"/>
    <w:rsid w:val="004958E5"/>
    <w:rsid w:val="00497BEE"/>
    <w:rsid w:val="004A1AF2"/>
    <w:rsid w:val="004A6986"/>
    <w:rsid w:val="004A7792"/>
    <w:rsid w:val="004B578D"/>
    <w:rsid w:val="004B7E69"/>
    <w:rsid w:val="004F032E"/>
    <w:rsid w:val="004F05E3"/>
    <w:rsid w:val="004F51CA"/>
    <w:rsid w:val="00514444"/>
    <w:rsid w:val="00534DE9"/>
    <w:rsid w:val="005466E4"/>
    <w:rsid w:val="00555B3B"/>
    <w:rsid w:val="00557907"/>
    <w:rsid w:val="005712A4"/>
    <w:rsid w:val="00575742"/>
    <w:rsid w:val="005848AE"/>
    <w:rsid w:val="005853C5"/>
    <w:rsid w:val="005B3023"/>
    <w:rsid w:val="005B79A8"/>
    <w:rsid w:val="005E19B0"/>
    <w:rsid w:val="005E7BFF"/>
    <w:rsid w:val="005F16A5"/>
    <w:rsid w:val="005F2B5D"/>
    <w:rsid w:val="00602DE8"/>
    <w:rsid w:val="0060704F"/>
    <w:rsid w:val="006169B7"/>
    <w:rsid w:val="00625502"/>
    <w:rsid w:val="00653D09"/>
    <w:rsid w:val="006614F8"/>
    <w:rsid w:val="00671093"/>
    <w:rsid w:val="006879C1"/>
    <w:rsid w:val="00690399"/>
    <w:rsid w:val="006912DC"/>
    <w:rsid w:val="0069694D"/>
    <w:rsid w:val="006B08A6"/>
    <w:rsid w:val="006F68EC"/>
    <w:rsid w:val="00705607"/>
    <w:rsid w:val="007354EB"/>
    <w:rsid w:val="00761632"/>
    <w:rsid w:val="007735A3"/>
    <w:rsid w:val="00776492"/>
    <w:rsid w:val="00777C60"/>
    <w:rsid w:val="00795CB5"/>
    <w:rsid w:val="007A3E83"/>
    <w:rsid w:val="007E0A81"/>
    <w:rsid w:val="007E2021"/>
    <w:rsid w:val="007E2756"/>
    <w:rsid w:val="007E5144"/>
    <w:rsid w:val="007F5939"/>
    <w:rsid w:val="007F728C"/>
    <w:rsid w:val="007F7636"/>
    <w:rsid w:val="008006A7"/>
    <w:rsid w:val="00814005"/>
    <w:rsid w:val="00822259"/>
    <w:rsid w:val="00823645"/>
    <w:rsid w:val="00834120"/>
    <w:rsid w:val="00836D07"/>
    <w:rsid w:val="00846BBD"/>
    <w:rsid w:val="00874742"/>
    <w:rsid w:val="00877007"/>
    <w:rsid w:val="008872BF"/>
    <w:rsid w:val="008B27FD"/>
    <w:rsid w:val="008C0CE6"/>
    <w:rsid w:val="008D2B6D"/>
    <w:rsid w:val="008F0E8D"/>
    <w:rsid w:val="008F4E4F"/>
    <w:rsid w:val="009108D5"/>
    <w:rsid w:val="00915718"/>
    <w:rsid w:val="00930059"/>
    <w:rsid w:val="00944C3D"/>
    <w:rsid w:val="00952BA9"/>
    <w:rsid w:val="0095525D"/>
    <w:rsid w:val="009835EC"/>
    <w:rsid w:val="0098763A"/>
    <w:rsid w:val="009A34D0"/>
    <w:rsid w:val="009C6951"/>
    <w:rsid w:val="009E11D5"/>
    <w:rsid w:val="009E4BCD"/>
    <w:rsid w:val="00A03B38"/>
    <w:rsid w:val="00A04884"/>
    <w:rsid w:val="00A15124"/>
    <w:rsid w:val="00A173DA"/>
    <w:rsid w:val="00A27697"/>
    <w:rsid w:val="00A479E4"/>
    <w:rsid w:val="00A624C5"/>
    <w:rsid w:val="00A62F04"/>
    <w:rsid w:val="00A66EF1"/>
    <w:rsid w:val="00A80979"/>
    <w:rsid w:val="00AA6427"/>
    <w:rsid w:val="00AB4FBA"/>
    <w:rsid w:val="00AC57E9"/>
    <w:rsid w:val="00AE3F40"/>
    <w:rsid w:val="00B12C10"/>
    <w:rsid w:val="00B2193B"/>
    <w:rsid w:val="00B22A39"/>
    <w:rsid w:val="00B34329"/>
    <w:rsid w:val="00B354F8"/>
    <w:rsid w:val="00B35FA1"/>
    <w:rsid w:val="00B41769"/>
    <w:rsid w:val="00B43023"/>
    <w:rsid w:val="00B57A7B"/>
    <w:rsid w:val="00B77323"/>
    <w:rsid w:val="00BA6AFF"/>
    <w:rsid w:val="00BA76AB"/>
    <w:rsid w:val="00BB0D84"/>
    <w:rsid w:val="00BB209C"/>
    <w:rsid w:val="00BD0A80"/>
    <w:rsid w:val="00BE7971"/>
    <w:rsid w:val="00BF6BCE"/>
    <w:rsid w:val="00C07D60"/>
    <w:rsid w:val="00C268FE"/>
    <w:rsid w:val="00C43D0E"/>
    <w:rsid w:val="00C62C83"/>
    <w:rsid w:val="00C67B50"/>
    <w:rsid w:val="00C84D17"/>
    <w:rsid w:val="00CB19F8"/>
    <w:rsid w:val="00CD06CE"/>
    <w:rsid w:val="00CD08A1"/>
    <w:rsid w:val="00CD117E"/>
    <w:rsid w:val="00CD4F5C"/>
    <w:rsid w:val="00CD74BD"/>
    <w:rsid w:val="00CF404A"/>
    <w:rsid w:val="00D0293B"/>
    <w:rsid w:val="00D1700A"/>
    <w:rsid w:val="00D237A6"/>
    <w:rsid w:val="00D41BAF"/>
    <w:rsid w:val="00D50867"/>
    <w:rsid w:val="00D5155F"/>
    <w:rsid w:val="00D5288D"/>
    <w:rsid w:val="00D63E0C"/>
    <w:rsid w:val="00D74B47"/>
    <w:rsid w:val="00D750A2"/>
    <w:rsid w:val="00D87F6F"/>
    <w:rsid w:val="00DA65BD"/>
    <w:rsid w:val="00DC53B2"/>
    <w:rsid w:val="00DC7857"/>
    <w:rsid w:val="00DE67EB"/>
    <w:rsid w:val="00DE732E"/>
    <w:rsid w:val="00DF38C9"/>
    <w:rsid w:val="00E0314F"/>
    <w:rsid w:val="00E20CF2"/>
    <w:rsid w:val="00E35361"/>
    <w:rsid w:val="00E62CD0"/>
    <w:rsid w:val="00E673BE"/>
    <w:rsid w:val="00E70451"/>
    <w:rsid w:val="00E81807"/>
    <w:rsid w:val="00E84850"/>
    <w:rsid w:val="00E85684"/>
    <w:rsid w:val="00E86C54"/>
    <w:rsid w:val="00E87224"/>
    <w:rsid w:val="00E92B79"/>
    <w:rsid w:val="00E9520E"/>
    <w:rsid w:val="00E9597F"/>
    <w:rsid w:val="00EA6FE7"/>
    <w:rsid w:val="00EB2714"/>
    <w:rsid w:val="00EB3ABA"/>
    <w:rsid w:val="00ED00B0"/>
    <w:rsid w:val="00EE0315"/>
    <w:rsid w:val="00EE2E9D"/>
    <w:rsid w:val="00EE33C0"/>
    <w:rsid w:val="00EF17A2"/>
    <w:rsid w:val="00EF2DF3"/>
    <w:rsid w:val="00EF5099"/>
    <w:rsid w:val="00EF67D3"/>
    <w:rsid w:val="00F133A4"/>
    <w:rsid w:val="00F2170E"/>
    <w:rsid w:val="00F3106F"/>
    <w:rsid w:val="00F32FC4"/>
    <w:rsid w:val="00F341AA"/>
    <w:rsid w:val="00F345BD"/>
    <w:rsid w:val="00F47317"/>
    <w:rsid w:val="00F51EF2"/>
    <w:rsid w:val="00F57463"/>
    <w:rsid w:val="00F57900"/>
    <w:rsid w:val="00F604F0"/>
    <w:rsid w:val="00F72DE6"/>
    <w:rsid w:val="00F745DB"/>
    <w:rsid w:val="00F77714"/>
    <w:rsid w:val="00F86422"/>
    <w:rsid w:val="00F92BF8"/>
    <w:rsid w:val="00FB0626"/>
    <w:rsid w:val="00FB40AD"/>
    <w:rsid w:val="00FE0CBD"/>
    <w:rsid w:val="00FE5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20C03"/>
  <w15:chartTrackingRefBased/>
  <w15:docId w15:val="{43D2D66D-48EF-45D8-B33A-D625ED3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4067B"/>
    <w:pPr>
      <w:ind w:left="720"/>
      <w:contextualSpacing/>
    </w:pPr>
  </w:style>
  <w:style w:type="table" w:styleId="TableGrid">
    <w:name w:val="Table Grid"/>
    <w:basedOn w:val="TableNormal"/>
    <w:rsid w:val="0065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CB5"/>
    <w:rPr>
      <w:color w:val="0000FF"/>
      <w:u w:val="single"/>
    </w:rPr>
  </w:style>
  <w:style w:type="paragraph" w:styleId="Revision">
    <w:name w:val="Revision"/>
    <w:hidden/>
    <w:uiPriority w:val="99"/>
    <w:semiHidden/>
    <w:rsid w:val="00EE2E9D"/>
    <w:pPr>
      <w:spacing w:after="0" w:line="240" w:lineRule="auto"/>
    </w:pPr>
  </w:style>
  <w:style w:type="character" w:styleId="CommentReference">
    <w:name w:val="annotation reference"/>
    <w:basedOn w:val="DefaultParagraphFont"/>
    <w:uiPriority w:val="99"/>
    <w:semiHidden/>
    <w:unhideWhenUsed/>
    <w:rsid w:val="00CD08A1"/>
    <w:rPr>
      <w:sz w:val="16"/>
      <w:szCs w:val="16"/>
    </w:rPr>
  </w:style>
  <w:style w:type="paragraph" w:styleId="CommentText">
    <w:name w:val="annotation text"/>
    <w:basedOn w:val="Normal"/>
    <w:link w:val="CommentTextChar"/>
    <w:uiPriority w:val="99"/>
    <w:unhideWhenUsed/>
    <w:rsid w:val="00CD08A1"/>
    <w:pPr>
      <w:spacing w:line="240" w:lineRule="auto"/>
    </w:pPr>
    <w:rPr>
      <w:sz w:val="20"/>
      <w:szCs w:val="20"/>
    </w:rPr>
  </w:style>
  <w:style w:type="character" w:customStyle="1" w:styleId="CommentTextChar">
    <w:name w:val="Comment Text Char"/>
    <w:basedOn w:val="DefaultParagraphFont"/>
    <w:link w:val="CommentText"/>
    <w:uiPriority w:val="99"/>
    <w:rsid w:val="00CD08A1"/>
    <w:rPr>
      <w:sz w:val="20"/>
      <w:szCs w:val="20"/>
    </w:rPr>
  </w:style>
  <w:style w:type="paragraph" w:styleId="CommentSubject">
    <w:name w:val="annotation subject"/>
    <w:basedOn w:val="CommentText"/>
    <w:next w:val="CommentText"/>
    <w:link w:val="CommentSubjectChar"/>
    <w:uiPriority w:val="99"/>
    <w:semiHidden/>
    <w:unhideWhenUsed/>
    <w:rsid w:val="00CD08A1"/>
    <w:rPr>
      <w:b/>
      <w:bCs/>
    </w:rPr>
  </w:style>
  <w:style w:type="character" w:customStyle="1" w:styleId="CommentSubjectChar">
    <w:name w:val="Comment Subject Char"/>
    <w:basedOn w:val="CommentTextChar"/>
    <w:link w:val="CommentSubject"/>
    <w:uiPriority w:val="99"/>
    <w:semiHidden/>
    <w:rsid w:val="00CD08A1"/>
    <w:rPr>
      <w:b/>
      <w:bCs/>
      <w:sz w:val="20"/>
      <w:szCs w:val="20"/>
    </w:rPr>
  </w:style>
  <w:style w:type="character" w:customStyle="1" w:styleId="normaltextrun">
    <w:name w:val="normaltextrun"/>
    <w:basedOn w:val="DefaultParagraphFont"/>
    <w:rsid w:val="005B79A8"/>
  </w:style>
  <w:style w:type="character" w:customStyle="1" w:styleId="eop">
    <w:name w:val="eop"/>
    <w:basedOn w:val="DefaultParagraphFont"/>
    <w:rsid w:val="005B79A8"/>
  </w:style>
  <w:style w:type="paragraph" w:customStyle="1" w:styleId="paragraph">
    <w:name w:val="paragraph"/>
    <w:basedOn w:val="Normal"/>
    <w:rsid w:val="005B79A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B79A8"/>
    <w:rPr>
      <w:color w:val="808080"/>
    </w:rPr>
  </w:style>
  <w:style w:type="character" w:styleId="UnresolvedMention">
    <w:name w:val="Unresolved Mention"/>
    <w:basedOn w:val="DefaultParagraphFont"/>
    <w:uiPriority w:val="99"/>
    <w:semiHidden/>
    <w:unhideWhenUsed/>
    <w:rsid w:val="00293DAE"/>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BB0D84"/>
  </w:style>
  <w:style w:type="paragraph" w:styleId="BalloonText">
    <w:name w:val="Balloon Text"/>
    <w:basedOn w:val="Normal"/>
    <w:link w:val="BalloonTextChar"/>
    <w:uiPriority w:val="99"/>
    <w:semiHidden/>
    <w:unhideWhenUsed/>
    <w:rsid w:val="00584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8AE"/>
    <w:rPr>
      <w:rFonts w:ascii="Segoe UI" w:hAnsi="Segoe UI" w:cs="Segoe UI"/>
      <w:sz w:val="18"/>
      <w:szCs w:val="18"/>
    </w:rPr>
  </w:style>
  <w:style w:type="character" w:styleId="FollowedHyperlink">
    <w:name w:val="FollowedHyperlink"/>
    <w:basedOn w:val="DefaultParagraphFont"/>
    <w:uiPriority w:val="99"/>
    <w:semiHidden/>
    <w:unhideWhenUsed/>
    <w:rsid w:val="007F72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eag/eag.wv_morgantown_msa.htm" TargetMode="External" /><Relationship Id="rId11" Type="http://schemas.openxmlformats.org/officeDocument/2006/relationships/hyperlink" Target="https://www.bls.gov/eag/eag.pa_pittsburgh_msa.htm" TargetMode="External" /><Relationship Id="rId12" Type="http://schemas.openxmlformats.org/officeDocument/2006/relationships/hyperlink" Target="https://censusreporter.org/profiles/33000US430-pittsburgh-new-castle-weirton-pa-oh-wv-csa/" TargetMode="External" /><Relationship Id="rId13" Type="http://schemas.openxmlformats.org/officeDocument/2006/relationships/hyperlink" Target="https://censusreporter.org/profiles/33000US390-morgantown-fairmont-wv-csa/"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bls.gov/cps/cpsaat18.htm" TargetMode="External" /><Relationship Id="rId8" Type="http://schemas.openxmlformats.org/officeDocument/2006/relationships/hyperlink" Target="https://www.dnb.com/business-directory/company-information.manufacturing.us.west_virginia.morgantown.html" TargetMode="External" /><Relationship Id="rId9" Type="http://schemas.openxmlformats.org/officeDocument/2006/relationships/hyperlink" Target="https://www.dnb.com/business-directory/company-information.manufacturing.us.na.pittsburg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8D3C-3932-4D61-85FF-8A02AFF8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7</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Camargo, Hugo E. (CDC/NIOSH/DSR/PTB)</dc:creator>
  <cp:lastModifiedBy>Haas, Emily J. (CDC/NIOSH/DSR)</cp:lastModifiedBy>
  <cp:revision>132</cp:revision>
  <dcterms:created xsi:type="dcterms:W3CDTF">2024-06-21T17:25:00Z</dcterms:created>
  <dcterms:modified xsi:type="dcterms:W3CDTF">2024-12-16T17:33:00Z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3dbd602f-200e-4a47-bf72-705644cb1512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2024-05-08T18:36:45Z</vt:lpwstr>
  </property>
  <property fmtid="{D5CDD505-2E9C-101B-9397-08002B2CF9AE}" pid="8" name="MSIP_Label_8af03ff0-41c5-4c41-b55e-fabb8fae94be_SiteId">
    <vt:lpwstr>9ce70869-60db-44fd-abe8-d2767077fc8f</vt:lpwstr>
  </property>
</Properties>
</file>