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178840F2">
      <w:pPr>
        <w:pStyle w:val="Heading1"/>
      </w:pPr>
      <w:bookmarkStart w:id="0" w:name="_Hlk137114135"/>
      <w:r w:rsidRPr="009546C1">
        <w:t xml:space="preserve">VCA </w:t>
      </w:r>
      <w:bookmarkEnd w:id="0"/>
      <w:r w:rsidRPr="004337AC" w:rsidR="004337AC">
        <w:t>Musculoskeletal Composite Graft Segment</w:t>
      </w:r>
      <w:r w:rsidR="00D76166">
        <w:t xml:space="preserve"> </w:t>
      </w:r>
      <w:r w:rsidRPr="009546C1">
        <w:t xml:space="preserve">Candidate Registration </w:t>
      </w:r>
    </w:p>
    <w:p w:rsidR="00C82225" w:rsidRPr="00801E65" w:rsidP="004079DF" w14:paraId="29A43B01" w14:textId="78EDA462">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4337AC" w:rsidR="004337AC">
        <w:rPr>
          <w:rFonts w:ascii="Arial" w:hAnsi="Arial" w:cs="Arial"/>
          <w:sz w:val="22"/>
          <w:szCs w:val="22"/>
        </w:rPr>
        <w:t>Musculoskeletal Composite Graft Segment</w:t>
      </w:r>
      <w:r w:rsidR="00E5377F">
        <w:rPr>
          <w:rFonts w:ascii="Arial" w:hAnsi="Arial" w:cs="Arial"/>
          <w:sz w:val="22"/>
          <w:szCs w:val="22"/>
        </w:rPr>
        <w:t xml:space="preserve">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512A6461">
      <w:pPr>
        <w:pStyle w:val="NormalWeb"/>
        <w:spacing w:before="120" w:after="120"/>
        <w:ind w:left="0"/>
        <w:rPr>
          <w:rFonts w:ascii="Arial" w:hAnsi="Arial" w:cs="Arial"/>
          <w:sz w:val="22"/>
          <w:szCs w:val="22"/>
        </w:rPr>
      </w:pPr>
      <w:r w:rsidRPr="001914D5">
        <w:rPr>
          <w:rFonts w:ascii="Arial" w:hAnsi="Arial" w:cs="Arial"/>
          <w:b/>
          <w:bCs/>
          <w:sz w:val="22"/>
          <w:szCs w:val="22"/>
          <w:u w:val="single"/>
        </w:rPr>
        <w:t xml:space="preserve">Number of previous VCA - </w:t>
      </w:r>
      <w:r w:rsidRPr="00A24095" w:rsidR="00A24095">
        <w:rPr>
          <w:rFonts w:ascii="Arial" w:hAnsi="Arial" w:cs="Arial"/>
          <w:b/>
          <w:bCs/>
          <w:sz w:val="22"/>
          <w:szCs w:val="22"/>
          <w:u w:val="single"/>
        </w:rPr>
        <w:t xml:space="preserve">musculoskeletal composite graft segment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sidR="008934FE">
        <w:rPr>
          <w:rFonts w:ascii="Arial" w:hAnsi="Arial" w:cs="Arial"/>
          <w:sz w:val="22"/>
          <w:szCs w:val="22"/>
        </w:rPr>
        <w:t xml:space="preserve">- </w:t>
      </w:r>
      <w:r w:rsidRPr="00A24095" w:rsidR="00A24095">
        <w:rPr>
          <w:rFonts w:ascii="Arial" w:hAnsi="Arial" w:cs="Arial"/>
          <w:sz w:val="22"/>
          <w:szCs w:val="22"/>
        </w:rPr>
        <w:t xml:space="preserve">musculoskeletal composite graft segment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A34C36" w:rsidP="00A34C36" w14:paraId="09E5BF08" w14:textId="11478CFF">
      <w:pPr>
        <w:pStyle w:val="NormalWeb"/>
        <w:ind w:left="0" w:right="158"/>
        <w:rPr>
          <w:rFonts w:ascii="Arial" w:hAnsi="Arial" w:cs="Arial"/>
          <w:b/>
          <w:bCs/>
          <w:sz w:val="22"/>
          <w:szCs w:val="22"/>
        </w:rPr>
      </w:pPr>
      <w:r w:rsidRPr="00A34C36">
        <w:rPr>
          <w:rFonts w:ascii="Arial" w:hAnsi="Arial" w:cs="Arial"/>
          <w:b/>
          <w:bCs/>
          <w:sz w:val="22"/>
          <w:szCs w:val="22"/>
          <w:u w:val="single"/>
        </w:rPr>
        <w:t>VCA body part(s)</w:t>
      </w:r>
      <w:r w:rsidRPr="00A34C36">
        <w:rPr>
          <w:rFonts w:ascii="Arial" w:hAnsi="Arial" w:cs="Arial"/>
          <w:b/>
          <w:bCs/>
          <w:sz w:val="22"/>
          <w:szCs w:val="22"/>
        </w:rPr>
        <w:t xml:space="preserve">: </w:t>
      </w:r>
      <w:r w:rsidRPr="00A34C36">
        <w:rPr>
          <w:rFonts w:ascii="Arial" w:hAnsi="Arial" w:cs="Arial"/>
          <w:sz w:val="22"/>
          <w:szCs w:val="22"/>
        </w:rPr>
        <w:t xml:space="preserve">Select the VCA organ(s) for the candidate. This field is </w:t>
      </w:r>
      <w:r w:rsidRPr="00A34C36">
        <w:rPr>
          <w:rFonts w:ascii="Arial" w:hAnsi="Arial" w:cs="Arial"/>
          <w:b/>
          <w:bCs/>
          <w:sz w:val="22"/>
          <w:szCs w:val="22"/>
        </w:rPr>
        <w:t>required</w:t>
      </w:r>
      <w:r>
        <w:rPr>
          <w:rFonts w:ascii="Arial" w:hAnsi="Arial" w:cs="Arial"/>
          <w:b/>
          <w:bCs/>
          <w:sz w:val="22"/>
          <w:szCs w:val="22"/>
        </w:rPr>
        <w:t>.</w:t>
      </w:r>
    </w:p>
    <w:p w:rsidR="000351EC" w:rsidRPr="000351EC" w:rsidP="000351EC" w14:paraId="12AF9DF6" w14:textId="77777777">
      <w:pPr>
        <w:pStyle w:val="NormalWeb"/>
        <w:ind w:left="720" w:right="158"/>
        <w:rPr>
          <w:rFonts w:ascii="Arial" w:hAnsi="Arial" w:cs="Arial"/>
          <w:b/>
          <w:bCs/>
          <w:sz w:val="22"/>
          <w:szCs w:val="22"/>
        </w:rPr>
      </w:pPr>
      <w:r w:rsidRPr="000351EC">
        <w:rPr>
          <w:rFonts w:ascii="Arial" w:hAnsi="Arial" w:cs="Arial"/>
          <w:b/>
          <w:bCs/>
          <w:sz w:val="22"/>
          <w:szCs w:val="22"/>
        </w:rPr>
        <w:t>Chest wall</w:t>
      </w:r>
    </w:p>
    <w:p w:rsidR="000351EC" w:rsidRPr="000351EC" w:rsidP="000351EC" w14:paraId="764BA6CD" w14:textId="77777777">
      <w:pPr>
        <w:pStyle w:val="NormalWeb"/>
        <w:ind w:left="720" w:right="158"/>
        <w:rPr>
          <w:rFonts w:ascii="Arial" w:hAnsi="Arial" w:cs="Arial"/>
          <w:b/>
          <w:bCs/>
          <w:sz w:val="22"/>
          <w:szCs w:val="22"/>
        </w:rPr>
      </w:pPr>
      <w:r w:rsidRPr="000351EC">
        <w:rPr>
          <w:rFonts w:ascii="Arial" w:hAnsi="Arial" w:cs="Arial"/>
          <w:b/>
          <w:bCs/>
          <w:sz w:val="22"/>
          <w:szCs w:val="22"/>
        </w:rPr>
        <w:t>Composite graft of vascularized muscle, bone, nerve, or skin</w:t>
      </w:r>
    </w:p>
    <w:p w:rsidR="000351EC" w:rsidRPr="000351EC" w:rsidP="000351EC" w14:paraId="4F4B0EC4" w14:textId="77777777">
      <w:pPr>
        <w:pStyle w:val="NormalWeb"/>
        <w:ind w:left="720" w:right="158"/>
        <w:rPr>
          <w:rFonts w:ascii="Arial" w:hAnsi="Arial" w:cs="Arial"/>
          <w:b/>
          <w:bCs/>
          <w:sz w:val="22"/>
          <w:szCs w:val="22"/>
        </w:rPr>
      </w:pPr>
      <w:r w:rsidRPr="000351EC">
        <w:rPr>
          <w:rFonts w:ascii="Arial" w:hAnsi="Arial" w:cs="Arial"/>
          <w:b/>
          <w:bCs/>
          <w:sz w:val="22"/>
          <w:szCs w:val="22"/>
        </w:rPr>
        <w:t>Spine axis</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59859AE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085835" w:rsidR="00085835">
        <w:rPr>
          <w:rFonts w:ascii="Arial" w:eastAsia="Times New Roman" w:hAnsi="Arial" w:cs="Arial"/>
          <w:b/>
          <w:bCs/>
          <w:color w:val="000000"/>
        </w:rPr>
        <w:t>external male genitalia</w:t>
      </w:r>
    </w:p>
    <w:p w:rsidR="00E05768" w:rsidRPr="00E05768" w:rsidP="00E05768" w14:paraId="7A9F853B" w14:textId="38B4B383">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4D460A">
        <w:rPr>
          <w:rFonts w:ascii="Arial" w:eastAsia="Times New Roman" w:hAnsi="Arial" w:cs="Arial"/>
          <w:b/>
          <w:bCs/>
          <w:color w:val="000000"/>
        </w:rPr>
        <w:t>-</w:t>
      </w:r>
      <w:r w:rsidRPr="00E05768">
        <w:rPr>
          <w:rFonts w:ascii="Arial" w:eastAsia="Times New Roman" w:hAnsi="Arial" w:cs="Arial"/>
          <w:b/>
          <w:bCs/>
          <w:color w:val="000000"/>
        </w:rPr>
        <w:t xml:space="preserve"> </w:t>
      </w:r>
      <w:r w:rsidR="004D460A">
        <w:rPr>
          <w:rFonts w:ascii="Arial" w:eastAsia="Times New Roman" w:hAnsi="Arial" w:cs="Arial"/>
          <w:b/>
          <w:bCs/>
          <w:color w:val="000000"/>
        </w:rPr>
        <w:t>head and neck</w:t>
      </w:r>
    </w:p>
    <w:p w:rsidR="00E05768" w:rsidRPr="00E05768" w:rsidP="00E05768" w14:paraId="54C731ED" w14:textId="1EFAE5A4">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512A74">
        <w:rPr>
          <w:rFonts w:ascii="Arial" w:eastAsia="Times New Roman" w:hAnsi="Arial" w:cs="Arial"/>
          <w:b/>
          <w:bCs/>
          <w:color w:val="000000"/>
        </w:rPr>
        <w:t>-</w:t>
      </w:r>
      <w:r w:rsidRPr="00E05768">
        <w:rPr>
          <w:rFonts w:ascii="Arial" w:eastAsia="Times New Roman" w:hAnsi="Arial" w:cs="Arial"/>
          <w:b/>
          <w:bCs/>
          <w:color w:val="000000"/>
        </w:rPr>
        <w:t xml:space="preserve"> </w:t>
      </w:r>
      <w:r w:rsidR="00512A74">
        <w:rPr>
          <w:rFonts w:ascii="Arial" w:eastAsia="Times New Roman" w:hAnsi="Arial" w:cs="Arial"/>
          <w:b/>
          <w:bCs/>
          <w:color w:val="000000"/>
        </w:rPr>
        <w:t>lower limb</w:t>
      </w:r>
    </w:p>
    <w:p w:rsidR="00E05768" w:rsidRPr="00E05768" w:rsidP="00E05768" w14:paraId="78D336E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other genitourinary organ</w:t>
      </w:r>
    </w:p>
    <w:p w:rsidR="00E05768" w:rsidRPr="00E05768" w:rsidP="00E05768" w14:paraId="59EEF62A"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spleen</w:t>
      </w:r>
    </w:p>
    <w:p w:rsidR="00E05768" w:rsidRPr="00E05768" w:rsidP="00E05768" w14:paraId="3F66A1F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upper limb</w:t>
      </w:r>
    </w:p>
    <w:p w:rsidR="00E05768" w:rsidRPr="00E05768" w:rsidP="00E05768" w14:paraId="5F60727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uterus</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664F56FC">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00226764">
        <w:rPr>
          <w:rFonts w:ascii="Arial" w:hAnsi="Arial" w:cs="Arial"/>
          <w:b/>
          <w:bCs/>
          <w:u w:val="single"/>
        </w:rPr>
        <w:t>-</w:t>
      </w:r>
      <w:r w:rsidRPr="00E93654">
        <w:rPr>
          <w:rFonts w:ascii="Arial" w:hAnsi="Arial" w:cs="Arial"/>
          <w:b/>
          <w:bCs/>
          <w:u w:val="single"/>
        </w:rPr>
        <w:t xml:space="preserve"> </w:t>
      </w:r>
      <w:r w:rsidRPr="00D646E5" w:rsidR="00D646E5">
        <w:rPr>
          <w:rFonts w:ascii="Arial" w:hAnsi="Arial" w:cs="Arial"/>
          <w:b/>
          <w:bCs/>
          <w:u w:val="single"/>
        </w:rPr>
        <w:t>musculoskeletal composite graft segment</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226764">
        <w:rPr>
          <w:rFonts w:ascii="Arial" w:hAnsi="Arial" w:cs="Arial"/>
        </w:rPr>
        <w:t xml:space="preserve">- </w:t>
      </w:r>
      <w:r w:rsidRPr="00D646E5" w:rsidR="00D646E5">
        <w:rPr>
          <w:rFonts w:ascii="Arial" w:hAnsi="Arial" w:cs="Arial"/>
        </w:rPr>
        <w:t>musculoskeletal composite graft segment</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9D6CA5" w14:paraId="1B290671" w14:textId="7777777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0FE8D7DF" w14:textId="7E994276">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72AE500A" w14:textId="5897929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height</w:t>
      </w:r>
      <w:r w:rsidRPr="009D6CA5">
        <w:rPr>
          <w:rFonts w:ascii="Arial" w:hAnsi="Arial" w:cs="Arial"/>
          <w:b/>
          <w:bCs/>
          <w:sz w:val="22"/>
          <w:szCs w:val="22"/>
        </w:rPr>
        <w:t>: </w:t>
      </w:r>
      <w:r w:rsidRPr="009D6CA5">
        <w:rPr>
          <w:rFonts w:ascii="Arial" w:hAnsi="Arial" w:cs="Arial"/>
          <w:sz w:val="22"/>
          <w:szCs w:val="22"/>
        </w:rPr>
        <w:t>Enter the minimum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24417B28" w14:textId="49DF9015">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height</w:t>
      </w:r>
      <w:r w:rsidRPr="009D6CA5">
        <w:rPr>
          <w:rFonts w:ascii="Arial" w:hAnsi="Arial" w:cs="Arial"/>
          <w:b/>
          <w:bCs/>
          <w:sz w:val="22"/>
          <w:szCs w:val="22"/>
        </w:rPr>
        <w:t>: </w:t>
      </w:r>
      <w:r w:rsidRPr="009D6CA5">
        <w:rPr>
          <w:rFonts w:ascii="Arial" w:hAnsi="Arial" w:cs="Arial"/>
          <w:sz w:val="22"/>
          <w:szCs w:val="22"/>
        </w:rPr>
        <w:t>Enter the maximum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P="009D6CA5" w14:paraId="7F1E7A2E" w14:textId="77777777">
      <w:pPr>
        <w:pStyle w:val="NormalWeb"/>
        <w:shd w:val="clear" w:color="auto" w:fill="FFFFFF"/>
        <w:spacing w:before="190" w:after="190"/>
        <w:ind w:left="0"/>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226764" w:rsidRPr="009D6CA5" w:rsidP="009D6CA5" w14:paraId="26DE077A" w14:textId="2CC9DB0D">
      <w:pPr>
        <w:pStyle w:val="NormalWeb"/>
        <w:shd w:val="clear" w:color="auto" w:fill="FFFFFF"/>
        <w:spacing w:before="190" w:after="190"/>
        <w:ind w:left="0"/>
        <w:rPr>
          <w:rFonts w:ascii="Arial" w:hAnsi="Arial" w:cs="Arial"/>
          <w:sz w:val="22"/>
          <w:szCs w:val="22"/>
          <w:shd w:val="clear" w:color="auto" w:fill="FFFFFF"/>
        </w:rPr>
      </w:pPr>
      <w:r w:rsidRPr="00226764">
        <w:rPr>
          <w:rFonts w:ascii="Arial" w:hAnsi="Arial" w:cs="Arial"/>
          <w:b/>
          <w:bCs/>
          <w:sz w:val="22"/>
          <w:szCs w:val="22"/>
          <w:u w:val="single"/>
          <w:shd w:val="clear" w:color="auto" w:fill="FFFFFF"/>
        </w:rPr>
        <w:t>Acceptable donor birth sex</w:t>
      </w:r>
      <w:r w:rsidRPr="00226764">
        <w:rPr>
          <w:rFonts w:ascii="Arial" w:hAnsi="Arial" w:cs="Arial"/>
          <w:b/>
          <w:bCs/>
          <w:sz w:val="22"/>
          <w:szCs w:val="22"/>
          <w:shd w:val="clear" w:color="auto" w:fill="FFFFFF"/>
        </w:rPr>
        <w:t xml:space="preserve">: </w:t>
      </w:r>
      <w:r w:rsidRPr="00226764">
        <w:rPr>
          <w:rFonts w:ascii="Arial" w:hAnsi="Arial" w:cs="Arial"/>
          <w:sz w:val="22"/>
          <w:szCs w:val="22"/>
          <w:shd w:val="clear" w:color="auto" w:fill="FFFFFF"/>
        </w:rPr>
        <w:t>Select whether the matching donor must be </w:t>
      </w:r>
      <w:r w:rsidRPr="00226764">
        <w:rPr>
          <w:rFonts w:ascii="Arial" w:hAnsi="Arial" w:cs="Arial"/>
          <w:b/>
          <w:bCs/>
          <w:sz w:val="22"/>
          <w:szCs w:val="22"/>
          <w:shd w:val="clear" w:color="auto" w:fill="FFFFFF"/>
        </w:rPr>
        <w:t>Male</w:t>
      </w:r>
      <w:r w:rsidRPr="00226764">
        <w:rPr>
          <w:rFonts w:ascii="Arial" w:hAnsi="Arial" w:cs="Arial"/>
          <w:sz w:val="22"/>
          <w:szCs w:val="22"/>
          <w:shd w:val="clear" w:color="auto" w:fill="FFFFFF"/>
        </w:rPr>
        <w:t>, </w:t>
      </w:r>
      <w:r w:rsidRPr="00226764">
        <w:rPr>
          <w:rFonts w:ascii="Arial" w:hAnsi="Arial" w:cs="Arial"/>
          <w:b/>
          <w:bCs/>
          <w:sz w:val="22"/>
          <w:szCs w:val="22"/>
          <w:shd w:val="clear" w:color="auto" w:fill="FFFFFF"/>
        </w:rPr>
        <w:t>Female</w:t>
      </w:r>
      <w:r w:rsidRPr="00226764">
        <w:rPr>
          <w:rFonts w:ascii="Arial" w:hAnsi="Arial" w:cs="Arial"/>
          <w:sz w:val="22"/>
          <w:szCs w:val="22"/>
          <w:shd w:val="clear" w:color="auto" w:fill="FFFFFF"/>
        </w:rPr>
        <w:t>, or </w:t>
      </w:r>
      <w:r w:rsidRPr="00226764">
        <w:rPr>
          <w:rFonts w:ascii="Arial" w:hAnsi="Arial" w:cs="Arial"/>
          <w:b/>
          <w:bCs/>
          <w:sz w:val="22"/>
          <w:szCs w:val="22"/>
          <w:shd w:val="clear" w:color="auto" w:fill="FFFFFF"/>
        </w:rPr>
        <w:t>Either</w:t>
      </w:r>
      <w:r w:rsidRPr="00226764">
        <w:rPr>
          <w:rFonts w:ascii="Arial" w:hAnsi="Arial" w:cs="Arial"/>
          <w:sz w:val="22"/>
          <w:szCs w:val="22"/>
          <w:shd w:val="clear" w:color="auto" w:fill="FFFFFF"/>
        </w:rPr>
        <w:t> birth sex (male or female).</w:t>
      </w:r>
    </w:p>
    <w:p w:rsidR="009D6CA5" w:rsidRPr="009D6CA5" w:rsidP="009D6CA5" w14:paraId="39362CDC" w14:textId="77777777">
      <w:pPr>
        <w:pStyle w:val="NormalWeb"/>
        <w:shd w:val="clear" w:color="auto" w:fill="FFFFFF"/>
        <w:spacing w:before="190" w:after="190"/>
        <w:ind w:left="0"/>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7F1BE017">
      <w:pPr>
        <w:rPr>
          <w:rFonts w:ascii="Arial" w:hAnsi="Arial" w:cs="Arial"/>
        </w:rPr>
      </w:pPr>
      <w:r w:rsidRPr="00F2466F">
        <w:rPr>
          <w:rFonts w:ascii="Arial" w:hAnsi="Arial" w:cs="Arial"/>
          <w:b/>
          <w:bCs/>
          <w:u w:val="single"/>
        </w:rPr>
        <w:t xml:space="preserve">Accept VCA </w:t>
      </w:r>
      <w:r w:rsidR="006A7C0F">
        <w:rPr>
          <w:rFonts w:ascii="Arial" w:hAnsi="Arial" w:cs="Arial"/>
          <w:b/>
          <w:bCs/>
          <w:u w:val="single"/>
        </w:rPr>
        <w:t>-</w:t>
      </w:r>
      <w:r>
        <w:rPr>
          <w:rFonts w:ascii="Arial" w:hAnsi="Arial" w:cs="Arial"/>
          <w:b/>
          <w:bCs/>
          <w:u w:val="single"/>
        </w:rPr>
        <w:t xml:space="preserve"> </w:t>
      </w:r>
      <w:r w:rsidRPr="00BA7BD8" w:rsidR="00BA7BD8">
        <w:rPr>
          <w:rFonts w:ascii="Arial" w:hAnsi="Arial" w:cs="Arial"/>
          <w:b/>
          <w:bCs/>
          <w:u w:val="single"/>
        </w:rPr>
        <w:t>musculoskeletal composite graft segment</w:t>
      </w:r>
      <w:r w:rsidR="00801093">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w:t>
      </w:r>
      <w:r w:rsidR="006A7C0F">
        <w:rPr>
          <w:rFonts w:ascii="Arial" w:hAnsi="Arial" w:cs="Arial"/>
        </w:rPr>
        <w:t>-</w:t>
      </w:r>
      <w:r>
        <w:rPr>
          <w:rFonts w:ascii="Arial" w:hAnsi="Arial" w:cs="Arial"/>
        </w:rPr>
        <w:t xml:space="preserve"> </w:t>
      </w:r>
      <w:r w:rsidRPr="00BA7BD8" w:rsidR="00BA7BD8">
        <w:rPr>
          <w:rFonts w:ascii="Arial" w:hAnsi="Arial" w:cs="Arial"/>
        </w:rPr>
        <w:t>musculoskeletal composite graft segment</w:t>
      </w:r>
      <w:r w:rsidRPr="00F2466F">
        <w:rPr>
          <w:rFonts w:ascii="Arial" w:hAnsi="Arial" w:cs="Arial"/>
        </w:rPr>
        <w:t xml:space="preserve"> 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A83341" w:rsidP="00A83341" w14:paraId="35D905C0" w14:textId="13B37447">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6A7C0F">
        <w:rPr>
          <w:rFonts w:ascii="Arial" w:hAnsi="Arial" w:cs="Arial"/>
          <w:b/>
          <w:bCs/>
          <w:u w:val="single"/>
        </w:rPr>
        <w:t>-</w:t>
      </w:r>
      <w:r w:rsidR="00FE039D">
        <w:rPr>
          <w:rFonts w:ascii="Arial" w:hAnsi="Arial" w:cs="Arial"/>
          <w:b/>
          <w:bCs/>
          <w:u w:val="single"/>
        </w:rPr>
        <w:t xml:space="preserve"> </w:t>
      </w:r>
      <w:r w:rsidRPr="00BA7BD8" w:rsidR="00BA7BD8">
        <w:rPr>
          <w:rFonts w:ascii="Arial" w:hAnsi="Arial" w:cs="Arial"/>
          <w:b/>
          <w:bCs/>
          <w:u w:val="single"/>
        </w:rPr>
        <w:t>musculoskeletal composite graft segment</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w:t>
      </w:r>
      <w:r w:rsidR="006A7C0F">
        <w:rPr>
          <w:rFonts w:ascii="Arial" w:hAnsi="Arial" w:cs="Arial"/>
        </w:rPr>
        <w:t>-</w:t>
      </w:r>
      <w:r w:rsidR="00FE039D">
        <w:rPr>
          <w:rFonts w:ascii="Arial" w:hAnsi="Arial" w:cs="Arial"/>
        </w:rPr>
        <w:t xml:space="preserve"> </w:t>
      </w:r>
      <w:r w:rsidRPr="00BA7BD8" w:rsidR="00BA7BD8">
        <w:rPr>
          <w:rFonts w:ascii="Arial" w:hAnsi="Arial" w:cs="Arial"/>
        </w:rPr>
        <w:t>musculoskeletal composite graft segment</w:t>
      </w:r>
      <w:r w:rsidRPr="00FE039D">
        <w:rPr>
          <w:rFonts w:ascii="Arial" w:hAnsi="Arial" w:cs="Arial"/>
        </w:rPr>
        <w:t>.</w:t>
      </w:r>
    </w:p>
    <w:p w:rsidR="001B07F8" w:rsidP="00A83341" w14:paraId="1BEBA70A" w14:textId="77777777">
      <w:pPr>
        <w:rPr>
          <w:rFonts w:ascii="Arial" w:hAnsi="Arial" w:cs="Arial"/>
        </w:rPr>
      </w:pPr>
    </w:p>
    <w:p w:rsidR="001B07F8" w:rsidRPr="0039186C" w:rsidP="001B07F8" w14:paraId="58F64C82" w14:textId="11DB3DDD">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E70E5C">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6235D">
        <w:rPr>
          <w:rFonts w:ascii="Arial" w:hAnsi="Arial" w:cs="Arial"/>
          <w:sz w:val="22"/>
          <w:szCs w:val="22"/>
        </w:rPr>
        <w:t>average 0.27</w:t>
      </w:r>
      <w:r w:rsidR="00836E38">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1B07F8" w:rsidRPr="00FE039D" w:rsidP="00A83341" w14:paraId="0CD16AAE" w14:textId="77777777">
      <w:pPr>
        <w:rPr>
          <w:rFonts w:ascii="Arial" w:hAnsi="Arial" w:cs="Arial"/>
        </w:rPr>
      </w:pPr>
    </w:p>
    <w:p w:rsidR="000F2285" w:rsidRPr="00030400" w:rsidP="00030400" w14:paraId="60F6B362" w14:textId="7EE789F5">
      <w:pPr>
        <w:pStyle w:val="NormalWeb"/>
        <w:spacing w:before="120" w:after="120"/>
        <w:ind w:left="0" w:right="0"/>
        <w:rPr>
          <w:rFonts w:ascii="Arial" w:hAnsi="Arial" w:cs="Arial"/>
          <w:sz w:val="22"/>
          <w:szCs w:val="22"/>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C14" w14:paraId="2231F65C" w14:textId="78E71ED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84509100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E5C14" w:rsidRPr="003E5C14" w:rsidP="003E5C14" w14:textId="0ADA7018">
                          <w:pPr>
                            <w:spacing w:after="0"/>
                            <w:rPr>
                              <w:rFonts w:ascii="Calibri" w:eastAsia="Calibri" w:hAnsi="Calibri" w:cs="Calibri"/>
                              <w:noProof/>
                              <w:color w:val="000000"/>
                              <w:sz w:val="20"/>
                              <w:szCs w:val="20"/>
                            </w:rPr>
                          </w:pPr>
                          <w:r w:rsidRPr="003E5C1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E5C14" w:rsidRPr="003E5C14" w:rsidP="003E5C14" w14:paraId="3BC8365D" w14:textId="0ADA7018">
                    <w:pPr>
                      <w:spacing w:after="0"/>
                      <w:rPr>
                        <w:rFonts w:ascii="Calibri" w:eastAsia="Calibri" w:hAnsi="Calibri" w:cs="Calibri"/>
                        <w:noProof/>
                        <w:color w:val="000000"/>
                        <w:sz w:val="20"/>
                        <w:szCs w:val="20"/>
                      </w:rPr>
                    </w:pPr>
                    <w:r w:rsidRPr="003E5C14">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C14" w14:paraId="27F77C43" w14:textId="4142E50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9477146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E5C14" w:rsidRPr="003E5C14" w:rsidP="003E5C14" w14:textId="64710B9F">
                          <w:pPr>
                            <w:spacing w:after="0"/>
                            <w:rPr>
                              <w:rFonts w:ascii="Calibri" w:eastAsia="Calibri" w:hAnsi="Calibri" w:cs="Calibri"/>
                              <w:noProof/>
                              <w:color w:val="000000"/>
                              <w:sz w:val="20"/>
                              <w:szCs w:val="20"/>
                            </w:rPr>
                          </w:pPr>
                          <w:r w:rsidRPr="003E5C1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E5C14" w:rsidRPr="003E5C14" w:rsidP="003E5C14" w14:paraId="37FC485E" w14:textId="64710B9F">
                    <w:pPr>
                      <w:spacing w:after="0"/>
                      <w:rPr>
                        <w:rFonts w:ascii="Calibri" w:eastAsia="Calibri" w:hAnsi="Calibri" w:cs="Calibri"/>
                        <w:noProof/>
                        <w:color w:val="000000"/>
                        <w:sz w:val="20"/>
                        <w:szCs w:val="20"/>
                      </w:rPr>
                    </w:pPr>
                    <w:r w:rsidRPr="003E5C14">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C14" w14:paraId="71A8EC91" w14:textId="3D63A74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79319989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E5C14" w:rsidRPr="003E5C14" w:rsidP="003E5C14" w14:textId="657C7443">
                          <w:pPr>
                            <w:spacing w:after="0"/>
                            <w:rPr>
                              <w:rFonts w:ascii="Calibri" w:eastAsia="Calibri" w:hAnsi="Calibri" w:cs="Calibri"/>
                              <w:noProof/>
                              <w:color w:val="000000"/>
                              <w:sz w:val="20"/>
                              <w:szCs w:val="20"/>
                            </w:rPr>
                          </w:pPr>
                          <w:r w:rsidRPr="003E5C1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E5C14" w:rsidRPr="003E5C14" w:rsidP="003E5C14" w14:paraId="3E0F2147" w14:textId="657C7443">
                    <w:pPr>
                      <w:spacing w:after="0"/>
                      <w:rPr>
                        <w:rFonts w:ascii="Calibri" w:eastAsia="Calibri" w:hAnsi="Calibri" w:cs="Calibri"/>
                        <w:noProof/>
                        <w:color w:val="000000"/>
                        <w:sz w:val="20"/>
                        <w:szCs w:val="20"/>
                      </w:rPr>
                    </w:pPr>
                    <w:r w:rsidRPr="003E5C14">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7F8" w:rsidRPr="001B07F8" w:rsidP="001B07F8" w14:paraId="5387EBE1" w14:textId="56F91F4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1EC"/>
    <w:rsid w:val="00055A73"/>
    <w:rsid w:val="0006235D"/>
    <w:rsid w:val="00082E66"/>
    <w:rsid w:val="00085835"/>
    <w:rsid w:val="000B1EE1"/>
    <w:rsid w:val="000E6180"/>
    <w:rsid w:val="000E6E5F"/>
    <w:rsid w:val="000F2285"/>
    <w:rsid w:val="00153231"/>
    <w:rsid w:val="00155877"/>
    <w:rsid w:val="001914D5"/>
    <w:rsid w:val="001A539B"/>
    <w:rsid w:val="001B07F8"/>
    <w:rsid w:val="001D022C"/>
    <w:rsid w:val="001F169A"/>
    <w:rsid w:val="00202EDF"/>
    <w:rsid w:val="0021700F"/>
    <w:rsid w:val="00226764"/>
    <w:rsid w:val="002324B5"/>
    <w:rsid w:val="002819E0"/>
    <w:rsid w:val="00285B66"/>
    <w:rsid w:val="00286ECD"/>
    <w:rsid w:val="002936A5"/>
    <w:rsid w:val="00295A17"/>
    <w:rsid w:val="002C1605"/>
    <w:rsid w:val="002D4BEE"/>
    <w:rsid w:val="002E4720"/>
    <w:rsid w:val="003068D6"/>
    <w:rsid w:val="00313ED5"/>
    <w:rsid w:val="00335BB2"/>
    <w:rsid w:val="0034354B"/>
    <w:rsid w:val="0035177B"/>
    <w:rsid w:val="00364E43"/>
    <w:rsid w:val="003658A6"/>
    <w:rsid w:val="0038276B"/>
    <w:rsid w:val="0039186C"/>
    <w:rsid w:val="00394B04"/>
    <w:rsid w:val="003A4999"/>
    <w:rsid w:val="003A71CA"/>
    <w:rsid w:val="003A7568"/>
    <w:rsid w:val="003D40C8"/>
    <w:rsid w:val="003E5C14"/>
    <w:rsid w:val="003F1747"/>
    <w:rsid w:val="003F52A7"/>
    <w:rsid w:val="003F6D4E"/>
    <w:rsid w:val="00406691"/>
    <w:rsid w:val="004079DF"/>
    <w:rsid w:val="00413F2E"/>
    <w:rsid w:val="00432D8D"/>
    <w:rsid w:val="004337AC"/>
    <w:rsid w:val="0043388C"/>
    <w:rsid w:val="00440FE7"/>
    <w:rsid w:val="00490280"/>
    <w:rsid w:val="004A353B"/>
    <w:rsid w:val="004D03DC"/>
    <w:rsid w:val="004D1B16"/>
    <w:rsid w:val="004D460A"/>
    <w:rsid w:val="004E490A"/>
    <w:rsid w:val="004F6BF6"/>
    <w:rsid w:val="00512A74"/>
    <w:rsid w:val="00534259"/>
    <w:rsid w:val="005461C7"/>
    <w:rsid w:val="005523D3"/>
    <w:rsid w:val="00562510"/>
    <w:rsid w:val="00595095"/>
    <w:rsid w:val="005C256A"/>
    <w:rsid w:val="005C4FE9"/>
    <w:rsid w:val="005E78DE"/>
    <w:rsid w:val="005F4A33"/>
    <w:rsid w:val="005F6AFF"/>
    <w:rsid w:val="00612673"/>
    <w:rsid w:val="00623D14"/>
    <w:rsid w:val="00630E3E"/>
    <w:rsid w:val="006502E9"/>
    <w:rsid w:val="00652FCD"/>
    <w:rsid w:val="006665BF"/>
    <w:rsid w:val="006668F7"/>
    <w:rsid w:val="00680BF5"/>
    <w:rsid w:val="006A7C0F"/>
    <w:rsid w:val="006B3AC7"/>
    <w:rsid w:val="006C1976"/>
    <w:rsid w:val="006D301F"/>
    <w:rsid w:val="006E454B"/>
    <w:rsid w:val="0070558F"/>
    <w:rsid w:val="007157CA"/>
    <w:rsid w:val="00716F45"/>
    <w:rsid w:val="00727B92"/>
    <w:rsid w:val="00734B6C"/>
    <w:rsid w:val="00743412"/>
    <w:rsid w:val="00754079"/>
    <w:rsid w:val="007A2084"/>
    <w:rsid w:val="007C37DE"/>
    <w:rsid w:val="007D0970"/>
    <w:rsid w:val="007E2BD8"/>
    <w:rsid w:val="007E739E"/>
    <w:rsid w:val="007F3864"/>
    <w:rsid w:val="00801093"/>
    <w:rsid w:val="00801E65"/>
    <w:rsid w:val="00803A25"/>
    <w:rsid w:val="008110E1"/>
    <w:rsid w:val="00811634"/>
    <w:rsid w:val="00811D5E"/>
    <w:rsid w:val="00815AE3"/>
    <w:rsid w:val="00836E38"/>
    <w:rsid w:val="00845EDC"/>
    <w:rsid w:val="00853292"/>
    <w:rsid w:val="00860B38"/>
    <w:rsid w:val="00863266"/>
    <w:rsid w:val="00890370"/>
    <w:rsid w:val="008934FE"/>
    <w:rsid w:val="0089700D"/>
    <w:rsid w:val="008A23D7"/>
    <w:rsid w:val="008A615D"/>
    <w:rsid w:val="008A7A1F"/>
    <w:rsid w:val="008B1D6B"/>
    <w:rsid w:val="008B5C13"/>
    <w:rsid w:val="008E1D08"/>
    <w:rsid w:val="008E2A75"/>
    <w:rsid w:val="009376DE"/>
    <w:rsid w:val="00943BFF"/>
    <w:rsid w:val="009476F2"/>
    <w:rsid w:val="0094799D"/>
    <w:rsid w:val="0095024C"/>
    <w:rsid w:val="00950535"/>
    <w:rsid w:val="009546C1"/>
    <w:rsid w:val="009777B7"/>
    <w:rsid w:val="00986556"/>
    <w:rsid w:val="009A1A2D"/>
    <w:rsid w:val="009D4896"/>
    <w:rsid w:val="009D6CA5"/>
    <w:rsid w:val="00A22963"/>
    <w:rsid w:val="00A24095"/>
    <w:rsid w:val="00A3013C"/>
    <w:rsid w:val="00A34C36"/>
    <w:rsid w:val="00A41563"/>
    <w:rsid w:val="00A83341"/>
    <w:rsid w:val="00AE71A1"/>
    <w:rsid w:val="00B15F8C"/>
    <w:rsid w:val="00B33DA6"/>
    <w:rsid w:val="00B46A81"/>
    <w:rsid w:val="00B70EB6"/>
    <w:rsid w:val="00B719A5"/>
    <w:rsid w:val="00BA6DF2"/>
    <w:rsid w:val="00BA7BD8"/>
    <w:rsid w:val="00BC0AC1"/>
    <w:rsid w:val="00BC22E0"/>
    <w:rsid w:val="00BE57E7"/>
    <w:rsid w:val="00C0347F"/>
    <w:rsid w:val="00C0555A"/>
    <w:rsid w:val="00C17F60"/>
    <w:rsid w:val="00C724B8"/>
    <w:rsid w:val="00C82225"/>
    <w:rsid w:val="00C91276"/>
    <w:rsid w:val="00C94B37"/>
    <w:rsid w:val="00C94E90"/>
    <w:rsid w:val="00C9791F"/>
    <w:rsid w:val="00CA29B6"/>
    <w:rsid w:val="00CB7945"/>
    <w:rsid w:val="00CF4603"/>
    <w:rsid w:val="00D303A1"/>
    <w:rsid w:val="00D45DBB"/>
    <w:rsid w:val="00D460C3"/>
    <w:rsid w:val="00D517A0"/>
    <w:rsid w:val="00D646E5"/>
    <w:rsid w:val="00D716A0"/>
    <w:rsid w:val="00D76166"/>
    <w:rsid w:val="00D80D7C"/>
    <w:rsid w:val="00D91D0D"/>
    <w:rsid w:val="00DA302E"/>
    <w:rsid w:val="00DC104C"/>
    <w:rsid w:val="00DC7F4C"/>
    <w:rsid w:val="00E05768"/>
    <w:rsid w:val="00E223C1"/>
    <w:rsid w:val="00E313EA"/>
    <w:rsid w:val="00E46722"/>
    <w:rsid w:val="00E5377F"/>
    <w:rsid w:val="00E63655"/>
    <w:rsid w:val="00E656B1"/>
    <w:rsid w:val="00E70B43"/>
    <w:rsid w:val="00E70C74"/>
    <w:rsid w:val="00E70E5C"/>
    <w:rsid w:val="00E92825"/>
    <w:rsid w:val="00E93654"/>
    <w:rsid w:val="00E9440B"/>
    <w:rsid w:val="00EA0BE7"/>
    <w:rsid w:val="00EA3954"/>
    <w:rsid w:val="00EA4DC3"/>
    <w:rsid w:val="00EB5CE2"/>
    <w:rsid w:val="00EC5ED2"/>
    <w:rsid w:val="00ED2A92"/>
    <w:rsid w:val="00F15A57"/>
    <w:rsid w:val="00F2466F"/>
    <w:rsid w:val="00F642C1"/>
    <w:rsid w:val="00FD655F"/>
    <w:rsid w:val="00FE039D"/>
    <w:rsid w:val="00FE7633"/>
    <w:rsid w:val="00FF5DDF"/>
  </w:rsids>
  <w:docVars>
    <w:docVar w:name="__Grammarly_42___1" w:val="H4sIAAAAAAAEAKtWcslP9kxRslIyNDYyNzOytDQ2NrQwMDCxNDFR0lEKTi0uzszPAykwMqwFAG6zTww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B4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81"/>
  </w:style>
  <w:style w:type="paragraph" w:styleId="Footer">
    <w:name w:val="footer"/>
    <w:basedOn w:val="Normal"/>
    <w:link w:val="FooterChar"/>
    <w:uiPriority w:val="99"/>
    <w:unhideWhenUsed/>
    <w:rsid w:val="00B4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81"/>
  </w:style>
  <w:style w:type="character" w:customStyle="1" w:styleId="normaltextrun">
    <w:name w:val="normaltextrun"/>
    <w:basedOn w:val="DefaultParagraphFont"/>
    <w:rsid w:val="001B07F8"/>
  </w:style>
  <w:style w:type="character" w:customStyle="1" w:styleId="eop">
    <w:name w:val="eop"/>
    <w:basedOn w:val="DefaultParagraphFont"/>
    <w:rsid w:val="001B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QPVJESM53SK4-1767020924-73110</_dlc_DocId>
    <_dlc_DocIdUrl xmlns="dae0f925-a78b-4f93-b0e5-451dcac5f217">
      <Url>https://nih.sharepoint.com/sites/HRSA-HSB/Team/dot/_layouts/15/DocIdRedir.aspx?ID=QPVJESM53SK4-1767020924-73110</Url>
      <Description>QPVJESM53SK4-1767020924-73110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ACC0-BE6C-4BBB-904E-E05C237D4973}">
  <ds:schemaRefs/>
</ds:datastoreItem>
</file>

<file path=customXml/itemProps2.xml><?xml version="1.0" encoding="utf-8"?>
<ds:datastoreItem xmlns:ds="http://schemas.openxmlformats.org/officeDocument/2006/customXml" ds:itemID="{714AFE98-A3D2-4C1E-84FF-490807FC35C4}">
  <ds:schemaRefs/>
</ds:datastoreItem>
</file>

<file path=customXml/itemProps3.xml><?xml version="1.0" encoding="utf-8"?>
<ds:datastoreItem xmlns:ds="http://schemas.openxmlformats.org/officeDocument/2006/customXml" ds:itemID="{040A46FC-F58E-40CC-8FB5-C17E3BD905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8ED2F9-5098-493F-B2DF-192B99563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2487</Words>
  <Characters>14182</Characters>
  <Application>Microsoft Office Word</Application>
  <DocSecurity>0</DocSecurity>
  <Lines>118</Lines>
  <Paragraphs>33</Paragraphs>
  <ScaleCrop>false</ScaleCrop>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2023-06-14T15:54:00Z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6ae20f14,6df9dab9,b9bfa09</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fc0d57b0-b188-4be8-a4ca-fddfb918e003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2024-11-20T15:37:52Z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d48020f4-a91e-4b25-960f-2992c78590da</vt:lpwstr>
  </property>
</Properties>
</file>