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76DC" w14:textId="6F2FF67E" w:rsidR="007A6045" w:rsidRPr="00811FCF" w:rsidRDefault="007A6045" w:rsidP="003A2C07">
      <w:pPr>
        <w:pStyle w:val="BodyText"/>
        <w:widowControl/>
        <w:tabs>
          <w:tab w:val="left" w:pos="5130"/>
        </w:tabs>
        <w:spacing w:before="100" w:beforeAutospacing="1" w:line="276" w:lineRule="auto"/>
        <w:ind w:left="0"/>
      </w:pPr>
      <w:r>
        <w:t>July 23, 2025</w:t>
      </w:r>
    </w:p>
    <w:p w14:paraId="197300DC" w14:textId="77777777" w:rsidR="007A6045" w:rsidRDefault="007A6045" w:rsidP="003A2C07">
      <w:pPr>
        <w:pStyle w:val="BodyText"/>
        <w:widowControl/>
        <w:spacing w:line="276" w:lineRule="auto"/>
        <w:ind w:left="0"/>
      </w:pPr>
    </w:p>
    <w:p w14:paraId="29B380F1" w14:textId="33A69A1C" w:rsidR="006847CD" w:rsidRPr="006B1E9E" w:rsidRDefault="006847CD" w:rsidP="003A2C07">
      <w:pPr>
        <w:pStyle w:val="BodyText"/>
        <w:widowControl/>
        <w:spacing w:line="276" w:lineRule="auto"/>
        <w:ind w:left="0"/>
      </w:pPr>
      <w:r w:rsidRPr="006B1E9E">
        <w:t xml:space="preserve">Maria G. Button </w:t>
      </w:r>
    </w:p>
    <w:p w14:paraId="1D1268FA" w14:textId="711C7B87" w:rsidR="006847CD" w:rsidRPr="006B1E9E" w:rsidRDefault="006847CD" w:rsidP="003A2C07">
      <w:pPr>
        <w:pStyle w:val="BodyText"/>
        <w:widowControl/>
        <w:spacing w:line="276" w:lineRule="auto"/>
        <w:ind w:left="0"/>
      </w:pPr>
      <w:r w:rsidRPr="006B1E9E">
        <w:t>Director, Executive Secretariat</w:t>
      </w:r>
    </w:p>
    <w:p w14:paraId="74ABE3DE" w14:textId="0360365E" w:rsidR="00CE3C7B" w:rsidRPr="006B1E9E" w:rsidRDefault="00CE3C7B" w:rsidP="003A2C07">
      <w:pPr>
        <w:pStyle w:val="BodyText"/>
        <w:widowControl/>
        <w:spacing w:line="276" w:lineRule="auto"/>
        <w:ind w:left="0"/>
      </w:pPr>
      <w:r w:rsidRPr="006B1E9E">
        <w:t>Health Resources and Services Administration</w:t>
      </w:r>
    </w:p>
    <w:p w14:paraId="36560843" w14:textId="05038FAF" w:rsidR="00153104" w:rsidRPr="00B535B0" w:rsidRDefault="003F464D" w:rsidP="003A2C07">
      <w:pPr>
        <w:pStyle w:val="BodyText"/>
        <w:widowControl/>
        <w:spacing w:line="276" w:lineRule="auto"/>
        <w:ind w:left="0"/>
      </w:pPr>
      <w:r w:rsidRPr="006B1E9E">
        <w:t>U.S.</w:t>
      </w:r>
      <w:r w:rsidRPr="006B1E9E">
        <w:rPr>
          <w:spacing w:val="-3"/>
        </w:rPr>
        <w:t xml:space="preserve"> </w:t>
      </w:r>
      <w:r w:rsidRPr="006B1E9E">
        <w:t>Department</w:t>
      </w:r>
      <w:r w:rsidRPr="006B1E9E">
        <w:rPr>
          <w:spacing w:val="-4"/>
        </w:rPr>
        <w:t xml:space="preserve"> </w:t>
      </w:r>
      <w:r w:rsidRPr="006B1E9E">
        <w:t>of</w:t>
      </w:r>
      <w:r w:rsidRPr="006B1E9E">
        <w:rPr>
          <w:spacing w:val="-2"/>
        </w:rPr>
        <w:t xml:space="preserve"> </w:t>
      </w:r>
      <w:r w:rsidR="0061041B" w:rsidRPr="006B1E9E">
        <w:rPr>
          <w:spacing w:val="-2"/>
        </w:rPr>
        <w:t>Health and Human Services</w:t>
      </w:r>
    </w:p>
    <w:p w14:paraId="3F3898C8" w14:textId="702BF6ED" w:rsidR="003B710A" w:rsidRPr="00B535B0" w:rsidRDefault="00701037" w:rsidP="003A2C07">
      <w:pPr>
        <w:pStyle w:val="Heading1"/>
        <w:widowControl/>
        <w:spacing w:before="100" w:beforeAutospacing="1" w:line="276" w:lineRule="auto"/>
        <w:ind w:left="720"/>
      </w:pPr>
      <w:r w:rsidRPr="00B535B0">
        <w:t xml:space="preserve">RE: </w:t>
      </w:r>
      <w:r w:rsidR="00780F2D" w:rsidRPr="00B535B0">
        <w:tab/>
      </w:r>
      <w:r w:rsidR="00CE3AA4" w:rsidRPr="00CE3AA4">
        <w:t>Agency Information Collection Activities: Submission to OMB for Review and Approval; Public Comment Request; Health Resources and Services Administration Uniform Data System</w:t>
      </w:r>
    </w:p>
    <w:p w14:paraId="0AD2F216" w14:textId="4B2D7553" w:rsidR="006A0DB3" w:rsidRDefault="00701037" w:rsidP="003A2C07">
      <w:pPr>
        <w:pStyle w:val="BodyText"/>
        <w:widowControl/>
        <w:spacing w:before="100" w:beforeAutospacing="1" w:line="276" w:lineRule="auto"/>
        <w:ind w:left="0" w:right="266" w:firstLine="720"/>
      </w:pPr>
      <w:r w:rsidRPr="00B535B0">
        <w:t xml:space="preserve">We </w:t>
      </w:r>
      <w:r w:rsidR="00905C65">
        <w:t>appreciate</w:t>
      </w:r>
      <w:r w:rsidRPr="00B535B0">
        <w:t xml:space="preserve"> the opportunity to provide comment on</w:t>
      </w:r>
      <w:r w:rsidR="007A6045">
        <w:t xml:space="preserve"> proposed changes to information collection</w:t>
      </w:r>
      <w:r w:rsidRPr="00B535B0">
        <w:t xml:space="preserve"> </w:t>
      </w:r>
      <w:r w:rsidR="005957E4" w:rsidRPr="00B535B0">
        <w:t xml:space="preserve">through </w:t>
      </w:r>
      <w:r w:rsidR="00AC29DC">
        <w:t>the</w:t>
      </w:r>
      <w:r w:rsidR="0011632E">
        <w:t xml:space="preserve"> </w:t>
      </w:r>
      <w:r w:rsidR="0011632E" w:rsidRPr="0011632E">
        <w:t>Health Resources and Services Administration (HRSA)</w:t>
      </w:r>
      <w:r w:rsidR="00AC29DC">
        <w:t xml:space="preserve"> </w:t>
      </w:r>
      <w:r w:rsidR="004935BE">
        <w:t>Uniform</w:t>
      </w:r>
      <w:r w:rsidR="0011632E">
        <w:t xml:space="preserve"> Data System </w:t>
      </w:r>
      <w:r w:rsidR="005957E4" w:rsidRPr="00B535B0">
        <w:t>(</w:t>
      </w:r>
      <w:r w:rsidR="00F16BA3">
        <w:t>UDS</w:t>
      </w:r>
      <w:r w:rsidR="005957E4" w:rsidRPr="00B535B0">
        <w:t>)</w:t>
      </w:r>
      <w:r w:rsidR="00837F0A">
        <w:t>, OMB No. 0915-0193—Revision</w:t>
      </w:r>
      <w:r w:rsidR="005957E4" w:rsidRPr="00B535B0">
        <w:t xml:space="preserve">. See </w:t>
      </w:r>
      <w:r w:rsidR="003B710A" w:rsidRPr="00B535B0">
        <w:t>90</w:t>
      </w:r>
      <w:r w:rsidR="005957E4" w:rsidRPr="00B535B0">
        <w:t xml:space="preserve"> Fed. Reg. </w:t>
      </w:r>
      <w:r w:rsidR="00D04511">
        <w:t>26</w:t>
      </w:r>
      <w:r w:rsidR="002448AE">
        <w:t>,</w:t>
      </w:r>
      <w:r w:rsidR="00D04511">
        <w:t>592</w:t>
      </w:r>
      <w:r w:rsidR="005957E4" w:rsidRPr="00B535B0">
        <w:t xml:space="preserve"> (</w:t>
      </w:r>
      <w:r w:rsidR="00D04511">
        <w:t>June</w:t>
      </w:r>
      <w:r w:rsidR="005957E4" w:rsidRPr="00B535B0">
        <w:t xml:space="preserve"> 2</w:t>
      </w:r>
      <w:r w:rsidR="00D04511">
        <w:t>3</w:t>
      </w:r>
      <w:r w:rsidR="005957E4" w:rsidRPr="00B535B0">
        <w:t>, 202</w:t>
      </w:r>
      <w:r w:rsidR="003B710A" w:rsidRPr="00B535B0">
        <w:t>5</w:t>
      </w:r>
      <w:r w:rsidR="005957E4" w:rsidRPr="00B535B0">
        <w:t>)</w:t>
      </w:r>
      <w:r w:rsidR="00F6087E">
        <w:t>.</w:t>
      </w:r>
      <w:r w:rsidR="00CF16CC">
        <w:t xml:space="preserve"> </w:t>
      </w:r>
      <w:r w:rsidR="007A6045">
        <w:t>In particular, we write regarding</w:t>
      </w:r>
      <w:r w:rsidR="00510F20">
        <w:t xml:space="preserve"> </w:t>
      </w:r>
      <w:r w:rsidR="00CF16CC">
        <w:t xml:space="preserve">the removal of </w:t>
      </w:r>
      <w:r w:rsidR="00254307">
        <w:t xml:space="preserve">"data elements related to </w:t>
      </w:r>
      <w:r w:rsidR="00CF16CC">
        <w:t>sexual orientation and gender identity</w:t>
      </w:r>
      <w:r w:rsidR="00254307">
        <w:t>"</w:t>
      </w:r>
      <w:r w:rsidR="001C73F9">
        <w:t xml:space="preserve"> in the </w:t>
      </w:r>
      <w:r w:rsidR="0013131C">
        <w:t>UDS</w:t>
      </w:r>
      <w:r w:rsidR="00AC7576">
        <w:t>. Collecting</w:t>
      </w:r>
      <w:r w:rsidR="00C5546B">
        <w:t>,</w:t>
      </w:r>
      <w:r w:rsidR="00AC7576">
        <w:t xml:space="preserve"> maintaining, and making such data publicly advances the</w:t>
      </w:r>
      <w:r w:rsidR="00BF234C">
        <w:t xml:space="preserve"> agency's</w:t>
      </w:r>
      <w:r w:rsidR="009B202F">
        <w:t xml:space="preserve"> </w:t>
      </w:r>
      <w:r w:rsidR="00AC7576">
        <w:t xml:space="preserve">mission and </w:t>
      </w:r>
      <w:r w:rsidR="009B202F">
        <w:t>purpose and</w:t>
      </w:r>
      <w:r w:rsidR="00AC7576">
        <w:t xml:space="preserve"> its</w:t>
      </w:r>
      <w:r w:rsidR="00BF234C">
        <w:t xml:space="preserve"> obligations under the la</w:t>
      </w:r>
      <w:r w:rsidR="00330C07">
        <w:t>w.</w:t>
      </w:r>
    </w:p>
    <w:p w14:paraId="45E75D96" w14:textId="61EBC2BD" w:rsidR="009E3936" w:rsidRDefault="00701037" w:rsidP="003A2C07">
      <w:pPr>
        <w:pStyle w:val="BodyText"/>
        <w:widowControl/>
        <w:spacing w:before="100" w:beforeAutospacing="1" w:line="276" w:lineRule="auto"/>
        <w:ind w:left="0" w:firstLine="720"/>
      </w:pPr>
      <w:r w:rsidRPr="00B535B0">
        <w:t>The</w:t>
      </w:r>
      <w:r w:rsidRPr="00B535B0">
        <w:rPr>
          <w:spacing w:val="-10"/>
        </w:rPr>
        <w:t xml:space="preserve"> </w:t>
      </w:r>
      <w:r w:rsidRPr="00B535B0">
        <w:t>undersigned</w:t>
      </w:r>
      <w:r w:rsidRPr="00B535B0">
        <w:rPr>
          <w:spacing w:val="-2"/>
        </w:rPr>
        <w:t xml:space="preserve"> </w:t>
      </w:r>
      <w:r w:rsidRPr="00B535B0">
        <w:t>are</w:t>
      </w:r>
      <w:r w:rsidRPr="00B535B0">
        <w:rPr>
          <w:spacing w:val="-7"/>
        </w:rPr>
        <w:t xml:space="preserve"> </w:t>
      </w:r>
      <w:r w:rsidRPr="00B535B0">
        <w:t>scholars</w:t>
      </w:r>
      <w:r w:rsidRPr="00B535B0">
        <w:rPr>
          <w:spacing w:val="-5"/>
        </w:rPr>
        <w:t xml:space="preserve"> </w:t>
      </w:r>
      <w:r w:rsidRPr="00B535B0">
        <w:t>affiliated</w:t>
      </w:r>
      <w:r w:rsidRPr="00B535B0">
        <w:rPr>
          <w:spacing w:val="-5"/>
        </w:rPr>
        <w:t xml:space="preserve"> </w:t>
      </w:r>
      <w:r w:rsidRPr="00B535B0">
        <w:t>with</w:t>
      </w:r>
      <w:r w:rsidRPr="00B535B0">
        <w:rPr>
          <w:spacing w:val="-5"/>
        </w:rPr>
        <w:t xml:space="preserve"> </w:t>
      </w:r>
      <w:r w:rsidRPr="00B535B0">
        <w:t>the</w:t>
      </w:r>
      <w:r w:rsidRPr="00B535B0">
        <w:rPr>
          <w:spacing w:val="-7"/>
        </w:rPr>
        <w:t xml:space="preserve"> </w:t>
      </w:r>
      <w:r w:rsidRPr="00B535B0">
        <w:t>Williams</w:t>
      </w:r>
      <w:r w:rsidRPr="00B535B0">
        <w:rPr>
          <w:spacing w:val="-5"/>
        </w:rPr>
        <w:t xml:space="preserve"> </w:t>
      </w:r>
      <w:r w:rsidRPr="00B535B0">
        <w:t>Institute</w:t>
      </w:r>
      <w:r w:rsidRPr="00B535B0">
        <w:rPr>
          <w:spacing w:val="-7"/>
        </w:rPr>
        <w:t xml:space="preserve"> </w:t>
      </w:r>
      <w:r w:rsidRPr="00B535B0">
        <w:t>at</w:t>
      </w:r>
      <w:r w:rsidRPr="00B535B0">
        <w:rPr>
          <w:spacing w:val="-3"/>
        </w:rPr>
        <w:t xml:space="preserve"> </w:t>
      </w:r>
      <w:r w:rsidRPr="00B535B0">
        <w:t>the</w:t>
      </w:r>
      <w:r w:rsidRPr="00B535B0">
        <w:rPr>
          <w:spacing w:val="-7"/>
        </w:rPr>
        <w:t xml:space="preserve"> </w:t>
      </w:r>
      <w:r w:rsidRPr="00B535B0">
        <w:t>UCLA</w:t>
      </w:r>
      <w:r w:rsidRPr="00B535B0">
        <w:rPr>
          <w:spacing w:val="-15"/>
        </w:rPr>
        <w:t xml:space="preserve"> </w:t>
      </w:r>
      <w:r w:rsidRPr="00B535B0">
        <w:t>School</w:t>
      </w:r>
      <w:r w:rsidRPr="00B535B0">
        <w:rPr>
          <w:spacing w:val="-7"/>
        </w:rPr>
        <w:t xml:space="preserve"> </w:t>
      </w:r>
      <w:r w:rsidRPr="00B535B0">
        <w:t>of Law.</w:t>
      </w:r>
      <w:r w:rsidR="00DF4FCB">
        <w:t xml:space="preserve"> </w:t>
      </w:r>
      <w:r w:rsidRPr="00B535B0">
        <w:t>The</w:t>
      </w:r>
      <w:r w:rsidRPr="00B535B0">
        <w:rPr>
          <w:spacing w:val="-1"/>
        </w:rPr>
        <w:t xml:space="preserve"> </w:t>
      </w:r>
      <w:r w:rsidRPr="00B535B0">
        <w:t>Williams Institute</w:t>
      </w:r>
      <w:r w:rsidR="002C6E81">
        <w:t xml:space="preserve">, </w:t>
      </w:r>
      <w:r w:rsidRPr="00B535B0">
        <w:t>dedicated to conducting rigorous and independent research</w:t>
      </w:r>
      <w:r w:rsidR="002C6E81">
        <w:t xml:space="preserve">, </w:t>
      </w:r>
      <w:r w:rsidRPr="00B535B0">
        <w:t>collects and analyzes original data, as well as analyzes governmental and private data, and has long worked with federal agencies to improve data collection on the U.S. population.</w:t>
      </w:r>
      <w:r w:rsidR="00BE275F" w:rsidRPr="00B535B0">
        <w:t xml:space="preserve"> </w:t>
      </w:r>
      <w:r w:rsidRPr="00B535B0">
        <w:t xml:space="preserve">These efforts include producing </w:t>
      </w:r>
      <w:r w:rsidR="006D49E2" w:rsidRPr="00B535B0">
        <w:t>widely cited</w:t>
      </w:r>
      <w:r w:rsidRPr="00B535B0">
        <w:t xml:space="preserve"> best practices for the collection of </w:t>
      </w:r>
      <w:r w:rsidR="00C600AB" w:rsidRPr="00B535B0">
        <w:t>sexual orientation</w:t>
      </w:r>
      <w:r w:rsidR="00B46E20">
        <w:t xml:space="preserve"> </w:t>
      </w:r>
      <w:r w:rsidR="00594AD4">
        <w:t xml:space="preserve">and gender identity </w:t>
      </w:r>
      <w:r w:rsidR="007A6045">
        <w:t xml:space="preserve">(“SOGI”) </w:t>
      </w:r>
      <w:r w:rsidRPr="00B535B0">
        <w:t>information on population</w:t>
      </w:r>
      <w:r w:rsidR="006D49E2" w:rsidRPr="00B535B0">
        <w:t>-based</w:t>
      </w:r>
      <w:r w:rsidRPr="00B535B0">
        <w:t xml:space="preserve"> surveys.</w:t>
      </w:r>
      <w:r w:rsidR="00C65432" w:rsidRPr="00B535B0">
        <w:rPr>
          <w:rStyle w:val="FootnoteReference"/>
        </w:rPr>
        <w:footnoteReference w:id="2"/>
      </w:r>
      <w:r w:rsidR="00514895">
        <w:t xml:space="preserve"> </w:t>
      </w:r>
    </w:p>
    <w:p w14:paraId="1510C5C4" w14:textId="1DFD5869" w:rsidR="006C422D" w:rsidRDefault="00DF4FCB" w:rsidP="003A2C07">
      <w:pPr>
        <w:pStyle w:val="BodyText"/>
        <w:widowControl/>
        <w:spacing w:before="100" w:beforeAutospacing="1" w:line="276" w:lineRule="auto"/>
        <w:ind w:left="0" w:firstLine="720"/>
        <w:rPr>
          <w:rStyle w:val="CommentReference"/>
          <w:b/>
          <w:bCs/>
        </w:rPr>
      </w:pPr>
      <w:r>
        <w:t>Lesbian, gay, bisexual, and transgender (LGBT) people are a notable subgroup of the U.S. population and e</w:t>
      </w:r>
      <w:r w:rsidRPr="00AA2C2B">
        <w:t>xisting</w:t>
      </w:r>
      <w:r w:rsidR="00DE3092">
        <w:t xml:space="preserve"> research based on</w:t>
      </w:r>
      <w:r w:rsidRPr="00AA2C2B">
        <w:t xml:space="preserve"> </w:t>
      </w:r>
      <w:r w:rsidR="00AC7576">
        <w:t xml:space="preserve">federal </w:t>
      </w:r>
      <w:r w:rsidRPr="00AA2C2B">
        <w:t xml:space="preserve">data </w:t>
      </w:r>
      <w:r>
        <w:t>describes</w:t>
      </w:r>
      <w:r w:rsidRPr="00AA2C2B">
        <w:t xml:space="preserve"> </w:t>
      </w:r>
      <w:r>
        <w:t>important differences in</w:t>
      </w:r>
      <w:r w:rsidR="00AC7576">
        <w:t xml:space="preserve"> health and</w:t>
      </w:r>
      <w:r w:rsidRPr="00AA2C2B">
        <w:t xml:space="preserve"> wellbeing</w:t>
      </w:r>
      <w:r>
        <w:t xml:space="preserve"> related to sexual orientation and gender identity</w:t>
      </w:r>
      <w:r w:rsidRPr="00AA2C2B">
        <w:t>.</w:t>
      </w:r>
      <w:r w:rsidRPr="00AA2C2B">
        <w:rPr>
          <w:rStyle w:val="FootnoteReference"/>
        </w:rPr>
        <w:footnoteReference w:id="3"/>
      </w:r>
      <w:r>
        <w:t xml:space="preserve"> We offer this comment to </w:t>
      </w:r>
      <w:r>
        <w:lastRenderedPageBreak/>
        <w:t xml:space="preserve">underscore how data collection from </w:t>
      </w:r>
      <w:r w:rsidR="00074A30">
        <w:t xml:space="preserve">federally qualified health centers (“FQHC”) </w:t>
      </w:r>
      <w:r w:rsidR="005B1CAD">
        <w:t>on sexual orientation and gender identity can improve insight into priorities outlined by the Department</w:t>
      </w:r>
      <w:r w:rsidR="003C724C">
        <w:t xml:space="preserve"> of Health and Human Services (“the Department”)</w:t>
      </w:r>
      <w:r w:rsidR="005B1CAD">
        <w:t xml:space="preserve"> in the above-captioned Federal Register Notice.</w:t>
      </w:r>
    </w:p>
    <w:p w14:paraId="7C74E076" w14:textId="3EF80391" w:rsidR="00153104" w:rsidRPr="006C422D" w:rsidRDefault="00735D7F" w:rsidP="003A2C07">
      <w:pPr>
        <w:pStyle w:val="BodyText"/>
        <w:widowControl/>
        <w:numPr>
          <w:ilvl w:val="0"/>
          <w:numId w:val="11"/>
        </w:numPr>
        <w:spacing w:before="100" w:beforeAutospacing="1" w:line="276" w:lineRule="auto"/>
        <w:rPr>
          <w:b/>
          <w:bCs/>
          <w:u w:val="single"/>
        </w:rPr>
      </w:pPr>
      <w:r w:rsidRPr="006C422D">
        <w:rPr>
          <w:b/>
          <w:bCs/>
          <w:u w:val="single"/>
        </w:rPr>
        <w:t xml:space="preserve">LGBT People are a </w:t>
      </w:r>
      <w:r w:rsidR="0087013F" w:rsidRPr="006C422D">
        <w:rPr>
          <w:b/>
          <w:bCs/>
          <w:u w:val="single"/>
        </w:rPr>
        <w:t>Sizeable</w:t>
      </w:r>
      <w:r w:rsidRPr="006C422D">
        <w:rPr>
          <w:b/>
          <w:bCs/>
          <w:u w:val="single"/>
        </w:rPr>
        <w:t xml:space="preserve"> and Diverse Subgroup of the U.S. Population</w:t>
      </w:r>
      <w:r w:rsidR="00096C2D" w:rsidRPr="006C422D">
        <w:rPr>
          <w:b/>
          <w:bCs/>
          <w:spacing w:val="-2"/>
          <w:u w:val="single"/>
        </w:rPr>
        <w:t xml:space="preserve"> </w:t>
      </w:r>
    </w:p>
    <w:p w14:paraId="50A9FC6D" w14:textId="112D63BD" w:rsidR="009A2062" w:rsidRPr="00B77C1F" w:rsidRDefault="00C57AFA" w:rsidP="003A2C07">
      <w:pPr>
        <w:widowControl/>
        <w:autoSpaceDE/>
        <w:autoSpaceDN/>
        <w:spacing w:before="100" w:beforeAutospacing="1" w:line="276" w:lineRule="auto"/>
        <w:contextualSpacing/>
        <w:rPr>
          <w:sz w:val="24"/>
          <w:szCs w:val="24"/>
        </w:rPr>
      </w:pPr>
      <w:r w:rsidRPr="00B77C1F">
        <w:rPr>
          <w:sz w:val="24"/>
          <w:szCs w:val="24"/>
        </w:rPr>
        <w:t>LGBT people make up a substantial portion of the U.S. population</w:t>
      </w:r>
      <w:r w:rsidR="001F015D">
        <w:rPr>
          <w:sz w:val="24"/>
          <w:szCs w:val="24"/>
        </w:rPr>
        <w:t>.</w:t>
      </w:r>
      <w:r w:rsidR="00AC7576">
        <w:rPr>
          <w:sz w:val="24"/>
          <w:szCs w:val="24"/>
        </w:rPr>
        <w:t xml:space="preserve"> Using data from the Behavioral Risk Factor Surveillance System Survey (BRFSS), a survey jointly administered by the U.S. Centers for Disease Control and Prevention and states, the Williams Institute estimates that: </w:t>
      </w:r>
      <w:r w:rsidR="001F015D">
        <w:rPr>
          <w:sz w:val="24"/>
          <w:szCs w:val="24"/>
        </w:rPr>
        <w:t xml:space="preserve"> </w:t>
      </w:r>
    </w:p>
    <w:p w14:paraId="24E73AA5" w14:textId="529FA9A1" w:rsidR="009A2062" w:rsidRPr="00B77C1F" w:rsidRDefault="007D0F1F" w:rsidP="003A2C07">
      <w:pPr>
        <w:pStyle w:val="ListParagraph"/>
        <w:widowControl/>
        <w:numPr>
          <w:ilvl w:val="0"/>
          <w:numId w:val="7"/>
        </w:numPr>
        <w:autoSpaceDE/>
        <w:autoSpaceDN/>
        <w:spacing w:line="276" w:lineRule="auto"/>
        <w:contextualSpacing/>
        <w:rPr>
          <w:color w:val="000000"/>
          <w:sz w:val="24"/>
          <w:szCs w:val="24"/>
        </w:rPr>
      </w:pPr>
      <w:r w:rsidRPr="00B77C1F">
        <w:rPr>
          <w:sz w:val="24"/>
          <w:szCs w:val="24"/>
        </w:rPr>
        <w:t>Approximately</w:t>
      </w:r>
      <w:r w:rsidRPr="00B77C1F">
        <w:rPr>
          <w:spacing w:val="-1"/>
          <w:sz w:val="24"/>
          <w:szCs w:val="24"/>
        </w:rPr>
        <w:t xml:space="preserve"> </w:t>
      </w:r>
      <w:r w:rsidR="00A71DD9" w:rsidRPr="00B77C1F">
        <w:rPr>
          <w:sz w:val="24"/>
          <w:szCs w:val="24"/>
        </w:rPr>
        <w:t>5.5</w:t>
      </w:r>
      <w:r w:rsidRPr="00B77C1F">
        <w:rPr>
          <w:sz w:val="24"/>
          <w:szCs w:val="24"/>
        </w:rPr>
        <w:t>%</w:t>
      </w:r>
      <w:r w:rsidRPr="00B77C1F">
        <w:rPr>
          <w:spacing w:val="-2"/>
          <w:sz w:val="24"/>
          <w:szCs w:val="24"/>
        </w:rPr>
        <w:t xml:space="preserve"> </w:t>
      </w:r>
      <w:r w:rsidRPr="00B77C1F">
        <w:rPr>
          <w:sz w:val="24"/>
          <w:szCs w:val="24"/>
        </w:rPr>
        <w:t>of</w:t>
      </w:r>
      <w:r w:rsidRPr="00B77C1F">
        <w:rPr>
          <w:spacing w:val="-2"/>
          <w:sz w:val="24"/>
          <w:szCs w:val="24"/>
        </w:rPr>
        <w:t xml:space="preserve"> </w:t>
      </w:r>
      <w:r w:rsidRPr="00B77C1F">
        <w:rPr>
          <w:sz w:val="24"/>
          <w:szCs w:val="24"/>
        </w:rPr>
        <w:t>the</w:t>
      </w:r>
      <w:r w:rsidRPr="00B77C1F">
        <w:rPr>
          <w:spacing w:val="-4"/>
          <w:sz w:val="24"/>
          <w:szCs w:val="24"/>
        </w:rPr>
        <w:t xml:space="preserve"> </w:t>
      </w:r>
      <w:r w:rsidRPr="00B77C1F">
        <w:rPr>
          <w:sz w:val="24"/>
          <w:szCs w:val="24"/>
        </w:rPr>
        <w:t>U.S.</w:t>
      </w:r>
      <w:r w:rsidRPr="00B77C1F">
        <w:rPr>
          <w:spacing w:val="-2"/>
          <w:sz w:val="24"/>
          <w:szCs w:val="24"/>
        </w:rPr>
        <w:t xml:space="preserve"> </w:t>
      </w:r>
      <w:r w:rsidRPr="00B77C1F">
        <w:rPr>
          <w:sz w:val="24"/>
          <w:szCs w:val="24"/>
        </w:rPr>
        <w:t>adult</w:t>
      </w:r>
      <w:r w:rsidRPr="00B77C1F">
        <w:rPr>
          <w:spacing w:val="-3"/>
          <w:sz w:val="24"/>
          <w:szCs w:val="24"/>
        </w:rPr>
        <w:t xml:space="preserve"> </w:t>
      </w:r>
      <w:r w:rsidRPr="00B77C1F">
        <w:rPr>
          <w:sz w:val="24"/>
          <w:szCs w:val="24"/>
        </w:rPr>
        <w:t>populatio</w:t>
      </w:r>
      <w:r w:rsidR="003F3534" w:rsidRPr="00B77C1F">
        <w:rPr>
          <w:sz w:val="24"/>
          <w:szCs w:val="24"/>
        </w:rPr>
        <w:t>n</w:t>
      </w:r>
      <w:r w:rsidRPr="00B77C1F">
        <w:rPr>
          <w:sz w:val="24"/>
          <w:szCs w:val="24"/>
        </w:rPr>
        <w:t xml:space="preserve"> </w:t>
      </w:r>
      <w:r w:rsidR="00C261AB" w:rsidRPr="00B77C1F">
        <w:rPr>
          <w:sz w:val="24"/>
          <w:szCs w:val="24"/>
        </w:rPr>
        <w:t>identifies as l</w:t>
      </w:r>
      <w:r w:rsidRPr="00B77C1F">
        <w:rPr>
          <w:sz w:val="24"/>
          <w:szCs w:val="24"/>
        </w:rPr>
        <w:t>esbian, gay, bisexual</w:t>
      </w:r>
      <w:r w:rsidR="00DA7B10">
        <w:rPr>
          <w:sz w:val="24"/>
          <w:szCs w:val="24"/>
        </w:rPr>
        <w:t>,</w:t>
      </w:r>
      <w:r w:rsidR="00B146A8">
        <w:rPr>
          <w:sz w:val="24"/>
          <w:szCs w:val="24"/>
        </w:rPr>
        <w:t xml:space="preserve"> or transgender</w:t>
      </w:r>
      <w:r w:rsidRPr="00B77C1F">
        <w:rPr>
          <w:sz w:val="24"/>
          <w:szCs w:val="24"/>
        </w:rPr>
        <w:t>.</w:t>
      </w:r>
      <w:r w:rsidR="00E027E1" w:rsidRPr="00B77C1F">
        <w:rPr>
          <w:rStyle w:val="FootnoteReference"/>
          <w:sz w:val="24"/>
          <w:szCs w:val="24"/>
        </w:rPr>
        <w:footnoteReference w:id="4"/>
      </w:r>
      <w:r w:rsidR="00903D0D" w:rsidRPr="00B77C1F">
        <w:rPr>
          <w:sz w:val="24"/>
          <w:szCs w:val="24"/>
        </w:rPr>
        <w:t xml:space="preserve"> </w:t>
      </w:r>
      <w:r w:rsidRPr="00B77C1F">
        <w:rPr>
          <w:sz w:val="24"/>
          <w:szCs w:val="24"/>
        </w:rPr>
        <w:t xml:space="preserve">Applying these figures to the U.S. population, we estimate that </w:t>
      </w:r>
      <w:r w:rsidR="00611472">
        <w:rPr>
          <w:sz w:val="24"/>
          <w:szCs w:val="24"/>
        </w:rPr>
        <w:t>over</w:t>
      </w:r>
      <w:r w:rsidRPr="00B77C1F">
        <w:rPr>
          <w:sz w:val="24"/>
          <w:szCs w:val="24"/>
        </w:rPr>
        <w:t xml:space="preserve"> 1</w:t>
      </w:r>
      <w:r w:rsidR="003F3534" w:rsidRPr="00B77C1F">
        <w:rPr>
          <w:sz w:val="24"/>
          <w:szCs w:val="24"/>
        </w:rPr>
        <w:t>4</w:t>
      </w:r>
      <w:r w:rsidRPr="00B77C1F">
        <w:rPr>
          <w:sz w:val="24"/>
          <w:szCs w:val="24"/>
        </w:rPr>
        <w:t xml:space="preserve"> million adults in the U.S. identify</w:t>
      </w:r>
      <w:r w:rsidRPr="00B77C1F">
        <w:rPr>
          <w:spacing w:val="-1"/>
          <w:sz w:val="24"/>
          <w:szCs w:val="24"/>
        </w:rPr>
        <w:t xml:space="preserve"> </w:t>
      </w:r>
      <w:r w:rsidR="001772A2">
        <w:rPr>
          <w:sz w:val="24"/>
          <w:szCs w:val="24"/>
        </w:rPr>
        <w:t>as LGBT</w:t>
      </w:r>
      <w:r w:rsidRPr="00B77C1F">
        <w:rPr>
          <w:sz w:val="24"/>
          <w:szCs w:val="24"/>
        </w:rPr>
        <w:t>.</w:t>
      </w:r>
      <w:r w:rsidR="001F2C8E" w:rsidRPr="00B77C1F">
        <w:rPr>
          <w:spacing w:val="-5"/>
          <w:sz w:val="24"/>
          <w:szCs w:val="24"/>
        </w:rPr>
        <w:t xml:space="preserve"> </w:t>
      </w:r>
    </w:p>
    <w:p w14:paraId="539B45FF" w14:textId="08E99F53" w:rsidR="009A2062" w:rsidRPr="00B77C1F" w:rsidRDefault="00AC7576" w:rsidP="003A2C07">
      <w:pPr>
        <w:pStyle w:val="ListParagraph"/>
        <w:widowControl/>
        <w:numPr>
          <w:ilvl w:val="0"/>
          <w:numId w:val="7"/>
        </w:numPr>
        <w:autoSpaceDE/>
        <w:autoSpaceDN/>
        <w:spacing w:before="100" w:beforeAutospacing="1" w:line="276" w:lineRule="auto"/>
        <w:contextualSpacing/>
        <w:rPr>
          <w:color w:val="000000"/>
          <w:sz w:val="24"/>
          <w:szCs w:val="24"/>
        </w:rPr>
      </w:pPr>
      <w:r>
        <w:rPr>
          <w:color w:val="000000"/>
          <w:sz w:val="24"/>
          <w:szCs w:val="24"/>
          <w:shd w:val="clear" w:color="auto" w:fill="FFFFFF"/>
        </w:rPr>
        <w:t xml:space="preserve">Approximately </w:t>
      </w:r>
      <w:r w:rsidR="00C57AFA" w:rsidRPr="00B77C1F">
        <w:rPr>
          <w:color w:val="000000"/>
          <w:sz w:val="24"/>
          <w:szCs w:val="24"/>
          <w:shd w:val="clear" w:color="auto" w:fill="FFFFFF"/>
        </w:rPr>
        <w:t>1.</w:t>
      </w:r>
      <w:r w:rsidR="002804B1">
        <w:rPr>
          <w:color w:val="000000"/>
          <w:sz w:val="24"/>
          <w:szCs w:val="24"/>
          <w:shd w:val="clear" w:color="auto" w:fill="FFFFFF"/>
        </w:rPr>
        <w:t>3</w:t>
      </w:r>
      <w:r w:rsidR="00C57AFA" w:rsidRPr="00B77C1F">
        <w:rPr>
          <w:color w:val="000000"/>
          <w:sz w:val="24"/>
          <w:szCs w:val="24"/>
          <w:shd w:val="clear" w:color="auto" w:fill="FFFFFF"/>
        </w:rPr>
        <w:t xml:space="preserve"> million </w:t>
      </w:r>
      <w:r w:rsidR="004522D1">
        <w:rPr>
          <w:color w:val="000000"/>
          <w:sz w:val="24"/>
          <w:szCs w:val="24"/>
          <w:shd w:val="clear" w:color="auto" w:fill="FFFFFF"/>
        </w:rPr>
        <w:t xml:space="preserve">adults </w:t>
      </w:r>
      <w:r w:rsidR="00F57B8A">
        <w:rPr>
          <w:color w:val="000000"/>
          <w:sz w:val="24"/>
          <w:szCs w:val="24"/>
          <w:shd w:val="clear" w:color="auto" w:fill="FFFFFF"/>
        </w:rPr>
        <w:t>aged</w:t>
      </w:r>
      <w:r w:rsidR="004522D1">
        <w:rPr>
          <w:color w:val="000000"/>
          <w:sz w:val="24"/>
          <w:szCs w:val="24"/>
          <w:shd w:val="clear" w:color="auto" w:fill="FFFFFF"/>
        </w:rPr>
        <w:t xml:space="preserve"> 18 and older</w:t>
      </w:r>
      <w:r w:rsidR="00C57AFA" w:rsidRPr="00B77C1F">
        <w:rPr>
          <w:color w:val="000000"/>
          <w:sz w:val="24"/>
          <w:szCs w:val="24"/>
          <w:shd w:val="clear" w:color="auto" w:fill="FFFFFF"/>
        </w:rPr>
        <w:t xml:space="preserve"> identify as transgender.</w:t>
      </w:r>
      <w:bookmarkStart w:id="0" w:name="_Ref192864282"/>
      <w:r w:rsidR="00C57AFA" w:rsidRPr="00B77C1F">
        <w:rPr>
          <w:rStyle w:val="FootnoteReference"/>
          <w:color w:val="000000"/>
          <w:sz w:val="24"/>
          <w:szCs w:val="24"/>
          <w:shd w:val="clear" w:color="auto" w:fill="FFFFFF"/>
        </w:rPr>
        <w:footnoteReference w:id="5"/>
      </w:r>
      <w:bookmarkEnd w:id="0"/>
      <w:r w:rsidR="00C57AFA" w:rsidRPr="00B77C1F">
        <w:rPr>
          <w:color w:val="000000"/>
          <w:sz w:val="24"/>
          <w:szCs w:val="24"/>
          <w:shd w:val="clear" w:color="auto" w:fill="FFFFFF"/>
        </w:rPr>
        <w:t xml:space="preserve"> </w:t>
      </w:r>
    </w:p>
    <w:p w14:paraId="73DACD52" w14:textId="2D196D9A" w:rsidR="009A2062" w:rsidRPr="00B77C1F" w:rsidRDefault="00AC7576" w:rsidP="003A2C07">
      <w:pPr>
        <w:pStyle w:val="ListParagraph"/>
        <w:widowControl/>
        <w:numPr>
          <w:ilvl w:val="0"/>
          <w:numId w:val="7"/>
        </w:numPr>
        <w:autoSpaceDE/>
        <w:autoSpaceDN/>
        <w:spacing w:before="100" w:beforeAutospacing="1" w:line="276" w:lineRule="auto"/>
        <w:contextualSpacing/>
        <w:rPr>
          <w:color w:val="000000"/>
          <w:sz w:val="24"/>
          <w:szCs w:val="24"/>
        </w:rPr>
      </w:pPr>
      <w:r>
        <w:rPr>
          <w:color w:val="000000"/>
          <w:sz w:val="24"/>
          <w:szCs w:val="24"/>
        </w:rPr>
        <w:t>In addition, based on data collected by Gallup, we estimate that a</w:t>
      </w:r>
      <w:r w:rsidR="00CD1DD2" w:rsidRPr="00B77C1F">
        <w:rPr>
          <w:color w:val="000000"/>
          <w:sz w:val="24"/>
          <w:szCs w:val="24"/>
        </w:rPr>
        <w:t xml:space="preserve">pproximately 1.2 million </w:t>
      </w:r>
      <w:r>
        <w:rPr>
          <w:color w:val="000000"/>
          <w:sz w:val="24"/>
          <w:szCs w:val="24"/>
        </w:rPr>
        <w:t xml:space="preserve">LGBT </w:t>
      </w:r>
      <w:r w:rsidR="00CD1DD2" w:rsidRPr="00B77C1F">
        <w:rPr>
          <w:color w:val="000000"/>
          <w:sz w:val="24"/>
          <w:szCs w:val="24"/>
        </w:rPr>
        <w:t>adults identify as nonbinary in the U.S.</w:t>
      </w:r>
      <w:r w:rsidR="00CD1DD2" w:rsidRPr="00B77C1F">
        <w:rPr>
          <w:rStyle w:val="FootnoteReference"/>
          <w:color w:val="000000"/>
          <w:sz w:val="24"/>
          <w:szCs w:val="24"/>
        </w:rPr>
        <w:footnoteReference w:id="6"/>
      </w:r>
    </w:p>
    <w:p w14:paraId="149F10C6" w14:textId="246EBE28" w:rsidR="007A6045" w:rsidRDefault="00AC7576" w:rsidP="00443075">
      <w:pPr>
        <w:pStyle w:val="BodyText"/>
        <w:widowControl/>
        <w:spacing w:before="100" w:beforeAutospacing="1" w:line="276" w:lineRule="auto"/>
        <w:ind w:left="0" w:right="204" w:firstLine="720"/>
      </w:pPr>
      <w:r>
        <w:t>The LGBT</w:t>
      </w:r>
      <w:r w:rsidR="00AE4C40" w:rsidRPr="00B535B0">
        <w:t xml:space="preserve"> </w:t>
      </w:r>
      <w:r w:rsidR="007D0F1F" w:rsidRPr="00B535B0">
        <w:t>population</w:t>
      </w:r>
      <w:r w:rsidR="007D0F1F" w:rsidRPr="00B535B0">
        <w:rPr>
          <w:spacing w:val="-4"/>
        </w:rPr>
        <w:t xml:space="preserve"> </w:t>
      </w:r>
      <w:r w:rsidR="007D0F1F" w:rsidRPr="00B535B0">
        <w:t>is</w:t>
      </w:r>
      <w:r w:rsidR="007D0F1F" w:rsidRPr="00B535B0">
        <w:rPr>
          <w:spacing w:val="-3"/>
        </w:rPr>
        <w:t xml:space="preserve"> </w:t>
      </w:r>
      <w:r w:rsidR="007D0F1F" w:rsidRPr="00B535B0">
        <w:t>remarkably</w:t>
      </w:r>
      <w:r w:rsidR="007D0F1F" w:rsidRPr="00B535B0">
        <w:rPr>
          <w:spacing w:val="-4"/>
        </w:rPr>
        <w:t xml:space="preserve"> </w:t>
      </w:r>
      <w:r w:rsidR="007D0F1F" w:rsidRPr="00B535B0">
        <w:t>diverse</w:t>
      </w:r>
      <w:r w:rsidR="00932EDE">
        <w:t>,</w:t>
      </w:r>
      <w:r w:rsidR="007D0F1F" w:rsidRPr="00B535B0">
        <w:rPr>
          <w:spacing w:val="-6"/>
        </w:rPr>
        <w:t xml:space="preserve"> </w:t>
      </w:r>
      <w:r w:rsidR="007D0F1F" w:rsidRPr="00B535B0">
        <w:t xml:space="preserve">and </w:t>
      </w:r>
      <w:r w:rsidR="00AE4C40" w:rsidRPr="00B535B0">
        <w:t>their experiences</w:t>
      </w:r>
      <w:r w:rsidR="007D0F1F" w:rsidRPr="00B535B0">
        <w:t xml:space="preserve"> are not uniform but, rather, are shaped by factors such as race, ethnicity, socioeconomic status, geographical location, primary language, education, disability, religion, family composition, and age.</w:t>
      </w:r>
      <w:r w:rsidR="00DD4DD2" w:rsidRPr="00B535B0">
        <w:rPr>
          <w:rStyle w:val="FootnoteReference"/>
        </w:rPr>
        <w:footnoteReference w:id="7"/>
      </w:r>
      <w:r w:rsidR="00543F40">
        <w:t xml:space="preserve"> </w:t>
      </w:r>
    </w:p>
    <w:p w14:paraId="186933C5" w14:textId="7BBD8E4B" w:rsidR="003B5868" w:rsidRPr="00FA64FC" w:rsidRDefault="00AC7576" w:rsidP="00443075">
      <w:pPr>
        <w:pStyle w:val="Heading1"/>
        <w:widowControl/>
        <w:numPr>
          <w:ilvl w:val="0"/>
          <w:numId w:val="11"/>
        </w:numPr>
        <w:spacing w:before="100" w:beforeAutospacing="1" w:line="276" w:lineRule="auto"/>
        <w:rPr>
          <w:u w:val="single"/>
        </w:rPr>
      </w:pPr>
      <w:r>
        <w:rPr>
          <w:u w:val="single"/>
        </w:rPr>
        <w:t>SOGI</w:t>
      </w:r>
      <w:r w:rsidRPr="00196D06">
        <w:rPr>
          <w:u w:val="single"/>
        </w:rPr>
        <w:t xml:space="preserve"> </w:t>
      </w:r>
      <w:r w:rsidR="003B5868">
        <w:rPr>
          <w:u w:val="single"/>
        </w:rPr>
        <w:t xml:space="preserve">Data </w:t>
      </w:r>
      <w:r>
        <w:rPr>
          <w:u w:val="single"/>
        </w:rPr>
        <w:t>Advance</w:t>
      </w:r>
      <w:r w:rsidR="003B5868">
        <w:rPr>
          <w:u w:val="single"/>
        </w:rPr>
        <w:t xml:space="preserve"> </w:t>
      </w:r>
      <w:r>
        <w:rPr>
          <w:u w:val="single"/>
        </w:rPr>
        <w:t>the Mission and Purposes of HHS, UDS, and the HRSA Health Center Program</w:t>
      </w:r>
    </w:p>
    <w:p w14:paraId="2CC4370F" w14:textId="0055D093" w:rsidR="00824F20" w:rsidRDefault="00824F20" w:rsidP="00443075">
      <w:pPr>
        <w:pStyle w:val="BodyText"/>
        <w:widowControl/>
        <w:spacing w:before="100" w:beforeAutospacing="1" w:line="276" w:lineRule="auto"/>
        <w:ind w:left="0" w:firstLine="720"/>
      </w:pPr>
      <w:r>
        <w:t>The Department’s notice impacts data collected by FQHC</w:t>
      </w:r>
      <w:r w:rsidR="00074A30">
        <w:t>s</w:t>
      </w:r>
      <w:r>
        <w:t xml:space="preserve"> about the populations they serve. </w:t>
      </w:r>
      <w:r w:rsidR="00006997">
        <w:t>Health centers</w:t>
      </w:r>
      <w:r w:rsidR="008C540F">
        <w:t>, including FQHCs,</w:t>
      </w:r>
      <w:r w:rsidR="00006997" w:rsidRPr="00824F20">
        <w:t xml:space="preserve"> </w:t>
      </w:r>
      <w:r w:rsidRPr="00824F20">
        <w:t>are “</w:t>
      </w:r>
      <w:r w:rsidRPr="00514895">
        <w:t>community-based and patient-directed organizations that deliver affordable, accessible, quality, and cost-effective primary health care services to patients regardless of their ability to pay.</w:t>
      </w:r>
      <w:r>
        <w:t>”</w:t>
      </w:r>
      <w:r>
        <w:rPr>
          <w:rStyle w:val="FootnoteReference"/>
        </w:rPr>
        <w:footnoteReference w:id="8"/>
      </w:r>
      <w:r>
        <w:t xml:space="preserve"> </w:t>
      </w:r>
      <w:r w:rsidR="00007511">
        <w:t>Many</w:t>
      </w:r>
      <w:r>
        <w:t xml:space="preserve"> </w:t>
      </w:r>
      <w:r w:rsidR="00C7413A">
        <w:t xml:space="preserve">FQHCs </w:t>
      </w:r>
      <w:r w:rsidR="00007511">
        <w:t xml:space="preserve">are located in medically underserved areas, such as rural communities, or provide care directed at underserved </w:t>
      </w:r>
      <w:r w:rsidR="00007511">
        <w:lastRenderedPageBreak/>
        <w:t>populations, such as those experiencing homelessness.</w:t>
      </w:r>
      <w:r w:rsidR="000E226E">
        <w:rPr>
          <w:rStyle w:val="FootnoteReference"/>
        </w:rPr>
        <w:footnoteReference w:id="9"/>
      </w:r>
      <w:r w:rsidR="00007511">
        <w:t xml:space="preserve"> </w:t>
      </w:r>
      <w:r>
        <w:t>FQHCs include organizations receiving grants under Section 330, community-based health care providers meeting requirements of the HRSA health center program but not receiving funding (referred to as “look-alikes”), and outpatient facilities operated by tribal or urban Indian organizations.</w:t>
      </w:r>
      <w:r>
        <w:rPr>
          <w:rStyle w:val="FootnoteReference"/>
        </w:rPr>
        <w:footnoteReference w:id="10"/>
      </w:r>
      <w:r>
        <w:t xml:space="preserve">  Many FQHCs are federally funded—the </w:t>
      </w:r>
      <w:r w:rsidRPr="006634F5">
        <w:t xml:space="preserve">Department provides grants to “approximately 15,500 </w:t>
      </w:r>
      <w:r>
        <w:t>[FQHCs]</w:t>
      </w:r>
      <w:r w:rsidRPr="006634F5">
        <w:t xml:space="preserve"> that provide primary health care to more than 31 million people.”</w:t>
      </w:r>
      <w:r w:rsidRPr="006634F5">
        <w:rPr>
          <w:rStyle w:val="FootnoteReference"/>
        </w:rPr>
        <w:footnoteReference w:id="11"/>
      </w:r>
      <w:r>
        <w:t xml:space="preserve">  </w:t>
      </w:r>
    </w:p>
    <w:p w14:paraId="35E98F83" w14:textId="3D082C9C" w:rsidR="006D7106" w:rsidRDefault="003B5868" w:rsidP="00443075">
      <w:pPr>
        <w:pStyle w:val="BodyText"/>
        <w:widowControl/>
        <w:spacing w:before="100" w:beforeAutospacing="1" w:line="276" w:lineRule="auto"/>
        <w:ind w:left="0" w:firstLine="720"/>
      </w:pPr>
      <w:r>
        <w:t xml:space="preserve">As part of their compliance with federal funding requirements, </w:t>
      </w:r>
      <w:r w:rsidR="00824F20">
        <w:t xml:space="preserve">FQHCs </w:t>
      </w:r>
      <w:r>
        <w:t>are required to</w:t>
      </w:r>
      <w:r w:rsidRPr="00AE4765">
        <w:t xml:space="preserve"> report </w:t>
      </w:r>
      <w:r w:rsidRPr="00614F0B">
        <w:t>standardized information about the performance and operation of health centers delivering health care services to underserved communities and vulnerable populations</w:t>
      </w:r>
      <w:r>
        <w:t xml:space="preserve"> </w:t>
      </w:r>
      <w:r w:rsidRPr="00AE4765">
        <w:t xml:space="preserve">through the </w:t>
      </w:r>
      <w:r w:rsidR="006E07FC">
        <w:t>UDS</w:t>
      </w:r>
      <w:r>
        <w:t>.</w:t>
      </w:r>
      <w:r>
        <w:rPr>
          <w:rStyle w:val="FootnoteReference"/>
        </w:rPr>
        <w:footnoteReference w:id="12"/>
      </w:r>
      <w:r>
        <w:t xml:space="preserve"> </w:t>
      </w:r>
      <w:r w:rsidR="00B00741" w:rsidRPr="005166CD">
        <w:t>In its comment request, the Department described UDS data as aiding in the monitoring and evaluation of health centers receiving federal grants under Section 330</w:t>
      </w:r>
      <w:r w:rsidR="00E63EFD" w:rsidRPr="00E63EFD">
        <w:t xml:space="preserve"> </w:t>
      </w:r>
      <w:r w:rsidR="00E63EFD">
        <w:t>of the Public Health Service Act (PHSA)</w:t>
      </w:r>
      <w:r w:rsidR="00B00741" w:rsidRPr="005166CD">
        <w:t xml:space="preserve"> and similar grant programs.</w:t>
      </w:r>
      <w:r w:rsidR="00B00741">
        <w:rPr>
          <w:rStyle w:val="FootnoteReference"/>
        </w:rPr>
        <w:footnoteReference w:id="13"/>
      </w:r>
      <w:r w:rsidR="00B00741" w:rsidRPr="005166CD">
        <w:t xml:space="preserve"> </w:t>
      </w:r>
      <w:r w:rsidR="00B00741" w:rsidRPr="004907D7">
        <w:t xml:space="preserve">UDS data on patient characteristics and clinical conditions are used to </w:t>
      </w:r>
      <w:r w:rsidR="00B00741">
        <w:t>“</w:t>
      </w:r>
      <w:r w:rsidR="00B00741" w:rsidRPr="004907D7">
        <w:t xml:space="preserve">evaluate and improve health-center performance, ensure compliance with legislative mandates, and identify trends in health centers’ impact on expanding access, addressing health disparities, improving quality, and reducing health </w:t>
      </w:r>
      <w:r w:rsidR="00B00741" w:rsidRPr="006634F5">
        <w:t>care cost</w:t>
      </w:r>
      <w:r w:rsidR="00B00741">
        <w:t>s</w:t>
      </w:r>
      <w:r w:rsidR="00B00741" w:rsidRPr="006634F5">
        <w:t>.”</w:t>
      </w:r>
      <w:r w:rsidR="00B00741">
        <w:rPr>
          <w:rStyle w:val="FootnoteReference"/>
        </w:rPr>
        <w:footnoteReference w:id="14"/>
      </w:r>
      <w:r w:rsidR="00B15DEE">
        <w:t xml:space="preserve"> </w:t>
      </w:r>
    </w:p>
    <w:p w14:paraId="2657B860" w14:textId="04167767" w:rsidR="005F091E" w:rsidRDefault="008C5C51" w:rsidP="00443075">
      <w:pPr>
        <w:pStyle w:val="BodyText"/>
        <w:widowControl/>
        <w:spacing w:before="100" w:beforeAutospacing="1" w:line="276" w:lineRule="auto"/>
        <w:ind w:left="0" w:firstLine="720"/>
      </w:pPr>
      <w:r>
        <w:t xml:space="preserve">Data </w:t>
      </w:r>
      <w:r w:rsidR="00CC78C6">
        <w:t>collection on the</w:t>
      </w:r>
      <w:r>
        <w:t xml:space="preserve"> sexual orientation and gender identity of patients served by FQHCs is essential as </w:t>
      </w:r>
      <w:r w:rsidR="00CC78C6">
        <w:t>it</w:t>
      </w:r>
      <w:r>
        <w:t xml:space="preserve"> advance</w:t>
      </w:r>
      <w:r w:rsidR="00CC78C6">
        <w:t>s</w:t>
      </w:r>
      <w:r>
        <w:t xml:space="preserve"> the </w:t>
      </w:r>
      <w:r w:rsidR="00C7413A">
        <w:t xml:space="preserve">mission and purposes of HHS, UDS, and the HRSA health center program. </w:t>
      </w:r>
      <w:r w:rsidR="00007511">
        <w:t xml:space="preserve">Ample research indicates that LGBT people </w:t>
      </w:r>
      <w:r w:rsidR="00CC78C6">
        <w:t>experience unique barriers to</w:t>
      </w:r>
      <w:r w:rsidR="00007511">
        <w:t xml:space="preserve"> accessing health care and face health disparities compared to non-LGBT people. Research also indicates that LGBT</w:t>
      </w:r>
      <w:r w:rsidR="00CC78C6">
        <w:t xml:space="preserve"> people</w:t>
      </w:r>
      <w:r w:rsidR="00007511">
        <w:t xml:space="preserve"> are more likely to experience homelessness, poverty, and other types of economic insecurity compared to non-LGBT people. As a result, </w:t>
      </w:r>
      <w:r w:rsidR="00CC78C6">
        <w:t xml:space="preserve">many </w:t>
      </w:r>
      <w:r w:rsidR="00007511">
        <w:t xml:space="preserve">LGBT people likely rely on FQHCs, some of which </w:t>
      </w:r>
      <w:r w:rsidR="00CC78C6">
        <w:t>specifically provide health care tailored to LGBTQ populations and others of which serve underserved populations that disproportionately include LGBT people (such as people experiencing homelessness).</w:t>
      </w:r>
      <w:r w:rsidR="00CC78C6">
        <w:rPr>
          <w:rStyle w:val="FootnoteReference"/>
        </w:rPr>
        <w:footnoteReference w:id="15"/>
      </w:r>
      <w:r w:rsidR="00007511">
        <w:t xml:space="preserve"> </w:t>
      </w:r>
      <w:r w:rsidR="009F698B">
        <w:t xml:space="preserve">Therefore, the continued collection of </w:t>
      </w:r>
      <w:r w:rsidR="00CC78C6">
        <w:t xml:space="preserve">SOGI </w:t>
      </w:r>
      <w:r w:rsidR="009F698B">
        <w:t xml:space="preserve">data would assist the </w:t>
      </w:r>
      <w:r w:rsidR="00B00741">
        <w:t>Department in fulfilling</w:t>
      </w:r>
      <w:r w:rsidR="002D4EF9">
        <w:t xml:space="preserve"> its stated goals on </w:t>
      </w:r>
      <w:r w:rsidR="0047278A">
        <w:t>program evaluation</w:t>
      </w:r>
      <w:r w:rsidR="00504822">
        <w:t xml:space="preserve"> and identifying trends in health </w:t>
      </w:r>
      <w:r w:rsidR="0023072F">
        <w:t>care access and health disparities</w:t>
      </w:r>
      <w:r w:rsidR="0008568E">
        <w:t>, particularly amongst medically underserved populations served by FQHCs</w:t>
      </w:r>
      <w:r w:rsidR="0023072F">
        <w:t>.</w:t>
      </w:r>
      <w:r w:rsidR="00B00741">
        <w:t xml:space="preserve"> </w:t>
      </w:r>
    </w:p>
    <w:p w14:paraId="3943A2E9" w14:textId="593B4C07" w:rsidR="000D0B87" w:rsidRPr="00196D06" w:rsidRDefault="00CC78C6" w:rsidP="00443075">
      <w:pPr>
        <w:pStyle w:val="Heading1"/>
        <w:widowControl/>
        <w:numPr>
          <w:ilvl w:val="1"/>
          <w:numId w:val="11"/>
        </w:numPr>
        <w:tabs>
          <w:tab w:val="left" w:pos="1180"/>
        </w:tabs>
        <w:spacing w:before="100" w:beforeAutospacing="1" w:line="276" w:lineRule="auto"/>
        <w:rPr>
          <w:u w:val="single"/>
        </w:rPr>
      </w:pPr>
      <w:r>
        <w:rPr>
          <w:u w:val="single"/>
        </w:rPr>
        <w:lastRenderedPageBreak/>
        <w:t>LGBT People Experience Unique Barriers to Accessing Health Care</w:t>
      </w:r>
    </w:p>
    <w:p w14:paraId="5E1B592D" w14:textId="6C4DA785" w:rsidR="003D55BA" w:rsidRDefault="005F29C6" w:rsidP="00C6471D">
      <w:pPr>
        <w:spacing w:before="100" w:beforeAutospacing="1" w:line="276" w:lineRule="auto"/>
        <w:ind w:firstLine="720"/>
        <w:rPr>
          <w:sz w:val="24"/>
          <w:szCs w:val="24"/>
        </w:rPr>
      </w:pPr>
      <w:r>
        <w:rPr>
          <w:sz w:val="24"/>
          <w:szCs w:val="24"/>
        </w:rPr>
        <w:t xml:space="preserve">Ample evidence </w:t>
      </w:r>
      <w:r w:rsidR="00122133">
        <w:rPr>
          <w:sz w:val="24"/>
          <w:szCs w:val="24"/>
        </w:rPr>
        <w:t xml:space="preserve">shows </w:t>
      </w:r>
      <w:r w:rsidR="00122133" w:rsidRPr="00122133">
        <w:rPr>
          <w:sz w:val="24"/>
          <w:szCs w:val="24"/>
        </w:rPr>
        <w:t xml:space="preserve">LGBT adults face barriers in accessing </w:t>
      </w:r>
      <w:r w:rsidR="00BC46B7">
        <w:rPr>
          <w:sz w:val="24"/>
          <w:szCs w:val="24"/>
        </w:rPr>
        <w:t>medical</w:t>
      </w:r>
      <w:r w:rsidR="00122133" w:rsidRPr="00122133">
        <w:rPr>
          <w:sz w:val="24"/>
          <w:szCs w:val="24"/>
        </w:rPr>
        <w:t xml:space="preserve"> care</w:t>
      </w:r>
      <w:r w:rsidR="00122133">
        <w:rPr>
          <w:sz w:val="24"/>
          <w:szCs w:val="24"/>
        </w:rPr>
        <w:t>.</w:t>
      </w:r>
      <w:r w:rsidR="00AA0F1C">
        <w:rPr>
          <w:rStyle w:val="FootnoteReference"/>
          <w:sz w:val="24"/>
          <w:szCs w:val="24"/>
        </w:rPr>
        <w:footnoteReference w:id="16"/>
      </w:r>
      <w:r w:rsidR="00CC78C6">
        <w:rPr>
          <w:sz w:val="24"/>
          <w:szCs w:val="24"/>
        </w:rPr>
        <w:t xml:space="preserve"> For example, o</w:t>
      </w:r>
      <w:r w:rsidR="006031F7">
        <w:rPr>
          <w:sz w:val="24"/>
          <w:szCs w:val="24"/>
        </w:rPr>
        <w:t xml:space="preserve">ne analysis </w:t>
      </w:r>
      <w:r w:rsidR="00435BEB">
        <w:rPr>
          <w:sz w:val="24"/>
          <w:szCs w:val="24"/>
        </w:rPr>
        <w:t xml:space="preserve">using 2022 </w:t>
      </w:r>
      <w:r w:rsidR="00CC78C6">
        <w:rPr>
          <w:sz w:val="24"/>
          <w:szCs w:val="24"/>
        </w:rPr>
        <w:t>BRFSS</w:t>
      </w:r>
      <w:r w:rsidR="00435BEB">
        <w:rPr>
          <w:sz w:val="24"/>
          <w:szCs w:val="24"/>
        </w:rPr>
        <w:t xml:space="preserve"> data found that </w:t>
      </w:r>
      <w:r w:rsidR="00435BEB" w:rsidRPr="008B58E3">
        <w:rPr>
          <w:sz w:val="24"/>
          <w:szCs w:val="24"/>
        </w:rPr>
        <w:t>sexual minority women</w:t>
      </w:r>
      <w:r w:rsidR="00435BEB">
        <w:rPr>
          <w:sz w:val="24"/>
          <w:szCs w:val="24"/>
        </w:rPr>
        <w:t xml:space="preserve"> </w:t>
      </w:r>
      <w:r w:rsidR="001024A0">
        <w:rPr>
          <w:sz w:val="24"/>
          <w:szCs w:val="24"/>
        </w:rPr>
        <w:t xml:space="preserve">reported worse access to care across all measures when compared to heterosexual women, </w:t>
      </w:r>
      <w:r w:rsidR="00CC78C6">
        <w:rPr>
          <w:sz w:val="24"/>
          <w:szCs w:val="24"/>
        </w:rPr>
        <w:t>and LGB men and women</w:t>
      </w:r>
      <w:r w:rsidR="001024A0">
        <w:rPr>
          <w:sz w:val="24"/>
          <w:szCs w:val="24"/>
        </w:rPr>
        <w:t xml:space="preserve"> were more likely to report not being able to afford medical care than </w:t>
      </w:r>
      <w:r w:rsidR="00CC78C6">
        <w:rPr>
          <w:sz w:val="24"/>
          <w:szCs w:val="24"/>
        </w:rPr>
        <w:t>their non-LGB counterparts</w:t>
      </w:r>
      <w:r w:rsidR="001024A0">
        <w:rPr>
          <w:sz w:val="24"/>
          <w:szCs w:val="24"/>
        </w:rPr>
        <w:t>.</w:t>
      </w:r>
      <w:r w:rsidR="001024A0">
        <w:rPr>
          <w:rStyle w:val="FootnoteReference"/>
          <w:sz w:val="24"/>
          <w:szCs w:val="24"/>
        </w:rPr>
        <w:footnoteReference w:id="17"/>
      </w:r>
      <w:r w:rsidR="00B51A33">
        <w:rPr>
          <w:sz w:val="24"/>
          <w:szCs w:val="24"/>
        </w:rPr>
        <w:t xml:space="preserve"> Research suggests that these disparities have persisted for years. An analysis of the 2013 National Health Interview Survey (NHIS) found that LGB adults were more likely to delay or not receive health care due to cost when compared to their heterosexual counterparts.</w:t>
      </w:r>
      <w:r w:rsidR="00B51A33">
        <w:rPr>
          <w:rStyle w:val="FootnoteReference"/>
          <w:sz w:val="24"/>
          <w:szCs w:val="24"/>
        </w:rPr>
        <w:footnoteReference w:id="18"/>
      </w:r>
      <w:r w:rsidR="001024A0">
        <w:rPr>
          <w:sz w:val="24"/>
          <w:szCs w:val="24"/>
        </w:rPr>
        <w:t xml:space="preserve"> </w:t>
      </w:r>
      <w:r w:rsidR="00B51A33">
        <w:rPr>
          <w:sz w:val="24"/>
          <w:szCs w:val="24"/>
        </w:rPr>
        <w:t>Among transgender adults</w:t>
      </w:r>
      <w:r w:rsidR="002D313F">
        <w:rPr>
          <w:sz w:val="24"/>
          <w:szCs w:val="24"/>
        </w:rPr>
        <w:t>, the 2022 U.S. Transgender Survey found that 28% of respondents had not seen a healthcare provider in the year prior because of cost</w:t>
      </w:r>
      <w:r w:rsidR="00557E32">
        <w:rPr>
          <w:sz w:val="24"/>
          <w:szCs w:val="24"/>
        </w:rPr>
        <w:t>,</w:t>
      </w:r>
      <w:r w:rsidR="002D313F">
        <w:rPr>
          <w:sz w:val="24"/>
          <w:szCs w:val="24"/>
        </w:rPr>
        <w:t xml:space="preserve"> </w:t>
      </w:r>
      <w:r w:rsidR="00557E32">
        <w:rPr>
          <w:sz w:val="24"/>
          <w:szCs w:val="24"/>
        </w:rPr>
        <w:t xml:space="preserve">and </w:t>
      </w:r>
      <w:r w:rsidR="002D313F">
        <w:rPr>
          <w:sz w:val="24"/>
          <w:szCs w:val="24"/>
        </w:rPr>
        <w:t>43% of respondents did not receive any routine reproductive healthcare.</w:t>
      </w:r>
      <w:r w:rsidR="002D313F" w:rsidRPr="004A605F">
        <w:rPr>
          <w:rStyle w:val="FootnoteReference"/>
          <w:sz w:val="24"/>
          <w:szCs w:val="24"/>
        </w:rPr>
        <w:footnoteReference w:id="19"/>
      </w:r>
      <w:r w:rsidR="002D313F" w:rsidRPr="004A605F">
        <w:rPr>
          <w:sz w:val="24"/>
          <w:szCs w:val="24"/>
        </w:rPr>
        <w:t xml:space="preserve"> </w:t>
      </w:r>
    </w:p>
    <w:p w14:paraId="3244B802" w14:textId="16FE242D" w:rsidR="00F97C80" w:rsidRDefault="00740AEC" w:rsidP="00443075">
      <w:pPr>
        <w:widowControl/>
        <w:spacing w:before="100" w:beforeAutospacing="1" w:line="276" w:lineRule="auto"/>
        <w:ind w:firstLine="720"/>
        <w:rPr>
          <w:sz w:val="24"/>
          <w:szCs w:val="24"/>
        </w:rPr>
      </w:pPr>
      <w:r>
        <w:rPr>
          <w:sz w:val="24"/>
          <w:szCs w:val="24"/>
        </w:rPr>
        <w:t>A</w:t>
      </w:r>
      <w:r w:rsidR="00C03DA0">
        <w:rPr>
          <w:sz w:val="24"/>
          <w:szCs w:val="24"/>
        </w:rPr>
        <w:t xml:space="preserve"> </w:t>
      </w:r>
      <w:r w:rsidR="00557E32">
        <w:rPr>
          <w:sz w:val="24"/>
          <w:szCs w:val="24"/>
        </w:rPr>
        <w:t xml:space="preserve">2022 </w:t>
      </w:r>
      <w:r w:rsidR="00C03DA0">
        <w:rPr>
          <w:sz w:val="24"/>
          <w:szCs w:val="24"/>
        </w:rPr>
        <w:t>Williams Institute</w:t>
      </w:r>
      <w:r w:rsidR="00B61E4E">
        <w:rPr>
          <w:sz w:val="24"/>
          <w:szCs w:val="24"/>
        </w:rPr>
        <w:t xml:space="preserve"> a</w:t>
      </w:r>
      <w:r w:rsidR="002C4B2B">
        <w:rPr>
          <w:sz w:val="24"/>
          <w:szCs w:val="24"/>
        </w:rPr>
        <w:t>n</w:t>
      </w:r>
      <w:r w:rsidR="00B61E4E">
        <w:rPr>
          <w:sz w:val="24"/>
          <w:szCs w:val="24"/>
        </w:rPr>
        <w:t>d UCLA Center for Health Policy Research</w:t>
      </w:r>
      <w:r w:rsidR="00C03DA0">
        <w:rPr>
          <w:sz w:val="24"/>
          <w:szCs w:val="24"/>
        </w:rPr>
        <w:t xml:space="preserve"> study using data from the California Health Interview Study</w:t>
      </w:r>
      <w:r w:rsidR="00BC46B7">
        <w:rPr>
          <w:sz w:val="24"/>
          <w:szCs w:val="24"/>
        </w:rPr>
        <w:t xml:space="preserve"> (CHIS)</w:t>
      </w:r>
      <w:r w:rsidR="00C03DA0">
        <w:rPr>
          <w:sz w:val="24"/>
          <w:szCs w:val="24"/>
        </w:rPr>
        <w:t xml:space="preserve"> found </w:t>
      </w:r>
      <w:r w:rsidR="00600E14">
        <w:rPr>
          <w:sz w:val="24"/>
          <w:szCs w:val="24"/>
        </w:rPr>
        <w:t xml:space="preserve">important differences within the LGBT community as well, with </w:t>
      </w:r>
      <w:r w:rsidR="00A47359">
        <w:rPr>
          <w:sz w:val="24"/>
          <w:szCs w:val="24"/>
        </w:rPr>
        <w:t xml:space="preserve">bisexual </w:t>
      </w:r>
      <w:r w:rsidR="00706B5B">
        <w:rPr>
          <w:sz w:val="24"/>
          <w:szCs w:val="24"/>
        </w:rPr>
        <w:t>men and women being the most likely of all groups to report not having a usual source of health care</w:t>
      </w:r>
      <w:r w:rsidR="00DE2A71">
        <w:rPr>
          <w:sz w:val="24"/>
          <w:szCs w:val="24"/>
        </w:rPr>
        <w:t xml:space="preserve"> (27% and 24%, respectively)</w:t>
      </w:r>
      <w:r w:rsidR="00706B5B">
        <w:rPr>
          <w:sz w:val="24"/>
          <w:szCs w:val="24"/>
        </w:rPr>
        <w:t xml:space="preserve"> and one-third </w:t>
      </w:r>
      <w:r w:rsidR="00C03DA0">
        <w:rPr>
          <w:sz w:val="24"/>
          <w:szCs w:val="24"/>
        </w:rPr>
        <w:t xml:space="preserve">of transgender people in California </w:t>
      </w:r>
      <w:r w:rsidR="00706B5B">
        <w:rPr>
          <w:sz w:val="24"/>
          <w:szCs w:val="24"/>
        </w:rPr>
        <w:t xml:space="preserve">reporting that they </w:t>
      </w:r>
      <w:r w:rsidR="00C03DA0">
        <w:rPr>
          <w:sz w:val="24"/>
          <w:szCs w:val="24"/>
        </w:rPr>
        <w:t>delayed or did not get needed healthcare.</w:t>
      </w:r>
      <w:r w:rsidR="00C03DA0">
        <w:rPr>
          <w:rStyle w:val="FootnoteReference"/>
          <w:sz w:val="24"/>
          <w:szCs w:val="24"/>
        </w:rPr>
        <w:footnoteReference w:id="20"/>
      </w:r>
      <w:r w:rsidR="00774C73">
        <w:rPr>
          <w:sz w:val="24"/>
          <w:szCs w:val="24"/>
        </w:rPr>
        <w:t xml:space="preserve"> </w:t>
      </w:r>
      <w:r w:rsidR="002B275A">
        <w:rPr>
          <w:sz w:val="24"/>
          <w:szCs w:val="24"/>
        </w:rPr>
        <w:t>Additionally,</w:t>
      </w:r>
      <w:r w:rsidR="0001342B">
        <w:rPr>
          <w:sz w:val="24"/>
          <w:szCs w:val="24"/>
        </w:rPr>
        <w:t xml:space="preserve"> data from </w:t>
      </w:r>
      <w:r w:rsidR="001974C3">
        <w:rPr>
          <w:sz w:val="24"/>
          <w:szCs w:val="24"/>
        </w:rPr>
        <w:t xml:space="preserve">the </w:t>
      </w:r>
      <w:r w:rsidR="0001342B">
        <w:rPr>
          <w:sz w:val="24"/>
          <w:szCs w:val="24"/>
        </w:rPr>
        <w:t>BRFSS</w:t>
      </w:r>
      <w:r w:rsidR="001974C3">
        <w:rPr>
          <w:sz w:val="24"/>
          <w:szCs w:val="24"/>
        </w:rPr>
        <w:t xml:space="preserve"> showed</w:t>
      </w:r>
      <w:r w:rsidR="001B7FE4">
        <w:rPr>
          <w:sz w:val="24"/>
          <w:szCs w:val="24"/>
        </w:rPr>
        <w:t xml:space="preserve"> that</w:t>
      </w:r>
      <w:r w:rsidR="00CC41F6">
        <w:rPr>
          <w:sz w:val="24"/>
          <w:szCs w:val="24"/>
        </w:rPr>
        <w:t>,</w:t>
      </w:r>
      <w:r w:rsidR="001974C3">
        <w:rPr>
          <w:sz w:val="24"/>
          <w:szCs w:val="24"/>
        </w:rPr>
        <w:t xml:space="preserve"> compared to </w:t>
      </w:r>
      <w:r w:rsidR="00622AEF">
        <w:rPr>
          <w:sz w:val="24"/>
          <w:szCs w:val="24"/>
        </w:rPr>
        <w:t xml:space="preserve">straight women, LBQ women were significantly less likely to have </w:t>
      </w:r>
      <w:r w:rsidR="00F25341">
        <w:rPr>
          <w:sz w:val="24"/>
          <w:szCs w:val="24"/>
        </w:rPr>
        <w:t xml:space="preserve">received </w:t>
      </w:r>
      <w:r w:rsidR="00AD502B" w:rsidRPr="00AD502B">
        <w:rPr>
          <w:sz w:val="24"/>
          <w:szCs w:val="24"/>
        </w:rPr>
        <w:t>screenings for reproductive-related cancers such as cervical and breast cancer</w:t>
      </w:r>
      <w:r w:rsidR="0095050E">
        <w:rPr>
          <w:sz w:val="24"/>
          <w:szCs w:val="24"/>
        </w:rPr>
        <w:t>.</w:t>
      </w:r>
      <w:r w:rsidR="000C1427">
        <w:rPr>
          <w:rStyle w:val="FootnoteReference"/>
          <w:sz w:val="24"/>
          <w:szCs w:val="24"/>
        </w:rPr>
        <w:footnoteReference w:id="21"/>
      </w:r>
      <w:r w:rsidR="0095050E">
        <w:rPr>
          <w:sz w:val="24"/>
          <w:szCs w:val="24"/>
        </w:rPr>
        <w:t xml:space="preserve"> </w:t>
      </w:r>
      <w:r w:rsidR="00751AA9" w:rsidRPr="004A605F">
        <w:rPr>
          <w:sz w:val="24"/>
          <w:szCs w:val="24"/>
        </w:rPr>
        <w:t xml:space="preserve">Amongst </w:t>
      </w:r>
      <w:r w:rsidR="00FE7515" w:rsidRPr="004A605F">
        <w:rPr>
          <w:sz w:val="24"/>
          <w:szCs w:val="24"/>
        </w:rPr>
        <w:t xml:space="preserve">older </w:t>
      </w:r>
      <w:r w:rsidR="00751AA9" w:rsidRPr="004A605F">
        <w:rPr>
          <w:sz w:val="24"/>
          <w:szCs w:val="24"/>
        </w:rPr>
        <w:t>adults</w:t>
      </w:r>
      <w:r w:rsidR="004A605F" w:rsidRPr="004A605F">
        <w:rPr>
          <w:sz w:val="24"/>
          <w:szCs w:val="24"/>
        </w:rPr>
        <w:t xml:space="preserve">, </w:t>
      </w:r>
      <w:r w:rsidR="00751AA9" w:rsidRPr="004A605F">
        <w:rPr>
          <w:sz w:val="24"/>
          <w:szCs w:val="24"/>
        </w:rPr>
        <w:t>an analysis</w:t>
      </w:r>
      <w:r w:rsidR="008728AA" w:rsidRPr="004A605F">
        <w:rPr>
          <w:sz w:val="24"/>
          <w:szCs w:val="24"/>
        </w:rPr>
        <w:t xml:space="preserve"> of</w:t>
      </w:r>
      <w:r w:rsidR="00751AA9" w:rsidRPr="004A605F">
        <w:rPr>
          <w:sz w:val="24"/>
          <w:szCs w:val="24"/>
        </w:rPr>
        <w:t xml:space="preserve"> 2021-2022 Census Household Pulse Survey data showed 15.7% of LGBT </w:t>
      </w:r>
      <w:r w:rsidR="004A605F" w:rsidRPr="004A605F">
        <w:rPr>
          <w:sz w:val="24"/>
          <w:szCs w:val="24"/>
        </w:rPr>
        <w:t xml:space="preserve">50-64 year olds </w:t>
      </w:r>
      <w:r w:rsidR="00751AA9" w:rsidRPr="004A605F">
        <w:rPr>
          <w:sz w:val="24"/>
          <w:szCs w:val="24"/>
        </w:rPr>
        <w:t>did not get needed care from a mental health professional in the past four weeks</w:t>
      </w:r>
      <w:r w:rsidR="004A605F" w:rsidRPr="004A605F">
        <w:rPr>
          <w:sz w:val="24"/>
          <w:szCs w:val="24"/>
        </w:rPr>
        <w:t>, compared to 8.2% of non-LGBT people in the same age bracket</w:t>
      </w:r>
      <w:r w:rsidR="00751AA9" w:rsidRPr="004A605F">
        <w:rPr>
          <w:sz w:val="24"/>
          <w:szCs w:val="24"/>
        </w:rPr>
        <w:t>.</w:t>
      </w:r>
      <w:r w:rsidR="00751AA9" w:rsidRPr="004A605F">
        <w:rPr>
          <w:rStyle w:val="FootnoteReference"/>
          <w:sz w:val="24"/>
          <w:szCs w:val="24"/>
        </w:rPr>
        <w:footnoteReference w:id="22"/>
      </w:r>
    </w:p>
    <w:p w14:paraId="204197F2" w14:textId="1C5E3117" w:rsidR="00C03DA0" w:rsidRDefault="00830748" w:rsidP="009719E8">
      <w:pPr>
        <w:widowControl/>
        <w:spacing w:before="100" w:beforeAutospacing="1" w:line="276" w:lineRule="auto"/>
        <w:ind w:firstLine="720"/>
        <w:rPr>
          <w:sz w:val="24"/>
          <w:szCs w:val="24"/>
        </w:rPr>
      </w:pPr>
      <w:r>
        <w:rPr>
          <w:sz w:val="24"/>
          <w:szCs w:val="24"/>
        </w:rPr>
        <w:lastRenderedPageBreak/>
        <w:t>E</w:t>
      </w:r>
      <w:r w:rsidR="00390D4D">
        <w:rPr>
          <w:sz w:val="24"/>
          <w:szCs w:val="24"/>
        </w:rPr>
        <w:t xml:space="preserve">xperiences of </w:t>
      </w:r>
      <w:r w:rsidR="00F97C80">
        <w:rPr>
          <w:sz w:val="24"/>
          <w:szCs w:val="24"/>
        </w:rPr>
        <w:t>discrimination</w:t>
      </w:r>
      <w:r w:rsidR="001E2B12">
        <w:rPr>
          <w:sz w:val="24"/>
          <w:szCs w:val="24"/>
        </w:rPr>
        <w:t xml:space="preserve"> play a role in </w:t>
      </w:r>
      <w:r w:rsidR="00390D4D">
        <w:rPr>
          <w:sz w:val="24"/>
          <w:szCs w:val="24"/>
        </w:rPr>
        <w:t>creating this disparity</w:t>
      </w:r>
      <w:r w:rsidR="00F97C80">
        <w:rPr>
          <w:sz w:val="24"/>
          <w:szCs w:val="24"/>
        </w:rPr>
        <w:t>.</w:t>
      </w:r>
      <w:r w:rsidR="003D26DA">
        <w:rPr>
          <w:rStyle w:val="FootnoteReference"/>
          <w:sz w:val="24"/>
          <w:szCs w:val="24"/>
        </w:rPr>
        <w:footnoteReference w:id="23"/>
      </w:r>
      <w:r w:rsidR="00B31F7D">
        <w:rPr>
          <w:sz w:val="24"/>
          <w:szCs w:val="24"/>
        </w:rPr>
        <w:t xml:space="preserve"> </w:t>
      </w:r>
      <w:r w:rsidR="00774C73">
        <w:rPr>
          <w:sz w:val="24"/>
          <w:szCs w:val="24"/>
        </w:rPr>
        <w:t xml:space="preserve">Among respondents to the </w:t>
      </w:r>
      <w:r w:rsidR="00774C73" w:rsidRPr="00774C73">
        <w:rPr>
          <w:sz w:val="24"/>
          <w:szCs w:val="24"/>
        </w:rPr>
        <w:t xml:space="preserve">Williams Institute’s </w:t>
      </w:r>
      <w:r w:rsidR="00F15820">
        <w:rPr>
          <w:sz w:val="24"/>
          <w:szCs w:val="24"/>
        </w:rPr>
        <w:t xml:space="preserve">national probability </w:t>
      </w:r>
      <w:r w:rsidR="0001342B">
        <w:rPr>
          <w:sz w:val="24"/>
          <w:szCs w:val="24"/>
        </w:rPr>
        <w:t>surveys</w:t>
      </w:r>
      <w:r w:rsidR="00124400">
        <w:rPr>
          <w:sz w:val="24"/>
          <w:szCs w:val="24"/>
        </w:rPr>
        <w:t xml:space="preserve"> conducted in 2016-2018</w:t>
      </w:r>
      <w:r w:rsidR="00082AEF">
        <w:rPr>
          <w:sz w:val="24"/>
          <w:szCs w:val="24"/>
        </w:rPr>
        <w:t>,</w:t>
      </w:r>
      <w:r w:rsidR="00F15820">
        <w:rPr>
          <w:sz w:val="24"/>
          <w:szCs w:val="24"/>
        </w:rPr>
        <w:t xml:space="preserve"> </w:t>
      </w:r>
      <w:r w:rsidR="00774C73" w:rsidRPr="00774C73">
        <w:rPr>
          <w:sz w:val="24"/>
          <w:szCs w:val="24"/>
        </w:rPr>
        <w:t xml:space="preserve">Generations and </w:t>
      </w:r>
      <w:proofErr w:type="spellStart"/>
      <w:r w:rsidR="00774C73" w:rsidRPr="00774C73">
        <w:rPr>
          <w:sz w:val="24"/>
          <w:szCs w:val="24"/>
        </w:rPr>
        <w:t>TransPop</w:t>
      </w:r>
      <w:proofErr w:type="spellEnd"/>
      <w:r w:rsidR="006C5026">
        <w:rPr>
          <w:sz w:val="24"/>
          <w:szCs w:val="24"/>
        </w:rPr>
        <w:t xml:space="preserve">, </w:t>
      </w:r>
      <w:r w:rsidR="009A08BA">
        <w:rPr>
          <w:sz w:val="24"/>
          <w:szCs w:val="24"/>
        </w:rPr>
        <w:t>almost 40%</w:t>
      </w:r>
      <w:r w:rsidR="006C5026">
        <w:rPr>
          <w:sz w:val="24"/>
          <w:szCs w:val="24"/>
        </w:rPr>
        <w:t xml:space="preserve"> of sexual minority and </w:t>
      </w:r>
      <w:r w:rsidR="009A08BA">
        <w:rPr>
          <w:sz w:val="24"/>
          <w:szCs w:val="24"/>
        </w:rPr>
        <w:t>60%</w:t>
      </w:r>
      <w:r w:rsidR="006C5026">
        <w:rPr>
          <w:sz w:val="24"/>
          <w:szCs w:val="24"/>
        </w:rPr>
        <w:t xml:space="preserve"> of transgender people report</w:t>
      </w:r>
      <w:r w:rsidR="00CF55BB">
        <w:rPr>
          <w:sz w:val="24"/>
          <w:szCs w:val="24"/>
        </w:rPr>
        <w:t xml:space="preserve">ed worrying about being negatively </w:t>
      </w:r>
      <w:r w:rsidR="00CF55BB">
        <w:rPr>
          <w:sz w:val="24"/>
          <w:szCs w:val="24"/>
        </w:rPr>
        <w:t>judged in interactions with a health care provider.</w:t>
      </w:r>
      <w:r w:rsidR="00CF55BB">
        <w:rPr>
          <w:rStyle w:val="FootnoteReference"/>
          <w:sz w:val="24"/>
          <w:szCs w:val="24"/>
        </w:rPr>
        <w:footnoteReference w:id="24"/>
      </w:r>
      <w:r w:rsidR="00843A49">
        <w:rPr>
          <w:sz w:val="24"/>
          <w:szCs w:val="24"/>
        </w:rPr>
        <w:t xml:space="preserve"> </w:t>
      </w:r>
      <w:r w:rsidR="0001342B">
        <w:rPr>
          <w:sz w:val="24"/>
          <w:szCs w:val="24"/>
        </w:rPr>
        <w:t>Another 2017 study based on a</w:t>
      </w:r>
      <w:r w:rsidR="00843A49">
        <w:rPr>
          <w:sz w:val="24"/>
          <w:szCs w:val="24"/>
        </w:rPr>
        <w:t xml:space="preserve"> </w:t>
      </w:r>
      <w:r w:rsidR="00843A49" w:rsidRPr="00843A49">
        <w:rPr>
          <w:sz w:val="24"/>
          <w:szCs w:val="24"/>
        </w:rPr>
        <w:t xml:space="preserve">national probability survey </w:t>
      </w:r>
      <w:r w:rsidR="0001342B">
        <w:rPr>
          <w:sz w:val="24"/>
          <w:szCs w:val="24"/>
        </w:rPr>
        <w:t>found</w:t>
      </w:r>
      <w:r w:rsidR="0001342B" w:rsidRPr="00843A49">
        <w:rPr>
          <w:sz w:val="24"/>
          <w:szCs w:val="24"/>
        </w:rPr>
        <w:t xml:space="preserve"> </w:t>
      </w:r>
      <w:r w:rsidR="00843A49" w:rsidRPr="00843A49">
        <w:rPr>
          <w:sz w:val="24"/>
          <w:szCs w:val="24"/>
        </w:rPr>
        <w:t xml:space="preserve">that 18% of LGBTQ people reported </w:t>
      </w:r>
      <w:r w:rsidR="003330E0">
        <w:rPr>
          <w:sz w:val="24"/>
          <w:szCs w:val="24"/>
        </w:rPr>
        <w:t xml:space="preserve">actually </w:t>
      </w:r>
      <w:r w:rsidR="00843A49" w:rsidRPr="00546FA2">
        <w:rPr>
          <w:sz w:val="24"/>
          <w:szCs w:val="24"/>
        </w:rPr>
        <w:t xml:space="preserve">avoiding </w:t>
      </w:r>
      <w:r w:rsidR="00843A49" w:rsidRPr="00843A49">
        <w:rPr>
          <w:sz w:val="24"/>
          <w:szCs w:val="24"/>
        </w:rPr>
        <w:t xml:space="preserve">health care due to perceived </w:t>
      </w:r>
      <w:r w:rsidR="00843A49" w:rsidRPr="00843A49">
        <w:rPr>
          <w:sz w:val="24"/>
          <w:szCs w:val="24"/>
        </w:rPr>
        <w:t>discrimination</w:t>
      </w:r>
      <w:r w:rsidR="00843A49">
        <w:rPr>
          <w:sz w:val="24"/>
          <w:szCs w:val="24"/>
        </w:rPr>
        <w:t>.</w:t>
      </w:r>
      <w:r w:rsidR="00843A49">
        <w:rPr>
          <w:rStyle w:val="FootnoteReference"/>
          <w:sz w:val="24"/>
          <w:szCs w:val="24"/>
        </w:rPr>
        <w:footnoteReference w:id="25"/>
      </w:r>
      <w:r w:rsidR="00F97C80">
        <w:rPr>
          <w:sz w:val="24"/>
          <w:szCs w:val="24"/>
        </w:rPr>
        <w:t xml:space="preserve"> </w:t>
      </w:r>
      <w:r w:rsidR="00F97C80" w:rsidRPr="00F97C80">
        <w:rPr>
          <w:sz w:val="24"/>
          <w:szCs w:val="24"/>
        </w:rPr>
        <w:t xml:space="preserve">In addition, 8% of all LGBT respondents </w:t>
      </w:r>
      <w:r w:rsidR="00937B76">
        <w:rPr>
          <w:sz w:val="24"/>
          <w:szCs w:val="24"/>
        </w:rPr>
        <w:t xml:space="preserve">to </w:t>
      </w:r>
      <w:r w:rsidR="00CA6901">
        <w:rPr>
          <w:sz w:val="24"/>
          <w:szCs w:val="24"/>
        </w:rPr>
        <w:t xml:space="preserve">a 2018 </w:t>
      </w:r>
      <w:r w:rsidR="00937B76">
        <w:rPr>
          <w:sz w:val="24"/>
          <w:szCs w:val="24"/>
        </w:rPr>
        <w:t>Center for American Progress</w:t>
      </w:r>
      <w:r w:rsidR="00F97C80" w:rsidRPr="00F97C80">
        <w:rPr>
          <w:sz w:val="24"/>
          <w:szCs w:val="24"/>
        </w:rPr>
        <w:t xml:space="preserve"> </w:t>
      </w:r>
      <w:r w:rsidR="00937B76">
        <w:rPr>
          <w:sz w:val="24"/>
          <w:szCs w:val="24"/>
        </w:rPr>
        <w:t>s</w:t>
      </w:r>
      <w:r w:rsidR="00F97C80" w:rsidRPr="00F97C80">
        <w:rPr>
          <w:sz w:val="24"/>
          <w:szCs w:val="24"/>
        </w:rPr>
        <w:t>tudy avoided or postponed needed medical care because of disrespect or</w:t>
      </w:r>
      <w:r w:rsidR="00F97C80">
        <w:rPr>
          <w:sz w:val="24"/>
          <w:szCs w:val="24"/>
        </w:rPr>
        <w:t xml:space="preserve"> </w:t>
      </w:r>
      <w:r w:rsidR="00F97C80" w:rsidRPr="00F97C80">
        <w:rPr>
          <w:sz w:val="24"/>
          <w:szCs w:val="24"/>
        </w:rPr>
        <w:t>discrimination</w:t>
      </w:r>
      <w:r w:rsidR="00F97C80">
        <w:rPr>
          <w:sz w:val="24"/>
          <w:szCs w:val="24"/>
        </w:rPr>
        <w:t xml:space="preserve"> </w:t>
      </w:r>
      <w:r w:rsidR="00F97C80" w:rsidRPr="00F97C80">
        <w:rPr>
          <w:sz w:val="24"/>
          <w:szCs w:val="24"/>
        </w:rPr>
        <w:t>from health care staff; that figure rose to 14% among those who had experienced discrimination</w:t>
      </w:r>
      <w:r w:rsidR="00F97C80">
        <w:rPr>
          <w:sz w:val="24"/>
          <w:szCs w:val="24"/>
        </w:rPr>
        <w:t xml:space="preserve"> </w:t>
      </w:r>
      <w:r w:rsidR="00F97C80" w:rsidRPr="00F97C80">
        <w:rPr>
          <w:sz w:val="24"/>
          <w:szCs w:val="24"/>
        </w:rPr>
        <w:t>on the basis of their SOGI in the past year.</w:t>
      </w:r>
      <w:r w:rsidR="00F97C80">
        <w:rPr>
          <w:rStyle w:val="FootnoteReference"/>
          <w:sz w:val="24"/>
          <w:szCs w:val="24"/>
        </w:rPr>
        <w:footnoteReference w:id="26"/>
      </w:r>
      <w:r w:rsidR="00F97C80" w:rsidRPr="00F97C80">
        <w:rPr>
          <w:sz w:val="24"/>
          <w:szCs w:val="24"/>
        </w:rPr>
        <w:t xml:space="preserve"> The reports of discrimination were not distributed</w:t>
      </w:r>
      <w:r w:rsidR="00F97C80">
        <w:rPr>
          <w:sz w:val="24"/>
          <w:szCs w:val="24"/>
        </w:rPr>
        <w:t xml:space="preserve"> </w:t>
      </w:r>
      <w:r w:rsidR="00F97C80" w:rsidRPr="00F97C80">
        <w:rPr>
          <w:sz w:val="24"/>
          <w:szCs w:val="24"/>
        </w:rPr>
        <w:t>equally among LGBT respondents, with 22% of transgender people surveyed reporting avoiding</w:t>
      </w:r>
      <w:r w:rsidR="00F97C80">
        <w:rPr>
          <w:sz w:val="24"/>
          <w:szCs w:val="24"/>
        </w:rPr>
        <w:t xml:space="preserve"> </w:t>
      </w:r>
      <w:r w:rsidR="00F97C80" w:rsidRPr="00F97C80">
        <w:rPr>
          <w:sz w:val="24"/>
          <w:szCs w:val="24"/>
        </w:rPr>
        <w:t>care within the past year because of SOGI-based discrimination.</w:t>
      </w:r>
      <w:r w:rsidR="00F97C80">
        <w:rPr>
          <w:rStyle w:val="FootnoteReference"/>
          <w:sz w:val="24"/>
          <w:szCs w:val="24"/>
        </w:rPr>
        <w:footnoteReference w:id="27"/>
      </w:r>
      <w:r w:rsidR="00314275">
        <w:rPr>
          <w:sz w:val="24"/>
          <w:szCs w:val="24"/>
        </w:rPr>
        <w:t xml:space="preserve"> </w:t>
      </w:r>
      <w:r w:rsidR="00DC585E">
        <w:rPr>
          <w:sz w:val="24"/>
          <w:szCs w:val="24"/>
        </w:rPr>
        <w:t xml:space="preserve">The 2022 USTS similarly found that 24% of </w:t>
      </w:r>
      <w:r w:rsidR="00CA6901">
        <w:rPr>
          <w:sz w:val="24"/>
          <w:szCs w:val="24"/>
        </w:rPr>
        <w:t xml:space="preserve">transgender </w:t>
      </w:r>
      <w:r w:rsidR="00DC585E">
        <w:rPr>
          <w:sz w:val="24"/>
          <w:szCs w:val="24"/>
        </w:rPr>
        <w:t>respondents did not see a healthcare provider in the year prior to the survey “because they thought they would be disrespected or mistreated as a trans person.”</w:t>
      </w:r>
      <w:r w:rsidR="00DC585E">
        <w:rPr>
          <w:rStyle w:val="FootnoteReference"/>
          <w:sz w:val="24"/>
          <w:szCs w:val="24"/>
        </w:rPr>
        <w:footnoteReference w:id="28"/>
      </w:r>
      <w:r w:rsidR="00CD5771">
        <w:rPr>
          <w:sz w:val="24"/>
          <w:szCs w:val="24"/>
        </w:rPr>
        <w:t xml:space="preserve"> </w:t>
      </w:r>
      <w:r w:rsidR="00CA6901">
        <w:rPr>
          <w:sz w:val="24"/>
          <w:szCs w:val="24"/>
        </w:rPr>
        <w:t>Nearly half (</w:t>
      </w:r>
      <w:r w:rsidR="00CD5771">
        <w:rPr>
          <w:sz w:val="24"/>
          <w:szCs w:val="24"/>
        </w:rPr>
        <w:t>47%</w:t>
      </w:r>
      <w:r w:rsidR="00CA6901">
        <w:rPr>
          <w:sz w:val="24"/>
          <w:szCs w:val="24"/>
        </w:rPr>
        <w:t>)</w:t>
      </w:r>
      <w:r w:rsidR="00CD5771">
        <w:rPr>
          <w:sz w:val="24"/>
          <w:szCs w:val="24"/>
        </w:rPr>
        <w:t xml:space="preserve"> of respondents to the same survey reported at least one negative interaction with a healthcare provider.</w:t>
      </w:r>
      <w:r w:rsidR="00CD5771">
        <w:rPr>
          <w:rStyle w:val="FootnoteReference"/>
          <w:sz w:val="24"/>
          <w:szCs w:val="24"/>
        </w:rPr>
        <w:footnoteReference w:id="29"/>
      </w:r>
    </w:p>
    <w:p w14:paraId="2C33D2BF" w14:textId="30AA5E7F" w:rsidR="004907D7" w:rsidRDefault="002C4B2B" w:rsidP="00572129">
      <w:pPr>
        <w:widowControl/>
        <w:spacing w:before="100" w:beforeAutospacing="1" w:line="276" w:lineRule="auto"/>
        <w:ind w:firstLine="720"/>
        <w:rPr>
          <w:sz w:val="24"/>
          <w:szCs w:val="24"/>
        </w:rPr>
      </w:pPr>
      <w:r>
        <w:rPr>
          <w:sz w:val="24"/>
          <w:szCs w:val="24"/>
        </w:rPr>
        <w:t>Access to h</w:t>
      </w:r>
      <w:r w:rsidR="00A73157">
        <w:rPr>
          <w:sz w:val="24"/>
          <w:szCs w:val="24"/>
        </w:rPr>
        <w:t>ealth</w:t>
      </w:r>
      <w:r w:rsidR="008201C9">
        <w:rPr>
          <w:sz w:val="24"/>
          <w:szCs w:val="24"/>
        </w:rPr>
        <w:t xml:space="preserve"> insurance </w:t>
      </w:r>
      <w:r>
        <w:rPr>
          <w:sz w:val="24"/>
          <w:szCs w:val="24"/>
        </w:rPr>
        <w:t>is also a</w:t>
      </w:r>
      <w:r w:rsidR="008201C9">
        <w:rPr>
          <w:sz w:val="24"/>
          <w:szCs w:val="24"/>
        </w:rPr>
        <w:t xml:space="preserve"> significant barrier to necessary health care. </w:t>
      </w:r>
      <w:r w:rsidR="000A3336">
        <w:rPr>
          <w:sz w:val="24"/>
          <w:szCs w:val="24"/>
        </w:rPr>
        <w:t xml:space="preserve">LGBT people </w:t>
      </w:r>
      <w:r w:rsidR="00254306">
        <w:rPr>
          <w:sz w:val="24"/>
          <w:szCs w:val="24"/>
        </w:rPr>
        <w:t>have historically been</w:t>
      </w:r>
      <w:r w:rsidR="000A3336">
        <w:rPr>
          <w:sz w:val="24"/>
          <w:szCs w:val="24"/>
        </w:rPr>
        <w:t xml:space="preserve"> uninsured </w:t>
      </w:r>
      <w:r w:rsidR="00254306">
        <w:rPr>
          <w:sz w:val="24"/>
          <w:szCs w:val="24"/>
        </w:rPr>
        <w:t xml:space="preserve">at higher rates compared to </w:t>
      </w:r>
      <w:r w:rsidR="000A3336">
        <w:rPr>
          <w:sz w:val="24"/>
          <w:szCs w:val="24"/>
        </w:rPr>
        <w:t>non-LGBT people</w:t>
      </w:r>
      <w:r w:rsidR="00557B78">
        <w:rPr>
          <w:sz w:val="24"/>
          <w:szCs w:val="24"/>
        </w:rPr>
        <w:t xml:space="preserve">, although recent </w:t>
      </w:r>
      <w:r w:rsidR="00254306">
        <w:rPr>
          <w:sz w:val="24"/>
          <w:szCs w:val="24"/>
        </w:rPr>
        <w:t>studies indicate this gap may be closing</w:t>
      </w:r>
      <w:r w:rsidR="000A3336">
        <w:rPr>
          <w:sz w:val="24"/>
          <w:szCs w:val="24"/>
        </w:rPr>
        <w:t>.</w:t>
      </w:r>
      <w:r w:rsidR="000A3336">
        <w:rPr>
          <w:rStyle w:val="FootnoteReference"/>
          <w:sz w:val="24"/>
          <w:szCs w:val="24"/>
        </w:rPr>
        <w:footnoteReference w:id="30"/>
      </w:r>
      <w:r w:rsidR="000A3336">
        <w:rPr>
          <w:sz w:val="24"/>
          <w:szCs w:val="24"/>
        </w:rPr>
        <w:t xml:space="preserve"> </w:t>
      </w:r>
      <w:r w:rsidR="0019420A">
        <w:rPr>
          <w:sz w:val="24"/>
          <w:szCs w:val="24"/>
        </w:rPr>
        <w:t>Research</w:t>
      </w:r>
      <w:r w:rsidR="00EE0353">
        <w:rPr>
          <w:sz w:val="24"/>
          <w:szCs w:val="24"/>
        </w:rPr>
        <w:t xml:space="preserve"> from the Williams Institute and others</w:t>
      </w:r>
      <w:r w:rsidR="0019420A">
        <w:rPr>
          <w:sz w:val="24"/>
          <w:szCs w:val="24"/>
        </w:rPr>
        <w:t xml:space="preserve"> has </w:t>
      </w:r>
      <w:r w:rsidR="00B07CE7">
        <w:rPr>
          <w:sz w:val="24"/>
          <w:szCs w:val="24"/>
        </w:rPr>
        <w:t xml:space="preserve">consistently </w:t>
      </w:r>
      <w:r w:rsidR="0019420A">
        <w:rPr>
          <w:sz w:val="24"/>
          <w:szCs w:val="24"/>
        </w:rPr>
        <w:t xml:space="preserve">shown that LGBT adults are </w:t>
      </w:r>
      <w:r w:rsidR="00CA6901">
        <w:rPr>
          <w:sz w:val="24"/>
          <w:szCs w:val="24"/>
        </w:rPr>
        <w:t>more likely than non-LGBT adults to</w:t>
      </w:r>
      <w:r w:rsidR="00EE0353">
        <w:rPr>
          <w:sz w:val="24"/>
          <w:szCs w:val="24"/>
        </w:rPr>
        <w:t xml:space="preserve"> </w:t>
      </w:r>
      <w:r w:rsidR="00CA6901">
        <w:rPr>
          <w:sz w:val="24"/>
          <w:szCs w:val="24"/>
        </w:rPr>
        <w:t xml:space="preserve">rely on </w:t>
      </w:r>
      <w:r w:rsidR="0019420A">
        <w:rPr>
          <w:sz w:val="24"/>
          <w:szCs w:val="24"/>
        </w:rPr>
        <w:t xml:space="preserve">Medicaid for their </w:t>
      </w:r>
      <w:r w:rsidR="00C3588E">
        <w:rPr>
          <w:sz w:val="24"/>
          <w:szCs w:val="24"/>
        </w:rPr>
        <w:t>health insurance</w:t>
      </w:r>
      <w:r w:rsidR="0019420A">
        <w:rPr>
          <w:sz w:val="24"/>
          <w:szCs w:val="24"/>
        </w:rPr>
        <w:t>.</w:t>
      </w:r>
      <w:r w:rsidR="0019420A">
        <w:rPr>
          <w:rStyle w:val="FootnoteReference"/>
          <w:sz w:val="24"/>
          <w:szCs w:val="24"/>
        </w:rPr>
        <w:footnoteReference w:id="31"/>
      </w:r>
      <w:r w:rsidR="00311AB6">
        <w:rPr>
          <w:sz w:val="24"/>
          <w:szCs w:val="24"/>
        </w:rPr>
        <w:t xml:space="preserve"> </w:t>
      </w:r>
      <w:r w:rsidR="00AA7BBE">
        <w:rPr>
          <w:sz w:val="24"/>
          <w:szCs w:val="24"/>
        </w:rPr>
        <w:t>Further, i</w:t>
      </w:r>
      <w:r w:rsidR="00EA591E">
        <w:rPr>
          <w:sz w:val="24"/>
          <w:szCs w:val="24"/>
        </w:rPr>
        <w:t xml:space="preserve">n states that have not adopted Medicaid </w:t>
      </w:r>
      <w:r w:rsidR="00EA591E">
        <w:rPr>
          <w:sz w:val="24"/>
          <w:szCs w:val="24"/>
        </w:rPr>
        <w:lastRenderedPageBreak/>
        <w:t xml:space="preserve">expansion, </w:t>
      </w:r>
      <w:r w:rsidR="00502DAC">
        <w:rPr>
          <w:sz w:val="24"/>
          <w:szCs w:val="24"/>
        </w:rPr>
        <w:t>nearly one</w:t>
      </w:r>
      <w:r w:rsidR="00D54BC6">
        <w:rPr>
          <w:sz w:val="24"/>
          <w:szCs w:val="24"/>
        </w:rPr>
        <w:t>-</w:t>
      </w:r>
      <w:r w:rsidR="00502DAC">
        <w:rPr>
          <w:sz w:val="24"/>
          <w:szCs w:val="24"/>
        </w:rPr>
        <w:t>fifth</w:t>
      </w:r>
      <w:r w:rsidR="00EA591E">
        <w:rPr>
          <w:sz w:val="24"/>
          <w:szCs w:val="24"/>
        </w:rPr>
        <w:t xml:space="preserve"> of LGBT adults </w:t>
      </w:r>
      <w:r w:rsidR="00AA7BBE">
        <w:rPr>
          <w:sz w:val="24"/>
          <w:szCs w:val="24"/>
        </w:rPr>
        <w:t>are uninsured.</w:t>
      </w:r>
      <w:r w:rsidR="00AA7BBE">
        <w:rPr>
          <w:rStyle w:val="FootnoteReference"/>
          <w:sz w:val="24"/>
          <w:szCs w:val="24"/>
        </w:rPr>
        <w:footnoteReference w:id="32"/>
      </w:r>
      <w:r w:rsidR="00EA591E">
        <w:rPr>
          <w:sz w:val="24"/>
          <w:szCs w:val="24"/>
        </w:rPr>
        <w:t xml:space="preserve"> </w:t>
      </w:r>
      <w:r w:rsidR="00F35FC4">
        <w:rPr>
          <w:sz w:val="24"/>
          <w:szCs w:val="24"/>
        </w:rPr>
        <w:t xml:space="preserve">The </w:t>
      </w:r>
      <w:r w:rsidR="00BC46B7">
        <w:rPr>
          <w:sz w:val="24"/>
          <w:szCs w:val="24"/>
        </w:rPr>
        <w:t xml:space="preserve">Williams Institute </w:t>
      </w:r>
      <w:r w:rsidR="00CA6901">
        <w:rPr>
          <w:sz w:val="24"/>
          <w:szCs w:val="24"/>
        </w:rPr>
        <w:t xml:space="preserve">analysis </w:t>
      </w:r>
      <w:r w:rsidR="00BC46B7">
        <w:rPr>
          <w:sz w:val="24"/>
          <w:szCs w:val="24"/>
        </w:rPr>
        <w:t>of CHIS data</w:t>
      </w:r>
      <w:r w:rsidR="00F35FC4">
        <w:rPr>
          <w:sz w:val="24"/>
          <w:szCs w:val="24"/>
        </w:rPr>
        <w:t xml:space="preserve"> found that 37% of transgender </w:t>
      </w:r>
      <w:r w:rsidR="00670DA7">
        <w:rPr>
          <w:sz w:val="24"/>
          <w:szCs w:val="24"/>
        </w:rPr>
        <w:t>people</w:t>
      </w:r>
      <w:r w:rsidR="00F35FC4">
        <w:rPr>
          <w:sz w:val="24"/>
          <w:szCs w:val="24"/>
        </w:rPr>
        <w:t xml:space="preserve"> relied on Medicaid for their health insurance, compared to 21% of cisgender adults in California.</w:t>
      </w:r>
      <w:r w:rsidR="0085329D">
        <w:rPr>
          <w:rStyle w:val="FootnoteReference"/>
          <w:sz w:val="24"/>
          <w:szCs w:val="24"/>
        </w:rPr>
        <w:footnoteReference w:id="33"/>
      </w:r>
    </w:p>
    <w:p w14:paraId="20C89E84" w14:textId="6D9B9EA1" w:rsidR="008A416B" w:rsidRPr="007203F5" w:rsidRDefault="00AC4894" w:rsidP="00572129">
      <w:pPr>
        <w:widowControl/>
        <w:spacing w:before="100" w:beforeAutospacing="1" w:line="276" w:lineRule="auto"/>
        <w:ind w:firstLine="720"/>
        <w:rPr>
          <w:sz w:val="24"/>
          <w:szCs w:val="24"/>
        </w:rPr>
      </w:pPr>
      <w:r>
        <w:rPr>
          <w:sz w:val="24"/>
          <w:szCs w:val="24"/>
        </w:rPr>
        <w:t>UDS data has been used to develop tools to address these disparities. One study found that increased SOGI data collection in FQHCs alongside a quality improvement initiative resulted in increased screening for syphilis (86.5 % increase), chlamydia and gonorrhea (109.0% increase), and HIV (132.4% increase) amongst LGBT patients.</w:t>
      </w:r>
      <w:r>
        <w:rPr>
          <w:rStyle w:val="FootnoteReference"/>
          <w:sz w:val="24"/>
          <w:szCs w:val="24"/>
        </w:rPr>
        <w:footnoteReference w:id="34"/>
      </w:r>
      <w:r>
        <w:rPr>
          <w:sz w:val="24"/>
          <w:szCs w:val="24"/>
        </w:rPr>
        <w:t xml:space="preserve"> Overall, c</w:t>
      </w:r>
      <w:r w:rsidR="00320BA1">
        <w:rPr>
          <w:sz w:val="24"/>
          <w:szCs w:val="24"/>
        </w:rPr>
        <w:t>ollection of UDS data by FQHCs assists in understanding the</w:t>
      </w:r>
      <w:r w:rsidR="007B5FA6">
        <w:rPr>
          <w:sz w:val="24"/>
          <w:szCs w:val="24"/>
        </w:rPr>
        <w:t xml:space="preserve"> extent of</w:t>
      </w:r>
      <w:r w:rsidR="00320BA1">
        <w:rPr>
          <w:sz w:val="24"/>
          <w:szCs w:val="24"/>
        </w:rPr>
        <w:t xml:space="preserve"> </w:t>
      </w:r>
      <w:r w:rsidR="007B5FA6">
        <w:rPr>
          <w:sz w:val="24"/>
          <w:szCs w:val="24"/>
        </w:rPr>
        <w:t xml:space="preserve">these </w:t>
      </w:r>
      <w:r w:rsidR="00320BA1">
        <w:rPr>
          <w:sz w:val="24"/>
          <w:szCs w:val="24"/>
        </w:rPr>
        <w:t>disparities in health care access</w:t>
      </w:r>
      <w:r w:rsidR="007B5FA6">
        <w:rPr>
          <w:sz w:val="24"/>
          <w:szCs w:val="24"/>
        </w:rPr>
        <w:t xml:space="preserve"> </w:t>
      </w:r>
      <w:r>
        <w:rPr>
          <w:sz w:val="24"/>
          <w:szCs w:val="24"/>
        </w:rPr>
        <w:t xml:space="preserve">and their impact on </w:t>
      </w:r>
      <w:r w:rsidR="007B5FA6">
        <w:rPr>
          <w:sz w:val="24"/>
          <w:szCs w:val="24"/>
        </w:rPr>
        <w:t>LGBT adults</w:t>
      </w:r>
      <w:r w:rsidR="00722E1A">
        <w:rPr>
          <w:sz w:val="24"/>
          <w:szCs w:val="24"/>
        </w:rPr>
        <w:t>. Thus, the continued collection of SOGI</w:t>
      </w:r>
      <w:r w:rsidR="00830748">
        <w:rPr>
          <w:sz w:val="24"/>
          <w:szCs w:val="24"/>
        </w:rPr>
        <w:t xml:space="preserve"> </w:t>
      </w:r>
      <w:r w:rsidR="00722E1A">
        <w:rPr>
          <w:sz w:val="24"/>
          <w:szCs w:val="24"/>
        </w:rPr>
        <w:t xml:space="preserve">information would assist the </w:t>
      </w:r>
      <w:r w:rsidR="00D05BCB">
        <w:rPr>
          <w:sz w:val="24"/>
          <w:szCs w:val="24"/>
        </w:rPr>
        <w:t>Department</w:t>
      </w:r>
      <w:r w:rsidR="00722E1A">
        <w:rPr>
          <w:sz w:val="24"/>
          <w:szCs w:val="24"/>
        </w:rPr>
        <w:t xml:space="preserve"> </w:t>
      </w:r>
      <w:r w:rsidR="00CA6901">
        <w:rPr>
          <w:sz w:val="24"/>
          <w:szCs w:val="24"/>
        </w:rPr>
        <w:t>in meeting its goal of</w:t>
      </w:r>
      <w:r w:rsidR="00722E1A">
        <w:rPr>
          <w:sz w:val="24"/>
          <w:szCs w:val="24"/>
        </w:rPr>
        <w:t xml:space="preserve"> understand</w:t>
      </w:r>
      <w:r w:rsidR="00CA6901">
        <w:rPr>
          <w:sz w:val="24"/>
          <w:szCs w:val="24"/>
        </w:rPr>
        <w:t>ing</w:t>
      </w:r>
      <w:r w:rsidR="00722E1A">
        <w:rPr>
          <w:sz w:val="24"/>
          <w:szCs w:val="24"/>
        </w:rPr>
        <w:t xml:space="preserve"> </w:t>
      </w:r>
      <w:r w:rsidR="00722E1A" w:rsidRPr="004907D7">
        <w:rPr>
          <w:sz w:val="24"/>
          <w:szCs w:val="24"/>
        </w:rPr>
        <w:t xml:space="preserve">health centers’ impact on </w:t>
      </w:r>
      <w:r w:rsidR="00D05BCB">
        <w:rPr>
          <w:sz w:val="24"/>
          <w:szCs w:val="24"/>
        </w:rPr>
        <w:t>“</w:t>
      </w:r>
      <w:r w:rsidR="00722E1A" w:rsidRPr="004907D7">
        <w:rPr>
          <w:sz w:val="24"/>
          <w:szCs w:val="24"/>
        </w:rPr>
        <w:t>expanding access, addressing health disparities, improving quality, and reducing health care cost</w:t>
      </w:r>
      <w:r w:rsidR="00D05BCB">
        <w:rPr>
          <w:sz w:val="24"/>
          <w:szCs w:val="24"/>
        </w:rPr>
        <w:t>” for a vulnerable population.</w:t>
      </w:r>
    </w:p>
    <w:p w14:paraId="12D8A98B" w14:textId="421B7E83" w:rsidR="00CC33FC" w:rsidRPr="00196D06" w:rsidRDefault="00754DAF" w:rsidP="00572129">
      <w:pPr>
        <w:pStyle w:val="Heading1"/>
        <w:widowControl/>
        <w:numPr>
          <w:ilvl w:val="1"/>
          <w:numId w:val="11"/>
        </w:numPr>
        <w:spacing w:before="100" w:beforeAutospacing="1" w:line="276" w:lineRule="auto"/>
        <w:rPr>
          <w:b w:val="0"/>
          <w:u w:val="single"/>
        </w:rPr>
      </w:pPr>
      <w:r w:rsidRPr="00196D06">
        <w:rPr>
          <w:u w:val="single"/>
        </w:rPr>
        <w:t xml:space="preserve">There are </w:t>
      </w:r>
      <w:r w:rsidR="005114C2" w:rsidRPr="00196D06">
        <w:rPr>
          <w:u w:val="single"/>
        </w:rPr>
        <w:t>Substantial</w:t>
      </w:r>
      <w:r w:rsidRPr="00196D06">
        <w:rPr>
          <w:u w:val="single"/>
        </w:rPr>
        <w:t xml:space="preserve"> </w:t>
      </w:r>
      <w:r w:rsidR="00290973" w:rsidRPr="00196D06">
        <w:rPr>
          <w:u w:val="single"/>
        </w:rPr>
        <w:t>D</w:t>
      </w:r>
      <w:r w:rsidRPr="00196D06">
        <w:rPr>
          <w:u w:val="single"/>
        </w:rPr>
        <w:t xml:space="preserve">ifferences in </w:t>
      </w:r>
      <w:r w:rsidR="00CC33FC" w:rsidRPr="00196D06">
        <w:rPr>
          <w:u w:val="single"/>
        </w:rPr>
        <w:t>Health Outcomes</w:t>
      </w:r>
      <w:r w:rsidRPr="00196D06">
        <w:rPr>
          <w:u w:val="single"/>
        </w:rPr>
        <w:t xml:space="preserve"> </w:t>
      </w:r>
      <w:r w:rsidR="00290973" w:rsidRPr="00196D06">
        <w:rPr>
          <w:u w:val="single"/>
        </w:rPr>
        <w:t>A</w:t>
      </w:r>
      <w:r w:rsidRPr="00196D06">
        <w:rPr>
          <w:u w:val="single"/>
        </w:rPr>
        <w:t xml:space="preserve">ccording to </w:t>
      </w:r>
      <w:r w:rsidR="00290973" w:rsidRPr="00196D06">
        <w:rPr>
          <w:u w:val="single"/>
        </w:rPr>
        <w:t>S</w:t>
      </w:r>
      <w:r w:rsidRPr="00196D06">
        <w:rPr>
          <w:u w:val="single"/>
        </w:rPr>
        <w:t xml:space="preserve">exual </w:t>
      </w:r>
      <w:r w:rsidR="00387872" w:rsidRPr="00196D06">
        <w:rPr>
          <w:u w:val="single"/>
        </w:rPr>
        <w:t>O</w:t>
      </w:r>
      <w:r w:rsidRPr="00196D06">
        <w:rPr>
          <w:u w:val="single"/>
        </w:rPr>
        <w:t>rientation</w:t>
      </w:r>
      <w:r w:rsidR="00290973" w:rsidRPr="00196D06">
        <w:rPr>
          <w:u w:val="single"/>
        </w:rPr>
        <w:t xml:space="preserve"> and </w:t>
      </w:r>
      <w:r w:rsidR="00387872" w:rsidRPr="00196D06">
        <w:rPr>
          <w:u w:val="single"/>
        </w:rPr>
        <w:t>G</w:t>
      </w:r>
      <w:r w:rsidR="00290973" w:rsidRPr="00196D06">
        <w:rPr>
          <w:u w:val="single"/>
        </w:rPr>
        <w:t xml:space="preserve">ender </w:t>
      </w:r>
      <w:r w:rsidR="00387872" w:rsidRPr="00196D06">
        <w:rPr>
          <w:u w:val="single"/>
        </w:rPr>
        <w:t>I</w:t>
      </w:r>
      <w:r w:rsidR="00290973" w:rsidRPr="00196D06">
        <w:rPr>
          <w:u w:val="single"/>
        </w:rPr>
        <w:t>dentity</w:t>
      </w:r>
      <w:r w:rsidRPr="00196D06">
        <w:rPr>
          <w:u w:val="single"/>
        </w:rPr>
        <w:t xml:space="preserve"> </w:t>
      </w:r>
    </w:p>
    <w:p w14:paraId="3212BD21" w14:textId="13BDC23C" w:rsidR="005C02BC" w:rsidRDefault="00CA6901" w:rsidP="00572129">
      <w:pPr>
        <w:pStyle w:val="Heading1"/>
        <w:widowControl/>
        <w:spacing w:before="100" w:beforeAutospacing="1" w:line="276" w:lineRule="auto"/>
        <w:ind w:left="0" w:firstLine="720"/>
        <w:rPr>
          <w:b w:val="0"/>
        </w:rPr>
      </w:pPr>
      <w:r>
        <w:rPr>
          <w:b w:val="0"/>
        </w:rPr>
        <w:t>Research</w:t>
      </w:r>
      <w:r w:rsidRPr="00273A40">
        <w:rPr>
          <w:b w:val="0"/>
        </w:rPr>
        <w:t xml:space="preserve"> </w:t>
      </w:r>
      <w:r w:rsidR="00273A40" w:rsidRPr="00273A40">
        <w:rPr>
          <w:b w:val="0"/>
        </w:rPr>
        <w:t>shows that LGBT people experience physical and mental health disparities</w:t>
      </w:r>
      <w:r>
        <w:rPr>
          <w:b w:val="0"/>
        </w:rPr>
        <w:t xml:space="preserve"> compared to non-LGBT people</w:t>
      </w:r>
      <w:r w:rsidR="00273A40" w:rsidRPr="00273A40">
        <w:rPr>
          <w:b w:val="0"/>
        </w:rPr>
        <w:t>,</w:t>
      </w:r>
      <w:r w:rsidR="008D2558">
        <w:rPr>
          <w:rStyle w:val="FootnoteReference"/>
          <w:b w:val="0"/>
        </w:rPr>
        <w:footnoteReference w:id="35"/>
      </w:r>
      <w:r w:rsidR="00273A40" w:rsidRPr="00273A40">
        <w:rPr>
          <w:b w:val="0"/>
        </w:rPr>
        <w:t xml:space="preserve"> which the minority stress model suggests could be connected to or exacerbated by anti-LGBT</w:t>
      </w:r>
      <w:r w:rsidR="00A84A6C">
        <w:rPr>
          <w:b w:val="0"/>
        </w:rPr>
        <w:t xml:space="preserve"> </w:t>
      </w:r>
      <w:r w:rsidR="00273A40" w:rsidRPr="00273A40">
        <w:rPr>
          <w:b w:val="0"/>
        </w:rPr>
        <w:t>discrimination. Disparities are especially pronounced among LBQ women, gender minority individuals,</w:t>
      </w:r>
      <w:r w:rsidR="00934B06">
        <w:rPr>
          <w:b w:val="0"/>
        </w:rPr>
        <w:t xml:space="preserve"> older LGBT adults,</w:t>
      </w:r>
      <w:r w:rsidR="00273A40" w:rsidRPr="00273A40">
        <w:rPr>
          <w:b w:val="0"/>
        </w:rPr>
        <w:t xml:space="preserve"> and LGBT people of color.</w:t>
      </w:r>
      <w:r w:rsidR="00F72AC0">
        <w:rPr>
          <w:b w:val="0"/>
        </w:rPr>
        <w:t xml:space="preserve"> </w:t>
      </w:r>
      <w:r w:rsidR="00A214F2">
        <w:rPr>
          <w:b w:val="0"/>
        </w:rPr>
        <w:t xml:space="preserve">Furthermore, many significant </w:t>
      </w:r>
      <w:r w:rsidR="005C02BC">
        <w:rPr>
          <w:b w:val="0"/>
        </w:rPr>
        <w:t xml:space="preserve">health disparities </w:t>
      </w:r>
      <w:r w:rsidR="00A214F2">
        <w:rPr>
          <w:b w:val="0"/>
        </w:rPr>
        <w:t>exist</w:t>
      </w:r>
      <w:r w:rsidR="00A84A6C">
        <w:rPr>
          <w:b w:val="0"/>
        </w:rPr>
        <w:t xml:space="preserve"> </w:t>
      </w:r>
      <w:r w:rsidR="005C02BC">
        <w:rPr>
          <w:b w:val="0"/>
        </w:rPr>
        <w:t>between LGBT adults and their non-LGBT counterparts in the specific areas of medicine that</w:t>
      </w:r>
      <w:r w:rsidR="00A84A6C">
        <w:rPr>
          <w:b w:val="0"/>
        </w:rPr>
        <w:t xml:space="preserve"> </w:t>
      </w:r>
      <w:r w:rsidR="005C02BC">
        <w:rPr>
          <w:b w:val="0"/>
        </w:rPr>
        <w:t>Section 330 of the PHSA seeks to address through its grant</w:t>
      </w:r>
      <w:r w:rsidR="00F72AC0">
        <w:rPr>
          <w:b w:val="0"/>
        </w:rPr>
        <w:t>making</w:t>
      </w:r>
      <w:r w:rsidR="00244203">
        <w:rPr>
          <w:b w:val="0"/>
        </w:rPr>
        <w:t>, including</w:t>
      </w:r>
      <w:r w:rsidR="005C02BC">
        <w:rPr>
          <w:b w:val="0"/>
        </w:rPr>
        <w:t xml:space="preserve"> </w:t>
      </w:r>
      <w:r w:rsidR="005C02BC" w:rsidRPr="00352219">
        <w:rPr>
          <w:b w:val="0"/>
        </w:rPr>
        <w:t>family medicine, internal medicine</w:t>
      </w:r>
      <w:r w:rsidR="005C02BC">
        <w:rPr>
          <w:b w:val="0"/>
        </w:rPr>
        <w:t xml:space="preserve">, </w:t>
      </w:r>
      <w:r w:rsidR="00910284">
        <w:rPr>
          <w:b w:val="0"/>
        </w:rPr>
        <w:t xml:space="preserve">obstetrics, gynecology, </w:t>
      </w:r>
      <w:r w:rsidR="005C02BC">
        <w:rPr>
          <w:b w:val="0"/>
        </w:rPr>
        <w:t>preventative health services, and diagnostic laboratory or radiology services.</w:t>
      </w:r>
      <w:r w:rsidR="005C02BC">
        <w:rPr>
          <w:rStyle w:val="FootnoteReference"/>
          <w:b w:val="0"/>
        </w:rPr>
        <w:footnoteReference w:id="36"/>
      </w:r>
      <w:r w:rsidR="005C02BC">
        <w:rPr>
          <w:b w:val="0"/>
        </w:rPr>
        <w:t xml:space="preserve"> </w:t>
      </w:r>
    </w:p>
    <w:p w14:paraId="77D32139" w14:textId="12116BF2" w:rsidR="0098509D" w:rsidRDefault="005C02BC" w:rsidP="00434B8C">
      <w:pPr>
        <w:pStyle w:val="Heading1"/>
        <w:widowControl/>
        <w:spacing w:before="100" w:beforeAutospacing="1" w:line="276" w:lineRule="auto"/>
        <w:ind w:left="0" w:firstLine="720"/>
        <w:rPr>
          <w:b w:val="0"/>
        </w:rPr>
      </w:pPr>
      <w:r>
        <w:rPr>
          <w:b w:val="0"/>
        </w:rPr>
        <w:t>Generally, m</w:t>
      </w:r>
      <w:r w:rsidR="00D43183" w:rsidRPr="00D43183">
        <w:rPr>
          <w:b w:val="0"/>
        </w:rPr>
        <w:t xml:space="preserve">any LGBTQ people report poor physical health. Data from </w:t>
      </w:r>
      <w:r>
        <w:rPr>
          <w:b w:val="0"/>
        </w:rPr>
        <w:t>the Williams Institute’s</w:t>
      </w:r>
      <w:r w:rsidR="00D43183" w:rsidRPr="00D43183">
        <w:rPr>
          <w:b w:val="0"/>
        </w:rPr>
        <w:t xml:space="preserve"> Generations and</w:t>
      </w:r>
      <w:r w:rsidR="00D43183">
        <w:rPr>
          <w:b w:val="0"/>
        </w:rPr>
        <w:t xml:space="preserve"> </w:t>
      </w:r>
      <w:proofErr w:type="spellStart"/>
      <w:r w:rsidR="00D43183" w:rsidRPr="00D43183">
        <w:rPr>
          <w:b w:val="0"/>
        </w:rPr>
        <w:t>TransPop</w:t>
      </w:r>
      <w:proofErr w:type="spellEnd"/>
      <w:r w:rsidR="00D43183" w:rsidRPr="00D43183">
        <w:rPr>
          <w:b w:val="0"/>
        </w:rPr>
        <w:t xml:space="preserve"> studies show</w:t>
      </w:r>
      <w:r w:rsidR="00EE0F51">
        <w:rPr>
          <w:b w:val="0"/>
        </w:rPr>
        <w:t>ed</w:t>
      </w:r>
      <w:r w:rsidR="00D43183" w:rsidRPr="00D43183">
        <w:rPr>
          <w:b w:val="0"/>
        </w:rPr>
        <w:t xml:space="preserve"> that one in five (20.8%) LGBTQ people </w:t>
      </w:r>
      <w:r w:rsidR="00D43183" w:rsidRPr="00D43183">
        <w:rPr>
          <w:b w:val="0"/>
        </w:rPr>
        <w:lastRenderedPageBreak/>
        <w:t>report</w:t>
      </w:r>
      <w:r w:rsidR="00EE0F51">
        <w:rPr>
          <w:b w:val="0"/>
        </w:rPr>
        <w:t>ed</w:t>
      </w:r>
      <w:r w:rsidR="00D43183" w:rsidRPr="00D43183">
        <w:rPr>
          <w:b w:val="0"/>
        </w:rPr>
        <w:t xml:space="preserve"> that their general health </w:t>
      </w:r>
      <w:r w:rsidR="00EE0F51">
        <w:rPr>
          <w:b w:val="0"/>
        </w:rPr>
        <w:t>wa</w:t>
      </w:r>
      <w:r w:rsidR="00D43183" w:rsidRPr="00D43183">
        <w:rPr>
          <w:b w:val="0"/>
        </w:rPr>
        <w:t>s</w:t>
      </w:r>
      <w:r w:rsidR="00D43183">
        <w:rPr>
          <w:b w:val="0"/>
        </w:rPr>
        <w:t xml:space="preserve"> </w:t>
      </w:r>
      <w:r w:rsidR="00D43183" w:rsidRPr="00D43183">
        <w:rPr>
          <w:b w:val="0"/>
        </w:rPr>
        <w:t>fair or poor.</w:t>
      </w:r>
      <w:r w:rsidR="00D43183">
        <w:rPr>
          <w:rStyle w:val="FootnoteReference"/>
          <w:b w:val="0"/>
        </w:rPr>
        <w:footnoteReference w:id="37"/>
      </w:r>
      <w:r w:rsidR="00D43183" w:rsidRPr="00D43183">
        <w:rPr>
          <w:b w:val="0"/>
        </w:rPr>
        <w:t xml:space="preserve"> Subpopulations of LGBTQ people who are likely to experience marginalization</w:t>
      </w:r>
      <w:r w:rsidR="00D43183">
        <w:rPr>
          <w:b w:val="0"/>
        </w:rPr>
        <w:t xml:space="preserve"> </w:t>
      </w:r>
      <w:r w:rsidR="00D43183" w:rsidRPr="00D43183">
        <w:rPr>
          <w:b w:val="0"/>
        </w:rPr>
        <w:t>based on multiple characteristics</w:t>
      </w:r>
      <w:r w:rsidR="00412935">
        <w:rPr>
          <w:b w:val="0"/>
        </w:rPr>
        <w:t xml:space="preserve"> </w:t>
      </w:r>
      <w:r w:rsidR="00D43183" w:rsidRPr="00D43183">
        <w:rPr>
          <w:b w:val="0"/>
        </w:rPr>
        <w:t>are</w:t>
      </w:r>
      <w:r w:rsidR="00D43183">
        <w:rPr>
          <w:b w:val="0"/>
        </w:rPr>
        <w:t xml:space="preserve"> </w:t>
      </w:r>
      <w:r w:rsidR="00D43183" w:rsidRPr="00D43183">
        <w:rPr>
          <w:b w:val="0"/>
        </w:rPr>
        <w:t>more likely than other populations to report fair or poor health. In the same studies, LBQ women (24.0%) and transgender people (25.9%) were more likely to report fair</w:t>
      </w:r>
      <w:r w:rsidR="00B763C2">
        <w:rPr>
          <w:b w:val="0"/>
        </w:rPr>
        <w:t xml:space="preserve"> </w:t>
      </w:r>
      <w:r w:rsidR="00F623FF" w:rsidRPr="00F623FF">
        <w:rPr>
          <w:b w:val="0"/>
        </w:rPr>
        <w:t>or poor general health than GBQ men (13.9%)</w:t>
      </w:r>
      <w:r w:rsidR="00F623FF">
        <w:rPr>
          <w:b w:val="0"/>
        </w:rPr>
        <w:t>.</w:t>
      </w:r>
      <w:r w:rsidR="00F623FF">
        <w:rPr>
          <w:rStyle w:val="FootnoteReference"/>
          <w:b w:val="0"/>
        </w:rPr>
        <w:footnoteReference w:id="38"/>
      </w:r>
      <w:r w:rsidR="00F623FF">
        <w:rPr>
          <w:b w:val="0"/>
        </w:rPr>
        <w:t xml:space="preserve"> </w:t>
      </w:r>
      <w:r w:rsidR="00F623FF" w:rsidRPr="00F623FF">
        <w:rPr>
          <w:b w:val="0"/>
        </w:rPr>
        <w:t xml:space="preserve">In addition, </w:t>
      </w:r>
      <w:r w:rsidR="00C7344F">
        <w:rPr>
          <w:b w:val="0"/>
        </w:rPr>
        <w:t>using 2012-2017 Gallup data</w:t>
      </w:r>
      <w:r w:rsidR="00D1154A">
        <w:rPr>
          <w:b w:val="0"/>
        </w:rPr>
        <w:t>,</w:t>
      </w:r>
      <w:r w:rsidR="00C7344F">
        <w:rPr>
          <w:b w:val="0"/>
        </w:rPr>
        <w:t xml:space="preserve"> </w:t>
      </w:r>
      <w:r w:rsidR="00F623FF" w:rsidRPr="00F623FF">
        <w:rPr>
          <w:b w:val="0"/>
        </w:rPr>
        <w:t>our study of differences across</w:t>
      </w:r>
      <w:r w:rsidR="00F623FF">
        <w:rPr>
          <w:b w:val="0"/>
        </w:rPr>
        <w:t xml:space="preserve"> </w:t>
      </w:r>
      <w:r w:rsidR="00F623FF" w:rsidRPr="00F623FF">
        <w:rPr>
          <w:b w:val="0"/>
        </w:rPr>
        <w:t>LGBT people by race</w:t>
      </w:r>
      <w:r w:rsidR="00D1154A">
        <w:rPr>
          <w:b w:val="0"/>
        </w:rPr>
        <w:t xml:space="preserve"> found that</w:t>
      </w:r>
      <w:r w:rsidR="00F623FF" w:rsidRPr="00F623FF">
        <w:rPr>
          <w:b w:val="0"/>
        </w:rPr>
        <w:t xml:space="preserve"> more than a quarter (27%) of LGBT adults of color reported that their</w:t>
      </w:r>
      <w:r w:rsidR="00F623FF">
        <w:rPr>
          <w:b w:val="0"/>
        </w:rPr>
        <w:t xml:space="preserve"> </w:t>
      </w:r>
      <w:r w:rsidR="00F623FF" w:rsidRPr="00F623FF">
        <w:rPr>
          <w:b w:val="0"/>
        </w:rPr>
        <w:t>overall health was fair or poor, compared to 22% of white LGBT adults</w:t>
      </w:r>
      <w:r w:rsidR="00F623FF">
        <w:rPr>
          <w:b w:val="0"/>
        </w:rPr>
        <w:t>.</w:t>
      </w:r>
      <w:r w:rsidR="00F623FF">
        <w:rPr>
          <w:rStyle w:val="FootnoteReference"/>
          <w:b w:val="0"/>
        </w:rPr>
        <w:footnoteReference w:id="39"/>
      </w:r>
      <w:r w:rsidR="00B16964">
        <w:rPr>
          <w:b w:val="0"/>
        </w:rPr>
        <w:t xml:space="preserve"> </w:t>
      </w:r>
      <w:r w:rsidR="0098509D">
        <w:rPr>
          <w:b w:val="0"/>
        </w:rPr>
        <w:t>Research also shows that a substantial percentage of LGBT people experience serious health conditions, including life-threatening conditions.</w:t>
      </w:r>
      <w:r w:rsidR="0098509D">
        <w:rPr>
          <w:rStyle w:val="FootnoteReference"/>
          <w:b w:val="0"/>
        </w:rPr>
        <w:footnoteReference w:id="40"/>
      </w:r>
      <w:r w:rsidR="0098509D">
        <w:rPr>
          <w:b w:val="0"/>
        </w:rPr>
        <w:t xml:space="preserve"> Our Generations and </w:t>
      </w:r>
      <w:proofErr w:type="spellStart"/>
      <w:r w:rsidR="0098509D">
        <w:rPr>
          <w:b w:val="0"/>
        </w:rPr>
        <w:t>TransPop</w:t>
      </w:r>
      <w:proofErr w:type="spellEnd"/>
      <w:r w:rsidR="0098509D">
        <w:rPr>
          <w:b w:val="0"/>
        </w:rPr>
        <w:t xml:space="preserve"> studies found that among LGBTQ people, </w:t>
      </w:r>
      <w:r w:rsidR="009B5772" w:rsidRPr="009B5772">
        <w:rPr>
          <w:b w:val="0"/>
        </w:rPr>
        <w:t>18.0% had asthma, 16.3% had high blood pressure,</w:t>
      </w:r>
      <w:r w:rsidR="009B5772">
        <w:rPr>
          <w:b w:val="0"/>
        </w:rPr>
        <w:t xml:space="preserve"> 10.2% had </w:t>
      </w:r>
      <w:r w:rsidR="009B5772" w:rsidRPr="009B5772">
        <w:rPr>
          <w:b w:val="0"/>
        </w:rPr>
        <w:t>diabetes, 6.0% had heart disease, and 3.0% had cancer.</w:t>
      </w:r>
      <w:r w:rsidR="009B5772">
        <w:rPr>
          <w:rStyle w:val="FootnoteReference"/>
          <w:b w:val="0"/>
        </w:rPr>
        <w:footnoteReference w:id="41"/>
      </w:r>
      <w:r w:rsidR="00FB6B93">
        <w:rPr>
          <w:b w:val="0"/>
        </w:rPr>
        <w:t xml:space="preserve"> </w:t>
      </w:r>
      <w:r w:rsidR="008A055A">
        <w:rPr>
          <w:b w:val="0"/>
        </w:rPr>
        <w:t>T</w:t>
      </w:r>
      <w:r w:rsidR="000968AC">
        <w:rPr>
          <w:b w:val="0"/>
        </w:rPr>
        <w:t xml:space="preserve">he Williams </w:t>
      </w:r>
      <w:r w:rsidR="006C61CD">
        <w:rPr>
          <w:b w:val="0"/>
        </w:rPr>
        <w:t>Institute’s</w:t>
      </w:r>
      <w:r w:rsidR="000968AC">
        <w:rPr>
          <w:b w:val="0"/>
        </w:rPr>
        <w:t xml:space="preserve"> study on LBQ women</w:t>
      </w:r>
      <w:r w:rsidR="00F91495">
        <w:rPr>
          <w:b w:val="0"/>
        </w:rPr>
        <w:t xml:space="preserve"> </w:t>
      </w:r>
      <w:r w:rsidR="001E7D6E">
        <w:rPr>
          <w:b w:val="0"/>
        </w:rPr>
        <w:t>analyzed</w:t>
      </w:r>
      <w:r w:rsidR="00F91495">
        <w:rPr>
          <w:b w:val="0"/>
        </w:rPr>
        <w:t xml:space="preserve"> BRFSS data</w:t>
      </w:r>
      <w:r w:rsidR="001E7D6E">
        <w:rPr>
          <w:b w:val="0"/>
        </w:rPr>
        <w:t xml:space="preserve"> and</w:t>
      </w:r>
      <w:r w:rsidR="008A055A">
        <w:rPr>
          <w:b w:val="0"/>
        </w:rPr>
        <w:t xml:space="preserve"> found that this sub-population has a significantly higher likelihood </w:t>
      </w:r>
      <w:r w:rsidR="00704EC7">
        <w:rPr>
          <w:b w:val="0"/>
        </w:rPr>
        <w:t xml:space="preserve">(10.8%) </w:t>
      </w:r>
      <w:r w:rsidR="008A055A">
        <w:rPr>
          <w:b w:val="0"/>
        </w:rPr>
        <w:t xml:space="preserve">of being </w:t>
      </w:r>
      <w:r w:rsidR="00704EC7">
        <w:rPr>
          <w:b w:val="0"/>
        </w:rPr>
        <w:t>diagnosed</w:t>
      </w:r>
      <w:r w:rsidR="008A055A">
        <w:rPr>
          <w:b w:val="0"/>
        </w:rPr>
        <w:t xml:space="preserve"> with </w:t>
      </w:r>
      <w:r w:rsidR="005F4E88">
        <w:rPr>
          <w:b w:val="0"/>
        </w:rPr>
        <w:t xml:space="preserve">any cancer other than skin cancer compared to straight women (8.2%), </w:t>
      </w:r>
      <w:r w:rsidR="006C61CD">
        <w:rPr>
          <w:b w:val="0"/>
        </w:rPr>
        <w:t xml:space="preserve">straight men (6.3%), and </w:t>
      </w:r>
      <w:r w:rsidR="005F4E88">
        <w:rPr>
          <w:b w:val="0"/>
        </w:rPr>
        <w:t>GBQ cisgender men (</w:t>
      </w:r>
      <w:r w:rsidR="006C61CD">
        <w:rPr>
          <w:b w:val="0"/>
        </w:rPr>
        <w:t>7.4%).</w:t>
      </w:r>
      <w:r w:rsidR="006C61CD">
        <w:rPr>
          <w:rStyle w:val="FootnoteReference"/>
          <w:b w:val="0"/>
        </w:rPr>
        <w:footnoteReference w:id="42"/>
      </w:r>
      <w:r w:rsidR="009917D8">
        <w:rPr>
          <w:b w:val="0"/>
        </w:rPr>
        <w:t xml:space="preserve"> </w:t>
      </w:r>
      <w:r w:rsidR="0036424D">
        <w:rPr>
          <w:b w:val="0"/>
        </w:rPr>
        <w:t>A Williams Institute literature review on the health of older LGB</w:t>
      </w:r>
      <w:r w:rsidR="00540A10">
        <w:rPr>
          <w:b w:val="0"/>
        </w:rPr>
        <w:t>T</w:t>
      </w:r>
      <w:r w:rsidR="0036424D">
        <w:rPr>
          <w:b w:val="0"/>
        </w:rPr>
        <w:t xml:space="preserve"> adults </w:t>
      </w:r>
      <w:r w:rsidR="007B75C2">
        <w:rPr>
          <w:b w:val="0"/>
        </w:rPr>
        <w:t xml:space="preserve">found </w:t>
      </w:r>
      <w:r w:rsidR="001F2B20">
        <w:rPr>
          <w:b w:val="0"/>
        </w:rPr>
        <w:t xml:space="preserve">that </w:t>
      </w:r>
      <w:r w:rsidR="00540A10">
        <w:rPr>
          <w:b w:val="0"/>
        </w:rPr>
        <w:t xml:space="preserve">cisgender </w:t>
      </w:r>
      <w:r w:rsidR="00835179">
        <w:rPr>
          <w:b w:val="0"/>
        </w:rPr>
        <w:t xml:space="preserve">LGB older adults </w:t>
      </w:r>
      <w:r w:rsidR="001F2B20">
        <w:rPr>
          <w:b w:val="0"/>
        </w:rPr>
        <w:t>had higher rates of disability</w:t>
      </w:r>
      <w:r w:rsidR="00540A10">
        <w:rPr>
          <w:b w:val="0"/>
        </w:rPr>
        <w:t>, disease, and physical limitations than heterosexual counterparts</w:t>
      </w:r>
      <w:r w:rsidR="00835179">
        <w:rPr>
          <w:b w:val="0"/>
        </w:rPr>
        <w:t xml:space="preserve">, and older transgender people had a </w:t>
      </w:r>
      <w:r w:rsidR="00835179" w:rsidRPr="00835179">
        <w:rPr>
          <w:b w:val="0"/>
        </w:rPr>
        <w:t>higher risk for poor physical health, disability, and depressive symptoms</w:t>
      </w:r>
      <w:r w:rsidR="00835179">
        <w:rPr>
          <w:b w:val="0"/>
        </w:rPr>
        <w:t>.</w:t>
      </w:r>
      <w:r w:rsidR="00835179">
        <w:rPr>
          <w:rStyle w:val="FootnoteReference"/>
          <w:b w:val="0"/>
        </w:rPr>
        <w:footnoteReference w:id="43"/>
      </w:r>
    </w:p>
    <w:p w14:paraId="155B0222" w14:textId="5305E6E3" w:rsidR="008A3BA1" w:rsidRDefault="004A77F3" w:rsidP="00EA0DCE">
      <w:pPr>
        <w:pStyle w:val="Heading1"/>
        <w:widowControl/>
        <w:spacing w:before="100" w:beforeAutospacing="1" w:line="276" w:lineRule="auto"/>
        <w:ind w:left="0" w:firstLine="720"/>
        <w:rPr>
          <w:b w:val="0"/>
        </w:rPr>
      </w:pPr>
      <w:r>
        <w:rPr>
          <w:b w:val="0"/>
        </w:rPr>
        <w:t>Research has observed disparities between LGBT and non-LGBT people in mental health outcomes as well.</w:t>
      </w:r>
      <w:r w:rsidR="00446778">
        <w:rPr>
          <w:b w:val="0"/>
        </w:rPr>
        <w:t xml:space="preserve"> </w:t>
      </w:r>
      <w:r w:rsidR="00D86917">
        <w:rPr>
          <w:b w:val="0"/>
        </w:rPr>
        <w:t xml:space="preserve">A </w:t>
      </w:r>
      <w:r w:rsidR="00C178F6">
        <w:rPr>
          <w:b w:val="0"/>
        </w:rPr>
        <w:t>r</w:t>
      </w:r>
      <w:r w:rsidR="00D86917">
        <w:rPr>
          <w:b w:val="0"/>
        </w:rPr>
        <w:t xml:space="preserve">eport using </w:t>
      </w:r>
      <w:r w:rsidR="008953B6">
        <w:rPr>
          <w:b w:val="0"/>
        </w:rPr>
        <w:t xml:space="preserve">2023 </w:t>
      </w:r>
      <w:r w:rsidR="00C178F6" w:rsidRPr="00C178F6">
        <w:rPr>
          <w:b w:val="0"/>
        </w:rPr>
        <w:t>Youth Risk Behavior Survey</w:t>
      </w:r>
      <w:r w:rsidR="00EE0F51">
        <w:rPr>
          <w:b w:val="0"/>
        </w:rPr>
        <w:t xml:space="preserve"> (YRBS)</w:t>
      </w:r>
      <w:r w:rsidR="00C178F6" w:rsidRPr="00C178F6">
        <w:rPr>
          <w:b w:val="0"/>
        </w:rPr>
        <w:t xml:space="preserve"> </w:t>
      </w:r>
      <w:r w:rsidR="00C178F6">
        <w:rPr>
          <w:b w:val="0"/>
        </w:rPr>
        <w:t>data found that</w:t>
      </w:r>
      <w:r w:rsidR="00D16DBF">
        <w:rPr>
          <w:b w:val="0"/>
        </w:rPr>
        <w:t>, of</w:t>
      </w:r>
      <w:r w:rsidR="00C178F6">
        <w:rPr>
          <w:b w:val="0"/>
        </w:rPr>
        <w:t xml:space="preserve"> transgender </w:t>
      </w:r>
      <w:r w:rsidR="008953B6">
        <w:rPr>
          <w:b w:val="0"/>
        </w:rPr>
        <w:t>students</w:t>
      </w:r>
      <w:r w:rsidR="00D16DBF">
        <w:rPr>
          <w:b w:val="0"/>
        </w:rPr>
        <w:t>, 72% felt persistent feelings of sadness or hopelessness</w:t>
      </w:r>
      <w:r w:rsidR="002B1FA4">
        <w:rPr>
          <w:b w:val="0"/>
        </w:rPr>
        <w:t xml:space="preserve"> and 26% attempted suicide in the past year</w:t>
      </w:r>
      <w:r w:rsidR="00C95C2C">
        <w:rPr>
          <w:b w:val="0"/>
        </w:rPr>
        <w:t>.</w:t>
      </w:r>
      <w:r w:rsidR="00C95C2C">
        <w:rPr>
          <w:rStyle w:val="FootnoteReference"/>
          <w:b w:val="0"/>
        </w:rPr>
        <w:footnoteReference w:id="44"/>
      </w:r>
      <w:r w:rsidR="00C178F6">
        <w:rPr>
          <w:b w:val="0"/>
        </w:rPr>
        <w:t xml:space="preserve"> </w:t>
      </w:r>
      <w:r w:rsidR="00446778">
        <w:rPr>
          <w:b w:val="0"/>
        </w:rPr>
        <w:t xml:space="preserve">In </w:t>
      </w:r>
      <w:r w:rsidR="00E73251">
        <w:rPr>
          <w:b w:val="0"/>
        </w:rPr>
        <w:t>the Williams Institute’s study</w:t>
      </w:r>
      <w:r w:rsidR="00446778">
        <w:rPr>
          <w:b w:val="0"/>
        </w:rPr>
        <w:t xml:space="preserve"> on differences across LGBT people by race, LGBT adults of all races were more likely to have been diagnosed with depression than </w:t>
      </w:r>
      <w:r w:rsidR="00E73251">
        <w:rPr>
          <w:b w:val="0"/>
        </w:rPr>
        <w:lastRenderedPageBreak/>
        <w:t xml:space="preserve">their </w:t>
      </w:r>
      <w:r w:rsidR="00446778">
        <w:rPr>
          <w:b w:val="0"/>
        </w:rPr>
        <w:t xml:space="preserve">non-LGBT </w:t>
      </w:r>
      <w:r w:rsidR="00E73251">
        <w:rPr>
          <w:b w:val="0"/>
        </w:rPr>
        <w:t>counterparts</w:t>
      </w:r>
      <w:r w:rsidR="00446778">
        <w:rPr>
          <w:b w:val="0"/>
        </w:rPr>
        <w:t>.</w:t>
      </w:r>
      <w:r w:rsidR="00446778">
        <w:rPr>
          <w:rStyle w:val="FootnoteReference"/>
          <w:b w:val="0"/>
        </w:rPr>
        <w:footnoteReference w:id="45"/>
      </w:r>
      <w:r w:rsidR="00AE247E">
        <w:rPr>
          <w:b w:val="0"/>
        </w:rPr>
        <w:t xml:space="preserve"> </w:t>
      </w:r>
      <w:r w:rsidR="00E73251">
        <w:rPr>
          <w:b w:val="0"/>
        </w:rPr>
        <w:t xml:space="preserve">Analyses of our Generations and </w:t>
      </w:r>
      <w:proofErr w:type="spellStart"/>
      <w:r w:rsidR="00E73251">
        <w:rPr>
          <w:b w:val="0"/>
        </w:rPr>
        <w:t>TransPop</w:t>
      </w:r>
      <w:proofErr w:type="spellEnd"/>
      <w:r w:rsidR="00E73251">
        <w:rPr>
          <w:b w:val="0"/>
        </w:rPr>
        <w:t xml:space="preserve"> studies</w:t>
      </w:r>
      <w:r w:rsidR="00AE247E">
        <w:rPr>
          <w:b w:val="0"/>
        </w:rPr>
        <w:t xml:space="preserve"> also </w:t>
      </w:r>
      <w:r w:rsidR="0018372D">
        <w:rPr>
          <w:b w:val="0"/>
        </w:rPr>
        <w:t>found that three-quarters</w:t>
      </w:r>
      <w:r w:rsidR="00427002">
        <w:rPr>
          <w:b w:val="0"/>
        </w:rPr>
        <w:t xml:space="preserve"> (76%)</w:t>
      </w:r>
      <w:r w:rsidR="0018372D">
        <w:rPr>
          <w:b w:val="0"/>
        </w:rPr>
        <w:t xml:space="preserve"> of LGBTQ people reported suicidal ideation over the course of their lives, with nearly one-third </w:t>
      </w:r>
      <w:r w:rsidR="00427002">
        <w:rPr>
          <w:b w:val="0"/>
        </w:rPr>
        <w:t xml:space="preserve">(30%) </w:t>
      </w:r>
      <w:r w:rsidR="0018372D">
        <w:rPr>
          <w:b w:val="0"/>
        </w:rPr>
        <w:t>having made a suicide attempt.</w:t>
      </w:r>
      <w:r w:rsidR="0018372D">
        <w:rPr>
          <w:rStyle w:val="FootnoteReference"/>
          <w:b w:val="0"/>
        </w:rPr>
        <w:footnoteReference w:id="46"/>
      </w:r>
      <w:r w:rsidR="00B6391C">
        <w:rPr>
          <w:b w:val="0"/>
        </w:rPr>
        <w:t xml:space="preserve"> Additionally, </w:t>
      </w:r>
      <w:r w:rsidR="00755F2D">
        <w:rPr>
          <w:b w:val="0"/>
        </w:rPr>
        <w:t xml:space="preserve">three-quarters of LGBTQ people also reported experiencing moderate psychological distress or serious mental illness </w:t>
      </w:r>
      <w:r w:rsidR="00E73251">
        <w:rPr>
          <w:b w:val="0"/>
        </w:rPr>
        <w:t>in the prior month</w:t>
      </w:r>
      <w:r w:rsidR="00755F2D">
        <w:rPr>
          <w:b w:val="0"/>
        </w:rPr>
        <w:t>, with 28.2% reporting serious mental illness.</w:t>
      </w:r>
      <w:r w:rsidR="00755F2D">
        <w:rPr>
          <w:rStyle w:val="FootnoteReference"/>
          <w:b w:val="0"/>
        </w:rPr>
        <w:footnoteReference w:id="47"/>
      </w:r>
    </w:p>
    <w:p w14:paraId="33357008" w14:textId="7142483F" w:rsidR="00FB6B93" w:rsidRDefault="00990103" w:rsidP="00EA0DCE">
      <w:pPr>
        <w:pStyle w:val="Heading1"/>
        <w:widowControl/>
        <w:spacing w:before="100" w:beforeAutospacing="1" w:line="276" w:lineRule="auto"/>
        <w:ind w:left="0" w:firstLine="720"/>
        <w:rPr>
          <w:b w:val="0"/>
        </w:rPr>
      </w:pPr>
      <w:r>
        <w:rPr>
          <w:b w:val="0"/>
        </w:rPr>
        <w:t xml:space="preserve">As demonstrated, existing research has </w:t>
      </w:r>
      <w:r w:rsidR="00E73251">
        <w:rPr>
          <w:b w:val="0"/>
        </w:rPr>
        <w:t xml:space="preserve">illuminated </w:t>
      </w:r>
      <w:r>
        <w:rPr>
          <w:b w:val="0"/>
        </w:rPr>
        <w:t>differences in health outcomes by sexual orientation or gender identity. Thus, t</w:t>
      </w:r>
      <w:r w:rsidR="008C46B3">
        <w:rPr>
          <w:b w:val="0"/>
        </w:rPr>
        <w:t xml:space="preserve">he </w:t>
      </w:r>
      <w:r>
        <w:rPr>
          <w:b w:val="0"/>
        </w:rPr>
        <w:t xml:space="preserve">continued </w:t>
      </w:r>
      <w:r w:rsidR="008C46B3">
        <w:rPr>
          <w:b w:val="0"/>
        </w:rPr>
        <w:t xml:space="preserve">collection of SOGI data in the UDS would provide for </w:t>
      </w:r>
      <w:r w:rsidR="00B725A7">
        <w:rPr>
          <w:b w:val="0"/>
        </w:rPr>
        <w:t>greater understanding about these health disparities, a clearly stated goal of the</w:t>
      </w:r>
      <w:r w:rsidR="000848C0">
        <w:rPr>
          <w:b w:val="0"/>
        </w:rPr>
        <w:t xml:space="preserve"> UDS</w:t>
      </w:r>
      <w:r w:rsidR="00323F8A">
        <w:rPr>
          <w:b w:val="0"/>
        </w:rPr>
        <w:t xml:space="preserve"> to </w:t>
      </w:r>
      <w:r w:rsidR="00C1330A">
        <w:rPr>
          <w:b w:val="0"/>
        </w:rPr>
        <w:t>effectuate</w:t>
      </w:r>
      <w:r w:rsidR="00323F8A">
        <w:rPr>
          <w:b w:val="0"/>
        </w:rPr>
        <w:t xml:space="preserve"> </w:t>
      </w:r>
      <w:r w:rsidR="00C1330A">
        <w:rPr>
          <w:b w:val="0"/>
        </w:rPr>
        <w:t>the purpose of the authorizing statutes</w:t>
      </w:r>
      <w:r w:rsidR="00B725A7">
        <w:rPr>
          <w:b w:val="0"/>
        </w:rPr>
        <w:t>.</w:t>
      </w:r>
    </w:p>
    <w:p w14:paraId="26D33DF8" w14:textId="77777777" w:rsidR="00CC78C6" w:rsidRPr="00C2719C" w:rsidRDefault="00CC78C6" w:rsidP="00EA0DCE">
      <w:pPr>
        <w:pStyle w:val="BodyText"/>
        <w:widowControl/>
        <w:numPr>
          <w:ilvl w:val="1"/>
          <w:numId w:val="11"/>
        </w:numPr>
        <w:spacing w:before="100" w:beforeAutospacing="1" w:line="276" w:lineRule="auto"/>
        <w:ind w:right="204"/>
        <w:rPr>
          <w:b/>
          <w:bCs/>
          <w:u w:val="single"/>
        </w:rPr>
      </w:pPr>
      <w:r w:rsidRPr="00C2719C">
        <w:rPr>
          <w:b/>
          <w:bCs/>
          <w:u w:val="single"/>
        </w:rPr>
        <w:t xml:space="preserve">LGBT </w:t>
      </w:r>
      <w:r>
        <w:rPr>
          <w:b/>
          <w:bCs/>
          <w:u w:val="single"/>
        </w:rPr>
        <w:t xml:space="preserve">People Are Served </w:t>
      </w:r>
      <w:proofErr w:type="gramStart"/>
      <w:r>
        <w:rPr>
          <w:b/>
          <w:bCs/>
          <w:u w:val="single"/>
        </w:rPr>
        <w:t>By</w:t>
      </w:r>
      <w:proofErr w:type="gramEnd"/>
      <w:r>
        <w:rPr>
          <w:b/>
          <w:bCs/>
          <w:u w:val="single"/>
        </w:rPr>
        <w:t xml:space="preserve"> Existing FQHCs and </w:t>
      </w:r>
      <w:r w:rsidRPr="00C2719C">
        <w:rPr>
          <w:b/>
          <w:bCs/>
          <w:u w:val="single"/>
        </w:rPr>
        <w:t xml:space="preserve">Likely Constitute Significant Portions of the </w:t>
      </w:r>
      <w:r>
        <w:rPr>
          <w:b/>
          <w:bCs/>
          <w:u w:val="single"/>
        </w:rPr>
        <w:t>Underserved</w:t>
      </w:r>
      <w:r w:rsidRPr="00C2719C">
        <w:rPr>
          <w:b/>
          <w:bCs/>
          <w:u w:val="single"/>
        </w:rPr>
        <w:t xml:space="preserve"> Populations Identified </w:t>
      </w:r>
      <w:r w:rsidRPr="00BB166E">
        <w:rPr>
          <w:b/>
          <w:bCs/>
          <w:u w:val="single"/>
        </w:rPr>
        <w:t>by</w:t>
      </w:r>
      <w:r w:rsidRPr="00C2719C">
        <w:rPr>
          <w:b/>
          <w:bCs/>
          <w:u w:val="single"/>
        </w:rPr>
        <w:t xml:space="preserve"> Statute</w:t>
      </w:r>
    </w:p>
    <w:p w14:paraId="10FD25BE" w14:textId="43097693" w:rsidR="00CC78C6" w:rsidRDefault="00CC78C6" w:rsidP="00EA0DCE">
      <w:pPr>
        <w:pStyle w:val="BodyText"/>
        <w:widowControl/>
        <w:spacing w:before="100" w:beforeAutospacing="1" w:line="276" w:lineRule="auto"/>
        <w:ind w:left="0" w:right="204" w:firstLine="720"/>
      </w:pPr>
      <w:r>
        <w:t>While UDS reporting is required of many health centers</w:t>
      </w:r>
      <w:r w:rsidR="005A5679">
        <w:t xml:space="preserve"> that serve a range of patients</w:t>
      </w:r>
      <w:r>
        <w:t>, health centers receiving grants under Section 330 of the PHSA primarily provide healthcare to a medically underserved population</w:t>
      </w:r>
      <w:r w:rsidR="00334DE3">
        <w:t xml:space="preserve">, </w:t>
      </w:r>
      <w:r w:rsidR="00A96460">
        <w:t xml:space="preserve">meaning a </w:t>
      </w:r>
      <w:r w:rsidR="00A96460" w:rsidRPr="00A96460">
        <w:t>population of an urban or rural area</w:t>
      </w:r>
      <w:r w:rsidR="00950D9F">
        <w:t xml:space="preserve"> or a group of people</w:t>
      </w:r>
      <w:r w:rsidR="00A96460" w:rsidRPr="00A96460">
        <w:t xml:space="preserve"> </w:t>
      </w:r>
      <w:r w:rsidR="00F0493A">
        <w:t>designated by the Secretary of Health and Human Services as having</w:t>
      </w:r>
      <w:r w:rsidR="00A96460" w:rsidRPr="00A96460">
        <w:t xml:space="preserve"> a shortage of health services</w:t>
      </w:r>
      <w:r w:rsidR="00A83717">
        <w:t>.</w:t>
      </w:r>
      <w:r w:rsidR="00F0493A">
        <w:rPr>
          <w:rStyle w:val="FootnoteReference"/>
        </w:rPr>
        <w:footnoteReference w:id="48"/>
      </w:r>
      <w:r w:rsidR="00A83717">
        <w:t xml:space="preserve"> Certain population groups are also statutorily </w:t>
      </w:r>
      <w:r w:rsidR="00990888">
        <w:t>defined to be a</w:t>
      </w:r>
      <w:r>
        <w:t xml:space="preserve"> “special medically underserved population.”</w:t>
      </w:r>
      <w:r>
        <w:rPr>
          <w:rStyle w:val="FootnoteReference"/>
        </w:rPr>
        <w:footnoteReference w:id="49"/>
      </w:r>
      <w:r>
        <w:t xml:space="preserve"> </w:t>
      </w:r>
      <w:r w:rsidR="004D4226">
        <w:t>W</w:t>
      </w:r>
      <w:r w:rsidR="005A5679">
        <w:t>hile LGBT people are not identified as a</w:t>
      </w:r>
      <w:r w:rsidR="002A65E2">
        <w:t xml:space="preserve"> special</w:t>
      </w:r>
      <w:r w:rsidR="005A5679">
        <w:t xml:space="preserve"> medically underserved population by statute, </w:t>
      </w:r>
      <w:r>
        <w:t xml:space="preserve">the National Association of Community Health Centers </w:t>
      </w:r>
      <w:r w:rsidR="004D4226">
        <w:t>acknowledges</w:t>
      </w:r>
      <w:r>
        <w:t xml:space="preserve"> that health centers provide “comprehensive, culturally competent primary health services to a wide range of vulnerable populations such as… the LGBTQ+ community.”</w:t>
      </w:r>
      <w:r>
        <w:rPr>
          <w:rStyle w:val="FootnoteReference"/>
        </w:rPr>
        <w:footnoteReference w:id="50"/>
      </w:r>
      <w:r>
        <w:t xml:space="preserve"> </w:t>
      </w:r>
    </w:p>
    <w:p w14:paraId="5A9DAAE9" w14:textId="4166D7E3" w:rsidR="00CC78C6" w:rsidRDefault="004A268D" w:rsidP="00BD566D">
      <w:pPr>
        <w:pStyle w:val="BodyText"/>
        <w:widowControl/>
        <w:spacing w:before="100" w:beforeAutospacing="1" w:line="276" w:lineRule="auto"/>
        <w:ind w:left="0" w:firstLine="720"/>
      </w:pPr>
      <w:r>
        <w:lastRenderedPageBreak/>
        <w:t>Some existing FQHCs specialize in care for LGBT people and serve mostly LGBT patients.</w:t>
      </w:r>
      <w:r>
        <w:rPr>
          <w:rStyle w:val="FootnoteReference"/>
        </w:rPr>
        <w:footnoteReference w:id="51"/>
      </w:r>
      <w:r>
        <w:t xml:space="preserve"> </w:t>
      </w:r>
      <w:r w:rsidR="00CC78C6">
        <w:t xml:space="preserve">Additionally, LGBT people likely constitute significant portions of the populations identified in Section 330 of the PHSA as “special medically underserved populations,” which are people experiencing homelessness, residents of federal housing, </w:t>
      </w:r>
      <w:r>
        <w:t xml:space="preserve">and </w:t>
      </w:r>
      <w:r w:rsidR="00CC78C6">
        <w:t>migratory or seasonal agricultural workers.</w:t>
      </w:r>
      <w:r w:rsidR="00CC78C6">
        <w:rPr>
          <w:rStyle w:val="FootnoteReference"/>
        </w:rPr>
        <w:footnoteReference w:id="52"/>
      </w:r>
      <w:r w:rsidR="00CC78C6">
        <w:t xml:space="preserve"> </w:t>
      </w:r>
      <w:r>
        <w:t>Research shows that LGBT people disproportionately experience homelessness. For example</w:t>
      </w:r>
      <w:r w:rsidR="00CC78C6">
        <w:t>, a 2020 Williams Institute</w:t>
      </w:r>
      <w:r>
        <w:t xml:space="preserve"> report</w:t>
      </w:r>
      <w:r w:rsidR="00CC78C6">
        <w:t xml:space="preserve"> </w:t>
      </w:r>
      <w:r w:rsidR="00E75F75">
        <w:t xml:space="preserve">using Generations and </w:t>
      </w:r>
      <w:proofErr w:type="spellStart"/>
      <w:r w:rsidR="00E75F75">
        <w:t>TransPop</w:t>
      </w:r>
      <w:proofErr w:type="spellEnd"/>
      <w:r w:rsidR="00E75F75">
        <w:t xml:space="preserve"> data </w:t>
      </w:r>
      <w:r w:rsidR="00CC78C6">
        <w:t xml:space="preserve">found that sexual minority adults </w:t>
      </w:r>
      <w:r w:rsidR="009970E6">
        <w:t xml:space="preserve">were </w:t>
      </w:r>
      <w:r w:rsidR="00CC78C6">
        <w:t>twice as likely as the general population to have experienced homelessness in their lifetime.</w:t>
      </w:r>
      <w:r w:rsidR="00CC78C6">
        <w:rPr>
          <w:rStyle w:val="FootnoteReference"/>
        </w:rPr>
        <w:footnoteReference w:id="53"/>
      </w:r>
      <w:r w:rsidR="00CC78C6">
        <w:t xml:space="preserve"> The same report found that 8.3% of transgender people</w:t>
      </w:r>
      <w:r>
        <w:t>,</w:t>
      </w:r>
      <w:r w:rsidR="00CC78C6">
        <w:t xml:space="preserve"> versus 1.</w:t>
      </w:r>
      <w:r w:rsidR="00BD566D">
        <w:t>4</w:t>
      </w:r>
      <w:r w:rsidR="00CC78C6">
        <w:t>% of cisgender straight individuals</w:t>
      </w:r>
      <w:r>
        <w:t>,</w:t>
      </w:r>
      <w:r w:rsidR="00CC78C6">
        <w:t xml:space="preserve"> experienced homelessness in the </w:t>
      </w:r>
      <w:r>
        <w:t>prior year</w:t>
      </w:r>
      <w:r w:rsidR="00CC78C6">
        <w:t>.</w:t>
      </w:r>
      <w:r w:rsidR="00CC78C6">
        <w:rPr>
          <w:rStyle w:val="FootnoteReference"/>
        </w:rPr>
        <w:footnoteReference w:id="54"/>
      </w:r>
      <w:r w:rsidR="00CC78C6">
        <w:t xml:space="preserve"> </w:t>
      </w:r>
    </w:p>
    <w:p w14:paraId="6DB29205" w14:textId="41597333" w:rsidR="00CC78C6" w:rsidRDefault="00CC78C6" w:rsidP="00BD566D">
      <w:pPr>
        <w:pStyle w:val="BodyText"/>
        <w:widowControl/>
        <w:spacing w:before="100" w:beforeAutospacing="1" w:line="276" w:lineRule="auto"/>
        <w:ind w:left="0" w:right="204" w:firstLine="720"/>
      </w:pPr>
      <w:r>
        <w:t xml:space="preserve">Residents of federal housing and seasonal or migratory agricultural workers are also statutorily defined to be special underserved populations. </w:t>
      </w:r>
      <w:r w:rsidR="004A268D">
        <w:t xml:space="preserve">A </w:t>
      </w:r>
      <w:r>
        <w:t xml:space="preserve">Center for American Progress </w:t>
      </w:r>
      <w:r w:rsidR="004A268D">
        <w:t xml:space="preserve">survey </w:t>
      </w:r>
      <w:r>
        <w:t xml:space="preserve">found that LGBTQ respondents, particularly transgender and disabled LGBTQ respondents, </w:t>
      </w:r>
      <w:r w:rsidRPr="009161AD">
        <w:t>relied on public housing assistance</w:t>
      </w:r>
      <w:r>
        <w:t xml:space="preserve"> at a significantly higher rate</w:t>
      </w:r>
      <w:r w:rsidRPr="009161AD">
        <w:t xml:space="preserve"> </w:t>
      </w:r>
      <w:r>
        <w:t xml:space="preserve">compared to </w:t>
      </w:r>
      <w:r w:rsidRPr="009161AD">
        <w:t>non-LGBTQ respondents.</w:t>
      </w:r>
      <w:r>
        <w:rPr>
          <w:rStyle w:val="FootnoteReference"/>
        </w:rPr>
        <w:footnoteReference w:id="55"/>
      </w:r>
      <w:r>
        <w:t xml:space="preserve"> </w:t>
      </w:r>
      <w:r w:rsidR="004A268D">
        <w:t>While r</w:t>
      </w:r>
      <w:r>
        <w:t xml:space="preserve">eliable data are lacking on LGBTQ seasonal or agricultural workers, research is available on the adult immigrant LGBT population in the U.S. As </w:t>
      </w:r>
      <w:r w:rsidR="004A268D">
        <w:t>only one third (</w:t>
      </w:r>
      <w:r>
        <w:t>32%</w:t>
      </w:r>
      <w:r w:rsidR="004A268D">
        <w:t>)</w:t>
      </w:r>
      <w:r>
        <w:t xml:space="preserve"> of crop farmworkers in the U.S. were U.S. born, these data may help in understanding this subpopulation.</w:t>
      </w:r>
      <w:r>
        <w:rPr>
          <w:rStyle w:val="FootnoteReference"/>
        </w:rPr>
        <w:footnoteReference w:id="56"/>
      </w:r>
      <w:r>
        <w:t xml:space="preserve"> Williams Institute research using both private and federal data sets </w:t>
      </w:r>
      <w:r w:rsidR="004A268D">
        <w:t xml:space="preserve">showed </w:t>
      </w:r>
      <w:r>
        <w:t>that over 3% of all immigrant adults in the U.S., or nearly 1.3 million people, identify as LGBT.</w:t>
      </w:r>
      <w:r>
        <w:rPr>
          <w:rStyle w:val="FootnoteReference"/>
        </w:rPr>
        <w:footnoteReference w:id="57"/>
      </w:r>
      <w:r>
        <w:t xml:space="preserve"> Of this group, 289,700 are undocumented.</w:t>
      </w:r>
      <w:r>
        <w:rPr>
          <w:rStyle w:val="FootnoteReference"/>
        </w:rPr>
        <w:footnoteReference w:id="58"/>
      </w:r>
    </w:p>
    <w:p w14:paraId="23435689" w14:textId="04AAAF2F" w:rsidR="00CC78C6" w:rsidRDefault="00CC78C6" w:rsidP="00BD566D">
      <w:pPr>
        <w:pStyle w:val="BodyText"/>
        <w:widowControl/>
        <w:spacing w:before="100" w:beforeAutospacing="1" w:line="276" w:lineRule="auto"/>
        <w:ind w:left="0" w:right="204" w:firstLine="720"/>
      </w:pPr>
      <w:r>
        <w:t>The continued collection of SOGI data by health centers serving the LGBTQ population primarily or as an important subset of another population may be particularly useful to inform public health interventions for medically underserved populations, furthering the Department’s stated goals in its information collection practices.</w:t>
      </w:r>
    </w:p>
    <w:p w14:paraId="36658F9E" w14:textId="77777777" w:rsidR="00074A30" w:rsidRDefault="00074A30" w:rsidP="00BD566D">
      <w:pPr>
        <w:pStyle w:val="BodyText"/>
        <w:widowControl/>
        <w:spacing w:before="100" w:beforeAutospacing="1" w:line="276" w:lineRule="auto"/>
        <w:ind w:left="0" w:right="204" w:firstLine="720"/>
      </w:pPr>
    </w:p>
    <w:p w14:paraId="4242A406" w14:textId="77777777" w:rsidR="00074A30" w:rsidRDefault="00074A30" w:rsidP="00BD566D">
      <w:pPr>
        <w:pStyle w:val="BodyText"/>
        <w:widowControl/>
        <w:spacing w:before="100" w:beforeAutospacing="1" w:line="276" w:lineRule="auto"/>
        <w:ind w:left="0" w:right="204" w:firstLine="720"/>
      </w:pPr>
    </w:p>
    <w:p w14:paraId="3DEEDFD1" w14:textId="01A6880F" w:rsidR="00FE30E0" w:rsidRPr="00196D06" w:rsidRDefault="00BC1E36" w:rsidP="00BD566D">
      <w:pPr>
        <w:pStyle w:val="BodyText"/>
        <w:widowControl/>
        <w:numPr>
          <w:ilvl w:val="0"/>
          <w:numId w:val="11"/>
        </w:numPr>
        <w:spacing w:before="100" w:beforeAutospacing="1" w:line="276" w:lineRule="auto"/>
        <w:rPr>
          <w:b/>
          <w:bCs/>
          <w:u w:val="single"/>
        </w:rPr>
      </w:pPr>
      <w:r w:rsidRPr="00196D06">
        <w:rPr>
          <w:b/>
          <w:bCs/>
          <w:u w:val="single"/>
        </w:rPr>
        <w:lastRenderedPageBreak/>
        <w:t>Evidenc</w:t>
      </w:r>
      <w:r w:rsidR="007203F5" w:rsidRPr="00196D06">
        <w:rPr>
          <w:b/>
          <w:bCs/>
          <w:u w:val="single"/>
        </w:rPr>
        <w:t>e</w:t>
      </w:r>
      <w:r w:rsidRPr="00196D06">
        <w:rPr>
          <w:b/>
          <w:bCs/>
          <w:u w:val="single"/>
        </w:rPr>
        <w:t xml:space="preserve"> Suppo</w:t>
      </w:r>
      <w:r w:rsidR="009128B6" w:rsidRPr="00196D06">
        <w:rPr>
          <w:b/>
          <w:bCs/>
          <w:u w:val="single"/>
        </w:rPr>
        <w:t>rt</w:t>
      </w:r>
      <w:r w:rsidR="00C743E0" w:rsidRPr="00196D06">
        <w:rPr>
          <w:b/>
          <w:bCs/>
          <w:u w:val="single"/>
        </w:rPr>
        <w:t>s Continued</w:t>
      </w:r>
      <w:r w:rsidR="00115BE6" w:rsidRPr="00196D06">
        <w:rPr>
          <w:b/>
          <w:bCs/>
          <w:u w:val="single"/>
        </w:rPr>
        <w:t xml:space="preserve"> Inclusion of SOGI </w:t>
      </w:r>
      <w:r w:rsidR="006064C6" w:rsidRPr="00196D06">
        <w:rPr>
          <w:b/>
          <w:bCs/>
          <w:u w:val="single"/>
        </w:rPr>
        <w:t xml:space="preserve">Measures </w:t>
      </w:r>
      <w:r w:rsidR="008C7543" w:rsidRPr="00196D06">
        <w:rPr>
          <w:b/>
          <w:bCs/>
          <w:u w:val="single"/>
        </w:rPr>
        <w:t xml:space="preserve">in the UDS </w:t>
      </w:r>
      <w:r w:rsidR="00115BE6" w:rsidRPr="00196D06">
        <w:rPr>
          <w:b/>
          <w:bCs/>
          <w:u w:val="single"/>
        </w:rPr>
        <w:t xml:space="preserve">and </w:t>
      </w:r>
      <w:r w:rsidR="00620E17">
        <w:rPr>
          <w:b/>
          <w:bCs/>
          <w:u w:val="single"/>
        </w:rPr>
        <w:t>O</w:t>
      </w:r>
      <w:r w:rsidR="00115BE6" w:rsidRPr="00196D06">
        <w:rPr>
          <w:b/>
          <w:bCs/>
          <w:u w:val="single"/>
        </w:rPr>
        <w:t>ther Federal Surveys</w:t>
      </w:r>
    </w:p>
    <w:p w14:paraId="61584E72" w14:textId="64B3C7DD" w:rsidR="00FE30E0" w:rsidRPr="00EF42A6" w:rsidRDefault="00115BE6" w:rsidP="00BD566D">
      <w:pPr>
        <w:pStyle w:val="BodyText"/>
        <w:widowControl/>
        <w:spacing w:before="100" w:beforeAutospacing="1" w:line="276" w:lineRule="auto"/>
        <w:ind w:left="0" w:firstLine="720"/>
        <w:rPr>
          <w:spacing w:val="-2"/>
        </w:rPr>
      </w:pPr>
      <w:r>
        <w:t>There is a strong evidence base demonstrating the importance of including sexual orientation and gender identity</w:t>
      </w:r>
      <w:r w:rsidR="00A32C77">
        <w:t xml:space="preserve"> </w:t>
      </w:r>
      <w:r>
        <w:t xml:space="preserve">measures </w:t>
      </w:r>
      <w:r w:rsidR="000C0135">
        <w:t>i</w:t>
      </w:r>
      <w:r w:rsidR="00C743E0">
        <w:t xml:space="preserve">n federal </w:t>
      </w:r>
      <w:r w:rsidR="000C0135">
        <w:t>data collection</w:t>
      </w:r>
      <w:r w:rsidR="00521753">
        <w:t>s</w:t>
      </w:r>
      <w:r w:rsidR="006878C5">
        <w:t xml:space="preserve">, including in </w:t>
      </w:r>
      <w:r w:rsidR="00DC7369">
        <w:t>administrative and clinical settings</w:t>
      </w:r>
      <w:r w:rsidR="00A32C77">
        <w:t>,</w:t>
      </w:r>
      <w:r w:rsidR="00C743E0">
        <w:t xml:space="preserve"> </w:t>
      </w:r>
      <w:r w:rsidR="00A32C77">
        <w:t xml:space="preserve">along with </w:t>
      </w:r>
      <w:r>
        <w:t xml:space="preserve">outlining best practices for </w:t>
      </w:r>
      <w:r w:rsidR="00BB4ECB">
        <w:t>their implementation</w:t>
      </w:r>
      <w:r>
        <w:t>.</w:t>
      </w:r>
      <w:r w:rsidR="00B058A1">
        <w:rPr>
          <w:rStyle w:val="FootnoteReference"/>
        </w:rPr>
        <w:footnoteReference w:id="59"/>
      </w:r>
      <w:r>
        <w:t xml:space="preserve"> </w:t>
      </w:r>
      <w:r w:rsidRPr="00B535B0">
        <w:t>SOGI measures have been implemented and evaluated on community surveys, privately funded</w:t>
      </w:r>
      <w:r w:rsidRPr="00B535B0">
        <w:rPr>
          <w:spacing w:val="-4"/>
        </w:rPr>
        <w:t xml:space="preserve"> </w:t>
      </w:r>
      <w:r w:rsidRPr="00B535B0">
        <w:t>surveys,</w:t>
      </w:r>
      <w:r w:rsidRPr="00B535B0">
        <w:rPr>
          <w:spacing w:val="-3"/>
        </w:rPr>
        <w:t xml:space="preserve"> </w:t>
      </w:r>
      <w:r w:rsidRPr="00B535B0">
        <w:t>and</w:t>
      </w:r>
      <w:r w:rsidRPr="00B535B0">
        <w:rPr>
          <w:spacing w:val="-4"/>
        </w:rPr>
        <w:t xml:space="preserve"> </w:t>
      </w:r>
      <w:r w:rsidRPr="00B535B0">
        <w:t>some</w:t>
      </w:r>
      <w:r w:rsidRPr="00B535B0">
        <w:rPr>
          <w:spacing w:val="-6"/>
        </w:rPr>
        <w:t xml:space="preserve"> </w:t>
      </w:r>
      <w:r w:rsidRPr="00B535B0">
        <w:t>government-funded</w:t>
      </w:r>
      <w:r w:rsidRPr="00B535B0">
        <w:rPr>
          <w:spacing w:val="-4"/>
        </w:rPr>
        <w:t xml:space="preserve"> </w:t>
      </w:r>
      <w:r w:rsidRPr="00B535B0">
        <w:t>population</w:t>
      </w:r>
      <w:r w:rsidRPr="00B535B0">
        <w:rPr>
          <w:spacing w:val="-4"/>
        </w:rPr>
        <w:t xml:space="preserve"> </w:t>
      </w:r>
      <w:r w:rsidRPr="00B535B0">
        <w:t>surveys</w:t>
      </w:r>
      <w:r w:rsidRPr="00B535B0">
        <w:rPr>
          <w:spacing w:val="-3"/>
        </w:rPr>
        <w:t xml:space="preserve"> </w:t>
      </w:r>
      <w:r w:rsidRPr="00B535B0">
        <w:t>for</w:t>
      </w:r>
      <w:r w:rsidRPr="00B535B0">
        <w:rPr>
          <w:spacing w:val="-4"/>
        </w:rPr>
        <w:t xml:space="preserve"> </w:t>
      </w:r>
      <w:r w:rsidRPr="00B535B0">
        <w:t>decades.</w:t>
      </w:r>
      <w:r w:rsidR="00683BDB">
        <w:rPr>
          <w:rStyle w:val="FootnoteReference"/>
        </w:rPr>
        <w:footnoteReference w:id="60"/>
      </w:r>
      <w:r w:rsidRPr="00B535B0">
        <w:rPr>
          <w:spacing w:val="-2"/>
        </w:rPr>
        <w:t xml:space="preserve"> </w:t>
      </w:r>
      <w:r>
        <w:rPr>
          <w:spacing w:val="-2"/>
        </w:rPr>
        <w:t xml:space="preserve">In March 2022, </w:t>
      </w:r>
      <w:r>
        <w:t>a</w:t>
      </w:r>
      <w:r w:rsidRPr="00B535B0">
        <w:t>fter</w:t>
      </w:r>
      <w:r w:rsidRPr="00B535B0">
        <w:rPr>
          <w:spacing w:val="-4"/>
        </w:rPr>
        <w:t xml:space="preserve"> </w:t>
      </w:r>
      <w:r w:rsidRPr="00B535B0">
        <w:t>convening</w:t>
      </w:r>
      <w:r w:rsidRPr="00B535B0">
        <w:rPr>
          <w:spacing w:val="-4"/>
        </w:rPr>
        <w:t xml:space="preserve"> </w:t>
      </w:r>
      <w:r w:rsidRPr="00B535B0">
        <w:t xml:space="preserve">a panel of experts, the National Academies of Sciences, Engineering and Medicine released a consensus report documenting the results of </w:t>
      </w:r>
      <w:r w:rsidR="00240D1B">
        <w:t xml:space="preserve">a </w:t>
      </w:r>
      <w:r w:rsidRPr="00B535B0">
        <w:t xml:space="preserve">rigorous evaluation of sex, </w:t>
      </w:r>
      <w:r w:rsidR="000B1DB2">
        <w:t xml:space="preserve">gender identity, and </w:t>
      </w:r>
      <w:r w:rsidRPr="00B535B0">
        <w:t>sexual orientation measures</w:t>
      </w:r>
      <w:r w:rsidR="0017119B">
        <w:t>,</w:t>
      </w:r>
      <w:r>
        <w:t xml:space="preserve"> </w:t>
      </w:r>
      <w:r w:rsidR="004B44AE">
        <w:t>identifying</w:t>
      </w:r>
      <w:r>
        <w:t xml:space="preserve"> best practices for </w:t>
      </w:r>
      <w:r w:rsidR="00285C75">
        <w:t>their</w:t>
      </w:r>
      <w:r w:rsidR="00650E2E">
        <w:t xml:space="preserve"> use and</w:t>
      </w:r>
      <w:r w:rsidR="0069089F">
        <w:t xml:space="preserve"> </w:t>
      </w:r>
      <w:r w:rsidR="00E211BD">
        <w:t>integration</w:t>
      </w:r>
      <w:r w:rsidR="00285C75">
        <w:t xml:space="preserve"> </w:t>
      </w:r>
      <w:r w:rsidRPr="00B535B0">
        <w:t>(“NASEM Report”).</w:t>
      </w:r>
      <w:r w:rsidRPr="00B535B0">
        <w:rPr>
          <w:rStyle w:val="FootnoteReference"/>
        </w:rPr>
        <w:footnoteReference w:id="61"/>
      </w:r>
      <w:r w:rsidRPr="00B535B0">
        <w:t xml:space="preserve"> </w:t>
      </w:r>
      <w:r w:rsidR="00240D1B">
        <w:rPr>
          <w:spacing w:val="-2"/>
        </w:rPr>
        <w:t xml:space="preserve">Notably, </w:t>
      </w:r>
      <w:r w:rsidR="00240D1B">
        <w:rPr>
          <w:color w:val="000000"/>
        </w:rPr>
        <w:t>t</w:t>
      </w:r>
      <w:r w:rsidR="00240D1B" w:rsidRPr="00CB5399">
        <w:rPr>
          <w:color w:val="000000"/>
        </w:rPr>
        <w:t xml:space="preserve">he study </w:t>
      </w:r>
      <w:r w:rsidR="00240D1B">
        <w:rPr>
          <w:color w:val="000000"/>
        </w:rPr>
        <w:t>advocates for</w:t>
      </w:r>
      <w:r w:rsidR="00240D1B" w:rsidRPr="00CB5399">
        <w:rPr>
          <w:color w:val="000000"/>
        </w:rPr>
        <w:t xml:space="preserve"> the adoption of measures that allow self-identification of gender</w:t>
      </w:r>
      <w:r w:rsidR="00240D1B">
        <w:rPr>
          <w:color w:val="000000"/>
        </w:rPr>
        <w:t xml:space="preserve"> </w:t>
      </w:r>
      <w:r w:rsidR="00240D1B" w:rsidRPr="00CB5399">
        <w:rPr>
          <w:color w:val="000000"/>
        </w:rPr>
        <w:t>in all contexts</w:t>
      </w:r>
      <w:r w:rsidR="004A268D">
        <w:rPr>
          <w:color w:val="000000"/>
        </w:rPr>
        <w:t>, including in administrative forms and health records</w:t>
      </w:r>
      <w:r w:rsidR="00240D1B" w:rsidRPr="00CB5399">
        <w:rPr>
          <w:color w:val="000000"/>
        </w:rPr>
        <w:t>.</w:t>
      </w:r>
      <w:r w:rsidR="00240D1B" w:rsidRPr="00CB5399">
        <w:rPr>
          <w:rStyle w:val="FootnoteReference"/>
          <w:color w:val="000000"/>
        </w:rPr>
        <w:footnoteReference w:id="62"/>
      </w:r>
      <w:r w:rsidR="00240D1B">
        <w:rPr>
          <w:color w:val="000000"/>
        </w:rPr>
        <w:t xml:space="preserve"> </w:t>
      </w:r>
      <w:r w:rsidRPr="00B535B0">
        <w:t xml:space="preserve">The NASEM Report </w:t>
      </w:r>
      <w:r w:rsidR="00FD49B5">
        <w:t xml:space="preserve">is </w:t>
      </w:r>
      <w:r w:rsidRPr="00B535B0">
        <w:t xml:space="preserve">considered </w:t>
      </w:r>
      <w:r w:rsidR="00FD49B5">
        <w:t xml:space="preserve">the </w:t>
      </w:r>
      <w:r w:rsidR="005400B9">
        <w:t xml:space="preserve">gold standard </w:t>
      </w:r>
      <w:r w:rsidRPr="00B535B0">
        <w:t xml:space="preserve">model for agencies when designing </w:t>
      </w:r>
      <w:r w:rsidR="0057795F">
        <w:rPr>
          <w:spacing w:val="-2"/>
        </w:rPr>
        <w:t xml:space="preserve">data collection inclusive of </w:t>
      </w:r>
      <w:r w:rsidR="00341512">
        <w:rPr>
          <w:spacing w:val="-2"/>
        </w:rPr>
        <w:t>SOGI</w:t>
      </w:r>
      <w:r w:rsidRPr="00B535B0">
        <w:rPr>
          <w:spacing w:val="-2"/>
        </w:rPr>
        <w:t>.</w:t>
      </w:r>
      <w:r>
        <w:rPr>
          <w:rStyle w:val="FootnoteReference"/>
          <w:spacing w:val="-2"/>
        </w:rPr>
        <w:footnoteReference w:id="63"/>
      </w:r>
      <w:r>
        <w:rPr>
          <w:spacing w:val="-2"/>
        </w:rPr>
        <w:t xml:space="preserve"> </w:t>
      </w:r>
    </w:p>
    <w:p w14:paraId="6D41B49D" w14:textId="77777777" w:rsidR="00341458" w:rsidRDefault="00101CBF" w:rsidP="00632ADC">
      <w:pPr>
        <w:pStyle w:val="BodyText"/>
        <w:widowControl/>
        <w:spacing w:before="100" w:beforeAutospacing="1" w:line="276" w:lineRule="auto"/>
        <w:ind w:left="0" w:firstLine="720"/>
      </w:pPr>
      <w:r>
        <w:t xml:space="preserve">In the </w:t>
      </w:r>
      <w:r w:rsidR="00C7513E">
        <w:t xml:space="preserve">context of health centers, </w:t>
      </w:r>
      <w:r w:rsidR="00C327B5">
        <w:rPr>
          <w:spacing w:val="-2"/>
        </w:rPr>
        <w:t>a</w:t>
      </w:r>
      <w:r w:rsidR="00C7513E">
        <w:rPr>
          <w:spacing w:val="-2"/>
        </w:rPr>
        <w:t xml:space="preserve"> </w:t>
      </w:r>
      <w:r w:rsidR="00C7513E" w:rsidRPr="00251BF9">
        <w:rPr>
          <w:spacing w:val="-2"/>
        </w:rPr>
        <w:t>2011 Institute of Medicine</w:t>
      </w:r>
      <w:r w:rsidR="00C7513E">
        <w:rPr>
          <w:spacing w:val="-2"/>
        </w:rPr>
        <w:t xml:space="preserve"> </w:t>
      </w:r>
      <w:r w:rsidR="00C7513E" w:rsidRPr="00251BF9">
        <w:rPr>
          <w:spacing w:val="-2"/>
        </w:rPr>
        <w:t>report recommended that SOGI</w:t>
      </w:r>
      <w:r w:rsidR="00C7513E">
        <w:rPr>
          <w:spacing w:val="-2"/>
        </w:rPr>
        <w:t xml:space="preserve"> data be collected </w:t>
      </w:r>
      <w:r w:rsidR="00C7513E" w:rsidRPr="00251BF9">
        <w:rPr>
          <w:spacing w:val="-2"/>
        </w:rPr>
        <w:t>for all patients</w:t>
      </w:r>
      <w:r w:rsidR="00C7513E">
        <w:rPr>
          <w:spacing w:val="-2"/>
        </w:rPr>
        <w:t xml:space="preserve"> </w:t>
      </w:r>
      <w:r w:rsidR="00C7513E" w:rsidRPr="00251BF9">
        <w:rPr>
          <w:spacing w:val="-2"/>
        </w:rPr>
        <w:t>accessing clinical care.</w:t>
      </w:r>
      <w:r w:rsidR="00C7513E">
        <w:rPr>
          <w:rStyle w:val="FootnoteReference"/>
          <w:spacing w:val="-2"/>
        </w:rPr>
        <w:footnoteReference w:id="64"/>
      </w:r>
      <w:r w:rsidR="00C7513E">
        <w:rPr>
          <w:spacing w:val="-2"/>
        </w:rPr>
        <w:t xml:space="preserve"> </w:t>
      </w:r>
      <w:r w:rsidR="00BE7EFB">
        <w:rPr>
          <w:spacing w:val="-2"/>
        </w:rPr>
        <w:t>Subsequently, w</w:t>
      </w:r>
      <w:r w:rsidR="00ED4B94">
        <w:rPr>
          <w:spacing w:val="-2"/>
        </w:rPr>
        <w:t>hen t</w:t>
      </w:r>
      <w:r w:rsidR="001662C7">
        <w:rPr>
          <w:spacing w:val="-2"/>
        </w:rPr>
        <w:t xml:space="preserve">he </w:t>
      </w:r>
      <w:r w:rsidR="003A6E4F">
        <w:t>UD</w:t>
      </w:r>
      <w:r w:rsidR="0085329D">
        <w:t>S</w:t>
      </w:r>
      <w:r w:rsidR="003A6E4F">
        <w:t xml:space="preserve"> began collecting s</w:t>
      </w:r>
      <w:r w:rsidR="008B0206">
        <w:t>exual orientation</w:t>
      </w:r>
      <w:r w:rsidR="003D30E9">
        <w:t xml:space="preserve"> and gender identity</w:t>
      </w:r>
      <w:r w:rsidR="008B0206">
        <w:t xml:space="preserve"> data </w:t>
      </w:r>
      <w:r w:rsidR="003A6E4F">
        <w:t>in 2016</w:t>
      </w:r>
      <w:r w:rsidR="00DE0809">
        <w:t>,</w:t>
      </w:r>
      <w:r w:rsidR="0064179F">
        <w:rPr>
          <w:rStyle w:val="FootnoteReference"/>
        </w:rPr>
        <w:footnoteReference w:id="65"/>
      </w:r>
      <w:r w:rsidR="009D53F3">
        <w:rPr>
          <w:spacing w:val="-2"/>
        </w:rPr>
        <w:t xml:space="preserve"> </w:t>
      </w:r>
      <w:r w:rsidR="00F67AD3">
        <w:t>t</w:t>
      </w:r>
      <w:r w:rsidR="009D53F3">
        <w:t>his</w:t>
      </w:r>
      <w:r w:rsidR="0085329D">
        <w:t xml:space="preserve"> </w:t>
      </w:r>
      <w:r w:rsidR="00F62ADF">
        <w:t>became</w:t>
      </w:r>
      <w:r w:rsidR="0085329D">
        <w:t xml:space="preserve"> the first </w:t>
      </w:r>
      <w:r w:rsidR="00CB3203">
        <w:t>federal requirement</w:t>
      </w:r>
      <w:r w:rsidR="00CB3203" w:rsidRPr="00CB3203">
        <w:t xml:space="preserve"> to </w:t>
      </w:r>
      <w:r w:rsidR="00CB3203">
        <w:t>collect</w:t>
      </w:r>
      <w:r w:rsidR="00CB3203" w:rsidRPr="00CB3203">
        <w:t xml:space="preserve"> SOGI data </w:t>
      </w:r>
      <w:r w:rsidR="00CB3203" w:rsidRPr="00D52742">
        <w:t>in any U.S. healthcare setting</w:t>
      </w:r>
      <w:r w:rsidR="009D53F3" w:rsidRPr="00D52742">
        <w:t>.</w:t>
      </w:r>
      <w:r w:rsidR="00CB3203" w:rsidRPr="00D52742">
        <w:rPr>
          <w:rStyle w:val="FootnoteReference"/>
        </w:rPr>
        <w:footnoteReference w:id="66"/>
      </w:r>
      <w:r w:rsidR="00CB3203" w:rsidRPr="00D52742">
        <w:t xml:space="preserve"> </w:t>
      </w:r>
      <w:r w:rsidR="004A268D">
        <w:t xml:space="preserve">Studies have found that this requirement led to increased compliance over time, with FQHCs collecting SOGI data </w:t>
      </w:r>
      <w:r w:rsidR="00E8387B">
        <w:t xml:space="preserve">for </w:t>
      </w:r>
      <w:r w:rsidR="007D3D3D">
        <w:t>about</w:t>
      </w:r>
      <w:r w:rsidR="00E8387B">
        <w:t xml:space="preserve"> three</w:t>
      </w:r>
      <w:r w:rsidR="0092310E">
        <w:t xml:space="preserve"> </w:t>
      </w:r>
      <w:r w:rsidR="00E8387B">
        <w:t xml:space="preserve">quarters of all patients </w:t>
      </w:r>
      <w:r w:rsidR="004A268D">
        <w:t xml:space="preserve">as of </w:t>
      </w:r>
      <w:r w:rsidR="00E8387B">
        <w:t>2021</w:t>
      </w:r>
      <w:r w:rsidR="00616C98" w:rsidRPr="00D52742">
        <w:t>.</w:t>
      </w:r>
      <w:r w:rsidR="0019221A" w:rsidRPr="00D52742">
        <w:rPr>
          <w:rStyle w:val="FootnoteReference"/>
        </w:rPr>
        <w:footnoteReference w:id="67"/>
      </w:r>
      <w:r w:rsidR="00F44CEC">
        <w:t xml:space="preserve"> </w:t>
      </w:r>
    </w:p>
    <w:p w14:paraId="486A7C27" w14:textId="334DE6F6" w:rsidR="00A46E45" w:rsidRDefault="00341458" w:rsidP="00F0715E">
      <w:pPr>
        <w:pStyle w:val="BodyText"/>
        <w:widowControl/>
        <w:spacing w:before="100" w:beforeAutospacing="1" w:line="276" w:lineRule="auto"/>
        <w:ind w:left="0" w:firstLine="720"/>
      </w:pPr>
      <w:r>
        <w:lastRenderedPageBreak/>
        <w:t>We also write to emphasize the importance of protection against discrimination related to data collection.</w:t>
      </w:r>
      <w:r w:rsidR="00F44CEC">
        <w:t xml:space="preserve"> </w:t>
      </w:r>
      <w:r w:rsidR="00C5715A">
        <w:t xml:space="preserve">HRSA </w:t>
      </w:r>
      <w:r w:rsidR="00A778B9">
        <w:t>has begun</w:t>
      </w:r>
      <w:r w:rsidR="00943615">
        <w:t xml:space="preserve"> implementing a new system to modernize </w:t>
      </w:r>
      <w:r w:rsidR="00A778B9">
        <w:t>UDS data reporting, referred to as UDS+</w:t>
      </w:r>
      <w:r w:rsidR="00336011">
        <w:t>, which is meant to aid health centers in submitting de</w:t>
      </w:r>
      <w:r w:rsidR="002C07A3">
        <w:t>-</w:t>
      </w:r>
      <w:r w:rsidR="00336011">
        <w:t>identified patient data.</w:t>
      </w:r>
      <w:r w:rsidR="00A778B9">
        <w:rPr>
          <w:rStyle w:val="FootnoteReference"/>
        </w:rPr>
        <w:footnoteReference w:id="68"/>
      </w:r>
      <w:r w:rsidR="007209FF">
        <w:t xml:space="preserve"> </w:t>
      </w:r>
      <w:r w:rsidR="00A46E45">
        <w:t xml:space="preserve">This modernization initiative underscores the importance of both privacy protections in patient data and the ability of health centers to report sensitive patient data. </w:t>
      </w:r>
      <w:r w:rsidR="007209FF">
        <w:t>We note</w:t>
      </w:r>
      <w:r w:rsidR="00632ADC">
        <w:t xml:space="preserve"> </w:t>
      </w:r>
      <w:r w:rsidR="007209FF">
        <w:t xml:space="preserve">our concern about potential harm to LGBTQ+ </w:t>
      </w:r>
      <w:r w:rsidR="00A46E45">
        <w:t>health center patients</w:t>
      </w:r>
      <w:r w:rsidR="007209FF">
        <w:t xml:space="preserve"> should there be a breach of confidentiality. All entities responsible for data collection must</w:t>
      </w:r>
      <w:r w:rsidR="00632ADC">
        <w:t xml:space="preserve"> </w:t>
      </w:r>
      <w:r w:rsidR="007209FF">
        <w:t>ensure the confidentiality of respondents’ demographic information</w:t>
      </w:r>
      <w:r w:rsidR="00391B34">
        <w:t xml:space="preserve"> under</w:t>
      </w:r>
      <w:r w:rsidR="007209FF">
        <w:t xml:space="preserve"> </w:t>
      </w:r>
      <w:r w:rsidR="00122E85">
        <w:t>all appropriate privacy standards</w:t>
      </w:r>
      <w:r w:rsidR="00CD5B70">
        <w:t xml:space="preserve"> to reduce the potential harm to respondents.</w:t>
      </w:r>
      <w:r w:rsidR="00122E85">
        <w:t xml:space="preserve"> </w:t>
      </w:r>
    </w:p>
    <w:p w14:paraId="0A4072A3" w14:textId="5C20AABC" w:rsidR="0085329D" w:rsidRPr="006735A1" w:rsidRDefault="007C04CC" w:rsidP="00F0715E">
      <w:pPr>
        <w:pStyle w:val="BodyText"/>
        <w:widowControl/>
        <w:spacing w:before="100" w:beforeAutospacing="1" w:line="276" w:lineRule="auto"/>
        <w:ind w:left="0" w:firstLine="720"/>
      </w:pPr>
      <w:r>
        <w:t xml:space="preserve">In sum, decades of research on the inclusion of SOGI measures in federal data collections, and research specifically focused on SOGI data collection by FQHCs, indicate that these data provide important and useful information, do not compromise data collection generally, and are not difficult or burdensome for FQHCs to collect. </w:t>
      </w:r>
    </w:p>
    <w:p w14:paraId="0E51C0DC" w14:textId="298FEB93" w:rsidR="00B81B3C" w:rsidRPr="00074A30" w:rsidRDefault="00B81B3C" w:rsidP="00BD566D">
      <w:pPr>
        <w:pStyle w:val="Heading1"/>
        <w:widowControl/>
        <w:numPr>
          <w:ilvl w:val="0"/>
          <w:numId w:val="11"/>
        </w:numPr>
        <w:tabs>
          <w:tab w:val="left" w:pos="1180"/>
        </w:tabs>
        <w:spacing w:before="100" w:beforeAutospacing="1" w:line="276" w:lineRule="auto"/>
        <w:rPr>
          <w:u w:val="single"/>
        </w:rPr>
      </w:pPr>
      <w:r w:rsidRPr="00074A30">
        <w:rPr>
          <w:u w:val="single"/>
        </w:rPr>
        <w:t>Conclusio</w:t>
      </w:r>
      <w:r w:rsidR="007203F5" w:rsidRPr="00074A30">
        <w:rPr>
          <w:u w:val="single"/>
        </w:rPr>
        <w:t>n</w:t>
      </w:r>
    </w:p>
    <w:p w14:paraId="143F7963" w14:textId="10774052" w:rsidR="00B81B3C" w:rsidRDefault="00AA770A" w:rsidP="00BD566D">
      <w:pPr>
        <w:pStyle w:val="BodyText"/>
        <w:widowControl/>
        <w:spacing w:before="100" w:beforeAutospacing="1" w:line="276" w:lineRule="auto"/>
        <w:ind w:left="0" w:right="204" w:firstLine="720"/>
      </w:pPr>
      <w:r>
        <w:t xml:space="preserve">The </w:t>
      </w:r>
      <w:r w:rsidR="008E3CC3">
        <w:t>Department</w:t>
      </w:r>
      <w:r>
        <w:t xml:space="preserve"> proposes to </w:t>
      </w:r>
      <w:r w:rsidR="00BD44C4">
        <w:t xml:space="preserve">eliminate the requirement </w:t>
      </w:r>
      <w:r w:rsidR="007C04CC">
        <w:t xml:space="preserve">that </w:t>
      </w:r>
      <w:r w:rsidR="00BD566D">
        <w:t>health centers</w:t>
      </w:r>
      <w:r w:rsidR="007C04CC">
        <w:t xml:space="preserve"> collect</w:t>
      </w:r>
      <w:r w:rsidR="00BD44C4">
        <w:t xml:space="preserve"> SOGI data </w:t>
      </w:r>
      <w:r w:rsidR="00BE73A0">
        <w:t xml:space="preserve">in upcoming iterations of UDS. </w:t>
      </w:r>
      <w:r w:rsidR="0041594C">
        <w:t>Existing</w:t>
      </w:r>
      <w:r w:rsidR="00C62420">
        <w:t xml:space="preserve"> evidence suggests that</w:t>
      </w:r>
      <w:r w:rsidR="00BC269C">
        <w:t xml:space="preserve"> </w:t>
      </w:r>
      <w:r w:rsidR="00BE73A0">
        <w:t xml:space="preserve">these data </w:t>
      </w:r>
      <w:r w:rsidR="00301B70">
        <w:t>illuminate existing disparities in healthcare access and health outcomes</w:t>
      </w:r>
      <w:r w:rsidR="007C04CC">
        <w:t xml:space="preserve"> for LGBT people</w:t>
      </w:r>
      <w:r w:rsidR="00301B70">
        <w:t xml:space="preserve">. </w:t>
      </w:r>
      <w:r w:rsidR="00281EFA">
        <w:t>I</w:t>
      </w:r>
      <w:r w:rsidR="0041594C">
        <w:t xml:space="preserve">nsight into these </w:t>
      </w:r>
      <w:r w:rsidR="007C441B">
        <w:t>differences</w:t>
      </w:r>
      <w:r w:rsidR="003A4332">
        <w:t xml:space="preserve">, through the </w:t>
      </w:r>
      <w:r w:rsidR="00795E49">
        <w:t xml:space="preserve">continued </w:t>
      </w:r>
      <w:r w:rsidR="003A4332">
        <w:t xml:space="preserve">inclusion of SOGI measures, could improve the ability of </w:t>
      </w:r>
      <w:r w:rsidR="003A4332" w:rsidRPr="00B535B0">
        <w:t>lawmakers, researchers</w:t>
      </w:r>
      <w:r w:rsidR="007C04CC">
        <w:t>,</w:t>
      </w:r>
      <w:r w:rsidR="003A4332" w:rsidRPr="00B535B0">
        <w:rPr>
          <w:spacing w:val="-1"/>
        </w:rPr>
        <w:t xml:space="preserve"> </w:t>
      </w:r>
      <w:r w:rsidR="003A4332" w:rsidRPr="00B535B0">
        <w:t>and</w:t>
      </w:r>
      <w:r w:rsidR="003A4332" w:rsidRPr="00B535B0">
        <w:rPr>
          <w:spacing w:val="-4"/>
        </w:rPr>
        <w:t xml:space="preserve"> </w:t>
      </w:r>
      <w:r w:rsidR="003A4332" w:rsidRPr="00B535B0">
        <w:t>the</w:t>
      </w:r>
      <w:r w:rsidR="003A4332" w:rsidRPr="00B535B0">
        <w:rPr>
          <w:spacing w:val="-6"/>
        </w:rPr>
        <w:t xml:space="preserve"> </w:t>
      </w:r>
      <w:r w:rsidR="003A4332" w:rsidRPr="00B535B0">
        <w:t>general</w:t>
      </w:r>
      <w:r w:rsidR="003A4332" w:rsidRPr="00B535B0">
        <w:rPr>
          <w:spacing w:val="-6"/>
        </w:rPr>
        <w:t xml:space="preserve"> </w:t>
      </w:r>
      <w:r w:rsidR="003A4332" w:rsidRPr="00B535B0">
        <w:t>public</w:t>
      </w:r>
      <w:r w:rsidR="003A4332" w:rsidRPr="00B535B0">
        <w:rPr>
          <w:spacing w:val="-4"/>
        </w:rPr>
        <w:t xml:space="preserve"> </w:t>
      </w:r>
      <w:r w:rsidR="003A4332" w:rsidRPr="00B535B0">
        <w:t>to</w:t>
      </w:r>
      <w:r w:rsidR="003A4332" w:rsidRPr="00B535B0">
        <w:rPr>
          <w:spacing w:val="-4"/>
        </w:rPr>
        <w:t xml:space="preserve"> </w:t>
      </w:r>
      <w:r w:rsidR="006474BA">
        <w:rPr>
          <w:spacing w:val="-4"/>
        </w:rPr>
        <w:t xml:space="preserve">better </w:t>
      </w:r>
      <w:r w:rsidR="003A4332" w:rsidRPr="00B535B0">
        <w:t>understand</w:t>
      </w:r>
      <w:r w:rsidR="003A4332" w:rsidRPr="00B535B0">
        <w:rPr>
          <w:spacing w:val="-4"/>
        </w:rPr>
        <w:t xml:space="preserve"> </w:t>
      </w:r>
      <w:r w:rsidR="003A4332" w:rsidRPr="00B535B0">
        <w:t>and</w:t>
      </w:r>
      <w:r w:rsidR="003A4332" w:rsidRPr="00B535B0">
        <w:rPr>
          <w:spacing w:val="-4"/>
        </w:rPr>
        <w:t xml:space="preserve"> </w:t>
      </w:r>
      <w:r w:rsidR="003A4332" w:rsidRPr="00B535B0">
        <w:t>address</w:t>
      </w:r>
      <w:r w:rsidR="003A4332" w:rsidRPr="00B535B0">
        <w:rPr>
          <w:spacing w:val="-3"/>
        </w:rPr>
        <w:t xml:space="preserve"> the </w:t>
      </w:r>
      <w:r w:rsidR="003A4332" w:rsidRPr="00B535B0">
        <w:t>wellbeing of the American population</w:t>
      </w:r>
      <w:r w:rsidR="003B3BB9">
        <w:t xml:space="preserve"> through the Public Health Services Act and other </w:t>
      </w:r>
      <w:r w:rsidR="007C04CC">
        <w:t xml:space="preserve">laws, policies, </w:t>
      </w:r>
      <w:r w:rsidR="00735E60">
        <w:t>and</w:t>
      </w:r>
      <w:r w:rsidR="007C04CC">
        <w:t xml:space="preserve"> health interventions.</w:t>
      </w:r>
      <w:r w:rsidR="00A357BC">
        <w:t xml:space="preserve"> </w:t>
      </w:r>
    </w:p>
    <w:p w14:paraId="50222A1F" w14:textId="2B55D7C8" w:rsidR="00FE30E0" w:rsidRPr="007203F5" w:rsidRDefault="00B81B3C" w:rsidP="00BD566D">
      <w:pPr>
        <w:pStyle w:val="BodyText"/>
        <w:widowControl/>
        <w:spacing w:before="100" w:beforeAutospacing="1" w:line="276" w:lineRule="auto"/>
        <w:ind w:left="0" w:right="204" w:firstLine="620"/>
      </w:pPr>
      <w:r w:rsidRPr="00B535B0">
        <w:t xml:space="preserve">The Williams Institute </w:t>
      </w:r>
      <w:r w:rsidR="00040CAE">
        <w:t>appreciates</w:t>
      </w:r>
      <w:r w:rsidR="003206BA">
        <w:t xml:space="preserve"> the</w:t>
      </w:r>
      <w:r w:rsidRPr="00B535B0">
        <w:t xml:space="preserve"> opportunity to submit this comment as the Department considers </w:t>
      </w:r>
      <w:r w:rsidR="000E56EB">
        <w:t>its plans for</w:t>
      </w:r>
      <w:r w:rsidRPr="00B535B0">
        <w:rPr>
          <w:spacing w:val="-4"/>
        </w:rPr>
        <w:t xml:space="preserve"> </w:t>
      </w:r>
      <w:r w:rsidR="000E56EB">
        <w:t>upcoming</w:t>
      </w:r>
      <w:r w:rsidRPr="00B535B0">
        <w:rPr>
          <w:spacing w:val="-4"/>
        </w:rPr>
        <w:t xml:space="preserve"> </w:t>
      </w:r>
      <w:r w:rsidR="001451CE">
        <w:t>UDS</w:t>
      </w:r>
      <w:r w:rsidR="000E56EB">
        <w:t xml:space="preserve"> collections</w:t>
      </w:r>
      <w:r w:rsidRPr="00B535B0">
        <w:t xml:space="preserve">. Please </w:t>
      </w:r>
      <w:r w:rsidR="00040CAE">
        <w:t>contact</w:t>
      </w:r>
      <w:r w:rsidRPr="00B535B0">
        <w:t xml:space="preserve"> us if you would like to discuss our submission or have any questions.</w:t>
      </w:r>
    </w:p>
    <w:p w14:paraId="6080DB78" w14:textId="1C9416DB" w:rsidR="00C511F2" w:rsidRDefault="00B81B3C" w:rsidP="00BD566D">
      <w:pPr>
        <w:pStyle w:val="BodyText"/>
        <w:widowControl/>
        <w:spacing w:before="100" w:beforeAutospacing="1" w:line="276" w:lineRule="auto"/>
        <w:ind w:left="0"/>
        <w:rPr>
          <w:spacing w:val="-2"/>
        </w:rPr>
      </w:pPr>
      <w:r w:rsidRPr="00B535B0">
        <w:t>Respectfully</w:t>
      </w:r>
      <w:r w:rsidRPr="00B535B0">
        <w:rPr>
          <w:spacing w:val="-8"/>
        </w:rPr>
        <w:t xml:space="preserve"> </w:t>
      </w:r>
      <w:r w:rsidRPr="00B535B0">
        <w:rPr>
          <w:spacing w:val="-2"/>
        </w:rPr>
        <w:t>Submitted,</w:t>
      </w:r>
      <w:r w:rsidR="00C511F2">
        <w:br/>
      </w:r>
    </w:p>
    <w:p w14:paraId="27432C60" w14:textId="444FBFCC" w:rsidR="00366440" w:rsidRPr="007F745D" w:rsidRDefault="00366440" w:rsidP="00781E5A">
      <w:pPr>
        <w:pStyle w:val="BodyText"/>
        <w:widowControl/>
        <w:spacing w:before="100" w:beforeAutospacing="1" w:line="276" w:lineRule="auto"/>
        <w:ind w:left="0"/>
        <w:rPr>
          <w:spacing w:val="-2"/>
        </w:rPr>
      </w:pPr>
      <w:r>
        <w:rPr>
          <w:spacing w:val="-2"/>
        </w:rPr>
        <w:lastRenderedPageBreak/>
        <w:t>Lauren</w:t>
      </w:r>
      <w:r w:rsidR="008B4522">
        <w:rPr>
          <w:spacing w:val="-2"/>
        </w:rPr>
        <w:t xml:space="preserve"> J.A.</w:t>
      </w:r>
      <w:r>
        <w:rPr>
          <w:spacing w:val="-2"/>
        </w:rPr>
        <w:t xml:space="preserve"> Bouton</w:t>
      </w:r>
      <w:r w:rsidR="008B4522">
        <w:rPr>
          <w:spacing w:val="-2"/>
        </w:rPr>
        <w:t>, M.A.</w:t>
      </w:r>
    </w:p>
    <w:p w14:paraId="2BE9EB18" w14:textId="79E775E3" w:rsidR="00366440" w:rsidRDefault="008B4522" w:rsidP="00781E5A">
      <w:pPr>
        <w:pStyle w:val="BodyText"/>
        <w:widowControl/>
        <w:spacing w:line="276" w:lineRule="auto"/>
        <w:ind w:left="0"/>
      </w:pPr>
      <w:r w:rsidRPr="008B4522">
        <w:t>Peter J. Cooper Policy Fellow and Research Data Analyst</w:t>
      </w:r>
    </w:p>
    <w:p w14:paraId="7CFDAFA7" w14:textId="67C1EC39" w:rsidR="008B4522" w:rsidRDefault="008B4522" w:rsidP="00781E5A">
      <w:pPr>
        <w:pStyle w:val="BodyText"/>
        <w:widowControl/>
        <w:spacing w:line="276" w:lineRule="auto"/>
        <w:ind w:left="0"/>
      </w:pPr>
      <w:r w:rsidRPr="008B4522">
        <w:t>The Williams Institute, UCLA School of Law</w:t>
      </w:r>
    </w:p>
    <w:p w14:paraId="53A75B74" w14:textId="77777777" w:rsidR="00366440" w:rsidRDefault="00366440" w:rsidP="00781E5A">
      <w:pPr>
        <w:pStyle w:val="BodyText"/>
        <w:widowControl/>
        <w:spacing w:line="276" w:lineRule="auto"/>
        <w:ind w:left="0"/>
      </w:pPr>
    </w:p>
    <w:p w14:paraId="489094D2" w14:textId="6E5A8DED" w:rsidR="00AB077E" w:rsidRDefault="00AB077E" w:rsidP="00781E5A">
      <w:pPr>
        <w:pStyle w:val="BodyText"/>
        <w:widowControl/>
        <w:spacing w:line="276" w:lineRule="auto"/>
        <w:ind w:left="0"/>
      </w:pPr>
      <w:r>
        <w:t xml:space="preserve">Jody </w:t>
      </w:r>
      <w:r w:rsidR="00166DCD">
        <w:t xml:space="preserve">L. </w:t>
      </w:r>
      <w:r>
        <w:t>Herman, Ph.D.</w:t>
      </w:r>
    </w:p>
    <w:p w14:paraId="0CFA17AA" w14:textId="52728AEE" w:rsidR="00AB077E" w:rsidRDefault="00166DCD" w:rsidP="00781E5A">
      <w:pPr>
        <w:pStyle w:val="BodyText"/>
        <w:widowControl/>
        <w:spacing w:line="276" w:lineRule="auto"/>
        <w:ind w:left="0"/>
      </w:pPr>
      <w:r w:rsidRPr="00166DCD">
        <w:t>Reid Rasmussen Senior Scholar of Public Policy</w:t>
      </w:r>
    </w:p>
    <w:p w14:paraId="55C717B9" w14:textId="72A825B9" w:rsidR="00166DCD" w:rsidRDefault="00166DCD" w:rsidP="00781E5A">
      <w:pPr>
        <w:pStyle w:val="BodyText"/>
        <w:widowControl/>
        <w:spacing w:line="276" w:lineRule="auto"/>
        <w:ind w:left="0"/>
      </w:pPr>
      <w:r w:rsidRPr="008B4522">
        <w:t>The Williams Institute, UCLA School of Law</w:t>
      </w:r>
    </w:p>
    <w:p w14:paraId="3319AAE6" w14:textId="77777777" w:rsidR="00AB077E" w:rsidRDefault="00AB077E" w:rsidP="00781E5A">
      <w:pPr>
        <w:pStyle w:val="BodyText"/>
        <w:widowControl/>
        <w:spacing w:line="276" w:lineRule="auto"/>
        <w:ind w:left="0"/>
      </w:pPr>
    </w:p>
    <w:p w14:paraId="024ECFAB" w14:textId="6DAA2350" w:rsidR="00841BDF" w:rsidRDefault="00841BDF" w:rsidP="00781E5A">
      <w:pPr>
        <w:pStyle w:val="BodyText"/>
        <w:widowControl/>
        <w:spacing w:line="276" w:lineRule="auto"/>
        <w:ind w:left="0"/>
      </w:pPr>
      <w:r>
        <w:t>Christy Mallory, J.D.</w:t>
      </w:r>
    </w:p>
    <w:p w14:paraId="19614269" w14:textId="2FA4687E" w:rsidR="00841BDF" w:rsidRDefault="001D3CE9" w:rsidP="00781E5A">
      <w:pPr>
        <w:pStyle w:val="BodyText"/>
        <w:widowControl/>
        <w:spacing w:line="276" w:lineRule="auto"/>
        <w:ind w:left="0"/>
      </w:pPr>
      <w:r>
        <w:t>Interim Executive Director and Legal Director</w:t>
      </w:r>
    </w:p>
    <w:p w14:paraId="147DDDF4" w14:textId="4EFB853E" w:rsidR="001D3CE9" w:rsidRDefault="001D3CE9" w:rsidP="00781E5A">
      <w:pPr>
        <w:pStyle w:val="BodyText"/>
        <w:widowControl/>
        <w:spacing w:line="276" w:lineRule="auto"/>
        <w:ind w:left="0"/>
      </w:pPr>
      <w:r>
        <w:t xml:space="preserve">The Williams Institute, </w:t>
      </w:r>
      <w:r w:rsidRPr="00B535B0" w:rsidDel="001A3272">
        <w:t>UCLA School of La</w:t>
      </w:r>
      <w:r>
        <w:t>w</w:t>
      </w:r>
    </w:p>
    <w:p w14:paraId="772F5D46" w14:textId="77777777" w:rsidR="00EF7640" w:rsidRDefault="00EF7640" w:rsidP="00781E5A">
      <w:pPr>
        <w:pStyle w:val="BodyText"/>
        <w:widowControl/>
        <w:spacing w:line="276" w:lineRule="auto"/>
        <w:ind w:left="0"/>
      </w:pPr>
    </w:p>
    <w:p w14:paraId="5A433291" w14:textId="1DD34C5B" w:rsidR="00EF7640" w:rsidRDefault="00EF7640" w:rsidP="00781E5A">
      <w:pPr>
        <w:pStyle w:val="BodyText"/>
        <w:widowControl/>
        <w:spacing w:line="276" w:lineRule="auto"/>
        <w:ind w:left="0"/>
      </w:pPr>
      <w:r>
        <w:t>Ilan H. Meyer, Ph.D.</w:t>
      </w:r>
    </w:p>
    <w:p w14:paraId="7C25902B" w14:textId="693A7E45" w:rsidR="00EF7640" w:rsidRDefault="00EF7640" w:rsidP="00781E5A">
      <w:pPr>
        <w:pStyle w:val="BodyText"/>
        <w:widowControl/>
        <w:spacing w:line="276" w:lineRule="auto"/>
        <w:ind w:left="0"/>
      </w:pPr>
      <w:r>
        <w:t xml:space="preserve">Williams </w:t>
      </w:r>
      <w:r w:rsidRPr="00EF7640">
        <w:t>Distinguished Senior Scholar of Public Policy</w:t>
      </w:r>
    </w:p>
    <w:p w14:paraId="43B64345" w14:textId="332DAA12" w:rsidR="00EF7640" w:rsidRDefault="00EF7640" w:rsidP="00781E5A">
      <w:pPr>
        <w:pStyle w:val="BodyText"/>
        <w:widowControl/>
        <w:spacing w:line="276" w:lineRule="auto"/>
        <w:ind w:left="0"/>
      </w:pPr>
      <w:r>
        <w:t xml:space="preserve">The Williams Institute, </w:t>
      </w:r>
      <w:r w:rsidRPr="00B535B0" w:rsidDel="001A3272">
        <w:t>UCLA School of La</w:t>
      </w:r>
      <w:r>
        <w:t>w</w:t>
      </w:r>
    </w:p>
    <w:p w14:paraId="0970D08F" w14:textId="77777777" w:rsidR="001D3CE9" w:rsidRDefault="001D3CE9" w:rsidP="00781E5A">
      <w:pPr>
        <w:pStyle w:val="BodyText"/>
        <w:widowControl/>
        <w:spacing w:line="276" w:lineRule="auto"/>
        <w:ind w:left="0"/>
      </w:pPr>
    </w:p>
    <w:p w14:paraId="3242A272" w14:textId="0A744D8C" w:rsidR="000A17F7" w:rsidRDefault="000A17F7" w:rsidP="00781E5A">
      <w:pPr>
        <w:pStyle w:val="BodyText"/>
        <w:widowControl/>
        <w:spacing w:line="276" w:lineRule="auto"/>
        <w:ind w:left="0"/>
      </w:pPr>
      <w:proofErr w:type="spellStart"/>
      <w:r>
        <w:t>Giam</w:t>
      </w:r>
      <w:proofErr w:type="spellEnd"/>
      <w:r>
        <w:t xml:space="preserve"> Nguyen, J.D.</w:t>
      </w:r>
    </w:p>
    <w:p w14:paraId="7A39AC96" w14:textId="5EDD33AD" w:rsidR="000A17F7" w:rsidRDefault="000A17F7" w:rsidP="00781E5A">
      <w:pPr>
        <w:pStyle w:val="BodyText"/>
        <w:widowControl/>
        <w:spacing w:line="276" w:lineRule="auto"/>
        <w:ind w:left="0"/>
      </w:pPr>
      <w:r w:rsidRPr="000A17F7">
        <w:t>Judicial and Legal Education Director and Scholar</w:t>
      </w:r>
    </w:p>
    <w:p w14:paraId="6AFFC3EE" w14:textId="020C2C3C" w:rsidR="000A17F7" w:rsidRPr="000A17F7" w:rsidRDefault="000A17F7" w:rsidP="00781E5A">
      <w:pPr>
        <w:pStyle w:val="BodyText"/>
        <w:widowControl/>
        <w:spacing w:line="276" w:lineRule="auto"/>
        <w:ind w:left="0"/>
      </w:pPr>
      <w:r>
        <w:t xml:space="preserve">The Williams Institute, </w:t>
      </w:r>
      <w:r w:rsidRPr="00B535B0" w:rsidDel="001A3272">
        <w:t>UCLA School of La</w:t>
      </w:r>
      <w:r>
        <w:t>w</w:t>
      </w:r>
    </w:p>
    <w:p w14:paraId="1A84AE15" w14:textId="77777777" w:rsidR="000A17F7" w:rsidRDefault="000A17F7" w:rsidP="00781E5A">
      <w:pPr>
        <w:pStyle w:val="BodyText"/>
        <w:widowControl/>
        <w:spacing w:line="276" w:lineRule="auto"/>
        <w:ind w:left="0"/>
      </w:pPr>
    </w:p>
    <w:p w14:paraId="6C1EE229" w14:textId="45C4BB1F" w:rsidR="001D3CE9" w:rsidRDefault="001D3CE9" w:rsidP="00781E5A">
      <w:pPr>
        <w:pStyle w:val="BodyText"/>
        <w:widowControl/>
        <w:spacing w:line="276" w:lineRule="auto"/>
        <w:ind w:left="0"/>
      </w:pPr>
      <w:r>
        <w:t>Elana Redfield, J.D.</w:t>
      </w:r>
    </w:p>
    <w:p w14:paraId="12CBD8A1" w14:textId="3C46F6BF" w:rsidR="001D3CE9" w:rsidRDefault="001D3CE9" w:rsidP="00781E5A">
      <w:pPr>
        <w:pStyle w:val="BodyText"/>
        <w:widowControl/>
        <w:spacing w:line="276" w:lineRule="auto"/>
        <w:ind w:left="0"/>
      </w:pPr>
      <w:r>
        <w:t>Federal Policy Director</w:t>
      </w:r>
    </w:p>
    <w:p w14:paraId="1917FC4B" w14:textId="77777777" w:rsidR="001D3CE9" w:rsidRDefault="001D3CE9" w:rsidP="00781E5A">
      <w:pPr>
        <w:pStyle w:val="BodyText"/>
        <w:widowControl/>
        <w:spacing w:line="276" w:lineRule="auto"/>
        <w:ind w:left="0"/>
      </w:pPr>
      <w:r>
        <w:t xml:space="preserve">The Williams Institute, </w:t>
      </w:r>
      <w:r w:rsidRPr="00B535B0" w:rsidDel="001A3272">
        <w:t>UCLA School of La</w:t>
      </w:r>
      <w:r>
        <w:t>w</w:t>
      </w:r>
    </w:p>
    <w:p w14:paraId="15F345D5" w14:textId="77777777" w:rsidR="00841BDF" w:rsidRDefault="00841BDF" w:rsidP="00781E5A">
      <w:pPr>
        <w:pStyle w:val="BodyText"/>
        <w:widowControl/>
        <w:spacing w:line="276" w:lineRule="auto"/>
        <w:ind w:left="0"/>
      </w:pPr>
    </w:p>
    <w:p w14:paraId="2829BC51" w14:textId="6EE6D84B" w:rsidR="00B63696" w:rsidRDefault="00B63696" w:rsidP="00781E5A">
      <w:pPr>
        <w:pStyle w:val="BodyText"/>
        <w:widowControl/>
        <w:spacing w:line="276" w:lineRule="auto"/>
        <w:ind w:left="0"/>
      </w:pPr>
      <w:r>
        <w:t>Brad Sears, J.D.</w:t>
      </w:r>
    </w:p>
    <w:p w14:paraId="35080AA5" w14:textId="50351483" w:rsidR="00B63696" w:rsidRDefault="00B63696" w:rsidP="00781E5A">
      <w:pPr>
        <w:pStyle w:val="BodyText"/>
        <w:widowControl/>
        <w:spacing w:line="276" w:lineRule="auto"/>
        <w:ind w:left="0"/>
      </w:pPr>
      <w:r w:rsidRPr="00B63696">
        <w:t>Rand Schrader Distinguished Scholar of Law and Policy</w:t>
      </w:r>
    </w:p>
    <w:p w14:paraId="4C805EB5" w14:textId="77777777" w:rsidR="00B63696" w:rsidRDefault="00B63696" w:rsidP="00781E5A">
      <w:pPr>
        <w:pStyle w:val="BodyText"/>
        <w:widowControl/>
        <w:spacing w:line="276" w:lineRule="auto"/>
        <w:ind w:left="0"/>
      </w:pPr>
      <w:r>
        <w:t xml:space="preserve">The Williams Institute, </w:t>
      </w:r>
      <w:r w:rsidRPr="00B535B0" w:rsidDel="001A3272">
        <w:t>UCLA School of La</w:t>
      </w:r>
      <w:r>
        <w:t>w</w:t>
      </w:r>
    </w:p>
    <w:p w14:paraId="084AF264" w14:textId="77777777" w:rsidR="00F42A91" w:rsidRDefault="00F42A91" w:rsidP="00781E5A">
      <w:pPr>
        <w:pStyle w:val="BodyText"/>
        <w:widowControl/>
        <w:spacing w:line="276" w:lineRule="auto"/>
        <w:ind w:left="0"/>
      </w:pPr>
    </w:p>
    <w:p w14:paraId="74DBCF55" w14:textId="09AD59FD" w:rsidR="00F42A91" w:rsidRDefault="00F42A91" w:rsidP="00781E5A">
      <w:pPr>
        <w:pStyle w:val="BodyText"/>
        <w:widowControl/>
        <w:spacing w:line="276" w:lineRule="auto"/>
        <w:ind w:left="0"/>
      </w:pPr>
      <w:r>
        <w:t>Ari Shaw, Ph.D.</w:t>
      </w:r>
    </w:p>
    <w:p w14:paraId="7D7C7087" w14:textId="56ADD77B" w:rsidR="00F42A91" w:rsidRDefault="00EF7640" w:rsidP="00781E5A">
      <w:pPr>
        <w:pStyle w:val="BodyText"/>
        <w:widowControl/>
        <w:spacing w:line="276" w:lineRule="auto"/>
        <w:ind w:left="0"/>
      </w:pPr>
      <w:r w:rsidRPr="00EF7640">
        <w:t>Senior Fellow and the Director of International Programs</w:t>
      </w:r>
    </w:p>
    <w:p w14:paraId="6DCDAAA7" w14:textId="7F2CACC6" w:rsidR="00EF7640" w:rsidRDefault="00EF7640" w:rsidP="00781E5A">
      <w:pPr>
        <w:pStyle w:val="BodyText"/>
        <w:widowControl/>
        <w:spacing w:line="276" w:lineRule="auto"/>
        <w:ind w:left="0"/>
      </w:pPr>
      <w:r>
        <w:t xml:space="preserve">The Williams Institute, </w:t>
      </w:r>
      <w:r w:rsidRPr="00B535B0" w:rsidDel="001A3272">
        <w:t>UCLA School of La</w:t>
      </w:r>
      <w:r>
        <w:t>w</w:t>
      </w:r>
    </w:p>
    <w:p w14:paraId="403361F6" w14:textId="77777777" w:rsidR="00B63696" w:rsidRDefault="00B63696" w:rsidP="00781E5A">
      <w:pPr>
        <w:pStyle w:val="BodyText"/>
        <w:widowControl/>
        <w:spacing w:line="276" w:lineRule="auto"/>
        <w:ind w:left="0"/>
      </w:pPr>
    </w:p>
    <w:p w14:paraId="1BC7B1D0" w14:textId="511F5475" w:rsidR="00E41076" w:rsidRDefault="00E41076" w:rsidP="00781E5A">
      <w:pPr>
        <w:pStyle w:val="BodyText"/>
        <w:widowControl/>
        <w:spacing w:line="276" w:lineRule="auto"/>
        <w:ind w:left="0"/>
      </w:pPr>
      <w:r>
        <w:t>Laurel Sprague, Ph</w:t>
      </w:r>
      <w:r w:rsidR="00781E5A">
        <w:t>.</w:t>
      </w:r>
      <w:r>
        <w:t>D</w:t>
      </w:r>
      <w:r w:rsidR="00781E5A">
        <w:t>.</w:t>
      </w:r>
    </w:p>
    <w:p w14:paraId="757AB914" w14:textId="6FAAF20B" w:rsidR="00781E5A" w:rsidRDefault="00781E5A" w:rsidP="00781E5A">
      <w:pPr>
        <w:pStyle w:val="BodyText"/>
        <w:widowControl/>
        <w:spacing w:line="276" w:lineRule="auto"/>
        <w:ind w:left="0"/>
      </w:pPr>
      <w:r w:rsidRPr="00781E5A">
        <w:t>Research Director and Blachford/Cooper Distinguished Scholar</w:t>
      </w:r>
    </w:p>
    <w:p w14:paraId="1BB06C69" w14:textId="5E65D26E" w:rsidR="00781E5A" w:rsidRDefault="00781E5A" w:rsidP="00781E5A">
      <w:pPr>
        <w:pStyle w:val="BodyText"/>
        <w:widowControl/>
        <w:spacing w:line="276" w:lineRule="auto"/>
        <w:ind w:left="0"/>
      </w:pPr>
      <w:r>
        <w:t xml:space="preserve">The Williams Institute, </w:t>
      </w:r>
      <w:r w:rsidRPr="00B535B0" w:rsidDel="001A3272">
        <w:t>UCLA School of La</w:t>
      </w:r>
      <w:r>
        <w:t>w</w:t>
      </w:r>
    </w:p>
    <w:p w14:paraId="4AA06105" w14:textId="77777777" w:rsidR="00E41076" w:rsidRDefault="00E41076" w:rsidP="00781E5A">
      <w:pPr>
        <w:pStyle w:val="BodyText"/>
        <w:widowControl/>
        <w:spacing w:line="276" w:lineRule="auto"/>
        <w:ind w:left="0"/>
      </w:pPr>
    </w:p>
    <w:p w14:paraId="7704B97E" w14:textId="642A2752" w:rsidR="00DA6609" w:rsidRPr="00DA6609" w:rsidRDefault="00DA6609" w:rsidP="00781E5A">
      <w:pPr>
        <w:pStyle w:val="BodyText"/>
        <w:widowControl/>
        <w:spacing w:line="276" w:lineRule="auto"/>
        <w:ind w:left="0"/>
      </w:pPr>
      <w:r w:rsidRPr="00DA6609">
        <w:t>Will Tentindo</w:t>
      </w:r>
      <w:r w:rsidRPr="00B535B0" w:rsidDel="001A3272">
        <w:t>, J.D.</w:t>
      </w:r>
    </w:p>
    <w:p w14:paraId="55700114" w14:textId="77777777" w:rsidR="001D3CE9" w:rsidRDefault="00DA6609" w:rsidP="00781E5A">
      <w:pPr>
        <w:pStyle w:val="BodyText"/>
        <w:widowControl/>
        <w:spacing w:line="276" w:lineRule="auto"/>
        <w:ind w:left="0"/>
      </w:pPr>
      <w:r w:rsidRPr="00DA6609">
        <w:t>Staff Attorney</w:t>
      </w:r>
      <w:r w:rsidR="00C511F2">
        <w:br/>
      </w:r>
      <w:r w:rsidR="001D3CE9">
        <w:t xml:space="preserve">The Williams Institute, </w:t>
      </w:r>
      <w:r w:rsidR="001D3CE9" w:rsidRPr="00B535B0" w:rsidDel="001A3272">
        <w:t>UCLA School of La</w:t>
      </w:r>
      <w:r w:rsidR="001D3CE9">
        <w:t>w</w:t>
      </w:r>
    </w:p>
    <w:p w14:paraId="6A8739BA" w14:textId="44E639DA" w:rsidR="008C7543" w:rsidRPr="00E12325" w:rsidRDefault="008C7543" w:rsidP="00BD566D">
      <w:pPr>
        <w:pStyle w:val="BodyText"/>
        <w:widowControl/>
        <w:spacing w:line="276" w:lineRule="auto"/>
        <w:ind w:left="0" w:right="3980"/>
      </w:pPr>
    </w:p>
    <w:sectPr w:rsidR="008C7543" w:rsidRPr="00E12325" w:rsidSect="00A84A6C">
      <w:footerReference w:type="default" r:id="rId11"/>
      <w:pgSz w:w="12240" w:h="15840"/>
      <w:pgMar w:top="1440" w:right="1440" w:bottom="1440" w:left="1440" w:header="0" w:footer="10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DB85" w14:textId="77777777" w:rsidR="001E5993" w:rsidRDefault="001E5993">
      <w:r>
        <w:separator/>
      </w:r>
    </w:p>
  </w:endnote>
  <w:endnote w:type="continuationSeparator" w:id="0">
    <w:p w14:paraId="2273CCC2" w14:textId="77777777" w:rsidR="001E5993" w:rsidRDefault="001E5993">
      <w:r>
        <w:continuationSeparator/>
      </w:r>
    </w:p>
  </w:endnote>
  <w:endnote w:type="continuationNotice" w:id="1">
    <w:p w14:paraId="6FD7891F" w14:textId="77777777" w:rsidR="001E5993" w:rsidRDefault="001E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163" w14:textId="77777777" w:rsidR="00153104" w:rsidRDefault="0070103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6E0FFC4" wp14:editId="10C0F6F2">
              <wp:simplePos x="0" y="0"/>
              <wp:positionH relativeFrom="page">
                <wp:posOffset>3805301</wp:posOffset>
              </wp:positionH>
              <wp:positionV relativeFrom="page">
                <wp:posOffset>9263668</wp:posOffset>
              </wp:positionV>
              <wp:extent cx="16510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5CE553D" w14:textId="77777777" w:rsidR="00153104" w:rsidRDefault="0070103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6E0FFC4" id="_x0000_t202" coordsize="21600,21600" o:spt="202" path="m,l,21600r21600,l21600,xe">
              <v:stroke joinstyle="miter"/>
              <v:path gradientshapeok="t" o:connecttype="rect"/>
            </v:shapetype>
            <v:shape id="Textbox 2" o:spid="_x0000_s1026" type="#_x0000_t202" style="position:absolute;margin-left:299.65pt;margin-top:729.4pt;width:13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" filled="f" stroked="f">
              <v:textbox inset="0,0,0,0">
                <w:txbxContent>
                  <w:p w14:paraId="55CE553D" w14:textId="77777777" w:rsidR="00153104" w:rsidRDefault="0070103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5ACB" w14:textId="77777777" w:rsidR="001E5993" w:rsidRDefault="001E5993">
      <w:r>
        <w:separator/>
      </w:r>
    </w:p>
  </w:footnote>
  <w:footnote w:type="continuationSeparator" w:id="0">
    <w:p w14:paraId="283FA075" w14:textId="77777777" w:rsidR="001E5993" w:rsidRDefault="001E5993">
      <w:r>
        <w:continuationSeparator/>
      </w:r>
    </w:p>
  </w:footnote>
  <w:footnote w:type="continuationNotice" w:id="1">
    <w:p w14:paraId="68575793" w14:textId="77777777" w:rsidR="001E5993" w:rsidRDefault="001E5993"/>
  </w:footnote>
  <w:footnote w:id="2">
    <w:p w14:paraId="18158C8E" w14:textId="77777777" w:rsidR="00C65432" w:rsidRPr="00657D31" w:rsidRDefault="00C65432" w:rsidP="004A022D">
      <w:pPr>
        <w:rPr>
          <w:sz w:val="20"/>
          <w:szCs w:val="20"/>
        </w:rPr>
      </w:pPr>
      <w:r w:rsidRPr="00657D31">
        <w:rPr>
          <w:rStyle w:val="FootnoteReference"/>
          <w:sz w:val="20"/>
          <w:szCs w:val="20"/>
        </w:rPr>
        <w:footnoteRef/>
      </w:r>
      <w:r w:rsidRPr="00657D31">
        <w:rPr>
          <w:sz w:val="20"/>
          <w:szCs w:val="20"/>
        </w:rPr>
        <w:t xml:space="preserve"> </w:t>
      </w:r>
      <w:r w:rsidRPr="00657D31">
        <w:rPr>
          <w:i/>
          <w:sz w:val="20"/>
          <w:szCs w:val="20"/>
        </w:rPr>
        <w:t>See,</w:t>
      </w:r>
      <w:r w:rsidRPr="00657D31">
        <w:rPr>
          <w:i/>
          <w:spacing w:val="-2"/>
          <w:sz w:val="20"/>
          <w:szCs w:val="20"/>
        </w:rPr>
        <w:t xml:space="preserve"> </w:t>
      </w:r>
      <w:r w:rsidRPr="00657D31">
        <w:rPr>
          <w:i/>
          <w:sz w:val="20"/>
          <w:szCs w:val="20"/>
        </w:rPr>
        <w:t>e.g.</w:t>
      </w:r>
      <w:r w:rsidRPr="00657D31">
        <w:rPr>
          <w:smallCaps/>
          <w:sz w:val="20"/>
          <w:szCs w:val="20"/>
        </w:rPr>
        <w:t>,</w:t>
      </w:r>
      <w:r w:rsidRPr="00657D31">
        <w:rPr>
          <w:smallCaps/>
          <w:spacing w:val="-2"/>
          <w:sz w:val="20"/>
          <w:szCs w:val="20"/>
        </w:rPr>
        <w:t xml:space="preserve"> </w:t>
      </w:r>
      <w:r w:rsidRPr="00657D31">
        <w:rPr>
          <w:smallCaps/>
          <w:sz w:val="20"/>
          <w:szCs w:val="20"/>
        </w:rPr>
        <w:t>Gender</w:t>
      </w:r>
      <w:r w:rsidRPr="00657D31">
        <w:rPr>
          <w:smallCaps/>
          <w:spacing w:val="-3"/>
          <w:sz w:val="20"/>
          <w:szCs w:val="20"/>
        </w:rPr>
        <w:t xml:space="preserve"> </w:t>
      </w:r>
      <w:r w:rsidRPr="00657D31">
        <w:rPr>
          <w:smallCaps/>
          <w:sz w:val="20"/>
          <w:szCs w:val="20"/>
        </w:rPr>
        <w:t>Identity</w:t>
      </w:r>
      <w:r w:rsidRPr="00657D31">
        <w:rPr>
          <w:smallCaps/>
          <w:spacing w:val="-7"/>
          <w:sz w:val="20"/>
          <w:szCs w:val="20"/>
        </w:rPr>
        <w:t xml:space="preserve"> </w:t>
      </w:r>
      <w:r w:rsidRPr="00657D31">
        <w:rPr>
          <w:smallCaps/>
          <w:sz w:val="20"/>
          <w:szCs w:val="20"/>
        </w:rPr>
        <w:t>in</w:t>
      </w:r>
      <w:r w:rsidRPr="00657D31">
        <w:rPr>
          <w:smallCaps/>
          <w:spacing w:val="-2"/>
          <w:sz w:val="20"/>
          <w:szCs w:val="20"/>
        </w:rPr>
        <w:t xml:space="preserve"> </w:t>
      </w:r>
      <w:r w:rsidRPr="00657D31">
        <w:rPr>
          <w:smallCaps/>
          <w:sz w:val="20"/>
          <w:szCs w:val="20"/>
        </w:rPr>
        <w:t>U.S.</w:t>
      </w:r>
      <w:r w:rsidRPr="00657D31">
        <w:rPr>
          <w:smallCaps/>
          <w:spacing w:val="-10"/>
          <w:sz w:val="20"/>
          <w:szCs w:val="20"/>
        </w:rPr>
        <w:t xml:space="preserve"> </w:t>
      </w:r>
      <w:r w:rsidRPr="00657D31">
        <w:rPr>
          <w:smallCaps/>
          <w:sz w:val="20"/>
          <w:szCs w:val="20"/>
        </w:rPr>
        <w:t>Surveillance (</w:t>
      </w:r>
      <w:proofErr w:type="spellStart"/>
      <w:r w:rsidRPr="00657D31">
        <w:rPr>
          <w:smallCaps/>
          <w:sz w:val="20"/>
          <w:szCs w:val="20"/>
        </w:rPr>
        <w:t>GenIUSS</w:t>
      </w:r>
      <w:proofErr w:type="spellEnd"/>
      <w:r w:rsidRPr="00657D31">
        <w:rPr>
          <w:smallCaps/>
          <w:sz w:val="20"/>
          <w:szCs w:val="20"/>
        </w:rPr>
        <w:t>)</w:t>
      </w:r>
      <w:r w:rsidRPr="00657D31">
        <w:rPr>
          <w:smallCaps/>
          <w:spacing w:val="-11"/>
          <w:sz w:val="20"/>
          <w:szCs w:val="20"/>
        </w:rPr>
        <w:t xml:space="preserve"> </w:t>
      </w:r>
      <w:r w:rsidRPr="00657D31">
        <w:rPr>
          <w:smallCaps/>
          <w:sz w:val="20"/>
          <w:szCs w:val="20"/>
        </w:rPr>
        <w:t>Group,</w:t>
      </w:r>
      <w:r w:rsidRPr="00657D31">
        <w:rPr>
          <w:smallCaps/>
          <w:spacing w:val="-10"/>
          <w:sz w:val="20"/>
          <w:szCs w:val="20"/>
        </w:rPr>
        <w:t xml:space="preserve"> </w:t>
      </w:r>
      <w:r w:rsidRPr="00657D31">
        <w:rPr>
          <w:smallCaps/>
          <w:sz w:val="20"/>
          <w:szCs w:val="20"/>
        </w:rPr>
        <w:t>Williams</w:t>
      </w:r>
      <w:r w:rsidRPr="00657D31">
        <w:rPr>
          <w:smallCaps/>
          <w:spacing w:val="-1"/>
          <w:sz w:val="20"/>
          <w:szCs w:val="20"/>
        </w:rPr>
        <w:t xml:space="preserve"> </w:t>
      </w:r>
      <w:r w:rsidRPr="00657D31">
        <w:rPr>
          <w:smallCaps/>
          <w:sz w:val="20"/>
          <w:szCs w:val="20"/>
        </w:rPr>
        <w:t>Inst.,</w:t>
      </w:r>
      <w:r w:rsidRPr="00657D31">
        <w:rPr>
          <w:smallCaps/>
          <w:spacing w:val="-11"/>
          <w:sz w:val="20"/>
          <w:szCs w:val="20"/>
        </w:rPr>
        <w:t xml:space="preserve"> </w:t>
      </w:r>
      <w:r w:rsidRPr="00657D31">
        <w:rPr>
          <w:smallCaps/>
          <w:sz w:val="20"/>
          <w:szCs w:val="20"/>
        </w:rPr>
        <w:t>Best</w:t>
      </w:r>
      <w:r w:rsidRPr="00657D31">
        <w:rPr>
          <w:smallCaps/>
          <w:spacing w:val="1"/>
          <w:sz w:val="20"/>
          <w:szCs w:val="20"/>
        </w:rPr>
        <w:t xml:space="preserve"> </w:t>
      </w:r>
      <w:r w:rsidRPr="00657D31">
        <w:rPr>
          <w:smallCaps/>
          <w:sz w:val="20"/>
          <w:szCs w:val="20"/>
        </w:rPr>
        <w:t>Practices</w:t>
      </w:r>
      <w:r w:rsidRPr="00657D31">
        <w:rPr>
          <w:smallCaps/>
          <w:spacing w:val="-1"/>
          <w:sz w:val="20"/>
          <w:szCs w:val="20"/>
        </w:rPr>
        <w:t xml:space="preserve"> </w:t>
      </w:r>
      <w:r w:rsidRPr="00657D31">
        <w:rPr>
          <w:smallCaps/>
          <w:spacing w:val="-5"/>
          <w:sz w:val="20"/>
          <w:szCs w:val="20"/>
        </w:rPr>
        <w:t>for</w:t>
      </w:r>
    </w:p>
    <w:p w14:paraId="0DBDE647" w14:textId="77777777" w:rsidR="00C65432" w:rsidRPr="00657D31" w:rsidRDefault="00C65432" w:rsidP="004A022D">
      <w:pPr>
        <w:rPr>
          <w:sz w:val="20"/>
          <w:szCs w:val="20"/>
        </w:rPr>
      </w:pPr>
      <w:r w:rsidRPr="00657D31">
        <w:rPr>
          <w:smallCaps/>
          <w:sz w:val="20"/>
          <w:szCs w:val="20"/>
        </w:rPr>
        <w:t>Asking</w:t>
      </w:r>
      <w:r w:rsidRPr="00657D31">
        <w:rPr>
          <w:smallCaps/>
          <w:spacing w:val="-4"/>
          <w:sz w:val="20"/>
          <w:szCs w:val="20"/>
        </w:rPr>
        <w:t xml:space="preserve"> </w:t>
      </w:r>
      <w:r w:rsidRPr="00657D31">
        <w:rPr>
          <w:smallCaps/>
          <w:sz w:val="20"/>
          <w:szCs w:val="20"/>
        </w:rPr>
        <w:t>Questions</w:t>
      </w:r>
      <w:r w:rsidRPr="00657D31">
        <w:rPr>
          <w:smallCaps/>
          <w:spacing w:val="-1"/>
          <w:sz w:val="20"/>
          <w:szCs w:val="20"/>
        </w:rPr>
        <w:t xml:space="preserve"> </w:t>
      </w:r>
      <w:r w:rsidRPr="00657D31">
        <w:rPr>
          <w:smallCaps/>
          <w:sz w:val="20"/>
          <w:szCs w:val="20"/>
        </w:rPr>
        <w:t>to</w:t>
      </w:r>
      <w:r w:rsidRPr="00657D31">
        <w:rPr>
          <w:smallCaps/>
          <w:spacing w:val="-1"/>
          <w:sz w:val="20"/>
          <w:szCs w:val="20"/>
        </w:rPr>
        <w:t xml:space="preserve"> </w:t>
      </w:r>
      <w:r w:rsidRPr="00657D31">
        <w:rPr>
          <w:smallCaps/>
          <w:sz w:val="20"/>
          <w:szCs w:val="20"/>
        </w:rPr>
        <w:t>Identify</w:t>
      </w:r>
      <w:r w:rsidRPr="00657D31">
        <w:rPr>
          <w:smallCaps/>
          <w:spacing w:val="-3"/>
          <w:sz w:val="20"/>
          <w:szCs w:val="20"/>
        </w:rPr>
        <w:t xml:space="preserve"> </w:t>
      </w:r>
      <w:r w:rsidRPr="00657D31">
        <w:rPr>
          <w:smallCaps/>
          <w:sz w:val="20"/>
          <w:szCs w:val="20"/>
        </w:rPr>
        <w:t>Transgender</w:t>
      </w:r>
      <w:r w:rsidRPr="00657D31">
        <w:rPr>
          <w:smallCaps/>
          <w:spacing w:val="-3"/>
          <w:sz w:val="20"/>
          <w:szCs w:val="20"/>
        </w:rPr>
        <w:t xml:space="preserve"> </w:t>
      </w:r>
      <w:r w:rsidRPr="00657D31">
        <w:rPr>
          <w:smallCaps/>
          <w:sz w:val="20"/>
          <w:szCs w:val="20"/>
        </w:rPr>
        <w:t>and</w:t>
      </w:r>
      <w:r w:rsidRPr="00657D31">
        <w:rPr>
          <w:smallCaps/>
          <w:spacing w:val="-1"/>
          <w:sz w:val="20"/>
          <w:szCs w:val="20"/>
        </w:rPr>
        <w:t xml:space="preserve"> </w:t>
      </w:r>
      <w:r w:rsidRPr="00657D31">
        <w:rPr>
          <w:smallCaps/>
          <w:sz w:val="20"/>
          <w:szCs w:val="20"/>
        </w:rPr>
        <w:t>Other</w:t>
      </w:r>
      <w:r w:rsidRPr="00657D31">
        <w:rPr>
          <w:smallCaps/>
          <w:spacing w:val="-3"/>
          <w:sz w:val="20"/>
          <w:szCs w:val="20"/>
        </w:rPr>
        <w:t xml:space="preserve"> </w:t>
      </w:r>
      <w:r w:rsidRPr="00657D31">
        <w:rPr>
          <w:smallCaps/>
          <w:sz w:val="20"/>
          <w:szCs w:val="20"/>
        </w:rPr>
        <w:t>Gender</w:t>
      </w:r>
      <w:r w:rsidRPr="00657D31">
        <w:rPr>
          <w:smallCaps/>
          <w:spacing w:val="-4"/>
          <w:sz w:val="20"/>
          <w:szCs w:val="20"/>
        </w:rPr>
        <w:t xml:space="preserve"> </w:t>
      </w:r>
      <w:r w:rsidRPr="00657D31">
        <w:rPr>
          <w:smallCaps/>
          <w:sz w:val="20"/>
          <w:szCs w:val="20"/>
        </w:rPr>
        <w:t>Minority</w:t>
      </w:r>
      <w:r w:rsidRPr="00657D31">
        <w:rPr>
          <w:smallCaps/>
          <w:spacing w:val="-6"/>
          <w:sz w:val="20"/>
          <w:szCs w:val="20"/>
        </w:rPr>
        <w:t xml:space="preserve"> </w:t>
      </w:r>
      <w:r w:rsidRPr="00657D31">
        <w:rPr>
          <w:smallCaps/>
          <w:sz w:val="20"/>
          <w:szCs w:val="20"/>
        </w:rPr>
        <w:t>Respondents</w:t>
      </w:r>
      <w:r w:rsidRPr="00657D31">
        <w:rPr>
          <w:smallCaps/>
          <w:spacing w:val="-1"/>
          <w:sz w:val="20"/>
          <w:szCs w:val="20"/>
        </w:rPr>
        <w:t xml:space="preserve"> </w:t>
      </w:r>
      <w:r w:rsidRPr="00657D31">
        <w:rPr>
          <w:smallCaps/>
          <w:sz w:val="20"/>
          <w:szCs w:val="20"/>
        </w:rPr>
        <w:t>on</w:t>
      </w:r>
      <w:r w:rsidRPr="00657D31">
        <w:rPr>
          <w:smallCaps/>
          <w:spacing w:val="-1"/>
          <w:sz w:val="20"/>
          <w:szCs w:val="20"/>
        </w:rPr>
        <w:t xml:space="preserve"> </w:t>
      </w:r>
      <w:r w:rsidRPr="00657D31">
        <w:rPr>
          <w:smallCaps/>
          <w:spacing w:val="-2"/>
          <w:sz w:val="20"/>
          <w:szCs w:val="20"/>
        </w:rPr>
        <w:t>Population-</w:t>
      </w:r>
    </w:p>
    <w:p w14:paraId="5D6A1861" w14:textId="73AA368B" w:rsidR="00C65432" w:rsidRPr="00657D31" w:rsidRDefault="00022FDC" w:rsidP="004A022D">
      <w:pPr>
        <w:ind w:right="621"/>
        <w:rPr>
          <w:sz w:val="20"/>
          <w:szCs w:val="20"/>
        </w:rPr>
      </w:pPr>
      <w:r w:rsidRPr="00657D31">
        <w:rPr>
          <w:smallCaps/>
          <w:sz w:val="20"/>
          <w:szCs w:val="20"/>
        </w:rPr>
        <w:t>Based Surveys</w:t>
      </w:r>
      <w:r w:rsidR="00C65432" w:rsidRPr="00657D31">
        <w:rPr>
          <w:sz w:val="20"/>
          <w:szCs w:val="20"/>
        </w:rPr>
        <w:t xml:space="preserve"> (2014), </w:t>
      </w:r>
      <w:r w:rsidR="002E62BE" w:rsidRPr="00074A30">
        <w:rPr>
          <w:sz w:val="20"/>
          <w:szCs w:val="20"/>
          <w:u w:val="single"/>
        </w:rPr>
        <w:t>https://williamsinstitute.law.ucla.edu/publications/geniuss-trans-pop-based-survey/</w:t>
      </w:r>
      <w:r w:rsidR="00C65432" w:rsidRPr="00657D31">
        <w:rPr>
          <w:sz w:val="20"/>
          <w:szCs w:val="20"/>
        </w:rPr>
        <w:t>;</w:t>
      </w:r>
      <w:r w:rsidR="00C65432" w:rsidRPr="00657D31">
        <w:rPr>
          <w:spacing w:val="-1"/>
          <w:sz w:val="20"/>
          <w:szCs w:val="20"/>
        </w:rPr>
        <w:t xml:space="preserve"> </w:t>
      </w:r>
      <w:r w:rsidRPr="00657D31">
        <w:rPr>
          <w:smallCaps/>
          <w:sz w:val="20"/>
          <w:szCs w:val="20"/>
        </w:rPr>
        <w:t>Sexual</w:t>
      </w:r>
      <w:r w:rsidRPr="00657D31">
        <w:rPr>
          <w:smallCaps/>
          <w:spacing w:val="-7"/>
          <w:sz w:val="20"/>
          <w:szCs w:val="20"/>
        </w:rPr>
        <w:t xml:space="preserve"> </w:t>
      </w:r>
      <w:r w:rsidRPr="00657D31">
        <w:rPr>
          <w:smallCaps/>
          <w:sz w:val="20"/>
          <w:szCs w:val="20"/>
        </w:rPr>
        <w:t>Minority</w:t>
      </w:r>
      <w:r w:rsidRPr="00657D31">
        <w:rPr>
          <w:smallCaps/>
          <w:spacing w:val="-5"/>
          <w:sz w:val="20"/>
          <w:szCs w:val="20"/>
        </w:rPr>
        <w:t xml:space="preserve"> </w:t>
      </w:r>
      <w:r w:rsidRPr="00657D31">
        <w:rPr>
          <w:smallCaps/>
          <w:sz w:val="20"/>
          <w:szCs w:val="20"/>
        </w:rPr>
        <w:t>Assessment</w:t>
      </w:r>
      <w:r w:rsidRPr="00657D31">
        <w:rPr>
          <w:smallCaps/>
          <w:spacing w:val="-1"/>
          <w:sz w:val="20"/>
          <w:szCs w:val="20"/>
        </w:rPr>
        <w:t xml:space="preserve"> </w:t>
      </w:r>
      <w:r w:rsidRPr="00657D31">
        <w:rPr>
          <w:smallCaps/>
          <w:sz w:val="20"/>
          <w:szCs w:val="20"/>
        </w:rPr>
        <w:t>Research</w:t>
      </w:r>
      <w:r w:rsidRPr="00657D31">
        <w:rPr>
          <w:smallCaps/>
          <w:spacing w:val="-5"/>
          <w:sz w:val="20"/>
          <w:szCs w:val="20"/>
        </w:rPr>
        <w:t xml:space="preserve"> </w:t>
      </w:r>
      <w:r w:rsidRPr="00657D31">
        <w:rPr>
          <w:smallCaps/>
          <w:sz w:val="20"/>
          <w:szCs w:val="20"/>
        </w:rPr>
        <w:t>Team</w:t>
      </w:r>
      <w:r w:rsidR="00C65432" w:rsidRPr="00657D31">
        <w:rPr>
          <w:smallCaps/>
          <w:spacing w:val="-7"/>
          <w:sz w:val="20"/>
          <w:szCs w:val="20"/>
        </w:rPr>
        <w:t xml:space="preserve"> </w:t>
      </w:r>
      <w:r w:rsidR="00C65432" w:rsidRPr="00657D31">
        <w:rPr>
          <w:smallCaps/>
          <w:sz w:val="20"/>
          <w:szCs w:val="20"/>
        </w:rPr>
        <w:t>(SMART),</w:t>
      </w:r>
      <w:r w:rsidR="00C65432" w:rsidRPr="00657D31">
        <w:rPr>
          <w:smallCaps/>
          <w:spacing w:val="-13"/>
          <w:sz w:val="20"/>
          <w:szCs w:val="20"/>
        </w:rPr>
        <w:t xml:space="preserve"> </w:t>
      </w:r>
      <w:r w:rsidRPr="00657D31">
        <w:rPr>
          <w:smallCaps/>
          <w:sz w:val="20"/>
          <w:szCs w:val="20"/>
        </w:rPr>
        <w:t>Williams</w:t>
      </w:r>
      <w:r w:rsidRPr="00657D31">
        <w:rPr>
          <w:smallCaps/>
          <w:spacing w:val="-2"/>
          <w:sz w:val="20"/>
          <w:szCs w:val="20"/>
        </w:rPr>
        <w:t xml:space="preserve"> </w:t>
      </w:r>
      <w:r w:rsidRPr="00657D31">
        <w:rPr>
          <w:smallCaps/>
          <w:sz w:val="20"/>
          <w:szCs w:val="20"/>
        </w:rPr>
        <w:t>Inst</w:t>
      </w:r>
      <w:r w:rsidR="00C65432" w:rsidRPr="00657D31">
        <w:rPr>
          <w:smallCaps/>
          <w:sz w:val="20"/>
          <w:szCs w:val="20"/>
        </w:rPr>
        <w:t>.,</w:t>
      </w:r>
      <w:r w:rsidR="00C65432" w:rsidRPr="00657D31">
        <w:rPr>
          <w:smallCaps/>
          <w:spacing w:val="-5"/>
          <w:sz w:val="20"/>
          <w:szCs w:val="20"/>
        </w:rPr>
        <w:t xml:space="preserve"> </w:t>
      </w:r>
      <w:r w:rsidRPr="00657D31">
        <w:rPr>
          <w:smallCaps/>
          <w:sz w:val="20"/>
          <w:szCs w:val="20"/>
        </w:rPr>
        <w:t>Best</w:t>
      </w:r>
      <w:r w:rsidRPr="00657D31">
        <w:rPr>
          <w:smallCaps/>
          <w:spacing w:val="40"/>
          <w:sz w:val="20"/>
          <w:szCs w:val="20"/>
        </w:rPr>
        <w:t xml:space="preserve"> </w:t>
      </w:r>
      <w:r w:rsidRPr="00657D31">
        <w:rPr>
          <w:smallCaps/>
          <w:sz w:val="20"/>
          <w:szCs w:val="20"/>
        </w:rPr>
        <w:t xml:space="preserve">Practices For Asking Questions About Sexual Orientation On Surveys </w:t>
      </w:r>
      <w:r w:rsidR="00C65432" w:rsidRPr="00657D31">
        <w:rPr>
          <w:sz w:val="20"/>
          <w:szCs w:val="20"/>
        </w:rPr>
        <w:t>(2009),</w:t>
      </w:r>
      <w:r w:rsidR="0030444B" w:rsidRPr="00657D31">
        <w:rPr>
          <w:sz w:val="20"/>
          <w:szCs w:val="20"/>
        </w:rPr>
        <w:t xml:space="preserve"> </w:t>
      </w:r>
      <w:r w:rsidR="00623D3F" w:rsidRPr="00074A30">
        <w:rPr>
          <w:sz w:val="20"/>
          <w:szCs w:val="20"/>
          <w:u w:val="single"/>
        </w:rPr>
        <w:t>https://williamsinstitute.law.ucla.edu/publications/smart-so-survey/</w:t>
      </w:r>
    </w:p>
  </w:footnote>
  <w:footnote w:id="3">
    <w:p w14:paraId="78264514" w14:textId="772F53F1" w:rsidR="00DF4FCB" w:rsidRPr="00657D31" w:rsidRDefault="00DF4FCB" w:rsidP="004A022D">
      <w:pPr>
        <w:pStyle w:val="FootnoteText"/>
      </w:pPr>
      <w:r w:rsidRPr="00657D31">
        <w:rPr>
          <w:rStyle w:val="FootnoteReference"/>
        </w:rPr>
        <w:footnoteRef/>
      </w:r>
      <w:r w:rsidRPr="00657D31">
        <w:t xml:space="preserve"> </w:t>
      </w:r>
      <w:r w:rsidR="007F2452" w:rsidRPr="00657D31">
        <w:t>E</w:t>
      </w:r>
      <w:r w:rsidR="00260709" w:rsidRPr="00657D31">
        <w:t>.g.,</w:t>
      </w:r>
      <w:r w:rsidR="00260709" w:rsidRPr="00657D31">
        <w:rPr>
          <w:i/>
          <w:iCs/>
        </w:rPr>
        <w:t xml:space="preserve"> </w:t>
      </w:r>
      <w:r w:rsidR="00063077" w:rsidRPr="00657D31">
        <w:rPr>
          <w:smallCaps/>
        </w:rPr>
        <w:t>Jody L. Herman &amp; Kathryn K. O’Neill, Williams Inst., Well-Being Among Transgender People During the COVID-19 Pandemic</w:t>
      </w:r>
      <w:r w:rsidR="00063077" w:rsidRPr="00657D31">
        <w:t xml:space="preserve"> (Nov. 2022), </w:t>
      </w:r>
      <w:hyperlink r:id="rId1" w:history="1">
        <w:r w:rsidR="00063077" w:rsidRPr="00657D31">
          <w:rPr>
            <w:rStyle w:val="Hyperlink"/>
            <w:color w:val="auto"/>
          </w:rPr>
          <w:t>https://williamsinstitute.law.ucla.edu/wp-content/uploads/Trans-Pulse-Toplines-Nov-2022.pdf</w:t>
        </w:r>
      </w:hyperlink>
      <w:r w:rsidR="00063077" w:rsidRPr="00657D31">
        <w:t xml:space="preserve">; </w:t>
      </w:r>
      <w:r w:rsidR="00C3608C" w:rsidRPr="00657D31">
        <w:rPr>
          <w:smallCaps/>
        </w:rPr>
        <w:t>Lauren J.A. Bouton, et al., Williams Inst., LGBT Adults Aged 50 and Older in the US During the COVID-19 Pandemic</w:t>
      </w:r>
      <w:r w:rsidR="00C3608C" w:rsidRPr="00657D31">
        <w:t xml:space="preserve">, </w:t>
      </w:r>
      <w:hyperlink r:id="rId2" w:history="1">
        <w:r w:rsidR="00C3608C" w:rsidRPr="00657D31">
          <w:rPr>
            <w:rStyle w:val="Hyperlink"/>
            <w:color w:val="auto"/>
          </w:rPr>
          <w:t>https://williamsinstitute.law.ucla.edu/publications/older-lgbt-adults-us/</w:t>
        </w:r>
      </w:hyperlink>
      <w:r w:rsidR="00C3608C" w:rsidRPr="00657D31">
        <w:t xml:space="preserve">; </w:t>
      </w:r>
      <w:r w:rsidRPr="00657D31">
        <w:rPr>
          <w:smallCaps/>
        </w:rPr>
        <w:t xml:space="preserve">Ilan H. Meyer, Bianca D.M. Wilson &amp; Kathryn O’Neill, Williams Inst., LGBTQ People in the US: Select Findings from the Generations and </w:t>
      </w:r>
      <w:proofErr w:type="spellStart"/>
      <w:r w:rsidRPr="00657D31">
        <w:rPr>
          <w:smallCaps/>
        </w:rPr>
        <w:t>TransPop</w:t>
      </w:r>
      <w:proofErr w:type="spellEnd"/>
      <w:r w:rsidRPr="00657D31">
        <w:rPr>
          <w:smallCaps/>
        </w:rPr>
        <w:t xml:space="preserve"> Studies</w:t>
      </w:r>
      <w:r w:rsidRPr="00657D31">
        <w:t xml:space="preserve"> (2021), </w:t>
      </w:r>
      <w:hyperlink r:id="rId3" w:history="1">
        <w:r w:rsidRPr="00074A30">
          <w:rPr>
            <w:rStyle w:val="Hyperlink"/>
            <w:color w:val="auto"/>
          </w:rPr>
          <w:t>https://williamsinstitute.law.ucla.edu/publications/generations-transpop-toplines/</w:t>
        </w:r>
      </w:hyperlink>
      <w:r w:rsidR="00074A30">
        <w:t xml:space="preserve"> </w:t>
      </w:r>
      <w:r w:rsidRPr="00657D31">
        <w:t xml:space="preserve">(summarizing findings from LGBTQ-specific population-based national surveys, NIH-funded Generations (HD078526) and </w:t>
      </w:r>
      <w:proofErr w:type="spellStart"/>
      <w:r w:rsidRPr="00657D31">
        <w:t>TransPop</w:t>
      </w:r>
      <w:proofErr w:type="spellEnd"/>
      <w:r w:rsidRPr="00657D31">
        <w:t xml:space="preserve"> (HD090468) studies)</w:t>
      </w:r>
      <w:r w:rsidR="00136118" w:rsidRPr="00657D31">
        <w:t xml:space="preserve">; </w:t>
      </w:r>
      <w:r w:rsidR="00136118" w:rsidRPr="00657D31">
        <w:rPr>
          <w:i/>
          <w:iCs/>
        </w:rPr>
        <w:t xml:space="preserve">see also </w:t>
      </w:r>
      <w:r w:rsidR="00136118" w:rsidRPr="00657D31">
        <w:rPr>
          <w:smallCaps/>
        </w:rPr>
        <w:t xml:space="preserve">Ilan H. Meyer &amp; </w:t>
      </w:r>
      <w:proofErr w:type="spellStart"/>
      <w:r w:rsidR="00136118" w:rsidRPr="00657D31">
        <w:rPr>
          <w:smallCaps/>
        </w:rPr>
        <w:t>lauren</w:t>
      </w:r>
      <w:proofErr w:type="spellEnd"/>
      <w:r w:rsidR="00136118" w:rsidRPr="00657D31">
        <w:rPr>
          <w:smallCaps/>
        </w:rPr>
        <w:t xml:space="preserve"> J. Bouton, Williams Inst., Impact of Executive Orders on Access to Federal Data</w:t>
      </w:r>
      <w:r w:rsidR="00136118" w:rsidRPr="00657D31">
        <w:t xml:space="preserve"> (Feb. 2025), </w:t>
      </w:r>
      <w:hyperlink r:id="rId4" w:history="1">
        <w:r w:rsidR="00136118" w:rsidRPr="00657D31">
          <w:rPr>
            <w:rStyle w:val="Hyperlink"/>
            <w:color w:val="auto"/>
          </w:rPr>
          <w:t>https://williamsinstitute.law.ucla.edu/publications/access-federal-lgbt-data/</w:t>
        </w:r>
      </w:hyperlink>
      <w:r w:rsidR="00136118" w:rsidRPr="00657D31">
        <w:t xml:space="preserve">. </w:t>
      </w:r>
    </w:p>
  </w:footnote>
  <w:footnote w:id="4">
    <w:p w14:paraId="4707FA93" w14:textId="419044FE" w:rsidR="00E027E1" w:rsidRPr="00657D31" w:rsidRDefault="00E027E1" w:rsidP="004A022D">
      <w:pPr>
        <w:pStyle w:val="FootnoteText"/>
      </w:pPr>
      <w:r w:rsidRPr="00657D31">
        <w:rPr>
          <w:rStyle w:val="FootnoteReference"/>
        </w:rPr>
        <w:footnoteRef/>
      </w:r>
      <w:r w:rsidRPr="00657D31">
        <w:t xml:space="preserve"> </w:t>
      </w:r>
      <w:r w:rsidR="00A40C1B" w:rsidRPr="00657D31">
        <w:rPr>
          <w:smallCaps/>
        </w:rPr>
        <w:t>Andrew R. Flores</w:t>
      </w:r>
      <w:r w:rsidRPr="00657D31">
        <w:rPr>
          <w:smallCaps/>
        </w:rPr>
        <w:t xml:space="preserve"> &amp; </w:t>
      </w:r>
      <w:r w:rsidR="00A40C1B" w:rsidRPr="00657D31">
        <w:rPr>
          <w:smallCaps/>
        </w:rPr>
        <w:t xml:space="preserve">Kerith J. </w:t>
      </w:r>
      <w:r w:rsidRPr="00657D31">
        <w:rPr>
          <w:smallCaps/>
        </w:rPr>
        <w:t>Conron</w:t>
      </w:r>
      <w:r w:rsidR="00B201D6" w:rsidRPr="00657D31">
        <w:rPr>
          <w:smallCaps/>
        </w:rPr>
        <w:t>,</w:t>
      </w:r>
      <w:r w:rsidR="00B201D6" w:rsidRPr="00657D31">
        <w:t xml:space="preserve"> </w:t>
      </w:r>
      <w:r w:rsidR="00B85866" w:rsidRPr="00657D31">
        <w:rPr>
          <w:smallCaps/>
        </w:rPr>
        <w:t>Williams Inst.</w:t>
      </w:r>
      <w:r w:rsidR="00301648" w:rsidRPr="00657D31">
        <w:rPr>
          <w:smallCaps/>
        </w:rPr>
        <w:t>,</w:t>
      </w:r>
      <w:r w:rsidR="00B85866" w:rsidRPr="00657D31">
        <w:rPr>
          <w:smallCaps/>
        </w:rPr>
        <w:t xml:space="preserve"> </w:t>
      </w:r>
      <w:r w:rsidRPr="00657D31">
        <w:rPr>
          <w:smallCaps/>
        </w:rPr>
        <w:t xml:space="preserve">LGBT </w:t>
      </w:r>
      <w:r w:rsidR="00B201D6" w:rsidRPr="00657D31">
        <w:rPr>
          <w:smallCaps/>
        </w:rPr>
        <w:t>A</w:t>
      </w:r>
      <w:r w:rsidRPr="00657D31">
        <w:rPr>
          <w:smallCaps/>
        </w:rPr>
        <w:t xml:space="preserve">dults in the U.S. </w:t>
      </w:r>
      <w:r w:rsidR="00B201D6" w:rsidRPr="00657D31">
        <w:rPr>
          <w:smallCaps/>
        </w:rPr>
        <w:t>P</w:t>
      </w:r>
      <w:r w:rsidRPr="00657D31">
        <w:rPr>
          <w:smallCaps/>
        </w:rPr>
        <w:t>opulation</w:t>
      </w:r>
      <w:r w:rsidR="00301648" w:rsidRPr="00657D31">
        <w:rPr>
          <w:smallCaps/>
        </w:rPr>
        <w:t xml:space="preserve"> </w:t>
      </w:r>
      <w:r w:rsidR="00301648" w:rsidRPr="00657D31">
        <w:t>(2023</w:t>
      </w:r>
      <w:r w:rsidR="00301648" w:rsidRPr="00657D31">
        <w:rPr>
          <w:smallCaps/>
        </w:rPr>
        <w:t>)</w:t>
      </w:r>
      <w:r w:rsidR="0001051C" w:rsidRPr="00657D31">
        <w:t>,</w:t>
      </w:r>
      <w:r w:rsidRPr="00657D31">
        <w:t xml:space="preserve"> </w:t>
      </w:r>
      <w:hyperlink r:id="rId5" w:history="1">
        <w:r w:rsidRPr="00657D31">
          <w:rPr>
            <w:rStyle w:val="Hyperlink"/>
            <w:color w:val="auto"/>
          </w:rPr>
          <w:t>https://williamsinstitute.law.ucla.edu/wp-content/uploads/LGBT-Adult-US-Pop-Dec-2023.pdf</w:t>
        </w:r>
      </w:hyperlink>
      <w:r w:rsidR="008B26E6" w:rsidRPr="00657D31">
        <w:rPr>
          <w:rStyle w:val="Hyperlink"/>
          <w:color w:val="auto"/>
          <w:u w:val="none"/>
        </w:rPr>
        <w:t>.</w:t>
      </w:r>
    </w:p>
  </w:footnote>
  <w:footnote w:id="5">
    <w:p w14:paraId="73B6D6F5" w14:textId="29D93A61" w:rsidR="00C57AFA" w:rsidRPr="00657D31" w:rsidRDefault="00C57AFA" w:rsidP="004A022D">
      <w:pPr>
        <w:pStyle w:val="FootnoteText"/>
        <w:rPr>
          <w:lang w:val="da-DK"/>
        </w:rPr>
      </w:pPr>
      <w:r w:rsidRPr="00657D31">
        <w:rPr>
          <w:rStyle w:val="FootnoteReference"/>
        </w:rPr>
        <w:footnoteRef/>
      </w:r>
      <w:r w:rsidRPr="00657D31">
        <w:t xml:space="preserve"> </w:t>
      </w:r>
      <w:r w:rsidRPr="00657D31">
        <w:rPr>
          <w:smallCaps/>
        </w:rPr>
        <w:t>Jody L. Herman, Andrew R. Flores &amp; Kathryn K. O’Neill, Williams Inst., How Many Adults and Youth Identify as Transgender in the United States?</w:t>
      </w:r>
      <w:r w:rsidRPr="00657D31">
        <w:t xml:space="preserve"> </w:t>
      </w:r>
      <w:r w:rsidRPr="00657D31">
        <w:rPr>
          <w:lang w:val="da-DK"/>
        </w:rPr>
        <w:t xml:space="preserve">(June 2022), </w:t>
      </w:r>
      <w:hyperlink r:id="rId6" w:history="1">
        <w:r w:rsidR="001F0060" w:rsidRPr="00657D31">
          <w:rPr>
            <w:rStyle w:val="Hyperlink"/>
            <w:color w:val="auto"/>
            <w:lang w:val="da-DK"/>
          </w:rPr>
          <w:t>https://williamsinstitute.law.ucla.edu/publications/trans-adults-united-states/</w:t>
        </w:r>
      </w:hyperlink>
      <w:r w:rsidR="00FA73E4" w:rsidRPr="00657D31">
        <w:t>.</w:t>
      </w:r>
      <w:r w:rsidR="001F0060" w:rsidRPr="00657D31">
        <w:rPr>
          <w:lang w:val="da-DK"/>
        </w:rPr>
        <w:t xml:space="preserve"> </w:t>
      </w:r>
    </w:p>
  </w:footnote>
  <w:footnote w:id="6">
    <w:p w14:paraId="48368264" w14:textId="70D169B7" w:rsidR="00CD1DD2" w:rsidRPr="00657D31" w:rsidRDefault="00CD1DD2" w:rsidP="004A022D">
      <w:pPr>
        <w:pStyle w:val="FootnoteText"/>
      </w:pPr>
      <w:r w:rsidRPr="00657D31">
        <w:rPr>
          <w:rStyle w:val="FootnoteReference"/>
        </w:rPr>
        <w:footnoteRef/>
      </w:r>
      <w:r w:rsidRPr="00657D31">
        <w:t xml:space="preserve"> </w:t>
      </w:r>
      <w:r w:rsidR="00A52901" w:rsidRPr="00657D31">
        <w:t xml:space="preserve">Press Release, Williams Inst., </w:t>
      </w:r>
      <w:r w:rsidR="00A52901" w:rsidRPr="00657D31">
        <w:rPr>
          <w:i/>
          <w:iCs/>
        </w:rPr>
        <w:t>1.2 Million Adults in the U.S. Identify as Nonbinary</w:t>
      </w:r>
      <w:r w:rsidR="00A52901" w:rsidRPr="00657D31">
        <w:t xml:space="preserve"> (June 21, 2021), </w:t>
      </w:r>
      <w:hyperlink r:id="rId7" w:tgtFrame="_new" w:history="1">
        <w:r w:rsidR="00A52901" w:rsidRPr="00657D31">
          <w:rPr>
            <w:rStyle w:val="Hyperlink"/>
            <w:color w:val="auto"/>
          </w:rPr>
          <w:t>https://williamsinstitute.law.ucla.edu/press/lgbtq-nonbinary-press-release/</w:t>
        </w:r>
      </w:hyperlink>
      <w:r w:rsidRPr="00657D31">
        <w:rPr>
          <w:u w:val="single"/>
        </w:rPr>
        <w:t>;</w:t>
      </w:r>
      <w:r w:rsidRPr="00657D31">
        <w:t xml:space="preserve"> </w:t>
      </w:r>
      <w:r w:rsidRPr="00657D31">
        <w:rPr>
          <w:i/>
          <w:iCs/>
        </w:rPr>
        <w:t>See also</w:t>
      </w:r>
      <w:r w:rsidRPr="00657D31">
        <w:t xml:space="preserve"> </w:t>
      </w:r>
      <w:r w:rsidRPr="00657D31">
        <w:rPr>
          <w:smallCaps/>
        </w:rPr>
        <w:t xml:space="preserve">Bianca D.M. Wilson </w:t>
      </w:r>
      <w:r w:rsidR="00CB4123" w:rsidRPr="00657D31">
        <w:rPr>
          <w:smallCaps/>
        </w:rPr>
        <w:t xml:space="preserve">&amp; </w:t>
      </w:r>
      <w:r w:rsidRPr="00657D31">
        <w:rPr>
          <w:smallCaps/>
        </w:rPr>
        <w:t>Ilan Meyer, Williams Inst.</w:t>
      </w:r>
      <w:r w:rsidR="008B26E6" w:rsidRPr="00657D31">
        <w:rPr>
          <w:smallCaps/>
        </w:rPr>
        <w:t>,</w:t>
      </w:r>
      <w:r w:rsidRPr="00657D31">
        <w:rPr>
          <w:smallCaps/>
        </w:rPr>
        <w:t xml:space="preserve"> Nonbinary LGBTQ Adults in the U.S</w:t>
      </w:r>
      <w:r w:rsidRPr="00657D31">
        <w:t>.</w:t>
      </w:r>
      <w:r w:rsidR="008B26E6" w:rsidRPr="00657D31">
        <w:t xml:space="preserve"> </w:t>
      </w:r>
      <w:r w:rsidR="008B26E6" w:rsidRPr="00657D31">
        <w:rPr>
          <w:smallCaps/>
        </w:rPr>
        <w:t>(June 2021)</w:t>
      </w:r>
      <w:r w:rsidRPr="00657D31">
        <w:t xml:space="preserve">, </w:t>
      </w:r>
      <w:hyperlink r:id="rId8" w:history="1">
        <w:r w:rsidR="00657D31" w:rsidRPr="00657D31">
          <w:rPr>
            <w:rStyle w:val="Hyperlink"/>
            <w:color w:val="auto"/>
          </w:rPr>
          <w:t>https://williamsinstitute.law.ucla.edu/publications/nonbinary-lgbtq-adults-us/</w:t>
        </w:r>
      </w:hyperlink>
      <w:r w:rsidRPr="00657D31">
        <w:t xml:space="preserve">. This study used data sources from both cisgender and transgender LGBTQ community members. </w:t>
      </w:r>
    </w:p>
  </w:footnote>
  <w:footnote w:id="7">
    <w:p w14:paraId="1A280641" w14:textId="5C598925" w:rsidR="00DD4DD2" w:rsidRPr="00657D31" w:rsidRDefault="00DD4DD2" w:rsidP="004A022D">
      <w:pPr>
        <w:pStyle w:val="FootnoteText"/>
      </w:pPr>
      <w:r w:rsidRPr="00657D31">
        <w:rPr>
          <w:rStyle w:val="FootnoteReference"/>
        </w:rPr>
        <w:footnoteRef/>
      </w:r>
      <w:r w:rsidRPr="00657D31">
        <w:rPr>
          <w:smallCaps/>
        </w:rPr>
        <w:t xml:space="preserve"> </w:t>
      </w:r>
      <w:r w:rsidR="00F05936" w:rsidRPr="00657D31">
        <w:rPr>
          <w:smallCaps/>
        </w:rPr>
        <w:t xml:space="preserve">Inst. of Med., </w:t>
      </w:r>
      <w:r w:rsidR="00F05936" w:rsidRPr="00657D31">
        <w:rPr>
          <w:i/>
          <w:iCs/>
        </w:rPr>
        <w:t>The Health of Lesbian, Gay, Bisexual, and Transgender People: Building a Foundation for Better Understanding</w:t>
      </w:r>
      <w:r w:rsidR="00F05936" w:rsidRPr="00657D31">
        <w:t xml:space="preserve"> (2011), </w:t>
      </w:r>
      <w:r w:rsidR="00F05936" w:rsidRPr="00657D31">
        <w:rPr>
          <w:u w:val="single"/>
        </w:rPr>
        <w:t>http://www.iom.edu/Reports/2011/The-Health-of-Lesbian-Gay-Bisexual-and-Transgender-People.aspx</w:t>
      </w:r>
      <w:r w:rsidR="00F05936" w:rsidRPr="00657D31">
        <w:t>.</w:t>
      </w:r>
    </w:p>
  </w:footnote>
  <w:footnote w:id="8">
    <w:p w14:paraId="4274E999" w14:textId="77777777" w:rsidR="00824F20" w:rsidRPr="00657D31" w:rsidRDefault="00824F20" w:rsidP="00824F20">
      <w:pPr>
        <w:pStyle w:val="FootnoteText"/>
      </w:pPr>
      <w:r w:rsidRPr="00657D31">
        <w:rPr>
          <w:rStyle w:val="FootnoteReference"/>
        </w:rPr>
        <w:footnoteRef/>
      </w:r>
      <w:r w:rsidRPr="00657D31">
        <w:t xml:space="preserve"> 90 Fed. Reg. 26,592, 26,593 (June 23, 2025), </w:t>
      </w:r>
      <w:hyperlink r:id="rId9" w:history="1">
        <w:r w:rsidRPr="00657D31">
          <w:rPr>
            <w:rStyle w:val="Hyperlink"/>
            <w:color w:val="auto"/>
          </w:rPr>
          <w:t>https://www.govinfo.gov/content/pkg/FR-2025-06-23/pdf/2025-11444.pdf</w:t>
        </w:r>
      </w:hyperlink>
      <w:r w:rsidRPr="00657D31">
        <w:t>.</w:t>
      </w:r>
    </w:p>
  </w:footnote>
  <w:footnote w:id="9">
    <w:p w14:paraId="37F58138" w14:textId="68BD4027" w:rsidR="000E226E" w:rsidRPr="00657D31" w:rsidRDefault="000E226E">
      <w:pPr>
        <w:pStyle w:val="FootnoteText"/>
      </w:pPr>
      <w:r w:rsidRPr="00657D31">
        <w:rPr>
          <w:rStyle w:val="FootnoteReference"/>
        </w:rPr>
        <w:footnoteRef/>
      </w:r>
      <w:r w:rsidRPr="00657D31">
        <w:t xml:space="preserve"> </w:t>
      </w:r>
      <w:r w:rsidR="00926AC3" w:rsidRPr="00657D31">
        <w:t xml:space="preserve">E.g., </w:t>
      </w:r>
      <w:r w:rsidR="007E0EC6" w:rsidRPr="00657D31">
        <w:rPr>
          <w:smallCaps/>
        </w:rPr>
        <w:t>Health Resources &amp; Services Admin</w:t>
      </w:r>
      <w:r w:rsidR="007E0EC6" w:rsidRPr="00657D31">
        <w:t xml:space="preserve">., </w:t>
      </w:r>
      <w:r w:rsidR="00711A3E" w:rsidRPr="00657D31">
        <w:t xml:space="preserve">Impact of the Health Center Program (April 2025), </w:t>
      </w:r>
      <w:hyperlink r:id="rId10" w:history="1">
        <w:r w:rsidR="00711A3E" w:rsidRPr="00657D31">
          <w:rPr>
            <w:rStyle w:val="Hyperlink"/>
            <w:color w:val="auto"/>
          </w:rPr>
          <w:t>https://bphc.hrsa.gov/about-health-center-program/impact-health-center-program</w:t>
        </w:r>
      </w:hyperlink>
      <w:r w:rsidR="00711A3E" w:rsidRPr="00657D31">
        <w:t xml:space="preserve">. </w:t>
      </w:r>
    </w:p>
  </w:footnote>
  <w:footnote w:id="10">
    <w:p w14:paraId="6D15A317" w14:textId="77777777" w:rsidR="00824F20" w:rsidRPr="00657D31" w:rsidRDefault="00824F20" w:rsidP="00824F20">
      <w:pPr>
        <w:pStyle w:val="FootnoteText"/>
      </w:pPr>
      <w:r w:rsidRPr="00657D31">
        <w:rPr>
          <w:rStyle w:val="FootnoteReference"/>
        </w:rPr>
        <w:footnoteRef/>
      </w:r>
      <w:r w:rsidRPr="00657D31">
        <w:t xml:space="preserve"> 42 U.S.C. § 1395x(aa</w:t>
      </w:r>
      <w:proofErr w:type="gramStart"/>
      <w:r w:rsidRPr="00657D31">
        <w:t>)(</w:t>
      </w:r>
      <w:proofErr w:type="gramEnd"/>
      <w:r w:rsidRPr="00657D31">
        <w:t>4) (2024).</w:t>
      </w:r>
    </w:p>
  </w:footnote>
  <w:footnote w:id="11">
    <w:p w14:paraId="27D0AD61" w14:textId="2C0FD403" w:rsidR="00824F20" w:rsidRPr="00657D31" w:rsidRDefault="00824F20" w:rsidP="00824F20">
      <w:pPr>
        <w:pStyle w:val="FootnoteText"/>
      </w:pPr>
      <w:r w:rsidRPr="00657D31">
        <w:rPr>
          <w:rStyle w:val="FootnoteReference"/>
        </w:rPr>
        <w:footnoteRef/>
      </w:r>
      <w:r w:rsidRPr="00657D31">
        <w:t xml:space="preserve"> </w:t>
      </w:r>
      <w:r w:rsidR="001B582C" w:rsidRPr="00657D31">
        <w:t>90 Fed. Reg. at 26,593.</w:t>
      </w:r>
    </w:p>
  </w:footnote>
  <w:footnote w:id="12">
    <w:p w14:paraId="4D21064E" w14:textId="77777777" w:rsidR="003B5868" w:rsidRPr="00657D31" w:rsidRDefault="003B5868" w:rsidP="003B5868">
      <w:pPr>
        <w:pStyle w:val="FootnoteText"/>
      </w:pPr>
      <w:r w:rsidRPr="00657D31">
        <w:rPr>
          <w:rStyle w:val="FootnoteReference"/>
        </w:rPr>
        <w:footnoteRef/>
      </w:r>
      <w:r w:rsidRPr="00657D31">
        <w:t xml:space="preserve"> </w:t>
      </w:r>
      <w:r w:rsidRPr="00657D31">
        <w:rPr>
          <w:i/>
          <w:iCs/>
        </w:rPr>
        <w:t xml:space="preserve">See, e.g., </w:t>
      </w:r>
      <w:r w:rsidRPr="00657D31">
        <w:rPr>
          <w:smallCaps/>
        </w:rPr>
        <w:t>Ctr. for Medicare &amp; Medicaid Serv., Uniform Data System (UDS),</w:t>
      </w:r>
      <w:r w:rsidRPr="00657D31">
        <w:t xml:space="preserve"> </w:t>
      </w:r>
      <w:hyperlink r:id="rId11" w:history="1">
        <w:r w:rsidRPr="00657D31">
          <w:rPr>
            <w:rStyle w:val="Hyperlink"/>
            <w:color w:val="auto"/>
          </w:rPr>
          <w:t>https://www.cms.gov/files/document/sgm-clearinghouse-uds.pdf</w:t>
        </w:r>
      </w:hyperlink>
      <w:r w:rsidRPr="00657D31">
        <w:t xml:space="preserve"> (last accessed July 10, 2025).</w:t>
      </w:r>
    </w:p>
  </w:footnote>
  <w:footnote w:id="13">
    <w:p w14:paraId="7C82E7EC" w14:textId="77777777" w:rsidR="00B00741" w:rsidRPr="00657D31" w:rsidRDefault="00B00741" w:rsidP="00B00741">
      <w:pPr>
        <w:pStyle w:val="FootnoteText"/>
      </w:pPr>
      <w:r w:rsidRPr="00657D31">
        <w:rPr>
          <w:rStyle w:val="FootnoteReference"/>
        </w:rPr>
        <w:footnoteRef/>
      </w:r>
      <w:r w:rsidRPr="00657D31">
        <w:t xml:space="preserve"> 90 Fed. Reg. at 26,593.</w:t>
      </w:r>
    </w:p>
  </w:footnote>
  <w:footnote w:id="14">
    <w:p w14:paraId="45083CE0" w14:textId="77777777" w:rsidR="00B00741" w:rsidRPr="00657D31" w:rsidRDefault="00B00741" w:rsidP="00B00741">
      <w:pPr>
        <w:pStyle w:val="FootnoteText"/>
      </w:pPr>
      <w:r w:rsidRPr="00657D31">
        <w:rPr>
          <w:rStyle w:val="FootnoteReference"/>
        </w:rPr>
        <w:footnoteRef/>
      </w:r>
      <w:r w:rsidRPr="00657D31">
        <w:t xml:space="preserve"> </w:t>
      </w:r>
      <w:r w:rsidRPr="00657D31">
        <w:rPr>
          <w:smallCaps/>
        </w:rPr>
        <w:t>Ctr. for Medicare &amp; Medicaid Serv., Uniform Data System (UDS),</w:t>
      </w:r>
      <w:r w:rsidRPr="00657D31">
        <w:t xml:space="preserve"> </w:t>
      </w:r>
      <w:hyperlink r:id="rId12" w:history="1">
        <w:r w:rsidRPr="00657D31">
          <w:rPr>
            <w:rStyle w:val="Hyperlink"/>
            <w:color w:val="auto"/>
          </w:rPr>
          <w:t>https://www.cms.gov/files/document/sgm-clearinghouse-uds.pdf</w:t>
        </w:r>
      </w:hyperlink>
      <w:r w:rsidRPr="00657D31">
        <w:t xml:space="preserve"> (last accessed July 10, 2025).</w:t>
      </w:r>
    </w:p>
  </w:footnote>
  <w:footnote w:id="15">
    <w:p w14:paraId="3864D109" w14:textId="269FAE73" w:rsidR="00CC78C6" w:rsidRPr="00657D31" w:rsidRDefault="00CC78C6" w:rsidP="00CC78C6">
      <w:pPr>
        <w:pStyle w:val="FootnoteText"/>
      </w:pPr>
      <w:r w:rsidRPr="00657D31">
        <w:rPr>
          <w:rStyle w:val="FootnoteReference"/>
        </w:rPr>
        <w:footnoteRef/>
      </w:r>
      <w:r w:rsidRPr="00657D31">
        <w:t xml:space="preserve"> </w:t>
      </w:r>
      <w:r w:rsidRPr="00657D31">
        <w:rPr>
          <w:i/>
          <w:iCs/>
        </w:rPr>
        <w:t xml:space="preserve">See </w:t>
      </w:r>
      <w:r w:rsidRPr="00657D31">
        <w:t xml:space="preserve">Los Angeles LGBT Center, </w:t>
      </w:r>
      <w:r w:rsidRPr="00657D31">
        <w:rPr>
          <w:i/>
          <w:iCs/>
        </w:rPr>
        <w:t>Medical Services</w:t>
      </w:r>
      <w:r w:rsidRPr="00657D31">
        <w:t xml:space="preserve">, </w:t>
      </w:r>
      <w:hyperlink r:id="rId13" w:history="1">
        <w:r w:rsidRPr="00657D31">
          <w:rPr>
            <w:rStyle w:val="Hyperlink"/>
            <w:color w:val="auto"/>
          </w:rPr>
          <w:t>https://lalgbtcenter.org/services/medical-services/</w:t>
        </w:r>
      </w:hyperlink>
      <w:r w:rsidRPr="00657D31">
        <w:t xml:space="preserve"> (last accessed July 17, 2025);</w:t>
      </w:r>
      <w:r w:rsidRPr="00657D31">
        <w:rPr>
          <w:i/>
          <w:iCs/>
        </w:rPr>
        <w:t xml:space="preserve"> see also </w:t>
      </w:r>
      <w:r w:rsidRPr="00657D31">
        <w:t xml:space="preserve">Tommy Royston, Healthcare Equity: Exploring How Two Community Health Centers That Specialize in LGBTQ Healthcare Frame Cultural Competence at 97-98 (May 2023) (Ph.D. dissertation, Univ. of San Diego), </w:t>
      </w:r>
      <w:hyperlink r:id="rId14" w:anchor="b-17810325" w:history="1">
        <w:r w:rsidR="00657D31" w:rsidRPr="00657D31">
          <w:rPr>
            <w:rStyle w:val="Hyperlink"/>
            <w:color w:val="auto"/>
          </w:rPr>
          <w:t>https://www.legalbluebook.com/bluebook/v22/rules/17-unpublished-and-forthcoming-sources/17-2-unpublished-materials?id=17726725&amp;tokens=dissertation#b-17810325</w:t>
        </w:r>
      </w:hyperlink>
      <w:r w:rsidR="00657D31" w:rsidRPr="00657D31">
        <w:t xml:space="preserve"> </w:t>
      </w:r>
      <w:r w:rsidRPr="00657D31">
        <w:t>(analyzing two FQHCs which both serve large populations of LGBTQ people, including one which had 62% LGBTQ patients in 2020).</w:t>
      </w:r>
    </w:p>
  </w:footnote>
  <w:footnote w:id="16">
    <w:p w14:paraId="54EF1407" w14:textId="4404B449" w:rsidR="00AA0F1C" w:rsidRPr="00657D31" w:rsidRDefault="00AA0F1C">
      <w:pPr>
        <w:pStyle w:val="FootnoteText"/>
      </w:pPr>
      <w:r w:rsidRPr="00657D31">
        <w:rPr>
          <w:rStyle w:val="FootnoteReference"/>
        </w:rPr>
        <w:footnoteRef/>
      </w:r>
      <w:r w:rsidRPr="00657D31">
        <w:t xml:space="preserve"> </w:t>
      </w:r>
      <w:proofErr w:type="spellStart"/>
      <w:r w:rsidR="00B53C0F" w:rsidRPr="00657D31">
        <w:rPr>
          <w:smallCaps/>
        </w:rPr>
        <w:t>Nat’l</w:t>
      </w:r>
      <w:proofErr w:type="spellEnd"/>
      <w:r w:rsidR="00B53C0F" w:rsidRPr="00657D31">
        <w:rPr>
          <w:smallCaps/>
        </w:rPr>
        <w:t xml:space="preserve"> </w:t>
      </w:r>
      <w:proofErr w:type="spellStart"/>
      <w:r w:rsidR="00B53C0F" w:rsidRPr="00657D31">
        <w:rPr>
          <w:smallCaps/>
        </w:rPr>
        <w:t>Acads</w:t>
      </w:r>
      <w:proofErr w:type="spellEnd"/>
      <w:r w:rsidR="00B53C0F" w:rsidRPr="00657D31">
        <w:rPr>
          <w:smallCaps/>
        </w:rPr>
        <w:t xml:space="preserve">. of </w:t>
      </w:r>
      <w:proofErr w:type="spellStart"/>
      <w:r w:rsidR="00B53C0F" w:rsidRPr="00657D31">
        <w:rPr>
          <w:smallCaps/>
        </w:rPr>
        <w:t>Scis</w:t>
      </w:r>
      <w:proofErr w:type="spellEnd"/>
      <w:r w:rsidR="00B53C0F" w:rsidRPr="00657D31">
        <w:rPr>
          <w:smallCaps/>
        </w:rPr>
        <w:t>., Eng’g, &amp; Med.</w:t>
      </w:r>
      <w:r w:rsidR="00B53C0F" w:rsidRPr="00657D31">
        <w:t xml:space="preserve">, Chapter 12: Coverage, Access, and Utilization of Evidence-Based Health Care, in </w:t>
      </w:r>
      <w:r w:rsidR="00B53C0F" w:rsidRPr="00657D31">
        <w:rPr>
          <w:smallCaps/>
        </w:rPr>
        <w:t>Understanding the Well-Being of LGBTQI+ Populations</w:t>
      </w:r>
      <w:r w:rsidR="00B53C0F" w:rsidRPr="00657D31">
        <w:t xml:space="preserve"> 345 (2020), </w:t>
      </w:r>
      <w:hyperlink r:id="rId15" w:tgtFrame="_new" w:history="1">
        <w:r w:rsidR="00B53C0F" w:rsidRPr="00657D31">
          <w:rPr>
            <w:rStyle w:val="Hyperlink"/>
            <w:color w:val="auto"/>
          </w:rPr>
          <w:t>https://doi.org/10.17226/25877</w:t>
        </w:r>
      </w:hyperlink>
      <w:r w:rsidR="00B53C0F" w:rsidRPr="00657D31">
        <w:t xml:space="preserve">. </w:t>
      </w:r>
    </w:p>
  </w:footnote>
  <w:footnote w:id="17">
    <w:p w14:paraId="5B889597" w14:textId="15247B30" w:rsidR="001024A0" w:rsidRPr="00657D31" w:rsidRDefault="001024A0">
      <w:pPr>
        <w:pStyle w:val="FootnoteText"/>
      </w:pPr>
      <w:r w:rsidRPr="00657D31">
        <w:rPr>
          <w:rStyle w:val="FootnoteReference"/>
        </w:rPr>
        <w:footnoteRef/>
      </w:r>
      <w:r w:rsidRPr="00657D31">
        <w:t xml:space="preserve"> </w:t>
      </w:r>
      <w:r w:rsidR="00D032A7" w:rsidRPr="00657D31">
        <w:t xml:space="preserve">Kevin H. Nguyen, et al., </w:t>
      </w:r>
      <w:r w:rsidR="00D032A7" w:rsidRPr="00657D31">
        <w:rPr>
          <w:i/>
          <w:iCs/>
        </w:rPr>
        <w:t>Health Insurance Coverage and Access to Care by Sexual Orientation During the COVID-19 Pandemic: United States, January 2021–February 2022</w:t>
      </w:r>
      <w:r w:rsidR="00D032A7" w:rsidRPr="00657D31">
        <w:t xml:space="preserve">, </w:t>
      </w:r>
      <w:r w:rsidR="000B3EB9" w:rsidRPr="00657D31">
        <w:t xml:space="preserve">114 </w:t>
      </w:r>
      <w:r w:rsidR="000B3EB9" w:rsidRPr="00657D31">
        <w:rPr>
          <w:smallCaps/>
        </w:rPr>
        <w:t>Am. J. of Pub. Health</w:t>
      </w:r>
      <w:r w:rsidR="000B3EB9" w:rsidRPr="00657D31">
        <w:t xml:space="preserve"> </w:t>
      </w:r>
      <w:r w:rsidR="00080D89" w:rsidRPr="00657D31">
        <w:t>118</w:t>
      </w:r>
      <w:r w:rsidR="002D313F" w:rsidRPr="00657D31">
        <w:t>, 122</w:t>
      </w:r>
      <w:r w:rsidR="000B3EB9" w:rsidRPr="00657D31">
        <w:t xml:space="preserve"> (2023)</w:t>
      </w:r>
      <w:r w:rsidR="00080D89" w:rsidRPr="00657D31">
        <w:t>,</w:t>
      </w:r>
      <w:r w:rsidR="00D032A7" w:rsidRPr="00657D31">
        <w:t xml:space="preserve"> </w:t>
      </w:r>
      <w:hyperlink r:id="rId16" w:history="1">
        <w:r w:rsidR="00D032A7" w:rsidRPr="00657D31">
          <w:rPr>
            <w:rStyle w:val="Hyperlink"/>
            <w:color w:val="auto"/>
          </w:rPr>
          <w:t>https://ajph.aphapublications.org/doi/full/10.2105/AJPH.2023.307446?casa_token=KFgWLLU89UwAAAAA:Fgva2Hdf8lxSeAvtu88snF__ECpOoF2BNmE21Sybk17d_OC_Y4-UsQEjb9abmrZFROkKUU5QibqqLA</w:t>
        </w:r>
      </w:hyperlink>
      <w:r w:rsidR="00D032A7" w:rsidRPr="00657D31">
        <w:t xml:space="preserve">. </w:t>
      </w:r>
      <w:r w:rsidR="008B58E3" w:rsidRPr="00657D31">
        <w:rPr>
          <w:i/>
          <w:iCs/>
        </w:rPr>
        <w:t xml:space="preserve">See also </w:t>
      </w:r>
      <w:r w:rsidR="0082007D" w:rsidRPr="00657D31">
        <w:t xml:space="preserve">Kevin H. Nguyen, et al., </w:t>
      </w:r>
      <w:r w:rsidR="0082007D" w:rsidRPr="00657D31">
        <w:rPr>
          <w:i/>
          <w:iCs/>
        </w:rPr>
        <w:t>Inequities in Self-Reported Social Risk Factors by Sexual Orientation and Gender Identity</w:t>
      </w:r>
      <w:r w:rsidR="0082007D" w:rsidRPr="00657D31">
        <w:t xml:space="preserve">, </w:t>
      </w:r>
      <w:r w:rsidR="00294206" w:rsidRPr="00657D31">
        <w:t xml:space="preserve">5 </w:t>
      </w:r>
      <w:r w:rsidR="00294206" w:rsidRPr="00657D31">
        <w:rPr>
          <w:smallCaps/>
        </w:rPr>
        <w:t>JAMA Health Forum</w:t>
      </w:r>
      <w:r w:rsidR="00294206" w:rsidRPr="00657D31">
        <w:t xml:space="preserve"> at e243176, </w:t>
      </w:r>
      <w:hyperlink r:id="rId17" w:history="1">
        <w:r w:rsidR="00294206" w:rsidRPr="00657D31">
          <w:rPr>
            <w:rStyle w:val="Hyperlink"/>
            <w:color w:val="auto"/>
          </w:rPr>
          <w:t>https://jamanetwork.com/journals/jama-health-forum/fullarticle/2823975</w:t>
        </w:r>
      </w:hyperlink>
      <w:r w:rsidR="00294206" w:rsidRPr="00657D31">
        <w:t xml:space="preserve">. </w:t>
      </w:r>
    </w:p>
  </w:footnote>
  <w:footnote w:id="18">
    <w:p w14:paraId="43ECF73D" w14:textId="77777777" w:rsidR="00B51A33" w:rsidRPr="00657D31" w:rsidRDefault="00B51A33" w:rsidP="00B51A33">
      <w:pPr>
        <w:pStyle w:val="FootnoteText"/>
      </w:pPr>
      <w:r w:rsidRPr="00657D31">
        <w:rPr>
          <w:rStyle w:val="FootnoteReference"/>
        </w:rPr>
        <w:footnoteRef/>
      </w:r>
      <w:r w:rsidRPr="00657D31">
        <w:t xml:space="preserve"> James M. </w:t>
      </w:r>
      <w:proofErr w:type="spellStart"/>
      <w:r w:rsidRPr="00657D31">
        <w:t>Dahlhamer</w:t>
      </w:r>
      <w:proofErr w:type="spellEnd"/>
      <w:r w:rsidRPr="00657D31">
        <w:t xml:space="preserve">, et al., </w:t>
      </w:r>
      <w:r w:rsidRPr="00657D31">
        <w:rPr>
          <w:i/>
          <w:iCs/>
        </w:rPr>
        <w:t>Barriers to Health Care Among Adults Identifying as Sexual Minorities: A US National Study</w:t>
      </w:r>
      <w:r w:rsidRPr="00657D31">
        <w:t xml:space="preserve">, 106 </w:t>
      </w:r>
      <w:r w:rsidRPr="00657D31">
        <w:rPr>
          <w:smallCaps/>
        </w:rPr>
        <w:t>Am. J. of Public Health</w:t>
      </w:r>
      <w:r w:rsidRPr="00657D31">
        <w:t xml:space="preserve"> 1116 (2016), </w:t>
      </w:r>
      <w:hyperlink r:id="rId18" w:history="1">
        <w:r w:rsidRPr="00657D31">
          <w:rPr>
            <w:rStyle w:val="Hyperlink"/>
            <w:color w:val="auto"/>
          </w:rPr>
          <w:t>https://pmc.ncbi.nlm.nih.gov/articles/PMC4880242/</w:t>
        </w:r>
      </w:hyperlink>
      <w:r w:rsidRPr="00657D31">
        <w:t xml:space="preserve">. </w:t>
      </w:r>
    </w:p>
  </w:footnote>
  <w:footnote w:id="19">
    <w:p w14:paraId="5FCE236F" w14:textId="5E8A82D7" w:rsidR="002D313F" w:rsidRPr="00657D31" w:rsidRDefault="002D313F" w:rsidP="002D313F">
      <w:pPr>
        <w:pStyle w:val="FootnoteText"/>
      </w:pPr>
      <w:r w:rsidRPr="00657D31">
        <w:rPr>
          <w:rStyle w:val="FootnoteReference"/>
        </w:rPr>
        <w:footnoteRef/>
      </w:r>
      <w:r w:rsidRPr="00657D31">
        <w:t xml:space="preserve"> </w:t>
      </w:r>
      <w:r w:rsidRPr="00657D31">
        <w:rPr>
          <w:smallCaps/>
        </w:rPr>
        <w:t>Ankit Rastogi, et al., Health and Wellbeing: A Report of the 2022 U.S. Transgender Survey</w:t>
      </w:r>
      <w:r w:rsidRPr="00657D31">
        <w:t xml:space="preserve"> 1,</w:t>
      </w:r>
      <w:r w:rsidR="00557E32" w:rsidRPr="00657D31">
        <w:t xml:space="preserve"> 8,</w:t>
      </w:r>
      <w:r w:rsidRPr="00657D31">
        <w:t xml:space="preserve"> 27 (2025), </w:t>
      </w:r>
      <w:hyperlink r:id="rId19" w:history="1">
        <w:r w:rsidRPr="00657D31">
          <w:rPr>
            <w:rStyle w:val="Hyperlink"/>
            <w:color w:val="auto"/>
          </w:rPr>
          <w:t>https://transequality.org/sites/default/files/2025-06/USTS_2022Health%26WellbeingReport_WEB.pdf</w:t>
        </w:r>
      </w:hyperlink>
      <w:r w:rsidRPr="00657D31">
        <w:t>.</w:t>
      </w:r>
    </w:p>
  </w:footnote>
  <w:footnote w:id="20">
    <w:p w14:paraId="16091748" w14:textId="626A7878" w:rsidR="00C03DA0" w:rsidRPr="00657D31" w:rsidRDefault="00C03DA0" w:rsidP="00B61E4E">
      <w:pPr>
        <w:pStyle w:val="FootnoteText"/>
        <w:rPr>
          <w:smallCaps/>
        </w:rPr>
      </w:pPr>
      <w:r w:rsidRPr="00657D31">
        <w:rPr>
          <w:rStyle w:val="FootnoteReference"/>
        </w:rPr>
        <w:footnoteRef/>
      </w:r>
      <w:r w:rsidRPr="00657D31">
        <w:t xml:space="preserve"> </w:t>
      </w:r>
      <w:r w:rsidR="00B61E4E" w:rsidRPr="00657D31">
        <w:rPr>
          <w:smallCaps/>
        </w:rPr>
        <w:t xml:space="preserve">Susan H. Babey, et al., UCLA Ctr. for Health </w:t>
      </w:r>
      <w:proofErr w:type="spellStart"/>
      <w:r w:rsidR="00B61E4E" w:rsidRPr="00657D31">
        <w:rPr>
          <w:smallCaps/>
        </w:rPr>
        <w:t>Pol’y</w:t>
      </w:r>
      <w:proofErr w:type="spellEnd"/>
      <w:r w:rsidR="00B61E4E" w:rsidRPr="00657D31">
        <w:rPr>
          <w:smallCaps/>
        </w:rPr>
        <w:t xml:space="preserve"> Research, Gaps in Health Care Access and Health</w:t>
      </w:r>
      <w:r w:rsidR="00842311" w:rsidRPr="00657D31">
        <w:rPr>
          <w:smallCaps/>
        </w:rPr>
        <w:t xml:space="preserve"> </w:t>
      </w:r>
      <w:r w:rsidR="00B61E4E" w:rsidRPr="00657D31">
        <w:rPr>
          <w:smallCaps/>
        </w:rPr>
        <w:t>Insurance Among LGBT Populations</w:t>
      </w:r>
      <w:r w:rsidR="000C1862" w:rsidRPr="00657D31">
        <w:rPr>
          <w:smallCaps/>
        </w:rPr>
        <w:t xml:space="preserve"> </w:t>
      </w:r>
      <w:r w:rsidR="00B61E4E" w:rsidRPr="00657D31">
        <w:rPr>
          <w:smallCaps/>
        </w:rPr>
        <w:t>in California</w:t>
      </w:r>
      <w:r w:rsidR="000C1862" w:rsidRPr="00657D31">
        <w:t xml:space="preserve"> (2022), </w:t>
      </w:r>
      <w:hyperlink r:id="rId20" w:history="1">
        <w:r w:rsidR="000C1862" w:rsidRPr="00657D31">
          <w:rPr>
            <w:rStyle w:val="Hyperlink"/>
            <w:color w:val="auto"/>
          </w:rPr>
          <w:t>https://williamsinstitute.law.ucla.edu/wp-content/uploads/CA-Health-Care-Gaps-Feb-2022.pdf</w:t>
        </w:r>
      </w:hyperlink>
      <w:r w:rsidR="000C1862" w:rsidRPr="00657D31">
        <w:t xml:space="preserve">. </w:t>
      </w:r>
    </w:p>
  </w:footnote>
  <w:footnote w:id="21">
    <w:p w14:paraId="6D895408" w14:textId="6D8735D8" w:rsidR="000C1427" w:rsidRPr="00657D31" w:rsidRDefault="000C1427">
      <w:pPr>
        <w:pStyle w:val="FootnoteText"/>
      </w:pPr>
      <w:r w:rsidRPr="00657D31">
        <w:rPr>
          <w:rStyle w:val="FootnoteReference"/>
        </w:rPr>
        <w:footnoteRef/>
      </w:r>
      <w:r w:rsidRPr="00657D31">
        <w:t xml:space="preserve"> </w:t>
      </w:r>
      <w:r w:rsidR="00E738E4" w:rsidRPr="00657D31">
        <w:rPr>
          <w:smallCaps/>
        </w:rPr>
        <w:t>Bianca D.M. Wilson, et al., Williams Inst., Health and Socioeconomic Well Being of LBQ Women in the US</w:t>
      </w:r>
      <w:r w:rsidR="006324DB" w:rsidRPr="00657D31">
        <w:rPr>
          <w:smallCaps/>
        </w:rPr>
        <w:t xml:space="preserve"> 1, </w:t>
      </w:r>
      <w:r w:rsidR="001D687D" w:rsidRPr="00657D31">
        <w:rPr>
          <w:smallCaps/>
        </w:rPr>
        <w:t>58</w:t>
      </w:r>
      <w:r w:rsidR="00E738E4" w:rsidRPr="00657D31">
        <w:t xml:space="preserve"> (March 2021), </w:t>
      </w:r>
      <w:hyperlink r:id="rId21" w:history="1">
        <w:r w:rsidR="00A24872" w:rsidRPr="00657D31">
          <w:rPr>
            <w:rStyle w:val="Hyperlink"/>
            <w:color w:val="auto"/>
          </w:rPr>
          <w:t>https://williamsinstitute.law.ucla.edu/publications/lbq-women-in-us/</w:t>
        </w:r>
      </w:hyperlink>
      <w:r w:rsidR="00A24872" w:rsidRPr="00657D31">
        <w:t xml:space="preserve">. </w:t>
      </w:r>
    </w:p>
  </w:footnote>
  <w:footnote w:id="22">
    <w:p w14:paraId="42BF14D3" w14:textId="4CE31D74" w:rsidR="00751AA9" w:rsidRPr="00657D31" w:rsidRDefault="00751AA9" w:rsidP="00751AA9">
      <w:pPr>
        <w:pStyle w:val="FootnoteText"/>
      </w:pPr>
      <w:r w:rsidRPr="00657D31">
        <w:rPr>
          <w:rStyle w:val="FootnoteReference"/>
        </w:rPr>
        <w:footnoteRef/>
      </w:r>
      <w:r w:rsidRPr="00657D31">
        <w:t xml:space="preserve"> </w:t>
      </w:r>
      <w:r w:rsidRPr="00657D31">
        <w:rPr>
          <w:smallCaps/>
        </w:rPr>
        <w:t xml:space="preserve">Lauren J.A. Bouton, Amanda M. Brush &amp; Ilan H. Meyer, </w:t>
      </w:r>
      <w:r w:rsidR="004A605F" w:rsidRPr="00657D31">
        <w:rPr>
          <w:smallCaps/>
        </w:rPr>
        <w:t>Williams Inst</w:t>
      </w:r>
      <w:r w:rsidR="004A605F" w:rsidRPr="00657D31">
        <w:t xml:space="preserve">. </w:t>
      </w:r>
      <w:r w:rsidRPr="00657D31">
        <w:rPr>
          <w:i/>
          <w:iCs/>
        </w:rPr>
        <w:t>LGBT Adults Aged 50 and Older in the U.S. During the COVID</w:t>
      </w:r>
      <w:r w:rsidRPr="00657D31">
        <w:rPr>
          <w:i/>
          <w:iCs/>
        </w:rPr>
        <w:noBreakHyphen/>
        <w:t>19 Pandemic</w:t>
      </w:r>
      <w:r w:rsidRPr="00657D31">
        <w:t xml:space="preserve"> </w:t>
      </w:r>
      <w:r w:rsidR="004A605F" w:rsidRPr="00657D31">
        <w:t xml:space="preserve">1, 36 </w:t>
      </w:r>
      <w:r w:rsidRPr="00657D31">
        <w:t xml:space="preserve">(Jan. 2023), </w:t>
      </w:r>
      <w:hyperlink r:id="rId22" w:tgtFrame="_new" w:history="1">
        <w:r w:rsidRPr="00657D31">
          <w:rPr>
            <w:rStyle w:val="Hyperlink"/>
            <w:color w:val="auto"/>
          </w:rPr>
          <w:t>https://williamsinstitute.law.ucla.edu/wp-content/uploads/LGBT-Older-Adults-Jan-2023.pdf</w:t>
        </w:r>
      </w:hyperlink>
      <w:r w:rsidRPr="00657D31">
        <w:t>.</w:t>
      </w:r>
    </w:p>
  </w:footnote>
  <w:footnote w:id="23">
    <w:p w14:paraId="10D3A74B" w14:textId="70C6DE2D" w:rsidR="003D26DA" w:rsidRPr="00657D31" w:rsidRDefault="003D26DA">
      <w:pPr>
        <w:pStyle w:val="FootnoteText"/>
      </w:pPr>
      <w:r w:rsidRPr="00657D31">
        <w:rPr>
          <w:rStyle w:val="FootnoteReference"/>
        </w:rPr>
        <w:footnoteRef/>
      </w:r>
      <w:r w:rsidRPr="00657D31">
        <w:t xml:space="preserve"> </w:t>
      </w:r>
      <w:r w:rsidR="0052310A" w:rsidRPr="00657D31">
        <w:t xml:space="preserve">J.D. Bosse et al., </w:t>
      </w:r>
      <w:r w:rsidR="0052310A" w:rsidRPr="00657D31">
        <w:rPr>
          <w:i/>
          <w:iCs/>
        </w:rPr>
        <w:t>Healthcare Mistreatment is Associated With Psychological Distress, Suicidality, and Substance Use Among Transgender and Nonbinary Emerging Adults</w:t>
      </w:r>
      <w:r w:rsidR="0052310A" w:rsidRPr="00657D31">
        <w:t xml:space="preserve">, 13 </w:t>
      </w:r>
      <w:r w:rsidR="00571558" w:rsidRPr="00657D31">
        <w:rPr>
          <w:smallCaps/>
        </w:rPr>
        <w:t>Emerging Adulthood</w:t>
      </w:r>
      <w:r w:rsidR="0052310A" w:rsidRPr="00657D31">
        <w:rPr>
          <w:smallCaps/>
        </w:rPr>
        <w:t xml:space="preserve"> </w:t>
      </w:r>
      <w:r w:rsidR="0052310A" w:rsidRPr="00657D31">
        <w:t>468 (202</w:t>
      </w:r>
      <w:r w:rsidR="007B39D9" w:rsidRPr="00657D31">
        <w:t>5</w:t>
      </w:r>
      <w:r w:rsidR="0052310A" w:rsidRPr="00657D31">
        <w:t>)</w:t>
      </w:r>
      <w:r w:rsidR="007B39D9" w:rsidRPr="00657D31">
        <w:t xml:space="preserve">, </w:t>
      </w:r>
      <w:hyperlink r:id="rId23" w:tgtFrame="_new" w:history="1">
        <w:r w:rsidR="0052310A" w:rsidRPr="00657D31">
          <w:rPr>
            <w:rStyle w:val="Hyperlink"/>
            <w:color w:val="auto"/>
          </w:rPr>
          <w:t>https://doi.org/10.1177/21676968241308316</w:t>
        </w:r>
      </w:hyperlink>
      <w:r w:rsidR="0052310A" w:rsidRPr="00657D31">
        <w:t xml:space="preserve">; </w:t>
      </w:r>
      <w:r w:rsidRPr="00657D31">
        <w:t xml:space="preserve">Ilan H. Meyer, </w:t>
      </w:r>
      <w:r w:rsidRPr="00657D31">
        <w:rPr>
          <w:i/>
          <w:iCs/>
        </w:rPr>
        <w:t>Prejudice, Social Stress, and Mental Health in Lesbian, Gay, and Bisexual Populations</w:t>
      </w:r>
      <w:r w:rsidRPr="00657D31">
        <w:t xml:space="preserve">, 129 </w:t>
      </w:r>
      <w:r w:rsidRPr="00657D31">
        <w:rPr>
          <w:smallCaps/>
        </w:rPr>
        <w:t>Psych. Bull</w:t>
      </w:r>
      <w:r w:rsidRPr="00657D31">
        <w:t xml:space="preserve">. 674, 681–682 (2003), </w:t>
      </w:r>
      <w:r w:rsidRPr="00074A30">
        <w:rPr>
          <w:u w:val="single"/>
        </w:rPr>
        <w:t>https://www.ncbi.nlm.nih.gov/pmc/articles/PMC2072932/</w:t>
      </w:r>
      <w:r w:rsidRPr="00074A30">
        <w:t>.</w:t>
      </w:r>
    </w:p>
  </w:footnote>
  <w:footnote w:id="24">
    <w:p w14:paraId="5B274FF1" w14:textId="77777777" w:rsidR="00992997" w:rsidRPr="00657D31" w:rsidRDefault="00CF55BB" w:rsidP="00992997">
      <w:pPr>
        <w:pStyle w:val="FootnoteText"/>
        <w:rPr>
          <w:smallCaps/>
        </w:rPr>
      </w:pPr>
      <w:r w:rsidRPr="00657D31">
        <w:rPr>
          <w:rStyle w:val="FootnoteReference"/>
        </w:rPr>
        <w:footnoteRef/>
      </w:r>
      <w:r w:rsidRPr="00657D31">
        <w:t xml:space="preserve"> </w:t>
      </w:r>
      <w:r w:rsidR="00992997" w:rsidRPr="00657D31">
        <w:rPr>
          <w:smallCaps/>
        </w:rPr>
        <w:t>Ilan H. Meyer, et al., Williams Inst., LGBTQ People in the US:</w:t>
      </w:r>
    </w:p>
    <w:p w14:paraId="0E32BC9A" w14:textId="1CF5FF08" w:rsidR="00992997" w:rsidRPr="00657D31" w:rsidRDefault="00992997" w:rsidP="00992997">
      <w:pPr>
        <w:pStyle w:val="FootnoteText"/>
      </w:pPr>
      <w:r w:rsidRPr="00657D31">
        <w:rPr>
          <w:smallCaps/>
        </w:rPr>
        <w:t xml:space="preserve">Select Findings From the Generations and </w:t>
      </w:r>
      <w:proofErr w:type="spellStart"/>
      <w:r w:rsidRPr="00657D31">
        <w:rPr>
          <w:smallCaps/>
        </w:rPr>
        <w:t>TransPop</w:t>
      </w:r>
      <w:proofErr w:type="spellEnd"/>
      <w:r w:rsidRPr="00657D31">
        <w:rPr>
          <w:smallCaps/>
        </w:rPr>
        <w:t xml:space="preserve"> Studies</w:t>
      </w:r>
      <w:r w:rsidRPr="00657D31">
        <w:t xml:space="preserve"> 1, 27 (2021),</w:t>
      </w:r>
    </w:p>
    <w:p w14:paraId="2B698685" w14:textId="4B7A1093" w:rsidR="00CF55BB" w:rsidRPr="00657D31" w:rsidRDefault="00992997" w:rsidP="00992997">
      <w:pPr>
        <w:pStyle w:val="FootnoteText"/>
      </w:pPr>
      <w:hyperlink r:id="rId24" w:history="1">
        <w:r w:rsidRPr="00657D31">
          <w:rPr>
            <w:rStyle w:val="Hyperlink"/>
            <w:color w:val="auto"/>
          </w:rPr>
          <w:t>https://williamsinstitute.law.ucla.edu/wp-content/uploads/Generations-TransPop-Toplines-Jun-2021.pdf</w:t>
        </w:r>
      </w:hyperlink>
      <w:r w:rsidRPr="00657D31">
        <w:t>.</w:t>
      </w:r>
    </w:p>
  </w:footnote>
  <w:footnote w:id="25">
    <w:p w14:paraId="6220F309" w14:textId="77777777" w:rsidR="00C41BC9" w:rsidRPr="00657D31" w:rsidRDefault="00843A49" w:rsidP="004A022D">
      <w:pPr>
        <w:pStyle w:val="FootnoteText"/>
        <w:rPr>
          <w:i/>
          <w:iCs/>
        </w:rPr>
      </w:pPr>
      <w:r w:rsidRPr="00657D31">
        <w:rPr>
          <w:rStyle w:val="FootnoteReference"/>
        </w:rPr>
        <w:footnoteRef/>
      </w:r>
      <w:r w:rsidRPr="00657D31">
        <w:t xml:space="preserve"> </w:t>
      </w:r>
      <w:r w:rsidR="00C41BC9" w:rsidRPr="00657D31">
        <w:t xml:space="preserve">Logan S. Casey et al., </w:t>
      </w:r>
      <w:r w:rsidR="00C41BC9" w:rsidRPr="00657D31">
        <w:rPr>
          <w:i/>
          <w:iCs/>
        </w:rPr>
        <w:t>Discrimination in the United States: Experiences of Lesbian, Gay, Bisexual, Transgender,</w:t>
      </w:r>
    </w:p>
    <w:p w14:paraId="6D5BA813" w14:textId="0A164E76" w:rsidR="00843A49" w:rsidRPr="00657D31" w:rsidRDefault="00C41BC9" w:rsidP="004A022D">
      <w:pPr>
        <w:pStyle w:val="FootnoteText"/>
      </w:pPr>
      <w:r w:rsidRPr="00657D31">
        <w:rPr>
          <w:i/>
          <w:iCs/>
        </w:rPr>
        <w:t>and Queer Americans</w:t>
      </w:r>
      <w:r w:rsidRPr="00657D31">
        <w:t xml:space="preserve">, 54 </w:t>
      </w:r>
      <w:r w:rsidRPr="00657D31">
        <w:rPr>
          <w:smallCaps/>
        </w:rPr>
        <w:t>Health Serv. Res</w:t>
      </w:r>
      <w:r w:rsidRPr="00657D31">
        <w:t>. 1454 (2019).</w:t>
      </w:r>
    </w:p>
  </w:footnote>
  <w:footnote w:id="26">
    <w:p w14:paraId="638EFC49" w14:textId="5671FE2C" w:rsidR="00F97C80" w:rsidRPr="00657D31" w:rsidRDefault="00F97C80" w:rsidP="004A022D">
      <w:pPr>
        <w:pStyle w:val="FootnoteText"/>
      </w:pPr>
      <w:r w:rsidRPr="00657D31">
        <w:rPr>
          <w:rStyle w:val="FootnoteReference"/>
        </w:rPr>
        <w:footnoteRef/>
      </w:r>
      <w:r w:rsidRPr="00657D31">
        <w:t xml:space="preserve"> </w:t>
      </w:r>
      <w:r w:rsidR="00937B76" w:rsidRPr="00657D31">
        <w:t xml:space="preserve">Shabab Ahmed Mirza &amp; Caitlin Rooney, </w:t>
      </w:r>
      <w:r w:rsidR="00937B76" w:rsidRPr="00657D31">
        <w:rPr>
          <w:i/>
          <w:iCs/>
        </w:rPr>
        <w:t>Discrimination Prevents LGBTQ People from Accessing Healthcare</w:t>
      </w:r>
      <w:r w:rsidR="00937B76" w:rsidRPr="00657D31">
        <w:t xml:space="preserve">, </w:t>
      </w:r>
      <w:r w:rsidR="00937B76" w:rsidRPr="00657D31">
        <w:rPr>
          <w:smallCaps/>
        </w:rPr>
        <w:t>Ctr. For Am. Progress</w:t>
      </w:r>
      <w:r w:rsidR="00937B76" w:rsidRPr="00657D31">
        <w:t xml:space="preserve"> (Jan. 18, 2018), </w:t>
      </w:r>
      <w:hyperlink r:id="rId25" w:history="1">
        <w:r w:rsidR="009719E8" w:rsidRPr="00657D31">
          <w:rPr>
            <w:rStyle w:val="Hyperlink"/>
            <w:color w:val="auto"/>
          </w:rPr>
          <w:t>https://www.americanprogress.org/article/discrimination-prevents-lgbtqpeople-accessing-health-care/</w:t>
        </w:r>
      </w:hyperlink>
      <w:r w:rsidR="00937B76" w:rsidRPr="00657D31">
        <w:t>.</w:t>
      </w:r>
    </w:p>
  </w:footnote>
  <w:footnote w:id="27">
    <w:p w14:paraId="663B974A" w14:textId="31FCD40D" w:rsidR="00F97C80" w:rsidRPr="00657D31" w:rsidRDefault="00F97C80" w:rsidP="004A022D">
      <w:pPr>
        <w:pStyle w:val="FootnoteText"/>
        <w:rPr>
          <w:i/>
          <w:iCs/>
        </w:rPr>
      </w:pPr>
      <w:r w:rsidRPr="00657D31">
        <w:rPr>
          <w:rStyle w:val="FootnoteReference"/>
        </w:rPr>
        <w:footnoteRef/>
      </w:r>
      <w:r w:rsidRPr="00657D31">
        <w:t xml:space="preserve"> </w:t>
      </w:r>
      <w:r w:rsidR="00C41BC9" w:rsidRPr="00657D31">
        <w:rPr>
          <w:i/>
          <w:iCs/>
        </w:rPr>
        <w:t xml:space="preserve">Id. </w:t>
      </w:r>
    </w:p>
  </w:footnote>
  <w:footnote w:id="28">
    <w:p w14:paraId="1DAC95A7" w14:textId="0392AB09" w:rsidR="00DC585E" w:rsidRPr="00657D31" w:rsidRDefault="00DC585E">
      <w:pPr>
        <w:pStyle w:val="FootnoteText"/>
      </w:pPr>
      <w:r w:rsidRPr="00657D31">
        <w:rPr>
          <w:rStyle w:val="FootnoteReference"/>
        </w:rPr>
        <w:footnoteRef/>
      </w:r>
      <w:r w:rsidRPr="00657D31">
        <w:t xml:space="preserve"> </w:t>
      </w:r>
      <w:r w:rsidR="009840E3" w:rsidRPr="00657D31">
        <w:rPr>
          <w:smallCaps/>
        </w:rPr>
        <w:t>Ankit Rastogi, et al., Health and Wellbeing: A Report of the 2022 U.S. Transgender Survey</w:t>
      </w:r>
      <w:r w:rsidR="009840E3" w:rsidRPr="00657D31">
        <w:t xml:space="preserve"> at 29 (2025), </w:t>
      </w:r>
      <w:hyperlink r:id="rId26" w:history="1">
        <w:r w:rsidR="009840E3" w:rsidRPr="00657D31">
          <w:rPr>
            <w:rStyle w:val="Hyperlink"/>
            <w:color w:val="auto"/>
          </w:rPr>
          <w:t>https://transequality.org/sites/default/files/2025-06/USTS_2022Health%26WellbeingReport_WEB.pdf</w:t>
        </w:r>
      </w:hyperlink>
      <w:r w:rsidR="009840E3" w:rsidRPr="00657D31">
        <w:t>.</w:t>
      </w:r>
    </w:p>
  </w:footnote>
  <w:footnote w:id="29">
    <w:p w14:paraId="4CD91EF6" w14:textId="6909A8E6" w:rsidR="00CD5771" w:rsidRPr="00657D31" w:rsidRDefault="00CD5771">
      <w:pPr>
        <w:pStyle w:val="FootnoteText"/>
      </w:pPr>
      <w:r w:rsidRPr="00657D31">
        <w:rPr>
          <w:rStyle w:val="FootnoteReference"/>
        </w:rPr>
        <w:footnoteRef/>
      </w:r>
      <w:r w:rsidRPr="00657D31">
        <w:t xml:space="preserve"> Id</w:t>
      </w:r>
      <w:r w:rsidRPr="00657D31">
        <w:rPr>
          <w:i/>
          <w:iCs/>
        </w:rPr>
        <w:t xml:space="preserve">. </w:t>
      </w:r>
      <w:r w:rsidRPr="00657D31">
        <w:t>at 30.</w:t>
      </w:r>
    </w:p>
  </w:footnote>
  <w:footnote w:id="30">
    <w:p w14:paraId="3016CBD5" w14:textId="3413856A" w:rsidR="000A3336" w:rsidRPr="00657D31" w:rsidRDefault="000A3336" w:rsidP="00CD64D1">
      <w:pPr>
        <w:pStyle w:val="FootnoteText"/>
      </w:pPr>
      <w:r w:rsidRPr="00657D31">
        <w:rPr>
          <w:rStyle w:val="FootnoteReference"/>
        </w:rPr>
        <w:footnoteRef/>
      </w:r>
      <w:r w:rsidRPr="00657D31">
        <w:t xml:space="preserve"> </w:t>
      </w:r>
      <w:r w:rsidR="008F7E85" w:rsidRPr="00657D31">
        <w:t>Gary J. Gates,</w:t>
      </w:r>
      <w:r w:rsidR="003313DE" w:rsidRPr="00657D31">
        <w:t xml:space="preserve"> </w:t>
      </w:r>
      <w:r w:rsidR="003313DE" w:rsidRPr="00657D31">
        <w:rPr>
          <w:i/>
          <w:iCs/>
        </w:rPr>
        <w:t>In U.S., LGBT More Likely Than Non-LGBT to Be Uninsured</w:t>
      </w:r>
      <w:r w:rsidR="003313DE" w:rsidRPr="00657D31">
        <w:t>,</w:t>
      </w:r>
      <w:r w:rsidR="008F7E85" w:rsidRPr="00657D31">
        <w:t xml:space="preserve"> </w:t>
      </w:r>
      <w:r w:rsidR="008F7E85" w:rsidRPr="00657D31">
        <w:rPr>
          <w:smallCaps/>
        </w:rPr>
        <w:t>Gallup</w:t>
      </w:r>
      <w:r w:rsidR="008F7E85" w:rsidRPr="00657D31">
        <w:t xml:space="preserve"> (</w:t>
      </w:r>
      <w:r w:rsidR="003313DE" w:rsidRPr="00657D31">
        <w:t>Aug. 26, 2014</w:t>
      </w:r>
      <w:r w:rsidR="008F7E85" w:rsidRPr="00657D31">
        <w:t xml:space="preserve">), </w:t>
      </w:r>
      <w:hyperlink r:id="rId27" w:history="1">
        <w:r w:rsidR="008F7E85" w:rsidRPr="00657D31">
          <w:rPr>
            <w:rStyle w:val="Hyperlink"/>
            <w:color w:val="auto"/>
          </w:rPr>
          <w:t>https://news.gallup.com/poll/175445/lgbt-likely-non-lgbt-uninsured.aspx</w:t>
        </w:r>
      </w:hyperlink>
      <w:r w:rsidR="008F7E85" w:rsidRPr="00657D31">
        <w:t xml:space="preserve">; </w:t>
      </w:r>
      <w:r w:rsidR="000C282C" w:rsidRPr="00657D31">
        <w:rPr>
          <w:smallCaps/>
        </w:rPr>
        <w:t>Arielle Bosworth, et al.,</w:t>
      </w:r>
      <w:r w:rsidR="006B0B7E" w:rsidRPr="00657D31">
        <w:rPr>
          <w:smallCaps/>
        </w:rPr>
        <w:t xml:space="preserve"> HHS Off. Of Health </w:t>
      </w:r>
      <w:proofErr w:type="spellStart"/>
      <w:r w:rsidR="006B0B7E" w:rsidRPr="00657D31">
        <w:rPr>
          <w:smallCaps/>
        </w:rPr>
        <w:t>Pol’y</w:t>
      </w:r>
      <w:proofErr w:type="spellEnd"/>
      <w:r w:rsidR="000C282C" w:rsidRPr="00657D31">
        <w:rPr>
          <w:smallCaps/>
        </w:rPr>
        <w:t xml:space="preserve"> </w:t>
      </w:r>
      <w:r w:rsidR="00CD64D1" w:rsidRPr="00657D31">
        <w:rPr>
          <w:smallCaps/>
        </w:rPr>
        <w:t>Health Insurance Coverage and Access to Care for LGBTQ+ Individuals: Current Trends and Key Challenges</w:t>
      </w:r>
      <w:r w:rsidR="006B0B7E" w:rsidRPr="00657D31">
        <w:rPr>
          <w:smallCaps/>
        </w:rPr>
        <w:t xml:space="preserve"> (2021), </w:t>
      </w:r>
      <w:hyperlink r:id="rId28" w:history="1">
        <w:r w:rsidR="006B0B7E" w:rsidRPr="00657D31">
          <w:rPr>
            <w:rStyle w:val="Hyperlink"/>
            <w:color w:val="auto"/>
          </w:rPr>
          <w:t>https://aspe.hhs.gov/sites/default/files/2021-07/lgbt-health-ib.pdf</w:t>
        </w:r>
      </w:hyperlink>
      <w:r w:rsidR="006B0B7E" w:rsidRPr="00657D31">
        <w:t>;</w:t>
      </w:r>
      <w:r w:rsidR="00BD7429" w:rsidRPr="00657D31">
        <w:t xml:space="preserve"> </w:t>
      </w:r>
      <w:r w:rsidR="00BD7429" w:rsidRPr="00657D31">
        <w:rPr>
          <w:smallCaps/>
        </w:rPr>
        <w:t>Lindsey Dawson, et al., Kaiser Family Found., LGBTQ+ Health Policy</w:t>
      </w:r>
      <w:r w:rsidR="006B0B7E" w:rsidRPr="00657D31">
        <w:t xml:space="preserve"> </w:t>
      </w:r>
      <w:r w:rsidR="00BD7429" w:rsidRPr="00657D31">
        <w:t xml:space="preserve">(Sept. 30, 2024), </w:t>
      </w:r>
      <w:hyperlink r:id="rId29" w:history="1">
        <w:r w:rsidR="00BD7429" w:rsidRPr="00657D31">
          <w:rPr>
            <w:rStyle w:val="Hyperlink"/>
            <w:color w:val="auto"/>
          </w:rPr>
          <w:t>https://www.kff.org/health-policy-101-lgbtq-health-policy/?entry=table-of-contents-introduction</w:t>
        </w:r>
      </w:hyperlink>
      <w:r w:rsidR="00BD7429" w:rsidRPr="00657D31">
        <w:t xml:space="preserve">. </w:t>
      </w:r>
    </w:p>
  </w:footnote>
  <w:footnote w:id="31">
    <w:p w14:paraId="19C11163" w14:textId="1C0690FB" w:rsidR="0019420A" w:rsidRPr="00657D31" w:rsidRDefault="0019420A" w:rsidP="004A022D">
      <w:pPr>
        <w:pStyle w:val="FootnoteText"/>
      </w:pPr>
      <w:r w:rsidRPr="00657D31">
        <w:rPr>
          <w:rStyle w:val="FootnoteReference"/>
        </w:rPr>
        <w:footnoteRef/>
      </w:r>
      <w:r w:rsidRPr="00657D31">
        <w:t xml:space="preserve"> </w:t>
      </w:r>
      <w:r w:rsidR="00AB2D10" w:rsidRPr="00657D31">
        <w:rPr>
          <w:smallCaps/>
        </w:rPr>
        <w:t xml:space="preserve">Brad Sears, et al., </w:t>
      </w:r>
      <w:r w:rsidR="00080E6A" w:rsidRPr="00657D31">
        <w:rPr>
          <w:smallCaps/>
        </w:rPr>
        <w:t xml:space="preserve">Williams Inst., </w:t>
      </w:r>
      <w:r w:rsidR="00AB2D10" w:rsidRPr="00657D31">
        <w:rPr>
          <w:smallCaps/>
        </w:rPr>
        <w:t>LGBT Adults With Medicaid as Their Primary Source of Health Insurance</w:t>
      </w:r>
      <w:r w:rsidR="00080E6A" w:rsidRPr="00657D31">
        <w:t xml:space="preserve"> 1, 2 (May 2025), </w:t>
      </w:r>
      <w:hyperlink r:id="rId30" w:history="1">
        <w:r w:rsidR="00080E6A" w:rsidRPr="00657D31">
          <w:rPr>
            <w:rStyle w:val="Hyperlink"/>
            <w:color w:val="auto"/>
          </w:rPr>
          <w:t>https://williamsinstitute.law.ucla.edu/wp-content/uploads/Medicaid-LGBT-May-2025.pdf</w:t>
        </w:r>
      </w:hyperlink>
      <w:r w:rsidR="00965352" w:rsidRPr="00657D31">
        <w:t>;</w:t>
      </w:r>
      <w:r w:rsidR="0086798A" w:rsidRPr="00657D31">
        <w:t xml:space="preserve"> </w:t>
      </w:r>
      <w:proofErr w:type="spellStart"/>
      <w:r w:rsidR="00AC5E3E" w:rsidRPr="00657D31">
        <w:rPr>
          <w:smallCaps/>
        </w:rPr>
        <w:t>Nat’l</w:t>
      </w:r>
      <w:proofErr w:type="spellEnd"/>
      <w:r w:rsidR="00AC5E3E" w:rsidRPr="00657D31">
        <w:rPr>
          <w:smallCaps/>
        </w:rPr>
        <w:t xml:space="preserve"> </w:t>
      </w:r>
      <w:proofErr w:type="spellStart"/>
      <w:r w:rsidR="00AC5E3E" w:rsidRPr="00657D31">
        <w:rPr>
          <w:smallCaps/>
        </w:rPr>
        <w:t>Acads</w:t>
      </w:r>
      <w:proofErr w:type="spellEnd"/>
      <w:r w:rsidR="00AC5E3E" w:rsidRPr="00657D31">
        <w:rPr>
          <w:smallCaps/>
        </w:rPr>
        <w:t xml:space="preserve">. of </w:t>
      </w:r>
      <w:proofErr w:type="spellStart"/>
      <w:r w:rsidR="00AC5E3E" w:rsidRPr="00657D31">
        <w:rPr>
          <w:smallCaps/>
        </w:rPr>
        <w:t>Scis</w:t>
      </w:r>
      <w:proofErr w:type="spellEnd"/>
      <w:r w:rsidR="00AC5E3E" w:rsidRPr="00657D31">
        <w:rPr>
          <w:smallCaps/>
        </w:rPr>
        <w:t>., Eng’g, &amp; Med.</w:t>
      </w:r>
      <w:r w:rsidR="00AC5E3E" w:rsidRPr="00657D31">
        <w:t xml:space="preserve">, Chapter 12: Coverage, Access, and Utilization of Evidence-Based Health Care, in </w:t>
      </w:r>
      <w:r w:rsidR="00AC5E3E" w:rsidRPr="00657D31">
        <w:rPr>
          <w:smallCaps/>
        </w:rPr>
        <w:t>Understanding the Well-Being of LGBTQI+ Populations</w:t>
      </w:r>
      <w:r w:rsidR="00AC5E3E" w:rsidRPr="00657D31">
        <w:t xml:space="preserve"> 345 (2020), </w:t>
      </w:r>
      <w:hyperlink r:id="rId31" w:tgtFrame="_new" w:history="1">
        <w:r w:rsidR="0086798A" w:rsidRPr="00657D31">
          <w:rPr>
            <w:rStyle w:val="Hyperlink"/>
            <w:color w:val="auto"/>
          </w:rPr>
          <w:t>https://doi.org/10.17226/25877</w:t>
        </w:r>
      </w:hyperlink>
      <w:r w:rsidR="0086798A" w:rsidRPr="00657D31">
        <w:t>.</w:t>
      </w:r>
    </w:p>
  </w:footnote>
  <w:footnote w:id="32">
    <w:p w14:paraId="0C7C972F" w14:textId="032AD9DD" w:rsidR="00AA7BBE" w:rsidRPr="00657D31" w:rsidRDefault="00AA7BBE" w:rsidP="004A022D">
      <w:pPr>
        <w:pStyle w:val="FootnoteText"/>
      </w:pPr>
      <w:r w:rsidRPr="00657D31">
        <w:rPr>
          <w:rStyle w:val="FootnoteReference"/>
        </w:rPr>
        <w:footnoteRef/>
      </w:r>
      <w:r w:rsidRPr="00657D31">
        <w:t xml:space="preserve"> </w:t>
      </w:r>
      <w:r w:rsidR="00E60863" w:rsidRPr="00657D31">
        <w:rPr>
          <w:smallCaps/>
        </w:rPr>
        <w:t>Brad Sears, et al., Williams Inst., LGBT Adults With Medicaid as Their Primary Source of Health Insurance</w:t>
      </w:r>
      <w:r w:rsidR="00E60863" w:rsidRPr="00657D31">
        <w:t xml:space="preserve"> at 3 (May 2025), </w:t>
      </w:r>
      <w:hyperlink r:id="rId32" w:history="1">
        <w:r w:rsidR="00E60863" w:rsidRPr="00657D31">
          <w:rPr>
            <w:rStyle w:val="Hyperlink"/>
            <w:color w:val="auto"/>
          </w:rPr>
          <w:t>https://williamsinstitute.law.ucla.edu/wp-content/uploads/Medicaid-LGBT-May-2025.pdf</w:t>
        </w:r>
      </w:hyperlink>
      <w:r w:rsidR="003914C2" w:rsidRPr="00657D31">
        <w:t>.</w:t>
      </w:r>
    </w:p>
  </w:footnote>
  <w:footnote w:id="33">
    <w:p w14:paraId="6D6C6E27" w14:textId="4868316C" w:rsidR="0085329D" w:rsidRPr="00657D31" w:rsidRDefault="0085329D" w:rsidP="004A022D">
      <w:pPr>
        <w:pStyle w:val="FootnoteText"/>
      </w:pPr>
      <w:r w:rsidRPr="00657D31">
        <w:rPr>
          <w:rStyle w:val="FootnoteReference"/>
        </w:rPr>
        <w:footnoteRef/>
      </w:r>
      <w:r w:rsidRPr="00657D31">
        <w:t xml:space="preserve"> </w:t>
      </w:r>
      <w:r w:rsidR="00842311" w:rsidRPr="00657D31">
        <w:rPr>
          <w:smallCaps/>
        </w:rPr>
        <w:t xml:space="preserve">Susan H. Babey, et al., UCLA Ctr. for Health </w:t>
      </w:r>
      <w:proofErr w:type="spellStart"/>
      <w:r w:rsidR="00842311" w:rsidRPr="00657D31">
        <w:rPr>
          <w:smallCaps/>
        </w:rPr>
        <w:t>Pol’y</w:t>
      </w:r>
      <w:proofErr w:type="spellEnd"/>
      <w:r w:rsidR="00842311" w:rsidRPr="00657D31">
        <w:rPr>
          <w:smallCaps/>
        </w:rPr>
        <w:t xml:space="preserve"> Research, Gaps in Health Care Access and Health Insurance Among LGBT Populations in California </w:t>
      </w:r>
      <w:r w:rsidR="00842311" w:rsidRPr="00657D31">
        <w:t xml:space="preserve">at 5 (2022), </w:t>
      </w:r>
      <w:hyperlink r:id="rId33" w:history="1">
        <w:r w:rsidR="00842311" w:rsidRPr="00657D31">
          <w:rPr>
            <w:rStyle w:val="Hyperlink"/>
            <w:color w:val="auto"/>
          </w:rPr>
          <w:t>https://williamsinstitute.law.ucla.edu/wp-content/uploads/CA-Health-Care-Gaps-Feb-2022.pdf</w:t>
        </w:r>
      </w:hyperlink>
      <w:r w:rsidR="00842311" w:rsidRPr="00657D31">
        <w:t>.</w:t>
      </w:r>
    </w:p>
  </w:footnote>
  <w:footnote w:id="34">
    <w:p w14:paraId="33A87C5E" w14:textId="2201105A" w:rsidR="00AC4894" w:rsidRPr="00657D31" w:rsidRDefault="00AC4894" w:rsidP="00AC4894">
      <w:pPr>
        <w:pStyle w:val="FootnoteText"/>
      </w:pPr>
      <w:r w:rsidRPr="00657D31">
        <w:rPr>
          <w:rStyle w:val="FootnoteReference"/>
        </w:rPr>
        <w:footnoteRef/>
      </w:r>
      <w:r w:rsidRPr="00657D31">
        <w:t xml:space="preserve"> </w:t>
      </w:r>
      <w:r w:rsidR="00C356FC" w:rsidRPr="00657D31">
        <w:t xml:space="preserve">Bruce W. Furness, </w:t>
      </w:r>
      <w:r w:rsidR="000B5E00" w:rsidRPr="00657D31">
        <w:t xml:space="preserve">et al., </w:t>
      </w:r>
      <w:r w:rsidR="000B5E00" w:rsidRPr="00657D31">
        <w:rPr>
          <w:i/>
          <w:iCs/>
        </w:rPr>
        <w:t>Transforming Primary Care for Lesbian, Gay, Bisexual, and Transgender People: A Collaborative Quality Improvement Initiative</w:t>
      </w:r>
      <w:r w:rsidR="000B5E00" w:rsidRPr="00657D31">
        <w:t xml:space="preserve">, 18 </w:t>
      </w:r>
      <w:r w:rsidR="000B5E00" w:rsidRPr="00657D31">
        <w:rPr>
          <w:smallCaps/>
        </w:rPr>
        <w:t>Annals of Family Med</w:t>
      </w:r>
      <w:r w:rsidR="000B5E00" w:rsidRPr="00657D31">
        <w:t xml:space="preserve">. 292 (2020). </w:t>
      </w:r>
    </w:p>
  </w:footnote>
  <w:footnote w:id="35">
    <w:p w14:paraId="13B9A170" w14:textId="3F41D689" w:rsidR="008D2558" w:rsidRPr="00657D31" w:rsidRDefault="008D2558">
      <w:pPr>
        <w:pStyle w:val="FootnoteText"/>
      </w:pPr>
      <w:r w:rsidRPr="00657D31">
        <w:rPr>
          <w:rStyle w:val="FootnoteReference"/>
        </w:rPr>
        <w:footnoteRef/>
      </w:r>
      <w:r w:rsidRPr="00657D31">
        <w:t xml:space="preserve"> </w:t>
      </w:r>
      <w:proofErr w:type="spellStart"/>
      <w:r w:rsidR="00AC5E3E" w:rsidRPr="00657D31">
        <w:rPr>
          <w:smallCaps/>
        </w:rPr>
        <w:t>Nat’l</w:t>
      </w:r>
      <w:proofErr w:type="spellEnd"/>
      <w:r w:rsidR="00AC5E3E" w:rsidRPr="00657D31">
        <w:rPr>
          <w:smallCaps/>
        </w:rPr>
        <w:t xml:space="preserve"> </w:t>
      </w:r>
      <w:proofErr w:type="spellStart"/>
      <w:r w:rsidR="00AC5E3E" w:rsidRPr="00657D31">
        <w:rPr>
          <w:smallCaps/>
        </w:rPr>
        <w:t>Acads</w:t>
      </w:r>
      <w:proofErr w:type="spellEnd"/>
      <w:r w:rsidR="00AC5E3E" w:rsidRPr="00657D31">
        <w:rPr>
          <w:smallCaps/>
        </w:rPr>
        <w:t xml:space="preserve">. of </w:t>
      </w:r>
      <w:proofErr w:type="spellStart"/>
      <w:r w:rsidR="00AC5E3E" w:rsidRPr="00657D31">
        <w:rPr>
          <w:smallCaps/>
        </w:rPr>
        <w:t>Scis</w:t>
      </w:r>
      <w:proofErr w:type="spellEnd"/>
      <w:r w:rsidR="00AC5E3E" w:rsidRPr="00657D31">
        <w:rPr>
          <w:smallCaps/>
        </w:rPr>
        <w:t>., Eng’g, &amp; Med.</w:t>
      </w:r>
      <w:r w:rsidR="00AC5E3E" w:rsidRPr="00657D31">
        <w:t xml:space="preserve">, Chapter 12: Coverage, Access, and Utilization of Evidence-Based Health Care, in </w:t>
      </w:r>
      <w:r w:rsidR="00AC5E3E" w:rsidRPr="00657D31">
        <w:rPr>
          <w:smallCaps/>
        </w:rPr>
        <w:t>Understanding the Well-Being of LGBTQI+ Populations</w:t>
      </w:r>
      <w:r w:rsidR="00AC5E3E" w:rsidRPr="00657D31">
        <w:t xml:space="preserve"> 345 (2020),</w:t>
      </w:r>
      <w:r w:rsidRPr="00657D31">
        <w:t xml:space="preserve"> </w:t>
      </w:r>
      <w:hyperlink r:id="rId34" w:tgtFrame="_new" w:history="1">
        <w:r w:rsidRPr="00657D31">
          <w:rPr>
            <w:rStyle w:val="Hyperlink"/>
            <w:color w:val="auto"/>
          </w:rPr>
          <w:t>https://doi.org/10.17226/25877</w:t>
        </w:r>
      </w:hyperlink>
      <w:r w:rsidRPr="00657D31">
        <w:t>.</w:t>
      </w:r>
    </w:p>
  </w:footnote>
  <w:footnote w:id="36">
    <w:p w14:paraId="3E1BB9A7" w14:textId="59716662" w:rsidR="005C02BC" w:rsidRPr="00657D31" w:rsidRDefault="005C02BC" w:rsidP="004A022D">
      <w:pPr>
        <w:pStyle w:val="FootnoteText"/>
      </w:pPr>
      <w:r w:rsidRPr="00657D31">
        <w:rPr>
          <w:rStyle w:val="FootnoteReference"/>
        </w:rPr>
        <w:footnoteRef/>
      </w:r>
      <w:r w:rsidRPr="00657D31">
        <w:t xml:space="preserve"> </w:t>
      </w:r>
      <w:r w:rsidR="00550B11" w:rsidRPr="00657D31">
        <w:t>42 U.S.C. § 254b(b) (2024).</w:t>
      </w:r>
    </w:p>
  </w:footnote>
  <w:footnote w:id="37">
    <w:p w14:paraId="66898227" w14:textId="3AFCB74B" w:rsidR="004A2894" w:rsidRPr="00657D31" w:rsidRDefault="00D43183" w:rsidP="004A2894">
      <w:pPr>
        <w:pStyle w:val="FootnoteText"/>
        <w:rPr>
          <w:smallCaps/>
        </w:rPr>
      </w:pPr>
      <w:r w:rsidRPr="00657D31">
        <w:rPr>
          <w:rStyle w:val="FootnoteReference"/>
        </w:rPr>
        <w:footnoteRef/>
      </w:r>
      <w:r w:rsidRPr="00657D31">
        <w:t xml:space="preserve"> </w:t>
      </w:r>
      <w:r w:rsidR="004A2894" w:rsidRPr="00657D31">
        <w:rPr>
          <w:smallCaps/>
        </w:rPr>
        <w:t>Ilan H. Meyer, et al., Williams Inst., LGBTQ People in the US:</w:t>
      </w:r>
    </w:p>
    <w:p w14:paraId="4452F706" w14:textId="0D55F14A" w:rsidR="004A2894" w:rsidRPr="00657D31" w:rsidRDefault="004A2894" w:rsidP="004A2894">
      <w:pPr>
        <w:pStyle w:val="FootnoteText"/>
      </w:pPr>
      <w:r w:rsidRPr="00657D31">
        <w:rPr>
          <w:smallCaps/>
        </w:rPr>
        <w:t xml:space="preserve">Select Findings From the Generations and </w:t>
      </w:r>
      <w:proofErr w:type="spellStart"/>
      <w:r w:rsidRPr="00657D31">
        <w:rPr>
          <w:smallCaps/>
        </w:rPr>
        <w:t>TransPop</w:t>
      </w:r>
      <w:proofErr w:type="spellEnd"/>
      <w:r w:rsidRPr="00657D31">
        <w:rPr>
          <w:smallCaps/>
        </w:rPr>
        <w:t xml:space="preserve"> Studies</w:t>
      </w:r>
      <w:r w:rsidRPr="00657D31">
        <w:t xml:space="preserve"> </w:t>
      </w:r>
      <w:r w:rsidR="00AE18D1" w:rsidRPr="00657D31">
        <w:t>1, 30</w:t>
      </w:r>
      <w:r w:rsidRPr="00657D31">
        <w:t xml:space="preserve"> (2021),</w:t>
      </w:r>
    </w:p>
    <w:p w14:paraId="2FB6E7D8" w14:textId="53521D69" w:rsidR="00D43183" w:rsidRPr="00657D31" w:rsidRDefault="004A2894" w:rsidP="004A2894">
      <w:pPr>
        <w:pStyle w:val="FootnoteText"/>
      </w:pPr>
      <w:hyperlink r:id="rId35" w:history="1">
        <w:r w:rsidRPr="00657D31">
          <w:rPr>
            <w:rStyle w:val="Hyperlink"/>
            <w:color w:val="auto"/>
          </w:rPr>
          <w:t>https://williamsinstitute.law.ucla.edu/wp-content/uploads/Generations-TransPop-Toplines-Jun-2021.pdf</w:t>
        </w:r>
      </w:hyperlink>
      <w:r w:rsidR="00992997" w:rsidRPr="00657D31">
        <w:t>.</w:t>
      </w:r>
    </w:p>
  </w:footnote>
  <w:footnote w:id="38">
    <w:p w14:paraId="37D93BF5" w14:textId="2F49E3C3" w:rsidR="00F623FF" w:rsidRPr="00657D31" w:rsidRDefault="00F623FF" w:rsidP="004A022D">
      <w:pPr>
        <w:pStyle w:val="FootnoteText"/>
        <w:rPr>
          <w:i/>
          <w:iCs/>
        </w:rPr>
      </w:pPr>
      <w:r w:rsidRPr="00657D31">
        <w:rPr>
          <w:rStyle w:val="FootnoteReference"/>
        </w:rPr>
        <w:footnoteRef/>
      </w:r>
      <w:r w:rsidRPr="00657D31">
        <w:t xml:space="preserve"> </w:t>
      </w:r>
      <w:r w:rsidR="00C07C72" w:rsidRPr="00657D31">
        <w:rPr>
          <w:i/>
          <w:iCs/>
        </w:rPr>
        <w:t>Id.</w:t>
      </w:r>
    </w:p>
  </w:footnote>
  <w:footnote w:id="39">
    <w:p w14:paraId="776FCB5C" w14:textId="1508DC68" w:rsidR="00F623FF" w:rsidRPr="00657D31" w:rsidRDefault="00F623FF" w:rsidP="004A022D">
      <w:pPr>
        <w:pStyle w:val="FootnoteText"/>
      </w:pPr>
      <w:r w:rsidRPr="00657D31">
        <w:rPr>
          <w:rStyle w:val="FootnoteReference"/>
        </w:rPr>
        <w:footnoteRef/>
      </w:r>
      <w:r w:rsidRPr="00657D31">
        <w:t xml:space="preserve"> </w:t>
      </w:r>
      <w:r w:rsidR="00C07C72" w:rsidRPr="00657D31">
        <w:rPr>
          <w:smallCaps/>
        </w:rPr>
        <w:t xml:space="preserve">Bianca D.M. Wilson, et al., Williams Inst., </w:t>
      </w:r>
      <w:r w:rsidR="00617686" w:rsidRPr="00657D31">
        <w:rPr>
          <w:smallCaps/>
        </w:rPr>
        <w:t>Racial Differences Among LGBT Adults in the US: LGBT Adults at the Intersection of Race</w:t>
      </w:r>
      <w:r w:rsidR="00617686" w:rsidRPr="00657D31">
        <w:t xml:space="preserve"> 1 (2022)</w:t>
      </w:r>
      <w:r w:rsidR="00CB376F" w:rsidRPr="00657D31">
        <w:t xml:space="preserve">, </w:t>
      </w:r>
      <w:hyperlink r:id="rId36" w:history="1">
        <w:r w:rsidR="00CB376F" w:rsidRPr="00657D31">
          <w:rPr>
            <w:rStyle w:val="Hyperlink"/>
            <w:color w:val="auto"/>
          </w:rPr>
          <w:t>https://williamsinstitute.law.ucla.edu/wp-content/uploads/LGBT-Race-Comparison-Jan-2022.pdf</w:t>
        </w:r>
      </w:hyperlink>
      <w:r w:rsidR="00CB376F" w:rsidRPr="00657D31">
        <w:t xml:space="preserve">. </w:t>
      </w:r>
    </w:p>
  </w:footnote>
  <w:footnote w:id="40">
    <w:p w14:paraId="546CA78F" w14:textId="56018793" w:rsidR="0098509D" w:rsidRPr="00657D31" w:rsidRDefault="0098509D" w:rsidP="004A022D">
      <w:pPr>
        <w:pStyle w:val="FootnoteText"/>
      </w:pPr>
      <w:r w:rsidRPr="00657D31">
        <w:rPr>
          <w:rStyle w:val="FootnoteReference"/>
        </w:rPr>
        <w:footnoteRef/>
      </w:r>
      <w:r w:rsidRPr="00657D31">
        <w:t xml:space="preserve"> </w:t>
      </w:r>
      <w:r w:rsidR="00D847F0" w:rsidRPr="00657D31">
        <w:rPr>
          <w:smallCaps/>
        </w:rPr>
        <w:t>Kathryn O’Neill, Williams Inst., Health Vulnerabilities to COVID-19 Among LGBT Adults in California</w:t>
      </w:r>
      <w:r w:rsidR="00D847F0" w:rsidRPr="00657D31">
        <w:t xml:space="preserve"> 8 (2020), </w:t>
      </w:r>
      <w:hyperlink r:id="rId37" w:history="1">
        <w:r w:rsidR="00E4165B" w:rsidRPr="00657D31">
          <w:rPr>
            <w:rStyle w:val="Hyperlink"/>
            <w:color w:val="auto"/>
          </w:rPr>
          <w:t>https://williamsinstitute.law.ucla.edu/wp-content/uploads/LGBT-COVID-CA-Health-May-2020.pdf</w:t>
        </w:r>
      </w:hyperlink>
      <w:r w:rsidR="00E4165B" w:rsidRPr="00657D31">
        <w:t xml:space="preserve">; </w:t>
      </w:r>
      <w:r w:rsidR="00E4165B" w:rsidRPr="00657D31">
        <w:rPr>
          <w:smallCaps/>
        </w:rPr>
        <w:t>Ilan H</w:t>
      </w:r>
      <w:r w:rsidR="00196D06" w:rsidRPr="00657D31">
        <w:rPr>
          <w:smallCaps/>
        </w:rPr>
        <w:t>.</w:t>
      </w:r>
      <w:r w:rsidR="00E4165B" w:rsidRPr="00657D31">
        <w:rPr>
          <w:smallCaps/>
        </w:rPr>
        <w:t xml:space="preserve"> Meyer &amp; Soon Kyu Choi, Williams Inst., </w:t>
      </w:r>
      <w:r w:rsidR="00196D06" w:rsidRPr="00657D31">
        <w:rPr>
          <w:smallCaps/>
        </w:rPr>
        <w:t>Vulnerabilities</w:t>
      </w:r>
      <w:r w:rsidR="00E4165B" w:rsidRPr="00657D31">
        <w:rPr>
          <w:smallCaps/>
        </w:rPr>
        <w:t xml:space="preserve"> to COVID_19 Among Older LGBT Adults in California </w:t>
      </w:r>
      <w:r w:rsidR="00E4165B" w:rsidRPr="00657D31">
        <w:t xml:space="preserve">1-2 (2020), </w:t>
      </w:r>
      <w:hyperlink r:id="rId38" w:history="1">
        <w:r w:rsidR="00196D06" w:rsidRPr="00657D31">
          <w:rPr>
            <w:rStyle w:val="Hyperlink"/>
            <w:color w:val="auto"/>
          </w:rPr>
          <w:t>https://williamsinstitute.law.ucla.edu/wp-content/uploads/Older-LGB-COVID-CA-Apr-2020.pdf</w:t>
        </w:r>
      </w:hyperlink>
      <w:r w:rsidR="00196D06" w:rsidRPr="00657D31">
        <w:t xml:space="preserve">. </w:t>
      </w:r>
    </w:p>
  </w:footnote>
  <w:footnote w:id="41">
    <w:p w14:paraId="648C3292" w14:textId="77777777" w:rsidR="00776D4D" w:rsidRPr="00657D31" w:rsidRDefault="009B5772" w:rsidP="00776D4D">
      <w:pPr>
        <w:pStyle w:val="FootnoteText"/>
        <w:rPr>
          <w:smallCaps/>
        </w:rPr>
      </w:pPr>
      <w:r w:rsidRPr="00657D31">
        <w:rPr>
          <w:rStyle w:val="FootnoteReference"/>
        </w:rPr>
        <w:footnoteRef/>
      </w:r>
      <w:r w:rsidRPr="00657D31">
        <w:t xml:space="preserve"> </w:t>
      </w:r>
      <w:r w:rsidR="00776D4D" w:rsidRPr="00657D31">
        <w:rPr>
          <w:smallCaps/>
        </w:rPr>
        <w:t>Ilan H. Meyer, et al., Williams Inst., LGBTQ People in the US:</w:t>
      </w:r>
    </w:p>
    <w:p w14:paraId="717CFB21" w14:textId="06679D07" w:rsidR="00776D4D" w:rsidRPr="00657D31" w:rsidRDefault="00776D4D" w:rsidP="00776D4D">
      <w:pPr>
        <w:pStyle w:val="FootnoteText"/>
      </w:pPr>
      <w:r w:rsidRPr="00657D31">
        <w:rPr>
          <w:smallCaps/>
        </w:rPr>
        <w:t xml:space="preserve">Select Findings From the Generations and </w:t>
      </w:r>
      <w:proofErr w:type="spellStart"/>
      <w:r w:rsidRPr="00657D31">
        <w:rPr>
          <w:smallCaps/>
        </w:rPr>
        <w:t>TransPop</w:t>
      </w:r>
      <w:proofErr w:type="spellEnd"/>
      <w:r w:rsidRPr="00657D31">
        <w:rPr>
          <w:smallCaps/>
        </w:rPr>
        <w:t xml:space="preserve"> Studies</w:t>
      </w:r>
      <w:r w:rsidRPr="00657D31">
        <w:t xml:space="preserve"> at 29 (2021),</w:t>
      </w:r>
    </w:p>
    <w:p w14:paraId="2C0D3085" w14:textId="45A5E6BE" w:rsidR="009B5772" w:rsidRPr="00657D31" w:rsidRDefault="00776D4D" w:rsidP="004A022D">
      <w:pPr>
        <w:pStyle w:val="FootnoteText"/>
      </w:pPr>
      <w:hyperlink r:id="rId39" w:history="1">
        <w:r w:rsidRPr="00657D31">
          <w:rPr>
            <w:rStyle w:val="Hyperlink"/>
            <w:color w:val="auto"/>
          </w:rPr>
          <w:t>https://williamsinstitute.law.ucla.edu/wp-content/uploads/Generations-TransPop-Toplines-Jun-2021.pdf</w:t>
        </w:r>
      </w:hyperlink>
    </w:p>
  </w:footnote>
  <w:footnote w:id="42">
    <w:p w14:paraId="304A36D8" w14:textId="323D0843" w:rsidR="006C61CD" w:rsidRPr="00657D31" w:rsidRDefault="006C61CD">
      <w:pPr>
        <w:pStyle w:val="FootnoteText"/>
      </w:pPr>
      <w:r w:rsidRPr="00657D31">
        <w:rPr>
          <w:rStyle w:val="FootnoteReference"/>
        </w:rPr>
        <w:footnoteRef/>
      </w:r>
      <w:r w:rsidRPr="00657D31">
        <w:t xml:space="preserve"> </w:t>
      </w:r>
      <w:r w:rsidR="00A24872" w:rsidRPr="00657D31">
        <w:rPr>
          <w:smallCaps/>
        </w:rPr>
        <w:t>Bianca D.M. Wilson, et al., Williams Inst., Health and Socioeconomic Well Being of LBQ Women in the US 1, 50</w:t>
      </w:r>
      <w:r w:rsidR="00A24872" w:rsidRPr="00657D31">
        <w:t xml:space="preserve"> (March 2021), </w:t>
      </w:r>
      <w:hyperlink r:id="rId40" w:history="1">
        <w:r w:rsidR="00A24872" w:rsidRPr="00657D31">
          <w:rPr>
            <w:rStyle w:val="Hyperlink"/>
            <w:color w:val="auto"/>
          </w:rPr>
          <w:t>https://williamsinstitute.law.ucla.edu/publications/lbq-women-in-us/</w:t>
        </w:r>
      </w:hyperlink>
      <w:r w:rsidR="00A24872" w:rsidRPr="00657D31">
        <w:t xml:space="preserve">. </w:t>
      </w:r>
    </w:p>
  </w:footnote>
  <w:footnote w:id="43">
    <w:p w14:paraId="06E4F0A7" w14:textId="44D98F16" w:rsidR="00835179" w:rsidRPr="00657D31" w:rsidRDefault="00835179">
      <w:pPr>
        <w:pStyle w:val="FootnoteText"/>
      </w:pPr>
      <w:r w:rsidRPr="00657D31">
        <w:rPr>
          <w:rStyle w:val="FootnoteReference"/>
        </w:rPr>
        <w:footnoteRef/>
      </w:r>
      <w:r w:rsidRPr="00657D31">
        <w:t xml:space="preserve"> </w:t>
      </w:r>
      <w:r w:rsidR="00CF17CF" w:rsidRPr="00657D31">
        <w:rPr>
          <w:smallCaps/>
        </w:rPr>
        <w:t>Soon Kyu Choi &amp; Ilan Meyer, Williams Inst., LGBT Aging</w:t>
      </w:r>
      <w:r w:rsidR="00CF17CF" w:rsidRPr="00657D31">
        <w:t xml:space="preserve"> at 1 (Aug. 2016), </w:t>
      </w:r>
      <w:hyperlink r:id="rId41" w:history="1">
        <w:r w:rsidR="00CF17CF" w:rsidRPr="00657D31">
          <w:rPr>
            <w:rStyle w:val="Hyperlink"/>
            <w:color w:val="auto"/>
          </w:rPr>
          <w:t>https://williamsinstitute.law.ucla.edu/publications/lgbt-aging/</w:t>
        </w:r>
      </w:hyperlink>
      <w:r w:rsidRPr="00657D31">
        <w:t>.</w:t>
      </w:r>
    </w:p>
  </w:footnote>
  <w:footnote w:id="44">
    <w:p w14:paraId="5F0C3D14" w14:textId="42DF3763" w:rsidR="00C95C2C" w:rsidRPr="00657D31" w:rsidRDefault="00C95C2C">
      <w:pPr>
        <w:pStyle w:val="FootnoteText"/>
      </w:pPr>
      <w:r w:rsidRPr="00657D31">
        <w:rPr>
          <w:rStyle w:val="FootnoteReference"/>
        </w:rPr>
        <w:footnoteRef/>
      </w:r>
      <w:r w:rsidRPr="00657D31">
        <w:t xml:space="preserve"> Nicolas A. Suarez, et al., Disparities in School Connectedness, Unstable Housing, Experiences of Violence, Mental Health, and Suicidal Thoughts and Behaviors Among Transgender and Cisgender High School Students — Youth Risk Behavior Survey, United States, 2023, 73 </w:t>
      </w:r>
      <w:r w:rsidRPr="00657D31">
        <w:rPr>
          <w:smallCaps/>
        </w:rPr>
        <w:t>Morbidity &amp; Mortality Weekly Report</w:t>
      </w:r>
      <w:r w:rsidRPr="00657D31">
        <w:t xml:space="preserve"> 50 (2024), </w:t>
      </w:r>
      <w:hyperlink r:id="rId42" w:history="1">
        <w:r w:rsidRPr="00657D31">
          <w:rPr>
            <w:rStyle w:val="Hyperlink"/>
            <w:color w:val="auto"/>
          </w:rPr>
          <w:t>https://www.cdc.gov/mmwr/volumes/73/su/su7304a6.htm?s_cid=su7304a6_w</w:t>
        </w:r>
      </w:hyperlink>
      <w:r w:rsidRPr="00657D31">
        <w:t xml:space="preserve">. </w:t>
      </w:r>
    </w:p>
  </w:footnote>
  <w:footnote w:id="45">
    <w:p w14:paraId="61F07508" w14:textId="11204FDC" w:rsidR="00446778" w:rsidRPr="00657D31" w:rsidRDefault="00446778">
      <w:pPr>
        <w:pStyle w:val="FootnoteText"/>
      </w:pPr>
      <w:r w:rsidRPr="00657D31">
        <w:rPr>
          <w:rStyle w:val="FootnoteReference"/>
        </w:rPr>
        <w:footnoteRef/>
      </w:r>
      <w:r w:rsidRPr="00657D31">
        <w:t xml:space="preserve"> </w:t>
      </w:r>
      <w:r w:rsidR="00974850" w:rsidRPr="00657D31">
        <w:rPr>
          <w:smallCaps/>
        </w:rPr>
        <w:t>Soon Kyu Choi, et al., Williams Inst., Black LGBT Adults in the US 21</w:t>
      </w:r>
      <w:r w:rsidR="00974850" w:rsidRPr="00657D31">
        <w:t xml:space="preserve"> (2021),</w:t>
      </w:r>
      <w:r w:rsidR="00BA4FA7" w:rsidRPr="00657D31">
        <w:t xml:space="preserve"> </w:t>
      </w:r>
      <w:hyperlink r:id="rId43" w:history="1">
        <w:r w:rsidR="00F96E49" w:rsidRPr="00657D31">
          <w:rPr>
            <w:rStyle w:val="Hyperlink"/>
            <w:color w:val="auto"/>
          </w:rPr>
          <w:t>https://williamsinstitute.law.ucla.edu/publications/black-lgbt-adults-in-the-us/</w:t>
        </w:r>
      </w:hyperlink>
      <w:r w:rsidR="00BA4FA7" w:rsidRPr="00657D31">
        <w:t>;</w:t>
      </w:r>
      <w:r w:rsidR="00974850" w:rsidRPr="00657D31">
        <w:t xml:space="preserve"> </w:t>
      </w:r>
      <w:r w:rsidR="00974850" w:rsidRPr="00657D31">
        <w:rPr>
          <w:smallCaps/>
        </w:rPr>
        <w:t xml:space="preserve">Bianca D.M. Wilson, et al., </w:t>
      </w:r>
      <w:r w:rsidR="00F96E49" w:rsidRPr="00657D31">
        <w:rPr>
          <w:smallCaps/>
        </w:rPr>
        <w:t xml:space="preserve">Williams Inst., </w:t>
      </w:r>
      <w:r w:rsidR="00974850" w:rsidRPr="00657D31">
        <w:rPr>
          <w:smallCaps/>
        </w:rPr>
        <w:t xml:space="preserve">White LGBT Adults in the US 20 </w:t>
      </w:r>
      <w:r w:rsidR="00974850" w:rsidRPr="00657D31">
        <w:t>(2022)</w:t>
      </w:r>
      <w:r w:rsidR="00BA4FA7" w:rsidRPr="00657D31">
        <w:t xml:space="preserve">, </w:t>
      </w:r>
      <w:hyperlink r:id="rId44" w:history="1">
        <w:r w:rsidR="00F96E49" w:rsidRPr="00657D31">
          <w:rPr>
            <w:rStyle w:val="Hyperlink"/>
            <w:color w:val="auto"/>
          </w:rPr>
          <w:t>https://williamsinstitute.law.ucla.edu/wp-content/uploads/LGBT-White-SES-Jan-2022.pdf</w:t>
        </w:r>
      </w:hyperlink>
      <w:r w:rsidR="00974850" w:rsidRPr="00657D31">
        <w:t xml:space="preserve">; </w:t>
      </w:r>
      <w:r w:rsidR="00974850" w:rsidRPr="00657D31">
        <w:rPr>
          <w:smallCaps/>
        </w:rPr>
        <w:t>Bianca D.M. Wilson et al</w:t>
      </w:r>
      <w:r w:rsidR="00F96E49" w:rsidRPr="00657D31">
        <w:rPr>
          <w:smallCaps/>
        </w:rPr>
        <w:t>.</w:t>
      </w:r>
      <w:r w:rsidR="00974850" w:rsidRPr="00657D31">
        <w:rPr>
          <w:smallCaps/>
        </w:rPr>
        <w:t xml:space="preserve">, </w:t>
      </w:r>
      <w:r w:rsidR="00F96E49" w:rsidRPr="00657D31">
        <w:rPr>
          <w:smallCaps/>
        </w:rPr>
        <w:t xml:space="preserve">Williams Inst., </w:t>
      </w:r>
      <w:r w:rsidR="00225FF4" w:rsidRPr="00657D31">
        <w:rPr>
          <w:smallCaps/>
        </w:rPr>
        <w:t>American Indian and Alaskan Native LGBT Adults in the US</w:t>
      </w:r>
      <w:r w:rsidR="00225FF4" w:rsidRPr="00657D31">
        <w:t xml:space="preserve"> 24 (2021)</w:t>
      </w:r>
      <w:r w:rsidR="00BA4FA7" w:rsidRPr="00657D31">
        <w:t xml:space="preserve">, </w:t>
      </w:r>
      <w:hyperlink r:id="rId45" w:history="1">
        <w:r w:rsidR="00F96E49" w:rsidRPr="00657D31">
          <w:rPr>
            <w:rStyle w:val="Hyperlink"/>
            <w:color w:val="auto"/>
          </w:rPr>
          <w:t>https://williamsinstitute.law.ucla.edu/WP-CONTENT/UPLOADS/LGBT-AIAN-SES-OCT-2021.PDF</w:t>
        </w:r>
      </w:hyperlink>
      <w:r w:rsidR="00BA4FA7" w:rsidRPr="00657D31">
        <w:t>;</w:t>
      </w:r>
      <w:r w:rsidR="00C46FBB" w:rsidRPr="00657D31">
        <w:t xml:space="preserve"> </w:t>
      </w:r>
      <w:r w:rsidR="00225FF4" w:rsidRPr="00657D31">
        <w:rPr>
          <w:smallCaps/>
        </w:rPr>
        <w:t>Bianca D.M. Wilson et al</w:t>
      </w:r>
      <w:r w:rsidR="00F96E49" w:rsidRPr="00657D31">
        <w:rPr>
          <w:smallCaps/>
        </w:rPr>
        <w:t>.</w:t>
      </w:r>
      <w:r w:rsidR="00225FF4" w:rsidRPr="00657D31">
        <w:rPr>
          <w:smallCaps/>
        </w:rPr>
        <w:t xml:space="preserve">, </w:t>
      </w:r>
      <w:r w:rsidR="00F96E49" w:rsidRPr="00657D31">
        <w:rPr>
          <w:smallCaps/>
        </w:rPr>
        <w:t xml:space="preserve">Williams Inst., </w:t>
      </w:r>
      <w:r w:rsidR="000F7CAB" w:rsidRPr="00657D31">
        <w:rPr>
          <w:smallCaps/>
        </w:rPr>
        <w:t>Latinx</w:t>
      </w:r>
      <w:r w:rsidR="00225FF4" w:rsidRPr="00657D31">
        <w:rPr>
          <w:smallCaps/>
        </w:rPr>
        <w:t xml:space="preserve"> LGBT Adults in the US</w:t>
      </w:r>
      <w:r w:rsidR="00225FF4" w:rsidRPr="00657D31">
        <w:t xml:space="preserve"> 24 (2021)</w:t>
      </w:r>
      <w:r w:rsidR="00BA4FA7" w:rsidRPr="00657D31">
        <w:t xml:space="preserve">, </w:t>
      </w:r>
      <w:hyperlink r:id="rId46" w:history="1">
        <w:r w:rsidR="00F96E49" w:rsidRPr="00657D31">
          <w:rPr>
            <w:rStyle w:val="Hyperlink"/>
            <w:color w:val="auto"/>
          </w:rPr>
          <w:t>https://williamsinstitute.law.ucla.edu/wp-content/uploads/LGBT-Latinx-SES-Sep-2021.pdf</w:t>
        </w:r>
      </w:hyperlink>
      <w:r w:rsidR="00225FF4" w:rsidRPr="00657D31">
        <w:t xml:space="preserve">; </w:t>
      </w:r>
      <w:r w:rsidR="000F7CAB" w:rsidRPr="00657D31">
        <w:rPr>
          <w:smallCaps/>
        </w:rPr>
        <w:t>Bianca D.M. Wilson et al</w:t>
      </w:r>
      <w:r w:rsidR="00F96E49" w:rsidRPr="00657D31">
        <w:rPr>
          <w:smallCaps/>
        </w:rPr>
        <w:t>.</w:t>
      </w:r>
      <w:r w:rsidR="000F7CAB" w:rsidRPr="00657D31">
        <w:rPr>
          <w:smallCaps/>
        </w:rPr>
        <w:t xml:space="preserve">, </w:t>
      </w:r>
      <w:r w:rsidR="00F96E49" w:rsidRPr="00657D31">
        <w:rPr>
          <w:smallCaps/>
        </w:rPr>
        <w:t xml:space="preserve">Williams Inst., </w:t>
      </w:r>
      <w:r w:rsidR="000F7CAB" w:rsidRPr="00657D31">
        <w:rPr>
          <w:smallCaps/>
        </w:rPr>
        <w:t>AAPI LGBT Adults in the US</w:t>
      </w:r>
      <w:r w:rsidR="000F7CAB" w:rsidRPr="00657D31">
        <w:t xml:space="preserve"> 23 (2021)</w:t>
      </w:r>
      <w:r w:rsidR="00701662" w:rsidRPr="00657D31">
        <w:t xml:space="preserve">, </w:t>
      </w:r>
      <w:hyperlink r:id="rId47" w:history="1">
        <w:r w:rsidR="00F96E49" w:rsidRPr="00657D31">
          <w:rPr>
            <w:rStyle w:val="Hyperlink"/>
            <w:color w:val="auto"/>
          </w:rPr>
          <w:t>https://williamsinstitute.law.ucla.edu/wp-content/uploads/LGBT-AAPI-SES-May-2021.pdf</w:t>
        </w:r>
      </w:hyperlink>
      <w:r w:rsidR="000F7CAB" w:rsidRPr="00657D31">
        <w:t>.</w:t>
      </w:r>
    </w:p>
  </w:footnote>
  <w:footnote w:id="46">
    <w:p w14:paraId="65BC5493" w14:textId="39775A6F" w:rsidR="00C34D42" w:rsidRPr="00657D31" w:rsidRDefault="0018372D" w:rsidP="00C34D42">
      <w:pPr>
        <w:pStyle w:val="FootnoteText"/>
      </w:pPr>
      <w:r w:rsidRPr="00657D31">
        <w:rPr>
          <w:rStyle w:val="FootnoteReference"/>
        </w:rPr>
        <w:footnoteRef/>
      </w:r>
      <w:r w:rsidRPr="00657D31">
        <w:t xml:space="preserve"> </w:t>
      </w:r>
      <w:r w:rsidR="00C34D42" w:rsidRPr="00657D31">
        <w:rPr>
          <w:smallCaps/>
        </w:rPr>
        <w:t>Ilan H. Meyer, et al., Williams Inst., LGBTQ People in the US:</w:t>
      </w:r>
      <w:r w:rsidR="00B1769D" w:rsidRPr="00657D31">
        <w:rPr>
          <w:smallCaps/>
        </w:rPr>
        <w:t xml:space="preserve"> </w:t>
      </w:r>
      <w:r w:rsidR="00C34D42" w:rsidRPr="00657D31">
        <w:rPr>
          <w:smallCaps/>
        </w:rPr>
        <w:t>Select Findings From the Generations</w:t>
      </w:r>
      <w:r w:rsidR="00B1769D" w:rsidRPr="00657D31">
        <w:rPr>
          <w:smallCaps/>
        </w:rPr>
        <w:t xml:space="preserve"> </w:t>
      </w:r>
      <w:r w:rsidR="00C34D42" w:rsidRPr="00657D31">
        <w:rPr>
          <w:smallCaps/>
        </w:rPr>
        <w:t xml:space="preserve">and </w:t>
      </w:r>
      <w:proofErr w:type="spellStart"/>
      <w:r w:rsidR="00C34D42" w:rsidRPr="00657D31">
        <w:rPr>
          <w:smallCaps/>
        </w:rPr>
        <w:t>TransPop</w:t>
      </w:r>
      <w:proofErr w:type="spellEnd"/>
      <w:r w:rsidR="00C34D42" w:rsidRPr="00657D31">
        <w:rPr>
          <w:smallCaps/>
        </w:rPr>
        <w:t xml:space="preserve"> Studies</w:t>
      </w:r>
      <w:r w:rsidR="00C34D42" w:rsidRPr="00657D31">
        <w:t xml:space="preserve"> at 32 (2021),</w:t>
      </w:r>
    </w:p>
    <w:p w14:paraId="53A2177C" w14:textId="05056638" w:rsidR="0018372D" w:rsidRPr="00657D31" w:rsidRDefault="00C34D42" w:rsidP="00C34D42">
      <w:pPr>
        <w:pStyle w:val="FootnoteText"/>
      </w:pPr>
      <w:hyperlink r:id="rId48" w:history="1">
        <w:r w:rsidRPr="00657D31">
          <w:rPr>
            <w:rStyle w:val="Hyperlink"/>
            <w:color w:val="auto"/>
          </w:rPr>
          <w:t>https://williamsinstitute.law.ucla.edu/wp-content/uploads/Generations-TransPop-Toplines-Jun-2021.pdf</w:t>
        </w:r>
      </w:hyperlink>
    </w:p>
  </w:footnote>
  <w:footnote w:id="47">
    <w:p w14:paraId="52253BE6" w14:textId="383C5E57" w:rsidR="00755F2D" w:rsidRPr="00657D31" w:rsidRDefault="00755F2D">
      <w:pPr>
        <w:pStyle w:val="FootnoteText"/>
      </w:pPr>
      <w:r w:rsidRPr="00657D31">
        <w:rPr>
          <w:rStyle w:val="FootnoteReference"/>
        </w:rPr>
        <w:footnoteRef/>
      </w:r>
      <w:r w:rsidRPr="00657D31">
        <w:t xml:space="preserve"> </w:t>
      </w:r>
      <w:r w:rsidRPr="00657D31">
        <w:rPr>
          <w:i/>
          <w:iCs/>
        </w:rPr>
        <w:t>Id.</w:t>
      </w:r>
    </w:p>
  </w:footnote>
  <w:footnote w:id="48">
    <w:p w14:paraId="5D43D397" w14:textId="0A1DD9B4" w:rsidR="00F0493A" w:rsidRPr="00657D31" w:rsidRDefault="00F0493A">
      <w:pPr>
        <w:pStyle w:val="FootnoteText"/>
      </w:pPr>
      <w:r w:rsidRPr="00657D31">
        <w:rPr>
          <w:rStyle w:val="FootnoteReference"/>
        </w:rPr>
        <w:footnoteRef/>
      </w:r>
      <w:r w:rsidRPr="00657D31">
        <w:t xml:space="preserve"> </w:t>
      </w:r>
      <w:r w:rsidR="004D14C4" w:rsidRPr="00657D31">
        <w:t>42 U.S.C. § 254b(a)(3) (2024).</w:t>
      </w:r>
    </w:p>
  </w:footnote>
  <w:footnote w:id="49">
    <w:p w14:paraId="5D296365" w14:textId="77777777" w:rsidR="00CC78C6" w:rsidRPr="00657D31" w:rsidRDefault="00CC78C6" w:rsidP="00CC78C6">
      <w:pPr>
        <w:pStyle w:val="FootnoteText"/>
      </w:pPr>
      <w:r w:rsidRPr="00657D31">
        <w:rPr>
          <w:rStyle w:val="FootnoteReference"/>
        </w:rPr>
        <w:footnoteRef/>
      </w:r>
      <w:r w:rsidRPr="00657D31">
        <w:t xml:space="preserve"> 42 U.S.C. § 254b(a)(1) (2024).</w:t>
      </w:r>
    </w:p>
  </w:footnote>
  <w:footnote w:id="50">
    <w:p w14:paraId="2D746CA1" w14:textId="77777777" w:rsidR="00CC78C6" w:rsidRPr="00657D31" w:rsidRDefault="00CC78C6" w:rsidP="00CC78C6">
      <w:pPr>
        <w:pStyle w:val="FootnoteText"/>
      </w:pPr>
      <w:r w:rsidRPr="00657D31">
        <w:rPr>
          <w:rStyle w:val="FootnoteReference"/>
        </w:rPr>
        <w:footnoteRef/>
      </w:r>
      <w:r w:rsidRPr="00657D31">
        <w:t xml:space="preserve"> </w:t>
      </w:r>
      <w:proofErr w:type="spellStart"/>
      <w:r w:rsidRPr="00657D31">
        <w:rPr>
          <w:smallCaps/>
        </w:rPr>
        <w:t>Nat’l</w:t>
      </w:r>
      <w:proofErr w:type="spellEnd"/>
      <w:r w:rsidRPr="00657D31">
        <w:rPr>
          <w:smallCaps/>
        </w:rPr>
        <w:t xml:space="preserve"> Assoc. of Comm. Health </w:t>
      </w:r>
      <w:proofErr w:type="spellStart"/>
      <w:r w:rsidRPr="00657D31">
        <w:rPr>
          <w:smallCaps/>
        </w:rPr>
        <w:t>Ctrs</w:t>
      </w:r>
      <w:proofErr w:type="spellEnd"/>
      <w:r w:rsidRPr="00657D31">
        <w:rPr>
          <w:smallCaps/>
        </w:rPr>
        <w:t>.</w:t>
      </w:r>
      <w:r w:rsidRPr="00657D31">
        <w:t xml:space="preserve">, </w:t>
      </w:r>
      <w:r w:rsidRPr="00657D31">
        <w:rPr>
          <w:i/>
          <w:iCs/>
        </w:rPr>
        <w:t>Special Populations</w:t>
      </w:r>
      <w:r w:rsidRPr="00657D31">
        <w:t xml:space="preserve">, </w:t>
      </w:r>
      <w:hyperlink r:id="rId49" w:history="1">
        <w:r w:rsidRPr="00657D31">
          <w:rPr>
            <w:rStyle w:val="Hyperlink"/>
            <w:color w:val="auto"/>
          </w:rPr>
          <w:t>https://www.nachc.org/resource-collection/special-populations/</w:t>
        </w:r>
      </w:hyperlink>
      <w:r w:rsidRPr="00657D31">
        <w:t xml:space="preserve"> (last accessed July 10, 2025).</w:t>
      </w:r>
    </w:p>
  </w:footnote>
  <w:footnote w:id="51">
    <w:p w14:paraId="3C4D3A4B" w14:textId="77777777" w:rsidR="004A268D" w:rsidRPr="00657D31" w:rsidRDefault="004A268D" w:rsidP="004A268D">
      <w:pPr>
        <w:pStyle w:val="FootnoteText"/>
      </w:pPr>
      <w:r w:rsidRPr="00657D31">
        <w:rPr>
          <w:rStyle w:val="FootnoteReference"/>
        </w:rPr>
        <w:footnoteRef/>
      </w:r>
      <w:r w:rsidRPr="00657D31">
        <w:t xml:space="preserve"> Los Angeles LGBT Center, </w:t>
      </w:r>
      <w:r w:rsidRPr="00657D31">
        <w:rPr>
          <w:i/>
          <w:iCs/>
        </w:rPr>
        <w:t>Medical Services</w:t>
      </w:r>
      <w:r w:rsidRPr="00657D31">
        <w:t xml:space="preserve">, </w:t>
      </w:r>
      <w:hyperlink r:id="rId50" w:history="1">
        <w:r w:rsidRPr="00657D31">
          <w:rPr>
            <w:rStyle w:val="Hyperlink"/>
            <w:color w:val="auto"/>
          </w:rPr>
          <w:t>https://lalgbtcenter.org/services/medical-services/</w:t>
        </w:r>
      </w:hyperlink>
      <w:r w:rsidRPr="00657D31">
        <w:t xml:space="preserve"> (last accessed July 17, 2025).</w:t>
      </w:r>
    </w:p>
  </w:footnote>
  <w:footnote w:id="52">
    <w:p w14:paraId="66782F48" w14:textId="77777777" w:rsidR="00CC78C6" w:rsidRPr="00657D31" w:rsidRDefault="00CC78C6" w:rsidP="00CC78C6">
      <w:pPr>
        <w:pStyle w:val="FootnoteText"/>
      </w:pPr>
      <w:r w:rsidRPr="00657D31">
        <w:rPr>
          <w:rStyle w:val="FootnoteReference"/>
        </w:rPr>
        <w:footnoteRef/>
      </w:r>
      <w:r w:rsidRPr="00657D31">
        <w:t xml:space="preserve"> 42 U.S.C. § 254b (2024).</w:t>
      </w:r>
    </w:p>
  </w:footnote>
  <w:footnote w:id="53">
    <w:p w14:paraId="2BBAD258" w14:textId="77777777" w:rsidR="00CC78C6" w:rsidRPr="00657D31" w:rsidRDefault="00CC78C6" w:rsidP="00CC78C6">
      <w:pPr>
        <w:pStyle w:val="FootnoteText"/>
      </w:pPr>
      <w:r w:rsidRPr="00657D31">
        <w:rPr>
          <w:rStyle w:val="FootnoteReference"/>
        </w:rPr>
        <w:footnoteRef/>
      </w:r>
      <w:r w:rsidRPr="00657D31">
        <w:t xml:space="preserve"> </w:t>
      </w:r>
      <w:r w:rsidRPr="00657D31">
        <w:rPr>
          <w:smallCaps/>
        </w:rPr>
        <w:t>Bianca D.M. Wilson, et al., Williams Inst</w:t>
      </w:r>
      <w:r w:rsidRPr="00657D31">
        <w:t xml:space="preserve">., </w:t>
      </w:r>
      <w:r w:rsidRPr="00657D31">
        <w:rPr>
          <w:smallCaps/>
        </w:rPr>
        <w:t>Homelessness Among LGBT Adults in the US</w:t>
      </w:r>
      <w:r w:rsidRPr="00657D31">
        <w:t xml:space="preserve"> (May 2020), </w:t>
      </w:r>
      <w:hyperlink r:id="rId51" w:history="1">
        <w:r w:rsidRPr="00657D31">
          <w:rPr>
            <w:rStyle w:val="Hyperlink"/>
            <w:color w:val="auto"/>
          </w:rPr>
          <w:t>https://williamsinstitute.law.ucla.edu/publications/lgbt-homelessness-us/</w:t>
        </w:r>
      </w:hyperlink>
      <w:r w:rsidRPr="00657D31">
        <w:t xml:space="preserve">. </w:t>
      </w:r>
    </w:p>
  </w:footnote>
  <w:footnote w:id="54">
    <w:p w14:paraId="3924571B" w14:textId="77777777" w:rsidR="00CC78C6" w:rsidRPr="00657D31" w:rsidRDefault="00CC78C6" w:rsidP="00CC78C6">
      <w:pPr>
        <w:pStyle w:val="FootnoteText"/>
      </w:pPr>
      <w:r w:rsidRPr="00657D31">
        <w:rPr>
          <w:rStyle w:val="FootnoteReference"/>
        </w:rPr>
        <w:footnoteRef/>
      </w:r>
      <w:r w:rsidRPr="00657D31">
        <w:t xml:space="preserve"> Id.</w:t>
      </w:r>
      <w:r w:rsidRPr="00657D31">
        <w:rPr>
          <w:i/>
          <w:iCs/>
        </w:rPr>
        <w:t xml:space="preserve"> </w:t>
      </w:r>
    </w:p>
  </w:footnote>
  <w:footnote w:id="55">
    <w:p w14:paraId="0BC56098" w14:textId="77777777" w:rsidR="00CC78C6" w:rsidRPr="00657D31" w:rsidRDefault="00CC78C6" w:rsidP="00CC78C6">
      <w:pPr>
        <w:pStyle w:val="FootnoteText"/>
      </w:pPr>
      <w:r w:rsidRPr="00657D31">
        <w:rPr>
          <w:rStyle w:val="FootnoteReference"/>
        </w:rPr>
        <w:footnoteRef/>
      </w:r>
      <w:r w:rsidRPr="00657D31">
        <w:t xml:space="preserve"> Caitlin Rooney, et al., </w:t>
      </w:r>
      <w:r w:rsidRPr="00657D31">
        <w:rPr>
          <w:smallCaps/>
        </w:rPr>
        <w:t>Ctr. for Am. Progress</w:t>
      </w:r>
      <w:r w:rsidRPr="00657D31">
        <w:t xml:space="preserve">, </w:t>
      </w:r>
      <w:r w:rsidRPr="00657D31">
        <w:rPr>
          <w:i/>
          <w:iCs/>
        </w:rPr>
        <w:t xml:space="preserve">Protecting Basic Living Standards for LGBTQ People </w:t>
      </w:r>
      <w:r w:rsidRPr="00657D31">
        <w:t xml:space="preserve">(Aug. 13, 2018), </w:t>
      </w:r>
      <w:hyperlink r:id="rId52" w:history="1">
        <w:r w:rsidRPr="00657D31">
          <w:rPr>
            <w:rStyle w:val="Hyperlink"/>
            <w:color w:val="auto"/>
          </w:rPr>
          <w:t>https://www.americanprogress.org/article/protecting-basic-living-standards-lgbtq-people/</w:t>
        </w:r>
      </w:hyperlink>
      <w:r w:rsidRPr="00657D31">
        <w:t xml:space="preserve">. </w:t>
      </w:r>
    </w:p>
  </w:footnote>
  <w:footnote w:id="56">
    <w:p w14:paraId="2E175F91" w14:textId="77777777" w:rsidR="00CC78C6" w:rsidRPr="00657D31" w:rsidRDefault="00CC78C6" w:rsidP="00CC78C6">
      <w:pPr>
        <w:pStyle w:val="FootnoteText"/>
      </w:pPr>
      <w:r w:rsidRPr="00657D31">
        <w:rPr>
          <w:rStyle w:val="FootnoteReference"/>
        </w:rPr>
        <w:footnoteRef/>
      </w:r>
      <w:r w:rsidRPr="00657D31">
        <w:t xml:space="preserve"> U</w:t>
      </w:r>
      <w:r w:rsidRPr="00657D31">
        <w:rPr>
          <w:smallCaps/>
        </w:rPr>
        <w:t xml:space="preserve">.S. </w:t>
      </w:r>
      <w:proofErr w:type="spellStart"/>
      <w:r w:rsidRPr="00657D31">
        <w:rPr>
          <w:smallCaps/>
        </w:rPr>
        <w:t>Dep’t</w:t>
      </w:r>
      <w:proofErr w:type="spellEnd"/>
      <w:r w:rsidRPr="00657D31">
        <w:rPr>
          <w:smallCaps/>
        </w:rPr>
        <w:t xml:space="preserve"> of Agriculture, Econ. Research Serv., </w:t>
      </w:r>
      <w:r w:rsidRPr="00657D31">
        <w:rPr>
          <w:i/>
          <w:iCs/>
        </w:rPr>
        <w:t>Farm Labor</w:t>
      </w:r>
      <w:r w:rsidRPr="00657D31">
        <w:t xml:space="preserve"> (July 7, 2025), </w:t>
      </w:r>
      <w:hyperlink r:id="rId53" w:history="1">
        <w:r w:rsidRPr="00657D31">
          <w:rPr>
            <w:rStyle w:val="Hyperlink"/>
            <w:color w:val="auto"/>
          </w:rPr>
          <w:t>https://www.ers.usda.gov/topics/farm-economy/farm-labor</w:t>
        </w:r>
      </w:hyperlink>
      <w:r w:rsidRPr="00657D31">
        <w:t xml:space="preserve">. </w:t>
      </w:r>
    </w:p>
  </w:footnote>
  <w:footnote w:id="57">
    <w:p w14:paraId="51BA07EE" w14:textId="77777777" w:rsidR="00CC78C6" w:rsidRPr="00657D31" w:rsidRDefault="00CC78C6" w:rsidP="00CC78C6">
      <w:pPr>
        <w:pStyle w:val="FootnoteText"/>
      </w:pPr>
      <w:r w:rsidRPr="00657D31">
        <w:rPr>
          <w:rStyle w:val="FootnoteReference"/>
        </w:rPr>
        <w:footnoteRef/>
      </w:r>
      <w:r w:rsidRPr="00657D31">
        <w:t xml:space="preserve"> </w:t>
      </w:r>
      <w:r w:rsidRPr="00657D31">
        <w:rPr>
          <w:smallCaps/>
        </w:rPr>
        <w:t xml:space="preserve">Shoshana K. Goldberg &amp; Kerith J. Conron, Williams Inst., LGBT Adult Immigrants in the United States 1, 2, 19 </w:t>
      </w:r>
      <w:r w:rsidRPr="00657D31">
        <w:t xml:space="preserve">(Feb. 2021), </w:t>
      </w:r>
      <w:hyperlink r:id="rId54" w:history="1">
        <w:r w:rsidRPr="00657D31">
          <w:rPr>
            <w:rStyle w:val="Hyperlink"/>
            <w:color w:val="auto"/>
          </w:rPr>
          <w:t>https://williamsinstitute.law.ucla.edu/publications/lgbt-immigrants-in-the-us/</w:t>
        </w:r>
      </w:hyperlink>
      <w:r w:rsidRPr="00657D31">
        <w:t xml:space="preserve">. </w:t>
      </w:r>
    </w:p>
  </w:footnote>
  <w:footnote w:id="58">
    <w:p w14:paraId="68CF0F86" w14:textId="77777777" w:rsidR="00CC78C6" w:rsidRPr="00657D31" w:rsidRDefault="00CC78C6" w:rsidP="00CC78C6">
      <w:pPr>
        <w:pStyle w:val="FootnoteText"/>
      </w:pPr>
      <w:r w:rsidRPr="00657D31">
        <w:rPr>
          <w:rStyle w:val="FootnoteReference"/>
        </w:rPr>
        <w:footnoteRef/>
      </w:r>
      <w:r w:rsidRPr="00657D31">
        <w:t xml:space="preserve"> </w:t>
      </w:r>
      <w:r w:rsidRPr="00657D31">
        <w:rPr>
          <w:i/>
          <w:iCs/>
        </w:rPr>
        <w:t xml:space="preserve">Id. </w:t>
      </w:r>
      <w:r w:rsidRPr="00657D31">
        <w:t>at 2.</w:t>
      </w:r>
    </w:p>
  </w:footnote>
  <w:footnote w:id="59">
    <w:p w14:paraId="417AC2C2" w14:textId="73B87C13" w:rsidR="00B058A1" w:rsidRPr="00657D31" w:rsidRDefault="00B058A1">
      <w:pPr>
        <w:pStyle w:val="FootnoteText"/>
      </w:pPr>
      <w:r w:rsidRPr="00657D31">
        <w:rPr>
          <w:rStyle w:val="FootnoteReference"/>
        </w:rPr>
        <w:footnoteRef/>
      </w:r>
      <w:r w:rsidRPr="00657D31">
        <w:t xml:space="preserve"> </w:t>
      </w:r>
      <w:r w:rsidR="00203D72" w:rsidRPr="00657D31">
        <w:t xml:space="preserve">Off. of Disease Prevention &amp; Health Promotion, </w:t>
      </w:r>
      <w:r w:rsidR="00203D72" w:rsidRPr="00657D31">
        <w:rPr>
          <w:i/>
          <w:iCs/>
        </w:rPr>
        <w:t>Lesbian, Gay, Bisexual, and Transgender Health</w:t>
      </w:r>
      <w:r w:rsidR="00203D72" w:rsidRPr="00657D31">
        <w:t xml:space="preserve">, Healthy People 2030, </w:t>
      </w:r>
      <w:hyperlink r:id="rId55" w:tgtFrame="_new" w:history="1">
        <w:r w:rsidR="00203D72" w:rsidRPr="00657D31">
          <w:rPr>
            <w:rStyle w:val="Hyperlink"/>
            <w:color w:val="auto"/>
          </w:rPr>
          <w:t>https://health.gov/healthypeople/objectives-and-data/browse-objectives/lgbt</w:t>
        </w:r>
      </w:hyperlink>
      <w:r w:rsidR="00203D72" w:rsidRPr="00657D31">
        <w:t xml:space="preserve"> (last visited July 1</w:t>
      </w:r>
      <w:r w:rsidR="00B73A4F" w:rsidRPr="00657D31">
        <w:t>4</w:t>
      </w:r>
      <w:r w:rsidR="00203D72" w:rsidRPr="00657D31">
        <w:t>, 2025).</w:t>
      </w:r>
      <w:r w:rsidR="001C6BA2" w:rsidRPr="00657D31">
        <w:t xml:space="preserve"> </w:t>
      </w:r>
    </w:p>
  </w:footnote>
  <w:footnote w:id="60">
    <w:p w14:paraId="475C1F72" w14:textId="29DD4C7D" w:rsidR="00683BDB" w:rsidRPr="00657D31" w:rsidRDefault="00683BDB" w:rsidP="004A022D">
      <w:pPr>
        <w:pStyle w:val="FootnoteText"/>
      </w:pPr>
      <w:r w:rsidRPr="00657D31">
        <w:rPr>
          <w:rStyle w:val="FootnoteReference"/>
        </w:rPr>
        <w:footnoteRef/>
      </w:r>
      <w:r w:rsidRPr="00657D31">
        <w:t xml:space="preserve"> </w:t>
      </w:r>
      <w:r w:rsidR="00BB0643" w:rsidRPr="00657D31">
        <w:rPr>
          <w:smallCaps/>
        </w:rPr>
        <w:t>Ilan H. Meyer &amp; Lauren J.A. Bouton,</w:t>
      </w:r>
      <w:r w:rsidR="00BB0643" w:rsidRPr="00657D31">
        <w:t xml:space="preserve"> </w:t>
      </w:r>
      <w:r w:rsidR="00BB0643" w:rsidRPr="00657D31">
        <w:rPr>
          <w:smallCaps/>
        </w:rPr>
        <w:t>Williams Inst.,</w:t>
      </w:r>
      <w:r w:rsidR="00BB0643" w:rsidRPr="00657D31">
        <w:t xml:space="preserve"> </w:t>
      </w:r>
      <w:r w:rsidR="00BB0643" w:rsidRPr="00657D31">
        <w:rPr>
          <w:i/>
          <w:iCs/>
        </w:rPr>
        <w:t>Impact of Executive Orders on Access to Federal Data</w:t>
      </w:r>
      <w:r w:rsidR="00BB0643" w:rsidRPr="00657D31">
        <w:t xml:space="preserve"> </w:t>
      </w:r>
      <w:r w:rsidR="00D751B1" w:rsidRPr="00657D31">
        <w:t>(</w:t>
      </w:r>
      <w:r w:rsidR="00BB0643" w:rsidRPr="00657D31">
        <w:t xml:space="preserve">2025), </w:t>
      </w:r>
      <w:hyperlink r:id="rId56" w:tgtFrame="_new" w:history="1">
        <w:r w:rsidR="00BB0643" w:rsidRPr="00657D31">
          <w:rPr>
            <w:rStyle w:val="Hyperlink"/>
            <w:color w:val="auto"/>
            <w:u w:val="none"/>
          </w:rPr>
          <w:t>https://williamsinstitute.law.ucla.edu/wp-content/uploads/SOGI-Data-Removal-EO-Feb-2025.pdf</w:t>
        </w:r>
      </w:hyperlink>
      <w:r w:rsidR="00BB0643" w:rsidRPr="00657D31">
        <w:t>.</w:t>
      </w:r>
    </w:p>
  </w:footnote>
  <w:footnote w:id="61">
    <w:p w14:paraId="22726BAB" w14:textId="02AAE700" w:rsidR="00115BE6" w:rsidRPr="00657D31" w:rsidRDefault="00115BE6" w:rsidP="004A022D">
      <w:pPr>
        <w:pStyle w:val="FootnoteText"/>
      </w:pPr>
      <w:r w:rsidRPr="00657D31">
        <w:rPr>
          <w:rStyle w:val="FootnoteReference"/>
        </w:rPr>
        <w:footnoteRef/>
      </w:r>
      <w:r w:rsidRPr="00657D31">
        <w:t xml:space="preserve"> </w:t>
      </w:r>
      <w:r w:rsidRPr="00657D31">
        <w:rPr>
          <w:smallCaps/>
        </w:rPr>
        <w:t>Measuring</w:t>
      </w:r>
      <w:r w:rsidRPr="00657D31">
        <w:rPr>
          <w:smallCaps/>
          <w:spacing w:val="-2"/>
        </w:rPr>
        <w:t xml:space="preserve"> </w:t>
      </w:r>
      <w:r w:rsidRPr="00657D31">
        <w:rPr>
          <w:smallCaps/>
        </w:rPr>
        <w:t>Sex,</w:t>
      </w:r>
      <w:r w:rsidRPr="00657D31">
        <w:rPr>
          <w:smallCaps/>
          <w:spacing w:val="-2"/>
        </w:rPr>
        <w:t xml:space="preserve"> </w:t>
      </w:r>
      <w:r w:rsidRPr="00657D31">
        <w:rPr>
          <w:smallCaps/>
        </w:rPr>
        <w:t>Gender Identity,</w:t>
      </w:r>
      <w:r w:rsidRPr="00657D31">
        <w:rPr>
          <w:smallCaps/>
          <w:spacing w:val="-2"/>
        </w:rPr>
        <w:t xml:space="preserve"> </w:t>
      </w:r>
      <w:r w:rsidRPr="00657D31">
        <w:rPr>
          <w:smallCaps/>
        </w:rPr>
        <w:t>and</w:t>
      </w:r>
      <w:r w:rsidRPr="00657D31">
        <w:rPr>
          <w:smallCaps/>
          <w:spacing w:val="-2"/>
        </w:rPr>
        <w:t xml:space="preserve"> </w:t>
      </w:r>
      <w:r w:rsidRPr="00657D31">
        <w:rPr>
          <w:smallCaps/>
        </w:rPr>
        <w:t>Sexual</w:t>
      </w:r>
      <w:r w:rsidRPr="00657D31">
        <w:rPr>
          <w:smallCaps/>
          <w:spacing w:val="-3"/>
        </w:rPr>
        <w:t xml:space="preserve"> </w:t>
      </w:r>
      <w:r w:rsidRPr="00657D31">
        <w:rPr>
          <w:smallCaps/>
        </w:rPr>
        <w:t>Orientation</w:t>
      </w:r>
      <w:r w:rsidRPr="00657D31">
        <w:rPr>
          <w:smallCaps/>
          <w:spacing w:val="-2"/>
        </w:rPr>
        <w:t xml:space="preserve"> </w:t>
      </w:r>
      <w:r w:rsidRPr="00657D31">
        <w:rPr>
          <w:smallCaps/>
        </w:rPr>
        <w:t>for the</w:t>
      </w:r>
      <w:r w:rsidRPr="00657D31">
        <w:rPr>
          <w:smallCaps/>
          <w:spacing w:val="-1"/>
        </w:rPr>
        <w:t xml:space="preserve"> </w:t>
      </w:r>
      <w:r w:rsidRPr="00657D31">
        <w:rPr>
          <w:smallCaps/>
        </w:rPr>
        <w:t>National</w:t>
      </w:r>
      <w:r w:rsidRPr="00657D31">
        <w:rPr>
          <w:smallCaps/>
          <w:spacing w:val="-3"/>
        </w:rPr>
        <w:t xml:space="preserve"> </w:t>
      </w:r>
      <w:r w:rsidRPr="00657D31">
        <w:rPr>
          <w:smallCaps/>
        </w:rPr>
        <w:t>Institutes of</w:t>
      </w:r>
      <w:r w:rsidRPr="00657D31">
        <w:rPr>
          <w:smallCaps/>
          <w:spacing w:val="-3"/>
        </w:rPr>
        <w:t xml:space="preserve"> </w:t>
      </w:r>
      <w:r w:rsidRPr="00657D31">
        <w:rPr>
          <w:smallCaps/>
        </w:rPr>
        <w:t>Health</w:t>
      </w:r>
      <w:r w:rsidRPr="00657D31">
        <w:t>,</w:t>
      </w:r>
      <w:r w:rsidRPr="00657D31">
        <w:rPr>
          <w:spacing w:val="-2"/>
        </w:rPr>
        <w:t xml:space="preserve"> </w:t>
      </w:r>
      <w:proofErr w:type="spellStart"/>
      <w:r w:rsidR="00D12CEF" w:rsidRPr="00657D31">
        <w:rPr>
          <w:smallCaps/>
        </w:rPr>
        <w:t>Nat’l</w:t>
      </w:r>
      <w:proofErr w:type="spellEnd"/>
      <w:r w:rsidR="00D12CEF" w:rsidRPr="00657D31">
        <w:rPr>
          <w:smallCaps/>
          <w:spacing w:val="-5"/>
        </w:rPr>
        <w:t xml:space="preserve"> </w:t>
      </w:r>
      <w:r w:rsidR="00D12CEF" w:rsidRPr="00657D31">
        <w:rPr>
          <w:smallCaps/>
        </w:rPr>
        <w:t>Academies</w:t>
      </w:r>
      <w:r w:rsidR="00D12CEF" w:rsidRPr="00657D31">
        <w:rPr>
          <w:smallCaps/>
          <w:spacing w:val="40"/>
        </w:rPr>
        <w:t xml:space="preserve"> </w:t>
      </w:r>
      <w:r w:rsidR="00D12CEF" w:rsidRPr="00657D31">
        <w:rPr>
          <w:smallCaps/>
        </w:rPr>
        <w:t>Of</w:t>
      </w:r>
      <w:r w:rsidR="00D12CEF" w:rsidRPr="00657D31">
        <w:rPr>
          <w:smallCaps/>
          <w:spacing w:val="-10"/>
        </w:rPr>
        <w:t xml:space="preserve"> </w:t>
      </w:r>
      <w:r w:rsidR="00D12CEF" w:rsidRPr="00657D31">
        <w:rPr>
          <w:smallCaps/>
        </w:rPr>
        <w:t>Sciences,</w:t>
      </w:r>
      <w:r w:rsidR="00D12CEF" w:rsidRPr="00657D31">
        <w:rPr>
          <w:smallCaps/>
          <w:spacing w:val="-13"/>
        </w:rPr>
        <w:t xml:space="preserve"> </w:t>
      </w:r>
      <w:r w:rsidR="00D12CEF" w:rsidRPr="00657D31">
        <w:rPr>
          <w:smallCaps/>
        </w:rPr>
        <w:t>Engineering,</w:t>
      </w:r>
      <w:r w:rsidR="00D12CEF" w:rsidRPr="00657D31">
        <w:rPr>
          <w:smallCaps/>
          <w:spacing w:val="-12"/>
        </w:rPr>
        <w:t xml:space="preserve"> </w:t>
      </w:r>
      <w:r w:rsidR="00D12CEF" w:rsidRPr="00657D31">
        <w:rPr>
          <w:smallCaps/>
        </w:rPr>
        <w:t>&amp;</w:t>
      </w:r>
      <w:r w:rsidR="00D12CEF" w:rsidRPr="00657D31">
        <w:rPr>
          <w:smallCaps/>
          <w:spacing w:val="-13"/>
        </w:rPr>
        <w:t xml:space="preserve"> </w:t>
      </w:r>
      <w:r w:rsidR="00D12CEF" w:rsidRPr="00657D31">
        <w:rPr>
          <w:smallCaps/>
        </w:rPr>
        <w:t>Med</w:t>
      </w:r>
      <w:r w:rsidRPr="00657D31">
        <w:t>.</w:t>
      </w:r>
      <w:r w:rsidR="00D12CEF" w:rsidRPr="00657D31">
        <w:t xml:space="preserve"> (2022)</w:t>
      </w:r>
      <w:r w:rsidRPr="00657D31">
        <w:t>,</w:t>
      </w:r>
      <w:r w:rsidR="00437C1A" w:rsidRPr="00657D31">
        <w:rPr>
          <w:spacing w:val="-12"/>
        </w:rPr>
        <w:t xml:space="preserve"> </w:t>
      </w:r>
      <w:r w:rsidR="00437C1A" w:rsidRPr="00657D31">
        <w:t>https:/</w:t>
      </w:r>
      <w:hyperlink r:id="rId57">
        <w:r w:rsidR="00437C1A" w:rsidRPr="00657D31">
          <w:t>/www.nationalacademies.org/our-work/measuring-sex-gender-identity-</w:t>
        </w:r>
      </w:hyperlink>
      <w:r w:rsidR="00437C1A" w:rsidRPr="00657D31">
        <w:t>and-sexual-orientation-for-the-national-institutes-of-health</w:t>
      </w:r>
      <w:r w:rsidR="009542B4" w:rsidRPr="00657D31">
        <w:t>.</w:t>
      </w:r>
    </w:p>
  </w:footnote>
  <w:footnote w:id="62">
    <w:p w14:paraId="0C39B4FA" w14:textId="716CA272" w:rsidR="00240D1B" w:rsidRPr="00657D31" w:rsidRDefault="00240D1B" w:rsidP="004A022D">
      <w:pPr>
        <w:pStyle w:val="FootnoteText"/>
      </w:pPr>
      <w:r w:rsidRPr="00657D31">
        <w:rPr>
          <w:rStyle w:val="FootnoteReference"/>
        </w:rPr>
        <w:footnoteRef/>
      </w:r>
      <w:r w:rsidRPr="00657D31">
        <w:t xml:space="preserve"> </w:t>
      </w:r>
      <w:r w:rsidRPr="00657D31">
        <w:rPr>
          <w:i/>
          <w:iCs/>
        </w:rPr>
        <w:t xml:space="preserve">See Id., </w:t>
      </w:r>
      <w:r w:rsidRPr="00657D31">
        <w:t>at 8-</w:t>
      </w:r>
      <w:r w:rsidR="00340BF4" w:rsidRPr="00657D31">
        <w:t>10</w:t>
      </w:r>
      <w:r w:rsidRPr="00657D31">
        <w:t xml:space="preserve">, 37, and 103-138. </w:t>
      </w:r>
      <w:r w:rsidR="00B84E9B" w:rsidRPr="00657D31">
        <w:rPr>
          <w:i/>
          <w:iCs/>
        </w:rPr>
        <w:t xml:space="preserve">See also </w:t>
      </w:r>
      <w:r w:rsidR="0083629E" w:rsidRPr="00657D31">
        <w:t xml:space="preserve">Kellan E. Baker, et al., </w:t>
      </w:r>
      <w:r w:rsidR="0083629E" w:rsidRPr="00657D31">
        <w:rPr>
          <w:i/>
          <w:iCs/>
        </w:rPr>
        <w:t>Advancing Sexual and Gender Minority Population Health Using Electronic Health Record Data</w:t>
      </w:r>
      <w:r w:rsidR="0083629E" w:rsidRPr="00657D31">
        <w:t xml:space="preserve">, 113 </w:t>
      </w:r>
      <w:r w:rsidR="0083629E" w:rsidRPr="00657D31">
        <w:rPr>
          <w:smallCaps/>
        </w:rPr>
        <w:t>Am. J. of Pub. Health</w:t>
      </w:r>
      <w:r w:rsidR="0083629E" w:rsidRPr="00657D31">
        <w:t xml:space="preserve"> 1287 (2023), https://ajph.aphapublications.org/doi/abs/10.2105/AJPH.2023.307467?journalCode=ajph.</w:t>
      </w:r>
    </w:p>
  </w:footnote>
  <w:footnote w:id="63">
    <w:p w14:paraId="1A994794" w14:textId="710BAB78" w:rsidR="00115BE6" w:rsidRPr="00657D31" w:rsidRDefault="00115BE6" w:rsidP="004A022D">
      <w:pPr>
        <w:pStyle w:val="FootnoteText"/>
      </w:pPr>
      <w:r w:rsidRPr="00657D31">
        <w:rPr>
          <w:rStyle w:val="FootnoteReference"/>
        </w:rPr>
        <w:footnoteRef/>
      </w:r>
      <w:r w:rsidRPr="00657D31">
        <w:t xml:space="preserve"> </w:t>
      </w:r>
      <w:r w:rsidR="00AE650C" w:rsidRPr="00657D31">
        <w:rPr>
          <w:smallCaps/>
        </w:rPr>
        <w:t>Off</w:t>
      </w:r>
      <w:r w:rsidR="009B1C83" w:rsidRPr="00657D31">
        <w:rPr>
          <w:smallCaps/>
        </w:rPr>
        <w:t>.</w:t>
      </w:r>
      <w:r w:rsidR="005069CD" w:rsidRPr="00657D31">
        <w:rPr>
          <w:smallCaps/>
        </w:rPr>
        <w:t xml:space="preserve"> Mgmt.</w:t>
      </w:r>
      <w:r w:rsidR="003074A2" w:rsidRPr="00657D31">
        <w:rPr>
          <w:smallCaps/>
        </w:rPr>
        <w:t xml:space="preserve"> &amp;</w:t>
      </w:r>
      <w:r w:rsidR="00AE650C" w:rsidRPr="00657D31">
        <w:rPr>
          <w:smallCaps/>
        </w:rPr>
        <w:t xml:space="preserve"> Budget, Recommendations On The Best Practices For The Collection Of Sexual Orientation And Gender Identity Data On Federal Statistical Surveys</w:t>
      </w:r>
      <w:r w:rsidR="00AE650C" w:rsidRPr="00657D31">
        <w:t xml:space="preserve"> </w:t>
      </w:r>
      <w:r w:rsidRPr="00657D31">
        <w:t xml:space="preserve">(2023), https://www.whitehouse.gov/wp-content/uploads/2023/01/SOGI-Best-Practices.pdf.; </w:t>
      </w:r>
      <w:r w:rsidR="000757CC" w:rsidRPr="00657D31">
        <w:rPr>
          <w:smallCaps/>
        </w:rPr>
        <w:t>Off</w:t>
      </w:r>
      <w:r w:rsidR="00716FD6" w:rsidRPr="00657D31">
        <w:rPr>
          <w:smallCaps/>
        </w:rPr>
        <w:t>.</w:t>
      </w:r>
      <w:r w:rsidR="000757CC" w:rsidRPr="00657D31">
        <w:rPr>
          <w:smallCaps/>
        </w:rPr>
        <w:t xml:space="preserve"> Sci</w:t>
      </w:r>
      <w:r w:rsidR="00F953EB" w:rsidRPr="00657D31">
        <w:rPr>
          <w:smallCaps/>
        </w:rPr>
        <w:t>.</w:t>
      </w:r>
      <w:r w:rsidR="000757CC" w:rsidRPr="00657D31">
        <w:rPr>
          <w:smallCaps/>
        </w:rPr>
        <w:t xml:space="preserve"> </w:t>
      </w:r>
      <w:r w:rsidR="00726A98" w:rsidRPr="00657D31">
        <w:rPr>
          <w:smallCaps/>
        </w:rPr>
        <w:t>&amp;</w:t>
      </w:r>
      <w:r w:rsidR="000757CC" w:rsidRPr="00657D31">
        <w:rPr>
          <w:smallCaps/>
        </w:rPr>
        <w:t xml:space="preserve"> Tech</w:t>
      </w:r>
      <w:r w:rsidR="00F953EB" w:rsidRPr="00657D31">
        <w:rPr>
          <w:smallCaps/>
        </w:rPr>
        <w:t>.</w:t>
      </w:r>
      <w:r w:rsidR="000757CC" w:rsidRPr="00657D31">
        <w:rPr>
          <w:smallCaps/>
        </w:rPr>
        <w:t xml:space="preserve"> Policy, Federal Evidence Agenda On </w:t>
      </w:r>
      <w:proofErr w:type="spellStart"/>
      <w:r w:rsidR="000757CC" w:rsidRPr="00657D31">
        <w:rPr>
          <w:smallCaps/>
        </w:rPr>
        <w:t>Lgbtqi</w:t>
      </w:r>
      <w:proofErr w:type="spellEnd"/>
      <w:r w:rsidR="000757CC" w:rsidRPr="00657D31">
        <w:rPr>
          <w:smallCaps/>
        </w:rPr>
        <w:t>+ Equity</w:t>
      </w:r>
      <w:r w:rsidR="000757CC" w:rsidRPr="00657D31">
        <w:t xml:space="preserve"> </w:t>
      </w:r>
      <w:r w:rsidRPr="00657D31">
        <w:t>(2023), https://www.whitehouse.gov/wp-content/uploads/2023/01/Federal-Evidence-Agenda-on-LGBTQI-Equity.pdf.</w:t>
      </w:r>
    </w:p>
  </w:footnote>
  <w:footnote w:id="64">
    <w:p w14:paraId="1B6D9A06" w14:textId="545A073F" w:rsidR="00C7513E" w:rsidRPr="00657D31" w:rsidRDefault="00C7513E" w:rsidP="004A022D">
      <w:pPr>
        <w:pStyle w:val="FootnoteText"/>
      </w:pPr>
      <w:r w:rsidRPr="00657D31">
        <w:rPr>
          <w:rStyle w:val="FootnoteReference"/>
        </w:rPr>
        <w:footnoteRef/>
      </w:r>
      <w:r w:rsidRPr="00657D31">
        <w:t xml:space="preserve"> </w:t>
      </w:r>
      <w:r w:rsidR="00DD705C" w:rsidRPr="00657D31">
        <w:rPr>
          <w:smallCaps/>
        </w:rPr>
        <w:t>Institute of Medicine Committee on Lesbian, Gay, Bisexual, and Transgender Health Issues and Research Gaps and Opportunities, The Health of Lesbian, Bisexual, and Transgender People</w:t>
      </w:r>
      <w:r w:rsidR="00DD705C" w:rsidRPr="00657D31">
        <w:t xml:space="preserve"> (2011)</w:t>
      </w:r>
      <w:r w:rsidR="00B036C7" w:rsidRPr="00657D31">
        <w:t xml:space="preserve">, </w:t>
      </w:r>
      <w:hyperlink r:id="rId58" w:history="1">
        <w:r w:rsidR="00B036C7" w:rsidRPr="00657D31">
          <w:rPr>
            <w:rStyle w:val="Hyperlink"/>
            <w:color w:val="auto"/>
          </w:rPr>
          <w:t>https://www.ncbi.nlm.nih.gov/books/NBK64806/</w:t>
        </w:r>
      </w:hyperlink>
      <w:r w:rsidR="00B036C7" w:rsidRPr="00657D31">
        <w:t xml:space="preserve">. </w:t>
      </w:r>
    </w:p>
  </w:footnote>
  <w:footnote w:id="65">
    <w:p w14:paraId="212CE6C5" w14:textId="248BC539" w:rsidR="0064179F" w:rsidRPr="00657D31" w:rsidRDefault="0064179F" w:rsidP="004A022D">
      <w:pPr>
        <w:pStyle w:val="FootnoteText"/>
      </w:pPr>
      <w:r w:rsidRPr="00657D31">
        <w:rPr>
          <w:rStyle w:val="FootnoteReference"/>
        </w:rPr>
        <w:footnoteRef/>
      </w:r>
      <w:r w:rsidRPr="00657D31">
        <w:t xml:space="preserve"> </w:t>
      </w:r>
      <w:r w:rsidR="005601C2" w:rsidRPr="00657D31">
        <w:rPr>
          <w:smallCaps/>
        </w:rPr>
        <w:t>Ctr. for Medicare &amp; Medicaid Serv., Uniform Data System (UDS),</w:t>
      </w:r>
      <w:r w:rsidR="005601C2" w:rsidRPr="00657D31">
        <w:t xml:space="preserve"> </w:t>
      </w:r>
      <w:hyperlink r:id="rId59" w:history="1">
        <w:r w:rsidR="005601C2" w:rsidRPr="00657D31">
          <w:rPr>
            <w:rStyle w:val="Hyperlink"/>
            <w:color w:val="auto"/>
          </w:rPr>
          <w:t>https://www.cms.gov/files/document/sgm-clearinghouse-uds.pdf</w:t>
        </w:r>
      </w:hyperlink>
      <w:r w:rsidR="005601C2" w:rsidRPr="00657D31">
        <w:t xml:space="preserve"> (last accessed July 10, 2025).</w:t>
      </w:r>
    </w:p>
  </w:footnote>
  <w:footnote w:id="66">
    <w:p w14:paraId="3AFE828C" w14:textId="7CF083B5" w:rsidR="00CB3203" w:rsidRPr="00657D31" w:rsidRDefault="00CB3203" w:rsidP="004A022D">
      <w:pPr>
        <w:pStyle w:val="FootnoteText"/>
      </w:pPr>
      <w:r w:rsidRPr="00657D31">
        <w:rPr>
          <w:rStyle w:val="FootnoteReference"/>
        </w:rPr>
        <w:footnoteRef/>
      </w:r>
      <w:r w:rsidRPr="00657D31">
        <w:t xml:space="preserve"> </w:t>
      </w:r>
      <w:r w:rsidR="00DE53C6" w:rsidRPr="00657D31">
        <w:t xml:space="preserve">Alex McDowell, et al., </w:t>
      </w:r>
      <w:r w:rsidR="00DE53C6" w:rsidRPr="00657D31">
        <w:rPr>
          <w:i/>
          <w:iCs/>
        </w:rPr>
        <w:t>Sexual Orientation and Gender Identity Data Reporting Among U.S. Health Centers</w:t>
      </w:r>
      <w:r w:rsidR="00DE53C6" w:rsidRPr="00657D31">
        <w:t xml:space="preserve">, 62 </w:t>
      </w:r>
      <w:r w:rsidR="00DE53C6" w:rsidRPr="00657D31">
        <w:rPr>
          <w:smallCaps/>
        </w:rPr>
        <w:t>Am. J. of Preventative Medicine</w:t>
      </w:r>
      <w:r w:rsidR="00DE53C6" w:rsidRPr="00657D31">
        <w:t xml:space="preserve"> at </w:t>
      </w:r>
      <w:r w:rsidR="00DE53C6" w:rsidRPr="00657D31">
        <w:rPr>
          <w:smallCaps/>
        </w:rPr>
        <w:t>E32</w:t>
      </w:r>
      <w:r w:rsidR="00DE53C6" w:rsidRPr="00657D31">
        <w:t xml:space="preserve">5 (2022), </w:t>
      </w:r>
      <w:hyperlink r:id="rId60" w:history="1">
        <w:r w:rsidR="00DE53C6" w:rsidRPr="00657D31">
          <w:rPr>
            <w:rStyle w:val="Hyperlink"/>
            <w:color w:val="auto"/>
          </w:rPr>
          <w:t>https://www.ajpmonline.org/article/S0749-3797(22)00056-3/abstract</w:t>
        </w:r>
      </w:hyperlink>
      <w:r w:rsidR="00DE53C6" w:rsidRPr="00657D31">
        <w:t>.</w:t>
      </w:r>
    </w:p>
  </w:footnote>
  <w:footnote w:id="67">
    <w:p w14:paraId="62CA41C3" w14:textId="2E6F7C15" w:rsidR="0019221A" w:rsidRPr="00657D31" w:rsidRDefault="0019221A" w:rsidP="004A022D">
      <w:pPr>
        <w:pStyle w:val="FootnoteText"/>
      </w:pPr>
      <w:r w:rsidRPr="00657D31">
        <w:rPr>
          <w:rStyle w:val="FootnoteReference"/>
        </w:rPr>
        <w:footnoteRef/>
      </w:r>
      <w:r w:rsidRPr="00657D31">
        <w:t xml:space="preserve"> </w:t>
      </w:r>
      <w:r w:rsidR="003D6A15" w:rsidRPr="00657D31">
        <w:rPr>
          <w:i/>
          <w:iCs/>
        </w:rPr>
        <w:t>See</w:t>
      </w:r>
      <w:r w:rsidR="003D6A15" w:rsidRPr="00657D31">
        <w:t xml:space="preserve"> </w:t>
      </w:r>
      <w:r w:rsidR="003D6A15" w:rsidRPr="00657D31">
        <w:rPr>
          <w:i/>
          <w:iCs/>
        </w:rPr>
        <w:t>e.g.,</w:t>
      </w:r>
      <w:r w:rsidR="003D6A15" w:rsidRPr="00657D31">
        <w:t xml:space="preserve"> </w:t>
      </w:r>
      <w:hyperlink w:history="1"/>
      <w:r w:rsidR="000646E9" w:rsidRPr="00657D31">
        <w:t xml:space="preserve">Michael Liu, et al., </w:t>
      </w:r>
      <w:r w:rsidR="000646E9" w:rsidRPr="00657D31">
        <w:rPr>
          <w:i/>
          <w:iCs/>
        </w:rPr>
        <w:t>Sexual Orientation and Gender Identity Data Completeness at US Federally Qualified Health Centers, 2020 and 2021</w:t>
      </w:r>
      <w:r w:rsidR="000646E9" w:rsidRPr="00657D31">
        <w:t xml:space="preserve">, </w:t>
      </w:r>
      <w:r w:rsidR="00220BA9" w:rsidRPr="00657D31">
        <w:t xml:space="preserve">113 </w:t>
      </w:r>
      <w:r w:rsidR="008B7E0E" w:rsidRPr="00657D31">
        <w:rPr>
          <w:smallCaps/>
        </w:rPr>
        <w:t>Am.</w:t>
      </w:r>
      <w:r w:rsidR="00220BA9" w:rsidRPr="00657D31">
        <w:rPr>
          <w:smallCaps/>
        </w:rPr>
        <w:t xml:space="preserve"> </w:t>
      </w:r>
      <w:r w:rsidR="008B7E0E" w:rsidRPr="00657D31">
        <w:rPr>
          <w:smallCaps/>
        </w:rPr>
        <w:t>J.</w:t>
      </w:r>
      <w:r w:rsidR="00220BA9" w:rsidRPr="00657D31">
        <w:rPr>
          <w:smallCaps/>
        </w:rPr>
        <w:t xml:space="preserve"> of Public Health</w:t>
      </w:r>
      <w:r w:rsidR="008B7E0E" w:rsidRPr="00657D31">
        <w:t xml:space="preserve"> 883, 883-892</w:t>
      </w:r>
      <w:r w:rsidR="00883597" w:rsidRPr="00657D31">
        <w:t xml:space="preserve"> (2023)</w:t>
      </w:r>
      <w:r w:rsidR="008B7E0E" w:rsidRPr="00657D31">
        <w:t xml:space="preserve">, </w:t>
      </w:r>
      <w:hyperlink r:id="rId61" w:history="1">
        <w:r w:rsidR="008B7E0E" w:rsidRPr="00657D31">
          <w:rPr>
            <w:rStyle w:val="Hyperlink"/>
            <w:color w:val="auto"/>
          </w:rPr>
          <w:t>https://ajph.aphapublications.org/doi/epub/10.2105/AJPH.2023.307323</w:t>
        </w:r>
      </w:hyperlink>
      <w:r w:rsidR="00B21008" w:rsidRPr="00657D31">
        <w:t xml:space="preserve"> </w:t>
      </w:r>
      <w:r w:rsidR="00D359B5" w:rsidRPr="00657D31">
        <w:t>(</w:t>
      </w:r>
      <w:r w:rsidR="00B21008" w:rsidRPr="00657D31">
        <w:t>finding</w:t>
      </w:r>
      <w:r w:rsidR="002A1B0E" w:rsidRPr="00657D31">
        <w:t xml:space="preserve"> that FQHCs had </w:t>
      </w:r>
      <w:r w:rsidR="007D3D3D" w:rsidRPr="00657D31">
        <w:t>SO data for 75% of patients and GI data for 70% in 2020-21</w:t>
      </w:r>
      <w:r w:rsidR="00D359B5" w:rsidRPr="00657D31">
        <w:t>)</w:t>
      </w:r>
      <w:r w:rsidR="00883597" w:rsidRPr="00657D31">
        <w:t xml:space="preserve">; </w:t>
      </w:r>
      <w:r w:rsidR="0092310E" w:rsidRPr="00657D31">
        <w:t xml:space="preserve">Alex McDowell, et al., </w:t>
      </w:r>
      <w:r w:rsidR="0092310E" w:rsidRPr="00657D31">
        <w:rPr>
          <w:i/>
          <w:iCs/>
        </w:rPr>
        <w:t>Sexual Orientation and Gender Identity Data Reporting Among U.S. Health Centers</w:t>
      </w:r>
      <w:r w:rsidR="0092310E" w:rsidRPr="00657D31">
        <w:t xml:space="preserve">, 62 </w:t>
      </w:r>
      <w:r w:rsidR="0092310E" w:rsidRPr="00657D31">
        <w:rPr>
          <w:smallCaps/>
        </w:rPr>
        <w:t>A</w:t>
      </w:r>
      <w:r w:rsidR="00E4380D" w:rsidRPr="00657D31">
        <w:rPr>
          <w:smallCaps/>
        </w:rPr>
        <w:t>m. J. of Preventative Med</w:t>
      </w:r>
      <w:r w:rsidR="00E4380D" w:rsidRPr="00657D31">
        <w:t>.</w:t>
      </w:r>
      <w:r w:rsidR="0092310E" w:rsidRPr="00657D31">
        <w:t xml:space="preserve"> E325 (2022), </w:t>
      </w:r>
      <w:hyperlink r:id="rId62" w:history="1">
        <w:r w:rsidR="0092310E" w:rsidRPr="00657D31">
          <w:rPr>
            <w:rStyle w:val="Hyperlink"/>
            <w:color w:val="auto"/>
          </w:rPr>
          <w:t>https://www.ajpmonline.org/article/S0749-3797(22)00056-3/abstract</w:t>
        </w:r>
      </w:hyperlink>
      <w:r w:rsidR="0092310E" w:rsidRPr="00657D31">
        <w:t xml:space="preserve"> </w:t>
      </w:r>
      <w:r w:rsidR="00D359B5" w:rsidRPr="00657D31">
        <w:t>(</w:t>
      </w:r>
      <w:r w:rsidR="0092310E" w:rsidRPr="00657D31">
        <w:t>finding that health centers had SOGI data for 75% of patients in 2019</w:t>
      </w:r>
      <w:r w:rsidR="00D359B5" w:rsidRPr="00657D31">
        <w:t>)</w:t>
      </w:r>
      <w:r w:rsidR="0092310E" w:rsidRPr="00657D31">
        <w:t xml:space="preserve">; </w:t>
      </w:r>
      <w:r w:rsidR="00883597" w:rsidRPr="00657D31">
        <w:t xml:space="preserve">Chris Grasso, et al., </w:t>
      </w:r>
      <w:r w:rsidR="00883597" w:rsidRPr="00657D31">
        <w:rPr>
          <w:i/>
          <w:iCs/>
        </w:rPr>
        <w:t>Using sexual orientation and gender identity data in electronic health records to assess for disparities in preventive health screening services</w:t>
      </w:r>
      <w:r w:rsidR="00883597" w:rsidRPr="00657D31">
        <w:t xml:space="preserve">, </w:t>
      </w:r>
      <w:r w:rsidR="00BE04B1" w:rsidRPr="00657D31">
        <w:t xml:space="preserve">142 </w:t>
      </w:r>
      <w:r w:rsidR="00BE04B1" w:rsidRPr="00657D31">
        <w:rPr>
          <w:smallCaps/>
        </w:rPr>
        <w:t>Int’l J. of Med. Informatics</w:t>
      </w:r>
      <w:r w:rsidR="00C06554" w:rsidRPr="00657D31">
        <w:t xml:space="preserve"> 104245</w:t>
      </w:r>
      <w:r w:rsidR="00BE04B1" w:rsidRPr="00657D31">
        <w:t xml:space="preserve"> (2020)</w:t>
      </w:r>
      <w:r w:rsidR="007833BE" w:rsidRPr="00657D31">
        <w:t xml:space="preserve">, </w:t>
      </w:r>
      <w:hyperlink r:id="rId63" w:history="1">
        <w:r w:rsidR="007833BE" w:rsidRPr="00657D31">
          <w:rPr>
            <w:rStyle w:val="Hyperlink"/>
            <w:color w:val="auto"/>
          </w:rPr>
          <w:t>https://doi.org/10.1016/j.ijmedinf.2020.104245</w:t>
        </w:r>
      </w:hyperlink>
      <w:r w:rsidR="00E8387B" w:rsidRPr="00657D31">
        <w:t>.</w:t>
      </w:r>
      <w:r w:rsidR="00010D26" w:rsidRPr="00657D31">
        <w:t xml:space="preserve"> </w:t>
      </w:r>
    </w:p>
  </w:footnote>
  <w:footnote w:id="68">
    <w:p w14:paraId="3F856826" w14:textId="41C5F03D" w:rsidR="00A778B9" w:rsidRPr="00657D31" w:rsidRDefault="00A778B9">
      <w:pPr>
        <w:pStyle w:val="FootnoteText"/>
      </w:pPr>
      <w:r w:rsidRPr="00657D31">
        <w:rPr>
          <w:rStyle w:val="FootnoteReference"/>
        </w:rPr>
        <w:footnoteRef/>
      </w:r>
      <w:r w:rsidRPr="00657D31">
        <w:t xml:space="preserve"> </w:t>
      </w:r>
      <w:r w:rsidR="006E7866" w:rsidRPr="00657D31">
        <w:t xml:space="preserve">E.g., </w:t>
      </w:r>
      <w:r w:rsidR="00713906" w:rsidRPr="00657D31">
        <w:t xml:space="preserve">Health Resources &amp; Services Admin., </w:t>
      </w:r>
      <w:r w:rsidR="00E91E6F" w:rsidRPr="00657D31">
        <w:t>Uniform Data System (UDS) Test Cooperative (2025)</w:t>
      </w:r>
      <w:r w:rsidR="006E7866" w:rsidRPr="00657D31">
        <w:t xml:space="preserve">, </w:t>
      </w:r>
      <w:hyperlink r:id="rId64" w:history="1">
        <w:r w:rsidR="006E7866" w:rsidRPr="00657D31">
          <w:rPr>
            <w:rStyle w:val="Hyperlink"/>
            <w:color w:val="auto"/>
          </w:rPr>
          <w:t>https://web.archive.org/web/20250308202001/https://bphc.hrsa.gov/data-reporting/uds-training-and-technical-assistance/uniform-data-system-uds-test-cooperative</w:t>
        </w:r>
      </w:hyperlink>
      <w:r w:rsidR="006E7866" w:rsidRPr="00657D3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B8F4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F52B1"/>
    <w:multiLevelType w:val="hybridMultilevel"/>
    <w:tmpl w:val="1BC0DD6E"/>
    <w:lvl w:ilvl="0" w:tplc="6C14DD0A">
      <w:start w:val="1"/>
      <w:numFmt w:val="upperRoman"/>
      <w:lvlText w:val="%1."/>
      <w:lvlJc w:val="left"/>
      <w:pPr>
        <w:ind w:left="1181" w:hanging="720"/>
      </w:pPr>
      <w:rPr>
        <w:rFonts w:ascii="Times New Roman" w:eastAsia="Times New Roman" w:hAnsi="Times New Roman" w:cs="Times New Roman" w:hint="default"/>
        <w:b/>
        <w:bCs/>
        <w:i w:val="0"/>
        <w:iCs w:val="0"/>
        <w:spacing w:val="0"/>
        <w:w w:val="100"/>
        <w:sz w:val="24"/>
        <w:szCs w:val="24"/>
        <w:lang w:val="en-US" w:eastAsia="en-US" w:bidi="ar-SA"/>
      </w:rPr>
    </w:lvl>
    <w:lvl w:ilvl="1" w:tplc="63CC191E">
      <w:numFmt w:val="bullet"/>
      <w:lvlText w:val="•"/>
      <w:lvlJc w:val="left"/>
      <w:pPr>
        <w:ind w:left="2018" w:hanging="720"/>
      </w:pPr>
      <w:rPr>
        <w:rFonts w:hint="default"/>
        <w:lang w:val="en-US" w:eastAsia="en-US" w:bidi="ar-SA"/>
      </w:rPr>
    </w:lvl>
    <w:lvl w:ilvl="2" w:tplc="DC72A646">
      <w:numFmt w:val="bullet"/>
      <w:lvlText w:val="•"/>
      <w:lvlJc w:val="left"/>
      <w:pPr>
        <w:ind w:left="2856" w:hanging="720"/>
      </w:pPr>
      <w:rPr>
        <w:rFonts w:hint="default"/>
        <w:lang w:val="en-US" w:eastAsia="en-US" w:bidi="ar-SA"/>
      </w:rPr>
    </w:lvl>
    <w:lvl w:ilvl="3" w:tplc="3508E4FE">
      <w:numFmt w:val="bullet"/>
      <w:lvlText w:val="•"/>
      <w:lvlJc w:val="left"/>
      <w:pPr>
        <w:ind w:left="3694" w:hanging="720"/>
      </w:pPr>
      <w:rPr>
        <w:rFonts w:hint="default"/>
        <w:lang w:val="en-US" w:eastAsia="en-US" w:bidi="ar-SA"/>
      </w:rPr>
    </w:lvl>
    <w:lvl w:ilvl="4" w:tplc="A2867DCE">
      <w:numFmt w:val="bullet"/>
      <w:lvlText w:val="•"/>
      <w:lvlJc w:val="left"/>
      <w:pPr>
        <w:ind w:left="4532" w:hanging="720"/>
      </w:pPr>
      <w:rPr>
        <w:rFonts w:hint="default"/>
        <w:lang w:val="en-US" w:eastAsia="en-US" w:bidi="ar-SA"/>
      </w:rPr>
    </w:lvl>
    <w:lvl w:ilvl="5" w:tplc="B2E0CDF0">
      <w:numFmt w:val="bullet"/>
      <w:lvlText w:val="•"/>
      <w:lvlJc w:val="left"/>
      <w:pPr>
        <w:ind w:left="5370" w:hanging="720"/>
      </w:pPr>
      <w:rPr>
        <w:rFonts w:hint="default"/>
        <w:lang w:val="en-US" w:eastAsia="en-US" w:bidi="ar-SA"/>
      </w:rPr>
    </w:lvl>
    <w:lvl w:ilvl="6" w:tplc="0B10BCC4">
      <w:numFmt w:val="bullet"/>
      <w:lvlText w:val="•"/>
      <w:lvlJc w:val="left"/>
      <w:pPr>
        <w:ind w:left="6208" w:hanging="720"/>
      </w:pPr>
      <w:rPr>
        <w:rFonts w:hint="default"/>
        <w:lang w:val="en-US" w:eastAsia="en-US" w:bidi="ar-SA"/>
      </w:rPr>
    </w:lvl>
    <w:lvl w:ilvl="7" w:tplc="36AA971C">
      <w:numFmt w:val="bullet"/>
      <w:lvlText w:val="•"/>
      <w:lvlJc w:val="left"/>
      <w:pPr>
        <w:ind w:left="7046" w:hanging="720"/>
      </w:pPr>
      <w:rPr>
        <w:rFonts w:hint="default"/>
        <w:lang w:val="en-US" w:eastAsia="en-US" w:bidi="ar-SA"/>
      </w:rPr>
    </w:lvl>
    <w:lvl w:ilvl="8" w:tplc="AC000490">
      <w:numFmt w:val="bullet"/>
      <w:lvlText w:val="•"/>
      <w:lvlJc w:val="left"/>
      <w:pPr>
        <w:ind w:left="7884" w:hanging="720"/>
      </w:pPr>
      <w:rPr>
        <w:rFonts w:hint="default"/>
        <w:lang w:val="en-US" w:eastAsia="en-US" w:bidi="ar-SA"/>
      </w:rPr>
    </w:lvl>
  </w:abstractNum>
  <w:abstractNum w:abstractNumId="2" w15:restartNumberingAfterBreak="0">
    <w:nsid w:val="13B9534A"/>
    <w:multiLevelType w:val="hybridMultilevel"/>
    <w:tmpl w:val="1BC0DD6E"/>
    <w:lvl w:ilvl="0" w:tplc="FFFFFFFF">
      <w:start w:val="1"/>
      <w:numFmt w:val="upperRoman"/>
      <w:lvlText w:val="%1."/>
      <w:lvlJc w:val="left"/>
      <w:pPr>
        <w:ind w:left="1181" w:hanging="72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2018" w:hanging="720"/>
      </w:pPr>
      <w:rPr>
        <w:rFonts w:hint="default"/>
        <w:lang w:val="en-US" w:eastAsia="en-US" w:bidi="ar-SA"/>
      </w:rPr>
    </w:lvl>
    <w:lvl w:ilvl="2" w:tplc="FFFFFFFF">
      <w:numFmt w:val="bullet"/>
      <w:lvlText w:val="•"/>
      <w:lvlJc w:val="left"/>
      <w:pPr>
        <w:ind w:left="2856" w:hanging="720"/>
      </w:pPr>
      <w:rPr>
        <w:rFonts w:hint="default"/>
        <w:lang w:val="en-US" w:eastAsia="en-US" w:bidi="ar-SA"/>
      </w:rPr>
    </w:lvl>
    <w:lvl w:ilvl="3" w:tplc="FFFFFFFF">
      <w:numFmt w:val="bullet"/>
      <w:lvlText w:val="•"/>
      <w:lvlJc w:val="left"/>
      <w:pPr>
        <w:ind w:left="3694" w:hanging="720"/>
      </w:pPr>
      <w:rPr>
        <w:rFonts w:hint="default"/>
        <w:lang w:val="en-US" w:eastAsia="en-US" w:bidi="ar-SA"/>
      </w:rPr>
    </w:lvl>
    <w:lvl w:ilvl="4" w:tplc="FFFFFFFF">
      <w:numFmt w:val="bullet"/>
      <w:lvlText w:val="•"/>
      <w:lvlJc w:val="left"/>
      <w:pPr>
        <w:ind w:left="4532" w:hanging="720"/>
      </w:pPr>
      <w:rPr>
        <w:rFonts w:hint="default"/>
        <w:lang w:val="en-US" w:eastAsia="en-US" w:bidi="ar-SA"/>
      </w:rPr>
    </w:lvl>
    <w:lvl w:ilvl="5" w:tplc="FFFFFFFF">
      <w:numFmt w:val="bullet"/>
      <w:lvlText w:val="•"/>
      <w:lvlJc w:val="left"/>
      <w:pPr>
        <w:ind w:left="5370" w:hanging="720"/>
      </w:pPr>
      <w:rPr>
        <w:rFonts w:hint="default"/>
        <w:lang w:val="en-US" w:eastAsia="en-US" w:bidi="ar-SA"/>
      </w:rPr>
    </w:lvl>
    <w:lvl w:ilvl="6" w:tplc="FFFFFFFF">
      <w:numFmt w:val="bullet"/>
      <w:lvlText w:val="•"/>
      <w:lvlJc w:val="left"/>
      <w:pPr>
        <w:ind w:left="6208" w:hanging="720"/>
      </w:pPr>
      <w:rPr>
        <w:rFonts w:hint="default"/>
        <w:lang w:val="en-US" w:eastAsia="en-US" w:bidi="ar-SA"/>
      </w:rPr>
    </w:lvl>
    <w:lvl w:ilvl="7" w:tplc="FFFFFFFF">
      <w:numFmt w:val="bullet"/>
      <w:lvlText w:val="•"/>
      <w:lvlJc w:val="left"/>
      <w:pPr>
        <w:ind w:left="7046" w:hanging="720"/>
      </w:pPr>
      <w:rPr>
        <w:rFonts w:hint="default"/>
        <w:lang w:val="en-US" w:eastAsia="en-US" w:bidi="ar-SA"/>
      </w:rPr>
    </w:lvl>
    <w:lvl w:ilvl="8" w:tplc="FFFFFFFF">
      <w:numFmt w:val="bullet"/>
      <w:lvlText w:val="•"/>
      <w:lvlJc w:val="left"/>
      <w:pPr>
        <w:ind w:left="7884" w:hanging="720"/>
      </w:pPr>
      <w:rPr>
        <w:rFonts w:hint="default"/>
        <w:lang w:val="en-US" w:eastAsia="en-US" w:bidi="ar-SA"/>
      </w:rPr>
    </w:lvl>
  </w:abstractNum>
  <w:abstractNum w:abstractNumId="3" w15:restartNumberingAfterBreak="0">
    <w:nsid w:val="425C7988"/>
    <w:multiLevelType w:val="hybridMultilevel"/>
    <w:tmpl w:val="D4241726"/>
    <w:lvl w:ilvl="0" w:tplc="8A88FC0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012A3"/>
    <w:multiLevelType w:val="hybridMultilevel"/>
    <w:tmpl w:val="497A43B8"/>
    <w:lvl w:ilvl="0" w:tplc="FFFFFFFF">
      <w:start w:val="1"/>
      <w:numFmt w:val="decimal"/>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5" w15:restartNumberingAfterBreak="0">
    <w:nsid w:val="54DB1E28"/>
    <w:multiLevelType w:val="hybridMultilevel"/>
    <w:tmpl w:val="5702575E"/>
    <w:lvl w:ilvl="0" w:tplc="05946000">
      <w:start w:val="1"/>
      <w:numFmt w:val="upperRoman"/>
      <w:lvlText w:val="%1."/>
      <w:lvlJc w:val="left"/>
      <w:pPr>
        <w:ind w:left="1080" w:hanging="720"/>
      </w:pPr>
      <w:rPr>
        <w:rFonts w:hint="default"/>
      </w:rPr>
    </w:lvl>
    <w:lvl w:ilvl="1" w:tplc="31724790">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66EAB"/>
    <w:multiLevelType w:val="hybridMultilevel"/>
    <w:tmpl w:val="D13227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AC5781"/>
    <w:multiLevelType w:val="hybridMultilevel"/>
    <w:tmpl w:val="9EFEE0FC"/>
    <w:lvl w:ilvl="0" w:tplc="88BE5EF0">
      <w:start w:val="1"/>
      <w:numFmt w:val="upperRoman"/>
      <w:lvlText w:val="%1&gt;"/>
      <w:lvlJc w:val="left"/>
      <w:pPr>
        <w:ind w:left="1440" w:hanging="720"/>
      </w:pPr>
      <w:rPr>
        <w:rFonts w:hint="default"/>
        <w:b/>
        <w:sz w:val="16"/>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00935"/>
    <w:multiLevelType w:val="hybridMultilevel"/>
    <w:tmpl w:val="1C5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30F64"/>
    <w:multiLevelType w:val="hybridMultilevel"/>
    <w:tmpl w:val="497A43B8"/>
    <w:lvl w:ilvl="0" w:tplc="FFFFFFFF">
      <w:start w:val="1"/>
      <w:numFmt w:val="decimal"/>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0" w15:restartNumberingAfterBreak="0">
    <w:nsid w:val="7E461BD8"/>
    <w:multiLevelType w:val="hybridMultilevel"/>
    <w:tmpl w:val="497A43B8"/>
    <w:lvl w:ilvl="0" w:tplc="45146C9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7F8F71B5"/>
    <w:multiLevelType w:val="hybridMultilevel"/>
    <w:tmpl w:val="3A10F3F6"/>
    <w:lvl w:ilvl="0" w:tplc="C552962A">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1237864577">
    <w:abstractNumId w:val="1"/>
  </w:num>
  <w:num w:numId="2" w16cid:durableId="896086193">
    <w:abstractNumId w:val="10"/>
  </w:num>
  <w:num w:numId="3" w16cid:durableId="1326934612">
    <w:abstractNumId w:val="11"/>
  </w:num>
  <w:num w:numId="4" w16cid:durableId="147325174">
    <w:abstractNumId w:val="2"/>
  </w:num>
  <w:num w:numId="5" w16cid:durableId="590552193">
    <w:abstractNumId w:val="9"/>
  </w:num>
  <w:num w:numId="6" w16cid:durableId="1937210326">
    <w:abstractNumId w:val="8"/>
  </w:num>
  <w:num w:numId="7" w16cid:durableId="1368795960">
    <w:abstractNumId w:val="3"/>
  </w:num>
  <w:num w:numId="8" w16cid:durableId="697007081">
    <w:abstractNumId w:val="4"/>
  </w:num>
  <w:num w:numId="9" w16cid:durableId="1964190695">
    <w:abstractNumId w:val="0"/>
  </w:num>
  <w:num w:numId="10" w16cid:durableId="791482393">
    <w:abstractNumId w:val="7"/>
  </w:num>
  <w:num w:numId="11" w16cid:durableId="1628271039">
    <w:abstractNumId w:val="5"/>
  </w:num>
  <w:num w:numId="12" w16cid:durableId="22825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04"/>
    <w:rsid w:val="00000087"/>
    <w:rsid w:val="00000D1E"/>
    <w:rsid w:val="0000105F"/>
    <w:rsid w:val="000011CC"/>
    <w:rsid w:val="00002F84"/>
    <w:rsid w:val="000034C9"/>
    <w:rsid w:val="00003828"/>
    <w:rsid w:val="00003943"/>
    <w:rsid w:val="00003A9D"/>
    <w:rsid w:val="0000426B"/>
    <w:rsid w:val="00004433"/>
    <w:rsid w:val="000050FE"/>
    <w:rsid w:val="0000565B"/>
    <w:rsid w:val="00005B01"/>
    <w:rsid w:val="00006056"/>
    <w:rsid w:val="00006997"/>
    <w:rsid w:val="00006D5B"/>
    <w:rsid w:val="00007156"/>
    <w:rsid w:val="00007511"/>
    <w:rsid w:val="00007FDB"/>
    <w:rsid w:val="0001051C"/>
    <w:rsid w:val="00010785"/>
    <w:rsid w:val="000108E0"/>
    <w:rsid w:val="00010A5B"/>
    <w:rsid w:val="00010D26"/>
    <w:rsid w:val="0001177C"/>
    <w:rsid w:val="00012F31"/>
    <w:rsid w:val="000132D1"/>
    <w:rsid w:val="0001342B"/>
    <w:rsid w:val="00013441"/>
    <w:rsid w:val="000138C5"/>
    <w:rsid w:val="0001421B"/>
    <w:rsid w:val="0001459C"/>
    <w:rsid w:val="000156F7"/>
    <w:rsid w:val="00015A4C"/>
    <w:rsid w:val="00015BCF"/>
    <w:rsid w:val="000165D0"/>
    <w:rsid w:val="00017035"/>
    <w:rsid w:val="0001744F"/>
    <w:rsid w:val="000174DE"/>
    <w:rsid w:val="00017AE9"/>
    <w:rsid w:val="00020559"/>
    <w:rsid w:val="00020761"/>
    <w:rsid w:val="000209BD"/>
    <w:rsid w:val="00020FAD"/>
    <w:rsid w:val="0002218A"/>
    <w:rsid w:val="00022464"/>
    <w:rsid w:val="00022C62"/>
    <w:rsid w:val="00022FDC"/>
    <w:rsid w:val="00023C1A"/>
    <w:rsid w:val="00023D5A"/>
    <w:rsid w:val="00023DB8"/>
    <w:rsid w:val="0002428C"/>
    <w:rsid w:val="000244C6"/>
    <w:rsid w:val="0002583D"/>
    <w:rsid w:val="00026B75"/>
    <w:rsid w:val="00026F7D"/>
    <w:rsid w:val="00027440"/>
    <w:rsid w:val="00027707"/>
    <w:rsid w:val="000300A6"/>
    <w:rsid w:val="00030780"/>
    <w:rsid w:val="000307E3"/>
    <w:rsid w:val="0003098C"/>
    <w:rsid w:val="00031094"/>
    <w:rsid w:val="00031334"/>
    <w:rsid w:val="00031A35"/>
    <w:rsid w:val="000327D2"/>
    <w:rsid w:val="00032B12"/>
    <w:rsid w:val="00032F09"/>
    <w:rsid w:val="00034882"/>
    <w:rsid w:val="000356B8"/>
    <w:rsid w:val="00035E7A"/>
    <w:rsid w:val="000372E7"/>
    <w:rsid w:val="00040135"/>
    <w:rsid w:val="00040277"/>
    <w:rsid w:val="000407CB"/>
    <w:rsid w:val="00040CAE"/>
    <w:rsid w:val="0004238A"/>
    <w:rsid w:val="000432E7"/>
    <w:rsid w:val="0004362D"/>
    <w:rsid w:val="00043F8F"/>
    <w:rsid w:val="00044C75"/>
    <w:rsid w:val="00044FEE"/>
    <w:rsid w:val="0004579A"/>
    <w:rsid w:val="00046250"/>
    <w:rsid w:val="000464AE"/>
    <w:rsid w:val="0004762D"/>
    <w:rsid w:val="000478A5"/>
    <w:rsid w:val="000505F7"/>
    <w:rsid w:val="00050B46"/>
    <w:rsid w:val="00050B60"/>
    <w:rsid w:val="00050C0D"/>
    <w:rsid w:val="000528CC"/>
    <w:rsid w:val="00052FCE"/>
    <w:rsid w:val="000538F9"/>
    <w:rsid w:val="00053C7A"/>
    <w:rsid w:val="00053E7D"/>
    <w:rsid w:val="00054696"/>
    <w:rsid w:val="00054ABC"/>
    <w:rsid w:val="000560B2"/>
    <w:rsid w:val="000568B2"/>
    <w:rsid w:val="00056B3E"/>
    <w:rsid w:val="00056FBA"/>
    <w:rsid w:val="0005712F"/>
    <w:rsid w:val="0005723C"/>
    <w:rsid w:val="0005724A"/>
    <w:rsid w:val="0005767C"/>
    <w:rsid w:val="000578CE"/>
    <w:rsid w:val="00060747"/>
    <w:rsid w:val="00060CE8"/>
    <w:rsid w:val="00062ACC"/>
    <w:rsid w:val="00063077"/>
    <w:rsid w:val="000641BC"/>
    <w:rsid w:val="000646E9"/>
    <w:rsid w:val="000663FF"/>
    <w:rsid w:val="00066EF1"/>
    <w:rsid w:val="000672D2"/>
    <w:rsid w:val="000676CB"/>
    <w:rsid w:val="0006792E"/>
    <w:rsid w:val="00067D46"/>
    <w:rsid w:val="00070428"/>
    <w:rsid w:val="00070958"/>
    <w:rsid w:val="000714E3"/>
    <w:rsid w:val="000731F0"/>
    <w:rsid w:val="000741B7"/>
    <w:rsid w:val="00074A30"/>
    <w:rsid w:val="000756D8"/>
    <w:rsid w:val="000757CC"/>
    <w:rsid w:val="00075844"/>
    <w:rsid w:val="00076278"/>
    <w:rsid w:val="000767B5"/>
    <w:rsid w:val="00077C72"/>
    <w:rsid w:val="00080025"/>
    <w:rsid w:val="0008023E"/>
    <w:rsid w:val="000804BC"/>
    <w:rsid w:val="00080D89"/>
    <w:rsid w:val="00080E6A"/>
    <w:rsid w:val="00080FA8"/>
    <w:rsid w:val="00081366"/>
    <w:rsid w:val="00081B4F"/>
    <w:rsid w:val="000823F3"/>
    <w:rsid w:val="00082A4F"/>
    <w:rsid w:val="00082AEF"/>
    <w:rsid w:val="000831D8"/>
    <w:rsid w:val="00083F5A"/>
    <w:rsid w:val="000848C0"/>
    <w:rsid w:val="000850CA"/>
    <w:rsid w:val="00085204"/>
    <w:rsid w:val="00085407"/>
    <w:rsid w:val="0008568E"/>
    <w:rsid w:val="000858E4"/>
    <w:rsid w:val="00086869"/>
    <w:rsid w:val="00086F8B"/>
    <w:rsid w:val="000913B2"/>
    <w:rsid w:val="0009146C"/>
    <w:rsid w:val="00093D5C"/>
    <w:rsid w:val="00094092"/>
    <w:rsid w:val="0009526A"/>
    <w:rsid w:val="000960A5"/>
    <w:rsid w:val="00096772"/>
    <w:rsid w:val="000968AC"/>
    <w:rsid w:val="00096C2D"/>
    <w:rsid w:val="00096D72"/>
    <w:rsid w:val="00096F38"/>
    <w:rsid w:val="000974C4"/>
    <w:rsid w:val="000974E4"/>
    <w:rsid w:val="00097555"/>
    <w:rsid w:val="000A0223"/>
    <w:rsid w:val="000A0CA5"/>
    <w:rsid w:val="000A17F7"/>
    <w:rsid w:val="000A1CC7"/>
    <w:rsid w:val="000A24D7"/>
    <w:rsid w:val="000A2E8C"/>
    <w:rsid w:val="000A313B"/>
    <w:rsid w:val="000A3336"/>
    <w:rsid w:val="000A3BAF"/>
    <w:rsid w:val="000A3F41"/>
    <w:rsid w:val="000A488E"/>
    <w:rsid w:val="000A4932"/>
    <w:rsid w:val="000A5458"/>
    <w:rsid w:val="000A5713"/>
    <w:rsid w:val="000A58C6"/>
    <w:rsid w:val="000A73EB"/>
    <w:rsid w:val="000B0119"/>
    <w:rsid w:val="000B073F"/>
    <w:rsid w:val="000B1BB4"/>
    <w:rsid w:val="000B1DB2"/>
    <w:rsid w:val="000B2DE1"/>
    <w:rsid w:val="000B3EB9"/>
    <w:rsid w:val="000B4B7A"/>
    <w:rsid w:val="000B4C05"/>
    <w:rsid w:val="000B54F6"/>
    <w:rsid w:val="000B5E00"/>
    <w:rsid w:val="000B6985"/>
    <w:rsid w:val="000B7054"/>
    <w:rsid w:val="000B75B1"/>
    <w:rsid w:val="000B7B95"/>
    <w:rsid w:val="000C0135"/>
    <w:rsid w:val="000C01DB"/>
    <w:rsid w:val="000C01E0"/>
    <w:rsid w:val="000C061E"/>
    <w:rsid w:val="000C1427"/>
    <w:rsid w:val="000C17E2"/>
    <w:rsid w:val="000C1862"/>
    <w:rsid w:val="000C25B9"/>
    <w:rsid w:val="000C282C"/>
    <w:rsid w:val="000C2F3A"/>
    <w:rsid w:val="000C317F"/>
    <w:rsid w:val="000C4893"/>
    <w:rsid w:val="000C5113"/>
    <w:rsid w:val="000C56B7"/>
    <w:rsid w:val="000C679C"/>
    <w:rsid w:val="000C6F6C"/>
    <w:rsid w:val="000C7035"/>
    <w:rsid w:val="000C70CE"/>
    <w:rsid w:val="000C73A8"/>
    <w:rsid w:val="000C76E7"/>
    <w:rsid w:val="000C7AAA"/>
    <w:rsid w:val="000D0017"/>
    <w:rsid w:val="000D00F4"/>
    <w:rsid w:val="000D0B87"/>
    <w:rsid w:val="000D22D7"/>
    <w:rsid w:val="000D2826"/>
    <w:rsid w:val="000D4CB4"/>
    <w:rsid w:val="000D5954"/>
    <w:rsid w:val="000D59C2"/>
    <w:rsid w:val="000D5A49"/>
    <w:rsid w:val="000D5CF1"/>
    <w:rsid w:val="000D6732"/>
    <w:rsid w:val="000D6A6D"/>
    <w:rsid w:val="000D6D34"/>
    <w:rsid w:val="000D72BF"/>
    <w:rsid w:val="000D72E3"/>
    <w:rsid w:val="000D73EE"/>
    <w:rsid w:val="000E032A"/>
    <w:rsid w:val="000E1276"/>
    <w:rsid w:val="000E1421"/>
    <w:rsid w:val="000E1869"/>
    <w:rsid w:val="000E2169"/>
    <w:rsid w:val="000E226E"/>
    <w:rsid w:val="000E2D8B"/>
    <w:rsid w:val="000E3B76"/>
    <w:rsid w:val="000E4325"/>
    <w:rsid w:val="000E5463"/>
    <w:rsid w:val="000E54FC"/>
    <w:rsid w:val="000E56EB"/>
    <w:rsid w:val="000E5B74"/>
    <w:rsid w:val="000E5CD8"/>
    <w:rsid w:val="000F1614"/>
    <w:rsid w:val="000F23B1"/>
    <w:rsid w:val="000F2B1E"/>
    <w:rsid w:val="000F3803"/>
    <w:rsid w:val="000F4EB5"/>
    <w:rsid w:val="000F4FB5"/>
    <w:rsid w:val="000F4FDA"/>
    <w:rsid w:val="000F54B0"/>
    <w:rsid w:val="000F6609"/>
    <w:rsid w:val="000F6658"/>
    <w:rsid w:val="000F6887"/>
    <w:rsid w:val="000F6D82"/>
    <w:rsid w:val="000F7CAB"/>
    <w:rsid w:val="00100C53"/>
    <w:rsid w:val="0010129E"/>
    <w:rsid w:val="001016D4"/>
    <w:rsid w:val="00101CBF"/>
    <w:rsid w:val="001024A0"/>
    <w:rsid w:val="00102644"/>
    <w:rsid w:val="00102BD9"/>
    <w:rsid w:val="00103438"/>
    <w:rsid w:val="00104021"/>
    <w:rsid w:val="001040B3"/>
    <w:rsid w:val="001042CD"/>
    <w:rsid w:val="001042FC"/>
    <w:rsid w:val="00104456"/>
    <w:rsid w:val="0010453C"/>
    <w:rsid w:val="00104C36"/>
    <w:rsid w:val="00105199"/>
    <w:rsid w:val="00105690"/>
    <w:rsid w:val="00106488"/>
    <w:rsid w:val="00107BE9"/>
    <w:rsid w:val="00107E45"/>
    <w:rsid w:val="0011114E"/>
    <w:rsid w:val="00113158"/>
    <w:rsid w:val="00113A03"/>
    <w:rsid w:val="00113F6F"/>
    <w:rsid w:val="00114957"/>
    <w:rsid w:val="00115A61"/>
    <w:rsid w:val="00115BA7"/>
    <w:rsid w:val="00115BE6"/>
    <w:rsid w:val="00115ED1"/>
    <w:rsid w:val="0011632E"/>
    <w:rsid w:val="00116589"/>
    <w:rsid w:val="001167C2"/>
    <w:rsid w:val="00116A3C"/>
    <w:rsid w:val="00116C80"/>
    <w:rsid w:val="00117F0F"/>
    <w:rsid w:val="001216FF"/>
    <w:rsid w:val="00122133"/>
    <w:rsid w:val="00122E85"/>
    <w:rsid w:val="00124400"/>
    <w:rsid w:val="001253EA"/>
    <w:rsid w:val="001255D6"/>
    <w:rsid w:val="00126364"/>
    <w:rsid w:val="0013027F"/>
    <w:rsid w:val="00130316"/>
    <w:rsid w:val="00130415"/>
    <w:rsid w:val="001305F0"/>
    <w:rsid w:val="0013131C"/>
    <w:rsid w:val="00131651"/>
    <w:rsid w:val="00131833"/>
    <w:rsid w:val="00132165"/>
    <w:rsid w:val="001326AD"/>
    <w:rsid w:val="00132E44"/>
    <w:rsid w:val="001334BC"/>
    <w:rsid w:val="00134582"/>
    <w:rsid w:val="001354A8"/>
    <w:rsid w:val="001357B5"/>
    <w:rsid w:val="00136006"/>
    <w:rsid w:val="00136118"/>
    <w:rsid w:val="00137200"/>
    <w:rsid w:val="0013776C"/>
    <w:rsid w:val="00137E74"/>
    <w:rsid w:val="00141373"/>
    <w:rsid w:val="0014155F"/>
    <w:rsid w:val="00141BB7"/>
    <w:rsid w:val="00142008"/>
    <w:rsid w:val="00142C54"/>
    <w:rsid w:val="001451CE"/>
    <w:rsid w:val="0014559A"/>
    <w:rsid w:val="0014565C"/>
    <w:rsid w:val="001466E1"/>
    <w:rsid w:val="00146A43"/>
    <w:rsid w:val="00146A73"/>
    <w:rsid w:val="00146D4F"/>
    <w:rsid w:val="0014721D"/>
    <w:rsid w:val="00147677"/>
    <w:rsid w:val="0015094E"/>
    <w:rsid w:val="00150A7A"/>
    <w:rsid w:val="00150ED8"/>
    <w:rsid w:val="0015182C"/>
    <w:rsid w:val="00151AD1"/>
    <w:rsid w:val="00152059"/>
    <w:rsid w:val="001525A3"/>
    <w:rsid w:val="00152E19"/>
    <w:rsid w:val="00153104"/>
    <w:rsid w:val="001535E5"/>
    <w:rsid w:val="00154095"/>
    <w:rsid w:val="001545E2"/>
    <w:rsid w:val="0015499E"/>
    <w:rsid w:val="00155EF5"/>
    <w:rsid w:val="00157023"/>
    <w:rsid w:val="001576DB"/>
    <w:rsid w:val="0016143E"/>
    <w:rsid w:val="001620C2"/>
    <w:rsid w:val="001638F7"/>
    <w:rsid w:val="0016420B"/>
    <w:rsid w:val="001647D6"/>
    <w:rsid w:val="0016481A"/>
    <w:rsid w:val="00165D36"/>
    <w:rsid w:val="001662C7"/>
    <w:rsid w:val="0016680A"/>
    <w:rsid w:val="00166DCD"/>
    <w:rsid w:val="00166F87"/>
    <w:rsid w:val="001679D9"/>
    <w:rsid w:val="00167C9C"/>
    <w:rsid w:val="00170BDC"/>
    <w:rsid w:val="0017119B"/>
    <w:rsid w:val="00171941"/>
    <w:rsid w:val="00172262"/>
    <w:rsid w:val="0017251E"/>
    <w:rsid w:val="00173050"/>
    <w:rsid w:val="00175459"/>
    <w:rsid w:val="00175FF4"/>
    <w:rsid w:val="001763C2"/>
    <w:rsid w:val="001765AF"/>
    <w:rsid w:val="00176FD2"/>
    <w:rsid w:val="001772A2"/>
    <w:rsid w:val="00177532"/>
    <w:rsid w:val="00177C4E"/>
    <w:rsid w:val="00180047"/>
    <w:rsid w:val="0018070E"/>
    <w:rsid w:val="001808FE"/>
    <w:rsid w:val="00180CE2"/>
    <w:rsid w:val="001815C7"/>
    <w:rsid w:val="0018296D"/>
    <w:rsid w:val="00182F8B"/>
    <w:rsid w:val="001832F9"/>
    <w:rsid w:val="00183705"/>
    <w:rsid w:val="0018372D"/>
    <w:rsid w:val="0018461C"/>
    <w:rsid w:val="00184F8F"/>
    <w:rsid w:val="00185833"/>
    <w:rsid w:val="001864CF"/>
    <w:rsid w:val="001865D0"/>
    <w:rsid w:val="00186CDA"/>
    <w:rsid w:val="00187295"/>
    <w:rsid w:val="0018759F"/>
    <w:rsid w:val="00187600"/>
    <w:rsid w:val="00187C71"/>
    <w:rsid w:val="00190430"/>
    <w:rsid w:val="00190968"/>
    <w:rsid w:val="00190D47"/>
    <w:rsid w:val="00190FA9"/>
    <w:rsid w:val="00191700"/>
    <w:rsid w:val="00191B31"/>
    <w:rsid w:val="00192171"/>
    <w:rsid w:val="0019221A"/>
    <w:rsid w:val="00192433"/>
    <w:rsid w:val="001940F1"/>
    <w:rsid w:val="0019420A"/>
    <w:rsid w:val="001946A2"/>
    <w:rsid w:val="00194B7D"/>
    <w:rsid w:val="001967A9"/>
    <w:rsid w:val="00196D06"/>
    <w:rsid w:val="001974C3"/>
    <w:rsid w:val="00197679"/>
    <w:rsid w:val="001A0B04"/>
    <w:rsid w:val="001A0C6A"/>
    <w:rsid w:val="001A0FC8"/>
    <w:rsid w:val="001A102C"/>
    <w:rsid w:val="001A19D8"/>
    <w:rsid w:val="001A1ABA"/>
    <w:rsid w:val="001A2963"/>
    <w:rsid w:val="001A309F"/>
    <w:rsid w:val="001A3272"/>
    <w:rsid w:val="001A3855"/>
    <w:rsid w:val="001A4281"/>
    <w:rsid w:val="001A48AA"/>
    <w:rsid w:val="001A4A46"/>
    <w:rsid w:val="001A4B99"/>
    <w:rsid w:val="001A4F51"/>
    <w:rsid w:val="001A54A8"/>
    <w:rsid w:val="001A67BA"/>
    <w:rsid w:val="001A6A6A"/>
    <w:rsid w:val="001A6B76"/>
    <w:rsid w:val="001A6F14"/>
    <w:rsid w:val="001B0A06"/>
    <w:rsid w:val="001B1383"/>
    <w:rsid w:val="001B1ED0"/>
    <w:rsid w:val="001B2119"/>
    <w:rsid w:val="001B211B"/>
    <w:rsid w:val="001B3B72"/>
    <w:rsid w:val="001B50C7"/>
    <w:rsid w:val="001B5388"/>
    <w:rsid w:val="001B582C"/>
    <w:rsid w:val="001B5BAD"/>
    <w:rsid w:val="001B7F8C"/>
    <w:rsid w:val="001B7FE4"/>
    <w:rsid w:val="001C06C2"/>
    <w:rsid w:val="001C0CD9"/>
    <w:rsid w:val="001C1B28"/>
    <w:rsid w:val="001C1CF5"/>
    <w:rsid w:val="001C265B"/>
    <w:rsid w:val="001C2854"/>
    <w:rsid w:val="001C2D09"/>
    <w:rsid w:val="001C360F"/>
    <w:rsid w:val="001C365D"/>
    <w:rsid w:val="001C3665"/>
    <w:rsid w:val="001C4BB9"/>
    <w:rsid w:val="001C4F46"/>
    <w:rsid w:val="001C56E7"/>
    <w:rsid w:val="001C6936"/>
    <w:rsid w:val="001C6BA2"/>
    <w:rsid w:val="001C73F9"/>
    <w:rsid w:val="001C79B3"/>
    <w:rsid w:val="001D0669"/>
    <w:rsid w:val="001D2921"/>
    <w:rsid w:val="001D3CE9"/>
    <w:rsid w:val="001D408A"/>
    <w:rsid w:val="001D4844"/>
    <w:rsid w:val="001D52EE"/>
    <w:rsid w:val="001D5F44"/>
    <w:rsid w:val="001D6233"/>
    <w:rsid w:val="001D687D"/>
    <w:rsid w:val="001D6BAA"/>
    <w:rsid w:val="001D6F78"/>
    <w:rsid w:val="001E037B"/>
    <w:rsid w:val="001E0B2C"/>
    <w:rsid w:val="001E0B82"/>
    <w:rsid w:val="001E141A"/>
    <w:rsid w:val="001E2698"/>
    <w:rsid w:val="001E2B12"/>
    <w:rsid w:val="001E311D"/>
    <w:rsid w:val="001E428C"/>
    <w:rsid w:val="001E5993"/>
    <w:rsid w:val="001E5ABD"/>
    <w:rsid w:val="001E63AE"/>
    <w:rsid w:val="001E672E"/>
    <w:rsid w:val="001E6E86"/>
    <w:rsid w:val="001E7413"/>
    <w:rsid w:val="001E7D6E"/>
    <w:rsid w:val="001E7E8A"/>
    <w:rsid w:val="001E7F01"/>
    <w:rsid w:val="001F0060"/>
    <w:rsid w:val="001F015D"/>
    <w:rsid w:val="001F024E"/>
    <w:rsid w:val="001F188A"/>
    <w:rsid w:val="001F2396"/>
    <w:rsid w:val="001F25E0"/>
    <w:rsid w:val="001F2B20"/>
    <w:rsid w:val="001F2C8E"/>
    <w:rsid w:val="001F4BF5"/>
    <w:rsid w:val="001F4E44"/>
    <w:rsid w:val="001F61A1"/>
    <w:rsid w:val="001F63ED"/>
    <w:rsid w:val="001F68D9"/>
    <w:rsid w:val="001F730B"/>
    <w:rsid w:val="0020020F"/>
    <w:rsid w:val="0020176E"/>
    <w:rsid w:val="00201F92"/>
    <w:rsid w:val="00202319"/>
    <w:rsid w:val="0020237D"/>
    <w:rsid w:val="00203D72"/>
    <w:rsid w:val="00204064"/>
    <w:rsid w:val="00204B9F"/>
    <w:rsid w:val="00204FF4"/>
    <w:rsid w:val="0020599C"/>
    <w:rsid w:val="00205F4A"/>
    <w:rsid w:val="00207A8D"/>
    <w:rsid w:val="00210626"/>
    <w:rsid w:val="00210CC8"/>
    <w:rsid w:val="00210D6A"/>
    <w:rsid w:val="00211E31"/>
    <w:rsid w:val="0021329C"/>
    <w:rsid w:val="00213E1E"/>
    <w:rsid w:val="002153DF"/>
    <w:rsid w:val="00215908"/>
    <w:rsid w:val="002168E6"/>
    <w:rsid w:val="00216A9F"/>
    <w:rsid w:val="00216C6C"/>
    <w:rsid w:val="00217144"/>
    <w:rsid w:val="0021741F"/>
    <w:rsid w:val="0022063E"/>
    <w:rsid w:val="002206B9"/>
    <w:rsid w:val="00220B54"/>
    <w:rsid w:val="00220BA9"/>
    <w:rsid w:val="002218BF"/>
    <w:rsid w:val="00221BA7"/>
    <w:rsid w:val="00222E56"/>
    <w:rsid w:val="002243C0"/>
    <w:rsid w:val="00224FE1"/>
    <w:rsid w:val="0022547D"/>
    <w:rsid w:val="002255E5"/>
    <w:rsid w:val="00225FF4"/>
    <w:rsid w:val="00226471"/>
    <w:rsid w:val="002265D1"/>
    <w:rsid w:val="00226BAC"/>
    <w:rsid w:val="0022769B"/>
    <w:rsid w:val="00227A2B"/>
    <w:rsid w:val="00230264"/>
    <w:rsid w:val="0023072F"/>
    <w:rsid w:val="00231D34"/>
    <w:rsid w:val="00232337"/>
    <w:rsid w:val="002329B6"/>
    <w:rsid w:val="00234777"/>
    <w:rsid w:val="00234D6B"/>
    <w:rsid w:val="00234DD3"/>
    <w:rsid w:val="00234F21"/>
    <w:rsid w:val="002357F3"/>
    <w:rsid w:val="00235997"/>
    <w:rsid w:val="00237121"/>
    <w:rsid w:val="002403D5"/>
    <w:rsid w:val="002406E6"/>
    <w:rsid w:val="002407E7"/>
    <w:rsid w:val="00240D1B"/>
    <w:rsid w:val="00241443"/>
    <w:rsid w:val="00241CEB"/>
    <w:rsid w:val="00241F49"/>
    <w:rsid w:val="002425F6"/>
    <w:rsid w:val="002425FB"/>
    <w:rsid w:val="00242E5B"/>
    <w:rsid w:val="00244203"/>
    <w:rsid w:val="002448AE"/>
    <w:rsid w:val="002455D6"/>
    <w:rsid w:val="00245E44"/>
    <w:rsid w:val="0024674B"/>
    <w:rsid w:val="00246B76"/>
    <w:rsid w:val="00247F00"/>
    <w:rsid w:val="002508F7"/>
    <w:rsid w:val="0025109F"/>
    <w:rsid w:val="002510DC"/>
    <w:rsid w:val="002511B1"/>
    <w:rsid w:val="00251BF9"/>
    <w:rsid w:val="00251F53"/>
    <w:rsid w:val="0025211E"/>
    <w:rsid w:val="00252D99"/>
    <w:rsid w:val="00253C2E"/>
    <w:rsid w:val="00254306"/>
    <w:rsid w:val="00254307"/>
    <w:rsid w:val="00256655"/>
    <w:rsid w:val="002566E5"/>
    <w:rsid w:val="00256A2D"/>
    <w:rsid w:val="0025769B"/>
    <w:rsid w:val="002603B3"/>
    <w:rsid w:val="00260709"/>
    <w:rsid w:val="00261C83"/>
    <w:rsid w:val="002620F9"/>
    <w:rsid w:val="00262898"/>
    <w:rsid w:val="002628C9"/>
    <w:rsid w:val="002635AA"/>
    <w:rsid w:val="002646CF"/>
    <w:rsid w:val="00264853"/>
    <w:rsid w:val="00264E98"/>
    <w:rsid w:val="00266749"/>
    <w:rsid w:val="0026783C"/>
    <w:rsid w:val="0026796D"/>
    <w:rsid w:val="00270EDE"/>
    <w:rsid w:val="0027160E"/>
    <w:rsid w:val="00272602"/>
    <w:rsid w:val="00273A40"/>
    <w:rsid w:val="00274076"/>
    <w:rsid w:val="0027407C"/>
    <w:rsid w:val="00274706"/>
    <w:rsid w:val="00275207"/>
    <w:rsid w:val="00275A58"/>
    <w:rsid w:val="00275B15"/>
    <w:rsid w:val="00275E36"/>
    <w:rsid w:val="00277692"/>
    <w:rsid w:val="00277BEE"/>
    <w:rsid w:val="00277CDC"/>
    <w:rsid w:val="00280193"/>
    <w:rsid w:val="002804B1"/>
    <w:rsid w:val="00280B83"/>
    <w:rsid w:val="0028169B"/>
    <w:rsid w:val="00281EFA"/>
    <w:rsid w:val="00282456"/>
    <w:rsid w:val="002844F7"/>
    <w:rsid w:val="0028499F"/>
    <w:rsid w:val="00285564"/>
    <w:rsid w:val="002855E9"/>
    <w:rsid w:val="00285788"/>
    <w:rsid w:val="002859FB"/>
    <w:rsid w:val="00285C75"/>
    <w:rsid w:val="00285F43"/>
    <w:rsid w:val="00286038"/>
    <w:rsid w:val="002868C6"/>
    <w:rsid w:val="00286B1F"/>
    <w:rsid w:val="00286F68"/>
    <w:rsid w:val="002876E4"/>
    <w:rsid w:val="0029048A"/>
    <w:rsid w:val="00290973"/>
    <w:rsid w:val="00290DE5"/>
    <w:rsid w:val="00290FEC"/>
    <w:rsid w:val="002910FD"/>
    <w:rsid w:val="00291288"/>
    <w:rsid w:val="00291412"/>
    <w:rsid w:val="002914DE"/>
    <w:rsid w:val="002920C3"/>
    <w:rsid w:val="0029261D"/>
    <w:rsid w:val="00294206"/>
    <w:rsid w:val="00295397"/>
    <w:rsid w:val="00295B33"/>
    <w:rsid w:val="00296DB2"/>
    <w:rsid w:val="00297B09"/>
    <w:rsid w:val="002A029E"/>
    <w:rsid w:val="002A0D17"/>
    <w:rsid w:val="002A0D52"/>
    <w:rsid w:val="002A1581"/>
    <w:rsid w:val="002A17DF"/>
    <w:rsid w:val="002A1891"/>
    <w:rsid w:val="002A1B0E"/>
    <w:rsid w:val="002A1E6E"/>
    <w:rsid w:val="002A1FEB"/>
    <w:rsid w:val="002A21EC"/>
    <w:rsid w:val="002A2959"/>
    <w:rsid w:val="002A2C9D"/>
    <w:rsid w:val="002A393C"/>
    <w:rsid w:val="002A40EA"/>
    <w:rsid w:val="002A46CA"/>
    <w:rsid w:val="002A5E72"/>
    <w:rsid w:val="002A60DE"/>
    <w:rsid w:val="002A65E2"/>
    <w:rsid w:val="002A6E5A"/>
    <w:rsid w:val="002B083E"/>
    <w:rsid w:val="002B17C3"/>
    <w:rsid w:val="002B1DE6"/>
    <w:rsid w:val="002B1FA4"/>
    <w:rsid w:val="002B275A"/>
    <w:rsid w:val="002B3EA1"/>
    <w:rsid w:val="002B5349"/>
    <w:rsid w:val="002B5705"/>
    <w:rsid w:val="002B614F"/>
    <w:rsid w:val="002B6541"/>
    <w:rsid w:val="002B70EC"/>
    <w:rsid w:val="002B797F"/>
    <w:rsid w:val="002C00EB"/>
    <w:rsid w:val="002C07A3"/>
    <w:rsid w:val="002C08FA"/>
    <w:rsid w:val="002C0CFB"/>
    <w:rsid w:val="002C148E"/>
    <w:rsid w:val="002C16F5"/>
    <w:rsid w:val="002C2773"/>
    <w:rsid w:val="002C2CD2"/>
    <w:rsid w:val="002C451C"/>
    <w:rsid w:val="002C45D6"/>
    <w:rsid w:val="002C4667"/>
    <w:rsid w:val="002C46EB"/>
    <w:rsid w:val="002C4A2C"/>
    <w:rsid w:val="002C4B2B"/>
    <w:rsid w:val="002C4C0D"/>
    <w:rsid w:val="002C62B1"/>
    <w:rsid w:val="002C6B6B"/>
    <w:rsid w:val="002C6E81"/>
    <w:rsid w:val="002C6F37"/>
    <w:rsid w:val="002D07C7"/>
    <w:rsid w:val="002D088F"/>
    <w:rsid w:val="002D0C0C"/>
    <w:rsid w:val="002D0C69"/>
    <w:rsid w:val="002D20D6"/>
    <w:rsid w:val="002D313F"/>
    <w:rsid w:val="002D3BEF"/>
    <w:rsid w:val="002D45F1"/>
    <w:rsid w:val="002D4B10"/>
    <w:rsid w:val="002D4EC3"/>
    <w:rsid w:val="002D4EF9"/>
    <w:rsid w:val="002D537F"/>
    <w:rsid w:val="002D65AB"/>
    <w:rsid w:val="002D667B"/>
    <w:rsid w:val="002E083B"/>
    <w:rsid w:val="002E1772"/>
    <w:rsid w:val="002E228C"/>
    <w:rsid w:val="002E4059"/>
    <w:rsid w:val="002E418C"/>
    <w:rsid w:val="002E4B2B"/>
    <w:rsid w:val="002E560F"/>
    <w:rsid w:val="002E62BE"/>
    <w:rsid w:val="002E7995"/>
    <w:rsid w:val="002F1768"/>
    <w:rsid w:val="002F1B61"/>
    <w:rsid w:val="002F42C3"/>
    <w:rsid w:val="002F4DFE"/>
    <w:rsid w:val="002F6CC1"/>
    <w:rsid w:val="002F7408"/>
    <w:rsid w:val="00301648"/>
    <w:rsid w:val="00301B15"/>
    <w:rsid w:val="00301B70"/>
    <w:rsid w:val="00301BB2"/>
    <w:rsid w:val="00301DF1"/>
    <w:rsid w:val="003026E8"/>
    <w:rsid w:val="00302B23"/>
    <w:rsid w:val="00302E2C"/>
    <w:rsid w:val="00303E52"/>
    <w:rsid w:val="0030444B"/>
    <w:rsid w:val="00304CB1"/>
    <w:rsid w:val="0030535D"/>
    <w:rsid w:val="00305695"/>
    <w:rsid w:val="003060B1"/>
    <w:rsid w:val="00306293"/>
    <w:rsid w:val="003072AF"/>
    <w:rsid w:val="003074A2"/>
    <w:rsid w:val="003075BC"/>
    <w:rsid w:val="00307CB7"/>
    <w:rsid w:val="0031011F"/>
    <w:rsid w:val="00310271"/>
    <w:rsid w:val="003108D7"/>
    <w:rsid w:val="00311AB6"/>
    <w:rsid w:val="00311CF2"/>
    <w:rsid w:val="00312247"/>
    <w:rsid w:val="00312778"/>
    <w:rsid w:val="003129B5"/>
    <w:rsid w:val="003132C7"/>
    <w:rsid w:val="00313F00"/>
    <w:rsid w:val="00314275"/>
    <w:rsid w:val="00316423"/>
    <w:rsid w:val="003206BA"/>
    <w:rsid w:val="00320BA1"/>
    <w:rsid w:val="00321393"/>
    <w:rsid w:val="0032139D"/>
    <w:rsid w:val="00322838"/>
    <w:rsid w:val="00322E69"/>
    <w:rsid w:val="00323089"/>
    <w:rsid w:val="00323A60"/>
    <w:rsid w:val="00323F8A"/>
    <w:rsid w:val="00324507"/>
    <w:rsid w:val="003259A5"/>
    <w:rsid w:val="0032617A"/>
    <w:rsid w:val="00326B2E"/>
    <w:rsid w:val="0032720E"/>
    <w:rsid w:val="003303F6"/>
    <w:rsid w:val="00330C07"/>
    <w:rsid w:val="003310EF"/>
    <w:rsid w:val="00331275"/>
    <w:rsid w:val="003313DE"/>
    <w:rsid w:val="003330E0"/>
    <w:rsid w:val="00333503"/>
    <w:rsid w:val="003337FD"/>
    <w:rsid w:val="00333C98"/>
    <w:rsid w:val="00334DE3"/>
    <w:rsid w:val="00334F11"/>
    <w:rsid w:val="00335157"/>
    <w:rsid w:val="003353D0"/>
    <w:rsid w:val="00335604"/>
    <w:rsid w:val="00336011"/>
    <w:rsid w:val="00336CF3"/>
    <w:rsid w:val="00337D8B"/>
    <w:rsid w:val="0034061E"/>
    <w:rsid w:val="00340BF4"/>
    <w:rsid w:val="003412C2"/>
    <w:rsid w:val="00341458"/>
    <w:rsid w:val="00341512"/>
    <w:rsid w:val="00341572"/>
    <w:rsid w:val="00342CA3"/>
    <w:rsid w:val="00342DC4"/>
    <w:rsid w:val="0034340A"/>
    <w:rsid w:val="003437FD"/>
    <w:rsid w:val="00344335"/>
    <w:rsid w:val="003455FF"/>
    <w:rsid w:val="00345862"/>
    <w:rsid w:val="0035036D"/>
    <w:rsid w:val="00351E92"/>
    <w:rsid w:val="00352219"/>
    <w:rsid w:val="0035273C"/>
    <w:rsid w:val="00353300"/>
    <w:rsid w:val="00353392"/>
    <w:rsid w:val="00353D25"/>
    <w:rsid w:val="00354907"/>
    <w:rsid w:val="00355AF6"/>
    <w:rsid w:val="00355FFD"/>
    <w:rsid w:val="00356327"/>
    <w:rsid w:val="00356AC4"/>
    <w:rsid w:val="00356C02"/>
    <w:rsid w:val="00357478"/>
    <w:rsid w:val="00357502"/>
    <w:rsid w:val="00357F90"/>
    <w:rsid w:val="0036175E"/>
    <w:rsid w:val="003621AC"/>
    <w:rsid w:val="0036281A"/>
    <w:rsid w:val="00362DD1"/>
    <w:rsid w:val="00363553"/>
    <w:rsid w:val="0036424D"/>
    <w:rsid w:val="00364CC9"/>
    <w:rsid w:val="00364E48"/>
    <w:rsid w:val="00364F58"/>
    <w:rsid w:val="003650B5"/>
    <w:rsid w:val="003655EB"/>
    <w:rsid w:val="003655FE"/>
    <w:rsid w:val="00365831"/>
    <w:rsid w:val="00366440"/>
    <w:rsid w:val="00367026"/>
    <w:rsid w:val="00367BF3"/>
    <w:rsid w:val="0037041F"/>
    <w:rsid w:val="0037162B"/>
    <w:rsid w:val="00372310"/>
    <w:rsid w:val="00372774"/>
    <w:rsid w:val="003727B0"/>
    <w:rsid w:val="00372A4F"/>
    <w:rsid w:val="00374156"/>
    <w:rsid w:val="00374454"/>
    <w:rsid w:val="00374AF2"/>
    <w:rsid w:val="003761B0"/>
    <w:rsid w:val="00377507"/>
    <w:rsid w:val="00377F1B"/>
    <w:rsid w:val="0038031D"/>
    <w:rsid w:val="00380445"/>
    <w:rsid w:val="003805CC"/>
    <w:rsid w:val="00381F52"/>
    <w:rsid w:val="003822FB"/>
    <w:rsid w:val="00382418"/>
    <w:rsid w:val="00382562"/>
    <w:rsid w:val="00382D67"/>
    <w:rsid w:val="00383957"/>
    <w:rsid w:val="003841CB"/>
    <w:rsid w:val="00384225"/>
    <w:rsid w:val="00385118"/>
    <w:rsid w:val="0038659B"/>
    <w:rsid w:val="00386F93"/>
    <w:rsid w:val="0038748B"/>
    <w:rsid w:val="00387872"/>
    <w:rsid w:val="00387BB3"/>
    <w:rsid w:val="00390A3A"/>
    <w:rsid w:val="00390BFB"/>
    <w:rsid w:val="00390D4D"/>
    <w:rsid w:val="003914C2"/>
    <w:rsid w:val="00391B34"/>
    <w:rsid w:val="00391F66"/>
    <w:rsid w:val="003922E8"/>
    <w:rsid w:val="00393373"/>
    <w:rsid w:val="003933EB"/>
    <w:rsid w:val="0039344D"/>
    <w:rsid w:val="00393689"/>
    <w:rsid w:val="00393B95"/>
    <w:rsid w:val="0039475B"/>
    <w:rsid w:val="00395314"/>
    <w:rsid w:val="003964F9"/>
    <w:rsid w:val="00396A9C"/>
    <w:rsid w:val="00397AA0"/>
    <w:rsid w:val="003A1A1B"/>
    <w:rsid w:val="003A1A89"/>
    <w:rsid w:val="003A2C07"/>
    <w:rsid w:val="003A2C4B"/>
    <w:rsid w:val="003A376B"/>
    <w:rsid w:val="003A3A28"/>
    <w:rsid w:val="003A4332"/>
    <w:rsid w:val="003A4A87"/>
    <w:rsid w:val="003A4C7E"/>
    <w:rsid w:val="003A55FB"/>
    <w:rsid w:val="003A5E9C"/>
    <w:rsid w:val="003A6468"/>
    <w:rsid w:val="003A6716"/>
    <w:rsid w:val="003A6D9B"/>
    <w:rsid w:val="003A6E4F"/>
    <w:rsid w:val="003A7540"/>
    <w:rsid w:val="003A75A5"/>
    <w:rsid w:val="003A7703"/>
    <w:rsid w:val="003A773D"/>
    <w:rsid w:val="003B0063"/>
    <w:rsid w:val="003B09A8"/>
    <w:rsid w:val="003B09D9"/>
    <w:rsid w:val="003B20B8"/>
    <w:rsid w:val="003B210C"/>
    <w:rsid w:val="003B28E8"/>
    <w:rsid w:val="003B3BB9"/>
    <w:rsid w:val="003B4019"/>
    <w:rsid w:val="003B44A3"/>
    <w:rsid w:val="003B5191"/>
    <w:rsid w:val="003B5868"/>
    <w:rsid w:val="003B60A9"/>
    <w:rsid w:val="003B6507"/>
    <w:rsid w:val="003B67F3"/>
    <w:rsid w:val="003B68B5"/>
    <w:rsid w:val="003B710A"/>
    <w:rsid w:val="003B71B1"/>
    <w:rsid w:val="003B7A12"/>
    <w:rsid w:val="003C0490"/>
    <w:rsid w:val="003C0FA5"/>
    <w:rsid w:val="003C413B"/>
    <w:rsid w:val="003C48A3"/>
    <w:rsid w:val="003C4E9F"/>
    <w:rsid w:val="003C5988"/>
    <w:rsid w:val="003C629E"/>
    <w:rsid w:val="003C6613"/>
    <w:rsid w:val="003C6E16"/>
    <w:rsid w:val="003C724C"/>
    <w:rsid w:val="003C7BA4"/>
    <w:rsid w:val="003C7C8C"/>
    <w:rsid w:val="003C7DF2"/>
    <w:rsid w:val="003D124C"/>
    <w:rsid w:val="003D138E"/>
    <w:rsid w:val="003D1422"/>
    <w:rsid w:val="003D1F85"/>
    <w:rsid w:val="003D267E"/>
    <w:rsid w:val="003D26BA"/>
    <w:rsid w:val="003D26DA"/>
    <w:rsid w:val="003D2C5D"/>
    <w:rsid w:val="003D30E9"/>
    <w:rsid w:val="003D418F"/>
    <w:rsid w:val="003D444C"/>
    <w:rsid w:val="003D4AA1"/>
    <w:rsid w:val="003D55BA"/>
    <w:rsid w:val="003D595A"/>
    <w:rsid w:val="003D5A43"/>
    <w:rsid w:val="003D5C1F"/>
    <w:rsid w:val="003D5FA3"/>
    <w:rsid w:val="003D6A15"/>
    <w:rsid w:val="003D6FD4"/>
    <w:rsid w:val="003E1B65"/>
    <w:rsid w:val="003E1DF1"/>
    <w:rsid w:val="003E20D1"/>
    <w:rsid w:val="003E20E0"/>
    <w:rsid w:val="003E2D0C"/>
    <w:rsid w:val="003E4B11"/>
    <w:rsid w:val="003E4EFE"/>
    <w:rsid w:val="003E58DF"/>
    <w:rsid w:val="003E64E7"/>
    <w:rsid w:val="003E694B"/>
    <w:rsid w:val="003E6B1B"/>
    <w:rsid w:val="003E7971"/>
    <w:rsid w:val="003E7B21"/>
    <w:rsid w:val="003F0061"/>
    <w:rsid w:val="003F0802"/>
    <w:rsid w:val="003F1D35"/>
    <w:rsid w:val="003F3534"/>
    <w:rsid w:val="003F41AD"/>
    <w:rsid w:val="003F464D"/>
    <w:rsid w:val="003F49EC"/>
    <w:rsid w:val="003F6099"/>
    <w:rsid w:val="003F73A0"/>
    <w:rsid w:val="003F7DFE"/>
    <w:rsid w:val="00400222"/>
    <w:rsid w:val="0040070D"/>
    <w:rsid w:val="004010ED"/>
    <w:rsid w:val="00402035"/>
    <w:rsid w:val="00402145"/>
    <w:rsid w:val="0040220F"/>
    <w:rsid w:val="004025E6"/>
    <w:rsid w:val="00402811"/>
    <w:rsid w:val="00402D6F"/>
    <w:rsid w:val="004036B0"/>
    <w:rsid w:val="0040387C"/>
    <w:rsid w:val="00403B39"/>
    <w:rsid w:val="0040434E"/>
    <w:rsid w:val="004048BA"/>
    <w:rsid w:val="004063A3"/>
    <w:rsid w:val="00407461"/>
    <w:rsid w:val="00407BA6"/>
    <w:rsid w:val="004117A8"/>
    <w:rsid w:val="00412269"/>
    <w:rsid w:val="0041270B"/>
    <w:rsid w:val="0041289F"/>
    <w:rsid w:val="00412935"/>
    <w:rsid w:val="004130CF"/>
    <w:rsid w:val="00413559"/>
    <w:rsid w:val="00413773"/>
    <w:rsid w:val="004139A1"/>
    <w:rsid w:val="00413D58"/>
    <w:rsid w:val="00414DB0"/>
    <w:rsid w:val="004157F7"/>
    <w:rsid w:val="0041594C"/>
    <w:rsid w:val="00416E39"/>
    <w:rsid w:val="004176F9"/>
    <w:rsid w:val="00417E15"/>
    <w:rsid w:val="004202C9"/>
    <w:rsid w:val="00420FDC"/>
    <w:rsid w:val="00421D23"/>
    <w:rsid w:val="00422DD7"/>
    <w:rsid w:val="00423E27"/>
    <w:rsid w:val="00423E39"/>
    <w:rsid w:val="00424897"/>
    <w:rsid w:val="004249AE"/>
    <w:rsid w:val="0042559C"/>
    <w:rsid w:val="004261D1"/>
    <w:rsid w:val="00427002"/>
    <w:rsid w:val="00427349"/>
    <w:rsid w:val="0043035D"/>
    <w:rsid w:val="00430BB1"/>
    <w:rsid w:val="00430C5C"/>
    <w:rsid w:val="00431DB3"/>
    <w:rsid w:val="00431F1A"/>
    <w:rsid w:val="00432EBD"/>
    <w:rsid w:val="00433BC9"/>
    <w:rsid w:val="00434B8C"/>
    <w:rsid w:val="00435131"/>
    <w:rsid w:val="00435167"/>
    <w:rsid w:val="00435BEB"/>
    <w:rsid w:val="004364C0"/>
    <w:rsid w:val="0043674F"/>
    <w:rsid w:val="00436932"/>
    <w:rsid w:val="004370DC"/>
    <w:rsid w:val="00437C1A"/>
    <w:rsid w:val="00440284"/>
    <w:rsid w:val="00440EB9"/>
    <w:rsid w:val="004414D1"/>
    <w:rsid w:val="00442DB2"/>
    <w:rsid w:val="00442FAC"/>
    <w:rsid w:val="00443075"/>
    <w:rsid w:val="004432D1"/>
    <w:rsid w:val="004434BB"/>
    <w:rsid w:val="004449CC"/>
    <w:rsid w:val="0044550B"/>
    <w:rsid w:val="00446242"/>
    <w:rsid w:val="00446413"/>
    <w:rsid w:val="00446778"/>
    <w:rsid w:val="00446807"/>
    <w:rsid w:val="00447BD7"/>
    <w:rsid w:val="00447C5D"/>
    <w:rsid w:val="00447D45"/>
    <w:rsid w:val="00447EDD"/>
    <w:rsid w:val="00447F83"/>
    <w:rsid w:val="00450250"/>
    <w:rsid w:val="00450AC3"/>
    <w:rsid w:val="00450C65"/>
    <w:rsid w:val="00451207"/>
    <w:rsid w:val="00451499"/>
    <w:rsid w:val="004514E0"/>
    <w:rsid w:val="0045214F"/>
    <w:rsid w:val="004522D1"/>
    <w:rsid w:val="00455819"/>
    <w:rsid w:val="00455F1A"/>
    <w:rsid w:val="0045617E"/>
    <w:rsid w:val="0045759D"/>
    <w:rsid w:val="00457881"/>
    <w:rsid w:val="00457922"/>
    <w:rsid w:val="0046207B"/>
    <w:rsid w:val="00462A5E"/>
    <w:rsid w:val="00462BCA"/>
    <w:rsid w:val="00462BCE"/>
    <w:rsid w:val="0046350D"/>
    <w:rsid w:val="00463D75"/>
    <w:rsid w:val="004641A4"/>
    <w:rsid w:val="004652A4"/>
    <w:rsid w:val="00465DE9"/>
    <w:rsid w:val="00465EB1"/>
    <w:rsid w:val="00466004"/>
    <w:rsid w:val="00466489"/>
    <w:rsid w:val="00467766"/>
    <w:rsid w:val="004677C0"/>
    <w:rsid w:val="00467822"/>
    <w:rsid w:val="00467D88"/>
    <w:rsid w:val="00470305"/>
    <w:rsid w:val="00470A24"/>
    <w:rsid w:val="00470C44"/>
    <w:rsid w:val="004711FE"/>
    <w:rsid w:val="0047175A"/>
    <w:rsid w:val="0047185E"/>
    <w:rsid w:val="00471C3D"/>
    <w:rsid w:val="00471ED3"/>
    <w:rsid w:val="0047217A"/>
    <w:rsid w:val="0047278A"/>
    <w:rsid w:val="004769C6"/>
    <w:rsid w:val="00476A25"/>
    <w:rsid w:val="00477397"/>
    <w:rsid w:val="0048096E"/>
    <w:rsid w:val="004810DE"/>
    <w:rsid w:val="00481237"/>
    <w:rsid w:val="004813DC"/>
    <w:rsid w:val="00482489"/>
    <w:rsid w:val="00482EF5"/>
    <w:rsid w:val="00483746"/>
    <w:rsid w:val="004840BD"/>
    <w:rsid w:val="0048439E"/>
    <w:rsid w:val="0048455D"/>
    <w:rsid w:val="00486F62"/>
    <w:rsid w:val="004877C1"/>
    <w:rsid w:val="0049039C"/>
    <w:rsid w:val="00490666"/>
    <w:rsid w:val="004907D7"/>
    <w:rsid w:val="00490C8F"/>
    <w:rsid w:val="004910B9"/>
    <w:rsid w:val="004917F7"/>
    <w:rsid w:val="00491B20"/>
    <w:rsid w:val="00492568"/>
    <w:rsid w:val="0049309A"/>
    <w:rsid w:val="004931B4"/>
    <w:rsid w:val="004935BE"/>
    <w:rsid w:val="0049393A"/>
    <w:rsid w:val="0049578C"/>
    <w:rsid w:val="00495D7A"/>
    <w:rsid w:val="0049647F"/>
    <w:rsid w:val="00496E1F"/>
    <w:rsid w:val="00497574"/>
    <w:rsid w:val="004A014B"/>
    <w:rsid w:val="004A022D"/>
    <w:rsid w:val="004A268D"/>
    <w:rsid w:val="004A2894"/>
    <w:rsid w:val="004A2D81"/>
    <w:rsid w:val="004A3566"/>
    <w:rsid w:val="004A405C"/>
    <w:rsid w:val="004A53CD"/>
    <w:rsid w:val="004A561B"/>
    <w:rsid w:val="004A57C9"/>
    <w:rsid w:val="004A5A43"/>
    <w:rsid w:val="004A605F"/>
    <w:rsid w:val="004A6171"/>
    <w:rsid w:val="004A70B2"/>
    <w:rsid w:val="004A77F3"/>
    <w:rsid w:val="004A7CBC"/>
    <w:rsid w:val="004B0F08"/>
    <w:rsid w:val="004B1F14"/>
    <w:rsid w:val="004B29C5"/>
    <w:rsid w:val="004B2D14"/>
    <w:rsid w:val="004B354A"/>
    <w:rsid w:val="004B3FE7"/>
    <w:rsid w:val="004B44AE"/>
    <w:rsid w:val="004B55E6"/>
    <w:rsid w:val="004B5FBD"/>
    <w:rsid w:val="004B60BF"/>
    <w:rsid w:val="004B63DD"/>
    <w:rsid w:val="004B6567"/>
    <w:rsid w:val="004B7967"/>
    <w:rsid w:val="004C01EC"/>
    <w:rsid w:val="004C0621"/>
    <w:rsid w:val="004C094C"/>
    <w:rsid w:val="004C0FC2"/>
    <w:rsid w:val="004C15F6"/>
    <w:rsid w:val="004C187A"/>
    <w:rsid w:val="004C27CD"/>
    <w:rsid w:val="004C294C"/>
    <w:rsid w:val="004C3274"/>
    <w:rsid w:val="004C39B2"/>
    <w:rsid w:val="004C6E93"/>
    <w:rsid w:val="004C702D"/>
    <w:rsid w:val="004C76BF"/>
    <w:rsid w:val="004C7AC2"/>
    <w:rsid w:val="004D047B"/>
    <w:rsid w:val="004D0F4F"/>
    <w:rsid w:val="004D10EC"/>
    <w:rsid w:val="004D126C"/>
    <w:rsid w:val="004D12C4"/>
    <w:rsid w:val="004D14C4"/>
    <w:rsid w:val="004D2F86"/>
    <w:rsid w:val="004D3636"/>
    <w:rsid w:val="004D3847"/>
    <w:rsid w:val="004D4226"/>
    <w:rsid w:val="004D44C5"/>
    <w:rsid w:val="004D4A5B"/>
    <w:rsid w:val="004D5762"/>
    <w:rsid w:val="004D5E3E"/>
    <w:rsid w:val="004D611F"/>
    <w:rsid w:val="004D6128"/>
    <w:rsid w:val="004D6186"/>
    <w:rsid w:val="004D63EE"/>
    <w:rsid w:val="004D6F24"/>
    <w:rsid w:val="004D7DBF"/>
    <w:rsid w:val="004E0493"/>
    <w:rsid w:val="004E09FD"/>
    <w:rsid w:val="004E24FE"/>
    <w:rsid w:val="004E2B2D"/>
    <w:rsid w:val="004E3443"/>
    <w:rsid w:val="004E398C"/>
    <w:rsid w:val="004E3CDA"/>
    <w:rsid w:val="004E51AE"/>
    <w:rsid w:val="004E6109"/>
    <w:rsid w:val="004E71D8"/>
    <w:rsid w:val="004E7C69"/>
    <w:rsid w:val="004F00B1"/>
    <w:rsid w:val="004F0120"/>
    <w:rsid w:val="004F050A"/>
    <w:rsid w:val="004F0D53"/>
    <w:rsid w:val="004F10D3"/>
    <w:rsid w:val="004F1134"/>
    <w:rsid w:val="004F187A"/>
    <w:rsid w:val="004F1927"/>
    <w:rsid w:val="004F2139"/>
    <w:rsid w:val="004F359C"/>
    <w:rsid w:val="004F4844"/>
    <w:rsid w:val="004F5751"/>
    <w:rsid w:val="004F5C03"/>
    <w:rsid w:val="004F6B19"/>
    <w:rsid w:val="004F6C4C"/>
    <w:rsid w:val="004F72B4"/>
    <w:rsid w:val="004F7320"/>
    <w:rsid w:val="00500331"/>
    <w:rsid w:val="00500954"/>
    <w:rsid w:val="00500C1F"/>
    <w:rsid w:val="00501523"/>
    <w:rsid w:val="005015BC"/>
    <w:rsid w:val="005021C7"/>
    <w:rsid w:val="0050230B"/>
    <w:rsid w:val="005023BB"/>
    <w:rsid w:val="00502464"/>
    <w:rsid w:val="00502DAC"/>
    <w:rsid w:val="00503DB5"/>
    <w:rsid w:val="00503F77"/>
    <w:rsid w:val="00504488"/>
    <w:rsid w:val="00504822"/>
    <w:rsid w:val="005048C2"/>
    <w:rsid w:val="00504DF7"/>
    <w:rsid w:val="00504FBC"/>
    <w:rsid w:val="00506545"/>
    <w:rsid w:val="005069CD"/>
    <w:rsid w:val="00506C04"/>
    <w:rsid w:val="00506D33"/>
    <w:rsid w:val="00507964"/>
    <w:rsid w:val="005100D5"/>
    <w:rsid w:val="00510C8F"/>
    <w:rsid w:val="00510F20"/>
    <w:rsid w:val="00510FAA"/>
    <w:rsid w:val="005110CE"/>
    <w:rsid w:val="005114C2"/>
    <w:rsid w:val="00512291"/>
    <w:rsid w:val="00514233"/>
    <w:rsid w:val="0051438C"/>
    <w:rsid w:val="00514895"/>
    <w:rsid w:val="005166CD"/>
    <w:rsid w:val="00516E71"/>
    <w:rsid w:val="00516F74"/>
    <w:rsid w:val="00517FB7"/>
    <w:rsid w:val="00520FA9"/>
    <w:rsid w:val="0052166E"/>
    <w:rsid w:val="00521753"/>
    <w:rsid w:val="00521FB5"/>
    <w:rsid w:val="005220FE"/>
    <w:rsid w:val="0052310A"/>
    <w:rsid w:val="005248CF"/>
    <w:rsid w:val="005252A7"/>
    <w:rsid w:val="00525D02"/>
    <w:rsid w:val="00525D33"/>
    <w:rsid w:val="00525F7E"/>
    <w:rsid w:val="0053105A"/>
    <w:rsid w:val="005310AE"/>
    <w:rsid w:val="0053231E"/>
    <w:rsid w:val="005328C3"/>
    <w:rsid w:val="00533755"/>
    <w:rsid w:val="00533C65"/>
    <w:rsid w:val="00534062"/>
    <w:rsid w:val="00534294"/>
    <w:rsid w:val="005346FA"/>
    <w:rsid w:val="005358C5"/>
    <w:rsid w:val="00535CD3"/>
    <w:rsid w:val="00535DCA"/>
    <w:rsid w:val="005361C4"/>
    <w:rsid w:val="00536BA4"/>
    <w:rsid w:val="005371EF"/>
    <w:rsid w:val="005400B9"/>
    <w:rsid w:val="0054024B"/>
    <w:rsid w:val="0054095A"/>
    <w:rsid w:val="00540A10"/>
    <w:rsid w:val="005412E4"/>
    <w:rsid w:val="0054298F"/>
    <w:rsid w:val="00543CAF"/>
    <w:rsid w:val="00543F40"/>
    <w:rsid w:val="0054533D"/>
    <w:rsid w:val="0054593B"/>
    <w:rsid w:val="0054675D"/>
    <w:rsid w:val="00546C4A"/>
    <w:rsid w:val="00546FA2"/>
    <w:rsid w:val="00550193"/>
    <w:rsid w:val="00550B11"/>
    <w:rsid w:val="00551146"/>
    <w:rsid w:val="00551567"/>
    <w:rsid w:val="00552F6C"/>
    <w:rsid w:val="005537FE"/>
    <w:rsid w:val="00553ECC"/>
    <w:rsid w:val="00554389"/>
    <w:rsid w:val="00554994"/>
    <w:rsid w:val="0055509D"/>
    <w:rsid w:val="0055616A"/>
    <w:rsid w:val="00556873"/>
    <w:rsid w:val="005572AD"/>
    <w:rsid w:val="0055774F"/>
    <w:rsid w:val="00557795"/>
    <w:rsid w:val="00557B78"/>
    <w:rsid w:val="00557E32"/>
    <w:rsid w:val="005601C2"/>
    <w:rsid w:val="005603B5"/>
    <w:rsid w:val="0056093D"/>
    <w:rsid w:val="00563166"/>
    <w:rsid w:val="005634BC"/>
    <w:rsid w:val="0056393A"/>
    <w:rsid w:val="00563EB0"/>
    <w:rsid w:val="0056462C"/>
    <w:rsid w:val="0056469A"/>
    <w:rsid w:val="0056470A"/>
    <w:rsid w:val="00564725"/>
    <w:rsid w:val="0056564D"/>
    <w:rsid w:val="005661CB"/>
    <w:rsid w:val="00566754"/>
    <w:rsid w:val="00566861"/>
    <w:rsid w:val="005669E7"/>
    <w:rsid w:val="00566EDA"/>
    <w:rsid w:val="00566F97"/>
    <w:rsid w:val="005670F1"/>
    <w:rsid w:val="005701C0"/>
    <w:rsid w:val="0057062A"/>
    <w:rsid w:val="00571558"/>
    <w:rsid w:val="00571AB9"/>
    <w:rsid w:val="00572129"/>
    <w:rsid w:val="00572839"/>
    <w:rsid w:val="00572A89"/>
    <w:rsid w:val="00574DF9"/>
    <w:rsid w:val="00575236"/>
    <w:rsid w:val="005761C4"/>
    <w:rsid w:val="00576464"/>
    <w:rsid w:val="0057682B"/>
    <w:rsid w:val="005774D3"/>
    <w:rsid w:val="0057795F"/>
    <w:rsid w:val="00577ECA"/>
    <w:rsid w:val="00580CC9"/>
    <w:rsid w:val="00581382"/>
    <w:rsid w:val="00581E2F"/>
    <w:rsid w:val="00582A20"/>
    <w:rsid w:val="00583AC6"/>
    <w:rsid w:val="005849EF"/>
    <w:rsid w:val="00584C4F"/>
    <w:rsid w:val="00586019"/>
    <w:rsid w:val="005869B8"/>
    <w:rsid w:val="00586A0F"/>
    <w:rsid w:val="00586BF1"/>
    <w:rsid w:val="00587E89"/>
    <w:rsid w:val="00591852"/>
    <w:rsid w:val="005937F2"/>
    <w:rsid w:val="00594AD4"/>
    <w:rsid w:val="00594CCD"/>
    <w:rsid w:val="005957E4"/>
    <w:rsid w:val="005964ED"/>
    <w:rsid w:val="00596926"/>
    <w:rsid w:val="00597C26"/>
    <w:rsid w:val="00597CEA"/>
    <w:rsid w:val="005A0427"/>
    <w:rsid w:val="005A32FD"/>
    <w:rsid w:val="005A36C4"/>
    <w:rsid w:val="005A3738"/>
    <w:rsid w:val="005A4FFB"/>
    <w:rsid w:val="005A5679"/>
    <w:rsid w:val="005A5DB6"/>
    <w:rsid w:val="005A62AF"/>
    <w:rsid w:val="005A6379"/>
    <w:rsid w:val="005A7238"/>
    <w:rsid w:val="005A7A23"/>
    <w:rsid w:val="005B1CAD"/>
    <w:rsid w:val="005B2EEC"/>
    <w:rsid w:val="005B3108"/>
    <w:rsid w:val="005B3E93"/>
    <w:rsid w:val="005B403B"/>
    <w:rsid w:val="005B41AC"/>
    <w:rsid w:val="005B4DEE"/>
    <w:rsid w:val="005B69C2"/>
    <w:rsid w:val="005B79F9"/>
    <w:rsid w:val="005C01D1"/>
    <w:rsid w:val="005C02BC"/>
    <w:rsid w:val="005C13FC"/>
    <w:rsid w:val="005C1581"/>
    <w:rsid w:val="005C2E7F"/>
    <w:rsid w:val="005C31A9"/>
    <w:rsid w:val="005C3DD3"/>
    <w:rsid w:val="005C3EE2"/>
    <w:rsid w:val="005C42D3"/>
    <w:rsid w:val="005C4A4F"/>
    <w:rsid w:val="005C5349"/>
    <w:rsid w:val="005C5E1E"/>
    <w:rsid w:val="005C60F4"/>
    <w:rsid w:val="005C7EC8"/>
    <w:rsid w:val="005D0277"/>
    <w:rsid w:val="005D0742"/>
    <w:rsid w:val="005D1F47"/>
    <w:rsid w:val="005D2623"/>
    <w:rsid w:val="005D3605"/>
    <w:rsid w:val="005D3AAA"/>
    <w:rsid w:val="005D3AC4"/>
    <w:rsid w:val="005D40C8"/>
    <w:rsid w:val="005D483E"/>
    <w:rsid w:val="005D4DD3"/>
    <w:rsid w:val="005D5B26"/>
    <w:rsid w:val="005D5D1C"/>
    <w:rsid w:val="005D5E82"/>
    <w:rsid w:val="005D622A"/>
    <w:rsid w:val="005D75B4"/>
    <w:rsid w:val="005D7EF8"/>
    <w:rsid w:val="005E02AF"/>
    <w:rsid w:val="005E0390"/>
    <w:rsid w:val="005E0413"/>
    <w:rsid w:val="005E0C38"/>
    <w:rsid w:val="005E15F8"/>
    <w:rsid w:val="005E3903"/>
    <w:rsid w:val="005E59CB"/>
    <w:rsid w:val="005E642D"/>
    <w:rsid w:val="005E6C4D"/>
    <w:rsid w:val="005E6FA7"/>
    <w:rsid w:val="005E7161"/>
    <w:rsid w:val="005E7422"/>
    <w:rsid w:val="005E7633"/>
    <w:rsid w:val="005E7BC1"/>
    <w:rsid w:val="005E7D64"/>
    <w:rsid w:val="005E7FF1"/>
    <w:rsid w:val="005F091E"/>
    <w:rsid w:val="005F1344"/>
    <w:rsid w:val="005F16EA"/>
    <w:rsid w:val="005F2617"/>
    <w:rsid w:val="005F29C6"/>
    <w:rsid w:val="005F2CDA"/>
    <w:rsid w:val="005F3690"/>
    <w:rsid w:val="005F422A"/>
    <w:rsid w:val="005F455A"/>
    <w:rsid w:val="005F4586"/>
    <w:rsid w:val="005F4D73"/>
    <w:rsid w:val="005F4E88"/>
    <w:rsid w:val="005F5C36"/>
    <w:rsid w:val="005F5CD3"/>
    <w:rsid w:val="005F6330"/>
    <w:rsid w:val="005F7810"/>
    <w:rsid w:val="005F7841"/>
    <w:rsid w:val="005F7BC5"/>
    <w:rsid w:val="0060046A"/>
    <w:rsid w:val="00600BEE"/>
    <w:rsid w:val="00600E14"/>
    <w:rsid w:val="00601654"/>
    <w:rsid w:val="006019BB"/>
    <w:rsid w:val="00601A43"/>
    <w:rsid w:val="00601A7A"/>
    <w:rsid w:val="00601AF0"/>
    <w:rsid w:val="0060260D"/>
    <w:rsid w:val="00602F78"/>
    <w:rsid w:val="006031F7"/>
    <w:rsid w:val="0060451E"/>
    <w:rsid w:val="00604AA7"/>
    <w:rsid w:val="006054F6"/>
    <w:rsid w:val="0060604A"/>
    <w:rsid w:val="00606181"/>
    <w:rsid w:val="006064C6"/>
    <w:rsid w:val="0060692C"/>
    <w:rsid w:val="00606A44"/>
    <w:rsid w:val="0061041B"/>
    <w:rsid w:val="006104DA"/>
    <w:rsid w:val="00611472"/>
    <w:rsid w:val="006120ED"/>
    <w:rsid w:val="006133A8"/>
    <w:rsid w:val="00614932"/>
    <w:rsid w:val="00614F0B"/>
    <w:rsid w:val="006153D8"/>
    <w:rsid w:val="006156BD"/>
    <w:rsid w:val="00615728"/>
    <w:rsid w:val="00615D7D"/>
    <w:rsid w:val="00616604"/>
    <w:rsid w:val="00616C98"/>
    <w:rsid w:val="00617686"/>
    <w:rsid w:val="00620148"/>
    <w:rsid w:val="0062069C"/>
    <w:rsid w:val="0062074E"/>
    <w:rsid w:val="00620B56"/>
    <w:rsid w:val="00620E17"/>
    <w:rsid w:val="00620E4B"/>
    <w:rsid w:val="00621A69"/>
    <w:rsid w:val="00621F8B"/>
    <w:rsid w:val="00622434"/>
    <w:rsid w:val="00622579"/>
    <w:rsid w:val="00622AEF"/>
    <w:rsid w:val="00622C6C"/>
    <w:rsid w:val="00622F4C"/>
    <w:rsid w:val="00623D3F"/>
    <w:rsid w:val="00623ECA"/>
    <w:rsid w:val="006243EF"/>
    <w:rsid w:val="0062469E"/>
    <w:rsid w:val="0062573F"/>
    <w:rsid w:val="006259EB"/>
    <w:rsid w:val="00626A75"/>
    <w:rsid w:val="00626B8B"/>
    <w:rsid w:val="00626CCB"/>
    <w:rsid w:val="0062774C"/>
    <w:rsid w:val="00627E5D"/>
    <w:rsid w:val="00631C1A"/>
    <w:rsid w:val="00631DF3"/>
    <w:rsid w:val="006324DB"/>
    <w:rsid w:val="00632ADC"/>
    <w:rsid w:val="00633652"/>
    <w:rsid w:val="00634044"/>
    <w:rsid w:val="006340C9"/>
    <w:rsid w:val="00634262"/>
    <w:rsid w:val="006342D0"/>
    <w:rsid w:val="00636AA4"/>
    <w:rsid w:val="00640133"/>
    <w:rsid w:val="0064179F"/>
    <w:rsid w:val="00643913"/>
    <w:rsid w:val="00643E03"/>
    <w:rsid w:val="00644018"/>
    <w:rsid w:val="00644853"/>
    <w:rsid w:val="00644DDA"/>
    <w:rsid w:val="00645E21"/>
    <w:rsid w:val="006460CF"/>
    <w:rsid w:val="00646505"/>
    <w:rsid w:val="006474BA"/>
    <w:rsid w:val="00647565"/>
    <w:rsid w:val="00647976"/>
    <w:rsid w:val="006508CF"/>
    <w:rsid w:val="00650B63"/>
    <w:rsid w:val="00650E2E"/>
    <w:rsid w:val="00650EC1"/>
    <w:rsid w:val="00651067"/>
    <w:rsid w:val="006514A6"/>
    <w:rsid w:val="0065155A"/>
    <w:rsid w:val="00651FD9"/>
    <w:rsid w:val="00652DD3"/>
    <w:rsid w:val="00654010"/>
    <w:rsid w:val="0065406A"/>
    <w:rsid w:val="0065498D"/>
    <w:rsid w:val="00655DEA"/>
    <w:rsid w:val="00656FFC"/>
    <w:rsid w:val="00657D31"/>
    <w:rsid w:val="00660972"/>
    <w:rsid w:val="00661658"/>
    <w:rsid w:val="0066226C"/>
    <w:rsid w:val="0066250C"/>
    <w:rsid w:val="006634F5"/>
    <w:rsid w:val="00663E51"/>
    <w:rsid w:val="00664139"/>
    <w:rsid w:val="006643D9"/>
    <w:rsid w:val="00664BC5"/>
    <w:rsid w:val="00666616"/>
    <w:rsid w:val="00667107"/>
    <w:rsid w:val="00667417"/>
    <w:rsid w:val="0066761A"/>
    <w:rsid w:val="00670223"/>
    <w:rsid w:val="006702FA"/>
    <w:rsid w:val="00670422"/>
    <w:rsid w:val="00670549"/>
    <w:rsid w:val="006707CF"/>
    <w:rsid w:val="00670BA7"/>
    <w:rsid w:val="00670C7B"/>
    <w:rsid w:val="00670DA7"/>
    <w:rsid w:val="00670F96"/>
    <w:rsid w:val="00671452"/>
    <w:rsid w:val="006724A9"/>
    <w:rsid w:val="00672B96"/>
    <w:rsid w:val="00672E8B"/>
    <w:rsid w:val="00672F8B"/>
    <w:rsid w:val="006735A1"/>
    <w:rsid w:val="006736E8"/>
    <w:rsid w:val="0067380F"/>
    <w:rsid w:val="00673DD1"/>
    <w:rsid w:val="00674739"/>
    <w:rsid w:val="0067589E"/>
    <w:rsid w:val="00676CC3"/>
    <w:rsid w:val="00680400"/>
    <w:rsid w:val="00680723"/>
    <w:rsid w:val="00680743"/>
    <w:rsid w:val="006813A2"/>
    <w:rsid w:val="0068168D"/>
    <w:rsid w:val="00681FBA"/>
    <w:rsid w:val="00682203"/>
    <w:rsid w:val="00682642"/>
    <w:rsid w:val="00682ED6"/>
    <w:rsid w:val="00683BDB"/>
    <w:rsid w:val="00683E82"/>
    <w:rsid w:val="00684356"/>
    <w:rsid w:val="006847CD"/>
    <w:rsid w:val="00684E9D"/>
    <w:rsid w:val="006856FC"/>
    <w:rsid w:val="00685AF1"/>
    <w:rsid w:val="00685E99"/>
    <w:rsid w:val="00686801"/>
    <w:rsid w:val="00686BBD"/>
    <w:rsid w:val="006870A9"/>
    <w:rsid w:val="006878C5"/>
    <w:rsid w:val="00687B8E"/>
    <w:rsid w:val="00687D47"/>
    <w:rsid w:val="0069089F"/>
    <w:rsid w:val="00690F5A"/>
    <w:rsid w:val="00692258"/>
    <w:rsid w:val="00693831"/>
    <w:rsid w:val="00693B93"/>
    <w:rsid w:val="006946C7"/>
    <w:rsid w:val="00694B42"/>
    <w:rsid w:val="00695857"/>
    <w:rsid w:val="00695EED"/>
    <w:rsid w:val="00696E5E"/>
    <w:rsid w:val="006A03BC"/>
    <w:rsid w:val="006A082A"/>
    <w:rsid w:val="006A091A"/>
    <w:rsid w:val="006A0DB3"/>
    <w:rsid w:val="006A1A40"/>
    <w:rsid w:val="006A2078"/>
    <w:rsid w:val="006A3D2D"/>
    <w:rsid w:val="006A46E2"/>
    <w:rsid w:val="006A4C45"/>
    <w:rsid w:val="006A4C7F"/>
    <w:rsid w:val="006A60E9"/>
    <w:rsid w:val="006A67FF"/>
    <w:rsid w:val="006A6917"/>
    <w:rsid w:val="006A6AA2"/>
    <w:rsid w:val="006A6D00"/>
    <w:rsid w:val="006A760E"/>
    <w:rsid w:val="006A7629"/>
    <w:rsid w:val="006B00BA"/>
    <w:rsid w:val="006B039D"/>
    <w:rsid w:val="006B0B7E"/>
    <w:rsid w:val="006B172D"/>
    <w:rsid w:val="006B1B77"/>
    <w:rsid w:val="006B1E9E"/>
    <w:rsid w:val="006B1FE3"/>
    <w:rsid w:val="006B2E1C"/>
    <w:rsid w:val="006B3090"/>
    <w:rsid w:val="006B3504"/>
    <w:rsid w:val="006B3694"/>
    <w:rsid w:val="006B44EE"/>
    <w:rsid w:val="006B45AE"/>
    <w:rsid w:val="006B5202"/>
    <w:rsid w:val="006B528B"/>
    <w:rsid w:val="006B5B93"/>
    <w:rsid w:val="006B619F"/>
    <w:rsid w:val="006B6A8A"/>
    <w:rsid w:val="006B71FE"/>
    <w:rsid w:val="006B7A07"/>
    <w:rsid w:val="006C0F33"/>
    <w:rsid w:val="006C1AEB"/>
    <w:rsid w:val="006C2914"/>
    <w:rsid w:val="006C2A15"/>
    <w:rsid w:val="006C3CBD"/>
    <w:rsid w:val="006C422D"/>
    <w:rsid w:val="006C4C2F"/>
    <w:rsid w:val="006C5026"/>
    <w:rsid w:val="006C61CD"/>
    <w:rsid w:val="006C6506"/>
    <w:rsid w:val="006C6EBC"/>
    <w:rsid w:val="006D05D7"/>
    <w:rsid w:val="006D1961"/>
    <w:rsid w:val="006D2686"/>
    <w:rsid w:val="006D2901"/>
    <w:rsid w:val="006D337B"/>
    <w:rsid w:val="006D3CF6"/>
    <w:rsid w:val="006D49E2"/>
    <w:rsid w:val="006D4F4B"/>
    <w:rsid w:val="006D5895"/>
    <w:rsid w:val="006D5CE9"/>
    <w:rsid w:val="006D601F"/>
    <w:rsid w:val="006D6242"/>
    <w:rsid w:val="006D655F"/>
    <w:rsid w:val="006D6B88"/>
    <w:rsid w:val="006D7106"/>
    <w:rsid w:val="006D7876"/>
    <w:rsid w:val="006D7BBF"/>
    <w:rsid w:val="006E07FC"/>
    <w:rsid w:val="006E0875"/>
    <w:rsid w:val="006E1B80"/>
    <w:rsid w:val="006E329B"/>
    <w:rsid w:val="006E349C"/>
    <w:rsid w:val="006E3EE2"/>
    <w:rsid w:val="006E4730"/>
    <w:rsid w:val="006E4C7F"/>
    <w:rsid w:val="006E51E2"/>
    <w:rsid w:val="006E6003"/>
    <w:rsid w:val="006E662A"/>
    <w:rsid w:val="006E6C15"/>
    <w:rsid w:val="006E6F31"/>
    <w:rsid w:val="006E7055"/>
    <w:rsid w:val="006E7139"/>
    <w:rsid w:val="006E7568"/>
    <w:rsid w:val="006E7866"/>
    <w:rsid w:val="006E7CAE"/>
    <w:rsid w:val="006E7DB5"/>
    <w:rsid w:val="006F03AC"/>
    <w:rsid w:val="006F0671"/>
    <w:rsid w:val="006F06BA"/>
    <w:rsid w:val="006F3F1E"/>
    <w:rsid w:val="006F3F58"/>
    <w:rsid w:val="006F4265"/>
    <w:rsid w:val="006F4719"/>
    <w:rsid w:val="006F484D"/>
    <w:rsid w:val="006F4D5E"/>
    <w:rsid w:val="006F5434"/>
    <w:rsid w:val="006F5470"/>
    <w:rsid w:val="006F5BB9"/>
    <w:rsid w:val="006F6B12"/>
    <w:rsid w:val="006F7F48"/>
    <w:rsid w:val="00701037"/>
    <w:rsid w:val="00701662"/>
    <w:rsid w:val="00703228"/>
    <w:rsid w:val="0070472A"/>
    <w:rsid w:val="00704B26"/>
    <w:rsid w:val="00704D34"/>
    <w:rsid w:val="00704DF7"/>
    <w:rsid w:val="00704EC7"/>
    <w:rsid w:val="007058B4"/>
    <w:rsid w:val="007069A5"/>
    <w:rsid w:val="00706B5B"/>
    <w:rsid w:val="00707236"/>
    <w:rsid w:val="00707C93"/>
    <w:rsid w:val="00707E73"/>
    <w:rsid w:val="0071034B"/>
    <w:rsid w:val="00710905"/>
    <w:rsid w:val="00710B85"/>
    <w:rsid w:val="0071175F"/>
    <w:rsid w:val="0071198C"/>
    <w:rsid w:val="00711A3E"/>
    <w:rsid w:val="00712153"/>
    <w:rsid w:val="0071249D"/>
    <w:rsid w:val="0071277F"/>
    <w:rsid w:val="007127DF"/>
    <w:rsid w:val="0071321C"/>
    <w:rsid w:val="00713906"/>
    <w:rsid w:val="00713E32"/>
    <w:rsid w:val="007142E4"/>
    <w:rsid w:val="00714422"/>
    <w:rsid w:val="0071450B"/>
    <w:rsid w:val="00716AAE"/>
    <w:rsid w:val="00716EF6"/>
    <w:rsid w:val="00716FD6"/>
    <w:rsid w:val="007203F5"/>
    <w:rsid w:val="007207CA"/>
    <w:rsid w:val="007209FF"/>
    <w:rsid w:val="00720C99"/>
    <w:rsid w:val="0072139D"/>
    <w:rsid w:val="00721D40"/>
    <w:rsid w:val="00722E1A"/>
    <w:rsid w:val="00723B00"/>
    <w:rsid w:val="00725B01"/>
    <w:rsid w:val="00725B87"/>
    <w:rsid w:val="00725EE2"/>
    <w:rsid w:val="00726251"/>
    <w:rsid w:val="00726A98"/>
    <w:rsid w:val="00726C5E"/>
    <w:rsid w:val="00730FE9"/>
    <w:rsid w:val="007315B5"/>
    <w:rsid w:val="007319D1"/>
    <w:rsid w:val="00731D25"/>
    <w:rsid w:val="007321C0"/>
    <w:rsid w:val="00732FA4"/>
    <w:rsid w:val="00733881"/>
    <w:rsid w:val="007342F3"/>
    <w:rsid w:val="007346AC"/>
    <w:rsid w:val="00734A3B"/>
    <w:rsid w:val="00735A22"/>
    <w:rsid w:val="00735D7F"/>
    <w:rsid w:val="00735E60"/>
    <w:rsid w:val="007365BA"/>
    <w:rsid w:val="007368D3"/>
    <w:rsid w:val="00736950"/>
    <w:rsid w:val="00737745"/>
    <w:rsid w:val="00737746"/>
    <w:rsid w:val="0074001C"/>
    <w:rsid w:val="00740537"/>
    <w:rsid w:val="00740AEC"/>
    <w:rsid w:val="00740F07"/>
    <w:rsid w:val="0074190B"/>
    <w:rsid w:val="00741F50"/>
    <w:rsid w:val="007428F7"/>
    <w:rsid w:val="007438F6"/>
    <w:rsid w:val="00743C33"/>
    <w:rsid w:val="00744276"/>
    <w:rsid w:val="0074578C"/>
    <w:rsid w:val="00745E9D"/>
    <w:rsid w:val="00746378"/>
    <w:rsid w:val="0074685C"/>
    <w:rsid w:val="00750B1D"/>
    <w:rsid w:val="00750DB7"/>
    <w:rsid w:val="00751265"/>
    <w:rsid w:val="007513CC"/>
    <w:rsid w:val="00751AA9"/>
    <w:rsid w:val="00752B0E"/>
    <w:rsid w:val="007534F5"/>
    <w:rsid w:val="0075389E"/>
    <w:rsid w:val="00753BC5"/>
    <w:rsid w:val="00753CCE"/>
    <w:rsid w:val="00753D16"/>
    <w:rsid w:val="007540B4"/>
    <w:rsid w:val="00754807"/>
    <w:rsid w:val="00754DAF"/>
    <w:rsid w:val="00755185"/>
    <w:rsid w:val="00755B80"/>
    <w:rsid w:val="00755F2D"/>
    <w:rsid w:val="00755F66"/>
    <w:rsid w:val="007567B2"/>
    <w:rsid w:val="00756845"/>
    <w:rsid w:val="00756D11"/>
    <w:rsid w:val="00757330"/>
    <w:rsid w:val="007574FD"/>
    <w:rsid w:val="00757E19"/>
    <w:rsid w:val="00760316"/>
    <w:rsid w:val="00761CAF"/>
    <w:rsid w:val="00762506"/>
    <w:rsid w:val="00762F19"/>
    <w:rsid w:val="007649CA"/>
    <w:rsid w:val="0076634E"/>
    <w:rsid w:val="00767A7F"/>
    <w:rsid w:val="007704AB"/>
    <w:rsid w:val="00770D6B"/>
    <w:rsid w:val="0077186A"/>
    <w:rsid w:val="00771B1A"/>
    <w:rsid w:val="00772BCF"/>
    <w:rsid w:val="00774C73"/>
    <w:rsid w:val="0077567C"/>
    <w:rsid w:val="00775CD2"/>
    <w:rsid w:val="00775EED"/>
    <w:rsid w:val="00776AC1"/>
    <w:rsid w:val="00776BB2"/>
    <w:rsid w:val="00776D4D"/>
    <w:rsid w:val="00777334"/>
    <w:rsid w:val="007773B5"/>
    <w:rsid w:val="00777C40"/>
    <w:rsid w:val="00780F2D"/>
    <w:rsid w:val="00781E5A"/>
    <w:rsid w:val="00782838"/>
    <w:rsid w:val="00782BF8"/>
    <w:rsid w:val="00782F3A"/>
    <w:rsid w:val="007833BE"/>
    <w:rsid w:val="00783F72"/>
    <w:rsid w:val="00784614"/>
    <w:rsid w:val="007846CD"/>
    <w:rsid w:val="00785B24"/>
    <w:rsid w:val="00785FA6"/>
    <w:rsid w:val="007868DB"/>
    <w:rsid w:val="007873E3"/>
    <w:rsid w:val="007911AD"/>
    <w:rsid w:val="00791696"/>
    <w:rsid w:val="007916A7"/>
    <w:rsid w:val="0079259D"/>
    <w:rsid w:val="007927F4"/>
    <w:rsid w:val="0079284B"/>
    <w:rsid w:val="00792F15"/>
    <w:rsid w:val="007939F5"/>
    <w:rsid w:val="00793DAA"/>
    <w:rsid w:val="00793DDA"/>
    <w:rsid w:val="00794FBA"/>
    <w:rsid w:val="00795E49"/>
    <w:rsid w:val="00795F08"/>
    <w:rsid w:val="007A03EC"/>
    <w:rsid w:val="007A0574"/>
    <w:rsid w:val="007A0A15"/>
    <w:rsid w:val="007A1161"/>
    <w:rsid w:val="007A135A"/>
    <w:rsid w:val="007A1F41"/>
    <w:rsid w:val="007A3269"/>
    <w:rsid w:val="007A386B"/>
    <w:rsid w:val="007A390C"/>
    <w:rsid w:val="007A4410"/>
    <w:rsid w:val="007A49D0"/>
    <w:rsid w:val="007A50A6"/>
    <w:rsid w:val="007A50B0"/>
    <w:rsid w:val="007A6045"/>
    <w:rsid w:val="007A6A45"/>
    <w:rsid w:val="007A6DDB"/>
    <w:rsid w:val="007A7070"/>
    <w:rsid w:val="007A7AB0"/>
    <w:rsid w:val="007B0CC9"/>
    <w:rsid w:val="007B1464"/>
    <w:rsid w:val="007B39D9"/>
    <w:rsid w:val="007B5618"/>
    <w:rsid w:val="007B5FA6"/>
    <w:rsid w:val="007B75C2"/>
    <w:rsid w:val="007C04CC"/>
    <w:rsid w:val="007C081B"/>
    <w:rsid w:val="007C0D05"/>
    <w:rsid w:val="007C1537"/>
    <w:rsid w:val="007C1557"/>
    <w:rsid w:val="007C1A5F"/>
    <w:rsid w:val="007C2CD4"/>
    <w:rsid w:val="007C33F3"/>
    <w:rsid w:val="007C36E8"/>
    <w:rsid w:val="007C441B"/>
    <w:rsid w:val="007C6944"/>
    <w:rsid w:val="007C7BE6"/>
    <w:rsid w:val="007C7E2E"/>
    <w:rsid w:val="007D0CD7"/>
    <w:rsid w:val="007D0F1F"/>
    <w:rsid w:val="007D2BA8"/>
    <w:rsid w:val="007D33CA"/>
    <w:rsid w:val="007D3D3D"/>
    <w:rsid w:val="007D3D48"/>
    <w:rsid w:val="007D5575"/>
    <w:rsid w:val="007D598E"/>
    <w:rsid w:val="007D5B9E"/>
    <w:rsid w:val="007D6B80"/>
    <w:rsid w:val="007D6C3E"/>
    <w:rsid w:val="007D6DC3"/>
    <w:rsid w:val="007D72A9"/>
    <w:rsid w:val="007E0649"/>
    <w:rsid w:val="007E0B0D"/>
    <w:rsid w:val="007E0BDA"/>
    <w:rsid w:val="007E0BF0"/>
    <w:rsid w:val="007E0EC6"/>
    <w:rsid w:val="007E1053"/>
    <w:rsid w:val="007E160F"/>
    <w:rsid w:val="007E1CF8"/>
    <w:rsid w:val="007E2191"/>
    <w:rsid w:val="007E3136"/>
    <w:rsid w:val="007E31D3"/>
    <w:rsid w:val="007E3840"/>
    <w:rsid w:val="007E427C"/>
    <w:rsid w:val="007E7FA1"/>
    <w:rsid w:val="007F06F5"/>
    <w:rsid w:val="007F0953"/>
    <w:rsid w:val="007F11EC"/>
    <w:rsid w:val="007F136D"/>
    <w:rsid w:val="007F154F"/>
    <w:rsid w:val="007F2452"/>
    <w:rsid w:val="007F396C"/>
    <w:rsid w:val="007F4084"/>
    <w:rsid w:val="007F4727"/>
    <w:rsid w:val="007F4AE4"/>
    <w:rsid w:val="007F53AC"/>
    <w:rsid w:val="007F61B1"/>
    <w:rsid w:val="007F6288"/>
    <w:rsid w:val="007F6396"/>
    <w:rsid w:val="007F6528"/>
    <w:rsid w:val="007F68D5"/>
    <w:rsid w:val="007F691C"/>
    <w:rsid w:val="007F6E0B"/>
    <w:rsid w:val="007F7160"/>
    <w:rsid w:val="007F745D"/>
    <w:rsid w:val="007F75FE"/>
    <w:rsid w:val="00800B43"/>
    <w:rsid w:val="00800EBA"/>
    <w:rsid w:val="008010B7"/>
    <w:rsid w:val="00801617"/>
    <w:rsid w:val="00801B45"/>
    <w:rsid w:val="008020D3"/>
    <w:rsid w:val="00803871"/>
    <w:rsid w:val="00803950"/>
    <w:rsid w:val="00803E25"/>
    <w:rsid w:val="00804557"/>
    <w:rsid w:val="00804877"/>
    <w:rsid w:val="008049E2"/>
    <w:rsid w:val="008049F1"/>
    <w:rsid w:val="00805B97"/>
    <w:rsid w:val="00805FAF"/>
    <w:rsid w:val="008065EA"/>
    <w:rsid w:val="00807473"/>
    <w:rsid w:val="0081006D"/>
    <w:rsid w:val="008102D1"/>
    <w:rsid w:val="008105AF"/>
    <w:rsid w:val="00810916"/>
    <w:rsid w:val="00810DC9"/>
    <w:rsid w:val="00811FAB"/>
    <w:rsid w:val="00811FCF"/>
    <w:rsid w:val="0081253D"/>
    <w:rsid w:val="008127DC"/>
    <w:rsid w:val="00812B95"/>
    <w:rsid w:val="00812F0B"/>
    <w:rsid w:val="00815630"/>
    <w:rsid w:val="00815E76"/>
    <w:rsid w:val="00817F92"/>
    <w:rsid w:val="0082007D"/>
    <w:rsid w:val="008201C9"/>
    <w:rsid w:val="00821399"/>
    <w:rsid w:val="00821CCA"/>
    <w:rsid w:val="00821DE2"/>
    <w:rsid w:val="0082242D"/>
    <w:rsid w:val="00823812"/>
    <w:rsid w:val="00824F20"/>
    <w:rsid w:val="00825460"/>
    <w:rsid w:val="0082756C"/>
    <w:rsid w:val="00827B65"/>
    <w:rsid w:val="008303BE"/>
    <w:rsid w:val="00830748"/>
    <w:rsid w:val="00830A6D"/>
    <w:rsid w:val="008327FF"/>
    <w:rsid w:val="00833789"/>
    <w:rsid w:val="00835179"/>
    <w:rsid w:val="0083629E"/>
    <w:rsid w:val="008371A1"/>
    <w:rsid w:val="00837436"/>
    <w:rsid w:val="008374B5"/>
    <w:rsid w:val="00837981"/>
    <w:rsid w:val="00837C36"/>
    <w:rsid w:val="00837F0A"/>
    <w:rsid w:val="00837F51"/>
    <w:rsid w:val="008406A7"/>
    <w:rsid w:val="00840EA8"/>
    <w:rsid w:val="008413B7"/>
    <w:rsid w:val="00841BDF"/>
    <w:rsid w:val="00842214"/>
    <w:rsid w:val="00842311"/>
    <w:rsid w:val="0084260E"/>
    <w:rsid w:val="00843360"/>
    <w:rsid w:val="0084344A"/>
    <w:rsid w:val="00843A49"/>
    <w:rsid w:val="008448C7"/>
    <w:rsid w:val="0084503C"/>
    <w:rsid w:val="008452F0"/>
    <w:rsid w:val="00845FF1"/>
    <w:rsid w:val="00846314"/>
    <w:rsid w:val="00846EE6"/>
    <w:rsid w:val="00847957"/>
    <w:rsid w:val="00847AB0"/>
    <w:rsid w:val="00847D33"/>
    <w:rsid w:val="00850C41"/>
    <w:rsid w:val="00851AC6"/>
    <w:rsid w:val="00851D4C"/>
    <w:rsid w:val="00852AAD"/>
    <w:rsid w:val="00853162"/>
    <w:rsid w:val="0085329D"/>
    <w:rsid w:val="008536F7"/>
    <w:rsid w:val="00854C37"/>
    <w:rsid w:val="00854E46"/>
    <w:rsid w:val="00855B3F"/>
    <w:rsid w:val="008560DE"/>
    <w:rsid w:val="00857272"/>
    <w:rsid w:val="0085743E"/>
    <w:rsid w:val="00857D0B"/>
    <w:rsid w:val="00860197"/>
    <w:rsid w:val="00861425"/>
    <w:rsid w:val="0086192B"/>
    <w:rsid w:val="0086199A"/>
    <w:rsid w:val="00862725"/>
    <w:rsid w:val="00863170"/>
    <w:rsid w:val="00863983"/>
    <w:rsid w:val="0086466E"/>
    <w:rsid w:val="008646D3"/>
    <w:rsid w:val="0086615E"/>
    <w:rsid w:val="0086620B"/>
    <w:rsid w:val="008669F0"/>
    <w:rsid w:val="0086706F"/>
    <w:rsid w:val="00867634"/>
    <w:rsid w:val="0086798A"/>
    <w:rsid w:val="0087013F"/>
    <w:rsid w:val="008713E1"/>
    <w:rsid w:val="0087240E"/>
    <w:rsid w:val="008728AA"/>
    <w:rsid w:val="00872D6E"/>
    <w:rsid w:val="008735A4"/>
    <w:rsid w:val="008754A6"/>
    <w:rsid w:val="00875DE7"/>
    <w:rsid w:val="008761EF"/>
    <w:rsid w:val="00877735"/>
    <w:rsid w:val="0087780F"/>
    <w:rsid w:val="00880959"/>
    <w:rsid w:val="00880DFA"/>
    <w:rsid w:val="00881B06"/>
    <w:rsid w:val="00882976"/>
    <w:rsid w:val="00882C69"/>
    <w:rsid w:val="0088347B"/>
    <w:rsid w:val="00883597"/>
    <w:rsid w:val="00883626"/>
    <w:rsid w:val="00883C81"/>
    <w:rsid w:val="008859F5"/>
    <w:rsid w:val="00886270"/>
    <w:rsid w:val="0088695D"/>
    <w:rsid w:val="00890503"/>
    <w:rsid w:val="00890DC4"/>
    <w:rsid w:val="008915AD"/>
    <w:rsid w:val="0089215E"/>
    <w:rsid w:val="008921A5"/>
    <w:rsid w:val="0089302A"/>
    <w:rsid w:val="00893D8F"/>
    <w:rsid w:val="00894F4B"/>
    <w:rsid w:val="00895047"/>
    <w:rsid w:val="008953B6"/>
    <w:rsid w:val="00896A53"/>
    <w:rsid w:val="00896B2E"/>
    <w:rsid w:val="00896CA7"/>
    <w:rsid w:val="00897365"/>
    <w:rsid w:val="008A055A"/>
    <w:rsid w:val="008A0E72"/>
    <w:rsid w:val="008A130E"/>
    <w:rsid w:val="008A1AF9"/>
    <w:rsid w:val="008A1C35"/>
    <w:rsid w:val="008A25F5"/>
    <w:rsid w:val="008A3BA1"/>
    <w:rsid w:val="008A416B"/>
    <w:rsid w:val="008A4D04"/>
    <w:rsid w:val="008A4FF0"/>
    <w:rsid w:val="008A50A1"/>
    <w:rsid w:val="008A636C"/>
    <w:rsid w:val="008A6AD3"/>
    <w:rsid w:val="008A7E52"/>
    <w:rsid w:val="008B0206"/>
    <w:rsid w:val="008B06D3"/>
    <w:rsid w:val="008B26E6"/>
    <w:rsid w:val="008B2985"/>
    <w:rsid w:val="008B2A51"/>
    <w:rsid w:val="008B3334"/>
    <w:rsid w:val="008B3484"/>
    <w:rsid w:val="008B40D9"/>
    <w:rsid w:val="008B4431"/>
    <w:rsid w:val="008B4522"/>
    <w:rsid w:val="008B57AB"/>
    <w:rsid w:val="008B58E3"/>
    <w:rsid w:val="008B5F8A"/>
    <w:rsid w:val="008B5FAB"/>
    <w:rsid w:val="008B695E"/>
    <w:rsid w:val="008B6ADA"/>
    <w:rsid w:val="008B7E0E"/>
    <w:rsid w:val="008C0567"/>
    <w:rsid w:val="008C07AE"/>
    <w:rsid w:val="008C2A6F"/>
    <w:rsid w:val="008C2C96"/>
    <w:rsid w:val="008C38B1"/>
    <w:rsid w:val="008C4214"/>
    <w:rsid w:val="008C4656"/>
    <w:rsid w:val="008C46B3"/>
    <w:rsid w:val="008C4BB3"/>
    <w:rsid w:val="008C540F"/>
    <w:rsid w:val="008C5C51"/>
    <w:rsid w:val="008C5C8F"/>
    <w:rsid w:val="008C5CA6"/>
    <w:rsid w:val="008C6F4D"/>
    <w:rsid w:val="008C7543"/>
    <w:rsid w:val="008C75CD"/>
    <w:rsid w:val="008C7EC1"/>
    <w:rsid w:val="008D0295"/>
    <w:rsid w:val="008D089E"/>
    <w:rsid w:val="008D08A4"/>
    <w:rsid w:val="008D0A82"/>
    <w:rsid w:val="008D0F64"/>
    <w:rsid w:val="008D13F0"/>
    <w:rsid w:val="008D1959"/>
    <w:rsid w:val="008D1CDA"/>
    <w:rsid w:val="008D1F92"/>
    <w:rsid w:val="008D2301"/>
    <w:rsid w:val="008D2558"/>
    <w:rsid w:val="008D2A6D"/>
    <w:rsid w:val="008D49E2"/>
    <w:rsid w:val="008D58C3"/>
    <w:rsid w:val="008D5C7C"/>
    <w:rsid w:val="008D6DC6"/>
    <w:rsid w:val="008E00AC"/>
    <w:rsid w:val="008E1329"/>
    <w:rsid w:val="008E1881"/>
    <w:rsid w:val="008E3CC3"/>
    <w:rsid w:val="008E4C36"/>
    <w:rsid w:val="008E509D"/>
    <w:rsid w:val="008E66E2"/>
    <w:rsid w:val="008E71E8"/>
    <w:rsid w:val="008E771F"/>
    <w:rsid w:val="008F20CB"/>
    <w:rsid w:val="008F2419"/>
    <w:rsid w:val="008F31C3"/>
    <w:rsid w:val="008F3F94"/>
    <w:rsid w:val="008F5A93"/>
    <w:rsid w:val="008F5E93"/>
    <w:rsid w:val="008F6C8B"/>
    <w:rsid w:val="008F6E40"/>
    <w:rsid w:val="008F7E85"/>
    <w:rsid w:val="00900521"/>
    <w:rsid w:val="00900DF2"/>
    <w:rsid w:val="00901443"/>
    <w:rsid w:val="00903125"/>
    <w:rsid w:val="00903C65"/>
    <w:rsid w:val="00903D0D"/>
    <w:rsid w:val="00904016"/>
    <w:rsid w:val="00904B11"/>
    <w:rsid w:val="00904CB3"/>
    <w:rsid w:val="0090516C"/>
    <w:rsid w:val="0090534D"/>
    <w:rsid w:val="00905C65"/>
    <w:rsid w:val="00906ACC"/>
    <w:rsid w:val="00907ACA"/>
    <w:rsid w:val="0091016B"/>
    <w:rsid w:val="00910284"/>
    <w:rsid w:val="00911CD7"/>
    <w:rsid w:val="00912571"/>
    <w:rsid w:val="009128B6"/>
    <w:rsid w:val="009128BE"/>
    <w:rsid w:val="00913416"/>
    <w:rsid w:val="009161AD"/>
    <w:rsid w:val="00920554"/>
    <w:rsid w:val="009211D9"/>
    <w:rsid w:val="0092149D"/>
    <w:rsid w:val="0092310E"/>
    <w:rsid w:val="0092347B"/>
    <w:rsid w:val="00923E0E"/>
    <w:rsid w:val="00924210"/>
    <w:rsid w:val="00924B4B"/>
    <w:rsid w:val="00924E60"/>
    <w:rsid w:val="009255DE"/>
    <w:rsid w:val="009258C0"/>
    <w:rsid w:val="00925F59"/>
    <w:rsid w:val="009260A4"/>
    <w:rsid w:val="009260B2"/>
    <w:rsid w:val="00926740"/>
    <w:rsid w:val="00926AC3"/>
    <w:rsid w:val="00926E89"/>
    <w:rsid w:val="009272EA"/>
    <w:rsid w:val="00930150"/>
    <w:rsid w:val="00930379"/>
    <w:rsid w:val="00931299"/>
    <w:rsid w:val="0093129E"/>
    <w:rsid w:val="0093163A"/>
    <w:rsid w:val="00931F2A"/>
    <w:rsid w:val="00932734"/>
    <w:rsid w:val="00932D09"/>
    <w:rsid w:val="00932EDE"/>
    <w:rsid w:val="00934B06"/>
    <w:rsid w:val="00934F17"/>
    <w:rsid w:val="009358FB"/>
    <w:rsid w:val="00937037"/>
    <w:rsid w:val="00937B76"/>
    <w:rsid w:val="009410C7"/>
    <w:rsid w:val="00941845"/>
    <w:rsid w:val="009424F4"/>
    <w:rsid w:val="0094316A"/>
    <w:rsid w:val="009431C4"/>
    <w:rsid w:val="00943615"/>
    <w:rsid w:val="00945639"/>
    <w:rsid w:val="0094656C"/>
    <w:rsid w:val="009468F1"/>
    <w:rsid w:val="00947598"/>
    <w:rsid w:val="0095050E"/>
    <w:rsid w:val="0095085D"/>
    <w:rsid w:val="00950D9F"/>
    <w:rsid w:val="00951AC8"/>
    <w:rsid w:val="00951DD8"/>
    <w:rsid w:val="00952BC7"/>
    <w:rsid w:val="00952F6D"/>
    <w:rsid w:val="0095395C"/>
    <w:rsid w:val="009542B4"/>
    <w:rsid w:val="009543E0"/>
    <w:rsid w:val="00954680"/>
    <w:rsid w:val="009555C4"/>
    <w:rsid w:val="009563E3"/>
    <w:rsid w:val="00956AE3"/>
    <w:rsid w:val="00957695"/>
    <w:rsid w:val="009577AC"/>
    <w:rsid w:val="0096131F"/>
    <w:rsid w:val="009623EF"/>
    <w:rsid w:val="009625AE"/>
    <w:rsid w:val="00962AD4"/>
    <w:rsid w:val="00962B3C"/>
    <w:rsid w:val="00962CEE"/>
    <w:rsid w:val="00962F30"/>
    <w:rsid w:val="00963DA7"/>
    <w:rsid w:val="009647D5"/>
    <w:rsid w:val="00965352"/>
    <w:rsid w:val="00965B67"/>
    <w:rsid w:val="00965CB9"/>
    <w:rsid w:val="009673D9"/>
    <w:rsid w:val="00967816"/>
    <w:rsid w:val="0097085C"/>
    <w:rsid w:val="00970C0B"/>
    <w:rsid w:val="00971153"/>
    <w:rsid w:val="009719E8"/>
    <w:rsid w:val="00971FC8"/>
    <w:rsid w:val="00972B41"/>
    <w:rsid w:val="00972C66"/>
    <w:rsid w:val="00973341"/>
    <w:rsid w:val="0097442B"/>
    <w:rsid w:val="00974726"/>
    <w:rsid w:val="00974850"/>
    <w:rsid w:val="009754B9"/>
    <w:rsid w:val="00975CFC"/>
    <w:rsid w:val="00976035"/>
    <w:rsid w:val="009769BD"/>
    <w:rsid w:val="0097722C"/>
    <w:rsid w:val="00977E95"/>
    <w:rsid w:val="009814ED"/>
    <w:rsid w:val="0098150B"/>
    <w:rsid w:val="0098219E"/>
    <w:rsid w:val="009826E2"/>
    <w:rsid w:val="00982CD4"/>
    <w:rsid w:val="009840E3"/>
    <w:rsid w:val="00984255"/>
    <w:rsid w:val="0098442D"/>
    <w:rsid w:val="0098462B"/>
    <w:rsid w:val="0098509D"/>
    <w:rsid w:val="009858D6"/>
    <w:rsid w:val="00990089"/>
    <w:rsid w:val="00990103"/>
    <w:rsid w:val="00990648"/>
    <w:rsid w:val="00990888"/>
    <w:rsid w:val="00991540"/>
    <w:rsid w:val="0099159C"/>
    <w:rsid w:val="009917D8"/>
    <w:rsid w:val="00991E16"/>
    <w:rsid w:val="0099258B"/>
    <w:rsid w:val="00992997"/>
    <w:rsid w:val="00993B91"/>
    <w:rsid w:val="0099403A"/>
    <w:rsid w:val="00994478"/>
    <w:rsid w:val="009947AA"/>
    <w:rsid w:val="0099500A"/>
    <w:rsid w:val="00995130"/>
    <w:rsid w:val="009970E6"/>
    <w:rsid w:val="00997217"/>
    <w:rsid w:val="0099756D"/>
    <w:rsid w:val="009A0187"/>
    <w:rsid w:val="009A08BA"/>
    <w:rsid w:val="009A1682"/>
    <w:rsid w:val="009A16FC"/>
    <w:rsid w:val="009A2062"/>
    <w:rsid w:val="009A2A51"/>
    <w:rsid w:val="009A5545"/>
    <w:rsid w:val="009A5C8E"/>
    <w:rsid w:val="009A614B"/>
    <w:rsid w:val="009A618D"/>
    <w:rsid w:val="009A69A8"/>
    <w:rsid w:val="009A6AEA"/>
    <w:rsid w:val="009A7E65"/>
    <w:rsid w:val="009B1071"/>
    <w:rsid w:val="009B1C83"/>
    <w:rsid w:val="009B202F"/>
    <w:rsid w:val="009B257C"/>
    <w:rsid w:val="009B44EB"/>
    <w:rsid w:val="009B46B8"/>
    <w:rsid w:val="009B535F"/>
    <w:rsid w:val="009B55DD"/>
    <w:rsid w:val="009B5772"/>
    <w:rsid w:val="009C1B48"/>
    <w:rsid w:val="009C3E74"/>
    <w:rsid w:val="009C3F25"/>
    <w:rsid w:val="009C41A7"/>
    <w:rsid w:val="009C4731"/>
    <w:rsid w:val="009C4C58"/>
    <w:rsid w:val="009C740E"/>
    <w:rsid w:val="009D011F"/>
    <w:rsid w:val="009D05A8"/>
    <w:rsid w:val="009D0AB0"/>
    <w:rsid w:val="009D0D93"/>
    <w:rsid w:val="009D0F95"/>
    <w:rsid w:val="009D307F"/>
    <w:rsid w:val="009D4A0E"/>
    <w:rsid w:val="009D53F3"/>
    <w:rsid w:val="009D72A5"/>
    <w:rsid w:val="009E0825"/>
    <w:rsid w:val="009E0B42"/>
    <w:rsid w:val="009E0CD7"/>
    <w:rsid w:val="009E0D40"/>
    <w:rsid w:val="009E1354"/>
    <w:rsid w:val="009E141D"/>
    <w:rsid w:val="009E1A2B"/>
    <w:rsid w:val="009E1CA1"/>
    <w:rsid w:val="009E31C0"/>
    <w:rsid w:val="009E31FE"/>
    <w:rsid w:val="009E365C"/>
    <w:rsid w:val="009E3936"/>
    <w:rsid w:val="009E3CBA"/>
    <w:rsid w:val="009E4523"/>
    <w:rsid w:val="009E4ABA"/>
    <w:rsid w:val="009E614D"/>
    <w:rsid w:val="009E6FF0"/>
    <w:rsid w:val="009E73F0"/>
    <w:rsid w:val="009F39CB"/>
    <w:rsid w:val="009F45F8"/>
    <w:rsid w:val="009F49AC"/>
    <w:rsid w:val="009F53B8"/>
    <w:rsid w:val="009F5A64"/>
    <w:rsid w:val="009F5F2A"/>
    <w:rsid w:val="009F698B"/>
    <w:rsid w:val="009F710F"/>
    <w:rsid w:val="00A01046"/>
    <w:rsid w:val="00A016CF"/>
    <w:rsid w:val="00A01DB0"/>
    <w:rsid w:val="00A02DFC"/>
    <w:rsid w:val="00A032F2"/>
    <w:rsid w:val="00A05512"/>
    <w:rsid w:val="00A057F2"/>
    <w:rsid w:val="00A06F44"/>
    <w:rsid w:val="00A1025F"/>
    <w:rsid w:val="00A10E92"/>
    <w:rsid w:val="00A11457"/>
    <w:rsid w:val="00A1157F"/>
    <w:rsid w:val="00A11957"/>
    <w:rsid w:val="00A12671"/>
    <w:rsid w:val="00A12EE4"/>
    <w:rsid w:val="00A13106"/>
    <w:rsid w:val="00A134BB"/>
    <w:rsid w:val="00A1375D"/>
    <w:rsid w:val="00A13ADC"/>
    <w:rsid w:val="00A148E3"/>
    <w:rsid w:val="00A157D6"/>
    <w:rsid w:val="00A1688B"/>
    <w:rsid w:val="00A17055"/>
    <w:rsid w:val="00A17CA8"/>
    <w:rsid w:val="00A20B12"/>
    <w:rsid w:val="00A214F2"/>
    <w:rsid w:val="00A2151C"/>
    <w:rsid w:val="00A21D04"/>
    <w:rsid w:val="00A22795"/>
    <w:rsid w:val="00A22943"/>
    <w:rsid w:val="00A2308C"/>
    <w:rsid w:val="00A2320B"/>
    <w:rsid w:val="00A23CB5"/>
    <w:rsid w:val="00A24872"/>
    <w:rsid w:val="00A24934"/>
    <w:rsid w:val="00A25113"/>
    <w:rsid w:val="00A25283"/>
    <w:rsid w:val="00A263DC"/>
    <w:rsid w:val="00A2682F"/>
    <w:rsid w:val="00A27075"/>
    <w:rsid w:val="00A27BB4"/>
    <w:rsid w:val="00A27DE5"/>
    <w:rsid w:val="00A3015D"/>
    <w:rsid w:val="00A301AE"/>
    <w:rsid w:val="00A30EC2"/>
    <w:rsid w:val="00A31946"/>
    <w:rsid w:val="00A323A2"/>
    <w:rsid w:val="00A32745"/>
    <w:rsid w:val="00A32C77"/>
    <w:rsid w:val="00A3350C"/>
    <w:rsid w:val="00A3354C"/>
    <w:rsid w:val="00A33971"/>
    <w:rsid w:val="00A34128"/>
    <w:rsid w:val="00A3437C"/>
    <w:rsid w:val="00A345BA"/>
    <w:rsid w:val="00A35054"/>
    <w:rsid w:val="00A357BC"/>
    <w:rsid w:val="00A36556"/>
    <w:rsid w:val="00A372E0"/>
    <w:rsid w:val="00A403AA"/>
    <w:rsid w:val="00A40C1B"/>
    <w:rsid w:val="00A411AB"/>
    <w:rsid w:val="00A4205E"/>
    <w:rsid w:val="00A42399"/>
    <w:rsid w:val="00A4260F"/>
    <w:rsid w:val="00A43183"/>
    <w:rsid w:val="00A44411"/>
    <w:rsid w:val="00A449AD"/>
    <w:rsid w:val="00A45429"/>
    <w:rsid w:val="00A45D99"/>
    <w:rsid w:val="00A46C4E"/>
    <w:rsid w:val="00A46E45"/>
    <w:rsid w:val="00A47359"/>
    <w:rsid w:val="00A50691"/>
    <w:rsid w:val="00A50799"/>
    <w:rsid w:val="00A5126C"/>
    <w:rsid w:val="00A514F4"/>
    <w:rsid w:val="00A5183B"/>
    <w:rsid w:val="00A518A2"/>
    <w:rsid w:val="00A52229"/>
    <w:rsid w:val="00A52610"/>
    <w:rsid w:val="00A52901"/>
    <w:rsid w:val="00A53733"/>
    <w:rsid w:val="00A54AFC"/>
    <w:rsid w:val="00A561D4"/>
    <w:rsid w:val="00A56254"/>
    <w:rsid w:val="00A562B7"/>
    <w:rsid w:val="00A56ACB"/>
    <w:rsid w:val="00A56CA0"/>
    <w:rsid w:val="00A56D58"/>
    <w:rsid w:val="00A56F0E"/>
    <w:rsid w:val="00A57694"/>
    <w:rsid w:val="00A60443"/>
    <w:rsid w:val="00A6051B"/>
    <w:rsid w:val="00A60567"/>
    <w:rsid w:val="00A6094E"/>
    <w:rsid w:val="00A609E0"/>
    <w:rsid w:val="00A60AC0"/>
    <w:rsid w:val="00A618B2"/>
    <w:rsid w:val="00A64364"/>
    <w:rsid w:val="00A650B9"/>
    <w:rsid w:val="00A65684"/>
    <w:rsid w:val="00A6602D"/>
    <w:rsid w:val="00A66B69"/>
    <w:rsid w:val="00A70358"/>
    <w:rsid w:val="00A70633"/>
    <w:rsid w:val="00A714F3"/>
    <w:rsid w:val="00A71DD9"/>
    <w:rsid w:val="00A7262D"/>
    <w:rsid w:val="00A73157"/>
    <w:rsid w:val="00A7352A"/>
    <w:rsid w:val="00A736E7"/>
    <w:rsid w:val="00A73BE9"/>
    <w:rsid w:val="00A74AFF"/>
    <w:rsid w:val="00A75045"/>
    <w:rsid w:val="00A7588A"/>
    <w:rsid w:val="00A75A21"/>
    <w:rsid w:val="00A75E4F"/>
    <w:rsid w:val="00A75EDD"/>
    <w:rsid w:val="00A7675B"/>
    <w:rsid w:val="00A76C2A"/>
    <w:rsid w:val="00A7728A"/>
    <w:rsid w:val="00A7781A"/>
    <w:rsid w:val="00A778B9"/>
    <w:rsid w:val="00A77C7D"/>
    <w:rsid w:val="00A77E85"/>
    <w:rsid w:val="00A805A0"/>
    <w:rsid w:val="00A8139F"/>
    <w:rsid w:val="00A816DE"/>
    <w:rsid w:val="00A8172E"/>
    <w:rsid w:val="00A818DC"/>
    <w:rsid w:val="00A82162"/>
    <w:rsid w:val="00A8232B"/>
    <w:rsid w:val="00A8259C"/>
    <w:rsid w:val="00A83142"/>
    <w:rsid w:val="00A833FB"/>
    <w:rsid w:val="00A83717"/>
    <w:rsid w:val="00A83BDC"/>
    <w:rsid w:val="00A84A6C"/>
    <w:rsid w:val="00A85278"/>
    <w:rsid w:val="00A86F75"/>
    <w:rsid w:val="00A87887"/>
    <w:rsid w:val="00A87BCD"/>
    <w:rsid w:val="00A904A2"/>
    <w:rsid w:val="00A91C86"/>
    <w:rsid w:val="00A91D9F"/>
    <w:rsid w:val="00A9298F"/>
    <w:rsid w:val="00A937F0"/>
    <w:rsid w:val="00A9389D"/>
    <w:rsid w:val="00A93A27"/>
    <w:rsid w:val="00A93D99"/>
    <w:rsid w:val="00A956E2"/>
    <w:rsid w:val="00A957B3"/>
    <w:rsid w:val="00A95CF0"/>
    <w:rsid w:val="00A96460"/>
    <w:rsid w:val="00A97668"/>
    <w:rsid w:val="00A97900"/>
    <w:rsid w:val="00A97DC1"/>
    <w:rsid w:val="00AA090A"/>
    <w:rsid w:val="00AA0F1C"/>
    <w:rsid w:val="00AA1051"/>
    <w:rsid w:val="00AA1C69"/>
    <w:rsid w:val="00AA2C2B"/>
    <w:rsid w:val="00AA2D10"/>
    <w:rsid w:val="00AA4224"/>
    <w:rsid w:val="00AA50C0"/>
    <w:rsid w:val="00AA542D"/>
    <w:rsid w:val="00AA5A22"/>
    <w:rsid w:val="00AA6A24"/>
    <w:rsid w:val="00AA770A"/>
    <w:rsid w:val="00AA7BBE"/>
    <w:rsid w:val="00AA7CF1"/>
    <w:rsid w:val="00AB077E"/>
    <w:rsid w:val="00AB0A00"/>
    <w:rsid w:val="00AB1BBE"/>
    <w:rsid w:val="00AB2D10"/>
    <w:rsid w:val="00AB371E"/>
    <w:rsid w:val="00AB3F19"/>
    <w:rsid w:val="00AB5161"/>
    <w:rsid w:val="00AB5D78"/>
    <w:rsid w:val="00AB7375"/>
    <w:rsid w:val="00AB79A6"/>
    <w:rsid w:val="00AC0BD2"/>
    <w:rsid w:val="00AC0F36"/>
    <w:rsid w:val="00AC10FD"/>
    <w:rsid w:val="00AC1417"/>
    <w:rsid w:val="00AC1E0C"/>
    <w:rsid w:val="00AC29DC"/>
    <w:rsid w:val="00AC4894"/>
    <w:rsid w:val="00AC52BA"/>
    <w:rsid w:val="00AC5D4B"/>
    <w:rsid w:val="00AC5E3E"/>
    <w:rsid w:val="00AC5F78"/>
    <w:rsid w:val="00AC6B2D"/>
    <w:rsid w:val="00AC7130"/>
    <w:rsid w:val="00AC7162"/>
    <w:rsid w:val="00AC7576"/>
    <w:rsid w:val="00AD0E76"/>
    <w:rsid w:val="00AD10BD"/>
    <w:rsid w:val="00AD17D6"/>
    <w:rsid w:val="00AD1A73"/>
    <w:rsid w:val="00AD502B"/>
    <w:rsid w:val="00AD5E09"/>
    <w:rsid w:val="00AD6EED"/>
    <w:rsid w:val="00AD733B"/>
    <w:rsid w:val="00AE01DD"/>
    <w:rsid w:val="00AE0935"/>
    <w:rsid w:val="00AE0DAE"/>
    <w:rsid w:val="00AE18D1"/>
    <w:rsid w:val="00AE247E"/>
    <w:rsid w:val="00AE326B"/>
    <w:rsid w:val="00AE3385"/>
    <w:rsid w:val="00AE35CB"/>
    <w:rsid w:val="00AE4765"/>
    <w:rsid w:val="00AE4A5C"/>
    <w:rsid w:val="00AE4C40"/>
    <w:rsid w:val="00AE56DF"/>
    <w:rsid w:val="00AE576B"/>
    <w:rsid w:val="00AE6053"/>
    <w:rsid w:val="00AE650C"/>
    <w:rsid w:val="00AE75CE"/>
    <w:rsid w:val="00AF01D3"/>
    <w:rsid w:val="00AF0502"/>
    <w:rsid w:val="00AF0834"/>
    <w:rsid w:val="00AF09F9"/>
    <w:rsid w:val="00AF1E53"/>
    <w:rsid w:val="00AF1FE4"/>
    <w:rsid w:val="00AF40E9"/>
    <w:rsid w:val="00AF4712"/>
    <w:rsid w:val="00AF4A61"/>
    <w:rsid w:val="00AF4BFF"/>
    <w:rsid w:val="00AF4D6F"/>
    <w:rsid w:val="00AF4ED6"/>
    <w:rsid w:val="00AF5995"/>
    <w:rsid w:val="00AF5D19"/>
    <w:rsid w:val="00AF676B"/>
    <w:rsid w:val="00AF70A7"/>
    <w:rsid w:val="00AF7D25"/>
    <w:rsid w:val="00B004FA"/>
    <w:rsid w:val="00B005F3"/>
    <w:rsid w:val="00B00741"/>
    <w:rsid w:val="00B007A2"/>
    <w:rsid w:val="00B00C75"/>
    <w:rsid w:val="00B00D55"/>
    <w:rsid w:val="00B0192A"/>
    <w:rsid w:val="00B01F97"/>
    <w:rsid w:val="00B023A7"/>
    <w:rsid w:val="00B03687"/>
    <w:rsid w:val="00B036C7"/>
    <w:rsid w:val="00B04449"/>
    <w:rsid w:val="00B04E1C"/>
    <w:rsid w:val="00B050F5"/>
    <w:rsid w:val="00B058A1"/>
    <w:rsid w:val="00B05BC5"/>
    <w:rsid w:val="00B05DFF"/>
    <w:rsid w:val="00B06807"/>
    <w:rsid w:val="00B06CD5"/>
    <w:rsid w:val="00B07391"/>
    <w:rsid w:val="00B07CE7"/>
    <w:rsid w:val="00B101CA"/>
    <w:rsid w:val="00B109C3"/>
    <w:rsid w:val="00B1115A"/>
    <w:rsid w:val="00B11BEB"/>
    <w:rsid w:val="00B11E89"/>
    <w:rsid w:val="00B12BF8"/>
    <w:rsid w:val="00B131E8"/>
    <w:rsid w:val="00B13A4B"/>
    <w:rsid w:val="00B14669"/>
    <w:rsid w:val="00B146A8"/>
    <w:rsid w:val="00B14F2E"/>
    <w:rsid w:val="00B15C13"/>
    <w:rsid w:val="00B15DEE"/>
    <w:rsid w:val="00B16964"/>
    <w:rsid w:val="00B16E48"/>
    <w:rsid w:val="00B1769D"/>
    <w:rsid w:val="00B17952"/>
    <w:rsid w:val="00B17E70"/>
    <w:rsid w:val="00B201D6"/>
    <w:rsid w:val="00B20295"/>
    <w:rsid w:val="00B21008"/>
    <w:rsid w:val="00B212BD"/>
    <w:rsid w:val="00B219F3"/>
    <w:rsid w:val="00B2274B"/>
    <w:rsid w:val="00B22938"/>
    <w:rsid w:val="00B22B81"/>
    <w:rsid w:val="00B237DE"/>
    <w:rsid w:val="00B24D60"/>
    <w:rsid w:val="00B25394"/>
    <w:rsid w:val="00B25E56"/>
    <w:rsid w:val="00B262E0"/>
    <w:rsid w:val="00B26751"/>
    <w:rsid w:val="00B303F4"/>
    <w:rsid w:val="00B30D02"/>
    <w:rsid w:val="00B31365"/>
    <w:rsid w:val="00B31B68"/>
    <w:rsid w:val="00B31E59"/>
    <w:rsid w:val="00B31F7D"/>
    <w:rsid w:val="00B32824"/>
    <w:rsid w:val="00B33BBA"/>
    <w:rsid w:val="00B34AA6"/>
    <w:rsid w:val="00B34BB5"/>
    <w:rsid w:val="00B354BD"/>
    <w:rsid w:val="00B359B9"/>
    <w:rsid w:val="00B36235"/>
    <w:rsid w:val="00B3635D"/>
    <w:rsid w:val="00B37157"/>
    <w:rsid w:val="00B37CDE"/>
    <w:rsid w:val="00B40577"/>
    <w:rsid w:val="00B4154C"/>
    <w:rsid w:val="00B417E9"/>
    <w:rsid w:val="00B41F01"/>
    <w:rsid w:val="00B439D5"/>
    <w:rsid w:val="00B4428B"/>
    <w:rsid w:val="00B446EF"/>
    <w:rsid w:val="00B4500A"/>
    <w:rsid w:val="00B45843"/>
    <w:rsid w:val="00B46D18"/>
    <w:rsid w:val="00B46DCA"/>
    <w:rsid w:val="00B46E20"/>
    <w:rsid w:val="00B4704C"/>
    <w:rsid w:val="00B500BF"/>
    <w:rsid w:val="00B50785"/>
    <w:rsid w:val="00B50FC8"/>
    <w:rsid w:val="00B51A33"/>
    <w:rsid w:val="00B51B9A"/>
    <w:rsid w:val="00B527A2"/>
    <w:rsid w:val="00B52DA9"/>
    <w:rsid w:val="00B5344F"/>
    <w:rsid w:val="00B535B0"/>
    <w:rsid w:val="00B53C0F"/>
    <w:rsid w:val="00B5431D"/>
    <w:rsid w:val="00B55EED"/>
    <w:rsid w:val="00B56054"/>
    <w:rsid w:val="00B5714B"/>
    <w:rsid w:val="00B574B6"/>
    <w:rsid w:val="00B6011C"/>
    <w:rsid w:val="00B61E4E"/>
    <w:rsid w:val="00B61FE6"/>
    <w:rsid w:val="00B622B6"/>
    <w:rsid w:val="00B62BFB"/>
    <w:rsid w:val="00B63696"/>
    <w:rsid w:val="00B6391C"/>
    <w:rsid w:val="00B63C92"/>
    <w:rsid w:val="00B641AC"/>
    <w:rsid w:val="00B648A3"/>
    <w:rsid w:val="00B648DF"/>
    <w:rsid w:val="00B6560F"/>
    <w:rsid w:val="00B66298"/>
    <w:rsid w:val="00B67CA7"/>
    <w:rsid w:val="00B70198"/>
    <w:rsid w:val="00B70A8E"/>
    <w:rsid w:val="00B70E01"/>
    <w:rsid w:val="00B72020"/>
    <w:rsid w:val="00B725A7"/>
    <w:rsid w:val="00B731FF"/>
    <w:rsid w:val="00B7375E"/>
    <w:rsid w:val="00B73A4F"/>
    <w:rsid w:val="00B73DDA"/>
    <w:rsid w:val="00B74450"/>
    <w:rsid w:val="00B75002"/>
    <w:rsid w:val="00B763C2"/>
    <w:rsid w:val="00B776AB"/>
    <w:rsid w:val="00B77C1F"/>
    <w:rsid w:val="00B80A99"/>
    <w:rsid w:val="00B81479"/>
    <w:rsid w:val="00B81B3C"/>
    <w:rsid w:val="00B82DE7"/>
    <w:rsid w:val="00B82EF5"/>
    <w:rsid w:val="00B83C6F"/>
    <w:rsid w:val="00B84CB1"/>
    <w:rsid w:val="00B84E9B"/>
    <w:rsid w:val="00B85784"/>
    <w:rsid w:val="00B85866"/>
    <w:rsid w:val="00B85CF4"/>
    <w:rsid w:val="00B86012"/>
    <w:rsid w:val="00B871E8"/>
    <w:rsid w:val="00B9098A"/>
    <w:rsid w:val="00B90D4C"/>
    <w:rsid w:val="00B91591"/>
    <w:rsid w:val="00B933C2"/>
    <w:rsid w:val="00B93CE7"/>
    <w:rsid w:val="00B947D3"/>
    <w:rsid w:val="00B949E6"/>
    <w:rsid w:val="00B94E59"/>
    <w:rsid w:val="00B94FB9"/>
    <w:rsid w:val="00B95AFB"/>
    <w:rsid w:val="00B95E3C"/>
    <w:rsid w:val="00B9689C"/>
    <w:rsid w:val="00B96A98"/>
    <w:rsid w:val="00B96CC6"/>
    <w:rsid w:val="00B96D36"/>
    <w:rsid w:val="00B97125"/>
    <w:rsid w:val="00B97F9E"/>
    <w:rsid w:val="00BA17E0"/>
    <w:rsid w:val="00BA2BC0"/>
    <w:rsid w:val="00BA2D10"/>
    <w:rsid w:val="00BA2DE5"/>
    <w:rsid w:val="00BA2EFE"/>
    <w:rsid w:val="00BA30D4"/>
    <w:rsid w:val="00BA4F51"/>
    <w:rsid w:val="00BA4FA7"/>
    <w:rsid w:val="00BA5C49"/>
    <w:rsid w:val="00BA61D9"/>
    <w:rsid w:val="00BA6494"/>
    <w:rsid w:val="00BA66D7"/>
    <w:rsid w:val="00BA75C3"/>
    <w:rsid w:val="00BA7A8C"/>
    <w:rsid w:val="00BB0643"/>
    <w:rsid w:val="00BB0B5C"/>
    <w:rsid w:val="00BB166E"/>
    <w:rsid w:val="00BB1C4F"/>
    <w:rsid w:val="00BB1C84"/>
    <w:rsid w:val="00BB2464"/>
    <w:rsid w:val="00BB284E"/>
    <w:rsid w:val="00BB39E8"/>
    <w:rsid w:val="00BB4297"/>
    <w:rsid w:val="00BB4356"/>
    <w:rsid w:val="00BB4681"/>
    <w:rsid w:val="00BB4ECB"/>
    <w:rsid w:val="00BB5351"/>
    <w:rsid w:val="00BB60D3"/>
    <w:rsid w:val="00BC0A6F"/>
    <w:rsid w:val="00BC12D0"/>
    <w:rsid w:val="00BC12DC"/>
    <w:rsid w:val="00BC1915"/>
    <w:rsid w:val="00BC1D28"/>
    <w:rsid w:val="00BC1E36"/>
    <w:rsid w:val="00BC23CD"/>
    <w:rsid w:val="00BC2647"/>
    <w:rsid w:val="00BC269C"/>
    <w:rsid w:val="00BC2DD2"/>
    <w:rsid w:val="00BC3739"/>
    <w:rsid w:val="00BC45EB"/>
    <w:rsid w:val="00BC46B7"/>
    <w:rsid w:val="00BC54BD"/>
    <w:rsid w:val="00BC6BCA"/>
    <w:rsid w:val="00BD0B03"/>
    <w:rsid w:val="00BD1EC1"/>
    <w:rsid w:val="00BD289C"/>
    <w:rsid w:val="00BD35F9"/>
    <w:rsid w:val="00BD394F"/>
    <w:rsid w:val="00BD4433"/>
    <w:rsid w:val="00BD44C4"/>
    <w:rsid w:val="00BD566D"/>
    <w:rsid w:val="00BD569E"/>
    <w:rsid w:val="00BD6913"/>
    <w:rsid w:val="00BD69EC"/>
    <w:rsid w:val="00BD7429"/>
    <w:rsid w:val="00BD77A6"/>
    <w:rsid w:val="00BE0038"/>
    <w:rsid w:val="00BE03D1"/>
    <w:rsid w:val="00BE04B1"/>
    <w:rsid w:val="00BE1291"/>
    <w:rsid w:val="00BE19E0"/>
    <w:rsid w:val="00BE252E"/>
    <w:rsid w:val="00BE2602"/>
    <w:rsid w:val="00BE275F"/>
    <w:rsid w:val="00BE2C06"/>
    <w:rsid w:val="00BE3479"/>
    <w:rsid w:val="00BE3C80"/>
    <w:rsid w:val="00BE470E"/>
    <w:rsid w:val="00BE4F47"/>
    <w:rsid w:val="00BE5742"/>
    <w:rsid w:val="00BE5E06"/>
    <w:rsid w:val="00BE7355"/>
    <w:rsid w:val="00BE73A0"/>
    <w:rsid w:val="00BE75D0"/>
    <w:rsid w:val="00BE7802"/>
    <w:rsid w:val="00BE7B28"/>
    <w:rsid w:val="00BE7EFB"/>
    <w:rsid w:val="00BF0760"/>
    <w:rsid w:val="00BF1A3F"/>
    <w:rsid w:val="00BF1AE8"/>
    <w:rsid w:val="00BF234C"/>
    <w:rsid w:val="00BF285A"/>
    <w:rsid w:val="00BF3192"/>
    <w:rsid w:val="00BF376A"/>
    <w:rsid w:val="00BF41A1"/>
    <w:rsid w:val="00BF4399"/>
    <w:rsid w:val="00BF48E7"/>
    <w:rsid w:val="00BF4D54"/>
    <w:rsid w:val="00BF54AE"/>
    <w:rsid w:val="00BF5DEF"/>
    <w:rsid w:val="00BF65CA"/>
    <w:rsid w:val="00C00A19"/>
    <w:rsid w:val="00C00BF0"/>
    <w:rsid w:val="00C020F2"/>
    <w:rsid w:val="00C02299"/>
    <w:rsid w:val="00C02307"/>
    <w:rsid w:val="00C02EC0"/>
    <w:rsid w:val="00C0303E"/>
    <w:rsid w:val="00C039EB"/>
    <w:rsid w:val="00C03DA0"/>
    <w:rsid w:val="00C053D9"/>
    <w:rsid w:val="00C05BFD"/>
    <w:rsid w:val="00C062DD"/>
    <w:rsid w:val="00C063CD"/>
    <w:rsid w:val="00C06554"/>
    <w:rsid w:val="00C07C72"/>
    <w:rsid w:val="00C07D24"/>
    <w:rsid w:val="00C103B7"/>
    <w:rsid w:val="00C12862"/>
    <w:rsid w:val="00C12DA8"/>
    <w:rsid w:val="00C1330A"/>
    <w:rsid w:val="00C1363C"/>
    <w:rsid w:val="00C144E1"/>
    <w:rsid w:val="00C14EEB"/>
    <w:rsid w:val="00C15314"/>
    <w:rsid w:val="00C158CD"/>
    <w:rsid w:val="00C1595F"/>
    <w:rsid w:val="00C15F10"/>
    <w:rsid w:val="00C16276"/>
    <w:rsid w:val="00C165F4"/>
    <w:rsid w:val="00C173E0"/>
    <w:rsid w:val="00C17648"/>
    <w:rsid w:val="00C178F6"/>
    <w:rsid w:val="00C203A1"/>
    <w:rsid w:val="00C21613"/>
    <w:rsid w:val="00C2185C"/>
    <w:rsid w:val="00C22A53"/>
    <w:rsid w:val="00C22C9F"/>
    <w:rsid w:val="00C23BC7"/>
    <w:rsid w:val="00C23CC0"/>
    <w:rsid w:val="00C23EAF"/>
    <w:rsid w:val="00C24B0C"/>
    <w:rsid w:val="00C258BA"/>
    <w:rsid w:val="00C261AB"/>
    <w:rsid w:val="00C2719C"/>
    <w:rsid w:val="00C2727F"/>
    <w:rsid w:val="00C30CBE"/>
    <w:rsid w:val="00C3141C"/>
    <w:rsid w:val="00C317E6"/>
    <w:rsid w:val="00C31CC3"/>
    <w:rsid w:val="00C31D6B"/>
    <w:rsid w:val="00C327B5"/>
    <w:rsid w:val="00C3389C"/>
    <w:rsid w:val="00C338F3"/>
    <w:rsid w:val="00C3498F"/>
    <w:rsid w:val="00C34D42"/>
    <w:rsid w:val="00C356FC"/>
    <w:rsid w:val="00C3588E"/>
    <w:rsid w:val="00C3608C"/>
    <w:rsid w:val="00C36EDA"/>
    <w:rsid w:val="00C377FB"/>
    <w:rsid w:val="00C37ECF"/>
    <w:rsid w:val="00C4077F"/>
    <w:rsid w:val="00C41BC9"/>
    <w:rsid w:val="00C424D9"/>
    <w:rsid w:val="00C43758"/>
    <w:rsid w:val="00C43C5A"/>
    <w:rsid w:val="00C4490E"/>
    <w:rsid w:val="00C45937"/>
    <w:rsid w:val="00C45ADD"/>
    <w:rsid w:val="00C4679B"/>
    <w:rsid w:val="00C46FB4"/>
    <w:rsid w:val="00C46FBB"/>
    <w:rsid w:val="00C504FC"/>
    <w:rsid w:val="00C50C06"/>
    <w:rsid w:val="00C511F2"/>
    <w:rsid w:val="00C52DA8"/>
    <w:rsid w:val="00C54272"/>
    <w:rsid w:val="00C54AEF"/>
    <w:rsid w:val="00C54E83"/>
    <w:rsid w:val="00C551F5"/>
    <w:rsid w:val="00C55309"/>
    <w:rsid w:val="00C5546B"/>
    <w:rsid w:val="00C55D5A"/>
    <w:rsid w:val="00C5715A"/>
    <w:rsid w:val="00C57AFA"/>
    <w:rsid w:val="00C57F02"/>
    <w:rsid w:val="00C600AB"/>
    <w:rsid w:val="00C60258"/>
    <w:rsid w:val="00C60CC9"/>
    <w:rsid w:val="00C6110A"/>
    <w:rsid w:val="00C62295"/>
    <w:rsid w:val="00C622D8"/>
    <w:rsid w:val="00C62420"/>
    <w:rsid w:val="00C62B58"/>
    <w:rsid w:val="00C63A00"/>
    <w:rsid w:val="00C63ECF"/>
    <w:rsid w:val="00C6471D"/>
    <w:rsid w:val="00C65432"/>
    <w:rsid w:val="00C65D09"/>
    <w:rsid w:val="00C66541"/>
    <w:rsid w:val="00C671F2"/>
    <w:rsid w:val="00C674B0"/>
    <w:rsid w:val="00C7081D"/>
    <w:rsid w:val="00C72818"/>
    <w:rsid w:val="00C72F88"/>
    <w:rsid w:val="00C7344F"/>
    <w:rsid w:val="00C7353B"/>
    <w:rsid w:val="00C73DD2"/>
    <w:rsid w:val="00C740D1"/>
    <w:rsid w:val="00C7413A"/>
    <w:rsid w:val="00C743E0"/>
    <w:rsid w:val="00C7513E"/>
    <w:rsid w:val="00C751B8"/>
    <w:rsid w:val="00C75240"/>
    <w:rsid w:val="00C806D2"/>
    <w:rsid w:val="00C808DA"/>
    <w:rsid w:val="00C80E26"/>
    <w:rsid w:val="00C8223C"/>
    <w:rsid w:val="00C822E5"/>
    <w:rsid w:val="00C827CB"/>
    <w:rsid w:val="00C827F0"/>
    <w:rsid w:val="00C82FCE"/>
    <w:rsid w:val="00C837A0"/>
    <w:rsid w:val="00C84590"/>
    <w:rsid w:val="00C85C07"/>
    <w:rsid w:val="00C862B0"/>
    <w:rsid w:val="00C876FC"/>
    <w:rsid w:val="00C9033C"/>
    <w:rsid w:val="00C908AC"/>
    <w:rsid w:val="00C90EB6"/>
    <w:rsid w:val="00C915E0"/>
    <w:rsid w:val="00C92938"/>
    <w:rsid w:val="00C943A8"/>
    <w:rsid w:val="00C94ED9"/>
    <w:rsid w:val="00C95C2C"/>
    <w:rsid w:val="00C96199"/>
    <w:rsid w:val="00C9636B"/>
    <w:rsid w:val="00C97D14"/>
    <w:rsid w:val="00CA022A"/>
    <w:rsid w:val="00CA0647"/>
    <w:rsid w:val="00CA221E"/>
    <w:rsid w:val="00CA2E53"/>
    <w:rsid w:val="00CA39F1"/>
    <w:rsid w:val="00CA4461"/>
    <w:rsid w:val="00CA4C5A"/>
    <w:rsid w:val="00CA4E98"/>
    <w:rsid w:val="00CA5275"/>
    <w:rsid w:val="00CA6019"/>
    <w:rsid w:val="00CA6712"/>
    <w:rsid w:val="00CA6901"/>
    <w:rsid w:val="00CA7F83"/>
    <w:rsid w:val="00CB101B"/>
    <w:rsid w:val="00CB10C1"/>
    <w:rsid w:val="00CB1426"/>
    <w:rsid w:val="00CB1E2B"/>
    <w:rsid w:val="00CB2023"/>
    <w:rsid w:val="00CB253F"/>
    <w:rsid w:val="00CB293C"/>
    <w:rsid w:val="00CB3203"/>
    <w:rsid w:val="00CB376F"/>
    <w:rsid w:val="00CB39EC"/>
    <w:rsid w:val="00CB4123"/>
    <w:rsid w:val="00CB4EAD"/>
    <w:rsid w:val="00CB5B17"/>
    <w:rsid w:val="00CB6ECF"/>
    <w:rsid w:val="00CB70DF"/>
    <w:rsid w:val="00CB7E51"/>
    <w:rsid w:val="00CC1585"/>
    <w:rsid w:val="00CC1A76"/>
    <w:rsid w:val="00CC25DA"/>
    <w:rsid w:val="00CC308C"/>
    <w:rsid w:val="00CC33FC"/>
    <w:rsid w:val="00CC3BF8"/>
    <w:rsid w:val="00CC41F6"/>
    <w:rsid w:val="00CC4D5B"/>
    <w:rsid w:val="00CC4EE5"/>
    <w:rsid w:val="00CC5472"/>
    <w:rsid w:val="00CC5AC2"/>
    <w:rsid w:val="00CC6251"/>
    <w:rsid w:val="00CC78C6"/>
    <w:rsid w:val="00CD06CA"/>
    <w:rsid w:val="00CD113C"/>
    <w:rsid w:val="00CD11E5"/>
    <w:rsid w:val="00CD18A1"/>
    <w:rsid w:val="00CD1B57"/>
    <w:rsid w:val="00CD1DD2"/>
    <w:rsid w:val="00CD25AD"/>
    <w:rsid w:val="00CD2AAF"/>
    <w:rsid w:val="00CD3F26"/>
    <w:rsid w:val="00CD3F8A"/>
    <w:rsid w:val="00CD4542"/>
    <w:rsid w:val="00CD4CB0"/>
    <w:rsid w:val="00CD5771"/>
    <w:rsid w:val="00CD5A2A"/>
    <w:rsid w:val="00CD5B70"/>
    <w:rsid w:val="00CD5B92"/>
    <w:rsid w:val="00CD621D"/>
    <w:rsid w:val="00CD6399"/>
    <w:rsid w:val="00CD64D1"/>
    <w:rsid w:val="00CD7785"/>
    <w:rsid w:val="00CE0021"/>
    <w:rsid w:val="00CE0639"/>
    <w:rsid w:val="00CE0865"/>
    <w:rsid w:val="00CE1F07"/>
    <w:rsid w:val="00CE3378"/>
    <w:rsid w:val="00CE3720"/>
    <w:rsid w:val="00CE37D2"/>
    <w:rsid w:val="00CE3AA4"/>
    <w:rsid w:val="00CE3C1D"/>
    <w:rsid w:val="00CE3C7B"/>
    <w:rsid w:val="00CE4006"/>
    <w:rsid w:val="00CE42F0"/>
    <w:rsid w:val="00CE4502"/>
    <w:rsid w:val="00CE508D"/>
    <w:rsid w:val="00CE5E49"/>
    <w:rsid w:val="00CE6221"/>
    <w:rsid w:val="00CE661A"/>
    <w:rsid w:val="00CE6D17"/>
    <w:rsid w:val="00CE6FEB"/>
    <w:rsid w:val="00CE75F7"/>
    <w:rsid w:val="00CE7649"/>
    <w:rsid w:val="00CF00AA"/>
    <w:rsid w:val="00CF0270"/>
    <w:rsid w:val="00CF07F2"/>
    <w:rsid w:val="00CF16CC"/>
    <w:rsid w:val="00CF17CF"/>
    <w:rsid w:val="00CF1CCC"/>
    <w:rsid w:val="00CF2A84"/>
    <w:rsid w:val="00CF2DFD"/>
    <w:rsid w:val="00CF3080"/>
    <w:rsid w:val="00CF3882"/>
    <w:rsid w:val="00CF4386"/>
    <w:rsid w:val="00CF4481"/>
    <w:rsid w:val="00CF467B"/>
    <w:rsid w:val="00CF51E9"/>
    <w:rsid w:val="00CF55BB"/>
    <w:rsid w:val="00CF55C0"/>
    <w:rsid w:val="00CF6747"/>
    <w:rsid w:val="00CF7209"/>
    <w:rsid w:val="00CF775A"/>
    <w:rsid w:val="00D000D6"/>
    <w:rsid w:val="00D00369"/>
    <w:rsid w:val="00D00648"/>
    <w:rsid w:val="00D00FD9"/>
    <w:rsid w:val="00D010A0"/>
    <w:rsid w:val="00D01EC6"/>
    <w:rsid w:val="00D01FAF"/>
    <w:rsid w:val="00D022F2"/>
    <w:rsid w:val="00D032A7"/>
    <w:rsid w:val="00D04511"/>
    <w:rsid w:val="00D04AC4"/>
    <w:rsid w:val="00D04B96"/>
    <w:rsid w:val="00D04DE9"/>
    <w:rsid w:val="00D055E8"/>
    <w:rsid w:val="00D056E2"/>
    <w:rsid w:val="00D05BCB"/>
    <w:rsid w:val="00D06584"/>
    <w:rsid w:val="00D06D71"/>
    <w:rsid w:val="00D106A9"/>
    <w:rsid w:val="00D1154A"/>
    <w:rsid w:val="00D116A0"/>
    <w:rsid w:val="00D12CEF"/>
    <w:rsid w:val="00D141F4"/>
    <w:rsid w:val="00D14C83"/>
    <w:rsid w:val="00D15C59"/>
    <w:rsid w:val="00D163C2"/>
    <w:rsid w:val="00D16433"/>
    <w:rsid w:val="00D1677A"/>
    <w:rsid w:val="00D168CB"/>
    <w:rsid w:val="00D16DBF"/>
    <w:rsid w:val="00D178F6"/>
    <w:rsid w:val="00D17D6B"/>
    <w:rsid w:val="00D21981"/>
    <w:rsid w:val="00D219D1"/>
    <w:rsid w:val="00D222A2"/>
    <w:rsid w:val="00D225B6"/>
    <w:rsid w:val="00D23B45"/>
    <w:rsid w:val="00D24550"/>
    <w:rsid w:val="00D25150"/>
    <w:rsid w:val="00D25213"/>
    <w:rsid w:val="00D25A85"/>
    <w:rsid w:val="00D26A2B"/>
    <w:rsid w:val="00D26FEF"/>
    <w:rsid w:val="00D2706C"/>
    <w:rsid w:val="00D27930"/>
    <w:rsid w:val="00D27E78"/>
    <w:rsid w:val="00D3087A"/>
    <w:rsid w:val="00D308FE"/>
    <w:rsid w:val="00D32891"/>
    <w:rsid w:val="00D32C66"/>
    <w:rsid w:val="00D34588"/>
    <w:rsid w:val="00D359B5"/>
    <w:rsid w:val="00D36D73"/>
    <w:rsid w:val="00D403B5"/>
    <w:rsid w:val="00D415A2"/>
    <w:rsid w:val="00D42194"/>
    <w:rsid w:val="00D422D8"/>
    <w:rsid w:val="00D42A99"/>
    <w:rsid w:val="00D42A9E"/>
    <w:rsid w:val="00D42C0E"/>
    <w:rsid w:val="00D42C23"/>
    <w:rsid w:val="00D43183"/>
    <w:rsid w:val="00D43395"/>
    <w:rsid w:val="00D46C8A"/>
    <w:rsid w:val="00D47496"/>
    <w:rsid w:val="00D51AC7"/>
    <w:rsid w:val="00D52452"/>
    <w:rsid w:val="00D52742"/>
    <w:rsid w:val="00D52B00"/>
    <w:rsid w:val="00D5328F"/>
    <w:rsid w:val="00D532C9"/>
    <w:rsid w:val="00D53399"/>
    <w:rsid w:val="00D53577"/>
    <w:rsid w:val="00D542C4"/>
    <w:rsid w:val="00D54750"/>
    <w:rsid w:val="00D54BC6"/>
    <w:rsid w:val="00D54D07"/>
    <w:rsid w:val="00D55BFA"/>
    <w:rsid w:val="00D561EE"/>
    <w:rsid w:val="00D569C2"/>
    <w:rsid w:val="00D576E6"/>
    <w:rsid w:val="00D605E4"/>
    <w:rsid w:val="00D61113"/>
    <w:rsid w:val="00D61E6E"/>
    <w:rsid w:val="00D64383"/>
    <w:rsid w:val="00D64927"/>
    <w:rsid w:val="00D65551"/>
    <w:rsid w:val="00D65D5B"/>
    <w:rsid w:val="00D66291"/>
    <w:rsid w:val="00D66CEF"/>
    <w:rsid w:val="00D66E3F"/>
    <w:rsid w:val="00D671B3"/>
    <w:rsid w:val="00D6721E"/>
    <w:rsid w:val="00D67746"/>
    <w:rsid w:val="00D6788C"/>
    <w:rsid w:val="00D67E94"/>
    <w:rsid w:val="00D70085"/>
    <w:rsid w:val="00D70397"/>
    <w:rsid w:val="00D70F4E"/>
    <w:rsid w:val="00D72BCB"/>
    <w:rsid w:val="00D7318E"/>
    <w:rsid w:val="00D7367C"/>
    <w:rsid w:val="00D7440B"/>
    <w:rsid w:val="00D747DA"/>
    <w:rsid w:val="00D74CE3"/>
    <w:rsid w:val="00D74F14"/>
    <w:rsid w:val="00D751B1"/>
    <w:rsid w:val="00D75573"/>
    <w:rsid w:val="00D76437"/>
    <w:rsid w:val="00D767F9"/>
    <w:rsid w:val="00D80666"/>
    <w:rsid w:val="00D80A3B"/>
    <w:rsid w:val="00D80C02"/>
    <w:rsid w:val="00D819EF"/>
    <w:rsid w:val="00D845CA"/>
    <w:rsid w:val="00D847F0"/>
    <w:rsid w:val="00D84CAA"/>
    <w:rsid w:val="00D8622A"/>
    <w:rsid w:val="00D865F3"/>
    <w:rsid w:val="00D86917"/>
    <w:rsid w:val="00D86B85"/>
    <w:rsid w:val="00D86CD7"/>
    <w:rsid w:val="00D87117"/>
    <w:rsid w:val="00D91D6C"/>
    <w:rsid w:val="00D932BE"/>
    <w:rsid w:val="00D93F8B"/>
    <w:rsid w:val="00D943AD"/>
    <w:rsid w:val="00D945FC"/>
    <w:rsid w:val="00D96A01"/>
    <w:rsid w:val="00DA0FBA"/>
    <w:rsid w:val="00DA13D0"/>
    <w:rsid w:val="00DA1986"/>
    <w:rsid w:val="00DA26AE"/>
    <w:rsid w:val="00DA2FED"/>
    <w:rsid w:val="00DA373C"/>
    <w:rsid w:val="00DA41D0"/>
    <w:rsid w:val="00DA4DC2"/>
    <w:rsid w:val="00DA4FF4"/>
    <w:rsid w:val="00DA61E6"/>
    <w:rsid w:val="00DA6609"/>
    <w:rsid w:val="00DA661C"/>
    <w:rsid w:val="00DA77D1"/>
    <w:rsid w:val="00DA7B10"/>
    <w:rsid w:val="00DB1315"/>
    <w:rsid w:val="00DB15C7"/>
    <w:rsid w:val="00DB15EF"/>
    <w:rsid w:val="00DB237C"/>
    <w:rsid w:val="00DB39A8"/>
    <w:rsid w:val="00DB4116"/>
    <w:rsid w:val="00DB4B92"/>
    <w:rsid w:val="00DB4EE9"/>
    <w:rsid w:val="00DB754E"/>
    <w:rsid w:val="00DC14D3"/>
    <w:rsid w:val="00DC1DB6"/>
    <w:rsid w:val="00DC2408"/>
    <w:rsid w:val="00DC24D1"/>
    <w:rsid w:val="00DC2560"/>
    <w:rsid w:val="00DC277C"/>
    <w:rsid w:val="00DC3A64"/>
    <w:rsid w:val="00DC3B4B"/>
    <w:rsid w:val="00DC3F86"/>
    <w:rsid w:val="00DC40E7"/>
    <w:rsid w:val="00DC48EF"/>
    <w:rsid w:val="00DC4EA3"/>
    <w:rsid w:val="00DC561A"/>
    <w:rsid w:val="00DC585E"/>
    <w:rsid w:val="00DC64CD"/>
    <w:rsid w:val="00DC6A6C"/>
    <w:rsid w:val="00DC7369"/>
    <w:rsid w:val="00DD06E1"/>
    <w:rsid w:val="00DD07CC"/>
    <w:rsid w:val="00DD1277"/>
    <w:rsid w:val="00DD3430"/>
    <w:rsid w:val="00DD4600"/>
    <w:rsid w:val="00DD47E7"/>
    <w:rsid w:val="00DD4BA7"/>
    <w:rsid w:val="00DD4DD2"/>
    <w:rsid w:val="00DD57DF"/>
    <w:rsid w:val="00DD587A"/>
    <w:rsid w:val="00DD5D9C"/>
    <w:rsid w:val="00DD705C"/>
    <w:rsid w:val="00DD7785"/>
    <w:rsid w:val="00DE008A"/>
    <w:rsid w:val="00DE0809"/>
    <w:rsid w:val="00DE1B76"/>
    <w:rsid w:val="00DE205F"/>
    <w:rsid w:val="00DE20CE"/>
    <w:rsid w:val="00DE2A21"/>
    <w:rsid w:val="00DE2A71"/>
    <w:rsid w:val="00DE2D93"/>
    <w:rsid w:val="00DE2EFE"/>
    <w:rsid w:val="00DE3092"/>
    <w:rsid w:val="00DE3F18"/>
    <w:rsid w:val="00DE4316"/>
    <w:rsid w:val="00DE53C6"/>
    <w:rsid w:val="00DE5D7E"/>
    <w:rsid w:val="00DE5E38"/>
    <w:rsid w:val="00DE711D"/>
    <w:rsid w:val="00DE7869"/>
    <w:rsid w:val="00DF1F33"/>
    <w:rsid w:val="00DF394C"/>
    <w:rsid w:val="00DF39A9"/>
    <w:rsid w:val="00DF4EB9"/>
    <w:rsid w:val="00DF4FCB"/>
    <w:rsid w:val="00DF5BE0"/>
    <w:rsid w:val="00DF630E"/>
    <w:rsid w:val="00E00353"/>
    <w:rsid w:val="00E01234"/>
    <w:rsid w:val="00E01A1E"/>
    <w:rsid w:val="00E01F19"/>
    <w:rsid w:val="00E022CC"/>
    <w:rsid w:val="00E02410"/>
    <w:rsid w:val="00E027E1"/>
    <w:rsid w:val="00E02865"/>
    <w:rsid w:val="00E03291"/>
    <w:rsid w:val="00E046D2"/>
    <w:rsid w:val="00E05C53"/>
    <w:rsid w:val="00E05E44"/>
    <w:rsid w:val="00E065DE"/>
    <w:rsid w:val="00E066E9"/>
    <w:rsid w:val="00E06AB1"/>
    <w:rsid w:val="00E06C13"/>
    <w:rsid w:val="00E07231"/>
    <w:rsid w:val="00E07BFF"/>
    <w:rsid w:val="00E07C09"/>
    <w:rsid w:val="00E105A7"/>
    <w:rsid w:val="00E116B5"/>
    <w:rsid w:val="00E11A47"/>
    <w:rsid w:val="00E12325"/>
    <w:rsid w:val="00E12641"/>
    <w:rsid w:val="00E13113"/>
    <w:rsid w:val="00E1375A"/>
    <w:rsid w:val="00E13F6F"/>
    <w:rsid w:val="00E148DD"/>
    <w:rsid w:val="00E15435"/>
    <w:rsid w:val="00E16C29"/>
    <w:rsid w:val="00E172AF"/>
    <w:rsid w:val="00E2017D"/>
    <w:rsid w:val="00E20FAB"/>
    <w:rsid w:val="00E211BD"/>
    <w:rsid w:val="00E21C85"/>
    <w:rsid w:val="00E22471"/>
    <w:rsid w:val="00E236E9"/>
    <w:rsid w:val="00E23A5D"/>
    <w:rsid w:val="00E23DFA"/>
    <w:rsid w:val="00E24550"/>
    <w:rsid w:val="00E25091"/>
    <w:rsid w:val="00E25F02"/>
    <w:rsid w:val="00E260A5"/>
    <w:rsid w:val="00E2610D"/>
    <w:rsid w:val="00E2671E"/>
    <w:rsid w:val="00E26789"/>
    <w:rsid w:val="00E31216"/>
    <w:rsid w:val="00E31682"/>
    <w:rsid w:val="00E33059"/>
    <w:rsid w:val="00E3485E"/>
    <w:rsid w:val="00E34AE9"/>
    <w:rsid w:val="00E354CF"/>
    <w:rsid w:val="00E355DC"/>
    <w:rsid w:val="00E37C2F"/>
    <w:rsid w:val="00E40589"/>
    <w:rsid w:val="00E40CA7"/>
    <w:rsid w:val="00E40EFB"/>
    <w:rsid w:val="00E41076"/>
    <w:rsid w:val="00E411E3"/>
    <w:rsid w:val="00E4165B"/>
    <w:rsid w:val="00E41AA0"/>
    <w:rsid w:val="00E422E3"/>
    <w:rsid w:val="00E424D6"/>
    <w:rsid w:val="00E42846"/>
    <w:rsid w:val="00E428E7"/>
    <w:rsid w:val="00E4312C"/>
    <w:rsid w:val="00E4380D"/>
    <w:rsid w:val="00E4432F"/>
    <w:rsid w:val="00E471CB"/>
    <w:rsid w:val="00E504B8"/>
    <w:rsid w:val="00E50925"/>
    <w:rsid w:val="00E5198E"/>
    <w:rsid w:val="00E51E9A"/>
    <w:rsid w:val="00E52DC2"/>
    <w:rsid w:val="00E5351B"/>
    <w:rsid w:val="00E53A9F"/>
    <w:rsid w:val="00E54CBC"/>
    <w:rsid w:val="00E55A6D"/>
    <w:rsid w:val="00E5746A"/>
    <w:rsid w:val="00E57F57"/>
    <w:rsid w:val="00E607AE"/>
    <w:rsid w:val="00E60863"/>
    <w:rsid w:val="00E61B44"/>
    <w:rsid w:val="00E63AA7"/>
    <w:rsid w:val="00E63C1D"/>
    <w:rsid w:val="00E63EFD"/>
    <w:rsid w:val="00E64718"/>
    <w:rsid w:val="00E6476C"/>
    <w:rsid w:val="00E64DBB"/>
    <w:rsid w:val="00E65A13"/>
    <w:rsid w:val="00E65A4F"/>
    <w:rsid w:val="00E65D81"/>
    <w:rsid w:val="00E66AF2"/>
    <w:rsid w:val="00E6756A"/>
    <w:rsid w:val="00E709AF"/>
    <w:rsid w:val="00E71218"/>
    <w:rsid w:val="00E71A94"/>
    <w:rsid w:val="00E71C1D"/>
    <w:rsid w:val="00E73251"/>
    <w:rsid w:val="00E734FE"/>
    <w:rsid w:val="00E73657"/>
    <w:rsid w:val="00E738E4"/>
    <w:rsid w:val="00E73C5E"/>
    <w:rsid w:val="00E74036"/>
    <w:rsid w:val="00E7470C"/>
    <w:rsid w:val="00E74CE2"/>
    <w:rsid w:val="00E75CBF"/>
    <w:rsid w:val="00E75F75"/>
    <w:rsid w:val="00E76217"/>
    <w:rsid w:val="00E77569"/>
    <w:rsid w:val="00E811A5"/>
    <w:rsid w:val="00E81636"/>
    <w:rsid w:val="00E81B48"/>
    <w:rsid w:val="00E81B67"/>
    <w:rsid w:val="00E81E25"/>
    <w:rsid w:val="00E827BB"/>
    <w:rsid w:val="00E82C21"/>
    <w:rsid w:val="00E830BC"/>
    <w:rsid w:val="00E8387B"/>
    <w:rsid w:val="00E83E27"/>
    <w:rsid w:val="00E83EC8"/>
    <w:rsid w:val="00E83F86"/>
    <w:rsid w:val="00E8473E"/>
    <w:rsid w:val="00E856D4"/>
    <w:rsid w:val="00E86843"/>
    <w:rsid w:val="00E86CB3"/>
    <w:rsid w:val="00E871FA"/>
    <w:rsid w:val="00E8766E"/>
    <w:rsid w:val="00E90C5E"/>
    <w:rsid w:val="00E90C96"/>
    <w:rsid w:val="00E91B04"/>
    <w:rsid w:val="00E91E6F"/>
    <w:rsid w:val="00E92171"/>
    <w:rsid w:val="00E933A6"/>
    <w:rsid w:val="00E93B77"/>
    <w:rsid w:val="00E95276"/>
    <w:rsid w:val="00E953D9"/>
    <w:rsid w:val="00E95C42"/>
    <w:rsid w:val="00E95D53"/>
    <w:rsid w:val="00E96AF9"/>
    <w:rsid w:val="00E97C6C"/>
    <w:rsid w:val="00EA04B4"/>
    <w:rsid w:val="00EA0766"/>
    <w:rsid w:val="00EA0DCE"/>
    <w:rsid w:val="00EA13A7"/>
    <w:rsid w:val="00EA1ACE"/>
    <w:rsid w:val="00EA1CD7"/>
    <w:rsid w:val="00EA33D4"/>
    <w:rsid w:val="00EA34AC"/>
    <w:rsid w:val="00EA3637"/>
    <w:rsid w:val="00EA4668"/>
    <w:rsid w:val="00EA5480"/>
    <w:rsid w:val="00EA591E"/>
    <w:rsid w:val="00EA6DA8"/>
    <w:rsid w:val="00EA7842"/>
    <w:rsid w:val="00EA7AA7"/>
    <w:rsid w:val="00EA7B47"/>
    <w:rsid w:val="00EB13A9"/>
    <w:rsid w:val="00EB2528"/>
    <w:rsid w:val="00EB3051"/>
    <w:rsid w:val="00EB4B12"/>
    <w:rsid w:val="00EB4BC4"/>
    <w:rsid w:val="00EB4ED0"/>
    <w:rsid w:val="00EB620E"/>
    <w:rsid w:val="00EB6B49"/>
    <w:rsid w:val="00EB6FA8"/>
    <w:rsid w:val="00EB6FE4"/>
    <w:rsid w:val="00EB7465"/>
    <w:rsid w:val="00EB7F05"/>
    <w:rsid w:val="00EC0268"/>
    <w:rsid w:val="00EC0B84"/>
    <w:rsid w:val="00EC0F38"/>
    <w:rsid w:val="00EC1A50"/>
    <w:rsid w:val="00EC3406"/>
    <w:rsid w:val="00EC3876"/>
    <w:rsid w:val="00EC3D3D"/>
    <w:rsid w:val="00EC50E6"/>
    <w:rsid w:val="00EC5627"/>
    <w:rsid w:val="00EC598F"/>
    <w:rsid w:val="00EC5F0A"/>
    <w:rsid w:val="00EC645F"/>
    <w:rsid w:val="00EC67D3"/>
    <w:rsid w:val="00EC6ABC"/>
    <w:rsid w:val="00EC7018"/>
    <w:rsid w:val="00EC72AC"/>
    <w:rsid w:val="00ED06E8"/>
    <w:rsid w:val="00ED1807"/>
    <w:rsid w:val="00ED18DA"/>
    <w:rsid w:val="00ED1B31"/>
    <w:rsid w:val="00ED1F13"/>
    <w:rsid w:val="00ED1F20"/>
    <w:rsid w:val="00ED221B"/>
    <w:rsid w:val="00ED31A5"/>
    <w:rsid w:val="00ED4958"/>
    <w:rsid w:val="00ED4B94"/>
    <w:rsid w:val="00ED5529"/>
    <w:rsid w:val="00ED5BEE"/>
    <w:rsid w:val="00ED6913"/>
    <w:rsid w:val="00ED73AE"/>
    <w:rsid w:val="00EE014D"/>
    <w:rsid w:val="00EE0353"/>
    <w:rsid w:val="00EE0E85"/>
    <w:rsid w:val="00EE0F51"/>
    <w:rsid w:val="00EE24D3"/>
    <w:rsid w:val="00EE3BBD"/>
    <w:rsid w:val="00EE458E"/>
    <w:rsid w:val="00EE4767"/>
    <w:rsid w:val="00EE53E9"/>
    <w:rsid w:val="00EE659C"/>
    <w:rsid w:val="00EE7E16"/>
    <w:rsid w:val="00EF1DD4"/>
    <w:rsid w:val="00EF2C29"/>
    <w:rsid w:val="00EF2C5A"/>
    <w:rsid w:val="00EF2C7A"/>
    <w:rsid w:val="00EF3028"/>
    <w:rsid w:val="00EF343E"/>
    <w:rsid w:val="00EF37D1"/>
    <w:rsid w:val="00EF42A6"/>
    <w:rsid w:val="00EF4554"/>
    <w:rsid w:val="00EF47C9"/>
    <w:rsid w:val="00EF52CC"/>
    <w:rsid w:val="00EF65B7"/>
    <w:rsid w:val="00EF66FC"/>
    <w:rsid w:val="00EF6BFB"/>
    <w:rsid w:val="00EF746E"/>
    <w:rsid w:val="00EF7640"/>
    <w:rsid w:val="00EF7A2D"/>
    <w:rsid w:val="00F00687"/>
    <w:rsid w:val="00F00B9C"/>
    <w:rsid w:val="00F01191"/>
    <w:rsid w:val="00F01966"/>
    <w:rsid w:val="00F02289"/>
    <w:rsid w:val="00F02832"/>
    <w:rsid w:val="00F028B3"/>
    <w:rsid w:val="00F029C9"/>
    <w:rsid w:val="00F02D8D"/>
    <w:rsid w:val="00F0333B"/>
    <w:rsid w:val="00F0493A"/>
    <w:rsid w:val="00F0520D"/>
    <w:rsid w:val="00F05936"/>
    <w:rsid w:val="00F06139"/>
    <w:rsid w:val="00F0715E"/>
    <w:rsid w:val="00F07342"/>
    <w:rsid w:val="00F07EEB"/>
    <w:rsid w:val="00F1035D"/>
    <w:rsid w:val="00F10B61"/>
    <w:rsid w:val="00F114CC"/>
    <w:rsid w:val="00F116A3"/>
    <w:rsid w:val="00F11D0F"/>
    <w:rsid w:val="00F11F4A"/>
    <w:rsid w:val="00F11FC2"/>
    <w:rsid w:val="00F12239"/>
    <w:rsid w:val="00F127E9"/>
    <w:rsid w:val="00F12AF9"/>
    <w:rsid w:val="00F14717"/>
    <w:rsid w:val="00F15820"/>
    <w:rsid w:val="00F159D2"/>
    <w:rsid w:val="00F15F15"/>
    <w:rsid w:val="00F16BA3"/>
    <w:rsid w:val="00F17C8B"/>
    <w:rsid w:val="00F17E92"/>
    <w:rsid w:val="00F20992"/>
    <w:rsid w:val="00F21F03"/>
    <w:rsid w:val="00F24AC0"/>
    <w:rsid w:val="00F24C42"/>
    <w:rsid w:val="00F24EA7"/>
    <w:rsid w:val="00F25341"/>
    <w:rsid w:val="00F25C7D"/>
    <w:rsid w:val="00F2635E"/>
    <w:rsid w:val="00F265AC"/>
    <w:rsid w:val="00F26C0E"/>
    <w:rsid w:val="00F301C2"/>
    <w:rsid w:val="00F306CE"/>
    <w:rsid w:val="00F3263D"/>
    <w:rsid w:val="00F329D4"/>
    <w:rsid w:val="00F32D06"/>
    <w:rsid w:val="00F32DA0"/>
    <w:rsid w:val="00F337A2"/>
    <w:rsid w:val="00F33E2C"/>
    <w:rsid w:val="00F342D0"/>
    <w:rsid w:val="00F3475F"/>
    <w:rsid w:val="00F35FC4"/>
    <w:rsid w:val="00F36509"/>
    <w:rsid w:val="00F36E63"/>
    <w:rsid w:val="00F370C3"/>
    <w:rsid w:val="00F40888"/>
    <w:rsid w:val="00F41659"/>
    <w:rsid w:val="00F42A91"/>
    <w:rsid w:val="00F42B5D"/>
    <w:rsid w:val="00F43BD9"/>
    <w:rsid w:val="00F4443D"/>
    <w:rsid w:val="00F444AB"/>
    <w:rsid w:val="00F44CEC"/>
    <w:rsid w:val="00F4561B"/>
    <w:rsid w:val="00F466EA"/>
    <w:rsid w:val="00F46B0A"/>
    <w:rsid w:val="00F50699"/>
    <w:rsid w:val="00F52170"/>
    <w:rsid w:val="00F5252B"/>
    <w:rsid w:val="00F53A95"/>
    <w:rsid w:val="00F53FB5"/>
    <w:rsid w:val="00F5446D"/>
    <w:rsid w:val="00F54645"/>
    <w:rsid w:val="00F55073"/>
    <w:rsid w:val="00F56328"/>
    <w:rsid w:val="00F57154"/>
    <w:rsid w:val="00F5737D"/>
    <w:rsid w:val="00F57726"/>
    <w:rsid w:val="00F57B8A"/>
    <w:rsid w:val="00F6064A"/>
    <w:rsid w:val="00F60712"/>
    <w:rsid w:val="00F6087E"/>
    <w:rsid w:val="00F609F1"/>
    <w:rsid w:val="00F60E3C"/>
    <w:rsid w:val="00F61300"/>
    <w:rsid w:val="00F615CF"/>
    <w:rsid w:val="00F623FF"/>
    <w:rsid w:val="00F6299D"/>
    <w:rsid w:val="00F62ADF"/>
    <w:rsid w:val="00F6300D"/>
    <w:rsid w:val="00F63038"/>
    <w:rsid w:val="00F6477C"/>
    <w:rsid w:val="00F6486B"/>
    <w:rsid w:val="00F64A64"/>
    <w:rsid w:val="00F65080"/>
    <w:rsid w:val="00F65F71"/>
    <w:rsid w:val="00F6641C"/>
    <w:rsid w:val="00F66508"/>
    <w:rsid w:val="00F6696E"/>
    <w:rsid w:val="00F66FD1"/>
    <w:rsid w:val="00F67AD3"/>
    <w:rsid w:val="00F71F25"/>
    <w:rsid w:val="00F72AC0"/>
    <w:rsid w:val="00F73611"/>
    <w:rsid w:val="00F7370B"/>
    <w:rsid w:val="00F74EB2"/>
    <w:rsid w:val="00F752F5"/>
    <w:rsid w:val="00F763A2"/>
    <w:rsid w:val="00F77BE7"/>
    <w:rsid w:val="00F80515"/>
    <w:rsid w:val="00F806BB"/>
    <w:rsid w:val="00F806FE"/>
    <w:rsid w:val="00F80893"/>
    <w:rsid w:val="00F80CED"/>
    <w:rsid w:val="00F82143"/>
    <w:rsid w:val="00F822D0"/>
    <w:rsid w:val="00F82612"/>
    <w:rsid w:val="00F82687"/>
    <w:rsid w:val="00F829EC"/>
    <w:rsid w:val="00F82E2B"/>
    <w:rsid w:val="00F8342E"/>
    <w:rsid w:val="00F83B4E"/>
    <w:rsid w:val="00F83DFC"/>
    <w:rsid w:val="00F85075"/>
    <w:rsid w:val="00F86716"/>
    <w:rsid w:val="00F87C54"/>
    <w:rsid w:val="00F9050B"/>
    <w:rsid w:val="00F91495"/>
    <w:rsid w:val="00F9152B"/>
    <w:rsid w:val="00F92026"/>
    <w:rsid w:val="00F92F75"/>
    <w:rsid w:val="00F93495"/>
    <w:rsid w:val="00F934E5"/>
    <w:rsid w:val="00F953EB"/>
    <w:rsid w:val="00F958D2"/>
    <w:rsid w:val="00F95AEB"/>
    <w:rsid w:val="00F9623D"/>
    <w:rsid w:val="00F9650E"/>
    <w:rsid w:val="00F96E49"/>
    <w:rsid w:val="00F970C1"/>
    <w:rsid w:val="00F97C80"/>
    <w:rsid w:val="00FA0AF4"/>
    <w:rsid w:val="00FA1D66"/>
    <w:rsid w:val="00FA217D"/>
    <w:rsid w:val="00FA22EB"/>
    <w:rsid w:val="00FA2AB8"/>
    <w:rsid w:val="00FA2BA1"/>
    <w:rsid w:val="00FA399B"/>
    <w:rsid w:val="00FA45E5"/>
    <w:rsid w:val="00FA4BC9"/>
    <w:rsid w:val="00FA4C84"/>
    <w:rsid w:val="00FA4E51"/>
    <w:rsid w:val="00FA571B"/>
    <w:rsid w:val="00FA64FC"/>
    <w:rsid w:val="00FA73E4"/>
    <w:rsid w:val="00FA7A24"/>
    <w:rsid w:val="00FB01E5"/>
    <w:rsid w:val="00FB0412"/>
    <w:rsid w:val="00FB1904"/>
    <w:rsid w:val="00FB19B9"/>
    <w:rsid w:val="00FB2EEA"/>
    <w:rsid w:val="00FB4CBA"/>
    <w:rsid w:val="00FB4E3F"/>
    <w:rsid w:val="00FB5263"/>
    <w:rsid w:val="00FB5423"/>
    <w:rsid w:val="00FB6A9D"/>
    <w:rsid w:val="00FB6B93"/>
    <w:rsid w:val="00FB7836"/>
    <w:rsid w:val="00FC00A0"/>
    <w:rsid w:val="00FC245A"/>
    <w:rsid w:val="00FC2B7F"/>
    <w:rsid w:val="00FC390D"/>
    <w:rsid w:val="00FC4AD8"/>
    <w:rsid w:val="00FC4DAE"/>
    <w:rsid w:val="00FC5995"/>
    <w:rsid w:val="00FC643B"/>
    <w:rsid w:val="00FC786C"/>
    <w:rsid w:val="00FC7B43"/>
    <w:rsid w:val="00FC7DA7"/>
    <w:rsid w:val="00FD09BA"/>
    <w:rsid w:val="00FD1688"/>
    <w:rsid w:val="00FD196B"/>
    <w:rsid w:val="00FD2E85"/>
    <w:rsid w:val="00FD49B5"/>
    <w:rsid w:val="00FD4B6A"/>
    <w:rsid w:val="00FD5219"/>
    <w:rsid w:val="00FD5DCD"/>
    <w:rsid w:val="00FD6A80"/>
    <w:rsid w:val="00FD6EF2"/>
    <w:rsid w:val="00FD7E73"/>
    <w:rsid w:val="00FE0F17"/>
    <w:rsid w:val="00FE0F61"/>
    <w:rsid w:val="00FE2681"/>
    <w:rsid w:val="00FE30E0"/>
    <w:rsid w:val="00FE35C2"/>
    <w:rsid w:val="00FE37A9"/>
    <w:rsid w:val="00FE3A4D"/>
    <w:rsid w:val="00FE3B2D"/>
    <w:rsid w:val="00FE3BC6"/>
    <w:rsid w:val="00FE3E00"/>
    <w:rsid w:val="00FE7515"/>
    <w:rsid w:val="00FE7EBD"/>
    <w:rsid w:val="00FF13AD"/>
    <w:rsid w:val="00FF1EA9"/>
    <w:rsid w:val="00FF25FE"/>
    <w:rsid w:val="00FF26C9"/>
    <w:rsid w:val="00FF3F2E"/>
    <w:rsid w:val="00FF4CB6"/>
    <w:rsid w:val="00FF5E65"/>
    <w:rsid w:val="00FF6ED0"/>
    <w:rsid w:val="00FF7314"/>
    <w:rsid w:val="00FF7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9299"/>
  <w15:docId w15:val="{3BFA53AC-6D78-40EE-AC73-3C185EDF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34"/>
    <w:qFormat/>
    <w:pPr>
      <w:ind w:left="1180" w:hanging="720"/>
    </w:pPr>
  </w:style>
  <w:style w:type="paragraph" w:customStyle="1" w:styleId="TableParagraph">
    <w:name w:val="Table Paragraph"/>
    <w:basedOn w:val="Normal"/>
    <w:uiPriority w:val="1"/>
    <w:qFormat/>
  </w:style>
  <w:style w:type="paragraph" w:styleId="FootnoteText">
    <w:name w:val="footnote text"/>
    <w:aliases w:val="Tablenote Text,ft,Style 22,Style 11,Char Char Char,Char Char Char Char Char Char Char Char Char,Char Char Char Char Char Char Char Char Char Char Char Char Char,Char Char Char Char Char Char Char Char Char Char Char Char Char Char Char Cha"/>
    <w:basedOn w:val="Normal"/>
    <w:link w:val="FootnoteTextChar"/>
    <w:uiPriority w:val="99"/>
    <w:unhideWhenUsed/>
    <w:qFormat/>
    <w:rsid w:val="009260A4"/>
    <w:rPr>
      <w:sz w:val="20"/>
      <w:szCs w:val="20"/>
    </w:rPr>
  </w:style>
  <w:style w:type="character" w:customStyle="1" w:styleId="FootnoteTextChar">
    <w:name w:val="Footnote Text Char"/>
    <w:aliases w:val="Tablenote Text Char,ft Char,Style 22 Char,Style 11 Char,Char Char Char Char,Char Char Char Char Char Char Char Char Char Char,Char Char Char Char Char Char Char Char Char Char Char Char Char Char"/>
    <w:basedOn w:val="DefaultParagraphFont"/>
    <w:link w:val="FootnoteText"/>
    <w:uiPriority w:val="99"/>
    <w:qFormat/>
    <w:rsid w:val="009260A4"/>
    <w:rPr>
      <w:rFonts w:ascii="Times New Roman" w:eastAsia="Times New Roman" w:hAnsi="Times New Roman" w:cs="Times New Roman"/>
      <w:sz w:val="20"/>
      <w:szCs w:val="20"/>
    </w:rPr>
  </w:style>
  <w:style w:type="character" w:styleId="FootnoteReference">
    <w:name w:val="footnote reference"/>
    <w:aliases w:val="Style 10,Style 21,callout,4_G,Footnote Reference Number,Ref,de nota al pie,4_G Char Char,Footnote Reference1 Char Char,Footnotes refss Char Char,ftref Char Char,BVI fnr Char Char,BVI fnr Car Car Char Char,BVI fnr Car Char Char,fr"/>
    <w:basedOn w:val="DefaultParagraphFont"/>
    <w:uiPriority w:val="99"/>
    <w:unhideWhenUsed/>
    <w:qFormat/>
    <w:rsid w:val="009260A4"/>
    <w:rPr>
      <w:vertAlign w:val="superscript"/>
    </w:rPr>
  </w:style>
  <w:style w:type="character" w:styleId="Hyperlink">
    <w:name w:val="Hyperlink"/>
    <w:basedOn w:val="DefaultParagraphFont"/>
    <w:uiPriority w:val="99"/>
    <w:unhideWhenUsed/>
    <w:rsid w:val="005D3AC4"/>
    <w:rPr>
      <w:color w:val="0000FF" w:themeColor="hyperlink"/>
      <w:u w:val="single"/>
    </w:rPr>
  </w:style>
  <w:style w:type="character" w:styleId="UnresolvedMention">
    <w:name w:val="Unresolved Mention"/>
    <w:basedOn w:val="DefaultParagraphFont"/>
    <w:uiPriority w:val="99"/>
    <w:semiHidden/>
    <w:unhideWhenUsed/>
    <w:rsid w:val="005D3AC4"/>
    <w:rPr>
      <w:color w:val="605E5C"/>
      <w:shd w:val="clear" w:color="auto" w:fill="E1DFDD"/>
    </w:rPr>
  </w:style>
  <w:style w:type="paragraph" w:styleId="EndnoteText">
    <w:name w:val="endnote text"/>
    <w:basedOn w:val="Normal"/>
    <w:link w:val="EndnoteTextChar"/>
    <w:uiPriority w:val="99"/>
    <w:semiHidden/>
    <w:unhideWhenUsed/>
    <w:rsid w:val="002868C6"/>
    <w:rPr>
      <w:sz w:val="20"/>
      <w:szCs w:val="20"/>
    </w:rPr>
  </w:style>
  <w:style w:type="character" w:customStyle="1" w:styleId="EndnoteTextChar">
    <w:name w:val="Endnote Text Char"/>
    <w:basedOn w:val="DefaultParagraphFont"/>
    <w:link w:val="EndnoteText"/>
    <w:uiPriority w:val="99"/>
    <w:semiHidden/>
    <w:rsid w:val="002868C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868C6"/>
    <w:rPr>
      <w:vertAlign w:val="superscript"/>
    </w:rPr>
  </w:style>
  <w:style w:type="paragraph" w:styleId="Header">
    <w:name w:val="header"/>
    <w:basedOn w:val="Normal"/>
    <w:link w:val="HeaderChar"/>
    <w:uiPriority w:val="99"/>
    <w:unhideWhenUsed/>
    <w:rsid w:val="0065406A"/>
    <w:pPr>
      <w:tabs>
        <w:tab w:val="center" w:pos="4680"/>
        <w:tab w:val="right" w:pos="9360"/>
      </w:tabs>
    </w:pPr>
  </w:style>
  <w:style w:type="character" w:customStyle="1" w:styleId="HeaderChar">
    <w:name w:val="Header Char"/>
    <w:basedOn w:val="DefaultParagraphFont"/>
    <w:link w:val="Header"/>
    <w:uiPriority w:val="99"/>
    <w:rsid w:val="0065406A"/>
    <w:rPr>
      <w:rFonts w:ascii="Times New Roman" w:eastAsia="Times New Roman" w:hAnsi="Times New Roman" w:cs="Times New Roman"/>
    </w:rPr>
  </w:style>
  <w:style w:type="paragraph" w:styleId="Footer">
    <w:name w:val="footer"/>
    <w:basedOn w:val="Normal"/>
    <w:link w:val="FooterChar"/>
    <w:uiPriority w:val="99"/>
    <w:unhideWhenUsed/>
    <w:rsid w:val="0065406A"/>
    <w:pPr>
      <w:tabs>
        <w:tab w:val="center" w:pos="4680"/>
        <w:tab w:val="right" w:pos="9360"/>
      </w:tabs>
    </w:pPr>
  </w:style>
  <w:style w:type="character" w:customStyle="1" w:styleId="FooterChar">
    <w:name w:val="Footer Char"/>
    <w:basedOn w:val="DefaultParagraphFont"/>
    <w:link w:val="Footer"/>
    <w:uiPriority w:val="99"/>
    <w:rsid w:val="0065406A"/>
    <w:rPr>
      <w:rFonts w:ascii="Times New Roman" w:eastAsia="Times New Roman" w:hAnsi="Times New Roman" w:cs="Times New Roman"/>
    </w:rPr>
  </w:style>
  <w:style w:type="paragraph" w:styleId="Revision">
    <w:name w:val="Revision"/>
    <w:hidden/>
    <w:uiPriority w:val="99"/>
    <w:semiHidden/>
    <w:rsid w:val="0053231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3231E"/>
    <w:rPr>
      <w:sz w:val="16"/>
      <w:szCs w:val="16"/>
    </w:rPr>
  </w:style>
  <w:style w:type="paragraph" w:styleId="CommentText">
    <w:name w:val="annotation text"/>
    <w:basedOn w:val="Normal"/>
    <w:link w:val="CommentTextChar"/>
    <w:uiPriority w:val="99"/>
    <w:unhideWhenUsed/>
    <w:rsid w:val="0053231E"/>
    <w:rPr>
      <w:sz w:val="20"/>
      <w:szCs w:val="20"/>
    </w:rPr>
  </w:style>
  <w:style w:type="character" w:customStyle="1" w:styleId="CommentTextChar">
    <w:name w:val="Comment Text Char"/>
    <w:basedOn w:val="DefaultParagraphFont"/>
    <w:link w:val="CommentText"/>
    <w:uiPriority w:val="99"/>
    <w:rsid w:val="00532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31E"/>
    <w:rPr>
      <w:b/>
      <w:bCs/>
    </w:rPr>
  </w:style>
  <w:style w:type="character" w:customStyle="1" w:styleId="CommentSubjectChar">
    <w:name w:val="Comment Subject Char"/>
    <w:basedOn w:val="CommentTextChar"/>
    <w:link w:val="CommentSubject"/>
    <w:uiPriority w:val="99"/>
    <w:semiHidden/>
    <w:rsid w:val="0053231E"/>
    <w:rPr>
      <w:rFonts w:ascii="Times New Roman" w:eastAsia="Times New Roman" w:hAnsi="Times New Roman" w:cs="Times New Roman"/>
      <w:b/>
      <w:bCs/>
      <w:sz w:val="20"/>
      <w:szCs w:val="20"/>
    </w:rPr>
  </w:style>
  <w:style w:type="character" w:customStyle="1" w:styleId="normaltextrun">
    <w:name w:val="normaltextrun"/>
    <w:basedOn w:val="DefaultParagraphFont"/>
    <w:rsid w:val="00E95C42"/>
  </w:style>
  <w:style w:type="character" w:styleId="FollowedHyperlink">
    <w:name w:val="FollowedHyperlink"/>
    <w:basedOn w:val="DefaultParagraphFont"/>
    <w:uiPriority w:val="99"/>
    <w:semiHidden/>
    <w:unhideWhenUsed/>
    <w:rsid w:val="00ED31A5"/>
    <w:rPr>
      <w:color w:val="800080" w:themeColor="followedHyperlink"/>
      <w:u w:val="single"/>
    </w:rPr>
  </w:style>
  <w:style w:type="paragraph" w:styleId="ListBullet">
    <w:name w:val="List Bullet"/>
    <w:basedOn w:val="Normal"/>
    <w:uiPriority w:val="99"/>
    <w:unhideWhenUsed/>
    <w:rsid w:val="00275207"/>
    <w:pPr>
      <w:numPr>
        <w:numId w:val="9"/>
      </w:numPr>
      <w:contextualSpacing/>
    </w:pPr>
  </w:style>
  <w:style w:type="character" w:customStyle="1" w:styleId="BodyTextChar">
    <w:name w:val="Body Text Char"/>
    <w:basedOn w:val="DefaultParagraphFont"/>
    <w:link w:val="BodyText"/>
    <w:uiPriority w:val="1"/>
    <w:rsid w:val="00F15F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834">
      <w:bodyDiv w:val="1"/>
      <w:marLeft w:val="0"/>
      <w:marRight w:val="0"/>
      <w:marTop w:val="0"/>
      <w:marBottom w:val="0"/>
      <w:divBdr>
        <w:top w:val="none" w:sz="0" w:space="0" w:color="auto"/>
        <w:left w:val="none" w:sz="0" w:space="0" w:color="auto"/>
        <w:bottom w:val="none" w:sz="0" w:space="0" w:color="auto"/>
        <w:right w:val="none" w:sz="0" w:space="0" w:color="auto"/>
      </w:divBdr>
    </w:div>
    <w:div w:id="515115899">
      <w:bodyDiv w:val="1"/>
      <w:marLeft w:val="0"/>
      <w:marRight w:val="0"/>
      <w:marTop w:val="0"/>
      <w:marBottom w:val="0"/>
      <w:divBdr>
        <w:top w:val="none" w:sz="0" w:space="0" w:color="auto"/>
        <w:left w:val="none" w:sz="0" w:space="0" w:color="auto"/>
        <w:bottom w:val="none" w:sz="0" w:space="0" w:color="auto"/>
        <w:right w:val="none" w:sz="0" w:space="0" w:color="auto"/>
      </w:divBdr>
    </w:div>
    <w:div w:id="521823779">
      <w:bodyDiv w:val="1"/>
      <w:marLeft w:val="0"/>
      <w:marRight w:val="0"/>
      <w:marTop w:val="0"/>
      <w:marBottom w:val="0"/>
      <w:divBdr>
        <w:top w:val="none" w:sz="0" w:space="0" w:color="auto"/>
        <w:left w:val="none" w:sz="0" w:space="0" w:color="auto"/>
        <w:bottom w:val="none" w:sz="0" w:space="0" w:color="auto"/>
        <w:right w:val="none" w:sz="0" w:space="0" w:color="auto"/>
      </w:divBdr>
    </w:div>
    <w:div w:id="1059287125">
      <w:bodyDiv w:val="1"/>
      <w:marLeft w:val="0"/>
      <w:marRight w:val="0"/>
      <w:marTop w:val="0"/>
      <w:marBottom w:val="0"/>
      <w:divBdr>
        <w:top w:val="none" w:sz="0" w:space="0" w:color="auto"/>
        <w:left w:val="none" w:sz="0" w:space="0" w:color="auto"/>
        <w:bottom w:val="none" w:sz="0" w:space="0" w:color="auto"/>
        <w:right w:val="none" w:sz="0" w:space="0" w:color="auto"/>
      </w:divBdr>
    </w:div>
    <w:div w:id="1105002774">
      <w:bodyDiv w:val="1"/>
      <w:marLeft w:val="0"/>
      <w:marRight w:val="0"/>
      <w:marTop w:val="0"/>
      <w:marBottom w:val="0"/>
      <w:divBdr>
        <w:top w:val="none" w:sz="0" w:space="0" w:color="auto"/>
        <w:left w:val="none" w:sz="0" w:space="0" w:color="auto"/>
        <w:bottom w:val="none" w:sz="0" w:space="0" w:color="auto"/>
        <w:right w:val="none" w:sz="0" w:space="0" w:color="auto"/>
      </w:divBdr>
    </w:div>
    <w:div w:id="1178351561">
      <w:bodyDiv w:val="1"/>
      <w:marLeft w:val="0"/>
      <w:marRight w:val="0"/>
      <w:marTop w:val="0"/>
      <w:marBottom w:val="0"/>
      <w:divBdr>
        <w:top w:val="none" w:sz="0" w:space="0" w:color="auto"/>
        <w:left w:val="none" w:sz="0" w:space="0" w:color="auto"/>
        <w:bottom w:val="none" w:sz="0" w:space="0" w:color="auto"/>
        <w:right w:val="none" w:sz="0" w:space="0" w:color="auto"/>
      </w:divBdr>
    </w:div>
    <w:div w:id="1189562131">
      <w:bodyDiv w:val="1"/>
      <w:marLeft w:val="0"/>
      <w:marRight w:val="0"/>
      <w:marTop w:val="0"/>
      <w:marBottom w:val="0"/>
      <w:divBdr>
        <w:top w:val="none" w:sz="0" w:space="0" w:color="auto"/>
        <w:left w:val="none" w:sz="0" w:space="0" w:color="auto"/>
        <w:bottom w:val="none" w:sz="0" w:space="0" w:color="auto"/>
        <w:right w:val="none" w:sz="0" w:space="0" w:color="auto"/>
      </w:divBdr>
      <w:divsChild>
        <w:div w:id="8507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403686">
              <w:marLeft w:val="0"/>
              <w:marRight w:val="0"/>
              <w:marTop w:val="0"/>
              <w:marBottom w:val="0"/>
              <w:divBdr>
                <w:top w:val="none" w:sz="0" w:space="0" w:color="auto"/>
                <w:left w:val="none" w:sz="0" w:space="0" w:color="auto"/>
                <w:bottom w:val="none" w:sz="0" w:space="0" w:color="auto"/>
                <w:right w:val="none" w:sz="0" w:space="0" w:color="auto"/>
              </w:divBdr>
              <w:divsChild>
                <w:div w:id="118035112">
                  <w:marLeft w:val="0"/>
                  <w:marRight w:val="0"/>
                  <w:marTop w:val="0"/>
                  <w:marBottom w:val="0"/>
                  <w:divBdr>
                    <w:top w:val="none" w:sz="0" w:space="0" w:color="auto"/>
                    <w:left w:val="none" w:sz="0" w:space="0" w:color="auto"/>
                    <w:bottom w:val="none" w:sz="0" w:space="0" w:color="auto"/>
                    <w:right w:val="none" w:sz="0" w:space="0" w:color="auto"/>
                  </w:divBdr>
                  <w:divsChild>
                    <w:div w:id="2027706264">
                      <w:marLeft w:val="0"/>
                      <w:marRight w:val="0"/>
                      <w:marTop w:val="0"/>
                      <w:marBottom w:val="0"/>
                      <w:divBdr>
                        <w:top w:val="none" w:sz="0" w:space="0" w:color="auto"/>
                        <w:left w:val="none" w:sz="0" w:space="0" w:color="auto"/>
                        <w:bottom w:val="none" w:sz="0" w:space="0" w:color="auto"/>
                        <w:right w:val="none" w:sz="0" w:space="0" w:color="auto"/>
                      </w:divBdr>
                      <w:divsChild>
                        <w:div w:id="302004742">
                          <w:marLeft w:val="0"/>
                          <w:marRight w:val="0"/>
                          <w:marTop w:val="0"/>
                          <w:marBottom w:val="0"/>
                          <w:divBdr>
                            <w:top w:val="none" w:sz="0" w:space="0" w:color="auto"/>
                            <w:left w:val="none" w:sz="0" w:space="0" w:color="auto"/>
                            <w:bottom w:val="none" w:sz="0" w:space="0" w:color="auto"/>
                            <w:right w:val="none" w:sz="0" w:space="0" w:color="auto"/>
                          </w:divBdr>
                        </w:div>
                        <w:div w:id="4951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83075">
      <w:bodyDiv w:val="1"/>
      <w:marLeft w:val="0"/>
      <w:marRight w:val="0"/>
      <w:marTop w:val="0"/>
      <w:marBottom w:val="0"/>
      <w:divBdr>
        <w:top w:val="none" w:sz="0" w:space="0" w:color="auto"/>
        <w:left w:val="none" w:sz="0" w:space="0" w:color="auto"/>
        <w:bottom w:val="none" w:sz="0" w:space="0" w:color="auto"/>
        <w:right w:val="none" w:sz="0" w:space="0" w:color="auto"/>
      </w:divBdr>
    </w:div>
    <w:div w:id="1331298670">
      <w:bodyDiv w:val="1"/>
      <w:marLeft w:val="0"/>
      <w:marRight w:val="0"/>
      <w:marTop w:val="0"/>
      <w:marBottom w:val="0"/>
      <w:divBdr>
        <w:top w:val="none" w:sz="0" w:space="0" w:color="auto"/>
        <w:left w:val="none" w:sz="0" w:space="0" w:color="auto"/>
        <w:bottom w:val="none" w:sz="0" w:space="0" w:color="auto"/>
        <w:right w:val="none" w:sz="0" w:space="0" w:color="auto"/>
      </w:divBdr>
    </w:div>
    <w:div w:id="1575893443">
      <w:bodyDiv w:val="1"/>
      <w:marLeft w:val="0"/>
      <w:marRight w:val="0"/>
      <w:marTop w:val="0"/>
      <w:marBottom w:val="0"/>
      <w:divBdr>
        <w:top w:val="none" w:sz="0" w:space="0" w:color="auto"/>
        <w:left w:val="none" w:sz="0" w:space="0" w:color="auto"/>
        <w:bottom w:val="none" w:sz="0" w:space="0" w:color="auto"/>
        <w:right w:val="none" w:sz="0" w:space="0" w:color="auto"/>
      </w:divBdr>
    </w:div>
    <w:div w:id="1826899572">
      <w:bodyDiv w:val="1"/>
      <w:marLeft w:val="0"/>
      <w:marRight w:val="0"/>
      <w:marTop w:val="0"/>
      <w:marBottom w:val="0"/>
      <w:divBdr>
        <w:top w:val="none" w:sz="0" w:space="0" w:color="auto"/>
        <w:left w:val="none" w:sz="0" w:space="0" w:color="auto"/>
        <w:bottom w:val="none" w:sz="0" w:space="0" w:color="auto"/>
        <w:right w:val="none" w:sz="0" w:space="0" w:color="auto"/>
      </w:divBdr>
    </w:div>
    <w:div w:id="1834181964">
      <w:bodyDiv w:val="1"/>
      <w:marLeft w:val="0"/>
      <w:marRight w:val="0"/>
      <w:marTop w:val="0"/>
      <w:marBottom w:val="0"/>
      <w:divBdr>
        <w:top w:val="none" w:sz="0" w:space="0" w:color="auto"/>
        <w:left w:val="none" w:sz="0" w:space="0" w:color="auto"/>
        <w:bottom w:val="none" w:sz="0" w:space="0" w:color="auto"/>
        <w:right w:val="none" w:sz="0" w:space="0" w:color="auto"/>
      </w:divBdr>
      <w:divsChild>
        <w:div w:id="25177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285543">
              <w:marLeft w:val="0"/>
              <w:marRight w:val="0"/>
              <w:marTop w:val="0"/>
              <w:marBottom w:val="0"/>
              <w:divBdr>
                <w:top w:val="none" w:sz="0" w:space="0" w:color="auto"/>
                <w:left w:val="none" w:sz="0" w:space="0" w:color="auto"/>
                <w:bottom w:val="none" w:sz="0" w:space="0" w:color="auto"/>
                <w:right w:val="none" w:sz="0" w:space="0" w:color="auto"/>
              </w:divBdr>
              <w:divsChild>
                <w:div w:id="316080417">
                  <w:marLeft w:val="0"/>
                  <w:marRight w:val="0"/>
                  <w:marTop w:val="0"/>
                  <w:marBottom w:val="0"/>
                  <w:divBdr>
                    <w:top w:val="none" w:sz="0" w:space="0" w:color="auto"/>
                    <w:left w:val="none" w:sz="0" w:space="0" w:color="auto"/>
                    <w:bottom w:val="none" w:sz="0" w:space="0" w:color="auto"/>
                    <w:right w:val="none" w:sz="0" w:space="0" w:color="auto"/>
                  </w:divBdr>
                  <w:divsChild>
                    <w:div w:id="869034208">
                      <w:marLeft w:val="0"/>
                      <w:marRight w:val="0"/>
                      <w:marTop w:val="0"/>
                      <w:marBottom w:val="0"/>
                      <w:divBdr>
                        <w:top w:val="none" w:sz="0" w:space="0" w:color="auto"/>
                        <w:left w:val="none" w:sz="0" w:space="0" w:color="auto"/>
                        <w:bottom w:val="none" w:sz="0" w:space="0" w:color="auto"/>
                        <w:right w:val="none" w:sz="0" w:space="0" w:color="auto"/>
                      </w:divBdr>
                      <w:divsChild>
                        <w:div w:id="1650131895">
                          <w:marLeft w:val="0"/>
                          <w:marRight w:val="0"/>
                          <w:marTop w:val="0"/>
                          <w:marBottom w:val="0"/>
                          <w:divBdr>
                            <w:top w:val="none" w:sz="0" w:space="0" w:color="auto"/>
                            <w:left w:val="none" w:sz="0" w:space="0" w:color="auto"/>
                            <w:bottom w:val="none" w:sz="0" w:space="0" w:color="auto"/>
                            <w:right w:val="none" w:sz="0" w:space="0" w:color="auto"/>
                          </w:divBdr>
                        </w:div>
                        <w:div w:id="20649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33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lalgbtcenter.org/services/medical-services/" TargetMode="External"/><Relationship Id="rId18" Type="http://schemas.openxmlformats.org/officeDocument/2006/relationships/hyperlink" Target="https://pmc.ncbi.nlm.nih.gov/articles/PMC4880242/" TargetMode="External"/><Relationship Id="rId26" Type="http://schemas.openxmlformats.org/officeDocument/2006/relationships/hyperlink" Target="https://transequality.org/sites/default/files/2025-06/USTS_2022Health%26WellbeingReport_WEB.pdf" TargetMode="External"/><Relationship Id="rId39" Type="http://schemas.openxmlformats.org/officeDocument/2006/relationships/hyperlink" Target="https://williamsinstitute.law.ucla.edu/wp-content/uploads/Generations-TransPop-Toplines-Jun-2021.pdf" TargetMode="External"/><Relationship Id="rId21" Type="http://schemas.openxmlformats.org/officeDocument/2006/relationships/hyperlink" Target="https://williamsinstitute.law.ucla.edu/publications/lbq-women-in-us/" TargetMode="External"/><Relationship Id="rId34" Type="http://schemas.openxmlformats.org/officeDocument/2006/relationships/hyperlink" Target="https://doi.org/10.17226/25877" TargetMode="External"/><Relationship Id="rId42" Type="http://schemas.openxmlformats.org/officeDocument/2006/relationships/hyperlink" Target="https://www.cdc.gov/mmwr/volumes/73/su/su7304a6.htm?s_cid=su7304a6_w" TargetMode="External"/><Relationship Id="rId47" Type="http://schemas.openxmlformats.org/officeDocument/2006/relationships/hyperlink" Target="https://williamsinstitute.law.ucla.edu/wp-content/uploads/LGBT-AAPI-SES-May-2021.pdf" TargetMode="External"/><Relationship Id="rId50" Type="http://schemas.openxmlformats.org/officeDocument/2006/relationships/hyperlink" Target="https://lalgbtcenter.org/services/medical-services/" TargetMode="External"/><Relationship Id="rId55" Type="http://schemas.openxmlformats.org/officeDocument/2006/relationships/hyperlink" Target="https://health.gov/healthypeople/objectives-and-data/browse-objectives/lgbt" TargetMode="External"/><Relationship Id="rId63" Type="http://schemas.openxmlformats.org/officeDocument/2006/relationships/hyperlink" Target="https://doi.org/10.1016/j.ijmedinf.2020.104245" TargetMode="External"/><Relationship Id="rId7" Type="http://schemas.openxmlformats.org/officeDocument/2006/relationships/hyperlink" Target="https://williamsinstitute.law.ucla.edu/press/lgbtq-nonbinary-press-release/" TargetMode="External"/><Relationship Id="rId2" Type="http://schemas.openxmlformats.org/officeDocument/2006/relationships/hyperlink" Target="https://williamsinstitute.law.ucla.edu/publications/older-lgbt-adults-us/" TargetMode="External"/><Relationship Id="rId16" Type="http://schemas.openxmlformats.org/officeDocument/2006/relationships/hyperlink" Target="https://ajph.aphapublications.org/doi/full/10.2105/AJPH.2023.307446?casa_token=KFgWLLU89UwAAAAA:Fgva2Hdf8lxSeAvtu88snF__ECpOoF2BNmE21Sybk17d_OC_Y4-UsQEjb9abmrZFROkKUU5QibqqLA" TargetMode="External"/><Relationship Id="rId29" Type="http://schemas.openxmlformats.org/officeDocument/2006/relationships/hyperlink" Target="https://www.kff.org/health-policy-101-lgbtq-health-policy/?entry=table-of-contents-introduction" TargetMode="External"/><Relationship Id="rId11" Type="http://schemas.openxmlformats.org/officeDocument/2006/relationships/hyperlink" Target="https://www.cms.gov/files/document/sgm-clearinghouse-uds.pdf" TargetMode="External"/><Relationship Id="rId24" Type="http://schemas.openxmlformats.org/officeDocument/2006/relationships/hyperlink" Target="https://williamsinstitute.law.ucla.edu/wp-content/uploads/Generations-TransPop-Toplines-Jun-2021.pdf" TargetMode="External"/><Relationship Id="rId32" Type="http://schemas.openxmlformats.org/officeDocument/2006/relationships/hyperlink" Target="https://williamsinstitute.law.ucla.edu/wp-content/uploads/Medicaid-LGBT-May-2025.pdf" TargetMode="External"/><Relationship Id="rId37" Type="http://schemas.openxmlformats.org/officeDocument/2006/relationships/hyperlink" Target="https://williamsinstitute.law.ucla.edu/wp-content/uploads/LGBT-COVID-CA-Health-May-2020.pdf" TargetMode="External"/><Relationship Id="rId40" Type="http://schemas.openxmlformats.org/officeDocument/2006/relationships/hyperlink" Target="https://williamsinstitute.law.ucla.edu/publications/lbq-women-in-us/" TargetMode="External"/><Relationship Id="rId45" Type="http://schemas.openxmlformats.org/officeDocument/2006/relationships/hyperlink" Target="https://williamsinstitute.law.ucla.edu/WP-CONTENT/UPLOADS/LGBT-AIAN-SES-OCT-2021.PDF" TargetMode="External"/><Relationship Id="rId53" Type="http://schemas.openxmlformats.org/officeDocument/2006/relationships/hyperlink" Target="https://www.ers.usda.gov/topics/farm-economy/farm-labor" TargetMode="External"/><Relationship Id="rId58" Type="http://schemas.openxmlformats.org/officeDocument/2006/relationships/hyperlink" Target="https://www.ncbi.nlm.nih.gov/books/NBK64806/" TargetMode="External"/><Relationship Id="rId5" Type="http://schemas.openxmlformats.org/officeDocument/2006/relationships/hyperlink" Target="https://williamsinstitute.law.ucla.edu/wp-content/uploads/LGBT-Adult-US-Pop-Dec-2023.pdf" TargetMode="External"/><Relationship Id="rId61" Type="http://schemas.openxmlformats.org/officeDocument/2006/relationships/hyperlink" Target="https://ajph.aphapublications.org/doi/epub/10.2105/AJPH.2023.307323" TargetMode="External"/><Relationship Id="rId19" Type="http://schemas.openxmlformats.org/officeDocument/2006/relationships/hyperlink" Target="https://transequality.org/sites/default/files/2025-06/USTS_2022Health%26WellbeingReport_WEB.pdf" TargetMode="External"/><Relationship Id="rId14" Type="http://schemas.openxmlformats.org/officeDocument/2006/relationships/hyperlink" Target="https://www.legalbluebook.com/bluebook/v22/rules/17-unpublished-and-forthcoming-sources/17-2-unpublished-materials?id=17726725&amp;tokens=dissertation" TargetMode="External"/><Relationship Id="rId22" Type="http://schemas.openxmlformats.org/officeDocument/2006/relationships/hyperlink" Target="https://williamsinstitute.law.ucla.edu/wp-content/uploads/LGBT-Older-Adults-Jan-2023.pdf" TargetMode="External"/><Relationship Id="rId27" Type="http://schemas.openxmlformats.org/officeDocument/2006/relationships/hyperlink" Target="https://news.gallup.com/poll/175445/lgbt-likely-non-lgbt-uninsured.aspx" TargetMode="External"/><Relationship Id="rId30" Type="http://schemas.openxmlformats.org/officeDocument/2006/relationships/hyperlink" Target="https://williamsinstitute.law.ucla.edu/wp-content/uploads/Medicaid-LGBT-May-2025.pdf" TargetMode="External"/><Relationship Id="rId35" Type="http://schemas.openxmlformats.org/officeDocument/2006/relationships/hyperlink" Target="https://williamsinstitute.law.ucla.edu/wp-content/uploads/Generations-TransPop-Toplines-Jun-2021.pdf" TargetMode="External"/><Relationship Id="rId43" Type="http://schemas.openxmlformats.org/officeDocument/2006/relationships/hyperlink" Target="https://williamsinstitute.law.ucla.edu/publications/black-lgbt-adults-in-the-us/" TargetMode="External"/><Relationship Id="rId48" Type="http://schemas.openxmlformats.org/officeDocument/2006/relationships/hyperlink" Target="https://williamsinstitute.law.ucla.edu/wp-content/uploads/Generations-TransPop-Toplines-Jun-2021.pdf" TargetMode="External"/><Relationship Id="rId56" Type="http://schemas.openxmlformats.org/officeDocument/2006/relationships/hyperlink" Target="https://williamsinstitute.law.ucla.edu/wp-content/uploads/SOGI-Data-Removal-EO-Feb-2025.pdf" TargetMode="External"/><Relationship Id="rId64" Type="http://schemas.openxmlformats.org/officeDocument/2006/relationships/hyperlink" Target="https://web.archive.org/web/20250308202001/https://bphc.hrsa.gov/data-reporting/uds-training-and-technical-assistance/uniform-data-system-uds-test-cooperative" TargetMode="External"/><Relationship Id="rId8" Type="http://schemas.openxmlformats.org/officeDocument/2006/relationships/hyperlink" Target="https://williamsinstitute.law.ucla.edu/publications/nonbinary-lgbtq-adults-us/" TargetMode="External"/><Relationship Id="rId51" Type="http://schemas.openxmlformats.org/officeDocument/2006/relationships/hyperlink" Target="https://williamsinstitute.law.ucla.edu/publications/lgbt-homelessness-us/" TargetMode="External"/><Relationship Id="rId3" Type="http://schemas.openxmlformats.org/officeDocument/2006/relationships/hyperlink" Target="https://williamsinstitute.law.ucla.edu/publications/generations-transpop-toplines/" TargetMode="External"/><Relationship Id="rId12" Type="http://schemas.openxmlformats.org/officeDocument/2006/relationships/hyperlink" Target="https://www.cms.gov/files/document/sgm-clearinghouse-uds.pdf" TargetMode="External"/><Relationship Id="rId17" Type="http://schemas.openxmlformats.org/officeDocument/2006/relationships/hyperlink" Target="https://jamanetwork.com/journals/jama-health-forum/fullarticle/2823975" TargetMode="External"/><Relationship Id="rId25" Type="http://schemas.openxmlformats.org/officeDocument/2006/relationships/hyperlink" Target="https://www.americanprogress.org/article/discrimination-prevents-lgbtqpeople-accessing-health-care/" TargetMode="External"/><Relationship Id="rId33" Type="http://schemas.openxmlformats.org/officeDocument/2006/relationships/hyperlink" Target="https://williamsinstitute.law.ucla.edu/wp-content/uploads/CA-Health-Care-Gaps-Feb-2022.pdf" TargetMode="External"/><Relationship Id="rId38" Type="http://schemas.openxmlformats.org/officeDocument/2006/relationships/hyperlink" Target="https://williamsinstitute.law.ucla.edu/wp-content/uploads/Older-LGB-COVID-CA-Apr-2020.pdf" TargetMode="External"/><Relationship Id="rId46" Type="http://schemas.openxmlformats.org/officeDocument/2006/relationships/hyperlink" Target="https://williamsinstitute.law.ucla.edu/wp-content/uploads/LGBT-Latinx-SES-Sep-2021.pdf" TargetMode="External"/><Relationship Id="rId59" Type="http://schemas.openxmlformats.org/officeDocument/2006/relationships/hyperlink" Target="https://www.cms.gov/files/document/sgm-clearinghouse-uds.pdf" TargetMode="External"/><Relationship Id="rId20" Type="http://schemas.openxmlformats.org/officeDocument/2006/relationships/hyperlink" Target="https://williamsinstitute.law.ucla.edu/wp-content/uploads/CA-Health-Care-Gaps-Feb-2022.pdf" TargetMode="External"/><Relationship Id="rId41" Type="http://schemas.openxmlformats.org/officeDocument/2006/relationships/hyperlink" Target="https://williamsinstitute.law.ucla.edu/publications/lgbt-aging/" TargetMode="External"/><Relationship Id="rId54" Type="http://schemas.openxmlformats.org/officeDocument/2006/relationships/hyperlink" Target="https://williamsinstitute.law.ucla.edu/publications/lgbt-immigrants-in-the-us/" TargetMode="External"/><Relationship Id="rId62" Type="http://schemas.openxmlformats.org/officeDocument/2006/relationships/hyperlink" Target="https://www.ajpmonline.org/article/S0749-3797(22)00056-3/abstract" TargetMode="External"/><Relationship Id="rId1" Type="http://schemas.openxmlformats.org/officeDocument/2006/relationships/hyperlink" Target="https://williamsinstitute.law.ucla.edu/wp-content/uploads/Trans-Pulse-Toplines-Nov-2022.pdf" TargetMode="External"/><Relationship Id="rId6" Type="http://schemas.openxmlformats.org/officeDocument/2006/relationships/hyperlink" Target="https://williamsinstitute.law.ucla.edu/publications/trans-adults-united-states/" TargetMode="External"/><Relationship Id="rId15" Type="http://schemas.openxmlformats.org/officeDocument/2006/relationships/hyperlink" Target="https://doi.org/10.17226/25877" TargetMode="External"/><Relationship Id="rId23" Type="http://schemas.openxmlformats.org/officeDocument/2006/relationships/hyperlink" Target="https://doi.org/10.1177/21676968241308316" TargetMode="External"/><Relationship Id="rId28" Type="http://schemas.openxmlformats.org/officeDocument/2006/relationships/hyperlink" Target="https://aspe.hhs.gov/sites/default/files/2021-07/lgbt-health-ib.pdf" TargetMode="External"/><Relationship Id="rId36" Type="http://schemas.openxmlformats.org/officeDocument/2006/relationships/hyperlink" Target="https://williamsinstitute.law.ucla.edu/wp-content/uploads/LGBT-Race-Comparison-Jan-2022.pdf" TargetMode="External"/><Relationship Id="rId49" Type="http://schemas.openxmlformats.org/officeDocument/2006/relationships/hyperlink" Target="https://www.nachc.org/resource-collection/special-populations/" TargetMode="External"/><Relationship Id="rId57" Type="http://schemas.openxmlformats.org/officeDocument/2006/relationships/hyperlink" Target="http://www.nationalacademies.org/our-work/measuring-sex-gender-identity-" TargetMode="External"/><Relationship Id="rId10" Type="http://schemas.openxmlformats.org/officeDocument/2006/relationships/hyperlink" Target="https://bphc.hrsa.gov/about-health-center-program/impact-health-center-program" TargetMode="External"/><Relationship Id="rId31" Type="http://schemas.openxmlformats.org/officeDocument/2006/relationships/hyperlink" Target="https://doi.org/10.17226/25877" TargetMode="External"/><Relationship Id="rId44" Type="http://schemas.openxmlformats.org/officeDocument/2006/relationships/hyperlink" Target="https://williamsinstitute.law.ucla.edu/wp-content/uploads/LGBT-White-SES-Jan-2022.pdf" TargetMode="External"/><Relationship Id="rId52" Type="http://schemas.openxmlformats.org/officeDocument/2006/relationships/hyperlink" Target="https://www.americanprogress.org/article/protecting-basic-living-standards-lgbtq-people/" TargetMode="External"/><Relationship Id="rId60" Type="http://schemas.openxmlformats.org/officeDocument/2006/relationships/hyperlink" Target="https://www.ajpmonline.org/article/S0749-3797(22)00056-3/abstract" TargetMode="External"/><Relationship Id="rId4" Type="http://schemas.openxmlformats.org/officeDocument/2006/relationships/hyperlink" Target="https://williamsinstitute.law.ucla.edu/publications/access-federal-lgbt-data/" TargetMode="External"/><Relationship Id="rId9" Type="http://schemas.openxmlformats.org/officeDocument/2006/relationships/hyperlink" Target="https://www.govinfo.gov/content/pkg/FR-2025-06-23/pdf/2025-114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ChannelId xmlns="6fd75908-9536-4e82-af30-4535e6874634" xsi:nil="true"/>
    <IsNotebookLocked xmlns="6fd75908-9536-4e82-af30-4535e6874634" xsi:nil="true"/>
    <DefaultSectionNames xmlns="6fd75908-9536-4e82-af30-4535e6874634" xsi:nil="true"/>
    <Math_Settings xmlns="6fd75908-9536-4e82-af30-4535e6874634" xsi:nil="true"/>
    <Owner xmlns="6fd75908-9536-4e82-af30-4535e6874634">
      <UserInfo>
        <DisplayName/>
        <AccountId xsi:nil="true"/>
        <AccountType/>
      </UserInfo>
    </Owner>
    <NotebookType xmlns="6fd75908-9536-4e82-af30-4535e6874634" xsi:nil="true"/>
    <FolderType xmlns="6fd75908-9536-4e82-af30-4535e6874634" xsi:nil="true"/>
    <lcf76f155ced4ddcb4097134ff3c332f xmlns="6fd75908-9536-4e82-af30-4535e6874634">
      <Terms xmlns="http://schemas.microsoft.com/office/infopath/2007/PartnerControls"/>
    </lcf76f155ced4ddcb4097134ff3c332f>
    <AppVersion xmlns="6fd75908-9536-4e82-af30-4535e6874634" xsi:nil="true"/>
    <TaxCatchAll xmlns="bd2379d1-0235-4736-bc0e-5ed1323d88f2" xsi:nil="true"/>
    <Is_Collaboration_Space_Locked xmlns="6fd75908-9536-4e82-af30-4535e6874634" xsi:nil="true"/>
    <Templates xmlns="6fd75908-9536-4e82-af30-4535e6874634" xsi:nil="true"/>
    <Members xmlns="6fd75908-9536-4e82-af30-4535e6874634">
      <UserInfo>
        <DisplayName/>
        <AccountId xsi:nil="true"/>
        <AccountType/>
      </UserInfo>
    </Members>
    <Self_Registration_Enabled xmlns="6fd75908-9536-4e82-af30-4535e6874634" xsi:nil="true"/>
    <CultureName xmlns="6fd75908-9536-4e82-af30-4535e6874634" xsi:nil="true"/>
    <Distribution_Groups xmlns="6fd75908-9536-4e82-af30-4535e6874634" xsi:nil="true"/>
    <LMS_Mappings xmlns="6fd75908-9536-4e82-af30-4535e6874634" xsi:nil="true"/>
    <Invited_Leaders xmlns="6fd75908-9536-4e82-af30-4535e6874634" xsi:nil="true"/>
    <Invited_Members xmlns="6fd75908-9536-4e82-af30-4535e6874634" xsi:nil="true"/>
    <Member_Groups xmlns="6fd75908-9536-4e82-af30-4535e6874634">
      <UserInfo>
        <DisplayName/>
        <AccountId xsi:nil="true"/>
        <AccountType/>
      </UserInfo>
    </Member_Groups>
    <Has_Leaders_Only_SectionGroup xmlns="6fd75908-9536-4e82-af30-4535e6874634" xsi:nil="true"/>
    <Leaders xmlns="6fd75908-9536-4e82-af30-4535e6874634">
      <UserInfo>
        <DisplayName/>
        <AccountId xsi:nil="true"/>
        <AccountType/>
      </UserInfo>
    </Lead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3C694849884048848449A13481CBC0" ma:contentTypeVersion="38" ma:contentTypeDescription="Create a new document." ma:contentTypeScope="" ma:versionID="b4dcc48657c6e90cd1d90b217af1ce31">
  <xsd:schema xmlns:xsd="http://www.w3.org/2001/XMLSchema" xmlns:xs="http://www.w3.org/2001/XMLSchema" xmlns:p="http://schemas.microsoft.com/office/2006/metadata/properties" xmlns:ns2="6fd75908-9536-4e82-af30-4535e6874634" xmlns:ns3="bd2379d1-0235-4736-bc0e-5ed1323d88f2" targetNamespace="http://schemas.microsoft.com/office/2006/metadata/properties" ma:root="true" ma:fieldsID="5a082cec6964426333aa50547a1d3b54" ns2:_="" ns3:_="">
    <xsd:import namespace="6fd75908-9536-4e82-af30-4535e6874634"/>
    <xsd:import namespace="bd2379d1-0235-4736-bc0e-5ed1323d88f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5908-9536-4e82-af30-4535e687463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e5b2ec1-8ab0-4201-a0f5-8c1f20dae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379d1-0235-4736-bc0e-5ed1323d88f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1a2e9700-a0e5-4278-b3ec-86d898380031}" ma:internalName="TaxCatchAll" ma:showField="CatchAllData" ma:web="bd2379d1-0235-4736-bc0e-5ed1323d8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47953-D497-4002-A834-8B4EAC0502D3}">
  <ds:schemaRefs>
    <ds:schemaRef ds:uri="http://schemas.microsoft.com/sharepoint/v3/contenttype/forms"/>
  </ds:schemaRefs>
</ds:datastoreItem>
</file>

<file path=customXml/itemProps2.xml><?xml version="1.0" encoding="utf-8"?>
<ds:datastoreItem xmlns:ds="http://schemas.openxmlformats.org/officeDocument/2006/customXml" ds:itemID="{D5AB34B7-28B6-445E-B6B0-9916065EEA08}">
  <ds:schemaRefs>
    <ds:schemaRef ds:uri="http://schemas.microsoft.com/office/2006/metadata/properties"/>
    <ds:schemaRef ds:uri="http://schemas.microsoft.com/office/infopath/2007/PartnerControls"/>
    <ds:schemaRef ds:uri="6fd75908-9536-4e82-af30-4535e6874634"/>
    <ds:schemaRef ds:uri="bd2379d1-0235-4736-bc0e-5ed1323d88f2"/>
  </ds:schemaRefs>
</ds:datastoreItem>
</file>

<file path=customXml/itemProps3.xml><?xml version="1.0" encoding="utf-8"?>
<ds:datastoreItem xmlns:ds="http://schemas.openxmlformats.org/officeDocument/2006/customXml" ds:itemID="{2096026E-6280-40EA-B980-53B967ABCF9D}">
  <ds:schemaRefs>
    <ds:schemaRef ds:uri="http://schemas.openxmlformats.org/officeDocument/2006/bibliography"/>
  </ds:schemaRefs>
</ds:datastoreItem>
</file>

<file path=customXml/itemProps4.xml><?xml version="1.0" encoding="utf-8"?>
<ds:datastoreItem xmlns:ds="http://schemas.openxmlformats.org/officeDocument/2006/customXml" ds:itemID="{EB710E77-4CAD-46F3-AE0D-11EB8784F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5908-9536-4e82-af30-4535e6874634"/>
    <ds:schemaRef ds:uri="bd2379d1-0235-4736-bc0e-5ed1323d8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22027</CharactersWithSpaces>
  <SharedDoc>false</SharedDoc>
  <HLinks>
    <vt:vector size="252" baseType="variant">
      <vt:variant>
        <vt:i4>1900568</vt:i4>
      </vt:variant>
      <vt:variant>
        <vt:i4>150</vt:i4>
      </vt:variant>
      <vt:variant>
        <vt:i4>0</vt:i4>
      </vt:variant>
      <vt:variant>
        <vt:i4>5</vt:i4>
      </vt:variant>
      <vt:variant>
        <vt:lpwstr>https://omb.report/icr/202502-0607-003/doc/152412000</vt:lpwstr>
      </vt:variant>
      <vt:variant>
        <vt:lpwstr/>
      </vt:variant>
      <vt:variant>
        <vt:i4>5046364</vt:i4>
      </vt:variant>
      <vt:variant>
        <vt:i4>147</vt:i4>
      </vt:variant>
      <vt:variant>
        <vt:i4>0</vt:i4>
      </vt:variant>
      <vt:variant>
        <vt:i4>5</vt:i4>
      </vt:variant>
      <vt:variant>
        <vt:lpwstr>https://doi.org/10.7758/RSF.2025.11.2.04</vt:lpwstr>
      </vt:variant>
      <vt:variant>
        <vt:lpwstr/>
      </vt:variant>
      <vt:variant>
        <vt:i4>8192033</vt:i4>
      </vt:variant>
      <vt:variant>
        <vt:i4>144</vt:i4>
      </vt:variant>
      <vt:variant>
        <vt:i4>0</vt:i4>
      </vt:variant>
      <vt:variant>
        <vt:i4>5</vt:i4>
      </vt:variant>
      <vt:variant>
        <vt:lpwstr>https://www.centralpafoodbank.org/policy-blog-research-on-food-insecurity-and-insufficiency-in-the-lgbtq-community/</vt:lpwstr>
      </vt:variant>
      <vt:variant>
        <vt:lpwstr/>
      </vt:variant>
      <vt:variant>
        <vt:i4>5505053</vt:i4>
      </vt:variant>
      <vt:variant>
        <vt:i4>141</vt:i4>
      </vt:variant>
      <vt:variant>
        <vt:i4>0</vt:i4>
      </vt:variant>
      <vt:variant>
        <vt:i4>5</vt:i4>
      </vt:variant>
      <vt:variant>
        <vt:lpwstr>https://williamsinstitute.law.ucla.edu/publications/older-lgbt-adults-us/</vt:lpwstr>
      </vt:variant>
      <vt:variant>
        <vt:lpwstr/>
      </vt:variant>
      <vt:variant>
        <vt:i4>7143478</vt:i4>
      </vt:variant>
      <vt:variant>
        <vt:i4>138</vt:i4>
      </vt:variant>
      <vt:variant>
        <vt:i4>0</vt:i4>
      </vt:variant>
      <vt:variant>
        <vt:i4>5</vt:i4>
      </vt:variant>
      <vt:variant>
        <vt:lpwstr>https://williamsinstitute.law.ucla.edu/wp-content/uploads/Trans-Pulse-Toplines-Nov-2022.pdf</vt:lpwstr>
      </vt:variant>
      <vt:variant>
        <vt:lpwstr/>
      </vt:variant>
      <vt:variant>
        <vt:i4>6422576</vt:i4>
      </vt:variant>
      <vt:variant>
        <vt:i4>132</vt:i4>
      </vt:variant>
      <vt:variant>
        <vt:i4>0</vt:i4>
      </vt:variant>
      <vt:variant>
        <vt:i4>5</vt:i4>
      </vt:variant>
      <vt:variant>
        <vt:lpwstr>https://www.americanprogress.org/article/collecting-data-about-lgbtqi-and-other-sexual-and-gender-diverse-communities/</vt:lpwstr>
      </vt:variant>
      <vt:variant>
        <vt:lpwstr>:~:text=In%20other%20words%2C%20existing%20evidence,advancing%20equity%20for%20LGBTQI+%20communities</vt:lpwstr>
      </vt:variant>
      <vt:variant>
        <vt:i4>3276845</vt:i4>
      </vt:variant>
      <vt:variant>
        <vt:i4>129</vt:i4>
      </vt:variant>
      <vt:variant>
        <vt:i4>0</vt:i4>
      </vt:variant>
      <vt:variant>
        <vt:i4>5</vt:i4>
      </vt:variant>
      <vt:variant>
        <vt:lpwstr>https://content.govdelivery.com/accounts/USCENSUS/bulletins/2eb7e85</vt:lpwstr>
      </vt:variant>
      <vt:variant>
        <vt:lpwstr/>
      </vt:variant>
      <vt:variant>
        <vt:i4>4784195</vt:i4>
      </vt:variant>
      <vt:variant>
        <vt:i4>126</vt:i4>
      </vt:variant>
      <vt:variant>
        <vt:i4>0</vt:i4>
      </vt:variant>
      <vt:variant>
        <vt:i4>5</vt:i4>
      </vt:variant>
      <vt:variant>
        <vt:lpwstr>https://doi.org/10.1371/journal.pone.0107104</vt:lpwstr>
      </vt:variant>
      <vt:variant>
        <vt:lpwstr/>
      </vt:variant>
      <vt:variant>
        <vt:i4>4325469</vt:i4>
      </vt:variant>
      <vt:variant>
        <vt:i4>123</vt:i4>
      </vt:variant>
      <vt:variant>
        <vt:i4>0</vt:i4>
      </vt:variant>
      <vt:variant>
        <vt:i4>5</vt:i4>
      </vt:variant>
      <vt:variant>
        <vt:lpwstr>http://www.nationalacademies.org/our-work/measuring-sex-gender-identity-</vt:lpwstr>
      </vt:variant>
      <vt:variant>
        <vt:lpwstr/>
      </vt:variant>
      <vt:variant>
        <vt:i4>6750325</vt:i4>
      </vt:variant>
      <vt:variant>
        <vt:i4>120</vt:i4>
      </vt:variant>
      <vt:variant>
        <vt:i4>0</vt:i4>
      </vt:variant>
      <vt:variant>
        <vt:i4>5</vt:i4>
      </vt:variant>
      <vt:variant>
        <vt:lpwstr>https://williamsinstitute.law.ucla.edu/wp-content/uploads/SOGI-Data-Removal-EO-Feb-2025.pdf</vt:lpwstr>
      </vt:variant>
      <vt:variant>
        <vt:lpwstr/>
      </vt:variant>
      <vt:variant>
        <vt:i4>6553636</vt:i4>
      </vt:variant>
      <vt:variant>
        <vt:i4>117</vt:i4>
      </vt:variant>
      <vt:variant>
        <vt:i4>0</vt:i4>
      </vt:variant>
      <vt:variant>
        <vt:i4>5</vt:i4>
      </vt:variant>
      <vt:variant>
        <vt:lpwstr>https://www.americanprogress.org/article/fact-sheet-lgbt-workers-in-the-labor-market/%23:~:text=On average%2C from July 2021,percent compared with 15 percent.</vt:lpwstr>
      </vt:variant>
      <vt:variant>
        <vt:lpwstr/>
      </vt:variant>
      <vt:variant>
        <vt:i4>6291569</vt:i4>
      </vt:variant>
      <vt:variant>
        <vt:i4>111</vt:i4>
      </vt:variant>
      <vt:variant>
        <vt:i4>0</vt:i4>
      </vt:variant>
      <vt:variant>
        <vt:i4>5</vt:i4>
      </vt:variant>
      <vt:variant>
        <vt:lpwstr>https://equitablegrowth.org/new-u-s-census-bureau-data-show-significant-economic-disparities-among-the-lgbtq-community/</vt:lpwstr>
      </vt:variant>
      <vt:variant>
        <vt:lpwstr/>
      </vt:variant>
      <vt:variant>
        <vt:i4>2162802</vt:i4>
      </vt:variant>
      <vt:variant>
        <vt:i4>108</vt:i4>
      </vt:variant>
      <vt:variant>
        <vt:i4>0</vt:i4>
      </vt:variant>
      <vt:variant>
        <vt:i4>5</vt:i4>
      </vt:variant>
      <vt:variant>
        <vt:lpwstr>https://web.archive.org/web/20250124091824/https://www.census.gov/library/stories/2021/11/census-bureau-survey-explores-sexual-orientation-and-gender-identity.html</vt:lpwstr>
      </vt:variant>
      <vt:variant>
        <vt:lpwstr/>
      </vt:variant>
      <vt:variant>
        <vt:i4>4587547</vt:i4>
      </vt:variant>
      <vt:variant>
        <vt:i4>105</vt:i4>
      </vt:variant>
      <vt:variant>
        <vt:i4>0</vt:i4>
      </vt:variant>
      <vt:variant>
        <vt:i4>5</vt:i4>
      </vt:variant>
      <vt:variant>
        <vt:lpwstr>https://www.census.gov/library/stories/2021/11/census-bureau-survey-explores-sexual-orientation-and-gender-identity.html</vt:lpwstr>
      </vt:variant>
      <vt:variant>
        <vt:lpwstr/>
      </vt:variant>
      <vt:variant>
        <vt:i4>5242974</vt:i4>
      </vt:variant>
      <vt:variant>
        <vt:i4>102</vt:i4>
      </vt:variant>
      <vt:variant>
        <vt:i4>0</vt:i4>
      </vt:variant>
      <vt:variant>
        <vt:i4>5</vt:i4>
      </vt:variant>
      <vt:variant>
        <vt:lpwstr>https://doi.org/10.1257/jel.20231668</vt:lpwstr>
      </vt:variant>
      <vt:variant>
        <vt:lpwstr/>
      </vt:variant>
      <vt:variant>
        <vt:i4>5898306</vt:i4>
      </vt:variant>
      <vt:variant>
        <vt:i4>99</vt:i4>
      </vt:variant>
      <vt:variant>
        <vt:i4>0</vt:i4>
      </vt:variant>
      <vt:variant>
        <vt:i4>5</vt:i4>
      </vt:variant>
      <vt:variant>
        <vt:lpwstr>https://doi.org/10.1257/jep.35.2.141</vt:lpwstr>
      </vt:variant>
      <vt:variant>
        <vt:lpwstr/>
      </vt:variant>
      <vt:variant>
        <vt:i4>3735650</vt:i4>
      </vt:variant>
      <vt:variant>
        <vt:i4>96</vt:i4>
      </vt:variant>
      <vt:variant>
        <vt:i4>0</vt:i4>
      </vt:variant>
      <vt:variant>
        <vt:i4>5</vt:i4>
      </vt:variant>
      <vt:variant>
        <vt:lpwstr>https://hrc-prod-requests.s3-us-west-2.amazonaws.com/files/assets/resources/COVID19-IssueBrief-032020-FINAL.pdf?mtime=20200811115717&amp;focal=none</vt:lpwstr>
      </vt:variant>
      <vt:variant>
        <vt:lpwstr/>
      </vt:variant>
      <vt:variant>
        <vt:i4>2752567</vt:i4>
      </vt:variant>
      <vt:variant>
        <vt:i4>93</vt:i4>
      </vt:variant>
      <vt:variant>
        <vt:i4>0</vt:i4>
      </vt:variant>
      <vt:variant>
        <vt:i4>5</vt:i4>
      </vt:variant>
      <vt:variant>
        <vt:lpwstr>https://williamsinstitute.law.ucla.edu/wp-content/uploads/Comment-SIPP-Sep-2022.pdf</vt:lpwstr>
      </vt:variant>
      <vt:variant>
        <vt:lpwstr/>
      </vt:variant>
      <vt:variant>
        <vt:i4>7733303</vt:i4>
      </vt:variant>
      <vt:variant>
        <vt:i4>90</vt:i4>
      </vt:variant>
      <vt:variant>
        <vt:i4>0</vt:i4>
      </vt:variant>
      <vt:variant>
        <vt:i4>5</vt:i4>
      </vt:variant>
      <vt:variant>
        <vt:lpwstr>https://www.census.gov/programs-surveys/htops.html</vt:lpwstr>
      </vt:variant>
      <vt:variant>
        <vt:lpwstr/>
      </vt:variant>
      <vt:variant>
        <vt:i4>65606</vt:i4>
      </vt:variant>
      <vt:variant>
        <vt:i4>87</vt:i4>
      </vt:variant>
      <vt:variant>
        <vt:i4>0</vt:i4>
      </vt:variant>
      <vt:variant>
        <vt:i4>5</vt:i4>
      </vt:variant>
      <vt:variant>
        <vt:lpwstr>https://doi.org/10.3390/vaccines12111277</vt:lpwstr>
      </vt:variant>
      <vt:variant>
        <vt:lpwstr/>
      </vt:variant>
      <vt:variant>
        <vt:i4>393285</vt:i4>
      </vt:variant>
      <vt:variant>
        <vt:i4>84</vt:i4>
      </vt:variant>
      <vt:variant>
        <vt:i4>0</vt:i4>
      </vt:variant>
      <vt:variant>
        <vt:i4>5</vt:i4>
      </vt:variant>
      <vt:variant>
        <vt:lpwstr>https://doi.org/10.1080/00918369.2020.1868182</vt:lpwstr>
      </vt:variant>
      <vt:variant>
        <vt:lpwstr/>
      </vt:variant>
      <vt:variant>
        <vt:i4>6619199</vt:i4>
      </vt:variant>
      <vt:variant>
        <vt:i4>81</vt:i4>
      </vt:variant>
      <vt:variant>
        <vt:i4>0</vt:i4>
      </vt:variant>
      <vt:variant>
        <vt:i4>5</vt:i4>
      </vt:variant>
      <vt:variant>
        <vt:lpwstr>https://doi.org/10.1007/s11113-023-09778-y</vt:lpwstr>
      </vt:variant>
      <vt:variant>
        <vt:lpwstr/>
      </vt:variant>
      <vt:variant>
        <vt:i4>3670077</vt:i4>
      </vt:variant>
      <vt:variant>
        <vt:i4>69</vt:i4>
      </vt:variant>
      <vt:variant>
        <vt:i4>0</vt:i4>
      </vt:variant>
      <vt:variant>
        <vt:i4>5</vt:i4>
      </vt:variant>
      <vt:variant>
        <vt:lpwstr>https://hrc-prod-requests.s3-us-west-2.amazonaws.com/GAC-Ban-Memo-Final.pdf</vt:lpwstr>
      </vt:variant>
      <vt:variant>
        <vt:lpwstr/>
      </vt:variant>
      <vt:variant>
        <vt:i4>2490427</vt:i4>
      </vt:variant>
      <vt:variant>
        <vt:i4>66</vt:i4>
      </vt:variant>
      <vt:variant>
        <vt:i4>0</vt:i4>
      </vt:variant>
      <vt:variant>
        <vt:i4>5</vt:i4>
      </vt:variant>
      <vt:variant>
        <vt:lpwstr>https://doi.org/10.1007/s11113-025-09938-2</vt:lpwstr>
      </vt:variant>
      <vt:variant>
        <vt:lpwstr/>
      </vt:variant>
      <vt:variant>
        <vt:i4>65611</vt:i4>
      </vt:variant>
      <vt:variant>
        <vt:i4>63</vt:i4>
      </vt:variant>
      <vt:variant>
        <vt:i4>0</vt:i4>
      </vt:variant>
      <vt:variant>
        <vt:i4>5</vt:i4>
      </vt:variant>
      <vt:variant>
        <vt:lpwstr>https://doi.org/10.1080/10511482.2024.2365255</vt:lpwstr>
      </vt:variant>
      <vt:variant>
        <vt:lpwstr/>
      </vt:variant>
      <vt:variant>
        <vt:i4>8126588</vt:i4>
      </vt:variant>
      <vt:variant>
        <vt:i4>60</vt:i4>
      </vt:variant>
      <vt:variant>
        <vt:i4>0</vt:i4>
      </vt:variant>
      <vt:variant>
        <vt:i4>5</vt:i4>
      </vt:variant>
      <vt:variant>
        <vt:lpwstr>https://www.urban.org/sites/default/files/2024-02/Three Trends in LGBTQ%2B Homeownership Gaps Underscore Research and Policy Needs.pdf</vt:lpwstr>
      </vt:variant>
      <vt:variant>
        <vt:lpwstr/>
      </vt:variant>
      <vt:variant>
        <vt:i4>1507349</vt:i4>
      </vt:variant>
      <vt:variant>
        <vt:i4>57</vt:i4>
      </vt:variant>
      <vt:variant>
        <vt:i4>0</vt:i4>
      </vt:variant>
      <vt:variant>
        <vt:i4>5</vt:i4>
      </vt:variant>
      <vt:variant>
        <vt:lpwstr>https://williamsinstitute.law.ucla.edu/publications/lgbt-homelessness-us/</vt:lpwstr>
      </vt:variant>
      <vt:variant>
        <vt:lpwstr/>
      </vt:variant>
      <vt:variant>
        <vt:i4>6226005</vt:i4>
      </vt:variant>
      <vt:variant>
        <vt:i4>54</vt:i4>
      </vt:variant>
      <vt:variant>
        <vt:i4>0</vt:i4>
      </vt:variant>
      <vt:variant>
        <vt:i4>5</vt:i4>
      </vt:variant>
      <vt:variant>
        <vt:lpwstr>https://williamsinstitute.law.ucla.edu/publications/lgbt-housing-instability/</vt:lpwstr>
      </vt:variant>
      <vt:variant>
        <vt:lpwstr/>
      </vt:variant>
      <vt:variant>
        <vt:i4>2555959</vt:i4>
      </vt:variant>
      <vt:variant>
        <vt:i4>51</vt:i4>
      </vt:variant>
      <vt:variant>
        <vt:i4>0</vt:i4>
      </vt:variant>
      <vt:variant>
        <vt:i4>5</vt:i4>
      </vt:variant>
      <vt:variant>
        <vt:lpwstr>https://doi.org/10.1007/s10460-022-10403-5</vt:lpwstr>
      </vt:variant>
      <vt:variant>
        <vt:lpwstr/>
      </vt:variant>
      <vt:variant>
        <vt:i4>917528</vt:i4>
      </vt:variant>
      <vt:variant>
        <vt:i4>48</vt:i4>
      </vt:variant>
      <vt:variant>
        <vt:i4>0</vt:i4>
      </vt:variant>
      <vt:variant>
        <vt:i4>5</vt:i4>
      </vt:variant>
      <vt:variant>
        <vt:lpwstr>https://williamsinstitute.law.ucla.edu/publications/food-insecurity-lgbtq-youth/</vt:lpwstr>
      </vt:variant>
      <vt:variant>
        <vt:lpwstr/>
      </vt:variant>
      <vt:variant>
        <vt:i4>6094858</vt:i4>
      </vt:variant>
      <vt:variant>
        <vt:i4>45</vt:i4>
      </vt:variant>
      <vt:variant>
        <vt:i4>0</vt:i4>
      </vt:variant>
      <vt:variant>
        <vt:i4>5</vt:i4>
      </vt:variant>
      <vt:variant>
        <vt:lpwstr>https://williamsinstitute.law.ucla.edu/publications/lgbt-food-insufficiency/</vt:lpwstr>
      </vt:variant>
      <vt:variant>
        <vt:lpwstr/>
      </vt:variant>
      <vt:variant>
        <vt:i4>2490475</vt:i4>
      </vt:variant>
      <vt:variant>
        <vt:i4>42</vt:i4>
      </vt:variant>
      <vt:variant>
        <vt:i4>0</vt:i4>
      </vt:variant>
      <vt:variant>
        <vt:i4>5</vt:i4>
      </vt:variant>
      <vt:variant>
        <vt:lpwstr>https://doi.org/10.1002/soej.12594</vt:lpwstr>
      </vt:variant>
      <vt:variant>
        <vt:lpwstr/>
      </vt:variant>
      <vt:variant>
        <vt:i4>1507417</vt:i4>
      </vt:variant>
      <vt:variant>
        <vt:i4>39</vt:i4>
      </vt:variant>
      <vt:variant>
        <vt:i4>0</vt:i4>
      </vt:variant>
      <vt:variant>
        <vt:i4>5</vt:i4>
      </vt:variant>
      <vt:variant>
        <vt:lpwstr>https://doi.org/10.1177/10442073231205605</vt:lpwstr>
      </vt:variant>
      <vt:variant>
        <vt:lpwstr/>
      </vt:variant>
      <vt:variant>
        <vt:i4>8257657</vt:i4>
      </vt:variant>
      <vt:variant>
        <vt:i4>24</vt:i4>
      </vt:variant>
      <vt:variant>
        <vt:i4>0</vt:i4>
      </vt:variant>
      <vt:variant>
        <vt:i4>5</vt:i4>
      </vt:variant>
      <vt:variant>
        <vt:lpwstr>https://williamsinstitute.law.ucla.edu/publications/nonbinary-lgbtq-adults-us/</vt:lpwstr>
      </vt:variant>
      <vt:variant>
        <vt:lpwstr/>
      </vt:variant>
      <vt:variant>
        <vt:i4>8060968</vt:i4>
      </vt:variant>
      <vt:variant>
        <vt:i4>21</vt:i4>
      </vt:variant>
      <vt:variant>
        <vt:i4>0</vt:i4>
      </vt:variant>
      <vt:variant>
        <vt:i4>5</vt:i4>
      </vt:variant>
      <vt:variant>
        <vt:lpwstr>https://williamsinstitute.law.ucla.edu/press/lgbtq-nonbinary-press-release/</vt:lpwstr>
      </vt:variant>
      <vt:variant>
        <vt:lpwstr/>
      </vt:variant>
      <vt:variant>
        <vt:i4>983044</vt:i4>
      </vt:variant>
      <vt:variant>
        <vt:i4>18</vt:i4>
      </vt:variant>
      <vt:variant>
        <vt:i4>0</vt:i4>
      </vt:variant>
      <vt:variant>
        <vt:i4>5</vt:i4>
      </vt:variant>
      <vt:variant>
        <vt:lpwstr>https://williamsinstitute.law.ucla.edu/wp-content/uploads/LGBT-Adult-US-Pop-Dec-2023.pdf</vt:lpwstr>
      </vt:variant>
      <vt:variant>
        <vt:lpwstr/>
      </vt:variant>
      <vt:variant>
        <vt:i4>6881326</vt:i4>
      </vt:variant>
      <vt:variant>
        <vt:i4>15</vt:i4>
      </vt:variant>
      <vt:variant>
        <vt:i4>0</vt:i4>
      </vt:variant>
      <vt:variant>
        <vt:i4>5</vt:i4>
      </vt:variant>
      <vt:variant>
        <vt:lpwstr>https://www.census.gov/data/experimental-data-products/household-pulse-survey.html</vt:lpwstr>
      </vt:variant>
      <vt:variant>
        <vt:lpwstr/>
      </vt:variant>
      <vt:variant>
        <vt:i4>6750332</vt:i4>
      </vt:variant>
      <vt:variant>
        <vt:i4>12</vt:i4>
      </vt:variant>
      <vt:variant>
        <vt:i4>0</vt:i4>
      </vt:variant>
      <vt:variant>
        <vt:i4>5</vt:i4>
      </vt:variant>
      <vt:variant>
        <vt:lpwstr>https://equality.house.gov/sites/evo-subsites/equality.house.gov/files/evo-media-document/cec-inaugural-report-on-the-condition-of-lgbtq%2B-people-12.15.22.pdf</vt:lpwstr>
      </vt:variant>
      <vt:variant>
        <vt:lpwstr/>
      </vt:variant>
      <vt:variant>
        <vt:i4>6684710</vt:i4>
      </vt:variant>
      <vt:variant>
        <vt:i4>9</vt:i4>
      </vt:variant>
      <vt:variant>
        <vt:i4>0</vt:i4>
      </vt:variant>
      <vt:variant>
        <vt:i4>5</vt:i4>
      </vt:variant>
      <vt:variant>
        <vt:lpwstr>https://williamsinstitute.law.ucla.edu/publications/medicaid-trans-health-care/</vt:lpwstr>
      </vt:variant>
      <vt:variant>
        <vt:lpwstr/>
      </vt:variant>
      <vt:variant>
        <vt:i4>2031680</vt:i4>
      </vt:variant>
      <vt:variant>
        <vt:i4>6</vt:i4>
      </vt:variant>
      <vt:variant>
        <vt:i4>0</vt:i4>
      </vt:variant>
      <vt:variant>
        <vt:i4>5</vt:i4>
      </vt:variant>
      <vt:variant>
        <vt:lpwstr>https://www.census.gov/library/stories/2021/08/lgbt-community-harder-hit-by-economic-impact-of-pandemic.html</vt:lpwstr>
      </vt:variant>
      <vt:variant>
        <vt:lpwstr/>
      </vt:variant>
      <vt:variant>
        <vt:i4>1638474</vt:i4>
      </vt:variant>
      <vt:variant>
        <vt:i4>3</vt:i4>
      </vt:variant>
      <vt:variant>
        <vt:i4>0</vt:i4>
      </vt:variant>
      <vt:variant>
        <vt:i4>5</vt:i4>
      </vt:variant>
      <vt:variant>
        <vt:lpwstr>https://williamsinstitute.law.ucla.edu/publications/lgbt-poverty-us/</vt:lpwstr>
      </vt:variant>
      <vt:variant>
        <vt:lpwstr/>
      </vt:variant>
      <vt:variant>
        <vt:i4>393307</vt:i4>
      </vt:variant>
      <vt:variant>
        <vt:i4>0</vt:i4>
      </vt:variant>
      <vt:variant>
        <vt:i4>0</vt:i4>
      </vt:variant>
      <vt:variant>
        <vt:i4>5</vt:i4>
      </vt:variant>
      <vt:variant>
        <vt:lpwstr>https://williamsinstitute.law.ucla.edu/wp-content/uploads/Generations-TransPop-Toplines-Jun-2021.pdf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Bouton, Lauren</dc:creator>
  <cp:keywords/>
  <cp:lastModifiedBy>Will Tentindo</cp:lastModifiedBy>
  <cp:revision>12</cp:revision>
  <dcterms:created xsi:type="dcterms:W3CDTF">2025-07-23T19:33:00Z</dcterms:created>
  <dcterms:modified xsi:type="dcterms:W3CDTF">2025-07-23T19:40:00Z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2025-03-04T00:00:00Z</vt:filetime>
  </property>
  <property fmtid="{D5CDD505-2E9C-101B-9397-08002B2CF9AE}" pid="6" name="ContentTypeId">
    <vt:lpwstr>0x010100613C694849884048848449A13481CBC0</vt:lpwstr>
  </property>
  <property fmtid="{D5CDD505-2E9C-101B-9397-08002B2CF9AE}" pid="7" name="MediaServiceImageTags">
    <vt:lpwstr/>
  </property>
</Properties>
</file>