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1556" w:rsidP="00951556" w14:paraId="59B82369" w14:textId="77777777">
      <w:pPr>
        <w:tabs>
          <w:tab w:val="center" w:pos="4680"/>
        </w:tabs>
        <w:jc w:val="center"/>
        <w:rPr>
          <w:b/>
          <w:bCs/>
          <w:sz w:val="28"/>
          <w:szCs w:val="28"/>
        </w:rPr>
      </w:pPr>
      <w:r w:rsidRPr="008F0C14">
        <w:rPr>
          <w:b/>
          <w:bCs/>
          <w:sz w:val="28"/>
          <w:szCs w:val="28"/>
        </w:rPr>
        <w:t xml:space="preserve">Uniform Data System </w:t>
      </w:r>
    </w:p>
    <w:p w:rsidR="00951556" w:rsidP="00951556" w14:paraId="3367EDDB" w14:textId="351CCBE4">
      <w:pPr>
        <w:tabs>
          <w:tab w:val="center" w:pos="4680"/>
        </w:tabs>
        <w:rPr>
          <w:b/>
          <w:bCs/>
          <w:sz w:val="28"/>
          <w:szCs w:val="28"/>
        </w:rPr>
      </w:pPr>
      <w:r>
        <w:rPr>
          <w:b/>
          <w:bCs/>
          <w:sz w:val="28"/>
          <w:szCs w:val="28"/>
        </w:rPr>
        <w:tab/>
      </w:r>
      <w:r w:rsidRPr="008F0C14">
        <w:rPr>
          <w:b/>
          <w:bCs/>
          <w:sz w:val="28"/>
          <w:szCs w:val="28"/>
        </w:rPr>
        <w:t>OMB Control No. 0915-0193</w:t>
      </w:r>
    </w:p>
    <w:p w:rsidR="00951556" w:rsidRPr="008A241F" w:rsidP="00951556" w14:paraId="17D8F837" w14:textId="77777777">
      <w:pPr>
        <w:pStyle w:val="Heading3"/>
        <w:rPr>
          <w:rFonts w:ascii="Open Sans" w:hAnsi="Open Sans" w:cs="Open Sans"/>
          <w:smallCaps/>
          <w:color w:val="006699"/>
          <w:sz w:val="28"/>
          <w:szCs w:val="28"/>
        </w:rPr>
      </w:pPr>
      <w:r w:rsidRPr="008A241F">
        <w:rPr>
          <w:rFonts w:ascii="Open Sans" w:hAnsi="Open Sans" w:cs="Open Sans"/>
          <w:smallCaps/>
          <w:color w:val="006699"/>
          <w:sz w:val="28"/>
          <w:szCs w:val="28"/>
        </w:rPr>
        <w:t>Table 6A:</w:t>
      </w:r>
      <w:r>
        <w:rPr>
          <w:rFonts w:ascii="Open Sans" w:hAnsi="Open Sans" w:cs="Open Sans"/>
          <w:smallCaps/>
          <w:color w:val="006699"/>
          <w:sz w:val="28"/>
          <w:szCs w:val="28"/>
        </w:rPr>
        <w:t xml:space="preserve"> </w:t>
      </w:r>
      <w:r w:rsidRPr="008A241F">
        <w:rPr>
          <w:rFonts w:ascii="Open Sans" w:hAnsi="Open Sans" w:cs="Open Sans"/>
          <w:smallCaps/>
          <w:color w:val="006699"/>
          <w:sz w:val="28"/>
          <w:szCs w:val="28"/>
        </w:rPr>
        <w:t xml:space="preserve"> Selected Diagnoses and Services Rendered</w:t>
      </w:r>
    </w:p>
    <w:p w:rsidR="00951556" w:rsidRPr="00333451" w:rsidP="00951556" w14:paraId="79B7113F" w14:textId="77777777">
      <w:pPr>
        <w:pBdr>
          <w:top w:val="nil"/>
          <w:left w:val="nil"/>
          <w:bottom w:val="nil"/>
          <w:right w:val="nil"/>
          <w:between w:val="nil"/>
        </w:pBdr>
        <w:spacing w:after="0"/>
        <w:rPr>
          <w:rFonts w:eastAsia="Times New Roman" w:asciiTheme="minorHAnsi" w:hAnsiTheme="minorHAnsi" w:cstheme="minorHAnsi"/>
          <w:color w:val="000000"/>
          <w:sz w:val="20"/>
          <w:szCs w:val="20"/>
        </w:rPr>
      </w:pPr>
      <w:r w:rsidRPr="00333451">
        <w:rPr>
          <w:rFonts w:eastAsia="Times New Roman" w:asciiTheme="minorHAnsi" w:hAnsiTheme="minorHAnsi" w:cstheme="minorHAnsi"/>
          <w:color w:val="000000"/>
          <w:sz w:val="20"/>
          <w:szCs w:val="20"/>
        </w:rPr>
        <w:t>Calendar Year:  January 1, 2025, through December 31, 2025</w:t>
      </w:r>
    </w:p>
    <w:p w:rsidR="00951556" w:rsidRPr="00E36974" w:rsidP="00951556" w14:paraId="7F1D91B9" w14:textId="77777777">
      <w:pPr>
        <w:pBdr>
          <w:top w:val="nil"/>
          <w:left w:val="nil"/>
          <w:bottom w:val="nil"/>
          <w:right w:val="nil"/>
          <w:between w:val="nil"/>
        </w:pBdr>
        <w:spacing w:after="0"/>
        <w:rPr>
          <w:rFonts w:eastAsia="Times New Roman"/>
          <w:color w:val="000000"/>
          <w:sz w:val="16"/>
          <w:szCs w:val="16"/>
        </w:rPr>
      </w:pPr>
    </w:p>
    <w:tbl>
      <w:tblPr>
        <w:tblW w:w="9540" w:type="dxa"/>
        <w:tblBorders>
          <w:top w:val="single" w:sz="4" w:space="0" w:color="000000"/>
          <w:left w:val="single" w:sz="4" w:space="0" w:color="000000"/>
          <w:bottom w:val="single" w:sz="4" w:space="0" w:color="C0BFBF"/>
          <w:right w:val="single" w:sz="4" w:space="0" w:color="000000"/>
          <w:insideH w:val="single" w:sz="4" w:space="0" w:color="C0BFBF"/>
          <w:insideV w:val="single" w:sz="4" w:space="0" w:color="C0BFBF"/>
        </w:tblBorders>
        <w:tblLayout w:type="fixed"/>
        <w:tblLook w:val="0420"/>
      </w:tblPr>
      <w:tblGrid>
        <w:gridCol w:w="654"/>
        <w:gridCol w:w="2496"/>
        <w:gridCol w:w="3869"/>
        <w:gridCol w:w="1261"/>
        <w:gridCol w:w="1260"/>
      </w:tblGrid>
      <w:tr w14:paraId="5F2AAC30" w14:textId="77777777" w:rsidTr="00FC444D">
        <w:tblPrEx>
          <w:tblW w:w="9540" w:type="dxa"/>
          <w:tblBorders>
            <w:top w:val="single" w:sz="4" w:space="0" w:color="000000"/>
            <w:left w:val="single" w:sz="4" w:space="0" w:color="000000"/>
            <w:bottom w:val="single" w:sz="4" w:space="0" w:color="C0BFBF"/>
            <w:right w:val="single" w:sz="4" w:space="0" w:color="000000"/>
            <w:insideH w:val="single" w:sz="4" w:space="0" w:color="C0BFBF"/>
            <w:insideV w:val="single" w:sz="4" w:space="0" w:color="C0BFBF"/>
          </w:tblBorders>
          <w:tblLayout w:type="fixed"/>
          <w:tblLook w:val="0420"/>
        </w:tblPrEx>
        <w:trPr>
          <w:cantSplit/>
          <w:tblHeader/>
        </w:trPr>
        <w:tc>
          <w:tcPr>
            <w:tcW w:w="654" w:type="dxa"/>
            <w:tcBorders>
              <w:top w:val="nil"/>
              <w:left w:val="single" w:sz="4" w:space="0" w:color="A5A5A5" w:themeColor="accent3"/>
              <w:bottom w:val="single" w:sz="4" w:space="0" w:color="C0BFBF"/>
            </w:tcBorders>
            <w:shd w:val="clear" w:color="auto" w:fill="006699"/>
            <w:vAlign w:val="center"/>
          </w:tcPr>
          <w:p w:rsidR="00951556" w:rsidRPr="00CD252F" w:rsidP="00FC444D" w14:paraId="2C6C5F84"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Line</w:t>
            </w:r>
          </w:p>
        </w:tc>
        <w:tc>
          <w:tcPr>
            <w:tcW w:w="2496" w:type="dxa"/>
            <w:tcBorders>
              <w:top w:val="nil"/>
              <w:bottom w:val="single" w:sz="4" w:space="0" w:color="C0BFBF"/>
            </w:tcBorders>
            <w:shd w:val="clear" w:color="auto" w:fill="006699"/>
            <w:vAlign w:val="center"/>
          </w:tcPr>
          <w:p w:rsidR="00951556" w:rsidRPr="00CD252F" w:rsidP="00FC444D" w14:paraId="549927CA"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Service Category</w:t>
            </w:r>
          </w:p>
        </w:tc>
        <w:tc>
          <w:tcPr>
            <w:tcW w:w="3869" w:type="dxa"/>
            <w:tcBorders>
              <w:top w:val="nil"/>
              <w:bottom w:val="single" w:sz="4" w:space="0" w:color="C0BFBF"/>
            </w:tcBorders>
            <w:shd w:val="clear" w:color="auto" w:fill="006699"/>
            <w:vAlign w:val="center"/>
          </w:tcPr>
          <w:p w:rsidR="00951556" w:rsidRPr="00CD252F" w:rsidP="00FC444D" w14:paraId="12984C3F"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Applicable ICD-10-CM, CPT-4/I/PLA, HCPCS, or Value Set Object Identifier (OID)</w:t>
            </w:r>
          </w:p>
        </w:tc>
        <w:tc>
          <w:tcPr>
            <w:tcW w:w="1261" w:type="dxa"/>
            <w:tcBorders>
              <w:top w:val="nil"/>
              <w:bottom w:val="single" w:sz="4" w:space="0" w:color="C0BFBF"/>
            </w:tcBorders>
            <w:shd w:val="clear" w:color="auto" w:fill="006699"/>
            <w:vAlign w:val="center"/>
          </w:tcPr>
          <w:p w:rsidR="00951556" w:rsidRPr="00CD252F" w:rsidP="00FC444D" w14:paraId="77B1DAE2"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Number of Visits (a)</w:t>
            </w:r>
          </w:p>
        </w:tc>
        <w:tc>
          <w:tcPr>
            <w:tcW w:w="1260" w:type="dxa"/>
            <w:tcBorders>
              <w:top w:val="nil"/>
              <w:bottom w:val="single" w:sz="4" w:space="0" w:color="C0BFBF"/>
              <w:right w:val="single" w:sz="4" w:space="0" w:color="A5A5A5" w:themeColor="accent3"/>
            </w:tcBorders>
            <w:shd w:val="clear" w:color="auto" w:fill="006699"/>
            <w:vAlign w:val="center"/>
          </w:tcPr>
          <w:p w:rsidR="00951556" w:rsidRPr="00CD252F" w:rsidP="00FC444D" w14:paraId="7D2713AC"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Number of</w:t>
            </w:r>
            <w:r w:rsidRPr="00CD252F">
              <w:rPr>
                <w:rFonts w:eastAsia="Times New Roman" w:cs="Calibri"/>
                <w:color w:val="FFFFFF"/>
              </w:rPr>
              <w:t xml:space="preserve"> </w:t>
            </w:r>
            <w:r w:rsidRPr="00AE36FC">
              <w:rPr>
                <w:rFonts w:eastAsia="Times New Roman" w:cs="Calibri"/>
                <w:color w:val="FFFFFF"/>
                <w:sz w:val="20"/>
                <w:szCs w:val="20"/>
              </w:rPr>
              <w:t>Patients (b)</w:t>
            </w:r>
          </w:p>
        </w:tc>
      </w:tr>
      <w:tr w14:paraId="09C53AB0" w14:textId="77777777" w:rsidTr="00FC444D">
        <w:tblPrEx>
          <w:tblW w:w="9540" w:type="dxa"/>
          <w:tblLayout w:type="fixed"/>
          <w:tblLook w:val="0420"/>
        </w:tblPrEx>
        <w:trPr>
          <w:cantSplit/>
        </w:trPr>
        <w:tc>
          <w:tcPr>
            <w:tcW w:w="654" w:type="dxa"/>
            <w:tcBorders>
              <w:top w:val="nil"/>
              <w:left w:val="single" w:sz="4" w:space="0" w:color="A5A5A5" w:themeColor="accent3"/>
              <w:bottom w:val="nil"/>
              <w:right w:val="nil"/>
            </w:tcBorders>
            <w:shd w:val="clear" w:color="auto" w:fill="CCDDF1"/>
          </w:tcPr>
          <w:p w:rsidR="00951556" w:rsidRPr="00462C4D" w:rsidP="00FC444D" w14:paraId="031C8D46" w14:textId="77777777">
            <w:pPr>
              <w:pBdr>
                <w:top w:val="nil"/>
                <w:left w:val="nil"/>
                <w:bottom w:val="nil"/>
                <w:right w:val="nil"/>
                <w:between w:val="nil"/>
              </w:pBdr>
              <w:spacing w:line="240" w:lineRule="auto"/>
              <w:rPr>
                <w:rFonts w:eastAsia="Times New Roman" w:cs="Calibri"/>
                <w:color w:val="006699"/>
                <w:sz w:val="20"/>
                <w:szCs w:val="20"/>
              </w:rPr>
            </w:pPr>
          </w:p>
        </w:tc>
        <w:tc>
          <w:tcPr>
            <w:tcW w:w="2496" w:type="dxa"/>
            <w:tcBorders>
              <w:top w:val="nil"/>
              <w:left w:val="nil"/>
              <w:bottom w:val="nil"/>
              <w:right w:val="nil"/>
            </w:tcBorders>
            <w:shd w:val="clear" w:color="auto" w:fill="CCDDF1"/>
          </w:tcPr>
          <w:p w:rsidR="00951556" w:rsidRPr="00AE36FC" w:rsidP="00FC444D" w14:paraId="7964761E"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b/>
                <w:color w:val="006699"/>
                <w:sz w:val="20"/>
                <w:szCs w:val="20"/>
              </w:rPr>
              <w:t>Selected Diagnostic Tests/ Screening/Preventive Services</w:t>
            </w:r>
          </w:p>
        </w:tc>
        <w:tc>
          <w:tcPr>
            <w:tcW w:w="3869" w:type="dxa"/>
            <w:tcBorders>
              <w:top w:val="nil"/>
              <w:left w:val="nil"/>
              <w:bottom w:val="nil"/>
              <w:right w:val="nil"/>
            </w:tcBorders>
            <w:shd w:val="clear" w:color="auto" w:fill="CCDDF1"/>
          </w:tcPr>
          <w:p w:rsidR="00951556" w:rsidRPr="007006E2" w:rsidP="00FC444D" w14:paraId="1E1445E1" w14:textId="77777777">
            <w:pPr>
              <w:pBdr>
                <w:top w:val="nil"/>
                <w:left w:val="nil"/>
                <w:bottom w:val="nil"/>
                <w:right w:val="nil"/>
                <w:between w:val="nil"/>
              </w:pBdr>
              <w:spacing w:line="240" w:lineRule="auto"/>
              <w:rPr>
                <w:rFonts w:eastAsia="Times New Roman" w:cs="Calibri"/>
                <w:b/>
                <w:color w:val="006699"/>
                <w:sz w:val="20"/>
                <w:szCs w:val="20"/>
              </w:rPr>
            </w:pPr>
          </w:p>
        </w:tc>
        <w:tc>
          <w:tcPr>
            <w:tcW w:w="1261" w:type="dxa"/>
            <w:tcBorders>
              <w:top w:val="nil"/>
              <w:left w:val="nil"/>
              <w:bottom w:val="nil"/>
              <w:right w:val="nil"/>
            </w:tcBorders>
            <w:shd w:val="clear" w:color="auto" w:fill="CCDDF1"/>
          </w:tcPr>
          <w:p w:rsidR="00951556" w:rsidRPr="007006E2" w:rsidP="00FC444D" w14:paraId="0AC97F37" w14:textId="77777777">
            <w:pPr>
              <w:pBdr>
                <w:top w:val="nil"/>
                <w:left w:val="nil"/>
                <w:bottom w:val="nil"/>
                <w:right w:val="nil"/>
                <w:between w:val="nil"/>
              </w:pBdr>
              <w:spacing w:line="240" w:lineRule="auto"/>
              <w:rPr>
                <w:rFonts w:eastAsia="Times New Roman" w:cs="Calibri"/>
                <w:color w:val="006699"/>
                <w:sz w:val="20"/>
                <w:szCs w:val="20"/>
              </w:rPr>
            </w:pPr>
          </w:p>
        </w:tc>
        <w:tc>
          <w:tcPr>
            <w:tcW w:w="1260" w:type="dxa"/>
            <w:tcBorders>
              <w:top w:val="nil"/>
              <w:left w:val="nil"/>
              <w:bottom w:val="nil"/>
              <w:right w:val="single" w:sz="4" w:space="0" w:color="A5A5A5" w:themeColor="accent3"/>
            </w:tcBorders>
            <w:shd w:val="clear" w:color="auto" w:fill="CCDDF1"/>
          </w:tcPr>
          <w:p w:rsidR="00951556" w:rsidRPr="007006E2" w:rsidP="00FC444D" w14:paraId="6F22167A" w14:textId="77777777">
            <w:pPr>
              <w:pBdr>
                <w:top w:val="nil"/>
                <w:left w:val="nil"/>
                <w:bottom w:val="nil"/>
                <w:right w:val="nil"/>
                <w:between w:val="nil"/>
              </w:pBdr>
              <w:spacing w:line="240" w:lineRule="auto"/>
              <w:rPr>
                <w:rFonts w:eastAsia="Times New Roman" w:cs="Calibri"/>
                <w:color w:val="006699"/>
                <w:sz w:val="20"/>
                <w:szCs w:val="20"/>
              </w:rPr>
            </w:pPr>
          </w:p>
        </w:tc>
      </w:tr>
      <w:tr w14:paraId="44D72A7C" w14:textId="77777777" w:rsidTr="00FC444D">
        <w:tblPrEx>
          <w:tblW w:w="9540" w:type="dxa"/>
          <w:tblLayout w:type="fixed"/>
          <w:tblLook w:val="0420"/>
        </w:tblPrEx>
        <w:trPr>
          <w:cantSplit/>
        </w:trPr>
        <w:tc>
          <w:tcPr>
            <w:tcW w:w="654" w:type="dxa"/>
            <w:tcBorders>
              <w:top w:val="nil"/>
              <w:left w:val="single" w:sz="4" w:space="0" w:color="A5A5A5" w:themeColor="accent3"/>
            </w:tcBorders>
          </w:tcPr>
          <w:p w:rsidR="00951556" w:rsidRPr="00CD252F" w:rsidP="00FC444D" w14:paraId="6E6928DC"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26c</w:t>
            </w:r>
          </w:p>
        </w:tc>
        <w:tc>
          <w:tcPr>
            <w:tcW w:w="2496" w:type="dxa"/>
            <w:tcBorders>
              <w:top w:val="nil"/>
            </w:tcBorders>
          </w:tcPr>
          <w:p w:rsidR="00951556" w:rsidRPr="00CD252F" w:rsidP="00FC444D" w14:paraId="53515F3B"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Smoke and tobacco use cessation counseling</w:t>
            </w:r>
          </w:p>
        </w:tc>
        <w:tc>
          <w:tcPr>
            <w:tcW w:w="3869" w:type="dxa"/>
            <w:tcBorders>
              <w:top w:val="nil"/>
            </w:tcBorders>
          </w:tcPr>
          <w:p w:rsidR="00951556" w:rsidRPr="00CD252F" w:rsidP="00FC444D" w14:paraId="73BF3611"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b/>
                <w:color w:val="151515"/>
                <w:sz w:val="20"/>
                <w:szCs w:val="20"/>
              </w:rPr>
              <w:t>CPT-4</w:t>
            </w:r>
            <w:r w:rsidRPr="00AE36FC">
              <w:rPr>
                <w:rFonts w:eastAsia="Times New Roman" w:cs="Calibri"/>
                <w:color w:val="151515"/>
                <w:sz w:val="20"/>
                <w:szCs w:val="20"/>
              </w:rPr>
              <w:t>: 99406, 99407</w:t>
            </w:r>
          </w:p>
          <w:p w:rsidR="00951556" w:rsidRPr="00CD252F" w:rsidP="00FC444D" w14:paraId="098A3000"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b/>
                <w:color w:val="151515"/>
                <w:sz w:val="20"/>
                <w:szCs w:val="20"/>
              </w:rPr>
              <w:t>HCPCS</w:t>
            </w:r>
            <w:r w:rsidRPr="00AE36FC">
              <w:rPr>
                <w:rFonts w:eastAsia="Times New Roman" w:cs="Calibri"/>
                <w:color w:val="151515"/>
                <w:sz w:val="20"/>
                <w:szCs w:val="20"/>
              </w:rPr>
              <w:t>: S9075</w:t>
            </w:r>
          </w:p>
        </w:tc>
        <w:tc>
          <w:tcPr>
            <w:tcW w:w="1261" w:type="dxa"/>
            <w:tcBorders>
              <w:top w:val="nil"/>
            </w:tcBorders>
          </w:tcPr>
          <w:p w:rsidR="00951556" w:rsidRPr="00CD252F" w:rsidP="00FC444D" w14:paraId="1560335D"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c>
          <w:tcPr>
            <w:tcW w:w="1260" w:type="dxa"/>
            <w:tcBorders>
              <w:top w:val="nil"/>
              <w:right w:val="single" w:sz="4" w:space="0" w:color="A5A5A5" w:themeColor="accent3"/>
            </w:tcBorders>
          </w:tcPr>
          <w:p w:rsidR="00951556" w:rsidRPr="00CD252F" w:rsidP="00FC444D" w14:paraId="269F3594"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r>
      <w:tr w14:paraId="45C8514A" w14:textId="77777777" w:rsidTr="00FC444D">
        <w:tblPrEx>
          <w:tblW w:w="9540" w:type="dxa"/>
          <w:tblLayout w:type="fixed"/>
          <w:tblLook w:val="0420"/>
        </w:tblPrEx>
        <w:trPr>
          <w:cantSplit/>
        </w:trPr>
        <w:tc>
          <w:tcPr>
            <w:tcW w:w="654" w:type="dxa"/>
            <w:tcBorders>
              <w:top w:val="single" w:sz="4" w:space="0" w:color="C0BFBF"/>
              <w:left w:val="single" w:sz="4" w:space="0" w:color="A5A5A5" w:themeColor="accent3"/>
            </w:tcBorders>
          </w:tcPr>
          <w:p w:rsidR="00951556" w:rsidRPr="00AE36FC" w:rsidP="00FC444D" w14:paraId="0D85A7F9"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color w:val="151515"/>
                <w:sz w:val="20"/>
                <w:szCs w:val="20"/>
              </w:rPr>
              <w:t>26c2</w:t>
            </w:r>
          </w:p>
        </w:tc>
        <w:tc>
          <w:tcPr>
            <w:tcW w:w="2496" w:type="dxa"/>
            <w:tcBorders>
              <w:top w:val="single" w:sz="4" w:space="0" w:color="C0BFBF"/>
            </w:tcBorders>
          </w:tcPr>
          <w:p w:rsidR="00951556" w:rsidRPr="00951556" w:rsidP="00FC444D" w14:paraId="5B89B586" w14:textId="77777777">
            <w:pPr>
              <w:pBdr>
                <w:top w:val="nil"/>
                <w:left w:val="nil"/>
                <w:bottom w:val="nil"/>
                <w:right w:val="nil"/>
                <w:between w:val="nil"/>
              </w:pBdr>
              <w:spacing w:line="240" w:lineRule="auto"/>
              <w:rPr>
                <w:rFonts w:eastAsia="Times New Roman" w:cs="Calibri"/>
                <w:color w:val="151515"/>
                <w:sz w:val="20"/>
                <w:szCs w:val="20"/>
                <w:highlight w:val="yellow"/>
              </w:rPr>
            </w:pPr>
            <w:r w:rsidRPr="00951556">
              <w:rPr>
                <w:rFonts w:eastAsia="Times New Roman" w:cs="Calibri"/>
                <w:color w:val="151515"/>
                <w:sz w:val="20"/>
                <w:szCs w:val="20"/>
                <w:highlight w:val="yellow"/>
              </w:rPr>
              <w:t xml:space="preserve">Tobacco use cessation pharmacotherapies </w:t>
            </w:r>
          </w:p>
        </w:tc>
        <w:tc>
          <w:tcPr>
            <w:tcW w:w="3869" w:type="dxa"/>
            <w:tcBorders>
              <w:top w:val="single" w:sz="4" w:space="0" w:color="C0BFBF"/>
            </w:tcBorders>
          </w:tcPr>
          <w:p w:rsidR="00951556" w:rsidRPr="00951556" w:rsidP="00FC444D" w14:paraId="4D05CD1D" w14:textId="77777777">
            <w:pPr>
              <w:pBdr>
                <w:top w:val="nil"/>
                <w:left w:val="nil"/>
                <w:bottom w:val="nil"/>
                <w:right w:val="nil"/>
                <w:between w:val="nil"/>
              </w:pBdr>
              <w:spacing w:line="240" w:lineRule="auto"/>
              <w:rPr>
                <w:rFonts w:eastAsia="Times New Roman" w:cs="Calibri"/>
                <w:b/>
                <w:color w:val="151515"/>
                <w:sz w:val="20"/>
                <w:szCs w:val="20"/>
                <w:highlight w:val="yellow"/>
              </w:rPr>
            </w:pPr>
            <w:r w:rsidRPr="00951556">
              <w:rPr>
                <w:rFonts w:eastAsia="Times New Roman" w:cs="Calibri"/>
                <w:b/>
                <w:color w:val="151515"/>
                <w:sz w:val="20"/>
                <w:szCs w:val="20"/>
                <w:highlight w:val="yellow"/>
              </w:rPr>
              <w:t xml:space="preserve">OID: </w:t>
            </w:r>
            <w:r w:rsidRPr="00951556">
              <w:rPr>
                <w:rFonts w:eastAsia="Times New Roman" w:cs="Calibri"/>
                <w:bCs/>
                <w:color w:val="151515"/>
                <w:sz w:val="20"/>
                <w:szCs w:val="20"/>
                <w:highlight w:val="yellow"/>
              </w:rPr>
              <w:t>2.16.840.1.113883.3.526.3.1190</w:t>
            </w:r>
            <w:r w:rsidRPr="00951556">
              <w:rPr>
                <w:rFonts w:eastAsia="Times New Roman" w:cs="Calibri"/>
                <w:b/>
                <w:color w:val="151515"/>
                <w:sz w:val="20"/>
                <w:szCs w:val="20"/>
                <w:highlight w:val="yellow"/>
              </w:rPr>
              <w:t xml:space="preserve"> </w:t>
            </w:r>
          </w:p>
        </w:tc>
        <w:tc>
          <w:tcPr>
            <w:tcW w:w="1261" w:type="dxa"/>
            <w:tcBorders>
              <w:top w:val="single" w:sz="4" w:space="0" w:color="C0BFBF"/>
            </w:tcBorders>
          </w:tcPr>
          <w:p w:rsidR="00951556" w:rsidRPr="00AE36FC" w:rsidP="00FC444D" w14:paraId="729ABFE7"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c>
          <w:tcPr>
            <w:tcW w:w="1260" w:type="dxa"/>
            <w:tcBorders>
              <w:top w:val="single" w:sz="4" w:space="0" w:color="C0BFBF"/>
              <w:right w:val="single" w:sz="4" w:space="0" w:color="A5A5A5" w:themeColor="accent3"/>
            </w:tcBorders>
          </w:tcPr>
          <w:p w:rsidR="00951556" w:rsidRPr="00AE36FC" w:rsidP="00FC444D" w14:paraId="35C0F01D"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r>
      <w:tr w14:paraId="49B78067" w14:textId="77777777" w:rsidTr="00FC444D">
        <w:tblPrEx>
          <w:tblW w:w="9540" w:type="dxa"/>
          <w:tblLayout w:type="fixed"/>
          <w:tblLook w:val="0420"/>
        </w:tblPrEx>
        <w:trPr>
          <w:cantSplit/>
        </w:trPr>
        <w:tc>
          <w:tcPr>
            <w:tcW w:w="654" w:type="dxa"/>
            <w:tcBorders>
              <w:top w:val="single" w:sz="4" w:space="0" w:color="C0BFBF"/>
              <w:left w:val="single" w:sz="4" w:space="0" w:color="A5A5A5" w:themeColor="accent3"/>
            </w:tcBorders>
          </w:tcPr>
          <w:p w:rsidR="00951556" w:rsidRPr="00AE36FC" w:rsidP="00FC444D" w14:paraId="30E36C09"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color w:val="151515"/>
                <w:sz w:val="20"/>
                <w:szCs w:val="20"/>
              </w:rPr>
              <w:t>26c3</w:t>
            </w:r>
          </w:p>
        </w:tc>
        <w:tc>
          <w:tcPr>
            <w:tcW w:w="2496" w:type="dxa"/>
            <w:tcBorders>
              <w:top w:val="single" w:sz="4" w:space="0" w:color="C0BFBF"/>
            </w:tcBorders>
          </w:tcPr>
          <w:p w:rsidR="00951556" w:rsidRPr="00951556" w:rsidP="00FC444D" w14:paraId="1FB45B2E" w14:textId="77777777">
            <w:pPr>
              <w:pBdr>
                <w:top w:val="nil"/>
                <w:left w:val="nil"/>
                <w:bottom w:val="nil"/>
                <w:right w:val="nil"/>
                <w:between w:val="nil"/>
              </w:pBdr>
              <w:spacing w:line="240" w:lineRule="auto"/>
              <w:rPr>
                <w:rFonts w:eastAsia="Times New Roman" w:cs="Calibri"/>
                <w:color w:val="151515"/>
                <w:sz w:val="20"/>
                <w:szCs w:val="20"/>
                <w:highlight w:val="yellow"/>
              </w:rPr>
            </w:pPr>
            <w:r w:rsidRPr="00951556">
              <w:rPr>
                <w:rFonts w:eastAsia="Times New Roman" w:cs="Calibri"/>
                <w:color w:val="151515"/>
                <w:sz w:val="20"/>
                <w:szCs w:val="20"/>
                <w:highlight w:val="yellow"/>
              </w:rPr>
              <w:t>Medications for opioid use disorder (MOUD)</w:t>
            </w:r>
          </w:p>
        </w:tc>
        <w:tc>
          <w:tcPr>
            <w:tcW w:w="3869" w:type="dxa"/>
            <w:tcBorders>
              <w:top w:val="single" w:sz="4" w:space="0" w:color="C0BFBF"/>
            </w:tcBorders>
          </w:tcPr>
          <w:p w:rsidR="00951556" w:rsidRPr="00951556" w:rsidP="00FC444D" w14:paraId="651AB93E" w14:textId="77777777">
            <w:pPr>
              <w:pBdr>
                <w:top w:val="nil"/>
                <w:left w:val="nil"/>
                <w:bottom w:val="nil"/>
                <w:right w:val="nil"/>
                <w:between w:val="nil"/>
              </w:pBdr>
              <w:spacing w:line="240" w:lineRule="auto"/>
              <w:rPr>
                <w:rFonts w:eastAsia="Times New Roman" w:cs="Calibri"/>
                <w:b/>
                <w:color w:val="151515"/>
                <w:sz w:val="20"/>
                <w:szCs w:val="20"/>
                <w:highlight w:val="yellow"/>
              </w:rPr>
            </w:pPr>
            <w:r w:rsidRPr="00951556">
              <w:rPr>
                <w:rFonts w:eastAsia="Times New Roman" w:cs="Calibri"/>
                <w:b/>
                <w:color w:val="151515"/>
                <w:sz w:val="20"/>
                <w:szCs w:val="20"/>
                <w:highlight w:val="yellow"/>
              </w:rPr>
              <w:t xml:space="preserve">OID: </w:t>
            </w:r>
            <w:r w:rsidRPr="00951556">
              <w:rPr>
                <w:rFonts w:eastAsia="Times New Roman" w:cs="Calibri"/>
                <w:bCs/>
                <w:color w:val="151515"/>
                <w:sz w:val="20"/>
                <w:szCs w:val="20"/>
                <w:highlight w:val="yellow"/>
              </w:rPr>
              <w:t>2.16.840.1.113762.1.4.1046.269</w:t>
            </w:r>
          </w:p>
        </w:tc>
        <w:tc>
          <w:tcPr>
            <w:tcW w:w="1261" w:type="dxa"/>
            <w:tcBorders>
              <w:top w:val="single" w:sz="4" w:space="0" w:color="C0BFBF"/>
            </w:tcBorders>
          </w:tcPr>
          <w:p w:rsidR="00951556" w:rsidRPr="00AE36FC" w:rsidP="00FC444D" w14:paraId="4D416EF1" w14:textId="77777777">
            <w:pPr>
              <w:pBdr>
                <w:top w:val="nil"/>
                <w:left w:val="nil"/>
                <w:bottom w:val="nil"/>
                <w:right w:val="nil"/>
                <w:between w:val="nil"/>
              </w:pBdr>
              <w:spacing w:line="240" w:lineRule="auto"/>
              <w:rPr>
                <w:rFonts w:eastAsia="Times New Roman" w:cs="Calibri"/>
                <w:color w:val="FFFFFF"/>
                <w:sz w:val="8"/>
                <w:szCs w:val="8"/>
              </w:rPr>
            </w:pPr>
          </w:p>
        </w:tc>
        <w:tc>
          <w:tcPr>
            <w:tcW w:w="1260" w:type="dxa"/>
            <w:tcBorders>
              <w:top w:val="single" w:sz="4" w:space="0" w:color="C0BFBF"/>
              <w:right w:val="single" w:sz="4" w:space="0" w:color="A5A5A5" w:themeColor="accent3"/>
            </w:tcBorders>
          </w:tcPr>
          <w:p w:rsidR="00951556" w:rsidRPr="00AE36FC" w:rsidP="00FC444D" w14:paraId="6249F136" w14:textId="77777777">
            <w:pPr>
              <w:pBdr>
                <w:top w:val="nil"/>
                <w:left w:val="nil"/>
                <w:bottom w:val="nil"/>
                <w:right w:val="nil"/>
                <w:between w:val="nil"/>
              </w:pBdr>
              <w:spacing w:line="240" w:lineRule="auto"/>
              <w:rPr>
                <w:rFonts w:eastAsia="Times New Roman" w:cs="Calibri"/>
                <w:color w:val="FFFFFF"/>
                <w:sz w:val="8"/>
                <w:szCs w:val="8"/>
              </w:rPr>
            </w:pPr>
          </w:p>
        </w:tc>
      </w:tr>
      <w:tr w14:paraId="6461F5AF" w14:textId="77777777" w:rsidTr="00FC444D">
        <w:tblPrEx>
          <w:tblW w:w="9540" w:type="dxa"/>
          <w:tblLayout w:type="fixed"/>
          <w:tblLook w:val="0420"/>
        </w:tblPrEx>
        <w:trPr>
          <w:cantSplit/>
        </w:trPr>
        <w:tc>
          <w:tcPr>
            <w:tcW w:w="654" w:type="dxa"/>
            <w:tcBorders>
              <w:top w:val="single" w:sz="4" w:space="0" w:color="C0BFBF"/>
              <w:left w:val="single" w:sz="4" w:space="0" w:color="A5A5A5" w:themeColor="accent3"/>
            </w:tcBorders>
          </w:tcPr>
          <w:p w:rsidR="00951556" w:rsidRPr="00CD252F" w:rsidP="00FC444D" w14:paraId="1FC5DCD1"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26d</w:t>
            </w:r>
          </w:p>
        </w:tc>
        <w:tc>
          <w:tcPr>
            <w:tcW w:w="2496" w:type="dxa"/>
            <w:tcBorders>
              <w:top w:val="single" w:sz="4" w:space="0" w:color="C0BFBF"/>
            </w:tcBorders>
          </w:tcPr>
          <w:p w:rsidR="00951556" w:rsidRPr="00CD252F" w:rsidP="00FC444D" w14:paraId="04B4F8E6"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Comprehensive and intermediate eye exams</w:t>
            </w:r>
          </w:p>
        </w:tc>
        <w:tc>
          <w:tcPr>
            <w:tcW w:w="3869" w:type="dxa"/>
            <w:tcBorders>
              <w:top w:val="single" w:sz="4" w:space="0" w:color="C0BFBF"/>
            </w:tcBorders>
          </w:tcPr>
          <w:p w:rsidR="00951556" w:rsidRPr="00CD252F" w:rsidP="00FC444D" w14:paraId="2DBD4129"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b/>
                <w:color w:val="151515"/>
                <w:sz w:val="20"/>
                <w:szCs w:val="20"/>
              </w:rPr>
              <w:t>CPT-4</w:t>
            </w:r>
            <w:r w:rsidRPr="00AE36FC">
              <w:rPr>
                <w:rFonts w:eastAsia="Times New Roman" w:cs="Calibri"/>
                <w:color w:val="151515"/>
                <w:sz w:val="20"/>
                <w:szCs w:val="20"/>
              </w:rPr>
              <w:t>: 92002, 92004, 92012, 92014</w:t>
            </w:r>
          </w:p>
        </w:tc>
        <w:tc>
          <w:tcPr>
            <w:tcW w:w="1261" w:type="dxa"/>
            <w:tcBorders>
              <w:top w:val="single" w:sz="4" w:space="0" w:color="C0BFBF"/>
            </w:tcBorders>
          </w:tcPr>
          <w:p w:rsidR="00951556" w:rsidRPr="00CD252F" w:rsidP="00FC444D" w14:paraId="50797ED0"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c>
          <w:tcPr>
            <w:tcW w:w="1260" w:type="dxa"/>
            <w:tcBorders>
              <w:top w:val="single" w:sz="4" w:space="0" w:color="C0BFBF"/>
              <w:right w:val="single" w:sz="4" w:space="0" w:color="A5A5A5" w:themeColor="accent3"/>
            </w:tcBorders>
          </w:tcPr>
          <w:p w:rsidR="00951556" w:rsidRPr="00CD252F" w:rsidP="00FC444D" w14:paraId="6002BEE3"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r>
      <w:tr w14:paraId="76A66FB4" w14:textId="77777777" w:rsidTr="00FC444D">
        <w:tblPrEx>
          <w:tblW w:w="9540" w:type="dxa"/>
          <w:tblLayout w:type="fixed"/>
          <w:tblLook w:val="0420"/>
        </w:tblPrEx>
        <w:trPr>
          <w:cantSplit/>
          <w:trHeight w:val="683"/>
        </w:trPr>
        <w:tc>
          <w:tcPr>
            <w:tcW w:w="654" w:type="dxa"/>
            <w:tcBorders>
              <w:top w:val="single" w:sz="4" w:space="0" w:color="C0BFBF"/>
              <w:left w:val="single" w:sz="4" w:space="0" w:color="A5A5A5" w:themeColor="accent3"/>
            </w:tcBorders>
          </w:tcPr>
          <w:p w:rsidR="00951556" w:rsidRPr="00CD252F" w:rsidP="00FC444D" w14:paraId="1D1B3802"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26e</w:t>
            </w:r>
          </w:p>
        </w:tc>
        <w:tc>
          <w:tcPr>
            <w:tcW w:w="2496" w:type="dxa"/>
            <w:tcBorders>
              <w:top w:val="single" w:sz="4" w:space="0" w:color="C0BFBF"/>
            </w:tcBorders>
          </w:tcPr>
          <w:p w:rsidR="00951556" w:rsidRPr="00CD252F" w:rsidP="00FC444D" w14:paraId="38405AC0"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Childhood development screenings and evaluations</w:t>
            </w:r>
          </w:p>
        </w:tc>
        <w:tc>
          <w:tcPr>
            <w:tcW w:w="3869" w:type="dxa"/>
            <w:tcBorders>
              <w:top w:val="single" w:sz="4" w:space="0" w:color="C0BFBF"/>
            </w:tcBorders>
          </w:tcPr>
          <w:p w:rsidR="00951556" w:rsidRPr="00CD252F" w:rsidP="00FC444D" w14:paraId="17E6502B"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b/>
                <w:color w:val="151515"/>
                <w:sz w:val="20"/>
                <w:szCs w:val="20"/>
              </w:rPr>
              <w:t>CPT-4:</w:t>
            </w:r>
            <w:r w:rsidRPr="00AE36FC">
              <w:rPr>
                <w:rFonts w:eastAsia="Times New Roman" w:cs="Calibri"/>
                <w:color w:val="151515"/>
                <w:sz w:val="20"/>
                <w:szCs w:val="20"/>
              </w:rPr>
              <w:t xml:space="preserve"> 96110, 96112, 96113, 96127</w:t>
            </w:r>
          </w:p>
          <w:p w:rsidR="00951556" w:rsidRPr="00CD252F" w:rsidP="00FC444D" w14:paraId="799E41FB"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b/>
                <w:color w:val="151515"/>
                <w:sz w:val="20"/>
                <w:szCs w:val="20"/>
              </w:rPr>
              <w:t>ICD-10:</w:t>
            </w:r>
            <w:r w:rsidRPr="00AE36FC">
              <w:rPr>
                <w:rFonts w:eastAsia="Times New Roman" w:cs="Calibri"/>
                <w:color w:val="151515"/>
                <w:sz w:val="20"/>
                <w:szCs w:val="20"/>
              </w:rPr>
              <w:t xml:space="preserve"> Z13.4- </w:t>
            </w:r>
          </w:p>
        </w:tc>
        <w:tc>
          <w:tcPr>
            <w:tcW w:w="1261" w:type="dxa"/>
            <w:tcBorders>
              <w:top w:val="single" w:sz="4" w:space="0" w:color="C0BFBF"/>
            </w:tcBorders>
          </w:tcPr>
          <w:p w:rsidR="00951556" w:rsidRPr="00CD252F" w:rsidP="00FC444D" w14:paraId="47563B82"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c>
          <w:tcPr>
            <w:tcW w:w="1260" w:type="dxa"/>
            <w:tcBorders>
              <w:top w:val="single" w:sz="4" w:space="0" w:color="C0BFBF"/>
              <w:right w:val="single" w:sz="4" w:space="0" w:color="A5A5A5" w:themeColor="accent3"/>
            </w:tcBorders>
          </w:tcPr>
          <w:p w:rsidR="00951556" w:rsidRPr="00CD252F" w:rsidP="00FC444D" w14:paraId="5235D7D9"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r>
      <w:tr w14:paraId="6025ACDE" w14:textId="77777777" w:rsidTr="00FC444D">
        <w:tblPrEx>
          <w:tblW w:w="9540" w:type="dxa"/>
          <w:tblLayout w:type="fixed"/>
          <w:tblLook w:val="0420"/>
        </w:tblPrEx>
        <w:trPr>
          <w:cantSplit/>
        </w:trPr>
        <w:tc>
          <w:tcPr>
            <w:tcW w:w="654" w:type="dxa"/>
            <w:tcBorders>
              <w:top w:val="single" w:sz="4" w:space="0" w:color="C0BFBF"/>
              <w:left w:val="single" w:sz="4" w:space="0" w:color="A5A5A5" w:themeColor="accent3"/>
            </w:tcBorders>
          </w:tcPr>
          <w:p w:rsidR="00951556" w:rsidRPr="00AE36FC" w:rsidP="00FC444D" w14:paraId="6A183E5B"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color w:val="151515"/>
                <w:sz w:val="20"/>
                <w:szCs w:val="20"/>
              </w:rPr>
              <w:t>26f</w:t>
            </w:r>
          </w:p>
        </w:tc>
        <w:tc>
          <w:tcPr>
            <w:tcW w:w="2496" w:type="dxa"/>
            <w:tcBorders>
              <w:top w:val="single" w:sz="4" w:space="0" w:color="C0BFBF"/>
            </w:tcBorders>
          </w:tcPr>
          <w:p w:rsidR="00951556" w:rsidRPr="00951556" w:rsidP="00FC444D" w14:paraId="3F1D0D8A" w14:textId="77777777">
            <w:pPr>
              <w:pBdr>
                <w:top w:val="nil"/>
                <w:left w:val="nil"/>
                <w:bottom w:val="nil"/>
                <w:right w:val="nil"/>
                <w:between w:val="nil"/>
              </w:pBdr>
              <w:spacing w:line="240" w:lineRule="auto"/>
              <w:rPr>
                <w:rFonts w:eastAsia="Times New Roman" w:cs="Calibri"/>
                <w:color w:val="151515"/>
                <w:sz w:val="20"/>
                <w:szCs w:val="20"/>
                <w:highlight w:val="yellow"/>
              </w:rPr>
            </w:pPr>
            <w:r w:rsidRPr="00951556">
              <w:rPr>
                <w:rFonts w:eastAsia="Times New Roman" w:cs="Calibri"/>
                <w:color w:val="151515"/>
                <w:sz w:val="20"/>
                <w:szCs w:val="20"/>
                <w:highlight w:val="yellow"/>
              </w:rPr>
              <w:t>Alzheimer’s disease and related dementias (ADRD) screening</w:t>
            </w:r>
          </w:p>
        </w:tc>
        <w:tc>
          <w:tcPr>
            <w:tcW w:w="3869" w:type="dxa"/>
            <w:tcBorders>
              <w:top w:val="single" w:sz="4" w:space="0" w:color="C0BFBF"/>
            </w:tcBorders>
          </w:tcPr>
          <w:p w:rsidR="00951556" w:rsidRPr="00951556" w:rsidP="00FC444D" w14:paraId="589D30DC" w14:textId="77777777">
            <w:pPr>
              <w:pBdr>
                <w:top w:val="nil"/>
                <w:left w:val="nil"/>
                <w:bottom w:val="nil"/>
                <w:right w:val="nil"/>
                <w:between w:val="nil"/>
              </w:pBdr>
              <w:spacing w:line="240" w:lineRule="auto"/>
              <w:rPr>
                <w:rFonts w:eastAsia="Times New Roman" w:cs="Calibri"/>
                <w:b/>
                <w:color w:val="151515"/>
                <w:sz w:val="20"/>
                <w:szCs w:val="20"/>
                <w:highlight w:val="yellow"/>
              </w:rPr>
            </w:pPr>
            <w:r w:rsidRPr="00951556">
              <w:rPr>
                <w:rFonts w:eastAsia="Times New Roman" w:cs="Calibri"/>
                <w:b/>
                <w:color w:val="151515"/>
                <w:sz w:val="20"/>
                <w:szCs w:val="20"/>
                <w:highlight w:val="yellow"/>
              </w:rPr>
              <w:t>OID</w:t>
            </w:r>
            <w:r w:rsidRPr="00951556">
              <w:rPr>
                <w:rFonts w:eastAsia="Times New Roman" w:cs="Calibri"/>
                <w:bCs/>
                <w:color w:val="151515"/>
                <w:sz w:val="20"/>
                <w:szCs w:val="20"/>
                <w:highlight w:val="yellow"/>
              </w:rPr>
              <w:t>: 2.16.840.1.113883.3.526.3.1006</w:t>
            </w:r>
          </w:p>
        </w:tc>
        <w:tc>
          <w:tcPr>
            <w:tcW w:w="1261" w:type="dxa"/>
            <w:tcBorders>
              <w:top w:val="single" w:sz="4" w:space="0" w:color="C0BFBF"/>
            </w:tcBorders>
          </w:tcPr>
          <w:p w:rsidR="00951556" w:rsidRPr="00CD252F" w:rsidP="00FC444D" w14:paraId="21685DF0"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c>
          <w:tcPr>
            <w:tcW w:w="1260" w:type="dxa"/>
            <w:tcBorders>
              <w:top w:val="single" w:sz="4" w:space="0" w:color="C0BFBF"/>
              <w:right w:val="single" w:sz="4" w:space="0" w:color="A5A5A5" w:themeColor="accent3"/>
            </w:tcBorders>
          </w:tcPr>
          <w:p w:rsidR="00951556" w:rsidRPr="00CD252F" w:rsidP="00FC444D" w14:paraId="3BE876E3" w14:textId="77777777">
            <w:pPr>
              <w:pBdr>
                <w:top w:val="nil"/>
                <w:left w:val="nil"/>
                <w:bottom w:val="nil"/>
                <w:right w:val="nil"/>
                <w:between w:val="nil"/>
              </w:pBdr>
              <w:spacing w:line="240" w:lineRule="auto"/>
              <w:rPr>
                <w:rFonts w:eastAsia="Times New Roman" w:cs="Calibri"/>
                <w:color w:val="FFFFFF"/>
                <w:sz w:val="8"/>
                <w:szCs w:val="8"/>
              </w:rPr>
            </w:pPr>
            <w:r w:rsidRPr="00AE36FC">
              <w:rPr>
                <w:rFonts w:eastAsia="Times New Roman" w:cs="Calibri"/>
                <w:color w:val="FFFFFF"/>
                <w:sz w:val="8"/>
                <w:szCs w:val="8"/>
              </w:rPr>
              <w:t>&lt;blank for demonstration&gt;</w:t>
            </w:r>
          </w:p>
        </w:tc>
      </w:tr>
    </w:tbl>
    <w:p w:rsidR="00951556" w:rsidRPr="00D45E83" w:rsidP="00951556" w14:paraId="2065A8A7" w14:textId="77777777">
      <w:pPr>
        <w:widowControl w:val="0"/>
        <w:spacing w:after="75"/>
        <w:ind w:left="360"/>
        <w:rPr>
          <w:rFonts w:cs="Calibri"/>
          <w:color w:val="000000"/>
        </w:rPr>
      </w:pPr>
    </w:p>
    <w:p w:rsidR="00951556" w:rsidP="00951556" w14:paraId="7703C6A3" w14:textId="77777777">
      <w:pPr>
        <w:spacing w:after="0" w:line="240" w:lineRule="auto"/>
        <w:rPr>
          <w:rFonts w:cs="Calibri"/>
          <w:b/>
          <w:bCs/>
          <w:color w:val="000000"/>
        </w:rPr>
      </w:pPr>
      <w:r>
        <w:rPr>
          <w:rFonts w:cs="Calibri"/>
          <w:b/>
          <w:bCs/>
          <w:color w:val="000000"/>
        </w:rPr>
        <w:br w:type="page"/>
      </w:r>
    </w:p>
    <w:p w:rsidR="00951556" w:rsidRPr="007A33B3" w:rsidP="00951556" w14:paraId="79391E83" w14:textId="77777777">
      <w:pPr>
        <w:pStyle w:val="Heading3"/>
        <w:rPr>
          <w:rFonts w:ascii="Open Sans" w:hAnsi="Open Sans" w:cs="Open Sans"/>
          <w:smallCaps/>
          <w:color w:val="006699"/>
          <w:sz w:val="28"/>
          <w:szCs w:val="28"/>
        </w:rPr>
      </w:pPr>
      <w:r w:rsidRPr="007A33B3">
        <w:rPr>
          <w:rFonts w:ascii="Open Sans" w:hAnsi="Open Sans" w:cs="Open Sans"/>
          <w:smallCaps/>
          <w:color w:val="006699"/>
          <w:sz w:val="28"/>
          <w:szCs w:val="28"/>
        </w:rPr>
        <w:t xml:space="preserve">Table 6B: </w:t>
      </w:r>
      <w:r>
        <w:rPr>
          <w:rFonts w:ascii="Open Sans" w:hAnsi="Open Sans" w:cs="Open Sans"/>
          <w:smallCaps/>
          <w:color w:val="006699"/>
          <w:sz w:val="28"/>
          <w:szCs w:val="28"/>
        </w:rPr>
        <w:t xml:space="preserve"> </w:t>
      </w:r>
      <w:r w:rsidRPr="007A33B3">
        <w:rPr>
          <w:rFonts w:ascii="Open Sans" w:hAnsi="Open Sans" w:cs="Open Sans"/>
          <w:smallCaps/>
          <w:color w:val="006699"/>
          <w:sz w:val="28"/>
          <w:szCs w:val="28"/>
        </w:rPr>
        <w:t>Quality of Care Measures</w:t>
      </w:r>
    </w:p>
    <w:p w:rsidR="00951556" w:rsidRPr="00333451" w:rsidP="00951556" w14:paraId="1F547A3C" w14:textId="77777777">
      <w:pPr>
        <w:pBdr>
          <w:top w:val="nil"/>
          <w:left w:val="nil"/>
          <w:bottom w:val="nil"/>
          <w:right w:val="nil"/>
          <w:between w:val="nil"/>
        </w:pBdr>
        <w:spacing w:after="0" w:line="240" w:lineRule="auto"/>
        <w:rPr>
          <w:rFonts w:eastAsia="Times New Roman" w:asciiTheme="minorHAnsi" w:hAnsiTheme="minorHAnsi" w:cstheme="minorHAnsi"/>
          <w:color w:val="000000"/>
          <w:sz w:val="20"/>
          <w:szCs w:val="20"/>
        </w:rPr>
      </w:pPr>
      <w:r w:rsidRPr="00333451">
        <w:rPr>
          <w:rFonts w:eastAsia="Times New Roman" w:asciiTheme="minorHAnsi" w:hAnsiTheme="minorHAnsi" w:cstheme="minorHAnsi"/>
          <w:color w:val="000000"/>
          <w:sz w:val="20"/>
          <w:szCs w:val="20"/>
        </w:rPr>
        <w:t>Calendar Year:  January 1, 2025, through December 31, 2025</w:t>
      </w:r>
    </w:p>
    <w:p w:rsidR="00951556" w:rsidRPr="00546DF0" w:rsidP="00951556" w14:paraId="06E1FFFB" w14:textId="77777777">
      <w:pPr>
        <w:keepNext/>
        <w:pBdr>
          <w:top w:val="nil"/>
          <w:left w:val="nil"/>
          <w:bottom w:val="nil"/>
          <w:right w:val="nil"/>
          <w:between w:val="nil"/>
        </w:pBdr>
        <w:spacing w:before="120" w:after="120" w:line="240" w:lineRule="auto"/>
        <w:jc w:val="center"/>
        <w:rPr>
          <w:rFonts w:eastAsia="Times New Roman" w:cs="Calibri"/>
          <w:b/>
          <w:color w:val="000000"/>
          <w:sz w:val="20"/>
          <w:szCs w:val="20"/>
        </w:rPr>
      </w:pPr>
      <w:r w:rsidRPr="00AE36FC">
        <w:rPr>
          <w:rFonts w:eastAsia="Times New Roman" w:cs="Calibri"/>
          <w:b/>
          <w:color w:val="000000"/>
          <w:sz w:val="20"/>
          <w:szCs w:val="20"/>
        </w:rPr>
        <w:t>Section N—</w:t>
      </w:r>
      <w:r w:rsidRPr="00AE36FC">
        <w:rPr>
          <w:rFonts w:eastAsia="Times New Roman" w:cs="Calibri"/>
          <w:b/>
          <w:color w:val="000000"/>
          <w:sz w:val="20"/>
          <w:szCs w:val="20"/>
        </w:rPr>
        <w:t>Substance Use Disorder</w:t>
      </w:r>
      <w:r w:rsidRPr="00AE36FC">
        <w:rPr>
          <w:rFonts w:eastAsia="Times New Roman" w:cs="Calibri"/>
          <w:b/>
          <w:color w:val="000000"/>
          <w:sz w:val="20"/>
          <w:szCs w:val="20"/>
        </w:rPr>
        <w:t xml:space="preserve"> (SUD) Measures</w:t>
      </w:r>
    </w:p>
    <w:tbl>
      <w:tblPr>
        <w:tblW w:w="9540" w:type="dxa"/>
        <w:tblBorders>
          <w:insideH w:val="single" w:sz="4" w:space="0" w:color="C0BFBF"/>
          <w:insideV w:val="single" w:sz="4" w:space="0" w:color="C0BFBF"/>
        </w:tblBorders>
        <w:tblLayout w:type="fixed"/>
        <w:tblLook w:val="0420"/>
      </w:tblPr>
      <w:tblGrid>
        <w:gridCol w:w="654"/>
        <w:gridCol w:w="3281"/>
        <w:gridCol w:w="2095"/>
        <w:gridCol w:w="1710"/>
        <w:gridCol w:w="1800"/>
      </w:tblGrid>
      <w:tr w14:paraId="4E5E1328" w14:textId="77777777" w:rsidTr="00FC444D">
        <w:tblPrEx>
          <w:tblW w:w="9540" w:type="dxa"/>
          <w:tblBorders>
            <w:insideH w:val="single" w:sz="4" w:space="0" w:color="C0BFBF"/>
            <w:insideV w:val="single" w:sz="4" w:space="0" w:color="C0BFBF"/>
          </w:tblBorders>
          <w:tblLayout w:type="fixed"/>
          <w:tblLook w:val="0420"/>
        </w:tblPrEx>
        <w:trPr>
          <w:cantSplit/>
          <w:tblHeader/>
        </w:trPr>
        <w:tc>
          <w:tcPr>
            <w:tcW w:w="654" w:type="dxa"/>
            <w:shd w:val="clear" w:color="auto" w:fill="006699"/>
            <w:vAlign w:val="center"/>
          </w:tcPr>
          <w:p w:rsidR="00951556" w:rsidRPr="00546DF0" w:rsidP="00FC444D" w14:paraId="2725EBCB" w14:textId="77777777">
            <w:pPr>
              <w:pBdr>
                <w:top w:val="nil"/>
                <w:left w:val="nil"/>
                <w:bottom w:val="nil"/>
                <w:right w:val="nil"/>
                <w:between w:val="nil"/>
              </w:pBdr>
              <w:spacing w:line="240" w:lineRule="auto"/>
              <w:rPr>
                <w:rFonts w:eastAsia="Times New Roman" w:cs="Calibri"/>
                <w:color w:val="FFFFFF"/>
              </w:rPr>
            </w:pPr>
            <w:r w:rsidRPr="00AE36FC">
              <w:rPr>
                <w:rFonts w:eastAsia="Times New Roman" w:cs="Calibri"/>
                <w:color w:val="FFFFFF"/>
                <w:sz w:val="20"/>
                <w:szCs w:val="20"/>
              </w:rPr>
              <w:t>Line</w:t>
            </w:r>
          </w:p>
        </w:tc>
        <w:tc>
          <w:tcPr>
            <w:tcW w:w="3281" w:type="dxa"/>
            <w:shd w:val="clear" w:color="auto" w:fill="006699"/>
            <w:vAlign w:val="center"/>
          </w:tcPr>
          <w:p w:rsidR="00951556" w:rsidRPr="00546DF0" w:rsidP="00FC444D" w14:paraId="74D399A5" w14:textId="77777777">
            <w:pPr>
              <w:pBdr>
                <w:top w:val="nil"/>
                <w:left w:val="nil"/>
                <w:bottom w:val="nil"/>
                <w:right w:val="nil"/>
                <w:between w:val="nil"/>
              </w:pBdr>
              <w:spacing w:line="240" w:lineRule="auto"/>
              <w:rPr>
                <w:rFonts w:eastAsia="Times New Roman" w:cs="Calibri"/>
                <w:color w:val="FFFFFF"/>
              </w:rPr>
            </w:pPr>
            <w:r w:rsidRPr="00AE36FC">
              <w:rPr>
                <w:rFonts w:eastAsia="Times New Roman" w:cs="Calibri"/>
                <w:color w:val="FFFFFF"/>
                <w:sz w:val="20"/>
                <w:szCs w:val="20"/>
              </w:rPr>
              <w:t>Initiation and Engagement of Substance Use Disorder (SUD) Treatment</w:t>
            </w:r>
          </w:p>
        </w:tc>
        <w:tc>
          <w:tcPr>
            <w:tcW w:w="2095" w:type="dxa"/>
            <w:shd w:val="clear" w:color="auto" w:fill="006699"/>
            <w:vAlign w:val="center"/>
          </w:tcPr>
          <w:p w:rsidR="00951556" w:rsidRPr="00546DF0" w:rsidP="00FC444D" w14:paraId="74BA330B"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Total Patients Aged 13 and Older Diagnosed with a New SUD Episode (a)</w:t>
            </w:r>
          </w:p>
        </w:tc>
        <w:tc>
          <w:tcPr>
            <w:tcW w:w="1710" w:type="dxa"/>
            <w:shd w:val="clear" w:color="auto" w:fill="006699"/>
            <w:vAlign w:val="center"/>
          </w:tcPr>
          <w:p w:rsidR="00951556" w:rsidRPr="00546DF0" w:rsidP="00FC444D" w14:paraId="2645209D"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Number of Records Reviewed (b)</w:t>
            </w:r>
          </w:p>
        </w:tc>
        <w:tc>
          <w:tcPr>
            <w:tcW w:w="1800" w:type="dxa"/>
            <w:shd w:val="clear" w:color="auto" w:fill="006699"/>
            <w:vAlign w:val="center"/>
          </w:tcPr>
          <w:p w:rsidR="00951556" w:rsidRPr="00546DF0" w:rsidP="00FC444D" w14:paraId="4500E500" w14:textId="77777777">
            <w:pPr>
              <w:pBdr>
                <w:top w:val="nil"/>
                <w:left w:val="nil"/>
                <w:bottom w:val="nil"/>
                <w:right w:val="nil"/>
                <w:between w:val="nil"/>
              </w:pBdr>
              <w:spacing w:line="240" w:lineRule="auto"/>
              <w:jc w:val="center"/>
              <w:rPr>
                <w:rFonts w:eastAsia="Times New Roman" w:cs="Calibri"/>
                <w:color w:val="FFFFFF"/>
              </w:rPr>
            </w:pPr>
            <w:r w:rsidRPr="00AE36FC">
              <w:rPr>
                <w:rFonts w:eastAsia="Times New Roman" w:cs="Calibri"/>
                <w:color w:val="FFFFFF"/>
                <w:sz w:val="20"/>
                <w:szCs w:val="20"/>
              </w:rPr>
              <w:t>Number of Patients who Received SUD Treatment (c)</w:t>
            </w:r>
          </w:p>
        </w:tc>
      </w:tr>
      <w:tr w14:paraId="0F831864" w14:textId="77777777" w:rsidTr="00FC444D">
        <w:tblPrEx>
          <w:tblW w:w="9540" w:type="dxa"/>
          <w:tblLayout w:type="fixed"/>
          <w:tblLook w:val="0420"/>
        </w:tblPrEx>
        <w:trPr>
          <w:cantSplit/>
        </w:trPr>
        <w:tc>
          <w:tcPr>
            <w:tcW w:w="654" w:type="dxa"/>
            <w:tcBorders>
              <w:left w:val="single" w:sz="4" w:space="0" w:color="A5A5A5" w:themeColor="accent3"/>
            </w:tcBorders>
            <w:vAlign w:val="center"/>
          </w:tcPr>
          <w:p w:rsidR="00951556" w:rsidRPr="00546DF0" w:rsidP="00FC444D" w14:paraId="0A11BD6D"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23a</w:t>
            </w:r>
          </w:p>
        </w:tc>
        <w:tc>
          <w:tcPr>
            <w:tcW w:w="3281" w:type="dxa"/>
            <w:tcBorders>
              <w:bottom w:val="single" w:sz="4" w:space="0" w:color="C0BFBF"/>
            </w:tcBorders>
            <w:vAlign w:val="center"/>
          </w:tcPr>
          <w:p w:rsidR="00951556" w:rsidRPr="00546DF0" w:rsidP="00FC444D" w14:paraId="659CB48B" w14:textId="77777777">
            <w:pPr>
              <w:pBdr>
                <w:top w:val="nil"/>
                <w:left w:val="nil"/>
                <w:bottom w:val="nil"/>
                <w:right w:val="nil"/>
                <w:between w:val="nil"/>
              </w:pBdr>
              <w:spacing w:line="240" w:lineRule="auto"/>
              <w:rPr>
                <w:rFonts w:eastAsia="Times New Roman" w:cs="Calibri"/>
                <w:color w:val="151515"/>
              </w:rPr>
            </w:pPr>
            <w:r w:rsidRPr="00AE36FC">
              <w:rPr>
                <w:rFonts w:eastAsia="Times New Roman" w:cs="Calibri"/>
                <w:color w:val="151515"/>
                <w:sz w:val="20"/>
                <w:szCs w:val="20"/>
              </w:rPr>
              <w:t xml:space="preserve">MEASURE:  Percentage of patients with a new SUD episode who initiated treatment, including either an intervention or medication for the treatment of SUD, within 14 days of the new SUD episode </w:t>
            </w:r>
          </w:p>
        </w:tc>
        <w:tc>
          <w:tcPr>
            <w:tcW w:w="2095" w:type="dxa"/>
            <w:tcBorders>
              <w:bottom w:val="single" w:sz="4" w:space="0" w:color="C0BFBF"/>
            </w:tcBorders>
          </w:tcPr>
          <w:p w:rsidR="00951556" w:rsidRPr="00546DF0" w:rsidP="00FC444D" w14:paraId="47C7304E" w14:textId="77777777">
            <w:pPr>
              <w:pBdr>
                <w:top w:val="nil"/>
                <w:left w:val="nil"/>
                <w:bottom w:val="nil"/>
                <w:right w:val="nil"/>
                <w:between w:val="nil"/>
              </w:pBdr>
              <w:spacing w:line="240" w:lineRule="auto"/>
              <w:rPr>
                <w:rFonts w:eastAsia="Times New Roman" w:cs="Calibri"/>
                <w:color w:val="FFFFFF"/>
                <w:sz w:val="16"/>
                <w:szCs w:val="16"/>
              </w:rPr>
            </w:pPr>
            <w:r w:rsidRPr="00AE36FC">
              <w:rPr>
                <w:rFonts w:eastAsia="Times New Roman" w:cs="Calibri"/>
                <w:color w:val="FFFFFF"/>
                <w:sz w:val="16"/>
                <w:szCs w:val="16"/>
              </w:rPr>
              <w:t>[blank for demonstration]</w:t>
            </w:r>
          </w:p>
        </w:tc>
        <w:tc>
          <w:tcPr>
            <w:tcW w:w="1710" w:type="dxa"/>
            <w:tcBorders>
              <w:bottom w:val="single" w:sz="4" w:space="0" w:color="C0BFBF"/>
            </w:tcBorders>
          </w:tcPr>
          <w:p w:rsidR="00951556" w:rsidRPr="00546DF0" w:rsidP="00FC444D" w14:paraId="3F950B2F" w14:textId="77777777">
            <w:pPr>
              <w:pBdr>
                <w:top w:val="nil"/>
                <w:left w:val="nil"/>
                <w:bottom w:val="nil"/>
                <w:right w:val="nil"/>
                <w:between w:val="nil"/>
              </w:pBdr>
              <w:spacing w:line="240" w:lineRule="auto"/>
              <w:rPr>
                <w:rFonts w:eastAsia="Times New Roman" w:cs="Calibri"/>
                <w:color w:val="FFFFFF"/>
                <w:sz w:val="16"/>
                <w:szCs w:val="16"/>
              </w:rPr>
            </w:pPr>
            <w:r w:rsidRPr="00AE36FC">
              <w:rPr>
                <w:rFonts w:eastAsia="Times New Roman" w:cs="Calibri"/>
                <w:color w:val="FFFFFF"/>
                <w:sz w:val="16"/>
                <w:szCs w:val="16"/>
              </w:rPr>
              <w:t>[blank for demonstration]</w:t>
            </w:r>
          </w:p>
        </w:tc>
        <w:tc>
          <w:tcPr>
            <w:tcW w:w="1800" w:type="dxa"/>
            <w:tcBorders>
              <w:bottom w:val="single" w:sz="4" w:space="0" w:color="C0BFBF"/>
              <w:right w:val="single" w:sz="4" w:space="0" w:color="A5A5A5" w:themeColor="accent3"/>
            </w:tcBorders>
          </w:tcPr>
          <w:p w:rsidR="00951556" w:rsidRPr="00546DF0" w:rsidP="00FC444D" w14:paraId="53DAE4A9" w14:textId="77777777">
            <w:pPr>
              <w:pBdr>
                <w:top w:val="nil"/>
                <w:left w:val="nil"/>
                <w:bottom w:val="nil"/>
                <w:right w:val="nil"/>
                <w:between w:val="nil"/>
              </w:pBdr>
              <w:spacing w:line="240" w:lineRule="auto"/>
              <w:rPr>
                <w:rFonts w:eastAsia="Times New Roman" w:cs="Calibri"/>
                <w:color w:val="FFFFFF"/>
                <w:sz w:val="16"/>
                <w:szCs w:val="16"/>
              </w:rPr>
            </w:pPr>
            <w:r w:rsidRPr="00AE36FC">
              <w:rPr>
                <w:rFonts w:eastAsia="Times New Roman" w:cs="Calibri"/>
                <w:color w:val="FFFFFF"/>
                <w:sz w:val="16"/>
                <w:szCs w:val="16"/>
              </w:rPr>
              <w:t>[blank for demonstration]</w:t>
            </w:r>
          </w:p>
        </w:tc>
      </w:tr>
      <w:tr w14:paraId="131D40BA" w14:textId="77777777" w:rsidTr="00FC444D">
        <w:tblPrEx>
          <w:tblW w:w="9540" w:type="dxa"/>
          <w:tblLayout w:type="fixed"/>
          <w:tblLook w:val="0420"/>
        </w:tblPrEx>
        <w:trPr>
          <w:cantSplit/>
        </w:trPr>
        <w:tc>
          <w:tcPr>
            <w:tcW w:w="654" w:type="dxa"/>
            <w:tcBorders>
              <w:left w:val="single" w:sz="4" w:space="0" w:color="A5A5A5" w:themeColor="accent3"/>
              <w:bottom w:val="single" w:sz="4" w:space="0" w:color="A5A5A5" w:themeColor="accent3"/>
            </w:tcBorders>
            <w:vAlign w:val="center"/>
          </w:tcPr>
          <w:p w:rsidR="00951556" w:rsidRPr="00AE36FC" w:rsidP="00FC444D" w14:paraId="334B6482"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color w:val="151515"/>
                <w:sz w:val="20"/>
                <w:szCs w:val="20"/>
              </w:rPr>
              <w:t>23b</w:t>
            </w:r>
          </w:p>
        </w:tc>
        <w:tc>
          <w:tcPr>
            <w:tcW w:w="3281" w:type="dxa"/>
            <w:tcBorders>
              <w:top w:val="single" w:sz="4" w:space="0" w:color="C0BFBF"/>
              <w:bottom w:val="single" w:sz="4" w:space="0" w:color="C0BFBF"/>
            </w:tcBorders>
            <w:vAlign w:val="center"/>
          </w:tcPr>
          <w:p w:rsidR="00951556" w:rsidRPr="00AE36FC" w:rsidP="00FC444D" w14:paraId="6E5BA132" w14:textId="77777777">
            <w:pPr>
              <w:pBdr>
                <w:top w:val="nil"/>
                <w:left w:val="nil"/>
                <w:bottom w:val="nil"/>
                <w:right w:val="nil"/>
                <w:between w:val="nil"/>
              </w:pBdr>
              <w:spacing w:line="240" w:lineRule="auto"/>
              <w:rPr>
                <w:rFonts w:eastAsia="Times New Roman" w:cs="Calibri"/>
                <w:color w:val="151515"/>
                <w:sz w:val="20"/>
                <w:szCs w:val="20"/>
              </w:rPr>
            </w:pPr>
            <w:r w:rsidRPr="00AE36FC">
              <w:rPr>
                <w:rFonts w:eastAsia="Times New Roman" w:cs="Calibri"/>
                <w:color w:val="151515"/>
                <w:sz w:val="20"/>
                <w:szCs w:val="20"/>
              </w:rPr>
              <w:t>MEASURE:  Percentage of patients with a new SUD episode who engaged in ongoing treatment, including two additional interventions or medication treatment events for SUD, or one long-acting medication event for the treatment of SUD, within 34 days of the initiation</w:t>
            </w:r>
          </w:p>
        </w:tc>
        <w:tc>
          <w:tcPr>
            <w:tcW w:w="2095" w:type="dxa"/>
            <w:tcBorders>
              <w:top w:val="single" w:sz="4" w:space="0" w:color="C0BFBF"/>
              <w:bottom w:val="single" w:sz="4" w:space="0" w:color="C0BFBF"/>
            </w:tcBorders>
          </w:tcPr>
          <w:p w:rsidR="00951556" w:rsidRPr="00AE36FC" w:rsidP="00FC444D" w14:paraId="4C43F06D" w14:textId="77777777">
            <w:pPr>
              <w:pBdr>
                <w:top w:val="nil"/>
                <w:left w:val="nil"/>
                <w:bottom w:val="nil"/>
                <w:right w:val="nil"/>
                <w:between w:val="nil"/>
              </w:pBdr>
              <w:spacing w:line="240" w:lineRule="auto"/>
              <w:rPr>
                <w:rFonts w:eastAsia="Times New Roman" w:cs="Calibri"/>
                <w:color w:val="FFFFFF"/>
                <w:sz w:val="16"/>
                <w:szCs w:val="16"/>
              </w:rPr>
            </w:pPr>
          </w:p>
        </w:tc>
        <w:tc>
          <w:tcPr>
            <w:tcW w:w="1710" w:type="dxa"/>
            <w:tcBorders>
              <w:top w:val="single" w:sz="4" w:space="0" w:color="C0BFBF"/>
              <w:bottom w:val="single" w:sz="4" w:space="0" w:color="C0BFBF"/>
            </w:tcBorders>
          </w:tcPr>
          <w:p w:rsidR="00951556" w:rsidRPr="00AE36FC" w:rsidP="00FC444D" w14:paraId="656B69C6" w14:textId="77777777">
            <w:pPr>
              <w:pBdr>
                <w:top w:val="nil"/>
                <w:left w:val="nil"/>
                <w:bottom w:val="nil"/>
                <w:right w:val="nil"/>
                <w:between w:val="nil"/>
              </w:pBdr>
              <w:spacing w:line="240" w:lineRule="auto"/>
              <w:rPr>
                <w:rFonts w:eastAsia="Times New Roman" w:cs="Calibri"/>
                <w:color w:val="FFFFFF"/>
                <w:sz w:val="16"/>
                <w:szCs w:val="16"/>
              </w:rPr>
            </w:pPr>
          </w:p>
        </w:tc>
        <w:tc>
          <w:tcPr>
            <w:tcW w:w="1800" w:type="dxa"/>
            <w:tcBorders>
              <w:top w:val="single" w:sz="4" w:space="0" w:color="C0BFBF"/>
              <w:bottom w:val="single" w:sz="4" w:space="0" w:color="C0BFBF"/>
              <w:right w:val="single" w:sz="4" w:space="0" w:color="A5A5A5" w:themeColor="accent3"/>
            </w:tcBorders>
          </w:tcPr>
          <w:p w:rsidR="00951556" w:rsidRPr="00AE36FC" w:rsidP="00FC444D" w14:paraId="64C5CB83" w14:textId="77777777">
            <w:pPr>
              <w:pBdr>
                <w:top w:val="nil"/>
                <w:left w:val="nil"/>
                <w:bottom w:val="nil"/>
                <w:right w:val="nil"/>
                <w:between w:val="nil"/>
              </w:pBdr>
              <w:spacing w:line="240" w:lineRule="auto"/>
              <w:rPr>
                <w:rFonts w:eastAsia="Times New Roman" w:cs="Calibri"/>
                <w:color w:val="FFFFFF"/>
                <w:sz w:val="16"/>
                <w:szCs w:val="16"/>
              </w:rPr>
            </w:pPr>
          </w:p>
        </w:tc>
      </w:tr>
    </w:tbl>
    <w:p w:rsidR="00951556" w:rsidRPr="00D45E83" w:rsidP="00951556" w14:paraId="6448D4C4" w14:textId="77777777">
      <w:pPr>
        <w:widowControl w:val="0"/>
        <w:spacing w:after="75"/>
        <w:ind w:left="360"/>
        <w:rPr>
          <w:rFonts w:cs="Calibri"/>
          <w:color w:val="000000"/>
        </w:rPr>
      </w:pPr>
    </w:p>
    <w:p w:rsidR="004C3661" w:rsidRPr="00AD0ECE" w:rsidP="004C3661" w14:paraId="6EA09E4E" w14:textId="77777777">
      <w:pPr>
        <w:pStyle w:val="Footnotes"/>
        <w:spacing w:before="2880"/>
        <w:rPr>
          <w:rFonts w:cs="Times New Roman"/>
        </w:rPr>
      </w:pPr>
      <w:r w:rsidRPr="00564B58">
        <w:rPr>
          <w:rFonts w:cs="Times New Roman"/>
        </w:rPr>
        <w:t>PUBLIC BURDEN STATEMENT</w:t>
      </w:r>
    </w:p>
    <w:p w:rsidR="004C3661" w:rsidRPr="00A675F2" w:rsidP="004C3661" w14:paraId="22E5FFB0" w14:textId="77777777">
      <w:pPr>
        <w:pStyle w:val="Footnotes"/>
        <w:rPr>
          <w:rFonts w:cs="Times New Roman"/>
        </w:rPr>
      </w:pPr>
      <w:r w:rsidRPr="00A675F2">
        <w:rPr>
          <w:rFonts w:cs="Times New Roman"/>
        </w:rPr>
        <w:t>The Uniform Data System (UDS) provides consistent information about health centers including patient characteristics, services provided, clinical processes and health outcomes, patients’ use of services, costs, and revenues. It is the source of unduplicated data for the entire scope of services included in the grant or designation for the calendar year. An agency may not conduct or sponsor, and a person is not required to respond to, a collection of information unless it displays a currently valid Office of Management and Budget (OMB) control number.</w:t>
      </w:r>
      <w:r>
        <w:rPr>
          <w:rFonts w:cs="Times New Roman"/>
        </w:rPr>
        <w:t xml:space="preserve"> </w:t>
      </w:r>
      <w:r w:rsidRPr="00A675F2">
        <w:rPr>
          <w:rFonts w:cs="Times New Roman"/>
        </w:rPr>
        <w:t xml:space="preserve">The OMB control number for this project is 0915-0193 and it is valid until </w:t>
      </w:r>
      <w:r>
        <w:rPr>
          <w:rFonts w:cs="Times New Roman"/>
        </w:rPr>
        <w:t>04</w:t>
      </w:r>
      <w:r w:rsidRPr="00A675F2">
        <w:rPr>
          <w:rFonts w:cs="Times New Roman"/>
        </w:rPr>
        <w:t>/</w:t>
      </w:r>
      <w:r>
        <w:rPr>
          <w:rFonts w:cs="Times New Roman"/>
        </w:rPr>
        <w:t>30</w:t>
      </w:r>
      <w:r w:rsidRPr="00A675F2">
        <w:rPr>
          <w:rFonts w:cs="Times New Roman"/>
        </w:rPr>
        <w:t>/</w:t>
      </w:r>
      <w:r>
        <w:rPr>
          <w:rFonts w:cs="Times New Roman"/>
        </w:rPr>
        <w:t>2026</w:t>
      </w:r>
      <w:r w:rsidRPr="00A675F2">
        <w:rPr>
          <w:rFonts w:cs="Times New Roman"/>
        </w:rPr>
        <w:t>.</w:t>
      </w:r>
      <w:r>
        <w:rPr>
          <w:rFonts w:cs="Times New Roman"/>
        </w:rPr>
        <w:t xml:space="preserve"> </w:t>
      </w:r>
      <w:r w:rsidRPr="00A675F2">
        <w:rPr>
          <w:rFonts w:cs="Times New Roman"/>
        </w:rPr>
        <w:t>This information collection is mandatory under the Health Center Program authorized by section 330 of the Public Health Service (PHS) Act (</w:t>
      </w:r>
      <w:hyperlink r:id="rId7" w:history="1">
        <w:r w:rsidRPr="00A675F2">
          <w:rPr>
            <w:rStyle w:val="Hyperlink"/>
            <w:rFonts w:cs="Times New Roman"/>
          </w:rPr>
          <w:t>42 U.S.C. 254b</w:t>
        </w:r>
      </w:hyperlink>
      <w:r w:rsidRPr="00A675F2">
        <w:rPr>
          <w:rFonts w:cs="Times New Roman"/>
        </w:rPr>
        <w:t xml:space="preserve">). Public reporting burden for this collection of information is estimated to average 238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the Health Resources and Services Administration (HRSA) Reports Clearance Officer, 5600 Fishers Lane, Room 14N136B, Rockville, Maryland, 20857 or </w:t>
      </w:r>
      <w:hyperlink r:id="rId8" w:history="1">
        <w:r w:rsidRPr="00A675F2">
          <w:rPr>
            <w:rStyle w:val="Hyperlink"/>
            <w:rFonts w:cs="Times New Roman"/>
          </w:rPr>
          <w:t>paperwork@hrsa.gov</w:t>
        </w:r>
      </w:hyperlink>
      <w:r w:rsidRPr="00A675F2">
        <w:rPr>
          <w:rFonts w:cs="Times New Roman"/>
        </w:rPr>
        <w:t>.</w:t>
      </w:r>
    </w:p>
    <w:p w:rsidR="004C3661" w:rsidRPr="00A675F2" w:rsidP="004C3661" w14:paraId="6C8EC566" w14:textId="77777777">
      <w:pPr>
        <w:pStyle w:val="Footnotes"/>
        <w:rPr>
          <w:rFonts w:cs="Times New Roman"/>
        </w:rPr>
      </w:pPr>
    </w:p>
    <w:p w:rsidR="004C3661" w:rsidRPr="00A675F2" w:rsidP="004C3661" w14:paraId="3C37B851" w14:textId="77777777">
      <w:pPr>
        <w:pStyle w:val="Footnotes"/>
        <w:rPr>
          <w:rFonts w:cs="Times New Roman"/>
        </w:rPr>
      </w:pPr>
      <w:r w:rsidRPr="00A675F2">
        <w:rPr>
          <w:rFonts w:cs="Times New Roman"/>
        </w:rPr>
        <w:t>DISCLAIMER</w:t>
      </w:r>
    </w:p>
    <w:p w:rsidR="006755BE" w:rsidRPr="004C3661" w:rsidP="004C3661" w14:paraId="34856077" w14:textId="34118C94">
      <w:pPr>
        <w:pStyle w:val="Footnotes"/>
        <w:rPr>
          <w:rFonts w:cs="Times New Roman"/>
        </w:rPr>
      </w:pPr>
      <w:r w:rsidRPr="00A675F2">
        <w:rPr>
          <w:rFonts w:cs="Times New Roman"/>
        </w:rPr>
        <w:t>“This publication lists non-federal resources to provide additional information to consumers. Neither the U.S. Department of Health and Human Services (HHS) nor the Health Resources and Services Administration (HRSA) has formally approved the non-federal resources in this manual. Listing these is not an endorsement by HHS or HRSA.”</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6925" w:rsidP="000D6925" w14:paraId="21B863F5" w14:textId="63CF0238">
    <w:pPr>
      <w:pStyle w:val="Header"/>
      <w:jc w:val="right"/>
    </w:pPr>
    <w:r w:rsidRPr="001B5DB2">
      <w:t>OMB Number</w:t>
    </w:r>
    <w:r>
      <w:t xml:space="preserve">: </w:t>
    </w:r>
    <w:r w:rsidRPr="001B5DB2">
      <w:t>0915-</w:t>
    </w:r>
    <w:r>
      <w:t>0193</w:t>
    </w:r>
    <w:r w:rsidRPr="001B5DB2">
      <w:t xml:space="preserve"> </w:t>
    </w:r>
  </w:p>
  <w:p w:rsidR="000D6925" w:rsidP="000D6925" w14:paraId="39DF80F3" w14:textId="77777777">
    <w:pPr>
      <w:pStyle w:val="Header"/>
      <w:jc w:val="right"/>
    </w:pPr>
    <w:r w:rsidRPr="001B5DB2">
      <w:t>Expiration date</w:t>
    </w:r>
    <w:r>
      <w:t>: 04/30/2026</w:t>
    </w:r>
  </w:p>
  <w:p w:rsidR="000D6925" w14:paraId="7560CB34" w14:textId="0C924E35">
    <w:pPr>
      <w:pStyle w:val="Header"/>
    </w:pPr>
  </w:p>
  <w:p w:rsidR="000D6925" w14:paraId="3CB78DF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56"/>
    <w:rsid w:val="00007A8C"/>
    <w:rsid w:val="000D6925"/>
    <w:rsid w:val="001041EA"/>
    <w:rsid w:val="001B5DB2"/>
    <w:rsid w:val="002067F6"/>
    <w:rsid w:val="002E6766"/>
    <w:rsid w:val="00333451"/>
    <w:rsid w:val="004462AB"/>
    <w:rsid w:val="00462C4D"/>
    <w:rsid w:val="004C3661"/>
    <w:rsid w:val="00546DF0"/>
    <w:rsid w:val="00564B58"/>
    <w:rsid w:val="00644C1C"/>
    <w:rsid w:val="006755BE"/>
    <w:rsid w:val="007006E2"/>
    <w:rsid w:val="007A33B3"/>
    <w:rsid w:val="008A241F"/>
    <w:rsid w:val="008F0C14"/>
    <w:rsid w:val="00951556"/>
    <w:rsid w:val="00A675F2"/>
    <w:rsid w:val="00AD0ECE"/>
    <w:rsid w:val="00AE36FC"/>
    <w:rsid w:val="00CD252F"/>
    <w:rsid w:val="00D45E83"/>
    <w:rsid w:val="00E36974"/>
    <w:rsid w:val="00FC4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24467"/>
  <w15:chartTrackingRefBased/>
  <w15:docId w15:val="{39C1BE06-7A16-4E47-A4C7-78DC2D2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556"/>
    <w:rPr>
      <w:rFonts w:ascii="Calibri" w:eastAsia="Calibri" w:hAnsi="Calibri" w:cs="Times New Roman"/>
      <w:kern w:val="0"/>
      <w14:ligatures w14:val="none"/>
    </w:rPr>
  </w:style>
  <w:style w:type="paragraph" w:styleId="Heading3">
    <w:name w:val="heading 3"/>
    <w:basedOn w:val="Normal"/>
    <w:next w:val="Normal"/>
    <w:link w:val="Heading3Char"/>
    <w:uiPriority w:val="9"/>
    <w:semiHidden/>
    <w:unhideWhenUsed/>
    <w:qFormat/>
    <w:rsid w:val="009515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1556"/>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0D6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25"/>
    <w:rPr>
      <w:rFonts w:ascii="Calibri" w:eastAsia="Calibri" w:hAnsi="Calibri" w:cs="Times New Roman"/>
      <w:kern w:val="0"/>
      <w14:ligatures w14:val="none"/>
    </w:rPr>
  </w:style>
  <w:style w:type="paragraph" w:styleId="Footer">
    <w:name w:val="footer"/>
    <w:basedOn w:val="Normal"/>
    <w:link w:val="FooterChar"/>
    <w:uiPriority w:val="99"/>
    <w:unhideWhenUsed/>
    <w:rsid w:val="000D6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25"/>
    <w:rPr>
      <w:rFonts w:ascii="Calibri" w:eastAsia="Calibri" w:hAnsi="Calibri" w:cs="Times New Roman"/>
      <w:kern w:val="0"/>
      <w14:ligatures w14:val="none"/>
    </w:rPr>
  </w:style>
  <w:style w:type="character" w:styleId="Hyperlink">
    <w:name w:val="Hyperlink"/>
    <w:basedOn w:val="DefaultParagraphFont"/>
    <w:uiPriority w:val="99"/>
    <w:unhideWhenUsed/>
    <w:rsid w:val="004C3661"/>
    <w:rPr>
      <w:color w:val="006699"/>
      <w:u w:val="single"/>
    </w:rPr>
  </w:style>
  <w:style w:type="paragraph" w:customStyle="1" w:styleId="Footnotes">
    <w:name w:val="Footnotes"/>
    <w:basedOn w:val="FootnoteText"/>
    <w:link w:val="FootnotesChar"/>
    <w:qFormat/>
    <w:rsid w:val="004C3661"/>
    <w:rPr>
      <w:rFonts w:ascii="Times New Roman" w:hAnsi="Times New Roman" w:cs="Arial"/>
      <w:sz w:val="16"/>
    </w:rPr>
  </w:style>
  <w:style w:type="character" w:customStyle="1" w:styleId="FootnotesChar">
    <w:name w:val="Footnotes Char"/>
    <w:basedOn w:val="FootnoteTextChar"/>
    <w:link w:val="Footnotes"/>
    <w:rsid w:val="004C3661"/>
    <w:rPr>
      <w:rFonts w:ascii="Times New Roman" w:eastAsia="Calibri" w:hAnsi="Times New Roman" w:cs="Arial"/>
      <w:kern w:val="0"/>
      <w:sz w:val="16"/>
      <w:szCs w:val="20"/>
      <w14:ligatures w14:val="none"/>
    </w:rPr>
  </w:style>
  <w:style w:type="paragraph" w:styleId="FootnoteText">
    <w:name w:val="footnote text"/>
    <w:basedOn w:val="Normal"/>
    <w:link w:val="FootnoteTextChar"/>
    <w:uiPriority w:val="99"/>
    <w:semiHidden/>
    <w:unhideWhenUsed/>
    <w:rsid w:val="004C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661"/>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app/details/USCODE-2021-title42/USCODE-2021-title42-chap6A-subchapII-partD-subparti-sec254b" TargetMode="Externa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59755-ae43-4af5-bd40-4762384d7e71">
      <Terms xmlns="http://schemas.microsoft.com/office/infopath/2007/PartnerControls"/>
    </lcf76f155ced4ddcb4097134ff3c332f>
    <TaxCatchAll xmlns="2eb7fde0-8186-4006-8d6f-3910af48c887" xsi:nil="true"/>
    <Notes xmlns="fcf59755-ae43-4af5-bd40-4762384d7e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0" ma:contentTypeDescription="Create a new document." ma:contentTypeScope="" ma:versionID="6470b9923187bb46be0b4b494d49f4ab">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7cb1f51ff18e7304b29c9ffc15b2f857"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5C452-7E76-4F29-BFFA-6DD57B0B2426}">
  <ds:schemaRefs>
    <ds:schemaRef ds:uri="http://schemas.microsoft.com/office/2006/metadata/properties"/>
    <ds:schemaRef ds:uri="http://schemas.microsoft.com/office/infopath/2007/PartnerControls"/>
    <ds:schemaRef ds:uri="fcf59755-ae43-4af5-bd40-4762384d7e71"/>
    <ds:schemaRef ds:uri="2eb7fde0-8186-4006-8d6f-3910af48c887"/>
  </ds:schemaRefs>
</ds:datastoreItem>
</file>

<file path=customXml/itemProps2.xml><?xml version="1.0" encoding="utf-8"?>
<ds:datastoreItem xmlns:ds="http://schemas.openxmlformats.org/officeDocument/2006/customXml" ds:itemID="{4986B708-30EA-429E-871C-466341156D4E}">
  <ds:schemaRefs>
    <ds:schemaRef ds:uri="http://schemas.microsoft.com/sharepoint/v3/contenttype/forms"/>
  </ds:schemaRefs>
</ds:datastoreItem>
</file>

<file path=customXml/itemProps3.xml><?xml version="1.0" encoding="utf-8"?>
<ds:datastoreItem xmlns:ds="http://schemas.openxmlformats.org/officeDocument/2006/customXml" ds:itemID="{27E175B7-B4E4-45BD-911B-B3CD1ABD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 Jonjelyn (HRSA)</dc:creator>
  <cp:lastModifiedBy>Gamble, Jonjelyn (HRSA)</cp:lastModifiedBy>
  <cp:revision>4</cp:revision>
  <dcterms:created xsi:type="dcterms:W3CDTF">2025-01-24T20:00:00Z</dcterms:created>
  <dcterms:modified xsi:type="dcterms:W3CDTF">2025-03-31T18:58:00Z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0x01010088CF7DC4C053C847BF40A2830BF69FD0</vt:lpwstr>
  </property>
  <property fmtid="{D5CDD505-2E9C-101B-9397-08002B2CF9AE}" pid="3" name="MediaServiceImageTags">
    <vt:lpwstr/>
  </property>
</Properties>
</file>