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FCE" w14:paraId="35243D73" w14:textId="77777777">
      <w:pPr>
        <w:pStyle w:val="Heading1"/>
        <w:spacing w:before="0" w:line="276" w:lineRule="auto"/>
        <w:ind w:left="0"/>
        <w:jc w:val="center"/>
      </w:pPr>
      <w:r>
        <w:t>SUPPORTING STATEMENT</w:t>
      </w:r>
    </w:p>
    <w:p w:rsidR="00155FCE" w14:paraId="4A5626F0" w14:textId="77777777">
      <w:pPr>
        <w:spacing w:line="276" w:lineRule="auto"/>
        <w:ind w:firstLine="14"/>
        <w:jc w:val="center"/>
        <w:rPr>
          <w:b/>
        </w:rPr>
      </w:pPr>
      <w:r>
        <w:rPr>
          <w:b/>
        </w:rPr>
        <w:t>U.S. Department of Commerce</w:t>
      </w:r>
    </w:p>
    <w:p w:rsidR="00155FCE" w14:paraId="6620ADEF" w14:textId="77777777">
      <w:pPr>
        <w:spacing w:line="276" w:lineRule="auto"/>
        <w:ind w:firstLine="14"/>
        <w:jc w:val="center"/>
        <w:rPr>
          <w:b/>
        </w:rPr>
      </w:pPr>
      <w:r>
        <w:rPr>
          <w:b/>
        </w:rPr>
        <w:t>National Oceanic &amp; Atmospheric Administration</w:t>
      </w:r>
    </w:p>
    <w:p w:rsidR="00155FCE" w14:paraId="0EBDA77B" w14:textId="77777777">
      <w:pPr>
        <w:spacing w:line="276" w:lineRule="auto"/>
        <w:ind w:hanging="6"/>
        <w:jc w:val="center"/>
        <w:rPr>
          <w:b/>
        </w:rPr>
      </w:pPr>
      <w:r>
        <w:rPr>
          <w:b/>
        </w:rPr>
        <w:t xml:space="preserve">Generic Clearance </w:t>
      </w:r>
      <w:r>
        <w:rPr>
          <w:b/>
        </w:rPr>
        <w:t>For</w:t>
      </w:r>
      <w:r>
        <w:rPr>
          <w:b/>
        </w:rPr>
        <w:t xml:space="preserve"> NOAA Social, Behavioral, and Economic Science Studies for Weather, Water, and Climate</w:t>
      </w:r>
    </w:p>
    <w:p w:rsidR="00155FCE" w14:paraId="1CCEE49D" w14:textId="77777777">
      <w:pPr>
        <w:spacing w:line="276" w:lineRule="auto"/>
        <w:ind w:hanging="6"/>
        <w:jc w:val="center"/>
        <w:rPr>
          <w:b/>
        </w:rPr>
      </w:pPr>
      <w:r>
        <w:rPr>
          <w:b/>
        </w:rPr>
        <w:t>NWS Risk Communication, Evaluation, and Feedback Surveys</w:t>
      </w:r>
    </w:p>
    <w:p w:rsidR="00155FCE" w14:paraId="48252716" w14:textId="77777777">
      <w:pPr>
        <w:spacing w:line="276" w:lineRule="auto"/>
        <w:ind w:hanging="6"/>
        <w:jc w:val="center"/>
        <w:rPr>
          <w:b/>
        </w:rPr>
      </w:pPr>
      <w:r>
        <w:rPr>
          <w:b/>
        </w:rPr>
        <w:t>OMB Control No. 0648-0830</w:t>
      </w:r>
    </w:p>
    <w:p w:rsidR="00155FCE" w14:paraId="54595ED8" w14:textId="77777777">
      <w:pPr>
        <w:pBdr>
          <w:top w:val="nil"/>
          <w:left w:val="nil"/>
          <w:bottom w:val="nil"/>
          <w:right w:val="nil"/>
          <w:between w:val="nil"/>
        </w:pBdr>
        <w:spacing w:before="1"/>
        <w:jc w:val="center"/>
        <w:rPr>
          <w:b/>
          <w:color w:val="000000"/>
        </w:rPr>
      </w:pPr>
    </w:p>
    <w:p w:rsidR="00155FCE" w14:paraId="039854DF" w14:textId="77777777">
      <w:pPr>
        <w:pStyle w:val="Heading1"/>
        <w:numPr>
          <w:ilvl w:val="0"/>
          <w:numId w:val="1"/>
        </w:numPr>
        <w:tabs>
          <w:tab w:val="left" w:pos="360"/>
        </w:tabs>
        <w:spacing w:before="197"/>
        <w:ind w:left="0" w:firstLine="0"/>
      </w:pPr>
      <w:r>
        <w:t xml:space="preserve">Explain the circumstances that make the collection of information necessary. Identify any legal or administrative requirements that necessitate the collection. </w:t>
      </w:r>
    </w:p>
    <w:p w:rsidR="00155FCE" w14:paraId="05FC9EAC" w14:textId="77777777">
      <w:pPr>
        <w:spacing w:before="161"/>
        <w:rPr>
          <w:b/>
        </w:rPr>
      </w:pPr>
      <w:r>
        <w:t xml:space="preserve">Section 1(b) of Executive Order 12862, “Setting Customer Service Standards,”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155FCE" w14:paraId="475FCDAD" w14:textId="77777777">
      <w:pPr>
        <w:spacing w:before="161"/>
        <w:rPr>
          <w:b/>
        </w:rPr>
      </w:pPr>
      <w:r>
        <w:t>In March 2018, the Administration of President Trump launched the President’s Management Agenda (PMA) and established new Cross-Agency Priority (CAP) Goals. 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w:t>
      </w:r>
      <w:r>
        <w:t xml:space="preserve"> strategic planning efforts. The PMA included a CAP Goal on Improving Customer Experience with Federal Services, with a primary strategy to drive improvements within 25 of the nation’s highest impact programs. This effort is supported by an interagency team and guidance in Circular A-11 requiring the collection of customer feedback data and increasing the use of industry best practices to conduct customer research.</w:t>
      </w:r>
    </w:p>
    <w:p w:rsidR="00155FCE" w14:paraId="41625198" w14:textId="77777777"/>
    <w:p w:rsidR="00155FCE" w14:paraId="73E115B3" w14:textId="77777777">
      <w:pPr>
        <w:rPr>
          <w:color w:val="4F81BD"/>
        </w:rPr>
      </w:pPr>
      <w:r>
        <w:t>This collection of information is necessary to enable the National Oceanic and Atmospheric Administration’s (NOAA) National Weather Service (NWS)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NWS’s products and services. This feedback will provide insights into cust</w:t>
      </w:r>
      <w:r>
        <w:t xml:space="preserve">omer or stakeholder perceptions, experiences, and expectations, provide an early indication of issues with service, or focus attention on areas where communication, training or changes in operations might improve delivery of products or services. </w:t>
      </w:r>
    </w:p>
    <w:p w:rsidR="00155FCE" w14:paraId="1D0A59EF"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155FCE" w14:paraId="3128DA80" w14:textId="77777777">
      <w:pPr>
        <w:spacing w:before="161"/>
      </w:pPr>
      <w:r>
        <w:t xml:space="preserve">NWS will collect, analyze, and interpret information gathered through these surveys to identify services’ accessibility, navigation, and use by customers, and make improvements in service delivery based on customer insights gathered through developing an understanding of the user experience interacting with the Government. For the purposes of this request, "customers" are individuals, businesses, and organizations that interact with a Federal Government agency or program, either directly or via a </w:t>
      </w:r>
      <w:r>
        <w:t>Federal</w:t>
      </w:r>
      <w:r>
        <w:t xml:space="preserve"> contractor.</w:t>
      </w:r>
    </w:p>
    <w:p w:rsidR="00155FCE" w14:paraId="07532E94" w14:textId="77777777"/>
    <w:p w:rsidR="00155FCE" w14:paraId="1D2EA195" w14:textId="77777777">
      <w:pPr>
        <w:widowControl/>
      </w:pPr>
      <w:r>
        <w:t xml:space="preserve">A link to the survey will be included in NWS public information statements, which are made available to the general public via </w:t>
      </w:r>
      <w:hyperlink r:id="rId6">
        <w:r>
          <w:rPr>
            <w:u w:val="single"/>
          </w:rPr>
          <w:t>NOAA Weather Wire Service</w:t>
        </w:r>
      </w:hyperlink>
      <w:r>
        <w:rPr>
          <w:u w:val="single"/>
          <w:vertAlign w:val="superscript"/>
        </w:rPr>
        <w:footnoteReference w:id="2"/>
      </w:r>
      <w:hyperlink r:id="rId6">
        <w:r>
          <w:rPr>
            <w:u w:val="single"/>
          </w:rPr>
          <w:t xml:space="preserve"> </w:t>
        </w:r>
      </w:hyperlink>
      <w:r>
        <w:t xml:space="preserve"> (NWWS), the </w:t>
      </w:r>
      <w:hyperlink r:id="rId7">
        <w:r>
          <w:rPr>
            <w:u w:val="single"/>
          </w:rPr>
          <w:t>Emergency Managers Weather Information Network</w:t>
        </w:r>
      </w:hyperlink>
      <w:r>
        <w:rPr>
          <w:vertAlign w:val="superscript"/>
        </w:rPr>
        <w:footnoteReference w:id="3"/>
      </w:r>
      <w:r>
        <w:t xml:space="preserve"> (EMWIN) and </w:t>
      </w:r>
      <w:hyperlink r:id="rId8">
        <w:r>
          <w:rPr>
            <w:u w:val="single"/>
          </w:rPr>
          <w:t>NOAAPort</w:t>
        </w:r>
      </w:hyperlink>
      <w:r>
        <w:rPr>
          <w:vertAlign w:val="superscript"/>
        </w:rPr>
        <w:footnoteReference w:id="4"/>
      </w:r>
      <w:r>
        <w:t>. In addition, the survey links are provided within written documentation of the NWS product/service being evaluated and adjacent to a product if it is displayed on the NWS webpage.  Announcements of the existence of the experimental product and the survey for feedback will be made at trade meetings/conferences, letters to known customer (group) contacts, and through contacts by NWS Warning Coordination Meteorologists (primary outreach staff at NWS field offices) with the general public.</w:t>
      </w:r>
    </w:p>
    <w:p w:rsidR="00155FCE" w14:paraId="20F9A55A" w14:textId="77777777">
      <w:pPr>
        <w:widowControl/>
      </w:pPr>
    </w:p>
    <w:p w:rsidR="00155FCE" w14:paraId="24492778" w14:textId="77777777">
      <w:pPr>
        <w:widowControl/>
      </w:pPr>
      <w:r>
        <w:t xml:space="preserve">The optional survey provides an avenue for customers to provide feedback (if they desire) on proposed new products and services or significant changes to current products and services. Survey questions will be a mixture of:  </w:t>
      </w:r>
    </w:p>
    <w:p w:rsidR="00155FCE" w14:paraId="257BDBCB" w14:textId="77777777"/>
    <w:p w:rsidR="00155FCE" w14:paraId="1BABD33D" w14:textId="77777777">
      <w:r>
        <w:t>1) “Quantitative Questions” seeks to obtain numerical ratings from respondents on their satisfaction with various aspects of the product or service they obtained – satisfaction with the quality of the product, the courtesy of the staff, the format of and documentation for data received, and similar standard types of questions. The offices using such questions are able to determine which aspects of their program need improvement, or have improved. The rating system is intended to aid the respondents in ident</w:t>
      </w:r>
      <w:r>
        <w:t xml:space="preserve">ifying their relative level of satisfaction in particular areas, and will not be used to establish numerical performance goals or as part of any complex statistical analyses. </w:t>
      </w:r>
    </w:p>
    <w:p w:rsidR="00155FCE" w14:paraId="29D3927E" w14:textId="77777777"/>
    <w:p w:rsidR="00155FCE" w14:paraId="34A7C29E" w14:textId="315565A1">
      <w:pPr>
        <w:rPr>
          <w:color w:val="000000"/>
        </w:rPr>
      </w:pPr>
      <w:r>
        <w:t>2)</w:t>
      </w:r>
      <w:r>
        <w:t xml:space="preserve"> “Qualitative Questions” are more focused on who is using the product and service, how it is being used, and the medium or format in which the respondent would like to see data provided. The respondent is also given an opportunity to make specific suggestions on what new products or services should be offered or on how existing products or services could be improved.</w:t>
      </w:r>
    </w:p>
    <w:p w:rsidR="00155FCE" w14:paraId="22E1EEE2" w14:textId="77777777">
      <w:pPr>
        <w:pBdr>
          <w:top w:val="nil"/>
          <w:left w:val="nil"/>
          <w:bottom w:val="nil"/>
          <w:right w:val="nil"/>
          <w:between w:val="nil"/>
        </w:pBdr>
        <w:spacing w:before="7"/>
        <w:rPr>
          <w:b/>
          <w:color w:val="000000"/>
        </w:rPr>
      </w:pPr>
    </w:p>
    <w:p w:rsidR="00155FCE" w14:paraId="50961284" w14:textId="77777777">
      <w:pPr>
        <w:pStyle w:val="Heading1"/>
        <w:numPr>
          <w:ilvl w:val="0"/>
          <w:numId w:val="1"/>
        </w:numPr>
        <w:tabs>
          <w:tab w:val="left" w:pos="360"/>
        </w:tabs>
        <w:spacing w:before="197"/>
        <w:ind w:left="0" w:firstLine="0"/>
      </w:pPr>
      <w:r>
        <w:t>Explain any decision to provide any payment or gift to respondents, other than remuneration of contractors or grantees.</w:t>
      </w:r>
    </w:p>
    <w:p w:rsidR="00155FCE" w14:paraId="2851378F" w14:textId="77777777">
      <w:pPr>
        <w:pStyle w:val="Heading1"/>
        <w:tabs>
          <w:tab w:val="left" w:pos="360"/>
        </w:tabs>
        <w:spacing w:before="197"/>
        <w:ind w:left="0"/>
        <w:rPr>
          <w:b w:val="0"/>
        </w:rPr>
      </w:pPr>
      <w:r>
        <w:rPr>
          <w:b w:val="0"/>
        </w:rPr>
        <w:t>No payments or gifts will be offered to respondents</w:t>
      </w:r>
    </w:p>
    <w:p w:rsidR="00155FCE" w14:paraId="4ECD281D" w14:textId="77777777">
      <w:pPr>
        <w:spacing w:line="259" w:lineRule="auto"/>
        <w:rPr>
          <w:color w:val="2F5496"/>
        </w:rPr>
        <w:sectPr>
          <w:footerReference w:type="default" r:id="rId9"/>
          <w:pgSz w:w="12240" w:h="15840"/>
          <w:pgMar w:top="640" w:right="1080" w:bottom="1200" w:left="1080" w:header="0" w:footer="714" w:gutter="0"/>
          <w:pgNumType w:start="1"/>
          <w:cols w:space="720"/>
        </w:sectPr>
      </w:pPr>
    </w:p>
    <w:p w:rsidR="00155FCE" w14:paraId="2F88BF19" w14:textId="77777777">
      <w:pPr>
        <w:spacing w:line="259" w:lineRule="auto"/>
        <w:rPr>
          <w:color w:val="2F5496"/>
        </w:rPr>
      </w:pPr>
    </w:p>
    <w:p w:rsidR="00155FCE" w14:paraId="2C17DE6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155FCE" w14:paraId="2ABBD15D" w14:textId="77777777">
      <w:pPr>
        <w:spacing w:line="259" w:lineRule="auto"/>
        <w:ind w:hanging="43"/>
        <w:jc w:val="center"/>
        <w:rPr>
          <w:b/>
          <w:color w:val="FF0000"/>
        </w:rPr>
      </w:pPr>
    </w:p>
    <w:tbl>
      <w:tblPr>
        <w:tblStyle w:val="a6"/>
        <w:tblW w:w="14415" w:type="dxa"/>
        <w:tblInd w:w="-140" w:type="dxa"/>
        <w:tblLayout w:type="fixed"/>
        <w:tblLook w:val="0400"/>
      </w:tblPr>
      <w:tblGrid>
        <w:gridCol w:w="3510"/>
        <w:gridCol w:w="1890"/>
        <w:gridCol w:w="1185"/>
        <w:gridCol w:w="1320"/>
        <w:gridCol w:w="1215"/>
        <w:gridCol w:w="1080"/>
        <w:gridCol w:w="1185"/>
        <w:gridCol w:w="1440"/>
        <w:gridCol w:w="1590"/>
      </w:tblGrid>
      <w:tr w14:paraId="092B1915" w14:textId="77777777">
        <w:tblPrEx>
          <w:tblW w:w="14415" w:type="dxa"/>
          <w:tblInd w:w="-140" w:type="dxa"/>
          <w:tblLayout w:type="fixed"/>
          <w:tblLook w:val="0400"/>
        </w:tblPrEx>
        <w:trPr>
          <w:trHeight w:val="1365"/>
        </w:trPr>
        <w:tc>
          <w:tcPr>
            <w:tcW w:w="35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155FCE" w14:paraId="025B9C4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155FCE" w14:paraId="0F86175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155FCE" w14:paraId="263976F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320" w:type="dxa"/>
            <w:tcBorders>
              <w:top w:val="single" w:sz="8" w:space="0" w:color="000000"/>
              <w:left w:val="nil"/>
              <w:bottom w:val="single" w:sz="8" w:space="0" w:color="000000"/>
              <w:right w:val="single" w:sz="8" w:space="0" w:color="000000"/>
            </w:tcBorders>
            <w:shd w:val="clear" w:color="auto" w:fill="BDD7EE"/>
            <w:vAlign w:val="center"/>
          </w:tcPr>
          <w:p w:rsidR="00155FCE" w14:paraId="05969C5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15" w:type="dxa"/>
            <w:tcBorders>
              <w:top w:val="single" w:sz="8" w:space="0" w:color="000000"/>
              <w:left w:val="nil"/>
              <w:bottom w:val="single" w:sz="8" w:space="0" w:color="000000"/>
              <w:right w:val="single" w:sz="8" w:space="0" w:color="000000"/>
            </w:tcBorders>
            <w:shd w:val="clear" w:color="auto" w:fill="BDD7EE"/>
            <w:vAlign w:val="center"/>
          </w:tcPr>
          <w:p w:rsidR="00155FCE" w14:paraId="7DF91DB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155FCE" w14:paraId="58F6847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155FCE" w14:paraId="0445D5D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155FCE" w14:paraId="0628E9C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590" w:type="dxa"/>
            <w:tcBorders>
              <w:top w:val="single" w:sz="8" w:space="0" w:color="000000"/>
              <w:left w:val="nil"/>
              <w:bottom w:val="single" w:sz="8" w:space="0" w:color="000000"/>
              <w:right w:val="single" w:sz="8" w:space="0" w:color="000000"/>
            </w:tcBorders>
            <w:shd w:val="clear" w:color="auto" w:fill="BDD7EE"/>
            <w:vAlign w:val="center"/>
          </w:tcPr>
          <w:p w:rsidR="00155FCE" w14:paraId="6A9C4C61" w14:textId="77777777">
            <w:pPr>
              <w:widowControl/>
              <w:ind w:right="-3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4CF44B53" w14:textId="77777777">
        <w:tblPrEx>
          <w:tblW w:w="14415" w:type="dxa"/>
          <w:tblInd w:w="-140"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bottom"/>
          </w:tcPr>
          <w:p w:rsidR="00155FCE" w14:paraId="556DE70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8"/>
                <w:szCs w:val="18"/>
              </w:rPr>
              <w:t>NWS Customer Survey for Official and Experimental Products/Services</w:t>
            </w:r>
          </w:p>
        </w:tc>
        <w:tc>
          <w:tcPr>
            <w:tcW w:w="1890" w:type="dxa"/>
            <w:tcBorders>
              <w:top w:val="nil"/>
              <w:left w:val="nil"/>
              <w:bottom w:val="single" w:sz="4" w:space="0" w:color="000000"/>
              <w:right w:val="single" w:sz="4" w:space="0" w:color="000000"/>
            </w:tcBorders>
            <w:shd w:val="clear" w:color="auto" w:fill="auto"/>
            <w:vAlign w:val="bottom"/>
          </w:tcPr>
          <w:p w:rsidR="00155FCE" w14:paraId="74461FA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NWS customers</w:t>
            </w:r>
          </w:p>
        </w:tc>
        <w:tc>
          <w:tcPr>
            <w:tcW w:w="1185" w:type="dxa"/>
            <w:tcBorders>
              <w:top w:val="nil"/>
              <w:left w:val="nil"/>
              <w:bottom w:val="single" w:sz="4" w:space="0" w:color="000000"/>
              <w:right w:val="single" w:sz="4" w:space="0" w:color="000000"/>
            </w:tcBorders>
            <w:shd w:val="clear" w:color="auto" w:fill="auto"/>
            <w:vAlign w:val="bottom"/>
          </w:tcPr>
          <w:p w:rsidR="00155FCE" w14:paraId="41388D5A" w14:textId="77777777">
            <w:pPr>
              <w:widowControl/>
              <w:jc w:val="center"/>
              <w:rPr>
                <w:rFonts w:ascii="Calibri" w:eastAsia="Calibri" w:hAnsi="Calibri" w:cs="Calibri"/>
                <w:color w:val="000000"/>
                <w:sz w:val="16"/>
                <w:szCs w:val="16"/>
              </w:rPr>
            </w:pPr>
            <w:r>
              <w:rPr>
                <w:rFonts w:ascii="Calibri" w:eastAsia="Calibri" w:hAnsi="Calibri" w:cs="Calibri"/>
                <w:sz w:val="16"/>
                <w:szCs w:val="16"/>
              </w:rPr>
              <w:t>3000</w:t>
            </w:r>
            <w:r>
              <w:rPr>
                <w:rFonts w:ascii="Calibri" w:eastAsia="Calibri" w:hAnsi="Calibri" w:cs="Calibri"/>
                <w:color w:val="000000"/>
                <w:sz w:val="16"/>
                <w:szCs w:val="16"/>
              </w:rPr>
              <w:t> </w:t>
            </w:r>
          </w:p>
        </w:tc>
        <w:tc>
          <w:tcPr>
            <w:tcW w:w="1320" w:type="dxa"/>
            <w:tcBorders>
              <w:top w:val="nil"/>
              <w:left w:val="nil"/>
              <w:bottom w:val="single" w:sz="4" w:space="0" w:color="000000"/>
              <w:right w:val="single" w:sz="4" w:space="0" w:color="000000"/>
            </w:tcBorders>
            <w:shd w:val="clear" w:color="auto" w:fill="auto"/>
            <w:vAlign w:val="bottom"/>
          </w:tcPr>
          <w:p w:rsidR="00155FCE" w14:paraId="31938725" w14:textId="77777777">
            <w:pPr>
              <w:widowControl/>
              <w:jc w:val="center"/>
              <w:rPr>
                <w:rFonts w:ascii="Calibri" w:eastAsia="Calibri" w:hAnsi="Calibri" w:cs="Calibri"/>
                <w:color w:val="000000"/>
                <w:sz w:val="16"/>
                <w:szCs w:val="16"/>
              </w:rPr>
            </w:pPr>
            <w:r>
              <w:rPr>
                <w:rFonts w:ascii="Calibri" w:eastAsia="Calibri" w:hAnsi="Calibri" w:cs="Calibri"/>
                <w:sz w:val="16"/>
                <w:szCs w:val="16"/>
              </w:rPr>
              <w:t>1</w:t>
            </w:r>
            <w:r>
              <w:rPr>
                <w:rFonts w:ascii="Calibri" w:eastAsia="Calibri" w:hAnsi="Calibri" w:cs="Calibri"/>
                <w:color w:val="000000"/>
                <w:sz w:val="16"/>
                <w:szCs w:val="16"/>
              </w:rPr>
              <w:t> </w:t>
            </w:r>
          </w:p>
        </w:tc>
        <w:tc>
          <w:tcPr>
            <w:tcW w:w="1215" w:type="dxa"/>
            <w:tcBorders>
              <w:top w:val="nil"/>
              <w:left w:val="nil"/>
              <w:bottom w:val="single" w:sz="4" w:space="0" w:color="000000"/>
              <w:right w:val="single" w:sz="4" w:space="0" w:color="000000"/>
            </w:tcBorders>
            <w:shd w:val="clear" w:color="auto" w:fill="auto"/>
            <w:vAlign w:val="bottom"/>
          </w:tcPr>
          <w:p w:rsidR="00155FCE" w14:paraId="03B45AEE" w14:textId="77777777">
            <w:pPr>
              <w:widowControl/>
              <w:jc w:val="center"/>
              <w:rPr>
                <w:rFonts w:ascii="Calibri" w:eastAsia="Calibri" w:hAnsi="Calibri" w:cs="Calibri"/>
                <w:color w:val="000000"/>
                <w:sz w:val="16"/>
                <w:szCs w:val="16"/>
              </w:rPr>
            </w:pPr>
            <w:r>
              <w:rPr>
                <w:rFonts w:ascii="Calibri" w:eastAsia="Calibri" w:hAnsi="Calibri" w:cs="Calibri"/>
                <w:sz w:val="16"/>
                <w:szCs w:val="16"/>
              </w:rPr>
              <w:t>3000</w:t>
            </w: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155FCE" w14:paraId="391110B0" w14:textId="77777777">
            <w:pPr>
              <w:widowControl/>
              <w:jc w:val="center"/>
              <w:rPr>
                <w:rFonts w:ascii="Calibri" w:eastAsia="Calibri" w:hAnsi="Calibri" w:cs="Calibri"/>
                <w:color w:val="000000"/>
                <w:sz w:val="16"/>
                <w:szCs w:val="16"/>
              </w:rPr>
            </w:pPr>
            <w:r>
              <w:rPr>
                <w:rFonts w:ascii="Calibri" w:eastAsia="Calibri" w:hAnsi="Calibri" w:cs="Calibri"/>
                <w:sz w:val="16"/>
                <w:szCs w:val="16"/>
              </w:rPr>
              <w:t>7 min</w:t>
            </w:r>
            <w:r>
              <w:rPr>
                <w:rFonts w:ascii="Calibri" w:eastAsia="Calibri" w:hAnsi="Calibri" w:cs="Calibri"/>
                <w:color w:val="000000"/>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rsidR="00155FCE" w14:paraId="5EB9FA9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 350 </w:t>
            </w:r>
            <w:r>
              <w:rPr>
                <w:rFonts w:ascii="Calibri" w:eastAsia="Calibri" w:hAnsi="Calibri" w:cs="Calibri"/>
                <w:color w:val="000000"/>
                <w:sz w:val="16"/>
                <w:szCs w:val="16"/>
              </w:rPr>
              <w:t>hrs</w:t>
            </w:r>
          </w:p>
        </w:tc>
        <w:tc>
          <w:tcPr>
            <w:tcW w:w="1440" w:type="dxa"/>
            <w:tcBorders>
              <w:top w:val="nil"/>
              <w:left w:val="nil"/>
              <w:bottom w:val="single" w:sz="4" w:space="0" w:color="000000"/>
              <w:right w:val="single" w:sz="4" w:space="0" w:color="000000"/>
            </w:tcBorders>
            <w:shd w:val="clear" w:color="auto" w:fill="auto"/>
            <w:vAlign w:val="bottom"/>
          </w:tcPr>
          <w:p w:rsidR="00155FCE" w14:paraId="1FCE633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$47.92</w:t>
            </w:r>
          </w:p>
        </w:tc>
        <w:tc>
          <w:tcPr>
            <w:tcW w:w="1590" w:type="dxa"/>
            <w:tcBorders>
              <w:top w:val="nil"/>
              <w:left w:val="nil"/>
              <w:bottom w:val="single" w:sz="4" w:space="0" w:color="000000"/>
              <w:right w:val="single" w:sz="8" w:space="0" w:color="000000"/>
            </w:tcBorders>
            <w:shd w:val="clear" w:color="auto" w:fill="auto"/>
            <w:vAlign w:val="bottom"/>
          </w:tcPr>
          <w:p w:rsidR="00155FCE" w14:paraId="4BC12D51" w14:textId="77777777">
            <w:pPr>
              <w:widowControl/>
              <w:jc w:val="center"/>
              <w:rPr>
                <w:rFonts w:ascii="Calibri" w:eastAsia="Calibri" w:hAnsi="Calibri" w:cs="Calibri"/>
                <w:color w:val="000000"/>
                <w:sz w:val="16"/>
                <w:szCs w:val="16"/>
              </w:rPr>
            </w:pPr>
            <w:r>
              <w:rPr>
                <w:rFonts w:ascii="Calibri" w:eastAsia="Calibri" w:hAnsi="Calibri" w:cs="Calibri"/>
                <w:sz w:val="16"/>
                <w:szCs w:val="16"/>
              </w:rPr>
              <w:t>$16,772</w:t>
            </w:r>
            <w:r>
              <w:rPr>
                <w:rFonts w:ascii="Calibri" w:eastAsia="Calibri" w:hAnsi="Calibri" w:cs="Calibri"/>
                <w:color w:val="000000"/>
                <w:sz w:val="16"/>
                <w:szCs w:val="16"/>
              </w:rPr>
              <w:t> </w:t>
            </w:r>
          </w:p>
        </w:tc>
      </w:tr>
      <w:tr w14:paraId="49FDF624" w14:textId="77777777">
        <w:tblPrEx>
          <w:tblW w:w="14415" w:type="dxa"/>
          <w:tblInd w:w="-140" w:type="dxa"/>
          <w:tblLayout w:type="fixed"/>
          <w:tblLook w:val="0400"/>
        </w:tblPrEx>
        <w:trPr>
          <w:trHeight w:val="615"/>
        </w:trPr>
        <w:tc>
          <w:tcPr>
            <w:tcW w:w="3510" w:type="dxa"/>
            <w:tcBorders>
              <w:top w:val="nil"/>
              <w:left w:val="single" w:sz="8" w:space="0" w:color="000000"/>
              <w:bottom w:val="single" w:sz="8" w:space="0" w:color="000000"/>
              <w:right w:val="single" w:sz="8" w:space="0" w:color="000000"/>
            </w:tcBorders>
            <w:shd w:val="clear" w:color="auto" w:fill="DDEBF7"/>
            <w:vAlign w:val="bottom"/>
          </w:tcPr>
          <w:p w:rsidR="00155FCE" w14:paraId="52FA9341" w14:textId="77777777">
            <w:pPr>
              <w:widowControl/>
              <w:rPr>
                <w:rFonts w:ascii="Calibri" w:eastAsia="Calibri" w:hAnsi="Calibri" w:cs="Calibri"/>
                <w:b/>
                <w:color w:val="000000"/>
              </w:rPr>
            </w:pPr>
            <w:r>
              <w:rPr>
                <w:rFonts w:ascii="Calibri" w:eastAsia="Calibri" w:hAnsi="Calibri" w:cs="Calibri"/>
                <w:b/>
                <w:color w:val="000000"/>
              </w:rPr>
              <w:t>Totals</w:t>
            </w:r>
          </w:p>
        </w:tc>
        <w:tc>
          <w:tcPr>
            <w:tcW w:w="1890" w:type="dxa"/>
            <w:tcBorders>
              <w:top w:val="nil"/>
              <w:left w:val="nil"/>
              <w:bottom w:val="single" w:sz="8" w:space="0" w:color="000000"/>
              <w:right w:val="single" w:sz="8" w:space="0" w:color="000000"/>
            </w:tcBorders>
            <w:shd w:val="clear" w:color="auto" w:fill="000000"/>
            <w:vAlign w:val="bottom"/>
          </w:tcPr>
          <w:p w:rsidR="00155FCE" w14:paraId="71F0183A" w14:textId="77777777">
            <w:pPr>
              <w:widowControl/>
              <w:rPr>
                <w:rFonts w:ascii="Calibri" w:eastAsia="Calibri" w:hAnsi="Calibri" w:cs="Calibri"/>
                <w:b/>
                <w:color w:val="000000"/>
              </w:rPr>
            </w:pPr>
            <w:r>
              <w:rPr>
                <w:rFonts w:ascii="Calibri" w:eastAsia="Calibri" w:hAnsi="Calibri" w:cs="Calibri"/>
                <w:b/>
                <w:color w:val="000000"/>
              </w:rPr>
              <w:t> </w:t>
            </w:r>
          </w:p>
        </w:tc>
        <w:tc>
          <w:tcPr>
            <w:tcW w:w="1185" w:type="dxa"/>
            <w:tcBorders>
              <w:top w:val="nil"/>
              <w:left w:val="nil"/>
              <w:bottom w:val="single" w:sz="8" w:space="0" w:color="000000"/>
              <w:right w:val="single" w:sz="8" w:space="0" w:color="000000"/>
            </w:tcBorders>
            <w:shd w:val="clear" w:color="auto" w:fill="000000"/>
            <w:vAlign w:val="bottom"/>
          </w:tcPr>
          <w:p w:rsidR="00155FCE" w14:paraId="22DE4D54" w14:textId="77777777">
            <w:pPr>
              <w:widowControl/>
              <w:rPr>
                <w:rFonts w:ascii="Calibri" w:eastAsia="Calibri" w:hAnsi="Calibri" w:cs="Calibri"/>
                <w:b/>
                <w:color w:val="000000"/>
              </w:rPr>
            </w:pPr>
            <w:r>
              <w:rPr>
                <w:rFonts w:ascii="Calibri" w:eastAsia="Calibri" w:hAnsi="Calibri" w:cs="Calibri"/>
                <w:b/>
                <w:color w:val="000000"/>
              </w:rPr>
              <w:t> </w:t>
            </w:r>
          </w:p>
        </w:tc>
        <w:tc>
          <w:tcPr>
            <w:tcW w:w="1320" w:type="dxa"/>
            <w:tcBorders>
              <w:top w:val="nil"/>
              <w:left w:val="nil"/>
              <w:bottom w:val="single" w:sz="8" w:space="0" w:color="000000"/>
              <w:right w:val="single" w:sz="8" w:space="0" w:color="000000"/>
            </w:tcBorders>
            <w:shd w:val="clear" w:color="auto" w:fill="000000"/>
            <w:vAlign w:val="bottom"/>
          </w:tcPr>
          <w:p w:rsidR="00155FCE" w14:paraId="4549447D" w14:textId="77777777">
            <w:pPr>
              <w:widowControl/>
              <w:rPr>
                <w:rFonts w:ascii="Calibri" w:eastAsia="Calibri" w:hAnsi="Calibri" w:cs="Calibri"/>
                <w:b/>
                <w:color w:val="000000"/>
              </w:rPr>
            </w:pPr>
            <w:r>
              <w:rPr>
                <w:rFonts w:ascii="Calibri" w:eastAsia="Calibri" w:hAnsi="Calibri" w:cs="Calibri"/>
                <w:b/>
                <w:color w:val="000000"/>
              </w:rPr>
              <w:t> </w:t>
            </w:r>
          </w:p>
        </w:tc>
        <w:tc>
          <w:tcPr>
            <w:tcW w:w="1215" w:type="dxa"/>
            <w:tcBorders>
              <w:top w:val="nil"/>
              <w:left w:val="nil"/>
              <w:bottom w:val="single" w:sz="8" w:space="0" w:color="000000"/>
              <w:right w:val="single" w:sz="8" w:space="0" w:color="000000"/>
            </w:tcBorders>
            <w:shd w:val="clear" w:color="auto" w:fill="DDEBF7"/>
            <w:vAlign w:val="bottom"/>
          </w:tcPr>
          <w:p w:rsidR="00155FCE" w14:paraId="26D5595C" w14:textId="77777777">
            <w:pPr>
              <w:widowControl/>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000000"/>
            <w:vAlign w:val="bottom"/>
          </w:tcPr>
          <w:p w:rsidR="00155FCE" w14:paraId="61D1F21D" w14:textId="77777777">
            <w:pPr>
              <w:widowControl/>
              <w:rPr>
                <w:rFonts w:ascii="Calibri" w:eastAsia="Calibri" w:hAnsi="Calibri" w:cs="Calibri"/>
                <w:b/>
                <w:color w:val="000000"/>
              </w:rPr>
            </w:pPr>
            <w:r>
              <w:rPr>
                <w:rFonts w:ascii="Calibri" w:eastAsia="Calibri" w:hAnsi="Calibri" w:cs="Calibri"/>
                <w:b/>
                <w:color w:val="000000"/>
              </w:rPr>
              <w:t> </w:t>
            </w:r>
          </w:p>
        </w:tc>
        <w:tc>
          <w:tcPr>
            <w:tcW w:w="1185" w:type="dxa"/>
            <w:tcBorders>
              <w:top w:val="nil"/>
              <w:left w:val="nil"/>
              <w:bottom w:val="single" w:sz="8" w:space="0" w:color="000000"/>
              <w:right w:val="single" w:sz="8" w:space="0" w:color="000000"/>
            </w:tcBorders>
            <w:shd w:val="clear" w:color="auto" w:fill="DDEBF7"/>
            <w:vAlign w:val="bottom"/>
          </w:tcPr>
          <w:p w:rsidR="00155FCE" w14:paraId="4E423E9E" w14:textId="77777777">
            <w:pPr>
              <w:widowControl/>
              <w:rPr>
                <w:rFonts w:ascii="Calibri" w:eastAsia="Calibri" w:hAnsi="Calibri" w:cs="Calibri"/>
                <w:b/>
                <w:color w:val="000000"/>
              </w:rPr>
            </w:pPr>
            <w:r>
              <w:rPr>
                <w:rFonts w:ascii="Calibri" w:eastAsia="Calibri" w:hAnsi="Calibri" w:cs="Calibri"/>
                <w:b/>
                <w:color w:val="000000"/>
              </w:rPr>
              <w:t> </w:t>
            </w:r>
          </w:p>
        </w:tc>
        <w:tc>
          <w:tcPr>
            <w:tcW w:w="1440" w:type="dxa"/>
            <w:tcBorders>
              <w:top w:val="nil"/>
              <w:left w:val="nil"/>
              <w:bottom w:val="single" w:sz="8" w:space="0" w:color="000000"/>
              <w:right w:val="single" w:sz="8" w:space="0" w:color="000000"/>
            </w:tcBorders>
            <w:shd w:val="clear" w:color="auto" w:fill="000000"/>
            <w:vAlign w:val="bottom"/>
          </w:tcPr>
          <w:p w:rsidR="00155FCE" w14:paraId="5E690572" w14:textId="77777777">
            <w:pPr>
              <w:widowControl/>
              <w:rPr>
                <w:rFonts w:ascii="Calibri" w:eastAsia="Calibri" w:hAnsi="Calibri" w:cs="Calibri"/>
                <w:b/>
                <w:color w:val="000000"/>
              </w:rPr>
            </w:pPr>
            <w:r>
              <w:rPr>
                <w:rFonts w:ascii="Calibri" w:eastAsia="Calibri" w:hAnsi="Calibri" w:cs="Calibri"/>
                <w:b/>
                <w:color w:val="000000"/>
              </w:rPr>
              <w:t> </w:t>
            </w:r>
          </w:p>
        </w:tc>
        <w:tc>
          <w:tcPr>
            <w:tcW w:w="1590" w:type="dxa"/>
            <w:tcBorders>
              <w:top w:val="nil"/>
              <w:left w:val="nil"/>
              <w:bottom w:val="single" w:sz="8" w:space="0" w:color="000000"/>
              <w:right w:val="single" w:sz="8" w:space="0" w:color="000000"/>
            </w:tcBorders>
            <w:shd w:val="clear" w:color="auto" w:fill="DDEBF7"/>
            <w:vAlign w:val="bottom"/>
          </w:tcPr>
          <w:p w:rsidR="00155FCE" w14:paraId="7E02BC47" w14:textId="77777777">
            <w:pPr>
              <w:widowControl/>
              <w:rPr>
                <w:rFonts w:ascii="Calibri" w:eastAsia="Calibri" w:hAnsi="Calibri" w:cs="Calibri"/>
                <w:b/>
                <w:color w:val="000000"/>
              </w:rPr>
            </w:pPr>
            <w:r>
              <w:rPr>
                <w:rFonts w:ascii="Calibri" w:eastAsia="Calibri" w:hAnsi="Calibri" w:cs="Calibri"/>
                <w:b/>
                <w:color w:val="000000"/>
              </w:rPr>
              <w:t> </w:t>
            </w:r>
          </w:p>
        </w:tc>
      </w:tr>
    </w:tbl>
    <w:p w:rsidR="00155FCE" w14:paraId="2ED890C8" w14:textId="77777777">
      <w:pPr>
        <w:spacing w:line="259" w:lineRule="auto"/>
        <w:rPr>
          <w:b/>
          <w:color w:val="FF0000"/>
        </w:rPr>
      </w:pPr>
    </w:p>
    <w:p w:rsidR="00155FCE" w14:paraId="453709FE" w14:textId="77777777">
      <w:pPr>
        <w:spacing w:line="259" w:lineRule="auto"/>
        <w:ind w:hanging="43"/>
        <w:rPr>
          <w:b/>
        </w:rPr>
        <w:sectPr>
          <w:pgSz w:w="15840" w:h="12240" w:orient="landscape"/>
          <w:pgMar w:top="640" w:right="1080" w:bottom="1200" w:left="1080" w:header="0" w:footer="714" w:gutter="0"/>
          <w:cols w:space="720"/>
        </w:sectPr>
      </w:pPr>
      <w:r>
        <w:t>These numbers assume the Type of Respondent is ‘Individuals/households’. As such, the Total Compensation Cost for Civilian Workers was used. (</w:t>
      </w:r>
      <w:hyperlink r:id="rId10">
        <w:r>
          <w:rPr>
            <w:color w:val="1155CC"/>
            <w:u w:val="single"/>
          </w:rPr>
          <w:t>https://www.bls.gov/news.release/ecec.t02.htm</w:t>
        </w:r>
      </w:hyperlink>
      <w:r>
        <w:rPr>
          <w:b/>
        </w:rPr>
        <w:t>)</w:t>
      </w:r>
    </w:p>
    <w:p w:rsidR="00155FCE" w14:paraId="6B873E19" w14:textId="77777777">
      <w:pPr>
        <w:spacing w:line="259" w:lineRule="auto"/>
        <w:ind w:hanging="43"/>
        <w:rPr>
          <w:b/>
          <w:highlight w:val="yellow"/>
        </w:rPr>
      </w:pPr>
    </w:p>
    <w:p w:rsidR="00155FCE" w14:paraId="3E662358"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w:t>
      </w:r>
    </w:p>
    <w:p w:rsidR="00155FCE" w14:paraId="6F66ADEC" w14:textId="77777777">
      <w:pPr>
        <w:pBdr>
          <w:top w:val="nil"/>
          <w:left w:val="nil"/>
          <w:bottom w:val="nil"/>
          <w:right w:val="nil"/>
          <w:between w:val="nil"/>
        </w:pBdr>
        <w:spacing w:before="9" w:after="1"/>
        <w:rPr>
          <w:b/>
          <w:color w:val="000000"/>
        </w:rPr>
      </w:pPr>
    </w:p>
    <w:tbl>
      <w:tblPr>
        <w:tblStyle w:val="a7"/>
        <w:tblW w:w="8240" w:type="dxa"/>
        <w:tblInd w:w="-140" w:type="dxa"/>
        <w:tblLayout w:type="fixed"/>
        <w:tblLook w:val="0400"/>
      </w:tblPr>
      <w:tblGrid>
        <w:gridCol w:w="2280"/>
        <w:gridCol w:w="1120"/>
        <w:gridCol w:w="1140"/>
        <w:gridCol w:w="1120"/>
        <w:gridCol w:w="1280"/>
        <w:gridCol w:w="1300"/>
      </w:tblGrid>
      <w:tr w14:paraId="2D2D2903" w14:textId="77777777">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155FCE" w14:paraId="512B377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155FCE" w14:paraId="01FB861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155FCE" w14:paraId="2954844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155FCE" w14:paraId="2A63D37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155FCE" w14:paraId="52B553A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155FCE" w14:paraId="11560C9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554A5E25" w14:textId="77777777">
        <w:tblPrEx>
          <w:tblW w:w="8240"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155FCE" w14:paraId="388B281D"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155FCE" w14:paraId="4D8EBA1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GS-14</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155FCE" w14:paraId="7785471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$211,703</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155FCE" w14:paraId="4F041AB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5</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155FCE" w14:paraId="6B809EB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155FCE" w14:paraId="4056997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$10,585</w:t>
            </w:r>
          </w:p>
        </w:tc>
      </w:tr>
      <w:tr w14:paraId="269ECC04" w14:textId="77777777">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155FCE" w14:paraId="210A8B3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155FCE" w14:paraId="2C8B3AF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GS-13</w:t>
            </w:r>
          </w:p>
        </w:tc>
        <w:tc>
          <w:tcPr>
            <w:tcW w:w="1140" w:type="dxa"/>
            <w:tcBorders>
              <w:top w:val="nil"/>
              <w:left w:val="nil"/>
              <w:bottom w:val="single" w:sz="4" w:space="0" w:color="000000"/>
              <w:right w:val="single" w:sz="4" w:space="0" w:color="000000"/>
            </w:tcBorders>
            <w:shd w:val="clear" w:color="auto" w:fill="auto"/>
            <w:vAlign w:val="bottom"/>
          </w:tcPr>
          <w:p w:rsidR="00155FCE" w14:paraId="7461A68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$179,153</w:t>
            </w:r>
          </w:p>
        </w:tc>
        <w:tc>
          <w:tcPr>
            <w:tcW w:w="1120" w:type="dxa"/>
            <w:tcBorders>
              <w:top w:val="nil"/>
              <w:left w:val="nil"/>
              <w:bottom w:val="single" w:sz="4" w:space="0" w:color="000000"/>
              <w:right w:val="single" w:sz="4" w:space="0" w:color="000000"/>
            </w:tcBorders>
            <w:shd w:val="clear" w:color="auto" w:fill="auto"/>
            <w:vAlign w:val="bottom"/>
          </w:tcPr>
          <w:p w:rsidR="00155FCE" w14:paraId="613DE3C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5</w:t>
            </w:r>
          </w:p>
        </w:tc>
        <w:tc>
          <w:tcPr>
            <w:tcW w:w="1280" w:type="dxa"/>
            <w:tcBorders>
              <w:top w:val="nil"/>
              <w:left w:val="nil"/>
              <w:bottom w:val="single" w:sz="4" w:space="0" w:color="000000"/>
              <w:right w:val="single" w:sz="4" w:space="0" w:color="000000"/>
            </w:tcBorders>
            <w:shd w:val="clear" w:color="auto" w:fill="808080"/>
            <w:vAlign w:val="bottom"/>
          </w:tcPr>
          <w:p w:rsidR="00155FCE" w14:paraId="1E59253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155FCE" w14:paraId="5CF463A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$8,958</w:t>
            </w:r>
          </w:p>
        </w:tc>
      </w:tr>
      <w:tr w14:paraId="2AF48198" w14:textId="77777777">
        <w:tblPrEx>
          <w:tblW w:w="824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155FCE" w14:paraId="35057598"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155FCE" w14:paraId="2D7D0E4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155FCE" w14:paraId="31998D4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155FCE" w14:paraId="6ACD2A8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155FCE" w14:paraId="5BE4E85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155FCE" w14:paraId="77B30C8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43403F21" w14:textId="77777777">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155FCE" w14:paraId="011C6316"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155FCE" w14:paraId="391205A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155FCE" w14:paraId="0370B10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155FCE" w14:paraId="1543AC5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155FCE" w14:paraId="6038315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155FCE" w14:paraId="66C8DFD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7321DEF6" w14:textId="77777777">
        <w:tblPrEx>
          <w:tblW w:w="8240" w:type="dxa"/>
          <w:tblInd w:w="-140" w:type="dxa"/>
          <w:tblLayout w:type="fixed"/>
          <w:tblLook w:val="0400"/>
        </w:tblPrEx>
        <w:trPr>
          <w:trHeight w:val="313"/>
        </w:trPr>
        <w:tc>
          <w:tcPr>
            <w:tcW w:w="2280" w:type="dxa"/>
            <w:tcBorders>
              <w:top w:val="nil"/>
              <w:left w:val="single" w:sz="8" w:space="0" w:color="000000"/>
              <w:bottom w:val="nil"/>
              <w:right w:val="single" w:sz="8" w:space="0" w:color="000000"/>
            </w:tcBorders>
            <w:shd w:val="clear" w:color="auto" w:fill="auto"/>
            <w:vAlign w:val="center"/>
          </w:tcPr>
          <w:p w:rsidR="00155FCE" w14:paraId="12C2B0C7"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155FCE" w14:paraId="5204895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155FCE" w14:paraId="1315167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155FCE" w14:paraId="2B0C6B0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155FCE" w14:paraId="1672355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155FCE" w14:paraId="36764AD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0295692D" w14:textId="77777777">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155FCE" w14:paraId="757380CB"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155FCE" w14:paraId="6B20EEA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155FCE" w14:paraId="6970165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155FCE" w14:paraId="0C16F9A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155FCE" w14:paraId="6875406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155FCE" w14:paraId="7534B87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$10,016</w:t>
            </w:r>
          </w:p>
        </w:tc>
      </w:tr>
    </w:tbl>
    <w:p w:rsidR="00155FCE" w14:paraId="38F0A2D0" w14:textId="77777777">
      <w:pPr>
        <w:pBdr>
          <w:top w:val="nil"/>
          <w:left w:val="nil"/>
          <w:bottom w:val="nil"/>
          <w:right w:val="nil"/>
          <w:between w:val="nil"/>
        </w:pBdr>
        <w:spacing w:before="9" w:after="1"/>
        <w:rPr>
          <w:b/>
          <w:color w:val="000000"/>
        </w:rPr>
      </w:pPr>
    </w:p>
    <w:p w:rsidR="00155FCE" w14:paraId="02A2D9A3" w14:textId="77777777">
      <w:pPr>
        <w:pBdr>
          <w:top w:val="nil"/>
          <w:left w:val="nil"/>
          <w:bottom w:val="nil"/>
          <w:right w:val="nil"/>
          <w:between w:val="nil"/>
        </w:pBdr>
        <w:spacing w:before="9" w:after="1"/>
        <w:rPr>
          <w:color w:val="000000"/>
        </w:rPr>
      </w:pPr>
      <w:r>
        <w:rPr>
          <w:color w:val="000000"/>
        </w:rPr>
        <w:t xml:space="preserve">The </w:t>
      </w:r>
      <w:hyperlink r:id="rId11">
        <w:r>
          <w:rPr>
            <w:color w:val="0000FF"/>
            <w:u w:val="single"/>
          </w:rPr>
          <w:t>General Schedule</w:t>
        </w:r>
      </w:hyperlink>
      <w:r>
        <w:rPr>
          <w:vertAlign w:val="superscript"/>
        </w:rPr>
        <w:footnoteReference w:id="5"/>
      </w:r>
      <w:r>
        <w:rPr>
          <w:color w:val="000000"/>
        </w:rPr>
        <w:t xml:space="preserve"> (GS) for the Rest of U.S. locality Step 5 was used to determine the base salary for the position(s).  The Rest of U.S. locality was used since NOAA employees are geographically dispersed.  A multiplier of 1.5 was applied to calculate the loaded salary.  The Level of Effort represents the estimated percentage of time an individual will spend on this collection (% of Effort = # of Hours spent on this collection / 2080 hours).</w:t>
      </w:r>
    </w:p>
    <w:p w:rsidR="00155FCE" w14:paraId="3C84050D" w14:textId="77777777">
      <w:pPr>
        <w:pBdr>
          <w:top w:val="nil"/>
          <w:left w:val="nil"/>
          <w:bottom w:val="nil"/>
          <w:right w:val="nil"/>
          <w:between w:val="nil"/>
        </w:pBdr>
        <w:spacing w:before="9" w:after="1"/>
        <w:rPr>
          <w:b/>
          <w:color w:val="000000"/>
        </w:rPr>
      </w:pPr>
    </w:p>
    <w:p w:rsidR="00155FCE" w14:paraId="2FC29E7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5FCE" w14:paraId="5846046F" w14:textId="77777777">
      <w:pPr>
        <w:pBdr>
          <w:top w:val="nil"/>
          <w:left w:val="nil"/>
          <w:bottom w:val="nil"/>
          <w:right w:val="nil"/>
          <w:between w:val="nil"/>
        </w:pBdr>
        <w:spacing w:before="160"/>
        <w:rPr>
          <w:color w:val="2F5496"/>
        </w:rPr>
      </w:pPr>
      <w:r>
        <w:t>No results from this data collection effort will be published. The NWS will not perform complex analytical techniques or develop statistics or reports on the results of this collection activity. These customer satisfaction surveys are solely for internal purposes and designed to provide feedback on proposals and changes to NWS products and services.</w:t>
      </w:r>
    </w:p>
    <w:p w:rsidR="00155FCE" w14:paraId="112501ED" w14:textId="77777777">
      <w:pPr>
        <w:spacing w:before="221" w:after="240" w:line="259" w:lineRule="auto"/>
        <w:jc w:val="both"/>
      </w:pPr>
      <w:r>
        <w:t>Checklist: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95"/>
        <w:gridCol w:w="990"/>
        <w:gridCol w:w="985"/>
      </w:tblGrid>
      <w:tr w14:paraId="2944A971" w14:textId="77777777">
        <w:tblPrEx>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095" w:type="dxa"/>
            <w:shd w:val="clear" w:color="auto" w:fill="000000"/>
          </w:tcPr>
          <w:p w:rsidR="00155FCE" w14:paraId="53C78E47" w14:textId="77777777">
            <w:pPr>
              <w:rPr>
                <w:rFonts w:ascii="Calibri" w:eastAsia="Calibri" w:hAnsi="Calibri" w:cs="Calibri"/>
                <w:sz w:val="22"/>
                <w:szCs w:val="22"/>
              </w:rPr>
            </w:pPr>
          </w:p>
        </w:tc>
        <w:tc>
          <w:tcPr>
            <w:tcW w:w="990" w:type="dxa"/>
          </w:tcPr>
          <w:p w:rsidR="00155FCE" w14:paraId="29AA27F0" w14:textId="77777777">
            <w:pPr>
              <w:jc w:val="center"/>
              <w:rPr>
                <w:rFonts w:ascii="Calibri" w:eastAsia="Calibri" w:hAnsi="Calibri" w:cs="Calibri"/>
                <w:b/>
                <w:sz w:val="22"/>
                <w:szCs w:val="22"/>
              </w:rPr>
            </w:pPr>
            <w:r>
              <w:rPr>
                <w:rFonts w:ascii="Calibri" w:eastAsia="Calibri" w:hAnsi="Calibri" w:cs="Calibri"/>
                <w:b/>
                <w:sz w:val="22"/>
                <w:szCs w:val="22"/>
              </w:rPr>
              <w:t>YES</w:t>
            </w:r>
          </w:p>
        </w:tc>
        <w:tc>
          <w:tcPr>
            <w:tcW w:w="985" w:type="dxa"/>
          </w:tcPr>
          <w:p w:rsidR="00155FCE" w14:paraId="7FCAFC79" w14:textId="77777777">
            <w:pPr>
              <w:jc w:val="center"/>
              <w:rPr>
                <w:rFonts w:ascii="Calibri" w:eastAsia="Calibri" w:hAnsi="Calibri" w:cs="Calibri"/>
                <w:b/>
                <w:sz w:val="22"/>
                <w:szCs w:val="22"/>
              </w:rPr>
            </w:pPr>
            <w:r>
              <w:rPr>
                <w:rFonts w:ascii="Calibri" w:eastAsia="Calibri" w:hAnsi="Calibri" w:cs="Calibri"/>
                <w:b/>
                <w:sz w:val="22"/>
                <w:szCs w:val="22"/>
              </w:rPr>
              <w:t>NO</w:t>
            </w:r>
          </w:p>
        </w:tc>
      </w:tr>
      <w:tr w14:paraId="0383FCEE" w14:textId="77777777">
        <w:tblPrEx>
          <w:tblW w:w="10070" w:type="dxa"/>
          <w:tblLayout w:type="fixed"/>
          <w:tblLook w:val="0400"/>
        </w:tblPrEx>
        <w:tc>
          <w:tcPr>
            <w:tcW w:w="8095" w:type="dxa"/>
          </w:tcPr>
          <w:p w:rsidR="00155FCE" w14:paraId="4A2514B7" w14:textId="77777777">
            <w:pPr>
              <w:spacing w:before="60" w:after="60"/>
              <w:rPr>
                <w:rFonts w:ascii="Calibri" w:eastAsia="Calibri" w:hAnsi="Calibri" w:cs="Calibri"/>
                <w:sz w:val="22"/>
                <w:szCs w:val="22"/>
              </w:rPr>
            </w:pPr>
            <w:r>
              <w:rPr>
                <w:rFonts w:ascii="Calibri" w:eastAsia="Calibri" w:hAnsi="Calibri" w:cs="Calibri"/>
                <w:sz w:val="22"/>
                <w:szCs w:val="22"/>
              </w:rPr>
              <w:t>Do the collection instrument(s) (e.g., form, script) contain the OMB Control Number (</w:t>
            </w:r>
            <w:r>
              <w:rPr>
                <w:rFonts w:ascii="Calibri" w:eastAsia="Calibri" w:hAnsi="Calibri" w:cs="Calibri"/>
                <w:b/>
                <w:sz w:val="22"/>
                <w:szCs w:val="22"/>
              </w:rPr>
              <w:t>0648-0830</w:t>
            </w:r>
            <w:r>
              <w:rPr>
                <w:rFonts w:ascii="Calibri" w:eastAsia="Calibri" w:hAnsi="Calibri" w:cs="Calibri"/>
                <w:sz w:val="22"/>
                <w:szCs w:val="22"/>
              </w:rPr>
              <w:t>) and Expiration Date (</w:t>
            </w:r>
            <w:r>
              <w:rPr>
                <w:rFonts w:ascii="Calibri" w:eastAsia="Calibri" w:hAnsi="Calibri" w:cs="Calibri"/>
                <w:b/>
                <w:sz w:val="22"/>
                <w:szCs w:val="22"/>
              </w:rPr>
              <w:t>6/30/2028</w:t>
            </w:r>
            <w:r>
              <w:rPr>
                <w:rFonts w:ascii="Calibri" w:eastAsia="Calibri" w:hAnsi="Calibri" w:cs="Calibri"/>
                <w:sz w:val="22"/>
                <w:szCs w:val="22"/>
              </w:rPr>
              <w:t>) on the first page?</w:t>
            </w:r>
          </w:p>
        </w:tc>
        <w:tc>
          <w:tcPr>
            <w:tcW w:w="990" w:type="dxa"/>
          </w:tcPr>
          <w:p w:rsidR="00155FCE" w14:paraId="0B9880F5" w14:textId="77777777">
            <w:pPr>
              <w:jc w:val="center"/>
              <w:rPr>
                <w:rFonts w:ascii="Calibri" w:eastAsia="Calibri" w:hAnsi="Calibri" w:cs="Calibri"/>
                <w:sz w:val="22"/>
                <w:szCs w:val="22"/>
              </w:rPr>
            </w:pPr>
            <w:r>
              <w:rPr>
                <w:rFonts w:ascii="Calibri" w:eastAsia="Calibri" w:hAnsi="Calibri" w:cs="Calibri"/>
                <w:sz w:val="22"/>
                <w:szCs w:val="22"/>
              </w:rPr>
              <w:t>X</w:t>
            </w:r>
          </w:p>
        </w:tc>
        <w:tc>
          <w:tcPr>
            <w:tcW w:w="985" w:type="dxa"/>
          </w:tcPr>
          <w:p w:rsidR="00155FCE" w14:paraId="7497EDA0" w14:textId="77777777">
            <w:pPr>
              <w:jc w:val="center"/>
              <w:rPr>
                <w:rFonts w:ascii="Calibri" w:eastAsia="Calibri" w:hAnsi="Calibri" w:cs="Calibri"/>
                <w:sz w:val="22"/>
                <w:szCs w:val="22"/>
              </w:rPr>
            </w:pPr>
          </w:p>
        </w:tc>
      </w:tr>
      <w:tr w14:paraId="599916B0" w14:textId="77777777">
        <w:tblPrEx>
          <w:tblW w:w="10070" w:type="dxa"/>
          <w:tblLayout w:type="fixed"/>
          <w:tblLook w:val="0400"/>
        </w:tblPrEx>
        <w:tc>
          <w:tcPr>
            <w:tcW w:w="8095" w:type="dxa"/>
          </w:tcPr>
          <w:p w:rsidR="00155FCE" w14:paraId="798AD5DA" w14:textId="77777777">
            <w:pPr>
              <w:spacing w:before="60" w:after="60"/>
              <w:rPr>
                <w:rFonts w:ascii="Calibri" w:eastAsia="Calibri" w:hAnsi="Calibri" w:cs="Calibri"/>
                <w:sz w:val="22"/>
                <w:szCs w:val="22"/>
              </w:rPr>
            </w:pPr>
            <w:r>
              <w:rPr>
                <w:rFonts w:ascii="Calibri" w:eastAsia="Calibri" w:hAnsi="Calibri" w:cs="Calibri"/>
                <w:sz w:val="22"/>
                <w:szCs w:val="22"/>
              </w:rPr>
              <w:t xml:space="preserve">Do the collection instrument(s) contain a </w:t>
            </w:r>
            <w:r>
              <w:rPr>
                <w:rFonts w:ascii="Calibri" w:eastAsia="Calibri" w:hAnsi="Calibri" w:cs="Calibri"/>
                <w:b/>
                <w:sz w:val="22"/>
                <w:szCs w:val="22"/>
              </w:rPr>
              <w:t>PRA Burden Statement</w:t>
            </w:r>
            <w:r>
              <w:rPr>
                <w:rFonts w:ascii="Calibri" w:eastAsia="Calibri" w:hAnsi="Calibri" w:cs="Calibri"/>
                <w:sz w:val="22"/>
                <w:szCs w:val="22"/>
              </w:rPr>
              <w:t>?</w:t>
            </w:r>
          </w:p>
        </w:tc>
        <w:tc>
          <w:tcPr>
            <w:tcW w:w="990" w:type="dxa"/>
          </w:tcPr>
          <w:p w:rsidR="00155FCE" w14:paraId="5E3B1084" w14:textId="77777777">
            <w:pPr>
              <w:jc w:val="center"/>
              <w:rPr>
                <w:rFonts w:ascii="Calibri" w:eastAsia="Calibri" w:hAnsi="Calibri" w:cs="Calibri"/>
                <w:sz w:val="22"/>
                <w:szCs w:val="22"/>
              </w:rPr>
            </w:pPr>
            <w:r>
              <w:rPr>
                <w:rFonts w:ascii="Calibri" w:eastAsia="Calibri" w:hAnsi="Calibri" w:cs="Calibri"/>
                <w:sz w:val="22"/>
                <w:szCs w:val="22"/>
              </w:rPr>
              <w:t>X</w:t>
            </w:r>
          </w:p>
        </w:tc>
        <w:tc>
          <w:tcPr>
            <w:tcW w:w="985" w:type="dxa"/>
          </w:tcPr>
          <w:p w:rsidR="00155FCE" w14:paraId="1AF58FC4" w14:textId="77777777">
            <w:pPr>
              <w:jc w:val="center"/>
              <w:rPr>
                <w:rFonts w:ascii="Calibri" w:eastAsia="Calibri" w:hAnsi="Calibri" w:cs="Calibri"/>
                <w:sz w:val="22"/>
                <w:szCs w:val="22"/>
              </w:rPr>
            </w:pPr>
          </w:p>
        </w:tc>
      </w:tr>
      <w:tr w14:paraId="14E9EC84" w14:textId="77777777">
        <w:tblPrEx>
          <w:tblW w:w="10070" w:type="dxa"/>
          <w:tblLayout w:type="fixed"/>
          <w:tblLook w:val="0400"/>
        </w:tblPrEx>
        <w:tc>
          <w:tcPr>
            <w:tcW w:w="8095" w:type="dxa"/>
          </w:tcPr>
          <w:p w:rsidR="00155FCE" w14:paraId="61083886" w14:textId="77777777">
            <w:pPr>
              <w:spacing w:before="60" w:after="60"/>
              <w:rPr>
                <w:rFonts w:ascii="Calibri" w:eastAsia="Calibri" w:hAnsi="Calibri" w:cs="Calibri"/>
                <w:sz w:val="22"/>
                <w:szCs w:val="22"/>
              </w:rPr>
            </w:pPr>
            <w:r>
              <w:rPr>
                <w:rFonts w:ascii="Calibri" w:eastAsia="Calibri" w:hAnsi="Calibri" w:cs="Calibri"/>
                <w:sz w:val="22"/>
                <w:szCs w:val="22"/>
              </w:rPr>
              <w:t xml:space="preserve">Does this collection collect </w:t>
            </w:r>
            <w:r>
              <w:rPr>
                <w:rFonts w:ascii="Calibri" w:eastAsia="Calibri" w:hAnsi="Calibri" w:cs="Calibri"/>
                <w:b/>
                <w:sz w:val="22"/>
                <w:szCs w:val="22"/>
              </w:rPr>
              <w:t>PII</w:t>
            </w:r>
            <w:r>
              <w:rPr>
                <w:rFonts w:ascii="Calibri" w:eastAsia="Calibri" w:hAnsi="Calibri" w:cs="Calibri"/>
                <w:sz w:val="22"/>
                <w:szCs w:val="22"/>
              </w:rPr>
              <w:t xml:space="preserve"> (including names or email addresses)?</w:t>
            </w:r>
          </w:p>
        </w:tc>
        <w:tc>
          <w:tcPr>
            <w:tcW w:w="990" w:type="dxa"/>
          </w:tcPr>
          <w:p w:rsidR="00155FCE" w14:paraId="136D5DAD" w14:textId="77777777">
            <w:pPr>
              <w:jc w:val="center"/>
              <w:rPr>
                <w:rFonts w:ascii="Calibri" w:eastAsia="Calibri" w:hAnsi="Calibri" w:cs="Calibri"/>
                <w:sz w:val="22"/>
                <w:szCs w:val="22"/>
              </w:rPr>
            </w:pPr>
          </w:p>
        </w:tc>
        <w:tc>
          <w:tcPr>
            <w:tcW w:w="985" w:type="dxa"/>
          </w:tcPr>
          <w:p w:rsidR="00155FCE" w14:paraId="65AF6606" w14:textId="77777777">
            <w:pPr>
              <w:jc w:val="center"/>
              <w:rPr>
                <w:rFonts w:ascii="Calibri" w:eastAsia="Calibri" w:hAnsi="Calibri" w:cs="Calibri"/>
                <w:sz w:val="22"/>
                <w:szCs w:val="22"/>
              </w:rPr>
            </w:pPr>
            <w:r>
              <w:rPr>
                <w:rFonts w:ascii="Calibri" w:eastAsia="Calibri" w:hAnsi="Calibri" w:cs="Calibri"/>
                <w:sz w:val="22"/>
                <w:szCs w:val="22"/>
              </w:rPr>
              <w:t>X</w:t>
            </w:r>
          </w:p>
        </w:tc>
      </w:tr>
      <w:tr w14:paraId="09EFEB0A" w14:textId="77777777">
        <w:tblPrEx>
          <w:tblW w:w="10070" w:type="dxa"/>
          <w:tblLayout w:type="fixed"/>
          <w:tblLook w:val="0400"/>
        </w:tblPrEx>
        <w:tc>
          <w:tcPr>
            <w:tcW w:w="8095" w:type="dxa"/>
            <w:tcBorders>
              <w:bottom w:val="single" w:sz="4" w:space="0" w:color="000000"/>
            </w:tcBorders>
          </w:tcPr>
          <w:p w:rsidR="00155FCE" w14:paraId="6D2352DA" w14:textId="77777777">
            <w:pPr>
              <w:spacing w:before="60" w:after="60"/>
              <w:rPr>
                <w:rFonts w:ascii="Calibri" w:eastAsia="Calibri" w:hAnsi="Calibri" w:cs="Calibri"/>
                <w:sz w:val="22"/>
                <w:szCs w:val="22"/>
              </w:rPr>
            </w:pPr>
            <w:r>
              <w:rPr>
                <w:rFonts w:ascii="Calibri" w:eastAsia="Calibri" w:hAnsi="Calibri" w:cs="Calibri"/>
                <w:sz w:val="22"/>
                <w:szCs w:val="22"/>
              </w:rPr>
              <w:t>Will responses from an individual be retrieved by the respondent’s name or some other identifier specifically linked to that individual?</w:t>
            </w:r>
          </w:p>
        </w:tc>
        <w:tc>
          <w:tcPr>
            <w:tcW w:w="990" w:type="dxa"/>
            <w:tcBorders>
              <w:bottom w:val="single" w:sz="4" w:space="0" w:color="000000"/>
            </w:tcBorders>
          </w:tcPr>
          <w:p w:rsidR="00155FCE" w14:paraId="7F2E594C" w14:textId="77777777">
            <w:pPr>
              <w:jc w:val="center"/>
              <w:rPr>
                <w:rFonts w:ascii="Calibri" w:eastAsia="Calibri" w:hAnsi="Calibri" w:cs="Calibri"/>
                <w:sz w:val="22"/>
                <w:szCs w:val="22"/>
              </w:rPr>
            </w:pPr>
          </w:p>
        </w:tc>
        <w:tc>
          <w:tcPr>
            <w:tcW w:w="985" w:type="dxa"/>
            <w:tcBorders>
              <w:bottom w:val="single" w:sz="4" w:space="0" w:color="000000"/>
            </w:tcBorders>
          </w:tcPr>
          <w:p w:rsidR="00155FCE" w14:paraId="3024AC3A" w14:textId="77777777">
            <w:pPr>
              <w:jc w:val="center"/>
              <w:rPr>
                <w:rFonts w:ascii="Calibri" w:eastAsia="Calibri" w:hAnsi="Calibri" w:cs="Calibri"/>
                <w:sz w:val="22"/>
                <w:szCs w:val="22"/>
              </w:rPr>
            </w:pPr>
            <w:r>
              <w:rPr>
                <w:rFonts w:ascii="Calibri" w:eastAsia="Calibri" w:hAnsi="Calibri" w:cs="Calibri"/>
                <w:sz w:val="22"/>
                <w:szCs w:val="22"/>
              </w:rPr>
              <w:t>X</w:t>
            </w:r>
          </w:p>
        </w:tc>
      </w:tr>
      <w:tr w14:paraId="57F8BCA7" w14:textId="77777777">
        <w:tblPrEx>
          <w:tblW w:w="10070" w:type="dxa"/>
          <w:tblLayout w:type="fixed"/>
          <w:tblLook w:val="0400"/>
        </w:tblPrEx>
        <w:tc>
          <w:tcPr>
            <w:tcW w:w="8095" w:type="dxa"/>
            <w:tcBorders>
              <w:bottom w:val="single" w:sz="4" w:space="0" w:color="000000"/>
            </w:tcBorders>
          </w:tcPr>
          <w:p w:rsidR="00155FCE" w14:paraId="54189A6D" w14:textId="77777777">
            <w:pPr>
              <w:spacing w:before="60" w:after="60"/>
              <w:rPr>
                <w:rFonts w:ascii="Calibri" w:eastAsia="Calibri" w:hAnsi="Calibri" w:cs="Calibri"/>
                <w:sz w:val="22"/>
                <w:szCs w:val="22"/>
              </w:rPr>
            </w:pPr>
            <w:r>
              <w:rPr>
                <w:rFonts w:ascii="Calibri" w:eastAsia="Calibri" w:hAnsi="Calibri" w:cs="Calibri"/>
                <w:sz w:val="22"/>
                <w:szCs w:val="22"/>
              </w:rPr>
              <w:t xml:space="preserve">Do the collection instrument(s) contain a </w:t>
            </w:r>
            <w:r>
              <w:rPr>
                <w:rFonts w:ascii="Calibri" w:eastAsia="Calibri" w:hAnsi="Calibri" w:cs="Calibri"/>
                <w:b/>
                <w:sz w:val="22"/>
                <w:szCs w:val="22"/>
              </w:rPr>
              <w:t>Privacy Act Statement</w:t>
            </w:r>
            <w:r>
              <w:rPr>
                <w:rFonts w:ascii="Calibri" w:eastAsia="Calibri" w:hAnsi="Calibri" w:cs="Calibri"/>
                <w:sz w:val="22"/>
                <w:szCs w:val="22"/>
              </w:rPr>
              <w:t xml:space="preserve"> (PAS)?  (required if collecting PII)</w:t>
            </w:r>
          </w:p>
        </w:tc>
        <w:tc>
          <w:tcPr>
            <w:tcW w:w="990" w:type="dxa"/>
            <w:tcBorders>
              <w:bottom w:val="single" w:sz="4" w:space="0" w:color="000000"/>
            </w:tcBorders>
          </w:tcPr>
          <w:p w:rsidR="00155FCE" w14:paraId="4EE91F7D" w14:textId="77777777">
            <w:pPr>
              <w:jc w:val="center"/>
              <w:rPr>
                <w:rFonts w:ascii="Calibri" w:eastAsia="Calibri" w:hAnsi="Calibri" w:cs="Calibri"/>
                <w:sz w:val="22"/>
                <w:szCs w:val="22"/>
              </w:rPr>
            </w:pPr>
          </w:p>
        </w:tc>
        <w:tc>
          <w:tcPr>
            <w:tcW w:w="985" w:type="dxa"/>
            <w:tcBorders>
              <w:bottom w:val="single" w:sz="4" w:space="0" w:color="000000"/>
            </w:tcBorders>
          </w:tcPr>
          <w:p w:rsidR="00155FCE" w14:paraId="6069DAB8" w14:textId="77777777">
            <w:pPr>
              <w:jc w:val="center"/>
              <w:rPr>
                <w:rFonts w:ascii="Calibri" w:eastAsia="Calibri" w:hAnsi="Calibri" w:cs="Calibri"/>
                <w:sz w:val="22"/>
                <w:szCs w:val="22"/>
              </w:rPr>
            </w:pPr>
            <w:r>
              <w:rPr>
                <w:rFonts w:ascii="Calibri" w:eastAsia="Calibri" w:hAnsi="Calibri" w:cs="Calibri"/>
                <w:sz w:val="22"/>
                <w:szCs w:val="22"/>
              </w:rPr>
              <w:t>X</w:t>
            </w:r>
          </w:p>
        </w:tc>
      </w:tr>
    </w:tbl>
    <w:p w:rsidR="00155FCE" w14:paraId="7C6A3D83" w14:textId="77777777">
      <w:pPr>
        <w:spacing w:before="221" w:line="259" w:lineRule="auto"/>
        <w:jc w:val="both"/>
      </w:pPr>
    </w:p>
    <w:p w:rsidR="00155FCE" w14:paraId="12C6CB8B" w14:textId="77777777">
      <w:pPr>
        <w:spacing w:before="221" w:line="259" w:lineRule="auto"/>
        <w:jc w:val="both"/>
        <w:rPr>
          <w:rFonts w:ascii="Calibri" w:eastAsia="Calibri" w:hAnsi="Calibri" w:cs="Calibri"/>
          <w:b/>
          <w:sz w:val="22"/>
          <w:szCs w:val="22"/>
        </w:rPr>
      </w:pPr>
      <w:r>
        <w:rPr>
          <w:rFonts w:ascii="Calibri" w:eastAsia="Calibri" w:hAnsi="Calibri" w:cs="Calibri"/>
          <w:b/>
          <w:sz w:val="22"/>
          <w:szCs w:val="22"/>
        </w:rPr>
        <w:t>PRA Burden Statement for forms:</w:t>
      </w:r>
    </w:p>
    <w:p w:rsidR="00155FCE" w14:paraId="6F7B5E32" w14:textId="77777777">
      <w:pPr>
        <w:spacing w:before="221" w:line="259" w:lineRule="auto"/>
        <w:rPr>
          <w:rFonts w:ascii="Calibri" w:eastAsia="Calibri" w:hAnsi="Calibri" w:cs="Calibri"/>
          <w:sz w:val="22"/>
          <w:szCs w:val="22"/>
        </w:rPr>
      </w:pPr>
      <w:r>
        <w:rPr>
          <w:rFonts w:ascii="Calibri" w:eastAsia="Calibri" w:hAnsi="Calibri" w:cs="Calibri"/>
          <w:sz w:val="22"/>
          <w:szCs w:val="22"/>
        </w:rPr>
        <w:t>We estimate that completing this feedback survey will take 7 minutes on average. Send comments regarding this burden estimate or any other aspect of this collection of information, including suggestions for reducing this burden, to NOAA, (nws.products@noaa.gov). This collection has been approved by the Office of Management and Budget (OMB). The eight-digit OMB approval number that appears at the upper right of the form or login screen confirms this approval. If this number were not displayed, we could not c</w:t>
      </w:r>
      <w:r>
        <w:rPr>
          <w:rFonts w:ascii="Calibri" w:eastAsia="Calibri" w:hAnsi="Calibri" w:cs="Calibri"/>
          <w:sz w:val="22"/>
          <w:szCs w:val="22"/>
        </w:rPr>
        <w:t>onduct this survey.</w:t>
      </w:r>
    </w:p>
    <w:p w:rsidR="00155FCE" w14:paraId="6AD9A809" w14:textId="77777777">
      <w:pPr>
        <w:spacing w:before="221" w:line="259" w:lineRule="auto"/>
        <w:rPr>
          <w:rFonts w:ascii="Calibri" w:eastAsia="Calibri" w:hAnsi="Calibri" w:cs="Calibri"/>
          <w:sz w:val="22"/>
          <w:szCs w:val="22"/>
        </w:rPr>
      </w:pPr>
    </w:p>
    <w:p w:rsidR="00155FCE" w14:paraId="3B10557C" w14:textId="77777777">
      <w:pPr>
        <w:spacing w:before="60" w:after="60"/>
        <w:rPr>
          <w:rFonts w:ascii="Calibri" w:eastAsia="Calibri" w:hAnsi="Calibri" w:cs="Calibri"/>
          <w:b/>
          <w:sz w:val="22"/>
          <w:szCs w:val="22"/>
        </w:rPr>
      </w:pPr>
      <w:r>
        <w:rPr>
          <w:rFonts w:ascii="Calibri" w:eastAsia="Calibri" w:hAnsi="Calibri" w:cs="Calibri"/>
          <w:b/>
          <w:sz w:val="22"/>
          <w:szCs w:val="22"/>
        </w:rPr>
        <w:t>Privacy Act Statement (must be included on forms if PII is collected):</w:t>
      </w:r>
    </w:p>
    <w:p w:rsidR="00155FCE" w14:paraId="7CAC4564" w14:textId="77777777">
      <w:pPr>
        <w:spacing w:before="60" w:after="60"/>
        <w:rPr>
          <w:rFonts w:ascii="Calibri" w:eastAsia="Calibri" w:hAnsi="Calibri" w:cs="Calibri"/>
          <w:sz w:val="22"/>
          <w:szCs w:val="22"/>
        </w:rPr>
      </w:pPr>
      <w:r>
        <w:rPr>
          <w:rFonts w:ascii="Calibri" w:eastAsia="Calibri" w:hAnsi="Calibri" w:cs="Calibri"/>
          <w:b/>
          <w:sz w:val="22"/>
          <w:szCs w:val="22"/>
        </w:rPr>
        <w:t>Authority:</w:t>
      </w:r>
      <w:r>
        <w:rPr>
          <w:rFonts w:ascii="Calibri" w:eastAsia="Calibri" w:hAnsi="Calibri" w:cs="Calibri"/>
          <w:sz w:val="22"/>
          <w:szCs w:val="22"/>
        </w:rPr>
        <w:t xml:space="preserve">  The collection of this information is authorized under 5 U.S.C. § 301, Departmental regulations which </w:t>
      </w:r>
      <w:r>
        <w:rPr>
          <w:rFonts w:ascii="Calibri" w:eastAsia="Calibri" w:hAnsi="Calibri" w:cs="Calibri"/>
          <w:color w:val="222222"/>
          <w:sz w:val="22"/>
          <w:szCs w:val="22"/>
        </w:rPr>
        <w:t xml:space="preserve">authorizes the operations of an executive agency, including the creation, custodianship, maintenance and distribution of records, and </w:t>
      </w:r>
      <w:r>
        <w:rPr>
          <w:rFonts w:ascii="Calibri" w:eastAsia="Calibri" w:hAnsi="Calibri" w:cs="Calibri"/>
          <w:sz w:val="22"/>
          <w:szCs w:val="22"/>
        </w:rPr>
        <w:t>15 U.S.C. 1512, Powers and duties of Department.</w:t>
      </w:r>
    </w:p>
    <w:p w:rsidR="00155FCE" w14:paraId="77EF1B3D" w14:textId="77777777">
      <w:pPr>
        <w:spacing w:before="60" w:after="60"/>
        <w:rPr>
          <w:rFonts w:ascii="Calibri" w:eastAsia="Calibri" w:hAnsi="Calibri" w:cs="Calibri"/>
          <w:sz w:val="22"/>
          <w:szCs w:val="22"/>
        </w:rPr>
      </w:pPr>
      <w:r>
        <w:rPr>
          <w:rFonts w:ascii="Calibri" w:eastAsia="Calibri" w:hAnsi="Calibri" w:cs="Calibri"/>
          <w:b/>
          <w:sz w:val="22"/>
          <w:szCs w:val="22"/>
        </w:rPr>
        <w:t>Purpose:</w:t>
      </w:r>
      <w:r>
        <w:rPr>
          <w:rFonts w:ascii="Calibri" w:eastAsia="Calibri" w:hAnsi="Calibri" w:cs="Calibri"/>
          <w:sz w:val="22"/>
          <w:szCs w:val="22"/>
        </w:rPr>
        <w:t xml:space="preserve">  NOAA collects limited information, such as name, address, phone number, or email address for a variety of purposes.  This information will be used to respond to user inquiries or provide services requested by the user. </w:t>
      </w:r>
    </w:p>
    <w:p w:rsidR="00155FCE" w14:paraId="2AF4F490" w14:textId="77777777">
      <w:pPr>
        <w:spacing w:before="60" w:after="60"/>
        <w:rPr>
          <w:rFonts w:ascii="Calibri" w:eastAsia="Calibri" w:hAnsi="Calibri" w:cs="Calibri"/>
          <w:sz w:val="22"/>
          <w:szCs w:val="22"/>
        </w:rPr>
      </w:pPr>
      <w:r>
        <w:rPr>
          <w:rFonts w:ascii="Calibri" w:eastAsia="Calibri" w:hAnsi="Calibri" w:cs="Calibri"/>
          <w:b/>
          <w:sz w:val="22"/>
          <w:szCs w:val="22"/>
        </w:rPr>
        <w:t xml:space="preserve">Routine Uses: </w:t>
      </w:r>
      <w:r>
        <w:rPr>
          <w:rFonts w:ascii="Calibri" w:eastAsia="Calibri" w:hAnsi="Calibri" w:cs="Calibri"/>
          <w:sz w:val="22"/>
          <w:szCs w:val="22"/>
        </w:rPr>
        <w:t xml:space="preserve"> </w:t>
      </w:r>
      <w:r>
        <w:rPr>
          <w:rFonts w:ascii="Calibri" w:eastAsia="Calibri" w:hAnsi="Calibri" w:cs="Calibri"/>
          <w:color w:val="000000"/>
          <w:sz w:val="22"/>
          <w:szCs w:val="22"/>
        </w:rPr>
        <w:t>Disclosure of this information is permitted under the Privacy Act of 1974 (5 U.S.C. Section 552a</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to be shared among Department staff for work-related purposes.  Disclosure of this information is also subject to all of the published routine uses as identified in the Privacy Act System of Records Notice </w:t>
      </w:r>
      <w:r>
        <w:rPr>
          <w:rFonts w:ascii="Calibri" w:eastAsia="Calibri" w:hAnsi="Calibri" w:cs="Calibri"/>
          <w:color w:val="0000FF"/>
          <w:sz w:val="22"/>
          <w:szCs w:val="22"/>
        </w:rPr>
        <w:t>COMMERCE/NOAA-11</w:t>
      </w:r>
      <w:r>
        <w:rPr>
          <w:rFonts w:ascii="Calibri" w:eastAsia="Calibri" w:hAnsi="Calibri" w:cs="Calibri"/>
          <w:color w:val="000000"/>
          <w:sz w:val="22"/>
          <w:szCs w:val="22"/>
        </w:rPr>
        <w:t>, Contact Information for Members of the Public Requesting or Providing Information Related to NOAA’s Mission</w:t>
      </w:r>
      <w:r>
        <w:rPr>
          <w:rFonts w:ascii="Calibri" w:eastAsia="Calibri" w:hAnsi="Calibri" w:cs="Calibri"/>
          <w:color w:val="303030"/>
          <w:sz w:val="22"/>
          <w:szCs w:val="22"/>
          <w:highlight w:val="white"/>
        </w:rPr>
        <w:t>.</w:t>
      </w:r>
    </w:p>
    <w:p w:rsidR="00155FCE" w14:paraId="12570677" w14:textId="77777777">
      <w:pPr>
        <w:spacing w:before="60" w:after="60"/>
        <w:rPr>
          <w:rFonts w:ascii="Calibri" w:eastAsia="Calibri" w:hAnsi="Calibri" w:cs="Calibri"/>
          <w:sz w:val="22"/>
          <w:szCs w:val="22"/>
        </w:rPr>
      </w:pPr>
      <w:r>
        <w:rPr>
          <w:rFonts w:ascii="Calibri" w:eastAsia="Calibri" w:hAnsi="Calibri" w:cs="Calibri"/>
          <w:b/>
          <w:sz w:val="22"/>
          <w:szCs w:val="22"/>
        </w:rPr>
        <w:t xml:space="preserve">Disclosure: </w:t>
      </w:r>
      <w:r>
        <w:rPr>
          <w:rFonts w:ascii="Calibri" w:eastAsia="Calibri" w:hAnsi="Calibri" w:cs="Calibri"/>
          <w:sz w:val="22"/>
          <w:szCs w:val="22"/>
        </w:rPr>
        <w:t xml:space="preserve">  Furnishing this information is voluntary.  By providing this information, you are consenting to the use of that information only for the purpose for which it is submitted.</w:t>
      </w:r>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FCE" w14:paraId="15D8C7C9"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71F6" w14:paraId="1FC9118E" w14:textId="77777777">
      <w:r>
        <w:separator/>
      </w:r>
    </w:p>
  </w:footnote>
  <w:footnote w:type="continuationSeparator" w:id="1">
    <w:p w:rsidR="00F971F6" w14:paraId="181493FA" w14:textId="77777777">
      <w:r>
        <w:continuationSeparator/>
      </w:r>
    </w:p>
  </w:footnote>
  <w:footnote w:id="2">
    <w:p w:rsidR="00155FCE" w14:paraId="3EDCC0BE" w14:textId="77777777">
      <w:pPr>
        <w:rPr>
          <w:sz w:val="20"/>
          <w:szCs w:val="20"/>
        </w:rPr>
      </w:pPr>
      <w:r>
        <w:rPr>
          <w:vertAlign w:val="superscript"/>
        </w:rPr>
        <w:footnoteRef/>
      </w:r>
      <w:r>
        <w:rPr>
          <w:sz w:val="20"/>
          <w:szCs w:val="20"/>
        </w:rPr>
        <w:t xml:space="preserve"> https://www.weather.gov/nwws/</w:t>
      </w:r>
    </w:p>
  </w:footnote>
  <w:footnote w:id="3">
    <w:p w:rsidR="00155FCE" w14:paraId="35DB1F74" w14:textId="77777777">
      <w:pPr>
        <w:rPr>
          <w:sz w:val="20"/>
          <w:szCs w:val="20"/>
        </w:rPr>
      </w:pPr>
      <w:r>
        <w:rPr>
          <w:vertAlign w:val="superscript"/>
        </w:rPr>
        <w:footnoteRef/>
      </w:r>
      <w:r>
        <w:rPr>
          <w:sz w:val="20"/>
          <w:szCs w:val="20"/>
        </w:rPr>
        <w:t xml:space="preserve"> https://www.weather.gov/emwin/</w:t>
      </w:r>
    </w:p>
  </w:footnote>
  <w:footnote w:id="4">
    <w:p w:rsidR="00155FCE" w14:paraId="3252643B" w14:textId="77777777">
      <w:pPr>
        <w:rPr>
          <w:sz w:val="20"/>
          <w:szCs w:val="20"/>
        </w:rPr>
      </w:pPr>
      <w:r>
        <w:rPr>
          <w:vertAlign w:val="superscript"/>
        </w:rPr>
        <w:footnoteRef/>
      </w:r>
      <w:r>
        <w:rPr>
          <w:sz w:val="20"/>
          <w:szCs w:val="20"/>
        </w:rPr>
        <w:t xml:space="preserve"> https://www.weather.gov/noaaport/</w:t>
      </w:r>
    </w:p>
  </w:footnote>
  <w:footnote w:id="5">
    <w:p w:rsidR="00155FCE" w14:paraId="1DDC0307" w14:textId="77777777">
      <w:pPr>
        <w:rPr>
          <w:sz w:val="20"/>
          <w:szCs w:val="20"/>
        </w:rPr>
      </w:pPr>
      <w:r>
        <w:rPr>
          <w:vertAlign w:val="superscript"/>
        </w:rPr>
        <w:footnoteRef/>
      </w:r>
      <w:r>
        <w:rPr>
          <w:sz w:val="20"/>
          <w:szCs w:val="20"/>
        </w:rPr>
        <w:t xml:space="preserve"> https://www.opm.gov/policy-data-oversight/pay-leave/salaries-wages/salary-tables/pdf/2025/RUS.pdf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043DF9"/>
    <w:multiLevelType w:val="multilevel"/>
    <w:tmpl w:val="5CDE3E6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16cid:durableId="97926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CE"/>
    <w:rsid w:val="00032EBA"/>
    <w:rsid w:val="00155FCE"/>
    <w:rsid w:val="00CD35EB"/>
    <w:rsid w:val="00F971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89FE3"/>
  <w15:docId w15:val="{D04A0905-C35B-4FE3-8849-3C4AA163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0">
    <w:name w:val="TableNormal_0"/>
    <w:tblPr>
      <w:tblCellMar>
        <w:top w:w="0" w:type="dxa"/>
        <w:left w:w="0" w:type="dxa"/>
        <w:bottom w:w="0" w:type="dxa"/>
        <w:right w:w="0" w:type="dxa"/>
      </w:tblCellMar>
    </w:tbl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6671C6"/>
    <w:rPr>
      <w:color w:val="605E5C"/>
      <w:shd w:val="clear" w:color="auto" w:fill="E1DFDD"/>
    </w:rPr>
  </w:style>
  <w:style w:type="table" w:styleId="TableGrid">
    <w:name w:val="Table Grid"/>
    <w:basedOn w:val="TableNormal"/>
    <w:uiPriority w:val="39"/>
    <w:rsid w:val="00372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t02.htm" TargetMode="External" /><Relationship Id="rId11" Type="http://schemas.openxmlformats.org/officeDocument/2006/relationships/hyperlink" Target="https://www.opm.gov/policy-data-oversight/pay-leave/salaries-wages/salary-tables/pdf/2025/RUS.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ws.noaa.gov/nwws/" TargetMode="External" /><Relationship Id="rId7" Type="http://schemas.openxmlformats.org/officeDocument/2006/relationships/hyperlink" Target="http://www.nws.noaa.gov/emwin/index.pdf" TargetMode="External" /><Relationship Id="rId8" Type="http://schemas.openxmlformats.org/officeDocument/2006/relationships/hyperlink" Target="http://www.nws.noaa.gov/noaaport/html/noaaport.s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3zB/qEpGme1V8al3wlpNWTivw==">CgMxLjA4AHIhMWNQSVpQdnlxeG5BZ2QwSTZZdm9peWVDMDllOF9yc3B0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1564</Words>
  <Characters>8918</Characters>
  <Application>Microsoft Office Word</Application>
  <DocSecurity>0</DocSecurity>
  <Lines>74</Lines>
  <Paragraphs>20</Paragraphs>
  <ScaleCrop>false</ScaleCrop>
  <Company>NOAA 1200 CORPSRV</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2025-07-24T18:50:00Z</dcterms:created>
  <dcterms:modified xsi:type="dcterms:W3CDTF">2025-07-24T18:56:00Z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