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F2813" w14:paraId="2ABD3626" w14:textId="77777777">
      <w:pPr>
        <w:pStyle w:val="BodyText"/>
        <w:spacing w:before="3"/>
        <w:ind w:left="0"/>
        <w:rPr>
          <w:b/>
          <w:sz w:val="31"/>
        </w:rPr>
      </w:pPr>
    </w:p>
    <w:p w:rsidR="00717E03" w:rsidP="00717E03" w14:paraId="41D5F18C" w14:textId="0A24A202">
      <w:pPr>
        <w:pStyle w:val="BodyText"/>
        <w:spacing w:before="3"/>
        <w:ind w:left="0"/>
        <w:jc w:val="center"/>
        <w:rPr>
          <w:b/>
        </w:rPr>
      </w:pPr>
      <w:r>
        <w:rPr>
          <w:b/>
        </w:rPr>
        <w:t>SUPPORTING STATEMENT PART A</w:t>
      </w:r>
    </w:p>
    <w:p w:rsidR="00717E03" w:rsidP="00717E03" w14:paraId="6D7257BB" w14:textId="4A33BBEC">
      <w:pPr>
        <w:pStyle w:val="BodyText"/>
        <w:spacing w:before="3"/>
        <w:ind w:left="0"/>
        <w:jc w:val="center"/>
        <w:rPr>
          <w:b/>
        </w:rPr>
      </w:pPr>
      <w:r>
        <w:rPr>
          <w:b/>
        </w:rPr>
        <w:t>U.S. Department of Commerce</w:t>
      </w:r>
    </w:p>
    <w:p w:rsidR="00717E03" w:rsidP="00717E03" w14:paraId="1D581D3F" w14:textId="2A612846">
      <w:pPr>
        <w:pStyle w:val="BodyText"/>
        <w:spacing w:before="3"/>
        <w:ind w:left="0"/>
        <w:jc w:val="center"/>
        <w:rPr>
          <w:b/>
        </w:rPr>
      </w:pPr>
      <w:r>
        <w:rPr>
          <w:b/>
        </w:rPr>
        <w:t>Economic Development Administration</w:t>
      </w:r>
    </w:p>
    <w:p w:rsidR="00717E03" w:rsidP="00717E03" w14:paraId="4080406E" w14:textId="2ADD8360">
      <w:pPr>
        <w:pStyle w:val="BodyText"/>
        <w:spacing w:before="3"/>
        <w:ind w:left="0"/>
        <w:jc w:val="center"/>
        <w:rPr>
          <w:b/>
        </w:rPr>
      </w:pPr>
      <w:r>
        <w:rPr>
          <w:b/>
        </w:rPr>
        <w:t>EDA Regional Economic Development Collection Instrument</w:t>
      </w:r>
    </w:p>
    <w:p w:rsidR="00717E03" w:rsidRPr="00717E03" w:rsidP="00717E03" w14:paraId="6D3BE94A" w14:textId="0732E6DA">
      <w:pPr>
        <w:pStyle w:val="BodyText"/>
        <w:spacing w:before="3"/>
        <w:ind w:left="0"/>
        <w:jc w:val="center"/>
        <w:rPr>
          <w:b/>
        </w:rPr>
      </w:pPr>
      <w:r>
        <w:rPr>
          <w:b/>
        </w:rPr>
        <w:t>OMB Control No. 0610-0113</w:t>
      </w:r>
    </w:p>
    <w:p w:rsidR="008F2813" w14:paraId="5DDD68EA" w14:textId="77777777">
      <w:pPr>
        <w:pStyle w:val="Heading1"/>
        <w:spacing w:before="199"/>
        <w:ind w:left="120"/>
      </w:pPr>
      <w:r>
        <w:t>Abstract</w:t>
      </w:r>
    </w:p>
    <w:p w:rsidR="00322FE1" w14:paraId="33E3BCE5" w14:textId="54F9B3F9">
      <w:pPr>
        <w:pStyle w:val="Heading1"/>
        <w:spacing w:before="199"/>
        <w:ind w:left="120"/>
        <w:rPr>
          <w:b w:val="0"/>
          <w:bCs w:val="0"/>
        </w:rPr>
      </w:pPr>
      <w:r>
        <w:rPr>
          <w:b w:val="0"/>
          <w:bCs w:val="0"/>
        </w:rPr>
        <w:t>EDA</w:t>
      </w:r>
      <w:r w:rsidRPr="00322FE1">
        <w:rPr>
          <w:b w:val="0"/>
          <w:bCs w:val="0"/>
        </w:rPr>
        <w:t xml:space="preserve"> leads the Federal economic development agenda by promoting innovation and competitiveness and preparing American regions for growth and success in the worldwide economy.</w:t>
      </w:r>
      <w:r>
        <w:rPr>
          <w:b w:val="0"/>
          <w:bCs w:val="0"/>
        </w:rPr>
        <w:t xml:space="preserve"> </w:t>
      </w:r>
      <w:r w:rsidRPr="00322FE1">
        <w:rPr>
          <w:b w:val="0"/>
          <w:bCs w:val="0"/>
        </w:rPr>
        <w:t xml:space="preserve">Section 28 of the Stevenson-Wydler Technology Innovation Act of 1980 (Regional Technology and Innovation Hub Program (15 U.S.C. §3722a) is the legal authority under which EDA awards financial assistance and designee status under the Fiscal Year (FY) 23 Regional Technology and Innovation Hub Program (“Tech Hubs”). </w:t>
      </w:r>
    </w:p>
    <w:p w:rsidR="00717E03" w14:paraId="5E0F8A13" w14:textId="5E42632E">
      <w:pPr>
        <w:pStyle w:val="Heading1"/>
        <w:spacing w:before="199"/>
        <w:ind w:left="120"/>
        <w:rPr>
          <w:b w:val="0"/>
          <w:bCs w:val="0"/>
        </w:rPr>
      </w:pPr>
      <w:r w:rsidRPr="00322FE1">
        <w:rPr>
          <w:b w:val="0"/>
          <w:bCs w:val="0"/>
        </w:rPr>
        <w:t>Under Tech Hubs, EDA seeks to strengthen U.S. economic and national security through place-based investments in regions with the assets, resources, capacity, and potential to become globally competitive, within approximately ten years, in the technologies and industries of the future - and for those industries, companies, and the good jobs they create to start, grow, and remain in the U.S. in order to support the growth and modernization of U.S. manufacturing, improve commercialization of the domestic production of innovative research, and strengthen U.S. economic and national security.</w:t>
      </w:r>
    </w:p>
    <w:p w:rsidR="00322FE1" w:rsidRPr="00322FE1" w:rsidP="00322FE1" w14:paraId="1166392E" w14:textId="260B1001">
      <w:pPr>
        <w:pStyle w:val="Heading1"/>
        <w:spacing w:before="199"/>
        <w:ind w:left="120"/>
        <w:rPr>
          <w:b w:val="0"/>
          <w:bCs w:val="0"/>
        </w:rPr>
      </w:pPr>
      <w:r w:rsidRPr="00322FE1">
        <w:rPr>
          <w:b w:val="0"/>
          <w:bCs w:val="0"/>
        </w:rPr>
        <w:t xml:space="preserve">The purpose of this </w:t>
      </w:r>
      <w:r>
        <w:rPr>
          <w:b w:val="0"/>
          <w:bCs w:val="0"/>
        </w:rPr>
        <w:t xml:space="preserve">data collection is to </w:t>
      </w:r>
      <w:r w:rsidRPr="00322FE1">
        <w:rPr>
          <w:b w:val="0"/>
          <w:bCs w:val="0"/>
        </w:rPr>
        <w:t>help ensure that Tech Hub investments are evidence-based, data driven, and accountable to participants and the public. Lead consortium members of the 31 designated Tech Hubs will submit identified program metrics and qualitative information to help assess specific program objectives. A semi-annual questionnaire will be sent to each of the Tech Hubs consortium leads which will gather the relevant data and stories for each of the 31 Tech Hubs designee consortia, resulting in consortia regional impact evaluation, resources, and tools for regional economic development decision-makers.</w:t>
      </w:r>
    </w:p>
    <w:p w:rsidR="008F2813" w:rsidP="00A83E32" w14:paraId="5BDE3EC0" w14:textId="69E8078B">
      <w:pPr>
        <w:pStyle w:val="Heading1"/>
        <w:spacing w:before="125"/>
        <w:ind w:left="120"/>
      </w:pPr>
      <w:r>
        <w:t>Justification</w:t>
      </w:r>
    </w:p>
    <w:p w:rsidR="008F2813" w14:paraId="781A23B6" w14:textId="77777777">
      <w:pPr>
        <w:pStyle w:val="ListParagraph"/>
        <w:numPr>
          <w:ilvl w:val="0"/>
          <w:numId w:val="7"/>
        </w:numPr>
        <w:tabs>
          <w:tab w:val="left" w:pos="389"/>
        </w:tabs>
        <w:spacing w:before="182" w:line="259" w:lineRule="auto"/>
        <w:ind w:right="336" w:firstLine="0"/>
        <w:jc w:val="left"/>
        <w:rPr>
          <w:b/>
          <w:sz w:val="24"/>
        </w:rPr>
      </w:pPr>
      <w:r>
        <w:rPr>
          <w:b/>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17E03" w:rsidRPr="00A83E32" w:rsidP="00717E03" w14:paraId="7B2BCC94" w14:textId="77777777">
      <w:pPr>
        <w:pStyle w:val="Heading1"/>
        <w:spacing w:before="125"/>
        <w:ind w:left="120"/>
        <w:rPr>
          <w:b w:val="0"/>
          <w:bCs w:val="0"/>
          <w:szCs w:val="22"/>
        </w:rPr>
      </w:pPr>
      <w:r w:rsidRPr="00A83E32">
        <w:rPr>
          <w:b w:val="0"/>
          <w:bCs w:val="0"/>
          <w:szCs w:val="22"/>
        </w:rPr>
        <w:t xml:space="preserve">To effectively administer and monitor its economic development assistance programs, EDA collects certain information from applications for, and recipients of, EDA investment assistance. Under the EDA Regional Technology and Innovation Hub Program, award recipients are required to submit identified program metrics and information to ensure that EDA regional development investments are evidence-based and data-driven, and accountable to participants and the public.  </w:t>
      </w:r>
    </w:p>
    <w:p w:rsidR="00717E03" w:rsidRPr="00A83E32" w:rsidP="00717E03" w14:paraId="5A5455F5" w14:textId="2DAD6066">
      <w:pPr>
        <w:pStyle w:val="Heading1"/>
        <w:spacing w:before="125"/>
        <w:ind w:left="120"/>
        <w:rPr>
          <w:b w:val="0"/>
          <w:bCs w:val="0"/>
          <w:szCs w:val="22"/>
        </w:rPr>
      </w:pPr>
      <w:r w:rsidRPr="00A83E32">
        <w:rPr>
          <w:b w:val="0"/>
          <w:bCs w:val="0"/>
          <w:szCs w:val="22"/>
        </w:rPr>
        <w:t>EDA require</w:t>
      </w:r>
      <w:r>
        <w:rPr>
          <w:b w:val="0"/>
          <w:bCs w:val="0"/>
          <w:szCs w:val="22"/>
        </w:rPr>
        <w:t>s</w:t>
      </w:r>
      <w:r w:rsidRPr="00A83E32">
        <w:rPr>
          <w:b w:val="0"/>
          <w:bCs w:val="0"/>
          <w:szCs w:val="22"/>
        </w:rPr>
        <w:t xml:space="preserve"> information from the 31 Designated Tech Hubs recipients also known as the consortia leads. This collection instrument will provide more granular information on </w:t>
      </w:r>
      <w:r>
        <w:rPr>
          <w:b w:val="0"/>
          <w:bCs w:val="0"/>
          <w:szCs w:val="22"/>
        </w:rPr>
        <w:t>respondent’s progress towards the program goal to strengthen</w:t>
      </w:r>
      <w:r w:rsidRPr="00717E03">
        <w:rPr>
          <w:b w:val="0"/>
          <w:bCs w:val="0"/>
          <w:szCs w:val="22"/>
        </w:rPr>
        <w:t xml:space="preserve"> U.S. economic and national security with investments in regions across the country with assets and resources with the potential to become globally competitive in the technologies and industries of the future—and for those industries, companies, and the good jobs they create, to start, grow, and remain in the United States.</w:t>
      </w:r>
      <w:r w:rsidRPr="00A83E32">
        <w:rPr>
          <w:b w:val="0"/>
          <w:bCs w:val="0"/>
          <w:szCs w:val="22"/>
        </w:rPr>
        <w:t xml:space="preserve">  </w:t>
      </w:r>
    </w:p>
    <w:p w:rsidR="00717E03" w:rsidRPr="00A83E32" w:rsidP="00717E03" w14:paraId="70726C25" w14:textId="3AB34410">
      <w:pPr>
        <w:pStyle w:val="Heading1"/>
        <w:spacing w:before="125"/>
        <w:ind w:left="120"/>
        <w:rPr>
          <w:b w:val="0"/>
          <w:bCs w:val="0"/>
          <w:szCs w:val="22"/>
        </w:rPr>
      </w:pPr>
      <w:r w:rsidRPr="00A83E32">
        <w:rPr>
          <w:b w:val="0"/>
          <w:bCs w:val="0"/>
          <w:szCs w:val="22"/>
        </w:rPr>
        <w:t xml:space="preserve">Tech Hubs Designees will submit data </w:t>
      </w:r>
      <w:r>
        <w:rPr>
          <w:b w:val="0"/>
          <w:bCs w:val="0"/>
          <w:szCs w:val="22"/>
        </w:rPr>
        <w:t>on a semi-annual basis</w:t>
      </w:r>
      <w:r w:rsidRPr="00A83E32">
        <w:rPr>
          <w:b w:val="0"/>
          <w:bCs w:val="0"/>
          <w:szCs w:val="22"/>
        </w:rPr>
        <w:t xml:space="preserve"> to better understand </w:t>
      </w:r>
      <w:r>
        <w:rPr>
          <w:b w:val="0"/>
          <w:bCs w:val="0"/>
          <w:szCs w:val="22"/>
        </w:rPr>
        <w:t xml:space="preserve">project progress, meet reporting requirements of the program, and track how EDA funding supports regional </w:t>
      </w:r>
      <w:r>
        <w:rPr>
          <w:b w:val="0"/>
          <w:bCs w:val="0"/>
          <w:szCs w:val="22"/>
        </w:rPr>
        <w:t xml:space="preserve">development. </w:t>
      </w:r>
      <w:r w:rsidRPr="00A83E32">
        <w:rPr>
          <w:b w:val="0"/>
          <w:bCs w:val="0"/>
          <w:szCs w:val="22"/>
        </w:rPr>
        <w:t xml:space="preserve">Furthermore, the data collected, and the tools created will help inform economic development practices at EDA, paving the way for future programming. </w:t>
      </w:r>
    </w:p>
    <w:p w:rsidR="008F2813" w14:paraId="29E5343E" w14:textId="77777777">
      <w:pPr>
        <w:pStyle w:val="Heading1"/>
        <w:numPr>
          <w:ilvl w:val="0"/>
          <w:numId w:val="7"/>
        </w:numPr>
        <w:tabs>
          <w:tab w:val="left" w:pos="389"/>
        </w:tabs>
        <w:spacing w:before="196"/>
        <w:ind w:right="292" w:firstLine="0"/>
        <w:jc w:val="left"/>
      </w:pPr>
      <w:r>
        <w:t>Indicate how, by whom, and for what purpose the information is to be used. Except for a new collection, indicate the actual use the agency has made of the information received from the current</w:t>
      </w:r>
      <w:r>
        <w:rPr>
          <w:spacing w:val="-12"/>
        </w:rPr>
        <w:t xml:space="preserve"> </w:t>
      </w:r>
      <w:r>
        <w:t>collection.</w:t>
      </w:r>
    </w:p>
    <w:p w:rsidR="00A83E32" w:rsidP="00A83E32" w14:paraId="71AAE689" w14:textId="70E773F5">
      <w:pPr>
        <w:pStyle w:val="Heading1"/>
        <w:tabs>
          <w:tab w:val="left" w:pos="389"/>
        </w:tabs>
        <w:spacing w:before="196"/>
        <w:ind w:left="120" w:right="292"/>
      </w:pPr>
      <w:r w:rsidRPr="00A83E32">
        <w:rPr>
          <w:b w:val="0"/>
          <w:bCs w:val="0"/>
        </w:rPr>
        <w:t xml:space="preserve">The information will be used by EDA to monitor and assess the </w:t>
      </w:r>
      <w:r w:rsidR="004C1630">
        <w:rPr>
          <w:b w:val="0"/>
          <w:bCs w:val="0"/>
        </w:rPr>
        <w:t>progress</w:t>
      </w:r>
      <w:r w:rsidRPr="00A83E32">
        <w:rPr>
          <w:b w:val="0"/>
          <w:bCs w:val="0"/>
        </w:rPr>
        <w:t xml:space="preserve"> of the Tech Hub Designees</w:t>
      </w:r>
      <w:r w:rsidR="004C1630">
        <w:rPr>
          <w:b w:val="0"/>
          <w:bCs w:val="0"/>
        </w:rPr>
        <w:t xml:space="preserve"> toward program goals, including but not limited to jobs created, additional investment raised, and workers trained</w:t>
      </w:r>
      <w:r w:rsidRPr="00A83E32">
        <w:rPr>
          <w:b w:val="0"/>
          <w:bCs w:val="0"/>
        </w:rPr>
        <w:t>. The outputs will include tools, resources, and recommendations that will</w:t>
      </w:r>
      <w:r w:rsidRPr="00A83E32">
        <w:t xml:space="preserve"> </w:t>
      </w:r>
      <w:r w:rsidRPr="00A83E32">
        <w:rPr>
          <w:b w:val="0"/>
          <w:bCs w:val="0"/>
        </w:rPr>
        <w:t>help inform</w:t>
      </w:r>
      <w:r w:rsidR="004C1630">
        <w:rPr>
          <w:b w:val="0"/>
          <w:bCs w:val="0"/>
        </w:rPr>
        <w:t xml:space="preserve"> current program monitoring as well as</w:t>
      </w:r>
      <w:r w:rsidRPr="00A83E32">
        <w:rPr>
          <w:b w:val="0"/>
          <w:bCs w:val="0"/>
        </w:rPr>
        <w:t xml:space="preserve"> economic development policy, economic decision-making, and economic best practices. In doing so, EDA will ensure that the agency’s regional investments are evidence-based and data-driven, and accountable to participants and the public.</w:t>
      </w:r>
      <w:r w:rsidRPr="00A83E32">
        <w:t> </w:t>
      </w:r>
    </w:p>
    <w:p w:rsidR="008F2813" w14:paraId="4F02B8BC" w14:textId="77777777">
      <w:pPr>
        <w:pStyle w:val="BodyText"/>
        <w:spacing w:before="6"/>
        <w:ind w:left="0"/>
        <w:rPr>
          <w:b/>
          <w:sz w:val="15"/>
        </w:rPr>
      </w:pPr>
    </w:p>
    <w:p w:rsidR="008F2813" w14:paraId="639AB536" w14:textId="77777777">
      <w:pPr>
        <w:pStyle w:val="ListParagraph"/>
        <w:numPr>
          <w:ilvl w:val="0"/>
          <w:numId w:val="7"/>
        </w:numPr>
        <w:tabs>
          <w:tab w:val="left" w:pos="369"/>
        </w:tabs>
        <w:spacing w:before="199"/>
        <w:ind w:left="100" w:right="387" w:firstLine="0"/>
        <w:jc w:val="left"/>
        <w:rPr>
          <w:b/>
          <w:sz w:val="24"/>
        </w:rPr>
      </w:pPr>
      <w:r>
        <w:rPr>
          <w:b/>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Pr>
          <w:b/>
          <w:spacing w:val="-27"/>
          <w:sz w:val="24"/>
        </w:rPr>
        <w:t xml:space="preserve"> </w:t>
      </w:r>
      <w:r>
        <w:rPr>
          <w:b/>
          <w:sz w:val="24"/>
        </w:rPr>
        <w:t>burden.</w:t>
      </w:r>
    </w:p>
    <w:p w:rsidR="004C1630" w14:paraId="591E9B76" w14:textId="77777777">
      <w:pPr>
        <w:rPr>
          <w:color w:val="2F5496"/>
          <w:sz w:val="24"/>
        </w:rPr>
      </w:pPr>
    </w:p>
    <w:p w:rsidR="004C1630" w:rsidP="004C1630" w14:paraId="6DDA33E1" w14:textId="77777777">
      <w:pPr>
        <w:rPr>
          <w:sz w:val="24"/>
        </w:rPr>
      </w:pPr>
      <w:r w:rsidRPr="004C1630">
        <w:rPr>
          <w:sz w:val="24"/>
        </w:rPr>
        <w:t>EDA plans to collect the information via electronic submissions. </w:t>
      </w:r>
    </w:p>
    <w:p w:rsidR="008F2813" w:rsidRPr="004C1630" w:rsidP="004C1630" w14:paraId="701049C9" w14:textId="3244D256">
      <w:pPr>
        <w:pStyle w:val="ListParagraph"/>
        <w:numPr>
          <w:ilvl w:val="0"/>
          <w:numId w:val="7"/>
        </w:numPr>
        <w:rPr>
          <w:b/>
          <w:sz w:val="24"/>
        </w:rPr>
      </w:pPr>
      <w:r w:rsidRPr="004C1630">
        <w:rPr>
          <w:b/>
          <w:sz w:val="24"/>
        </w:rPr>
        <w:t>Describe efforts to identify duplication. Show specifically why any similar information already available cannot be used or modified for use for the purposes described in Question</w:t>
      </w:r>
      <w:r w:rsidRPr="004C1630">
        <w:rPr>
          <w:b/>
          <w:spacing w:val="-43"/>
          <w:sz w:val="24"/>
        </w:rPr>
        <w:t xml:space="preserve"> </w:t>
      </w:r>
      <w:r w:rsidRPr="004C1630">
        <w:rPr>
          <w:b/>
          <w:sz w:val="24"/>
        </w:rPr>
        <w:t>2</w:t>
      </w:r>
    </w:p>
    <w:p w:rsidR="004C1630" w:rsidRPr="004C1630" w:rsidP="004C1630" w14:paraId="0BAF6127" w14:textId="77777777">
      <w:pPr>
        <w:pStyle w:val="Heading1"/>
        <w:tabs>
          <w:tab w:val="left" w:pos="369"/>
        </w:tabs>
        <w:spacing w:before="122"/>
        <w:ind w:right="440"/>
        <w:jc w:val="center"/>
      </w:pPr>
      <w:r w:rsidRPr="004C1630">
        <w:rPr>
          <w:b w:val="0"/>
          <w:bCs w:val="0"/>
        </w:rPr>
        <w:t>EDA reviews new and existing information collections to ensure that there is no duplication. The information requested is unique to the information collection and is not collected elsewhere. </w:t>
      </w:r>
    </w:p>
    <w:p w:rsidR="008F2813" w14:paraId="5A894A8F" w14:textId="102C39BA">
      <w:pPr>
        <w:pStyle w:val="Heading1"/>
        <w:numPr>
          <w:ilvl w:val="0"/>
          <w:numId w:val="7"/>
        </w:numPr>
        <w:tabs>
          <w:tab w:val="left" w:pos="369"/>
        </w:tabs>
        <w:spacing w:before="122"/>
        <w:ind w:left="100" w:right="440" w:firstLine="0"/>
        <w:jc w:val="left"/>
      </w:pPr>
      <w:r>
        <w:t>If the collection of information impacts small businesses or other small entities, describe any methods used to minimize</w:t>
      </w:r>
      <w:r>
        <w:rPr>
          <w:spacing w:val="-17"/>
        </w:rPr>
        <w:t xml:space="preserve"> </w:t>
      </w:r>
      <w:r>
        <w:t>burden.</w:t>
      </w:r>
    </w:p>
    <w:p w:rsidR="004C1630" w:rsidRPr="004C1630" w:rsidP="004C1630" w14:paraId="45F59806" w14:textId="77777777">
      <w:pPr>
        <w:pStyle w:val="Heading1"/>
        <w:tabs>
          <w:tab w:val="left" w:pos="369"/>
        </w:tabs>
        <w:spacing w:before="114"/>
        <w:ind w:right="599"/>
      </w:pPr>
      <w:r w:rsidRPr="004C1630">
        <w:rPr>
          <w:b w:val="0"/>
          <w:bCs w:val="0"/>
        </w:rPr>
        <w:t xml:space="preserve">Pursuant to EDA’s authorizing legislation and regulations, eligible applicants and eligible recipients of EDA investment assistance include “small entities” as defined by the Regulatory Flexibility Act (5 U.S.C 601(6)). Accordingly, this information collection potentially involves small entities. As part of this process, EDA has conducted a thorough review of its forms and other information collections to minimize respondent burden. EDA collects only the minimum amount of information to effectively administer its programs and to monitor compliance with Stevenson-Wydler Technology Innovation Act of 1980 (Regional Technology and Innovation Hub Program (15 U.S.C. 3722a) and EDA regulations. </w:t>
      </w:r>
    </w:p>
    <w:p w:rsidR="008F2813" w14:paraId="357911D7" w14:textId="4679B3DA">
      <w:pPr>
        <w:pStyle w:val="Heading1"/>
        <w:numPr>
          <w:ilvl w:val="0"/>
          <w:numId w:val="7"/>
        </w:numPr>
        <w:tabs>
          <w:tab w:val="left" w:pos="369"/>
        </w:tabs>
        <w:spacing w:before="114"/>
        <w:ind w:left="100" w:right="599" w:firstLine="0"/>
        <w:jc w:val="left"/>
      </w:pPr>
      <w:r>
        <w:t>Describe the consequence to Federal program or policy activities if the collection is not conducted or is conducted less frequently, as well as any technical or legal obstacles to reducing</w:t>
      </w:r>
      <w:r>
        <w:rPr>
          <w:spacing w:val="-8"/>
        </w:rPr>
        <w:t xml:space="preserve"> </w:t>
      </w:r>
      <w:r>
        <w:t>burden.</w:t>
      </w:r>
    </w:p>
    <w:p w:rsidR="004C1630" w:rsidRPr="004C1630" w:rsidP="004C1630" w14:paraId="58BFC741" w14:textId="501BEEF1">
      <w:pPr>
        <w:pStyle w:val="Heading1"/>
        <w:tabs>
          <w:tab w:val="left" w:pos="369"/>
        </w:tabs>
        <w:spacing w:before="121" w:line="259" w:lineRule="auto"/>
        <w:ind w:right="1055"/>
        <w:rPr>
          <w:b w:val="0"/>
          <w:bCs w:val="0"/>
        </w:rPr>
      </w:pPr>
      <w:r w:rsidRPr="004C1630">
        <w:rPr>
          <w:b w:val="0"/>
          <w:bCs w:val="0"/>
        </w:rPr>
        <w:t>EDA serves as the lead bureau for the Department of Commerce’s Strategic Objective 2.1 (“Drive equitable, resilient, place-based economic development and job growth”). If the collection is not conducted, EDA will limit its ability to monitor grant program impacts which will play an important role program in continuously improving EDA’s investment strategy. This data collection will provide EDA with the necessary data to facilitate sound evidence-based decision making.  </w:t>
      </w:r>
    </w:p>
    <w:p w:rsidR="008F2813" w14:paraId="34D49C91" w14:textId="7A4589AE">
      <w:pPr>
        <w:pStyle w:val="Heading1"/>
        <w:numPr>
          <w:ilvl w:val="0"/>
          <w:numId w:val="7"/>
        </w:numPr>
        <w:tabs>
          <w:tab w:val="left" w:pos="369"/>
        </w:tabs>
        <w:spacing w:before="121" w:line="259" w:lineRule="auto"/>
        <w:ind w:left="100" w:right="1055" w:firstLine="0"/>
        <w:jc w:val="left"/>
      </w:pPr>
      <w:r>
        <w:t>Explain any special circumstances that would cause an information collection to</w:t>
      </w:r>
      <w:r>
        <w:rPr>
          <w:spacing w:val="-45"/>
        </w:rPr>
        <w:t xml:space="preserve"> </w:t>
      </w:r>
      <w:r>
        <w:t>be conducted in a</w:t>
      </w:r>
      <w:r>
        <w:rPr>
          <w:spacing w:val="-10"/>
        </w:rPr>
        <w:t xml:space="preserve"> </w:t>
      </w:r>
      <w:r>
        <w:t>manner:</w:t>
      </w:r>
    </w:p>
    <w:p w:rsidR="008F2813" w:rsidRPr="00FD4D85" w14:paraId="5B8728C3" w14:textId="488EE360">
      <w:pPr>
        <w:pStyle w:val="ListParagraph"/>
        <w:numPr>
          <w:ilvl w:val="0"/>
          <w:numId w:val="6"/>
        </w:numPr>
        <w:tabs>
          <w:tab w:val="left" w:pos="459"/>
          <w:tab w:val="left" w:pos="460"/>
        </w:tabs>
        <w:ind w:left="460"/>
        <w:rPr>
          <w:rFonts w:ascii="Symbol"/>
          <w:sz w:val="20"/>
        </w:rPr>
      </w:pPr>
      <w:r w:rsidRPr="00FD4D85">
        <w:rPr>
          <w:sz w:val="24"/>
        </w:rPr>
        <w:t>requiring respondents to report information to the agency more often than</w:t>
      </w:r>
      <w:r w:rsidRPr="00FD4D85">
        <w:rPr>
          <w:spacing w:val="-42"/>
          <w:sz w:val="24"/>
        </w:rPr>
        <w:t xml:space="preserve"> </w:t>
      </w:r>
      <w:r w:rsidRPr="00FD4D85">
        <w:rPr>
          <w:sz w:val="24"/>
        </w:rPr>
        <w:t>quarterly</w:t>
      </w:r>
    </w:p>
    <w:p w:rsidR="004C1630" w:rsidRPr="00FD4D85" w:rsidP="004C1630" w14:paraId="510CED0A" w14:textId="081035D3">
      <w:pPr>
        <w:pStyle w:val="ListParagraph"/>
        <w:numPr>
          <w:ilvl w:val="1"/>
          <w:numId w:val="6"/>
        </w:numPr>
        <w:tabs>
          <w:tab w:val="left" w:pos="459"/>
          <w:tab w:val="left" w:pos="460"/>
        </w:tabs>
        <w:rPr>
          <w:rFonts w:ascii="Symbol"/>
          <w:sz w:val="20"/>
        </w:rPr>
      </w:pPr>
      <w:r w:rsidRPr="00FD4D85">
        <w:rPr>
          <w:sz w:val="24"/>
        </w:rPr>
        <w:t>Respondents will be asked to report semi-annually</w:t>
      </w:r>
    </w:p>
    <w:p w:rsidR="008F2813" w:rsidRPr="00FD4D85" w14:paraId="6B33AE1F" w14:textId="77777777">
      <w:pPr>
        <w:pStyle w:val="ListParagraph"/>
        <w:numPr>
          <w:ilvl w:val="0"/>
          <w:numId w:val="6"/>
        </w:numPr>
        <w:tabs>
          <w:tab w:val="left" w:pos="459"/>
          <w:tab w:val="left" w:pos="460"/>
        </w:tabs>
        <w:ind w:left="460" w:right="154"/>
        <w:rPr>
          <w:rFonts w:ascii="Symbol"/>
          <w:sz w:val="20"/>
        </w:rPr>
      </w:pPr>
      <w:r w:rsidRPr="00FD4D85">
        <w:rPr>
          <w:sz w:val="24"/>
        </w:rPr>
        <w:t>requiring respondents to prepare a written response to a collection of information in fewer than 30 days after receipt of</w:t>
      </w:r>
      <w:r w:rsidRPr="00FD4D85">
        <w:rPr>
          <w:spacing w:val="-10"/>
          <w:sz w:val="24"/>
        </w:rPr>
        <w:t xml:space="preserve"> </w:t>
      </w:r>
      <w:r w:rsidRPr="00FD4D85">
        <w:rPr>
          <w:sz w:val="24"/>
        </w:rPr>
        <w:t>it;</w:t>
      </w:r>
    </w:p>
    <w:p w:rsidR="004C1630" w:rsidRPr="00FD4D85" w:rsidP="004C1630" w14:paraId="647FF2AD" w14:textId="33FDD776">
      <w:pPr>
        <w:pStyle w:val="ListParagraph"/>
        <w:numPr>
          <w:ilvl w:val="1"/>
          <w:numId w:val="6"/>
        </w:numPr>
        <w:tabs>
          <w:tab w:val="left" w:pos="459"/>
          <w:tab w:val="left" w:pos="460"/>
        </w:tabs>
        <w:ind w:right="154"/>
        <w:rPr>
          <w:rFonts w:ascii="Symbol"/>
          <w:sz w:val="20"/>
        </w:rPr>
      </w:pPr>
      <w:r w:rsidRPr="00FD4D85">
        <w:rPr>
          <w:sz w:val="24"/>
        </w:rPr>
        <w:t>Respondents will have a minimum of 30-days to respond</w:t>
      </w:r>
    </w:p>
    <w:p w:rsidR="008F2813" w:rsidRPr="00FD4D85" w14:paraId="38ABC55C" w14:textId="77777777">
      <w:pPr>
        <w:pStyle w:val="ListParagraph"/>
        <w:numPr>
          <w:ilvl w:val="0"/>
          <w:numId w:val="6"/>
        </w:numPr>
        <w:tabs>
          <w:tab w:val="left" w:pos="459"/>
          <w:tab w:val="left" w:pos="460"/>
        </w:tabs>
        <w:ind w:left="460"/>
        <w:rPr>
          <w:rFonts w:ascii="Symbol"/>
          <w:sz w:val="20"/>
        </w:rPr>
      </w:pPr>
      <w:r w:rsidRPr="00FD4D85">
        <w:rPr>
          <w:sz w:val="24"/>
        </w:rPr>
        <w:t>requiring respondents to submit more than an original and two copies of any</w:t>
      </w:r>
      <w:r w:rsidRPr="00FD4D85">
        <w:rPr>
          <w:spacing w:val="-40"/>
          <w:sz w:val="24"/>
        </w:rPr>
        <w:t xml:space="preserve"> </w:t>
      </w:r>
      <w:r w:rsidRPr="00FD4D85">
        <w:rPr>
          <w:sz w:val="24"/>
        </w:rPr>
        <w:t>document;</w:t>
      </w:r>
    </w:p>
    <w:p w:rsidR="004C1630" w:rsidRPr="00FD4D85" w:rsidP="004C1630" w14:paraId="1FEB4EC4" w14:textId="47D2B5C5">
      <w:pPr>
        <w:pStyle w:val="ListParagraph"/>
        <w:numPr>
          <w:ilvl w:val="1"/>
          <w:numId w:val="6"/>
        </w:numPr>
        <w:tabs>
          <w:tab w:val="left" w:pos="459"/>
          <w:tab w:val="left" w:pos="460"/>
        </w:tabs>
        <w:rPr>
          <w:rFonts w:ascii="Symbol"/>
          <w:sz w:val="20"/>
        </w:rPr>
      </w:pPr>
      <w:r w:rsidRPr="00FD4D85">
        <w:rPr>
          <w:sz w:val="24"/>
        </w:rPr>
        <w:t>Only one original will be required</w:t>
      </w:r>
    </w:p>
    <w:p w:rsidR="008F2813" w:rsidRPr="00FD4D85" w14:paraId="30BF3C0E" w14:textId="77777777">
      <w:pPr>
        <w:pStyle w:val="ListParagraph"/>
        <w:numPr>
          <w:ilvl w:val="0"/>
          <w:numId w:val="6"/>
        </w:numPr>
        <w:tabs>
          <w:tab w:val="left" w:pos="459"/>
          <w:tab w:val="left" w:pos="460"/>
        </w:tabs>
        <w:spacing w:before="158"/>
        <w:ind w:left="460" w:right="129"/>
        <w:rPr>
          <w:rFonts w:ascii="Symbol"/>
          <w:sz w:val="20"/>
        </w:rPr>
      </w:pPr>
      <w:r w:rsidRPr="00FD4D85">
        <w:rPr>
          <w:sz w:val="24"/>
        </w:rPr>
        <w:t>requiring respondents to retain records, other than health, medical, government contract, grant-in- aid, or tax records for more than three</w:t>
      </w:r>
      <w:r w:rsidRPr="00FD4D85">
        <w:rPr>
          <w:spacing w:val="-20"/>
          <w:sz w:val="24"/>
        </w:rPr>
        <w:t xml:space="preserve"> </w:t>
      </w:r>
      <w:r w:rsidRPr="00FD4D85">
        <w:rPr>
          <w:sz w:val="24"/>
        </w:rPr>
        <w:t>years;</w:t>
      </w:r>
    </w:p>
    <w:p w:rsidR="004C1630" w:rsidRPr="00FD4D85" w:rsidP="004C1630" w14:paraId="40AF3E58" w14:textId="02064036">
      <w:pPr>
        <w:pStyle w:val="ListParagraph"/>
        <w:numPr>
          <w:ilvl w:val="1"/>
          <w:numId w:val="6"/>
        </w:numPr>
        <w:tabs>
          <w:tab w:val="left" w:pos="459"/>
          <w:tab w:val="left" w:pos="460"/>
        </w:tabs>
        <w:spacing w:before="158"/>
        <w:ind w:right="129"/>
        <w:rPr>
          <w:rFonts w:ascii="Symbol"/>
          <w:sz w:val="20"/>
        </w:rPr>
      </w:pPr>
      <w:r w:rsidRPr="00FD4D85">
        <w:rPr>
          <w:sz w:val="24"/>
        </w:rPr>
        <w:t>Respondents will only be asked about activities within the past six months</w:t>
      </w:r>
    </w:p>
    <w:p w:rsidR="008F2813" w:rsidRPr="00FD4D85" w14:paraId="336FB290" w14:textId="77777777">
      <w:pPr>
        <w:pStyle w:val="ListParagraph"/>
        <w:numPr>
          <w:ilvl w:val="0"/>
          <w:numId w:val="6"/>
        </w:numPr>
        <w:tabs>
          <w:tab w:val="left" w:pos="459"/>
          <w:tab w:val="left" w:pos="460"/>
        </w:tabs>
        <w:ind w:left="460" w:right="501"/>
        <w:rPr>
          <w:rFonts w:ascii="Symbol"/>
          <w:sz w:val="20"/>
        </w:rPr>
      </w:pPr>
      <w:r w:rsidRPr="00FD4D85">
        <w:rPr>
          <w:sz w:val="24"/>
        </w:rPr>
        <w:t>in connection with a statistical survey, that is not designed to produce valid and reliable results that can be generalized to the universe of</w:t>
      </w:r>
      <w:r w:rsidRPr="00FD4D85">
        <w:rPr>
          <w:spacing w:val="-21"/>
          <w:sz w:val="24"/>
        </w:rPr>
        <w:t xml:space="preserve"> </w:t>
      </w:r>
      <w:r w:rsidRPr="00FD4D85">
        <w:rPr>
          <w:sz w:val="24"/>
        </w:rPr>
        <w:t>study;</w:t>
      </w:r>
    </w:p>
    <w:p w:rsidR="004C1630" w:rsidRPr="00FD4D85" w:rsidP="004C1630" w14:paraId="7BB4ABB8" w14:textId="41FC010C">
      <w:pPr>
        <w:pStyle w:val="ListParagraph"/>
        <w:numPr>
          <w:ilvl w:val="1"/>
          <w:numId w:val="6"/>
        </w:numPr>
        <w:tabs>
          <w:tab w:val="left" w:pos="459"/>
          <w:tab w:val="left" w:pos="460"/>
        </w:tabs>
        <w:ind w:right="501"/>
        <w:rPr>
          <w:rFonts w:ascii="Symbol"/>
          <w:sz w:val="20"/>
        </w:rPr>
      </w:pPr>
      <w:r w:rsidRPr="00FD4D85">
        <w:rPr>
          <w:sz w:val="24"/>
        </w:rPr>
        <w:t xml:space="preserve">Respondents will not be asked to respond to a statistical survey </w:t>
      </w:r>
    </w:p>
    <w:p w:rsidR="008F2813" w:rsidRPr="00FD4D85" w14:paraId="5F22111B" w14:textId="77777777">
      <w:pPr>
        <w:pStyle w:val="ListParagraph"/>
        <w:numPr>
          <w:ilvl w:val="0"/>
          <w:numId w:val="6"/>
        </w:numPr>
        <w:tabs>
          <w:tab w:val="left" w:pos="459"/>
          <w:tab w:val="left" w:pos="460"/>
        </w:tabs>
        <w:spacing w:before="157"/>
        <w:ind w:left="460" w:right="424"/>
        <w:rPr>
          <w:rFonts w:ascii="Symbol"/>
          <w:sz w:val="20"/>
        </w:rPr>
      </w:pPr>
      <w:r w:rsidRPr="00FD4D85">
        <w:rPr>
          <w:sz w:val="24"/>
        </w:rPr>
        <w:t>requiring the use of a statistical data classification that has not been reviewed and approved by OMB;</w:t>
      </w:r>
    </w:p>
    <w:p w:rsidR="008F2813" w:rsidRPr="00FD4D85" w14:paraId="38F72DFF" w14:textId="77777777">
      <w:pPr>
        <w:pStyle w:val="ListParagraph"/>
        <w:numPr>
          <w:ilvl w:val="0"/>
          <w:numId w:val="6"/>
        </w:numPr>
        <w:tabs>
          <w:tab w:val="left" w:pos="459"/>
          <w:tab w:val="left" w:pos="460"/>
        </w:tabs>
        <w:ind w:left="460" w:right="221"/>
        <w:rPr>
          <w:rFonts w:ascii="Symbol"/>
          <w:sz w:val="20"/>
        </w:rPr>
      </w:pPr>
      <w:r w:rsidRPr="00FD4D85">
        <w:rPr>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FD4D85">
        <w:rPr>
          <w:spacing w:val="-10"/>
          <w:sz w:val="24"/>
        </w:rPr>
        <w:t xml:space="preserve"> </w:t>
      </w:r>
      <w:r w:rsidRPr="00FD4D85">
        <w:rPr>
          <w:sz w:val="24"/>
        </w:rPr>
        <w:t>or</w:t>
      </w:r>
    </w:p>
    <w:p w:rsidR="008F2813" w:rsidRPr="00FD4D85" w:rsidP="00FD4D85" w14:paraId="026EED0B" w14:textId="7C28BAE9">
      <w:pPr>
        <w:pStyle w:val="ListParagraph"/>
        <w:numPr>
          <w:ilvl w:val="0"/>
          <w:numId w:val="6"/>
        </w:numPr>
        <w:tabs>
          <w:tab w:val="left" w:pos="459"/>
          <w:tab w:val="left" w:pos="460"/>
        </w:tabs>
        <w:ind w:left="460" w:right="329"/>
        <w:rPr>
          <w:rFonts w:ascii="Symbol"/>
          <w:sz w:val="20"/>
        </w:rPr>
      </w:pPr>
      <w:r w:rsidRPr="00FD4D85">
        <w:rPr>
          <w:sz w:val="24"/>
        </w:rPr>
        <w:t>requiring respondents to submit proprietary trade secret, or other confidential information unless the agency can demonstrate that it has instituted procedures to protect the information's confidentiality to the extent permitted by</w:t>
      </w:r>
      <w:r w:rsidRPr="00FD4D85">
        <w:rPr>
          <w:spacing w:val="-23"/>
          <w:sz w:val="24"/>
        </w:rPr>
        <w:t xml:space="preserve"> </w:t>
      </w:r>
      <w:r w:rsidRPr="00FD4D85">
        <w:rPr>
          <w:sz w:val="24"/>
        </w:rPr>
        <w:t>law.</w:t>
      </w:r>
    </w:p>
    <w:p w:rsidR="004C1630" w:rsidRPr="00FD4D85" w:rsidP="004C1630" w14:paraId="5AD5B94D" w14:textId="529485F5">
      <w:pPr>
        <w:pStyle w:val="ListParagraph"/>
        <w:numPr>
          <w:ilvl w:val="1"/>
          <w:numId w:val="6"/>
        </w:numPr>
        <w:tabs>
          <w:tab w:val="left" w:pos="459"/>
          <w:tab w:val="left" w:pos="460"/>
        </w:tabs>
        <w:spacing w:before="157"/>
        <w:ind w:right="424"/>
        <w:rPr>
          <w:rFonts w:ascii="Symbol"/>
          <w:sz w:val="20"/>
        </w:rPr>
        <w:sectPr>
          <w:footerReference w:type="default" r:id="rId7"/>
          <w:pgSz w:w="12240" w:h="15840"/>
          <w:pgMar w:top="640" w:right="660" w:bottom="1200" w:left="620" w:header="0" w:footer="1014" w:gutter="0"/>
          <w:cols w:space="720"/>
        </w:sectPr>
      </w:pPr>
      <w:r w:rsidRPr="00FD4D85">
        <w:rPr>
          <w:rFonts w:ascii="Symbol"/>
          <w:sz w:val="20"/>
        </w:rPr>
        <w:tab/>
      </w:r>
      <w:r w:rsidRPr="00FD4D85">
        <w:rPr>
          <w:sz w:val="24"/>
        </w:rPr>
        <w:t xml:space="preserve">The survey is not designed as a statistical survey and respondents are not required to submit </w:t>
      </w:r>
      <w:r w:rsidRPr="00FD4D85" w:rsidR="00FD4D85">
        <w:rPr>
          <w:sz w:val="24"/>
        </w:rPr>
        <w:t xml:space="preserve">any proprietary or confidential information  </w:t>
      </w:r>
    </w:p>
    <w:p w:rsidR="008F2813" w14:paraId="35A423A6" w14:textId="77777777">
      <w:pPr>
        <w:pStyle w:val="Heading1"/>
        <w:numPr>
          <w:ilvl w:val="0"/>
          <w:numId w:val="7"/>
        </w:numPr>
        <w:tabs>
          <w:tab w:val="left" w:pos="369"/>
        </w:tabs>
        <w:spacing w:before="124"/>
        <w:ind w:left="100" w:right="236" w:firstLine="0"/>
        <w:jc w:val="left"/>
      </w:pPr>
      <w: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w:t>
      </w:r>
      <w:r>
        <w:rPr>
          <w:spacing w:val="-39"/>
        </w:rPr>
        <w:t xml:space="preserve"> </w:t>
      </w:r>
      <w:r>
        <w:t>burden.</w:t>
      </w:r>
    </w:p>
    <w:p w:rsidR="00FD4D85" w:rsidP="36A14327" w14:paraId="4156BC8A" w14:textId="1A1BD7EA">
      <w:pPr>
        <w:pStyle w:val="Heading1"/>
        <w:tabs>
          <w:tab w:val="left" w:pos="369"/>
        </w:tabs>
        <w:ind w:left="120" w:right="1640"/>
        <w:rPr>
          <w:b w:val="0"/>
          <w:bCs w:val="0"/>
        </w:rPr>
      </w:pPr>
      <w:r w:rsidRPr="383AE130">
        <w:rPr>
          <w:b w:val="0"/>
          <w:bCs w:val="0"/>
        </w:rPr>
        <w:t>On December 12, 2024, EDA published a FRN that solicited public comments for 60 days (89 FR 96636). No public comments were received on the information collection.</w:t>
      </w:r>
      <w:r w:rsidRPr="383AE130" w:rsidR="096C4D1C">
        <w:rPr>
          <w:b w:val="0"/>
          <w:bCs w:val="0"/>
        </w:rPr>
        <w:t xml:space="preserve"> </w:t>
      </w:r>
    </w:p>
    <w:p w:rsidR="00FD4D85" w:rsidRPr="00FD4D85" w:rsidP="00FD4D85" w14:paraId="4D38FD32" w14:textId="21D9CD8F">
      <w:pPr>
        <w:pStyle w:val="Heading1"/>
        <w:tabs>
          <w:tab w:val="left" w:pos="369"/>
        </w:tabs>
        <w:ind w:left="120" w:right="1640"/>
        <w:rPr>
          <w:b w:val="0"/>
          <w:bCs w:val="0"/>
        </w:rPr>
      </w:pPr>
      <w:r>
        <w:rPr>
          <w:b w:val="0"/>
          <w:bCs w:val="0"/>
        </w:rPr>
        <w:t xml:space="preserve">The current request for an extension and revision is based on extensive reviews conducted </w:t>
      </w:r>
      <w:r w:rsidR="35A2EF69">
        <w:rPr>
          <w:b w:val="0"/>
          <w:bCs w:val="0"/>
        </w:rPr>
        <w:t xml:space="preserve">on the </w:t>
      </w:r>
      <w:r>
        <w:rPr>
          <w:b w:val="0"/>
          <w:bCs w:val="0"/>
        </w:rPr>
        <w:t xml:space="preserve">current OMB approved survey. In particular, EDA solicited reviews from persons outside the agency including from independent researchers, Department of Commerce and other Federal agency staff, and OMB staff on topics including but not limited to: (a) whether the proposed collection of information is necessary for the proper performance of the functions of the agency, including whether the information shall have practical utility; (b) the accuracy of the agency’s estimate of the burden (including hours and cost) of the proposed collection of information; (c) ways to enhance the quality, utility, and clarity of the information to be collected; and (d) ways to minimize the burden of the collection of information on respondents, including through the use of automated collection techniques or other forms of information technology.  </w:t>
      </w:r>
    </w:p>
    <w:p w:rsidR="00FD4D85" w:rsidP="00FD4D85" w14:paraId="1B4A8FD4" w14:textId="0E6BE8CA">
      <w:pPr>
        <w:pStyle w:val="Heading1"/>
        <w:numPr>
          <w:ilvl w:val="0"/>
          <w:numId w:val="7"/>
        </w:numPr>
        <w:tabs>
          <w:tab w:val="left" w:pos="369"/>
        </w:tabs>
        <w:ind w:right="1640"/>
        <w:jc w:val="left"/>
      </w:pPr>
      <w:r>
        <w:t>Explain any decision to provide any payment or gift to respondents, other than renumeration of contractors or</w:t>
      </w:r>
      <w:r>
        <w:rPr>
          <w:spacing w:val="-21"/>
        </w:rPr>
        <w:t xml:space="preserve"> </w:t>
      </w:r>
      <w:r>
        <w:t>grantees.</w:t>
      </w:r>
    </w:p>
    <w:p w:rsidR="00FD4D85" w:rsidRPr="00FD4D85" w:rsidP="00FD4D85" w14:paraId="70B1DD0C" w14:textId="23102AF5">
      <w:pPr>
        <w:pStyle w:val="Heading1"/>
        <w:tabs>
          <w:tab w:val="left" w:pos="369"/>
        </w:tabs>
        <w:ind w:left="120" w:right="1640"/>
        <w:rPr>
          <w:b w:val="0"/>
          <w:bCs w:val="0"/>
        </w:rPr>
      </w:pPr>
      <w:r w:rsidRPr="00FD4D85">
        <w:rPr>
          <w:b w:val="0"/>
          <w:bCs w:val="0"/>
        </w:rPr>
        <w:t>No gifts or payments are made to any respondent, other than disbursements of award funds to financial assistance recipients. </w:t>
      </w:r>
    </w:p>
    <w:p w:rsidR="008F2813" w14:paraId="10368C37" w14:textId="77777777">
      <w:pPr>
        <w:pStyle w:val="Heading1"/>
        <w:numPr>
          <w:ilvl w:val="0"/>
          <w:numId w:val="7"/>
        </w:numPr>
        <w:tabs>
          <w:tab w:val="left" w:pos="524"/>
        </w:tabs>
        <w:ind w:right="471" w:firstLine="0"/>
        <w:jc w:val="left"/>
      </w:pPr>
      <w:r>
        <w:t>Describe</w:t>
      </w:r>
      <w:r>
        <w:rPr>
          <w:spacing w:val="-4"/>
        </w:rPr>
        <w:t xml:space="preserve"> </w:t>
      </w:r>
      <w:r>
        <w:t>any</w:t>
      </w:r>
      <w:r>
        <w:rPr>
          <w:spacing w:val="-4"/>
        </w:rPr>
        <w:t xml:space="preserve"> </w:t>
      </w:r>
      <w:r>
        <w:t>assurance</w:t>
      </w:r>
      <w:r>
        <w:rPr>
          <w:spacing w:val="-4"/>
        </w:rPr>
        <w:t xml:space="preserve"> </w:t>
      </w:r>
      <w:r>
        <w:t>of</w:t>
      </w:r>
      <w:r>
        <w:rPr>
          <w:spacing w:val="-5"/>
        </w:rPr>
        <w:t xml:space="preserve"> </w:t>
      </w:r>
      <w:r>
        <w:t>confidentiality</w:t>
      </w:r>
      <w:r>
        <w:rPr>
          <w:spacing w:val="-4"/>
        </w:rPr>
        <w:t xml:space="preserve"> </w:t>
      </w:r>
      <w:r>
        <w:t>provided</w:t>
      </w:r>
      <w:r>
        <w:rPr>
          <w:spacing w:val="-4"/>
        </w:rPr>
        <w:t xml:space="preserve"> </w:t>
      </w:r>
      <w:r>
        <w:t>to</w:t>
      </w:r>
      <w:r>
        <w:rPr>
          <w:spacing w:val="-4"/>
        </w:rPr>
        <w:t xml:space="preserve"> </w:t>
      </w:r>
      <w:r>
        <w:t>respondents</w:t>
      </w:r>
      <w:r>
        <w:rPr>
          <w:spacing w:val="-4"/>
        </w:rPr>
        <w:t xml:space="preserve"> </w:t>
      </w:r>
      <w:r>
        <w:t>and</w:t>
      </w:r>
      <w:r>
        <w:rPr>
          <w:spacing w:val="-4"/>
        </w:rPr>
        <w:t xml:space="preserve"> </w:t>
      </w:r>
      <w:r>
        <w:t>the</w:t>
      </w:r>
      <w:r>
        <w:rPr>
          <w:spacing w:val="-4"/>
        </w:rPr>
        <w:t xml:space="preserve"> </w:t>
      </w:r>
      <w:r>
        <w:t>basis</w:t>
      </w:r>
      <w:r>
        <w:rPr>
          <w:spacing w:val="-8"/>
        </w:rPr>
        <w:t xml:space="preserve"> </w:t>
      </w:r>
      <w:r>
        <w:t>for</w:t>
      </w:r>
      <w:r>
        <w:rPr>
          <w:spacing w:val="-4"/>
        </w:rPr>
        <w:t xml:space="preserve"> </w:t>
      </w:r>
      <w:r>
        <w:t>the assurance in statute, regulation, or agency policy. If the collection requires a systems of records notice (SORN) or privacy impact assessment (PIA), those should be cited and described</w:t>
      </w:r>
      <w:r>
        <w:rPr>
          <w:spacing w:val="-9"/>
        </w:rPr>
        <w:t xml:space="preserve"> </w:t>
      </w:r>
      <w:r>
        <w:t>here.</w:t>
      </w:r>
    </w:p>
    <w:p w:rsidR="00FD4D85" w:rsidRPr="00FD4D85" w:rsidP="00FD4D85" w14:paraId="2E407BC4" w14:textId="44246C6F">
      <w:pPr>
        <w:pStyle w:val="Heading1"/>
        <w:tabs>
          <w:tab w:val="left" w:pos="524"/>
        </w:tabs>
        <w:ind w:left="120" w:right="471"/>
        <w:rPr>
          <w:b w:val="0"/>
          <w:bCs w:val="0"/>
        </w:rPr>
      </w:pPr>
      <w:r w:rsidRPr="002E115D">
        <w:rPr>
          <w:b w:val="0"/>
          <w:bCs w:val="0"/>
        </w:rPr>
        <w:t>While information submitted by a respondent to EDA generally is subject to public disclosure, EDA does not publicly release confidential personal or business information, including trade secrets and confidential commercial or financial information, to the extent that such information is exempt from public disclosure under the Freedom of Information Act (FOIA). See 5 U.S.C. 552(b)(4). Additionally, EDA does not release information that would constitute a clearly unwarranted invasion of personal privacy. See 5 U.S.C. 552(b)(6).</w:t>
      </w:r>
    </w:p>
    <w:p w:rsidR="008F2813" w14:paraId="00B5BE6E" w14:textId="070755C4">
      <w:pPr>
        <w:pStyle w:val="Heading1"/>
        <w:numPr>
          <w:ilvl w:val="0"/>
          <w:numId w:val="7"/>
        </w:numPr>
        <w:tabs>
          <w:tab w:val="left" w:pos="524"/>
        </w:tabs>
        <w:spacing w:before="184"/>
        <w:ind w:right="211" w:firstLine="0"/>
        <w:jc w:val="left"/>
      </w:pPr>
      <w: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F2813" w14:paraId="57574240" w14:textId="77777777">
      <w:pPr>
        <w:sectPr>
          <w:pgSz w:w="12240" w:h="15840"/>
          <w:pgMar w:top="640" w:right="620" w:bottom="1200" w:left="600" w:header="0" w:footer="1014" w:gutter="0"/>
          <w:cols w:space="720"/>
        </w:sectPr>
      </w:pPr>
    </w:p>
    <w:p w:rsidR="00FD4D85" w:rsidRPr="00FD4D85" w:rsidP="00FD4D85" w14:paraId="493BDEDF" w14:textId="58E560AD">
      <w:pPr>
        <w:pStyle w:val="Heading1"/>
        <w:tabs>
          <w:tab w:val="left" w:pos="524"/>
        </w:tabs>
        <w:spacing w:before="184"/>
        <w:ind w:left="120" w:right="211"/>
        <w:rPr>
          <w:b w:val="0"/>
          <w:bCs w:val="0"/>
        </w:rPr>
      </w:pPr>
      <w:r>
        <w:rPr>
          <w:b w:val="0"/>
          <w:bCs w:val="0"/>
        </w:rPr>
        <w:t>This information collection requests aggregated financial information regarding funds raised</w:t>
      </w:r>
      <w:r w:rsidR="5124DB11">
        <w:rPr>
          <w:b w:val="0"/>
          <w:bCs w:val="0"/>
        </w:rPr>
        <w:t>,</w:t>
      </w:r>
      <w:r>
        <w:rPr>
          <w:b w:val="0"/>
          <w:bCs w:val="0"/>
        </w:rPr>
        <w:t xml:space="preserve"> received,</w:t>
      </w:r>
      <w:r w:rsidR="5F51F942">
        <w:rPr>
          <w:b w:val="0"/>
          <w:bCs w:val="0"/>
        </w:rPr>
        <w:t xml:space="preserve"> and revenue generated</w:t>
      </w:r>
      <w:r>
        <w:rPr>
          <w:b w:val="0"/>
          <w:bCs w:val="0"/>
        </w:rPr>
        <w:t xml:space="preserve"> but the information does not collect information associated with individual businesses or entities. The information collection will also request EINs of businesses served, this information will only be provided if already publicly available and no SSN will be collected. This information is necessary to assess whether the Tech Hub Designees are producing positive outcomes as pursuant with EDA’s Investment Priorities.  </w:t>
      </w:r>
    </w:p>
    <w:p w:rsidR="008F2813" w14:paraId="2DA225AD" w14:textId="77777777">
      <w:pPr>
        <w:pStyle w:val="Heading1"/>
        <w:numPr>
          <w:ilvl w:val="0"/>
          <w:numId w:val="7"/>
        </w:numPr>
        <w:tabs>
          <w:tab w:val="left" w:pos="524"/>
        </w:tabs>
        <w:spacing w:before="123"/>
        <w:ind w:left="523" w:hanging="403"/>
        <w:jc w:val="left"/>
      </w:pPr>
      <w:r>
        <w:t>Provide estimates of the hour burden of the collection of</w:t>
      </w:r>
      <w:r>
        <w:rPr>
          <w:spacing w:val="-39"/>
        </w:rPr>
        <w:t xml:space="preserve"> </w:t>
      </w:r>
      <w:r>
        <w:t>information.</w:t>
      </w:r>
    </w:p>
    <w:p w:rsidR="002E115D" w:rsidP="002E115D" w14:paraId="0B4CAFE3" w14:textId="77777777">
      <w:pPr>
        <w:pStyle w:val="Heading1"/>
        <w:tabs>
          <w:tab w:val="left" w:pos="524"/>
        </w:tabs>
        <w:spacing w:before="123"/>
        <w:ind w:left="523"/>
        <w:jc w:val="right"/>
      </w:pPr>
    </w:p>
    <w:tbl>
      <w:tblPr>
        <w:tblW w:w="9341"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865"/>
        <w:gridCol w:w="1722"/>
        <w:gridCol w:w="1349"/>
        <w:gridCol w:w="1995"/>
        <w:gridCol w:w="1410"/>
      </w:tblGrid>
      <w:tr w14:paraId="35B38E8D" w14:textId="77777777" w:rsidTr="002E115D">
        <w:tblPrEx>
          <w:tblW w:w="9341"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540"/>
        </w:trPr>
        <w:tc>
          <w:tcPr>
            <w:tcW w:w="2865" w:type="dxa"/>
            <w:tcBorders>
              <w:top w:val="single" w:sz="6" w:space="0" w:color="000000"/>
              <w:left w:val="single" w:sz="6" w:space="0" w:color="000000"/>
              <w:bottom w:val="single" w:sz="6" w:space="0" w:color="000000"/>
              <w:right w:val="single" w:sz="6" w:space="0" w:color="000000"/>
            </w:tcBorders>
            <w:shd w:val="clear" w:color="auto" w:fill="auto"/>
            <w:hideMark/>
          </w:tcPr>
          <w:p w:rsidR="002E115D" w:rsidRPr="002E115D" w:rsidP="002E115D" w14:paraId="02952330" w14:textId="77777777">
            <w:pPr>
              <w:pStyle w:val="Heading1"/>
              <w:tabs>
                <w:tab w:val="left" w:pos="524"/>
              </w:tabs>
              <w:spacing w:before="123"/>
              <w:ind w:left="120"/>
            </w:pPr>
            <w:r w:rsidRPr="002E115D">
              <w:t>Type of Metric </w:t>
            </w:r>
            <w:r w:rsidRPr="002E115D">
              <w:br/>
              <w:t>(all information to be provided by Coalition Lead) </w:t>
            </w:r>
          </w:p>
        </w:tc>
        <w:tc>
          <w:tcPr>
            <w:tcW w:w="1722" w:type="dxa"/>
            <w:tcBorders>
              <w:top w:val="single" w:sz="6" w:space="0" w:color="000000"/>
              <w:left w:val="single" w:sz="6" w:space="0" w:color="000000"/>
              <w:bottom w:val="single" w:sz="6" w:space="0" w:color="000000"/>
              <w:right w:val="single" w:sz="6" w:space="0" w:color="000000"/>
            </w:tcBorders>
            <w:shd w:val="clear" w:color="auto" w:fill="auto"/>
            <w:hideMark/>
          </w:tcPr>
          <w:p w:rsidR="002E115D" w:rsidRPr="002E115D" w:rsidP="002E115D" w14:paraId="2E739D6A" w14:textId="77777777">
            <w:pPr>
              <w:pStyle w:val="Heading1"/>
              <w:tabs>
                <w:tab w:val="left" w:pos="524"/>
              </w:tabs>
              <w:spacing w:before="123"/>
              <w:ind w:left="120"/>
            </w:pPr>
            <w:r w:rsidRPr="002E115D">
              <w:t>Number of Respondents </w:t>
            </w:r>
          </w:p>
        </w:tc>
        <w:tc>
          <w:tcPr>
            <w:tcW w:w="1349" w:type="dxa"/>
            <w:tcBorders>
              <w:top w:val="single" w:sz="6" w:space="0" w:color="000000"/>
              <w:left w:val="single" w:sz="6" w:space="0" w:color="000000"/>
              <w:bottom w:val="single" w:sz="6" w:space="0" w:color="000000"/>
              <w:right w:val="single" w:sz="6" w:space="0" w:color="000000"/>
            </w:tcBorders>
            <w:shd w:val="clear" w:color="auto" w:fill="auto"/>
            <w:hideMark/>
          </w:tcPr>
          <w:p w:rsidR="002E115D" w:rsidRPr="002E115D" w:rsidP="002E115D" w14:paraId="246AAF19" w14:textId="77777777">
            <w:pPr>
              <w:pStyle w:val="Heading1"/>
              <w:tabs>
                <w:tab w:val="left" w:pos="524"/>
              </w:tabs>
              <w:spacing w:before="123"/>
              <w:ind w:left="120"/>
            </w:pPr>
            <w:r w:rsidRPr="002E115D">
              <w:t>Hours per Response </w:t>
            </w:r>
          </w:p>
        </w:tc>
        <w:tc>
          <w:tcPr>
            <w:tcW w:w="1995" w:type="dxa"/>
            <w:tcBorders>
              <w:top w:val="single" w:sz="6" w:space="0" w:color="000000"/>
              <w:left w:val="single" w:sz="6" w:space="0" w:color="000000"/>
              <w:bottom w:val="single" w:sz="6" w:space="0" w:color="000000"/>
              <w:right w:val="single" w:sz="6" w:space="0" w:color="000000"/>
            </w:tcBorders>
            <w:shd w:val="clear" w:color="auto" w:fill="auto"/>
            <w:hideMark/>
          </w:tcPr>
          <w:p w:rsidR="002E115D" w:rsidRPr="002E115D" w:rsidP="002E115D" w14:paraId="2BCC166B" w14:textId="77777777">
            <w:pPr>
              <w:pStyle w:val="Heading1"/>
              <w:tabs>
                <w:tab w:val="left" w:pos="524"/>
              </w:tabs>
              <w:spacing w:before="123"/>
              <w:ind w:left="120"/>
            </w:pPr>
            <w:r w:rsidRPr="002E115D">
              <w:t>Number of Responses per Year </w:t>
            </w:r>
          </w:p>
        </w:tc>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rsidR="002E115D" w:rsidRPr="002E115D" w:rsidP="002E115D" w14:paraId="4F84D386" w14:textId="77777777">
            <w:pPr>
              <w:pStyle w:val="Heading1"/>
              <w:tabs>
                <w:tab w:val="left" w:pos="524"/>
              </w:tabs>
              <w:spacing w:before="123"/>
              <w:ind w:left="120"/>
            </w:pPr>
            <w:r w:rsidRPr="002E115D">
              <w:t>Total Estimated Time </w:t>
            </w:r>
          </w:p>
        </w:tc>
      </w:tr>
      <w:tr w14:paraId="476DA39C" w14:textId="77777777" w:rsidTr="002E115D">
        <w:tblPrEx>
          <w:tblW w:w="9341" w:type="dxa"/>
          <w:tblInd w:w="105" w:type="dxa"/>
          <w:tblCellMar>
            <w:left w:w="0" w:type="dxa"/>
            <w:right w:w="0" w:type="dxa"/>
          </w:tblCellMar>
          <w:tblLook w:val="04A0"/>
        </w:tblPrEx>
        <w:trPr>
          <w:trHeight w:val="540"/>
        </w:trPr>
        <w:tc>
          <w:tcPr>
            <w:tcW w:w="2865" w:type="dxa"/>
            <w:tcBorders>
              <w:top w:val="single" w:sz="6" w:space="0" w:color="000000"/>
              <w:left w:val="single" w:sz="6" w:space="0" w:color="000000"/>
              <w:bottom w:val="single" w:sz="6" w:space="0" w:color="000000"/>
              <w:right w:val="single" w:sz="6" w:space="0" w:color="000000"/>
            </w:tcBorders>
            <w:shd w:val="clear" w:color="auto" w:fill="auto"/>
            <w:hideMark/>
          </w:tcPr>
          <w:p w:rsidR="002E115D" w:rsidRPr="002E115D" w:rsidP="002E115D" w14:paraId="44708D04" w14:textId="77777777">
            <w:pPr>
              <w:pStyle w:val="Heading1"/>
              <w:tabs>
                <w:tab w:val="left" w:pos="524"/>
              </w:tabs>
              <w:spacing w:before="123"/>
              <w:ind w:left="120"/>
              <w:rPr>
                <w:b w:val="0"/>
                <w:bCs w:val="0"/>
              </w:rPr>
            </w:pPr>
            <w:r w:rsidRPr="002E115D">
              <w:rPr>
                <w:b w:val="0"/>
                <w:bCs w:val="0"/>
              </w:rPr>
              <w:t>Lead Consortium Members/ Tech Hub Designee Consortia </w:t>
            </w:r>
          </w:p>
        </w:tc>
        <w:tc>
          <w:tcPr>
            <w:tcW w:w="1722" w:type="dxa"/>
            <w:tcBorders>
              <w:top w:val="single" w:sz="6" w:space="0" w:color="000000"/>
              <w:left w:val="single" w:sz="6" w:space="0" w:color="000000"/>
              <w:bottom w:val="single" w:sz="6" w:space="0" w:color="000000"/>
              <w:right w:val="single" w:sz="6" w:space="0" w:color="000000"/>
            </w:tcBorders>
            <w:shd w:val="clear" w:color="auto" w:fill="auto"/>
            <w:hideMark/>
          </w:tcPr>
          <w:p w:rsidR="002E115D" w:rsidRPr="002E115D" w:rsidP="002E115D" w14:paraId="2CDEAB78" w14:textId="77777777">
            <w:pPr>
              <w:pStyle w:val="Heading1"/>
              <w:tabs>
                <w:tab w:val="left" w:pos="524"/>
              </w:tabs>
              <w:spacing w:before="123"/>
              <w:ind w:left="120"/>
              <w:rPr>
                <w:b w:val="0"/>
                <w:bCs w:val="0"/>
              </w:rPr>
            </w:pPr>
            <w:r w:rsidRPr="002E115D">
              <w:rPr>
                <w:b w:val="0"/>
                <w:bCs w:val="0"/>
              </w:rPr>
              <w:t>31 </w:t>
            </w:r>
          </w:p>
        </w:tc>
        <w:tc>
          <w:tcPr>
            <w:tcW w:w="1349" w:type="dxa"/>
            <w:tcBorders>
              <w:top w:val="single" w:sz="6" w:space="0" w:color="000000"/>
              <w:left w:val="single" w:sz="6" w:space="0" w:color="000000"/>
              <w:bottom w:val="single" w:sz="6" w:space="0" w:color="000000"/>
              <w:right w:val="single" w:sz="6" w:space="0" w:color="000000"/>
            </w:tcBorders>
            <w:shd w:val="clear" w:color="auto" w:fill="auto"/>
            <w:hideMark/>
          </w:tcPr>
          <w:p w:rsidR="002E115D" w:rsidRPr="002E115D" w:rsidP="002E115D" w14:paraId="7564EC56" w14:textId="77777777">
            <w:pPr>
              <w:pStyle w:val="Heading1"/>
              <w:tabs>
                <w:tab w:val="left" w:pos="524"/>
              </w:tabs>
              <w:spacing w:before="123"/>
              <w:ind w:left="120"/>
              <w:rPr>
                <w:b w:val="0"/>
                <w:bCs w:val="0"/>
              </w:rPr>
            </w:pPr>
            <w:r w:rsidRPr="002E115D">
              <w:rPr>
                <w:b w:val="0"/>
                <w:bCs w:val="0"/>
              </w:rPr>
              <w:t>3 </w:t>
            </w:r>
          </w:p>
        </w:tc>
        <w:tc>
          <w:tcPr>
            <w:tcW w:w="1995" w:type="dxa"/>
            <w:tcBorders>
              <w:top w:val="single" w:sz="6" w:space="0" w:color="000000"/>
              <w:left w:val="single" w:sz="6" w:space="0" w:color="000000"/>
              <w:bottom w:val="single" w:sz="6" w:space="0" w:color="000000"/>
              <w:right w:val="single" w:sz="6" w:space="0" w:color="000000"/>
            </w:tcBorders>
            <w:shd w:val="clear" w:color="auto" w:fill="auto"/>
            <w:hideMark/>
          </w:tcPr>
          <w:p w:rsidR="002E115D" w:rsidRPr="002E115D" w:rsidP="002E115D" w14:paraId="3BCBA5F7" w14:textId="2B602315">
            <w:pPr>
              <w:pStyle w:val="Heading1"/>
              <w:tabs>
                <w:tab w:val="left" w:pos="524"/>
              </w:tabs>
              <w:spacing w:before="123"/>
              <w:ind w:left="120"/>
              <w:rPr>
                <w:b w:val="0"/>
                <w:bCs w:val="0"/>
              </w:rPr>
            </w:pPr>
            <w:r>
              <w:rPr>
                <w:b w:val="0"/>
                <w:bCs w:val="0"/>
              </w:rPr>
              <w:t>2</w:t>
            </w:r>
            <w:r w:rsidRPr="002E115D">
              <w:rPr>
                <w:b w:val="0"/>
                <w:bCs w:val="0"/>
              </w:rPr>
              <w:t> </w:t>
            </w:r>
          </w:p>
        </w:tc>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rsidR="002E115D" w:rsidRPr="002E115D" w:rsidP="002E115D" w14:paraId="0EAABEFD" w14:textId="53C454AC">
            <w:pPr>
              <w:pStyle w:val="Heading1"/>
              <w:tabs>
                <w:tab w:val="left" w:pos="524"/>
              </w:tabs>
              <w:spacing w:before="123"/>
              <w:ind w:left="120"/>
              <w:rPr>
                <w:b w:val="0"/>
                <w:bCs w:val="0"/>
              </w:rPr>
            </w:pPr>
            <w:r>
              <w:rPr>
                <w:b w:val="0"/>
                <w:bCs w:val="0"/>
              </w:rPr>
              <w:t>186</w:t>
            </w:r>
            <w:r w:rsidRPr="002E115D">
              <w:rPr>
                <w:b w:val="0"/>
                <w:bCs w:val="0"/>
              </w:rPr>
              <w:t xml:space="preserve"> hours </w:t>
            </w:r>
          </w:p>
        </w:tc>
      </w:tr>
    </w:tbl>
    <w:p w:rsidR="002E115D" w:rsidRPr="002E115D" w:rsidP="002E115D" w14:paraId="4FDBDA07" w14:textId="38071649">
      <w:pPr>
        <w:pStyle w:val="Heading1"/>
        <w:tabs>
          <w:tab w:val="left" w:pos="524"/>
        </w:tabs>
        <w:spacing w:before="123"/>
        <w:ind w:left="120"/>
        <w:rPr>
          <w:b w:val="0"/>
          <w:bCs w:val="0"/>
        </w:rPr>
      </w:pPr>
      <w:r w:rsidRPr="002E115D">
        <w:rPr>
          <w:b w:val="0"/>
          <w:bCs w:val="0"/>
        </w:rPr>
        <w:t>Multiplying the expected number of responses by the average time to complete a response, EDA estimates the above total respondent burden. </w:t>
      </w:r>
    </w:p>
    <w:p w:rsidR="008F2813" w14:paraId="46EC10B9" w14:textId="77777777">
      <w:pPr>
        <w:rPr>
          <w:sz w:val="24"/>
        </w:rPr>
      </w:pPr>
    </w:p>
    <w:p w:rsidR="002E115D" w14:paraId="2E0C5A12" w14:textId="34BE4FC2">
      <w:pPr>
        <w:rPr>
          <w:sz w:val="24"/>
        </w:rPr>
      </w:pPr>
    </w:p>
    <w:tbl>
      <w:tblPr>
        <w:tblStyle w:val="TableGrid"/>
        <w:tblW w:w="0" w:type="auto"/>
        <w:tblLook w:val="04A0"/>
      </w:tblPr>
      <w:tblGrid>
        <w:gridCol w:w="1828"/>
        <w:gridCol w:w="1830"/>
        <w:gridCol w:w="1828"/>
        <w:gridCol w:w="1823"/>
        <w:gridCol w:w="1815"/>
        <w:gridCol w:w="1826"/>
      </w:tblGrid>
      <w:tr w14:paraId="010F0D31" w14:textId="77777777" w:rsidTr="002E115D">
        <w:tblPrEx>
          <w:tblW w:w="0" w:type="auto"/>
          <w:tblLook w:val="04A0"/>
        </w:tblPrEx>
        <w:tc>
          <w:tcPr>
            <w:tcW w:w="1835" w:type="dxa"/>
          </w:tcPr>
          <w:p w:rsidR="002E115D" w14:paraId="603C6CF9" w14:textId="103D627A">
            <w:pPr>
              <w:rPr>
                <w:sz w:val="24"/>
              </w:rPr>
            </w:pPr>
            <w:r>
              <w:rPr>
                <w:sz w:val="24"/>
              </w:rPr>
              <w:t>Respondent</w:t>
            </w:r>
          </w:p>
        </w:tc>
        <w:tc>
          <w:tcPr>
            <w:tcW w:w="1835" w:type="dxa"/>
          </w:tcPr>
          <w:p w:rsidR="002E115D" w14:paraId="092D75A9" w14:textId="4E44D7A7">
            <w:pPr>
              <w:rPr>
                <w:sz w:val="24"/>
              </w:rPr>
            </w:pPr>
            <w:r>
              <w:rPr>
                <w:sz w:val="24"/>
              </w:rPr>
              <w:t># of Respondents</w:t>
            </w:r>
          </w:p>
        </w:tc>
        <w:tc>
          <w:tcPr>
            <w:tcW w:w="1835" w:type="dxa"/>
          </w:tcPr>
          <w:p w:rsidR="002E115D" w14:paraId="300788C5" w14:textId="09D4C1FF">
            <w:pPr>
              <w:rPr>
                <w:sz w:val="24"/>
              </w:rPr>
            </w:pPr>
            <w:r>
              <w:rPr>
                <w:sz w:val="24"/>
              </w:rPr>
              <w:t># of Responses per Respondent</w:t>
            </w:r>
          </w:p>
        </w:tc>
        <w:tc>
          <w:tcPr>
            <w:tcW w:w="1835" w:type="dxa"/>
          </w:tcPr>
          <w:p w:rsidR="002E115D" w14:paraId="2C16C622" w14:textId="26111FDD">
            <w:pPr>
              <w:rPr>
                <w:sz w:val="24"/>
              </w:rPr>
            </w:pPr>
            <w:r>
              <w:rPr>
                <w:sz w:val="24"/>
              </w:rPr>
              <w:t xml:space="preserve">Average Burden per Response </w:t>
            </w:r>
          </w:p>
        </w:tc>
        <w:tc>
          <w:tcPr>
            <w:tcW w:w="1835" w:type="dxa"/>
          </w:tcPr>
          <w:p w:rsidR="002E115D" w14:paraId="00BBD4A8" w14:textId="1602A833">
            <w:pPr>
              <w:rPr>
                <w:sz w:val="24"/>
              </w:rPr>
            </w:pPr>
            <w:r>
              <w:rPr>
                <w:sz w:val="24"/>
              </w:rPr>
              <w:t>Hourly Wage Rate</w:t>
            </w:r>
          </w:p>
        </w:tc>
        <w:tc>
          <w:tcPr>
            <w:tcW w:w="1835" w:type="dxa"/>
          </w:tcPr>
          <w:p w:rsidR="002E115D" w14:paraId="40D9DD64" w14:textId="5F0A379B">
            <w:pPr>
              <w:rPr>
                <w:sz w:val="24"/>
              </w:rPr>
            </w:pPr>
            <w:r>
              <w:rPr>
                <w:sz w:val="24"/>
              </w:rPr>
              <w:t>Total Burden</w:t>
            </w:r>
          </w:p>
        </w:tc>
      </w:tr>
      <w:tr w14:paraId="3A21727A" w14:textId="77777777" w:rsidTr="002E115D">
        <w:tblPrEx>
          <w:tblW w:w="0" w:type="auto"/>
          <w:tblLook w:val="04A0"/>
        </w:tblPrEx>
        <w:tc>
          <w:tcPr>
            <w:tcW w:w="1835" w:type="dxa"/>
          </w:tcPr>
          <w:p w:rsidR="002E115D" w14:paraId="3979B0CC" w14:textId="234B018E">
            <w:pPr>
              <w:rPr>
                <w:sz w:val="24"/>
              </w:rPr>
            </w:pPr>
            <w:r>
              <w:rPr>
                <w:sz w:val="24"/>
              </w:rPr>
              <w:t>Lead Consortium Members</w:t>
            </w:r>
          </w:p>
        </w:tc>
        <w:tc>
          <w:tcPr>
            <w:tcW w:w="1835" w:type="dxa"/>
          </w:tcPr>
          <w:p w:rsidR="002E115D" w14:paraId="0C804B18" w14:textId="5655AEF7">
            <w:pPr>
              <w:rPr>
                <w:sz w:val="24"/>
              </w:rPr>
            </w:pPr>
            <w:r>
              <w:rPr>
                <w:sz w:val="24"/>
              </w:rPr>
              <w:t>31</w:t>
            </w:r>
          </w:p>
        </w:tc>
        <w:tc>
          <w:tcPr>
            <w:tcW w:w="1835" w:type="dxa"/>
          </w:tcPr>
          <w:p w:rsidR="002E115D" w14:paraId="30CD9383" w14:textId="30262900">
            <w:pPr>
              <w:rPr>
                <w:sz w:val="24"/>
              </w:rPr>
            </w:pPr>
            <w:r>
              <w:rPr>
                <w:sz w:val="24"/>
              </w:rPr>
              <w:t>2</w:t>
            </w:r>
          </w:p>
        </w:tc>
        <w:tc>
          <w:tcPr>
            <w:tcW w:w="1835" w:type="dxa"/>
          </w:tcPr>
          <w:p w:rsidR="002E115D" w14:paraId="59A0E07B" w14:textId="42FFB4B9">
            <w:pPr>
              <w:rPr>
                <w:sz w:val="24"/>
              </w:rPr>
            </w:pPr>
            <w:r>
              <w:rPr>
                <w:sz w:val="24"/>
              </w:rPr>
              <w:t>3</w:t>
            </w:r>
          </w:p>
        </w:tc>
        <w:tc>
          <w:tcPr>
            <w:tcW w:w="1835" w:type="dxa"/>
          </w:tcPr>
          <w:p w:rsidR="002E115D" w14:paraId="0BD0AB00" w14:textId="139D0665">
            <w:pPr>
              <w:rPr>
                <w:sz w:val="24"/>
              </w:rPr>
            </w:pPr>
            <w:r>
              <w:rPr>
                <w:sz w:val="24"/>
              </w:rPr>
              <w:t>$62.04</w:t>
            </w:r>
          </w:p>
        </w:tc>
        <w:tc>
          <w:tcPr>
            <w:tcW w:w="1835" w:type="dxa"/>
          </w:tcPr>
          <w:p w:rsidR="002E115D" w14:paraId="5F3CCA15" w14:textId="36B6EAF1">
            <w:pPr>
              <w:rPr>
                <w:sz w:val="24"/>
              </w:rPr>
            </w:pPr>
            <w:r>
              <w:rPr>
                <w:sz w:val="24"/>
              </w:rPr>
              <w:t>$11,</w:t>
            </w:r>
            <w:r w:rsidR="00EA38C2">
              <w:rPr>
                <w:sz w:val="24"/>
              </w:rPr>
              <w:t>539</w:t>
            </w:r>
            <w:r>
              <w:rPr>
                <w:sz w:val="24"/>
              </w:rPr>
              <w:t>.44</w:t>
            </w:r>
          </w:p>
        </w:tc>
      </w:tr>
    </w:tbl>
    <w:p w:rsidR="002E115D" w14:paraId="1CFF6955" w14:textId="0406A04B">
      <w:pPr>
        <w:rPr>
          <w:sz w:val="24"/>
        </w:rPr>
      </w:pPr>
      <w:r w:rsidRPr="002E115D">
        <w:rPr>
          <w:i/>
          <w:iCs/>
          <w:sz w:val="24"/>
        </w:rPr>
        <w:t xml:space="preserve">Estimated Total Annual Cost to Public: </w:t>
      </w:r>
      <w:r w:rsidRPr="002E115D">
        <w:rPr>
          <w:sz w:val="24"/>
        </w:rPr>
        <w:t>$ 115,394 (cost assumes application of U.S. Bureau of Labor Statistics second quarter 2022 mean hourly employer costs for employee compensation for professional and related occupations of $62.04). </w:t>
      </w:r>
    </w:p>
    <w:p w:rsidR="002E115D" w14:paraId="6A7BC263" w14:textId="77777777">
      <w:pPr>
        <w:rPr>
          <w:sz w:val="24"/>
        </w:rPr>
      </w:pPr>
    </w:p>
    <w:p w:rsidR="008F2813" w14:paraId="3EE1D698" w14:textId="77777777">
      <w:pPr>
        <w:pStyle w:val="Heading1"/>
        <w:numPr>
          <w:ilvl w:val="0"/>
          <w:numId w:val="7"/>
        </w:numPr>
        <w:tabs>
          <w:tab w:val="left" w:pos="524"/>
        </w:tabs>
        <w:spacing w:before="80"/>
        <w:ind w:right="667" w:firstLine="0"/>
        <w:jc w:val="left"/>
      </w:pPr>
      <w:r>
        <w:t>Provide an estimate for the total annual cost burden to respondents or record</w:t>
      </w:r>
      <w:r>
        <w:rPr>
          <w:spacing w:val="-43"/>
        </w:rPr>
        <w:t xml:space="preserve"> </w:t>
      </w:r>
      <w:r>
        <w:t>keepers resulting from the collection of information. (Do not include the cost of any hour burden already reflected on the burden</w:t>
      </w:r>
      <w:r>
        <w:rPr>
          <w:spacing w:val="-25"/>
        </w:rPr>
        <w:t xml:space="preserve"> </w:t>
      </w:r>
      <w:r>
        <w:t>worksheet).</w:t>
      </w:r>
    </w:p>
    <w:p w:rsidR="0092154E" w14:paraId="06F92F04" w14:textId="77777777">
      <w:pPr>
        <w:rPr>
          <w:sz w:val="24"/>
        </w:rPr>
      </w:pPr>
    </w:p>
    <w:p w:rsidR="008F2813" w:rsidP="00485AF8" w14:paraId="0E1E7F94" w14:textId="677605AF">
      <w:pPr>
        <w:rPr>
          <w:sz w:val="24"/>
        </w:rPr>
      </w:pPr>
      <w:r w:rsidRPr="0092154E">
        <w:rPr>
          <w:sz w:val="24"/>
        </w:rPr>
        <w:t>Apart from the value of the burden hours, there is no additional cost to respondents associated with this information collection.</w:t>
      </w:r>
      <w:r w:rsidR="00485AF8">
        <w:rPr>
          <w:sz w:val="24"/>
        </w:rPr>
        <w:t xml:space="preserve"> </w:t>
      </w:r>
    </w:p>
    <w:p w:rsidR="00485AF8" w:rsidP="00485AF8" w14:paraId="5DFA10E0" w14:textId="77777777">
      <w:pPr>
        <w:rPr>
          <w:rFonts w:ascii="Calibri"/>
          <w:b/>
          <w:sz w:val="16"/>
        </w:rPr>
      </w:pPr>
    </w:p>
    <w:p w:rsidR="008F2813" w14:paraId="43111BD8" w14:textId="77777777">
      <w:pPr>
        <w:pStyle w:val="Heading1"/>
        <w:numPr>
          <w:ilvl w:val="0"/>
          <w:numId w:val="7"/>
        </w:numPr>
        <w:tabs>
          <w:tab w:val="left" w:pos="804"/>
        </w:tabs>
        <w:spacing w:before="0"/>
        <w:ind w:left="400" w:right="324" w:firstLine="0"/>
        <w:jc w:val="left"/>
      </w:pPr>
      <w: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w:t>
      </w:r>
      <w:r>
        <w:rPr>
          <w:spacing w:val="-46"/>
        </w:rPr>
        <w:t xml:space="preserve"> </w:t>
      </w:r>
      <w:r>
        <w:t>information.</w:t>
      </w:r>
    </w:p>
    <w:p w:rsidR="008F2813" w14:paraId="02660776" w14:textId="7BDBE4B0">
      <w:pPr>
        <w:spacing w:before="157"/>
        <w:ind w:left="400"/>
        <w:rPr>
          <w:b/>
          <w:sz w:val="24"/>
        </w:rPr>
      </w:pPr>
    </w:p>
    <w:p w:rsidR="008F2813" w:rsidP="00144787" w14:paraId="0DACD58B" w14:textId="5A42C90E">
      <w:pPr>
        <w:spacing w:line="259" w:lineRule="auto"/>
      </w:pPr>
      <w:r w:rsidRPr="00144787">
        <w:rPr>
          <w:sz w:val="24"/>
          <w:szCs w:val="24"/>
        </w:rPr>
        <w:t xml:space="preserve">EDA estimates the total annual cost burden to the federal government to be $ </w:t>
      </w:r>
      <w:r>
        <w:rPr>
          <w:sz w:val="24"/>
          <w:szCs w:val="24"/>
        </w:rPr>
        <w:t>11</w:t>
      </w:r>
      <w:r w:rsidRPr="00144787">
        <w:rPr>
          <w:sz w:val="24"/>
          <w:szCs w:val="24"/>
        </w:rPr>
        <w:t>,</w:t>
      </w:r>
      <w:r>
        <w:rPr>
          <w:sz w:val="24"/>
          <w:szCs w:val="24"/>
        </w:rPr>
        <w:t>539</w:t>
      </w:r>
      <w:r w:rsidRPr="00144787">
        <w:rPr>
          <w:sz w:val="24"/>
          <w:szCs w:val="24"/>
        </w:rPr>
        <w:t>.</w:t>
      </w:r>
      <w:r>
        <w:rPr>
          <w:sz w:val="24"/>
          <w:szCs w:val="24"/>
        </w:rPr>
        <w:t>44</w:t>
      </w:r>
      <w:r w:rsidRPr="00144787">
        <w:rPr>
          <w:sz w:val="24"/>
          <w:szCs w:val="24"/>
        </w:rPr>
        <w:t xml:space="preserve"> (cost assumes application of U.S. Bureau of Labor Statistics second quarter 2022 mean hourly employer costs for employee compensation for professional and related occupations of $62.04.  </w:t>
      </w:r>
      <w:r>
        <w:rPr>
          <w:sz w:val="24"/>
          <w:szCs w:val="24"/>
        </w:rPr>
        <w:t xml:space="preserve"> </w:t>
      </w:r>
    </w:p>
    <w:p w:rsidR="008F2813" w14:paraId="3A88EBD2" w14:textId="77777777">
      <w:pPr>
        <w:pStyle w:val="BodyText"/>
        <w:spacing w:before="9"/>
        <w:ind w:left="0"/>
        <w:rPr>
          <w:b/>
          <w:sz w:val="15"/>
        </w:rPr>
      </w:pPr>
    </w:p>
    <w:p w:rsidR="008F2813" w14:paraId="210F3CD8" w14:textId="77777777">
      <w:pPr>
        <w:pStyle w:val="ListParagraph"/>
        <w:numPr>
          <w:ilvl w:val="0"/>
          <w:numId w:val="7"/>
        </w:numPr>
        <w:tabs>
          <w:tab w:val="left" w:pos="504"/>
        </w:tabs>
        <w:spacing w:before="199"/>
        <w:ind w:left="503" w:hanging="403"/>
        <w:jc w:val="left"/>
        <w:rPr>
          <w:b/>
          <w:sz w:val="24"/>
        </w:rPr>
      </w:pPr>
      <w:r>
        <w:rPr>
          <w:b/>
          <w:sz w:val="24"/>
        </w:rPr>
        <w:t>Explain the reasons for any program changes or adjustments reported in</w:t>
      </w:r>
      <w:r>
        <w:rPr>
          <w:b/>
          <w:spacing w:val="-40"/>
          <w:sz w:val="24"/>
        </w:rPr>
        <w:t xml:space="preserve"> </w:t>
      </w:r>
      <w:r>
        <w:rPr>
          <w:b/>
          <w:sz w:val="24"/>
        </w:rPr>
        <w:t>ROCIS.</w:t>
      </w:r>
    </w:p>
    <w:p w:rsidR="006677EA" w14:paraId="4C55FFAB" w14:textId="77777777">
      <w:pPr>
        <w:pStyle w:val="BodyText"/>
        <w:spacing w:before="157"/>
        <w:ind w:right="987"/>
      </w:pPr>
      <w:r w:rsidRPr="006677EA">
        <w:t>EDA is requesting a revision and extension to the current OMB-approved survey, OMB control number 0610-0113.</w:t>
      </w:r>
    </w:p>
    <w:p w:rsidR="006677EA" w14:paraId="324983A8" w14:textId="43EAA003">
      <w:pPr>
        <w:pStyle w:val="BodyText"/>
        <w:spacing w:before="157"/>
        <w:ind w:right="987"/>
      </w:pPr>
      <w:r>
        <w:t xml:space="preserve">Summary of Changes: </w:t>
      </w:r>
    </w:p>
    <w:p w:rsidR="006677EA" w14:paraId="051756E0" w14:textId="0FB1C5A5">
      <w:pPr>
        <w:pStyle w:val="BodyText"/>
        <w:spacing w:before="157"/>
        <w:ind w:right="987"/>
      </w:pPr>
      <w:r w:rsidRPr="006677EA">
        <w:rPr>
          <w:b/>
          <w:bCs/>
        </w:rPr>
        <w:t>Frequency</w:t>
      </w:r>
      <w:r>
        <w:t xml:space="preserve">: </w:t>
      </w:r>
      <w:r w:rsidRPr="006677EA">
        <w:t xml:space="preserve">The reason for revision </w:t>
      </w:r>
      <w:r>
        <w:t xml:space="preserve">request </w:t>
      </w:r>
      <w:r w:rsidRPr="006677EA">
        <w:t>is the current survey requests information regarding current and past activities</w:t>
      </w:r>
      <w:r>
        <w:t xml:space="preserve"> over the past year</w:t>
      </w:r>
      <w:r w:rsidRPr="006677EA">
        <w:t>. This information was important to capture a</w:t>
      </w:r>
      <w:r w:rsidR="00485AF8">
        <w:t>s a</w:t>
      </w:r>
      <w:r w:rsidRPr="006677EA">
        <w:t xml:space="preserve"> starting point before program implementation</w:t>
      </w:r>
      <w:r>
        <w:t xml:space="preserve">. </w:t>
      </w:r>
      <w:r w:rsidRPr="006677EA">
        <w:t xml:space="preserve">Respondents </w:t>
      </w:r>
      <w:r>
        <w:t xml:space="preserve">will now begin </w:t>
      </w:r>
      <w:r w:rsidRPr="006677EA">
        <w:t>program implementation, and it is important to request information on activities on a more regular basis, therefore, the survey requests information on a semi-annual basis.</w:t>
      </w:r>
    </w:p>
    <w:p w:rsidR="00485AF8" w:rsidRPr="00485AF8" w14:paraId="11B5A5F8" w14:textId="74306743">
      <w:pPr>
        <w:pStyle w:val="BodyText"/>
        <w:spacing w:before="157"/>
        <w:ind w:right="987"/>
      </w:pPr>
      <w:r>
        <w:t>EDA is also requesting the survey be conducted for 10 years. The reasoning for this long duration is the program goal is to support the development of globally competitive Tech Hubs within ten years. This duration is necessary to allow for time for</w:t>
      </w:r>
      <w:r w:rsidR="7598E4B4">
        <w:t xml:space="preserve"> the pos</w:t>
      </w:r>
      <w:r w:rsidR="00E828D7">
        <w:t>i</w:t>
      </w:r>
      <w:r w:rsidR="7598E4B4">
        <w:t>tive impacts of</w:t>
      </w:r>
      <w:r>
        <w:t xml:space="preserve"> the funding and activities to be fully realized.</w:t>
      </w:r>
    </w:p>
    <w:p w:rsidR="00485AF8" w14:paraId="3CEC9874" w14:textId="7B8FBB85">
      <w:pPr>
        <w:pStyle w:val="BodyText"/>
        <w:spacing w:before="157"/>
        <w:ind w:right="987"/>
      </w:pPr>
      <w:r w:rsidRPr="006677EA">
        <w:rPr>
          <w:b/>
          <w:bCs/>
        </w:rPr>
        <w:t>Topics</w:t>
      </w:r>
      <w:r>
        <w:t>: The content will largely be similar to the current survey. Changes will include requesting additional detail on services and activities conducted, including workforce programs, e</w:t>
      </w:r>
      <w:r w:rsidRPr="006677EA">
        <w:t>ntrepreneur</w:t>
      </w:r>
      <w:r>
        <w:t xml:space="preserve">ship, commercialization, and access to facilities. This additional detail is necessary as respondents have </w:t>
      </w:r>
      <w:r>
        <w:t xml:space="preserve">now </w:t>
      </w:r>
      <w:r>
        <w:t xml:space="preserve">received funding and it is important to understand what activities </w:t>
      </w:r>
      <w:r>
        <w:t xml:space="preserve">are being supported by that funding. </w:t>
      </w:r>
    </w:p>
    <w:p w:rsidR="006677EA" w:rsidRPr="006677EA" w14:paraId="0A270760" w14:textId="287CFA63">
      <w:pPr>
        <w:pStyle w:val="BodyText"/>
        <w:spacing w:before="157"/>
        <w:ind w:right="987"/>
      </w:pPr>
      <w:r w:rsidRPr="65A706F4">
        <w:rPr>
          <w:b/>
          <w:bCs/>
        </w:rPr>
        <w:t>Response Burden</w:t>
      </w:r>
      <w:r>
        <w:t xml:space="preserve">: EDA anticipates the average burden per response and number of responses to be the same as the currently approved survey. This is because while additional detailed </w:t>
      </w:r>
      <w:r w:rsidR="727A2E46">
        <w:t xml:space="preserve">questions </w:t>
      </w:r>
      <w:r>
        <w:t>will be added, other questions will be removed. These questions include information that is not needed on a semi-annual basis and not likely to change. This may include, but is not limited to, industry type.</w:t>
      </w:r>
      <w:r w:rsidR="395A06C0">
        <w:t xml:space="preserve"> Response burden is increased only due to the increased frequency and duration of data collection.</w:t>
      </w:r>
      <w:r>
        <w:t xml:space="preserve"> </w:t>
      </w:r>
    </w:p>
    <w:p w:rsidR="008F2813" w14:paraId="7C00A03D" w14:textId="77777777">
      <w:pPr>
        <w:pStyle w:val="ListParagraph"/>
        <w:numPr>
          <w:ilvl w:val="0"/>
          <w:numId w:val="7"/>
        </w:numPr>
        <w:tabs>
          <w:tab w:val="left" w:pos="584"/>
        </w:tabs>
        <w:spacing w:before="123"/>
        <w:ind w:left="180" w:right="229" w:firstLine="0"/>
        <w:jc w:val="left"/>
        <w:rPr>
          <w:b/>
          <w:sz w:val="24"/>
        </w:rPr>
      </w:pPr>
      <w:r>
        <w:rPr>
          <w:b/>
          <w:sz w:val="24"/>
        </w:rPr>
        <w:t>For collections of information whose results will be published, outline plans for</w:t>
      </w:r>
      <w:r>
        <w:rPr>
          <w:b/>
          <w:spacing w:val="-46"/>
          <w:sz w:val="24"/>
        </w:rPr>
        <w:t xml:space="preserve"> </w:t>
      </w:r>
      <w:r>
        <w:rPr>
          <w:b/>
          <w:sz w:val="24"/>
        </w:rPr>
        <w:t>tabulation and publication. Address any complex analytical techniques that will be used. Provide the time schedule for the entire project, including beginning and ending dates of the collection of information, completion of report, publication dates, and other</w:t>
      </w:r>
      <w:r>
        <w:rPr>
          <w:b/>
          <w:spacing w:val="-36"/>
          <w:sz w:val="24"/>
        </w:rPr>
        <w:t xml:space="preserve"> </w:t>
      </w:r>
      <w:r>
        <w:rPr>
          <w:b/>
          <w:sz w:val="24"/>
        </w:rPr>
        <w:t>actions.</w:t>
      </w:r>
    </w:p>
    <w:p w:rsidR="00D14E45" w:rsidP="65A706F4" w14:paraId="3D48F352" w14:textId="77777777">
      <w:pPr>
        <w:pStyle w:val="paragraph"/>
        <w:spacing w:before="0" w:beforeAutospacing="0" w:after="0" w:afterAutospacing="0"/>
        <w:ind w:left="120"/>
        <w:textAlignment w:val="baseline"/>
        <w:rPr>
          <w:rFonts w:ascii="Arial" w:eastAsia="Arial" w:hAnsi="Arial" w:cs="Arial"/>
          <w:color w:val="000000"/>
        </w:rPr>
      </w:pPr>
      <w:r w:rsidRPr="65A706F4">
        <w:rPr>
          <w:rStyle w:val="normaltextrun"/>
          <w:rFonts w:ascii="Arial" w:eastAsia="Arial" w:hAnsi="Arial" w:cs="Arial"/>
          <w:color w:val="000000" w:themeColor="text1"/>
        </w:rPr>
        <w:t>Specific details of information collected from respondents will generally not be published. </w:t>
      </w:r>
      <w:r w:rsidRPr="65A706F4">
        <w:rPr>
          <w:rStyle w:val="eop"/>
          <w:rFonts w:ascii="Arial" w:eastAsia="Arial" w:hAnsi="Arial" w:cs="Arial"/>
          <w:color w:val="000000" w:themeColor="text1"/>
        </w:rPr>
        <w:t> </w:t>
      </w:r>
    </w:p>
    <w:p w:rsidR="00D14E45" w:rsidP="65A706F4" w14:paraId="138FEEB7" w14:textId="77777777">
      <w:pPr>
        <w:pStyle w:val="paragraph"/>
        <w:spacing w:before="0" w:beforeAutospacing="0" w:after="0" w:afterAutospacing="0"/>
        <w:ind w:left="120"/>
        <w:textAlignment w:val="baseline"/>
        <w:rPr>
          <w:rStyle w:val="normaltextrun"/>
          <w:rFonts w:ascii="Arial" w:eastAsia="Arial" w:hAnsi="Arial" w:cs="Arial"/>
          <w:color w:val="000000"/>
        </w:rPr>
      </w:pPr>
    </w:p>
    <w:p w:rsidR="00D14E45" w:rsidRPr="00485AF8" w:rsidP="65A706F4" w14:paraId="761E7DFF" w14:textId="225F121C">
      <w:pPr>
        <w:pStyle w:val="paragraph"/>
        <w:spacing w:before="0" w:beforeAutospacing="0" w:after="0" w:afterAutospacing="0"/>
        <w:ind w:left="120"/>
        <w:textAlignment w:val="baseline"/>
        <w:rPr>
          <w:rFonts w:ascii="Arial" w:eastAsia="Arial" w:hAnsi="Arial" w:cs="Arial"/>
          <w:color w:val="000000"/>
        </w:rPr>
      </w:pPr>
      <w:r w:rsidRPr="65A706F4">
        <w:rPr>
          <w:rStyle w:val="normaltextrun"/>
          <w:rFonts w:ascii="Arial" w:eastAsia="Arial" w:hAnsi="Arial" w:cs="Arial"/>
          <w:color w:val="000000" w:themeColor="text1"/>
        </w:rPr>
        <w:t>However, information collected from respondents may be published in aggregate form as part of EDA’s annual report, GPRA reporting, progress reports to the DOC and/or its OIG, or other summary reports.</w:t>
      </w:r>
      <w:r w:rsidRPr="65A706F4">
        <w:rPr>
          <w:rStyle w:val="eop"/>
          <w:rFonts w:ascii="Arial" w:eastAsia="Arial" w:hAnsi="Arial" w:cs="Arial"/>
          <w:color w:val="000000" w:themeColor="text1"/>
        </w:rPr>
        <w:t> </w:t>
      </w:r>
    </w:p>
    <w:p w:rsidR="008F2813" w:rsidRPr="00485AF8" w:rsidP="00485AF8" w14:paraId="2186421B" w14:textId="3839F454">
      <w:pPr>
        <w:pStyle w:val="Heading1"/>
        <w:numPr>
          <w:ilvl w:val="0"/>
          <w:numId w:val="7"/>
        </w:numPr>
        <w:tabs>
          <w:tab w:val="left" w:pos="584"/>
        </w:tabs>
        <w:spacing w:before="115"/>
        <w:ind w:left="180" w:right="309" w:firstLine="0"/>
        <w:jc w:val="left"/>
      </w:pPr>
      <w:r>
        <w:t>If seeking approval to not display the expiration date for OMB approval of the</w:t>
      </w:r>
      <w:r>
        <w:rPr>
          <w:spacing w:val="-43"/>
        </w:rPr>
        <w:t xml:space="preserve"> </w:t>
      </w:r>
      <w:r>
        <w:t>information collection, explain the reasons that display would be</w:t>
      </w:r>
      <w:r>
        <w:rPr>
          <w:spacing w:val="-35"/>
        </w:rPr>
        <w:t xml:space="preserve"> </w:t>
      </w:r>
      <w:r>
        <w:t>inappropriate.</w:t>
      </w:r>
    </w:p>
    <w:p w:rsidR="00D14E45" w14:paraId="1C576F6F" w14:textId="77777777">
      <w:pPr>
        <w:rPr>
          <w:sz w:val="24"/>
        </w:rPr>
      </w:pPr>
    </w:p>
    <w:p w:rsidR="00485AF8" w14:paraId="7BEF3482" w14:textId="7ABE8B6D">
      <w:pPr>
        <w:rPr>
          <w:sz w:val="24"/>
        </w:rPr>
      </w:pPr>
      <w:r w:rsidRPr="00D14E45">
        <w:rPr>
          <w:sz w:val="24"/>
        </w:rPr>
        <w:t>EDA is not seeking approval to not display the expiration date of OMB approval for the information collections. </w:t>
      </w:r>
    </w:p>
    <w:p w:rsidR="008F2813" w:rsidP="00C24AC2" w14:paraId="69EB4984" w14:textId="77777777">
      <w:pPr>
        <w:pStyle w:val="Heading1"/>
        <w:numPr>
          <w:ilvl w:val="0"/>
          <w:numId w:val="7"/>
        </w:numPr>
        <w:tabs>
          <w:tab w:val="left" w:pos="504"/>
        </w:tabs>
        <w:spacing w:before="220" w:line="259" w:lineRule="auto"/>
        <w:ind w:left="100" w:right="931" w:hanging="400"/>
        <w:jc w:val="left"/>
      </w:pPr>
      <w:r>
        <w:t xml:space="preserve">Explain each exception to the certification statement identified in “Certification </w:t>
      </w:r>
      <w:r w:rsidRPr="00D14E45">
        <w:rPr>
          <w:spacing w:val="-2"/>
        </w:rPr>
        <w:t xml:space="preserve">for </w:t>
      </w:r>
      <w:r>
        <w:t>Paperwork Reduction Act</w:t>
      </w:r>
      <w:r w:rsidRPr="00D14E45">
        <w:rPr>
          <w:spacing w:val="-21"/>
        </w:rPr>
        <w:t xml:space="preserve"> </w:t>
      </w:r>
      <w:r>
        <w:t>Submissions."</w:t>
      </w:r>
    </w:p>
    <w:p w:rsidR="00D14E45" w:rsidRPr="00D14E45" w:rsidP="00D14E45" w14:paraId="708FCD6A" w14:textId="40E4C77B">
      <w:pPr>
        <w:pStyle w:val="Heading1"/>
        <w:tabs>
          <w:tab w:val="left" w:pos="504"/>
        </w:tabs>
        <w:spacing w:before="220" w:line="259" w:lineRule="auto"/>
        <w:ind w:right="931"/>
        <w:rPr>
          <w:b w:val="0"/>
          <w:bCs w:val="0"/>
        </w:rPr>
      </w:pPr>
      <w:r w:rsidRPr="00D14E45">
        <w:rPr>
          <w:b w:val="0"/>
          <w:bCs w:val="0"/>
        </w:rPr>
        <w:t>There are no exceptions to the certification statement. </w:t>
      </w:r>
    </w:p>
    <w:sectPr w:rsidSect="006432B4">
      <w:footerReference w:type="default" r:id="rId8"/>
      <w:pgSz w:w="12240" w:h="15840"/>
      <w:pgMar w:top="640" w:right="660" w:bottom="1200" w:left="62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2813" w14:paraId="48A33E42" w14:textId="77777777">
    <w:pPr>
      <w:pStyle w:val="BodyText"/>
      <w:spacing w:before="0" w:line="14" w:lineRule="auto"/>
      <w:ind w:left="0"/>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444500</wp:posOffset>
              </wp:positionH>
              <wp:positionV relativeFrom="page">
                <wp:posOffset>9274810</wp:posOffset>
              </wp:positionV>
              <wp:extent cx="519430" cy="165735"/>
              <wp:effectExtent l="0" t="0" r="0" b="0"/>
              <wp:wrapNone/>
              <wp:docPr id="8"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9430"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2813" w14:textId="77777777">
                          <w:pPr>
                            <w:spacing w:line="245" w:lineRule="exact"/>
                            <w:ind w:left="20"/>
                            <w:rPr>
                              <w:rFonts w:ascii="Calibri"/>
                              <w:b/>
                            </w:rPr>
                          </w:pPr>
                          <w:r>
                            <w:rPr>
                              <w:rFonts w:ascii="Calibri"/>
                              <w:b/>
                            </w:rPr>
                            <w:t xml:space="preserve">Page | </w:t>
                          </w:r>
                          <w:r>
                            <w:fldChar w:fldCharType="begin"/>
                          </w:r>
                          <w:r>
                            <w:rPr>
                              <w:rFonts w:ascii="Calibri"/>
                              <w:b/>
                            </w:rP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2049" type="#_x0000_t202" style="width:40.9pt;height:13.05pt;margin-top:730.3pt;margin-left: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8F2813" w14:paraId="6DA0F7C0" w14:textId="77777777">
                    <w:pPr>
                      <w:spacing w:line="245" w:lineRule="exact"/>
                      <w:ind w:left="20"/>
                      <w:rPr>
                        <w:rFonts w:ascii="Calibri"/>
                        <w:b/>
                      </w:rPr>
                    </w:pPr>
                    <w:r>
                      <w:rPr>
                        <w:rFonts w:ascii="Calibri"/>
                        <w:b/>
                      </w:rPr>
                      <w:t xml:space="preserve">Page | </w:t>
                    </w:r>
                    <w:r>
                      <w:fldChar w:fldCharType="begin"/>
                    </w:r>
                    <w:r>
                      <w:rPr>
                        <w:rFonts w:ascii="Calibri"/>
                        <w:b/>
                      </w:rPr>
                      <w:instrText xml:space="preserve"> PAGE </w:instrText>
                    </w:r>
                    <w:r>
                      <w:fldChar w:fldCharType="separate"/>
                    </w:r>
                    <w:r>
                      <w:t>1</w:t>
                    </w:r>
                    <w:r>
                      <w:fldChar w:fldCharType="end"/>
                    </w:r>
                  </w:p>
                </w:txbxContent>
              </v:textbox>
            </v:shap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5222240</wp:posOffset>
              </wp:positionH>
              <wp:positionV relativeFrom="page">
                <wp:posOffset>9274810</wp:posOffset>
              </wp:positionV>
              <wp:extent cx="1812925" cy="165735"/>
              <wp:effectExtent l="2540" t="0" r="3810" b="0"/>
              <wp:wrapNone/>
              <wp:docPr id="7"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12925"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2813" w14:textId="77777777">
                          <w:pPr>
                            <w:spacing w:line="245" w:lineRule="exact"/>
                            <w:ind w:left="20"/>
                            <w:rPr>
                              <w:rFonts w:ascii="Calibri"/>
                              <w:b/>
                            </w:rPr>
                          </w:pPr>
                          <w:r>
                            <w:rPr>
                              <w:rFonts w:ascii="Calibri"/>
                              <w:b/>
                            </w:rPr>
                            <w:t>DOC PRA ICR TOOLS MAY 2020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 o:spid="_x0000_s2050" type="#_x0000_t202" style="width:142.75pt;height:13.05pt;margin-top:730.3pt;margin-left:411.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8F2813" w14:paraId="5BA72D02" w14:textId="77777777">
                    <w:pPr>
                      <w:spacing w:line="245" w:lineRule="exact"/>
                      <w:ind w:left="20"/>
                      <w:rPr>
                        <w:rFonts w:ascii="Calibri"/>
                        <w:b/>
                      </w:rPr>
                    </w:pPr>
                    <w:r>
                      <w:rPr>
                        <w:rFonts w:ascii="Calibri"/>
                        <w:b/>
                      </w:rPr>
                      <w:t>DOC PRA ICR TOOLS MAY 2020</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2813" w14:paraId="74D1143F" w14:textId="77777777">
    <w:pPr>
      <w:pStyle w:val="BodyText"/>
      <w:spacing w:before="0" w:line="14" w:lineRule="auto"/>
      <w:ind w:left="0"/>
      <w:rPr>
        <w:sz w:val="20"/>
      </w:rPr>
    </w:pPr>
    <w:r>
      <w:rPr>
        <w:noProof/>
      </w:rPr>
      <mc:AlternateContent>
        <mc:Choice Requires="wps">
          <w:drawing>
            <wp:anchor distT="0" distB="0" distL="114300" distR="114300" simplePos="0" relativeHeight="251662336" behindDoc="1" locked="0" layoutInCell="1" allowOverlap="1">
              <wp:simplePos x="0" y="0"/>
              <wp:positionH relativeFrom="page">
                <wp:posOffset>444500</wp:posOffset>
              </wp:positionH>
              <wp:positionV relativeFrom="page">
                <wp:posOffset>9274810</wp:posOffset>
              </wp:positionV>
              <wp:extent cx="591820" cy="165735"/>
              <wp:effectExtent l="0" t="0" r="1905" b="0"/>
              <wp:wrapNone/>
              <wp:docPr id="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1820"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2813" w14:textId="77777777">
                          <w:pPr>
                            <w:spacing w:line="245" w:lineRule="exact"/>
                            <w:ind w:left="20"/>
                            <w:rPr>
                              <w:rFonts w:ascii="Calibri"/>
                              <w:b/>
                            </w:rPr>
                          </w:pPr>
                          <w:r>
                            <w:rPr>
                              <w:rFonts w:ascii="Calibri"/>
                              <w:b/>
                            </w:rPr>
                            <w:t xml:space="preserve">Page | </w:t>
                          </w:r>
                          <w:r>
                            <w:fldChar w:fldCharType="begin"/>
                          </w:r>
                          <w:r>
                            <w:rPr>
                              <w:rFonts w:ascii="Calibri"/>
                              <w:b/>
                            </w:rPr>
                            <w:instrText xml:space="preserve"> PAGE </w:instrText>
                          </w:r>
                          <w:r>
                            <w:fldChar w:fldCharType="separate"/>
                          </w:r>
                          <w:r>
                            <w:t>11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51" type="#_x0000_t202" style="width:46.6pt;height:13.05pt;margin-top:730.3pt;margin-left: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8F2813" w14:paraId="271B5209" w14:textId="77777777">
                    <w:pPr>
                      <w:spacing w:line="245" w:lineRule="exact"/>
                      <w:ind w:left="20"/>
                      <w:rPr>
                        <w:rFonts w:ascii="Calibri"/>
                        <w:b/>
                      </w:rPr>
                    </w:pPr>
                    <w:r>
                      <w:rPr>
                        <w:rFonts w:ascii="Calibri"/>
                        <w:b/>
                      </w:rPr>
                      <w:t xml:space="preserve">Page | </w:t>
                    </w:r>
                    <w:r>
                      <w:fldChar w:fldCharType="begin"/>
                    </w:r>
                    <w:r>
                      <w:rPr>
                        <w:rFonts w:ascii="Calibri"/>
                        <w:b/>
                      </w:rPr>
                      <w:instrText xml:space="preserve"> PAGE </w:instrText>
                    </w:r>
                    <w:r>
                      <w:fldChar w:fldCharType="separate"/>
                    </w:r>
                    <w:r>
                      <w:t>11</w:t>
                    </w:r>
                    <w:r>
                      <w:fldChar w:fldCharType="end"/>
                    </w:r>
                  </w:p>
                </w:txbxContent>
              </v:textbox>
            </v:shape>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page">
                <wp:posOffset>5293995</wp:posOffset>
              </wp:positionH>
              <wp:positionV relativeFrom="page">
                <wp:posOffset>9274810</wp:posOffset>
              </wp:positionV>
              <wp:extent cx="1812925" cy="165735"/>
              <wp:effectExtent l="0" t="0" r="0" b="0"/>
              <wp:wrapNone/>
              <wp:docPr id="2"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12925"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2813" w14:textId="77777777">
                          <w:pPr>
                            <w:spacing w:line="245" w:lineRule="exact"/>
                            <w:ind w:left="20"/>
                            <w:rPr>
                              <w:rFonts w:ascii="Calibri"/>
                              <w:b/>
                            </w:rPr>
                          </w:pPr>
                          <w:r>
                            <w:rPr>
                              <w:rFonts w:ascii="Calibri"/>
                              <w:b/>
                            </w:rPr>
                            <w:t>DOC PRA ICR TOOLS MAY 2020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 o:spid="_x0000_s2052" type="#_x0000_t202" style="width:142.75pt;height:13.05pt;margin-top:730.3pt;margin-left:416.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8F2813" w14:paraId="13B5A74D" w14:textId="77777777">
                    <w:pPr>
                      <w:spacing w:line="245" w:lineRule="exact"/>
                      <w:ind w:left="20"/>
                      <w:rPr>
                        <w:rFonts w:ascii="Calibri"/>
                        <w:b/>
                      </w:rPr>
                    </w:pPr>
                    <w:r>
                      <w:rPr>
                        <w:rFonts w:ascii="Calibri"/>
                        <w:b/>
                      </w:rPr>
                      <w:t>DOC PRA ICR TOOLS MAY 2020</w:t>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1928E3"/>
    <w:multiLevelType w:val="hybridMultilevel"/>
    <w:tmpl w:val="728E50D8"/>
    <w:lvl w:ilvl="0">
      <w:start w:val="0"/>
      <w:numFmt w:val="bullet"/>
      <w:lvlText w:val=""/>
      <w:lvlJc w:val="left"/>
      <w:pPr>
        <w:ind w:left="840" w:hanging="360"/>
      </w:pPr>
      <w:rPr>
        <w:rFonts w:ascii="Symbol" w:eastAsia="Symbol" w:hAnsi="Symbol" w:cs="Symbol" w:hint="default"/>
        <w:color w:val="2F5496"/>
        <w:w w:val="99"/>
        <w:sz w:val="20"/>
        <w:szCs w:val="20"/>
      </w:rPr>
    </w:lvl>
    <w:lvl w:ilvl="1">
      <w:start w:val="0"/>
      <w:numFmt w:val="bullet"/>
      <w:lvlText w:val="•"/>
      <w:lvlJc w:val="left"/>
      <w:pPr>
        <w:ind w:left="1858" w:hanging="360"/>
      </w:pPr>
      <w:rPr>
        <w:rFonts w:hint="default"/>
      </w:rPr>
    </w:lvl>
    <w:lvl w:ilvl="2">
      <w:start w:val="0"/>
      <w:numFmt w:val="bullet"/>
      <w:lvlText w:val="•"/>
      <w:lvlJc w:val="left"/>
      <w:pPr>
        <w:ind w:left="2876" w:hanging="360"/>
      </w:pPr>
      <w:rPr>
        <w:rFonts w:hint="default"/>
      </w:rPr>
    </w:lvl>
    <w:lvl w:ilvl="3">
      <w:start w:val="0"/>
      <w:numFmt w:val="bullet"/>
      <w:lvlText w:val="•"/>
      <w:lvlJc w:val="left"/>
      <w:pPr>
        <w:ind w:left="3894" w:hanging="360"/>
      </w:pPr>
      <w:rPr>
        <w:rFonts w:hint="default"/>
      </w:rPr>
    </w:lvl>
    <w:lvl w:ilvl="4">
      <w:start w:val="0"/>
      <w:numFmt w:val="bullet"/>
      <w:lvlText w:val="•"/>
      <w:lvlJc w:val="left"/>
      <w:pPr>
        <w:ind w:left="4912" w:hanging="360"/>
      </w:pPr>
      <w:rPr>
        <w:rFonts w:hint="default"/>
      </w:rPr>
    </w:lvl>
    <w:lvl w:ilvl="5">
      <w:start w:val="0"/>
      <w:numFmt w:val="bullet"/>
      <w:lvlText w:val="•"/>
      <w:lvlJc w:val="left"/>
      <w:pPr>
        <w:ind w:left="5930" w:hanging="360"/>
      </w:pPr>
      <w:rPr>
        <w:rFonts w:hint="default"/>
      </w:rPr>
    </w:lvl>
    <w:lvl w:ilvl="6">
      <w:start w:val="0"/>
      <w:numFmt w:val="bullet"/>
      <w:lvlText w:val="•"/>
      <w:lvlJc w:val="left"/>
      <w:pPr>
        <w:ind w:left="6948" w:hanging="360"/>
      </w:pPr>
      <w:rPr>
        <w:rFonts w:hint="default"/>
      </w:rPr>
    </w:lvl>
    <w:lvl w:ilvl="7">
      <w:start w:val="0"/>
      <w:numFmt w:val="bullet"/>
      <w:lvlText w:val="•"/>
      <w:lvlJc w:val="left"/>
      <w:pPr>
        <w:ind w:left="7966" w:hanging="360"/>
      </w:pPr>
      <w:rPr>
        <w:rFonts w:hint="default"/>
      </w:rPr>
    </w:lvl>
    <w:lvl w:ilvl="8">
      <w:start w:val="0"/>
      <w:numFmt w:val="bullet"/>
      <w:lvlText w:val="•"/>
      <w:lvlJc w:val="left"/>
      <w:pPr>
        <w:ind w:left="8984" w:hanging="360"/>
      </w:pPr>
      <w:rPr>
        <w:rFonts w:hint="default"/>
      </w:rPr>
    </w:lvl>
  </w:abstractNum>
  <w:abstractNum w:abstractNumId="1">
    <w:nsid w:val="12B01F4F"/>
    <w:multiLevelType w:val="hybridMultilevel"/>
    <w:tmpl w:val="B5C4B766"/>
    <w:lvl w:ilvl="0">
      <w:start w:val="0"/>
      <w:numFmt w:val="bullet"/>
      <w:lvlText w:val=""/>
      <w:lvlJc w:val="left"/>
      <w:pPr>
        <w:ind w:left="463" w:hanging="360"/>
      </w:pPr>
      <w:rPr>
        <w:rFonts w:ascii="Symbol" w:eastAsia="Symbol" w:hAnsi="Symbol" w:cs="Symbol" w:hint="default"/>
        <w:color w:val="2F5496"/>
        <w:w w:val="99"/>
        <w:sz w:val="20"/>
        <w:szCs w:val="20"/>
      </w:rPr>
    </w:lvl>
    <w:lvl w:ilvl="1">
      <w:start w:val="0"/>
      <w:numFmt w:val="bullet"/>
      <w:lvlText w:val="•"/>
      <w:lvlJc w:val="left"/>
      <w:pPr>
        <w:ind w:left="713" w:hanging="360"/>
      </w:pPr>
      <w:rPr>
        <w:rFonts w:hint="default"/>
      </w:rPr>
    </w:lvl>
    <w:lvl w:ilvl="2">
      <w:start w:val="0"/>
      <w:numFmt w:val="bullet"/>
      <w:lvlText w:val="•"/>
      <w:lvlJc w:val="left"/>
      <w:pPr>
        <w:ind w:left="966" w:hanging="360"/>
      </w:pPr>
      <w:rPr>
        <w:rFonts w:hint="default"/>
      </w:rPr>
    </w:lvl>
    <w:lvl w:ilvl="3">
      <w:start w:val="0"/>
      <w:numFmt w:val="bullet"/>
      <w:lvlText w:val="•"/>
      <w:lvlJc w:val="left"/>
      <w:pPr>
        <w:ind w:left="1219" w:hanging="360"/>
      </w:pPr>
      <w:rPr>
        <w:rFonts w:hint="default"/>
      </w:rPr>
    </w:lvl>
    <w:lvl w:ilvl="4">
      <w:start w:val="0"/>
      <w:numFmt w:val="bullet"/>
      <w:lvlText w:val="•"/>
      <w:lvlJc w:val="left"/>
      <w:pPr>
        <w:ind w:left="1472" w:hanging="360"/>
      </w:pPr>
      <w:rPr>
        <w:rFonts w:hint="default"/>
      </w:rPr>
    </w:lvl>
    <w:lvl w:ilvl="5">
      <w:start w:val="0"/>
      <w:numFmt w:val="bullet"/>
      <w:lvlText w:val="•"/>
      <w:lvlJc w:val="left"/>
      <w:pPr>
        <w:ind w:left="1725" w:hanging="360"/>
      </w:pPr>
      <w:rPr>
        <w:rFonts w:hint="default"/>
      </w:rPr>
    </w:lvl>
    <w:lvl w:ilvl="6">
      <w:start w:val="0"/>
      <w:numFmt w:val="bullet"/>
      <w:lvlText w:val="•"/>
      <w:lvlJc w:val="left"/>
      <w:pPr>
        <w:ind w:left="1978" w:hanging="360"/>
      </w:pPr>
      <w:rPr>
        <w:rFonts w:hint="default"/>
      </w:rPr>
    </w:lvl>
    <w:lvl w:ilvl="7">
      <w:start w:val="0"/>
      <w:numFmt w:val="bullet"/>
      <w:lvlText w:val="•"/>
      <w:lvlJc w:val="left"/>
      <w:pPr>
        <w:ind w:left="2231" w:hanging="360"/>
      </w:pPr>
      <w:rPr>
        <w:rFonts w:hint="default"/>
      </w:rPr>
    </w:lvl>
    <w:lvl w:ilvl="8">
      <w:start w:val="0"/>
      <w:numFmt w:val="bullet"/>
      <w:lvlText w:val="•"/>
      <w:lvlJc w:val="left"/>
      <w:pPr>
        <w:ind w:left="2484" w:hanging="360"/>
      </w:pPr>
      <w:rPr>
        <w:rFonts w:hint="default"/>
      </w:rPr>
    </w:lvl>
  </w:abstractNum>
  <w:abstractNum w:abstractNumId="2">
    <w:nsid w:val="2B006679"/>
    <w:multiLevelType w:val="hybridMultilevel"/>
    <w:tmpl w:val="FAEA91E0"/>
    <w:lvl w:ilvl="0">
      <w:start w:val="2"/>
      <w:numFmt w:val="upperLetter"/>
      <w:lvlText w:val="%1."/>
      <w:lvlJc w:val="left"/>
      <w:pPr>
        <w:ind w:left="407" w:hanging="308"/>
      </w:pPr>
      <w:rPr>
        <w:rFonts w:ascii="Arial" w:eastAsia="Arial" w:hAnsi="Arial" w:cs="Arial" w:hint="default"/>
        <w:b/>
        <w:bCs/>
        <w:spacing w:val="-1"/>
        <w:w w:val="99"/>
        <w:sz w:val="24"/>
        <w:szCs w:val="24"/>
      </w:rPr>
    </w:lvl>
    <w:lvl w:ilvl="1">
      <w:start w:val="1"/>
      <w:numFmt w:val="decimal"/>
      <w:lvlText w:val="%2."/>
      <w:lvlJc w:val="left"/>
      <w:pPr>
        <w:ind w:left="100" w:hanging="269"/>
      </w:pPr>
      <w:rPr>
        <w:rFonts w:ascii="Arial" w:eastAsia="Arial" w:hAnsi="Arial" w:cs="Arial" w:hint="default"/>
        <w:b/>
        <w:bCs/>
        <w:w w:val="100"/>
        <w:sz w:val="24"/>
        <w:szCs w:val="24"/>
      </w:rPr>
    </w:lvl>
    <w:lvl w:ilvl="2">
      <w:start w:val="0"/>
      <w:numFmt w:val="bullet"/>
      <w:lvlText w:val=""/>
      <w:lvlJc w:val="left"/>
      <w:pPr>
        <w:ind w:left="820" w:hanging="360"/>
      </w:pPr>
      <w:rPr>
        <w:rFonts w:ascii="Symbol" w:eastAsia="Symbol" w:hAnsi="Symbol" w:cs="Symbol" w:hint="default"/>
        <w:color w:val="2F5496"/>
        <w:w w:val="99"/>
        <w:sz w:val="20"/>
        <w:szCs w:val="20"/>
      </w:rPr>
    </w:lvl>
    <w:lvl w:ilvl="3">
      <w:start w:val="0"/>
      <w:numFmt w:val="bullet"/>
      <w:lvlText w:val="•"/>
      <w:lvlJc w:val="left"/>
      <w:pPr>
        <w:ind w:left="2087" w:hanging="360"/>
      </w:pPr>
      <w:rPr>
        <w:rFonts w:hint="default"/>
      </w:rPr>
    </w:lvl>
    <w:lvl w:ilvl="4">
      <w:start w:val="0"/>
      <w:numFmt w:val="bullet"/>
      <w:lvlText w:val="•"/>
      <w:lvlJc w:val="left"/>
      <w:pPr>
        <w:ind w:left="3355" w:hanging="360"/>
      </w:pPr>
      <w:rPr>
        <w:rFonts w:hint="default"/>
      </w:rPr>
    </w:lvl>
    <w:lvl w:ilvl="5">
      <w:start w:val="0"/>
      <w:numFmt w:val="bullet"/>
      <w:lvlText w:val="•"/>
      <w:lvlJc w:val="left"/>
      <w:pPr>
        <w:ind w:left="4622" w:hanging="360"/>
      </w:pPr>
      <w:rPr>
        <w:rFonts w:hint="default"/>
      </w:rPr>
    </w:lvl>
    <w:lvl w:ilvl="6">
      <w:start w:val="0"/>
      <w:numFmt w:val="bullet"/>
      <w:lvlText w:val="•"/>
      <w:lvlJc w:val="left"/>
      <w:pPr>
        <w:ind w:left="5890" w:hanging="360"/>
      </w:pPr>
      <w:rPr>
        <w:rFonts w:hint="default"/>
      </w:rPr>
    </w:lvl>
    <w:lvl w:ilvl="7">
      <w:start w:val="0"/>
      <w:numFmt w:val="bullet"/>
      <w:lvlText w:val="•"/>
      <w:lvlJc w:val="left"/>
      <w:pPr>
        <w:ind w:left="7157" w:hanging="360"/>
      </w:pPr>
      <w:rPr>
        <w:rFonts w:hint="default"/>
      </w:rPr>
    </w:lvl>
    <w:lvl w:ilvl="8">
      <w:start w:val="0"/>
      <w:numFmt w:val="bullet"/>
      <w:lvlText w:val="•"/>
      <w:lvlJc w:val="left"/>
      <w:pPr>
        <w:ind w:left="8425" w:hanging="360"/>
      </w:pPr>
      <w:rPr>
        <w:rFonts w:hint="default"/>
      </w:rPr>
    </w:lvl>
  </w:abstractNum>
  <w:abstractNum w:abstractNumId="3">
    <w:nsid w:val="39984B07"/>
    <w:multiLevelType w:val="hybridMultilevel"/>
    <w:tmpl w:val="FEF6ED8A"/>
    <w:lvl w:ilvl="0">
      <w:start w:val="0"/>
      <w:numFmt w:val="bullet"/>
      <w:lvlText w:val=""/>
      <w:lvlJc w:val="left"/>
      <w:pPr>
        <w:ind w:left="480" w:hanging="360"/>
      </w:pPr>
      <w:rPr>
        <w:rFonts w:hint="default"/>
        <w:w w:val="99"/>
      </w:rPr>
    </w:lvl>
    <w:lvl w:ilvl="1">
      <w:start w:val="0"/>
      <w:numFmt w:val="bullet"/>
      <w:lvlText w:val=""/>
      <w:lvlJc w:val="left"/>
      <w:pPr>
        <w:ind w:left="840" w:hanging="360"/>
      </w:pPr>
      <w:rPr>
        <w:rFonts w:ascii="Symbol" w:eastAsia="Symbol" w:hAnsi="Symbol" w:cs="Symbol" w:hint="default"/>
        <w:color w:val="2F5496"/>
        <w:w w:val="99"/>
        <w:sz w:val="20"/>
        <w:szCs w:val="20"/>
      </w:rPr>
    </w:lvl>
    <w:lvl w:ilvl="2">
      <w:start w:val="0"/>
      <w:numFmt w:val="bullet"/>
      <w:lvlText w:val="•"/>
      <w:lvlJc w:val="left"/>
      <w:pPr>
        <w:ind w:left="1971" w:hanging="360"/>
      </w:pPr>
      <w:rPr>
        <w:rFonts w:hint="default"/>
      </w:rPr>
    </w:lvl>
    <w:lvl w:ilvl="3">
      <w:start w:val="0"/>
      <w:numFmt w:val="bullet"/>
      <w:lvlText w:val="•"/>
      <w:lvlJc w:val="left"/>
      <w:pPr>
        <w:ind w:left="3102" w:hanging="360"/>
      </w:pPr>
      <w:rPr>
        <w:rFonts w:hint="default"/>
      </w:rPr>
    </w:lvl>
    <w:lvl w:ilvl="4">
      <w:start w:val="0"/>
      <w:numFmt w:val="bullet"/>
      <w:lvlText w:val="•"/>
      <w:lvlJc w:val="left"/>
      <w:pPr>
        <w:ind w:left="4233" w:hanging="360"/>
      </w:pPr>
      <w:rPr>
        <w:rFonts w:hint="default"/>
      </w:rPr>
    </w:lvl>
    <w:lvl w:ilvl="5">
      <w:start w:val="0"/>
      <w:numFmt w:val="bullet"/>
      <w:lvlText w:val="•"/>
      <w:lvlJc w:val="left"/>
      <w:pPr>
        <w:ind w:left="5364" w:hanging="360"/>
      </w:pPr>
      <w:rPr>
        <w:rFonts w:hint="default"/>
      </w:rPr>
    </w:lvl>
    <w:lvl w:ilvl="6">
      <w:start w:val="0"/>
      <w:numFmt w:val="bullet"/>
      <w:lvlText w:val="•"/>
      <w:lvlJc w:val="left"/>
      <w:pPr>
        <w:ind w:left="6495" w:hanging="360"/>
      </w:pPr>
      <w:rPr>
        <w:rFonts w:hint="default"/>
      </w:rPr>
    </w:lvl>
    <w:lvl w:ilvl="7">
      <w:start w:val="0"/>
      <w:numFmt w:val="bullet"/>
      <w:lvlText w:val="•"/>
      <w:lvlJc w:val="left"/>
      <w:pPr>
        <w:ind w:left="7626" w:hanging="360"/>
      </w:pPr>
      <w:rPr>
        <w:rFonts w:hint="default"/>
      </w:rPr>
    </w:lvl>
    <w:lvl w:ilvl="8">
      <w:start w:val="0"/>
      <w:numFmt w:val="bullet"/>
      <w:lvlText w:val="•"/>
      <w:lvlJc w:val="left"/>
      <w:pPr>
        <w:ind w:left="8757" w:hanging="360"/>
      </w:pPr>
      <w:rPr>
        <w:rFonts w:hint="default"/>
      </w:rPr>
    </w:lvl>
  </w:abstractNum>
  <w:abstractNum w:abstractNumId="4">
    <w:nsid w:val="4BA239A9"/>
    <w:multiLevelType w:val="hybridMultilevel"/>
    <w:tmpl w:val="B28E8452"/>
    <w:lvl w:ilvl="0">
      <w:start w:val="1"/>
      <w:numFmt w:val="lowerLetter"/>
      <w:lvlText w:val="(%1)"/>
      <w:lvlJc w:val="left"/>
      <w:pPr>
        <w:ind w:left="1554" w:hanging="720"/>
      </w:pPr>
      <w:rPr>
        <w:rFonts w:ascii="Arial" w:eastAsia="Arial" w:hAnsi="Arial" w:cs="Arial" w:hint="default"/>
        <w:color w:val="2F5496"/>
        <w:spacing w:val="-1"/>
        <w:w w:val="100"/>
        <w:sz w:val="22"/>
        <w:szCs w:val="22"/>
      </w:rPr>
    </w:lvl>
    <w:lvl w:ilvl="1">
      <w:start w:val="0"/>
      <w:numFmt w:val="bullet"/>
      <w:lvlText w:val="•"/>
      <w:lvlJc w:val="left"/>
      <w:pPr>
        <w:ind w:left="2486" w:hanging="720"/>
      </w:pPr>
      <w:rPr>
        <w:rFonts w:hint="default"/>
      </w:rPr>
    </w:lvl>
    <w:lvl w:ilvl="2">
      <w:start w:val="0"/>
      <w:numFmt w:val="bullet"/>
      <w:lvlText w:val="•"/>
      <w:lvlJc w:val="left"/>
      <w:pPr>
        <w:ind w:left="3412" w:hanging="720"/>
      </w:pPr>
      <w:rPr>
        <w:rFonts w:hint="default"/>
      </w:rPr>
    </w:lvl>
    <w:lvl w:ilvl="3">
      <w:start w:val="0"/>
      <w:numFmt w:val="bullet"/>
      <w:lvlText w:val="•"/>
      <w:lvlJc w:val="left"/>
      <w:pPr>
        <w:ind w:left="4338" w:hanging="720"/>
      </w:pPr>
      <w:rPr>
        <w:rFonts w:hint="default"/>
      </w:rPr>
    </w:lvl>
    <w:lvl w:ilvl="4">
      <w:start w:val="0"/>
      <w:numFmt w:val="bullet"/>
      <w:lvlText w:val="•"/>
      <w:lvlJc w:val="left"/>
      <w:pPr>
        <w:ind w:left="5264" w:hanging="720"/>
      </w:pPr>
      <w:rPr>
        <w:rFonts w:hint="default"/>
      </w:rPr>
    </w:lvl>
    <w:lvl w:ilvl="5">
      <w:start w:val="0"/>
      <w:numFmt w:val="bullet"/>
      <w:lvlText w:val="•"/>
      <w:lvlJc w:val="left"/>
      <w:pPr>
        <w:ind w:left="6190" w:hanging="720"/>
      </w:pPr>
      <w:rPr>
        <w:rFonts w:hint="default"/>
      </w:rPr>
    </w:lvl>
    <w:lvl w:ilvl="6">
      <w:start w:val="0"/>
      <w:numFmt w:val="bullet"/>
      <w:lvlText w:val="•"/>
      <w:lvlJc w:val="left"/>
      <w:pPr>
        <w:ind w:left="7116" w:hanging="720"/>
      </w:pPr>
      <w:rPr>
        <w:rFonts w:hint="default"/>
      </w:rPr>
    </w:lvl>
    <w:lvl w:ilvl="7">
      <w:start w:val="0"/>
      <w:numFmt w:val="bullet"/>
      <w:lvlText w:val="•"/>
      <w:lvlJc w:val="left"/>
      <w:pPr>
        <w:ind w:left="8042" w:hanging="720"/>
      </w:pPr>
      <w:rPr>
        <w:rFonts w:hint="default"/>
      </w:rPr>
    </w:lvl>
    <w:lvl w:ilvl="8">
      <w:start w:val="0"/>
      <w:numFmt w:val="bullet"/>
      <w:lvlText w:val="•"/>
      <w:lvlJc w:val="left"/>
      <w:pPr>
        <w:ind w:left="8968" w:hanging="720"/>
      </w:pPr>
      <w:rPr>
        <w:rFonts w:hint="default"/>
      </w:rPr>
    </w:lvl>
  </w:abstractNum>
  <w:abstractNum w:abstractNumId="5">
    <w:nsid w:val="68FC5B72"/>
    <w:multiLevelType w:val="hybridMultilevel"/>
    <w:tmpl w:val="D71E5746"/>
    <w:lvl w:ilvl="0">
      <w:start w:val="1"/>
      <w:numFmt w:val="decimal"/>
      <w:lvlText w:val="%1."/>
      <w:lvlJc w:val="left"/>
      <w:pPr>
        <w:ind w:left="120" w:hanging="269"/>
        <w:jc w:val="right"/>
      </w:pPr>
      <w:rPr>
        <w:rFonts w:ascii="Arial" w:eastAsia="Arial" w:hAnsi="Arial" w:cs="Arial" w:hint="default"/>
        <w:b/>
        <w:bCs/>
        <w:w w:val="100"/>
        <w:sz w:val="24"/>
        <w:szCs w:val="24"/>
      </w:rPr>
    </w:lvl>
    <w:lvl w:ilvl="1">
      <w:start w:val="0"/>
      <w:numFmt w:val="bullet"/>
      <w:lvlText w:val=""/>
      <w:lvlJc w:val="left"/>
      <w:pPr>
        <w:ind w:left="1120" w:hanging="360"/>
      </w:pPr>
      <w:rPr>
        <w:rFonts w:hint="default"/>
        <w:w w:val="99"/>
      </w:rPr>
    </w:lvl>
    <w:lvl w:ilvl="2">
      <w:start w:val="0"/>
      <w:numFmt w:val="bullet"/>
      <w:lvlText w:val="•"/>
      <w:lvlJc w:val="left"/>
      <w:pPr>
        <w:ind w:left="1120" w:hanging="360"/>
      </w:pPr>
      <w:rPr>
        <w:rFonts w:hint="default"/>
      </w:rPr>
    </w:lvl>
    <w:lvl w:ilvl="3">
      <w:start w:val="0"/>
      <w:numFmt w:val="bullet"/>
      <w:lvlText w:val="•"/>
      <w:lvlJc w:val="left"/>
      <w:pPr>
        <w:ind w:left="2357" w:hanging="360"/>
      </w:pPr>
      <w:rPr>
        <w:rFonts w:hint="default"/>
      </w:rPr>
    </w:lvl>
    <w:lvl w:ilvl="4">
      <w:start w:val="0"/>
      <w:numFmt w:val="bullet"/>
      <w:lvlText w:val="•"/>
      <w:lvlJc w:val="left"/>
      <w:pPr>
        <w:ind w:left="3595" w:hanging="360"/>
      </w:pPr>
      <w:rPr>
        <w:rFonts w:hint="default"/>
      </w:rPr>
    </w:lvl>
    <w:lvl w:ilvl="5">
      <w:start w:val="0"/>
      <w:numFmt w:val="bullet"/>
      <w:lvlText w:val="•"/>
      <w:lvlJc w:val="left"/>
      <w:pPr>
        <w:ind w:left="4832" w:hanging="360"/>
      </w:pPr>
      <w:rPr>
        <w:rFonts w:hint="default"/>
      </w:rPr>
    </w:lvl>
    <w:lvl w:ilvl="6">
      <w:start w:val="0"/>
      <w:numFmt w:val="bullet"/>
      <w:lvlText w:val="•"/>
      <w:lvlJc w:val="left"/>
      <w:pPr>
        <w:ind w:left="6070" w:hanging="360"/>
      </w:pPr>
      <w:rPr>
        <w:rFonts w:hint="default"/>
      </w:rPr>
    </w:lvl>
    <w:lvl w:ilvl="7">
      <w:start w:val="0"/>
      <w:numFmt w:val="bullet"/>
      <w:lvlText w:val="•"/>
      <w:lvlJc w:val="left"/>
      <w:pPr>
        <w:ind w:left="7307" w:hanging="360"/>
      </w:pPr>
      <w:rPr>
        <w:rFonts w:hint="default"/>
      </w:rPr>
    </w:lvl>
    <w:lvl w:ilvl="8">
      <w:start w:val="0"/>
      <w:numFmt w:val="bullet"/>
      <w:lvlText w:val="•"/>
      <w:lvlJc w:val="left"/>
      <w:pPr>
        <w:ind w:left="8545" w:hanging="360"/>
      </w:pPr>
      <w:rPr>
        <w:rFonts w:hint="default"/>
      </w:rPr>
    </w:lvl>
  </w:abstractNum>
  <w:abstractNum w:abstractNumId="6">
    <w:nsid w:val="70485BA5"/>
    <w:multiLevelType w:val="hybridMultilevel"/>
    <w:tmpl w:val="100636B8"/>
    <w:lvl w:ilvl="0">
      <w:start w:val="0"/>
      <w:numFmt w:val="bullet"/>
      <w:lvlText w:val=""/>
      <w:lvlJc w:val="left"/>
      <w:pPr>
        <w:ind w:left="463" w:hanging="360"/>
      </w:pPr>
      <w:rPr>
        <w:rFonts w:ascii="Symbol" w:eastAsia="Symbol" w:hAnsi="Symbol" w:cs="Symbol" w:hint="default"/>
        <w:color w:val="2F5496"/>
        <w:w w:val="99"/>
        <w:sz w:val="20"/>
        <w:szCs w:val="20"/>
      </w:rPr>
    </w:lvl>
    <w:lvl w:ilvl="1">
      <w:start w:val="0"/>
      <w:numFmt w:val="bullet"/>
      <w:lvlText w:val="•"/>
      <w:lvlJc w:val="left"/>
      <w:pPr>
        <w:ind w:left="713" w:hanging="360"/>
      </w:pPr>
      <w:rPr>
        <w:rFonts w:hint="default"/>
      </w:rPr>
    </w:lvl>
    <w:lvl w:ilvl="2">
      <w:start w:val="0"/>
      <w:numFmt w:val="bullet"/>
      <w:lvlText w:val="•"/>
      <w:lvlJc w:val="left"/>
      <w:pPr>
        <w:ind w:left="966" w:hanging="360"/>
      </w:pPr>
      <w:rPr>
        <w:rFonts w:hint="default"/>
      </w:rPr>
    </w:lvl>
    <w:lvl w:ilvl="3">
      <w:start w:val="0"/>
      <w:numFmt w:val="bullet"/>
      <w:lvlText w:val="•"/>
      <w:lvlJc w:val="left"/>
      <w:pPr>
        <w:ind w:left="1219" w:hanging="360"/>
      </w:pPr>
      <w:rPr>
        <w:rFonts w:hint="default"/>
      </w:rPr>
    </w:lvl>
    <w:lvl w:ilvl="4">
      <w:start w:val="0"/>
      <w:numFmt w:val="bullet"/>
      <w:lvlText w:val="•"/>
      <w:lvlJc w:val="left"/>
      <w:pPr>
        <w:ind w:left="1472" w:hanging="360"/>
      </w:pPr>
      <w:rPr>
        <w:rFonts w:hint="default"/>
      </w:rPr>
    </w:lvl>
    <w:lvl w:ilvl="5">
      <w:start w:val="0"/>
      <w:numFmt w:val="bullet"/>
      <w:lvlText w:val="•"/>
      <w:lvlJc w:val="left"/>
      <w:pPr>
        <w:ind w:left="1725" w:hanging="360"/>
      </w:pPr>
      <w:rPr>
        <w:rFonts w:hint="default"/>
      </w:rPr>
    </w:lvl>
    <w:lvl w:ilvl="6">
      <w:start w:val="0"/>
      <w:numFmt w:val="bullet"/>
      <w:lvlText w:val="•"/>
      <w:lvlJc w:val="left"/>
      <w:pPr>
        <w:ind w:left="1978" w:hanging="360"/>
      </w:pPr>
      <w:rPr>
        <w:rFonts w:hint="default"/>
      </w:rPr>
    </w:lvl>
    <w:lvl w:ilvl="7">
      <w:start w:val="0"/>
      <w:numFmt w:val="bullet"/>
      <w:lvlText w:val="•"/>
      <w:lvlJc w:val="left"/>
      <w:pPr>
        <w:ind w:left="2231" w:hanging="360"/>
      </w:pPr>
      <w:rPr>
        <w:rFonts w:hint="default"/>
      </w:rPr>
    </w:lvl>
    <w:lvl w:ilvl="8">
      <w:start w:val="0"/>
      <w:numFmt w:val="bullet"/>
      <w:lvlText w:val="•"/>
      <w:lvlJc w:val="left"/>
      <w:pPr>
        <w:ind w:left="2484" w:hanging="360"/>
      </w:pPr>
      <w:rPr>
        <w:rFonts w:hint="default"/>
      </w:rPr>
    </w:lvl>
  </w:abstractNum>
  <w:num w:numId="1" w16cid:durableId="1721857585">
    <w:abstractNumId w:val="2"/>
  </w:num>
  <w:num w:numId="2" w16cid:durableId="1323780445">
    <w:abstractNumId w:val="4"/>
  </w:num>
  <w:num w:numId="3" w16cid:durableId="566382492">
    <w:abstractNumId w:val="0"/>
  </w:num>
  <w:num w:numId="4" w16cid:durableId="995033899">
    <w:abstractNumId w:val="1"/>
  </w:num>
  <w:num w:numId="5" w16cid:durableId="543643531">
    <w:abstractNumId w:val="6"/>
  </w:num>
  <w:num w:numId="6" w16cid:durableId="2137025211">
    <w:abstractNumId w:val="3"/>
  </w:num>
  <w:num w:numId="7" w16cid:durableId="18249338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813"/>
    <w:rsid w:val="00066ECB"/>
    <w:rsid w:val="00144787"/>
    <w:rsid w:val="00195E65"/>
    <w:rsid w:val="001A6C1B"/>
    <w:rsid w:val="001D05FF"/>
    <w:rsid w:val="002A6B9F"/>
    <w:rsid w:val="002B02A8"/>
    <w:rsid w:val="002C0863"/>
    <w:rsid w:val="002E115D"/>
    <w:rsid w:val="00322FE1"/>
    <w:rsid w:val="00357720"/>
    <w:rsid w:val="00485AF8"/>
    <w:rsid w:val="004A3590"/>
    <w:rsid w:val="004C1630"/>
    <w:rsid w:val="00546DDE"/>
    <w:rsid w:val="005B2714"/>
    <w:rsid w:val="005C6387"/>
    <w:rsid w:val="00641D98"/>
    <w:rsid w:val="006432B4"/>
    <w:rsid w:val="006677EA"/>
    <w:rsid w:val="0070261E"/>
    <w:rsid w:val="00717E03"/>
    <w:rsid w:val="008F2813"/>
    <w:rsid w:val="0092154E"/>
    <w:rsid w:val="00A22041"/>
    <w:rsid w:val="00A83E32"/>
    <w:rsid w:val="00AE3C20"/>
    <w:rsid w:val="00BD7A4A"/>
    <w:rsid w:val="00C24AC2"/>
    <w:rsid w:val="00D14E45"/>
    <w:rsid w:val="00D35154"/>
    <w:rsid w:val="00E828D7"/>
    <w:rsid w:val="00EA38C2"/>
    <w:rsid w:val="00FB4DD8"/>
    <w:rsid w:val="00FD4D85"/>
    <w:rsid w:val="00FF183C"/>
    <w:rsid w:val="07A536A7"/>
    <w:rsid w:val="096C4D1C"/>
    <w:rsid w:val="25D0A87B"/>
    <w:rsid w:val="30914DED"/>
    <w:rsid w:val="32AA0610"/>
    <w:rsid w:val="35A2EF69"/>
    <w:rsid w:val="36A14327"/>
    <w:rsid w:val="383AE130"/>
    <w:rsid w:val="395A06C0"/>
    <w:rsid w:val="3C7E81A5"/>
    <w:rsid w:val="5124DB11"/>
    <w:rsid w:val="5F51F942"/>
    <w:rsid w:val="6261A1E7"/>
    <w:rsid w:val="65A706F4"/>
    <w:rsid w:val="6EA0F760"/>
    <w:rsid w:val="71181875"/>
    <w:rsid w:val="727A2E46"/>
    <w:rsid w:val="7598E4B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CEB636"/>
  <w15:docId w15:val="{522C3DB9-C6C3-471E-91DC-2A6ACC7B9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60"/>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0"/>
      <w:ind w:left="100"/>
    </w:pPr>
    <w:rPr>
      <w:sz w:val="24"/>
      <w:szCs w:val="24"/>
    </w:rPr>
  </w:style>
  <w:style w:type="paragraph" w:styleId="ListParagraph">
    <w:name w:val="List Paragraph"/>
    <w:basedOn w:val="Normal"/>
    <w:uiPriority w:val="1"/>
    <w:qFormat/>
    <w:pPr>
      <w:spacing w:before="160"/>
      <w:ind w:left="460" w:hanging="360"/>
    </w:pPr>
  </w:style>
  <w:style w:type="paragraph" w:customStyle="1" w:styleId="TableParagraph">
    <w:name w:val="Table Paragraph"/>
    <w:basedOn w:val="Normal"/>
    <w:uiPriority w:val="1"/>
    <w:qFormat/>
  </w:style>
  <w:style w:type="table" w:styleId="TableGrid">
    <w:name w:val="Table Grid"/>
    <w:basedOn w:val="TableNormal"/>
    <w:uiPriority w:val="39"/>
    <w:rsid w:val="002E11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14E45"/>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D14E45"/>
  </w:style>
  <w:style w:type="character" w:customStyle="1" w:styleId="eop">
    <w:name w:val="eop"/>
    <w:basedOn w:val="DefaultParagraphFont"/>
    <w:rsid w:val="00D14E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82245b4-6978-4b28-a03e-d766527e007c" xsi:nil="true"/>
    <lcf76f155ced4ddcb4097134ff3c332f xmlns="af9ca224-eb2b-4407-ae58-49342ee6c6f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B265328AE921499A2A2B23F2614963" ma:contentTypeVersion="15" ma:contentTypeDescription="Create a new document." ma:contentTypeScope="" ma:versionID="ba4a58d969f6f7665703d31d81578176">
  <xsd:schema xmlns:xsd="http://www.w3.org/2001/XMLSchema" xmlns:xs="http://www.w3.org/2001/XMLSchema" xmlns:p="http://schemas.microsoft.com/office/2006/metadata/properties" xmlns:ns2="af9ca224-eb2b-4407-ae58-49342ee6c6f3" xmlns:ns3="a82245b4-6978-4b28-a03e-d766527e007c" targetNamespace="http://schemas.microsoft.com/office/2006/metadata/properties" ma:root="true" ma:fieldsID="956ecb73ba0914d3b016fe2bcb47f7e4" ns2:_="" ns3:_="">
    <xsd:import namespace="af9ca224-eb2b-4407-ae58-49342ee6c6f3"/>
    <xsd:import namespace="a82245b4-6978-4b28-a03e-d766527e00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9ca224-eb2b-4407-ae58-49342ee6c6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d4ad75-a42b-4783-84ed-a698db182b0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2245b4-6978-4b28-a03e-d766527e00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e7882fd-2c37-4f76-b478-27be2ceffd62}" ma:internalName="TaxCatchAll" ma:showField="CatchAllData" ma:web="a82245b4-6978-4b28-a03e-d766527e00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7CAE39-15BB-45AF-A340-454FE9B6532F}">
  <ds:schemaRefs>
    <ds:schemaRef ds:uri="http://schemas.microsoft.com/office/2006/metadata/properties"/>
    <ds:schemaRef ds:uri="http://schemas.microsoft.com/office/infopath/2007/PartnerControls"/>
    <ds:schemaRef ds:uri="a82245b4-6978-4b28-a03e-d766527e007c"/>
    <ds:schemaRef ds:uri="af9ca224-eb2b-4407-ae58-49342ee6c6f3"/>
  </ds:schemaRefs>
</ds:datastoreItem>
</file>

<file path=customXml/itemProps2.xml><?xml version="1.0" encoding="utf-8"?>
<ds:datastoreItem xmlns:ds="http://schemas.openxmlformats.org/officeDocument/2006/customXml" ds:itemID="{1E4D1735-CE17-4D40-8196-C6D9F54DDE7B}">
  <ds:schemaRefs>
    <ds:schemaRef ds:uri="http://schemas.microsoft.com/sharepoint/v3/contenttype/forms"/>
  </ds:schemaRefs>
</ds:datastoreItem>
</file>

<file path=customXml/itemProps3.xml><?xml version="1.0" encoding="utf-8"?>
<ds:datastoreItem xmlns:ds="http://schemas.openxmlformats.org/officeDocument/2006/customXml" ds:itemID="{EB51A44A-DF40-40B5-9680-47D05804F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9ca224-eb2b-4407-ae58-49342ee6c6f3"/>
    <ds:schemaRef ds:uri="a82245b4-6978-4b28-a03e-d766527e0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2526</Words>
  <Characters>14400</Characters>
  <Application>Microsoft Office Word</Application>
  <DocSecurity>0</DocSecurity>
  <Lines>120</Lines>
  <Paragraphs>33</Paragraphs>
  <ScaleCrop>false</ScaleCrop>
  <Company/>
  <LinksUpToDate>false</LinksUpToDate>
  <CharactersWithSpaces>16893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Neal, Yvonne (Federal)</cp:lastModifiedBy>
  <cp:revision>14</cp:revision>
  <dcterms:created xsi:type="dcterms:W3CDTF">2024-10-25T19:03:00Z</dcterms:created>
  <dcterms:modified xsi:type="dcterms:W3CDTF">2025-06-18T15:15:00Z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0x0101003CB265328AE921499A2A2B23F2614963</vt:lpwstr>
  </property>
  <property fmtid="{D5CDD505-2E9C-101B-9397-08002B2CF9AE}" pid="3" name="Created">
    <vt:filetime>2020-05-06T00:00:00Z</vt:filetime>
  </property>
  <property fmtid="{D5CDD505-2E9C-101B-9397-08002B2CF9AE}" pid="4" name="Creator">
    <vt:lpwstr>Acrobat PDFMaker 17 for Word</vt:lpwstr>
  </property>
  <property fmtid="{D5CDD505-2E9C-101B-9397-08002B2CF9AE}" pid="5" name="LastSaved">
    <vt:filetime>2020-11-27T00:00:00Z</vt:filetime>
  </property>
  <property fmtid="{D5CDD505-2E9C-101B-9397-08002B2CF9AE}" pid="6" name="MediaServiceImageTags">
    <vt:lpwstr/>
  </property>
</Properties>
</file>