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CAF" w:rsidRPr="00654CAF" w:rsidP="00654CAF" w14:paraId="5084F5AF" w14:textId="77777777">
      <w:pPr>
        <w:pStyle w:val="Title"/>
        <w:jc w:val="center"/>
        <w:rPr>
          <w:rFonts w:ascii="Times New Roman" w:hAnsi="Times New Roman" w:cs="Times New Roman"/>
          <w:b/>
          <w:sz w:val="24"/>
          <w:szCs w:val="24"/>
        </w:rPr>
      </w:pPr>
      <w:r w:rsidRPr="00654CAF">
        <w:rPr>
          <w:rFonts w:ascii="Times New Roman" w:hAnsi="Times New Roman" w:cs="Times New Roman"/>
          <w:b/>
          <w:sz w:val="24"/>
          <w:szCs w:val="24"/>
        </w:rPr>
        <w:t>SUPPORTING STATEMENT – PART B</w:t>
      </w:r>
    </w:p>
    <w:p w:rsidR="00654CAF" w:rsidRPr="00654CAF" w:rsidP="00654CAF" w14:paraId="17D21F35" w14:textId="07C1EB1E">
      <w:pPr>
        <w:tabs>
          <w:tab w:val="left" w:pos="440"/>
          <w:tab w:val="left" w:pos="770"/>
        </w:tabs>
        <w:jc w:val="center"/>
        <w:rPr>
          <w:rFonts w:ascii="Times New Roman" w:hAnsi="Times New Roman"/>
          <w:b/>
          <w:szCs w:val="24"/>
        </w:rPr>
      </w:pPr>
      <w:r w:rsidRPr="00654CAF">
        <w:rPr>
          <w:rFonts w:ascii="Times New Roman" w:hAnsi="Times New Roman"/>
          <w:b/>
          <w:szCs w:val="24"/>
        </w:rPr>
        <w:t>COLLECTIONS OF INFORMATION</w:t>
      </w:r>
    </w:p>
    <w:p w:rsidR="00654CAF" w:rsidRPr="00654CAF" w:rsidP="00654CAF" w14:paraId="7303E58E" w14:textId="77777777">
      <w:pPr>
        <w:tabs>
          <w:tab w:val="left" w:pos="440"/>
          <w:tab w:val="left" w:pos="770"/>
        </w:tabs>
        <w:jc w:val="center"/>
        <w:rPr>
          <w:rFonts w:ascii="Times New Roman" w:hAnsi="Times New Roman"/>
          <w:b/>
          <w:szCs w:val="24"/>
        </w:rPr>
      </w:pPr>
      <w:r w:rsidRPr="00654CAF">
        <w:rPr>
          <w:rFonts w:ascii="Times New Roman" w:hAnsi="Times New Roman"/>
          <w:b/>
          <w:szCs w:val="24"/>
        </w:rPr>
        <w:t>EMPLOYING STATISTICAL METHODS</w:t>
      </w:r>
    </w:p>
    <w:p w:rsidR="00654CAF" w:rsidP="00654CAF" w14:paraId="778A665A" w14:textId="77777777">
      <w:pPr>
        <w:rPr>
          <w:rFonts w:ascii="Times New Roman" w:hAnsi="Times New Roman"/>
          <w:b/>
          <w:szCs w:val="24"/>
        </w:rPr>
      </w:pPr>
    </w:p>
    <w:p w:rsidR="00654CAF" w:rsidRPr="00952324" w:rsidP="00654CAF" w14:paraId="13858EF2" w14:textId="77777777">
      <w:pPr>
        <w:rPr>
          <w:rFonts w:ascii="Times New Roman" w:hAnsi="Times New Roman"/>
          <w:b/>
          <w:szCs w:val="24"/>
        </w:rPr>
      </w:pPr>
    </w:p>
    <w:p w:rsidR="00654CAF" w:rsidRPr="00952324" w:rsidP="00654CAF" w14:paraId="05C9A452" w14:textId="77777777">
      <w:pPr>
        <w:rPr>
          <w:rFonts w:ascii="Times New Roman" w:hAnsi="Times New Roman"/>
          <w:b/>
          <w:szCs w:val="24"/>
        </w:rPr>
      </w:pPr>
      <w:r w:rsidRPr="00952324">
        <w:rPr>
          <w:rFonts w:ascii="Times New Roman" w:hAnsi="Times New Roman"/>
          <w:b/>
          <w:szCs w:val="24"/>
        </w:rPr>
        <w:t xml:space="preserve">Section B must be completed if the information collected from covered members of the public will be used to statistical purposes.   </w:t>
      </w:r>
    </w:p>
    <w:p w:rsidR="00654CAF" w:rsidRPr="00952324" w:rsidP="00654CAF" w14:paraId="23B19F6E" w14:textId="77777777">
      <w:pPr>
        <w:rPr>
          <w:rFonts w:ascii="Times New Roman" w:hAnsi="Times New Roman"/>
          <w:b/>
          <w:szCs w:val="24"/>
        </w:rPr>
      </w:pPr>
      <w:r w:rsidRPr="00952324">
        <w:rPr>
          <w:rFonts w:ascii="Times New Roman" w:hAnsi="Times New Roman"/>
          <w:i/>
          <w:szCs w:val="24"/>
        </w:rPr>
        <w:t>If the collection owner does not feel this question applies, a possible response would be: “This information collection does not employ statistical methods.” If this is the case Section B can be deleted in your final submission of the supporting statement</w:t>
      </w:r>
      <w:r w:rsidRPr="00952324">
        <w:rPr>
          <w:rFonts w:ascii="Times New Roman" w:hAnsi="Times New Roman"/>
          <w:b/>
          <w:szCs w:val="24"/>
        </w:rPr>
        <w:t>.</w:t>
      </w:r>
    </w:p>
    <w:p w:rsidR="00654CAF" w:rsidRPr="00952324" w:rsidP="00654CAF" w14:paraId="703DF6EE" w14:textId="77777777">
      <w:pPr>
        <w:rPr>
          <w:rFonts w:ascii="Times New Roman" w:hAnsi="Times New Roman"/>
          <w:b/>
          <w:szCs w:val="24"/>
        </w:rPr>
      </w:pPr>
    </w:p>
    <w:p w:rsidR="00654CAF" w:rsidRPr="00952324" w:rsidP="00654CAF" w14:paraId="1436FC9A" w14:textId="77777777">
      <w:pPr>
        <w:pStyle w:val="ListParagraph"/>
        <w:numPr>
          <w:ilvl w:val="0"/>
          <w:numId w:val="1"/>
        </w:numPr>
        <w:tabs>
          <w:tab w:val="left" w:pos="-1440"/>
        </w:tabs>
        <w:ind w:left="360"/>
        <w:rPr>
          <w:rFonts w:ascii="Times New Roman" w:hAnsi="Times New Roman"/>
          <w:b/>
          <w:szCs w:val="24"/>
        </w:rPr>
      </w:pPr>
      <w:r w:rsidRPr="00952324">
        <w:rPr>
          <w:rFonts w:ascii="Times New Roman" w:hAnsi="Times New Roman"/>
          <w:b/>
          <w:szCs w:val="24"/>
        </w:rPr>
        <w:t>Describe (including a numerical estimate) the potential respondent universe and any sampling or other respondent selection method to be used.</w:t>
      </w:r>
    </w:p>
    <w:p w:rsidR="00654CAF" w:rsidP="00654CAF" w14:paraId="1C856841" w14:textId="77777777">
      <w:pPr>
        <w:pStyle w:val="Heading3"/>
        <w:rPr>
          <w:rFonts w:ascii="Times New Roman" w:hAnsi="Times New Roman"/>
          <w:b/>
          <w:bCs/>
          <w:color w:val="auto"/>
        </w:rPr>
      </w:pPr>
    </w:p>
    <w:p w:rsidR="00654CAF" w:rsidRPr="00314A7A" w:rsidP="00654CAF" w14:paraId="44FD43F4" w14:textId="77777777">
      <w:pPr>
        <w:pStyle w:val="Heading3"/>
        <w:rPr>
          <w:rFonts w:ascii="Times New Roman" w:hAnsi="Times New Roman"/>
          <w:b/>
          <w:bCs/>
          <w:i/>
          <w:iCs/>
          <w:color w:val="auto"/>
        </w:rPr>
      </w:pPr>
      <w:r w:rsidRPr="00314A7A">
        <w:rPr>
          <w:rFonts w:ascii="Times New Roman" w:hAnsi="Times New Roman"/>
          <w:b/>
          <w:bCs/>
          <w:i/>
          <w:iCs/>
          <w:color w:val="auto"/>
        </w:rPr>
        <w:t>Respondent Universe</w:t>
      </w:r>
    </w:p>
    <w:p w:rsidR="00654CAF" w:rsidRPr="00314A7A" w:rsidP="00654CAF" w14:paraId="4324C646" w14:textId="77777777">
      <w:pPr>
        <w:pStyle w:val="BodyText"/>
        <w:spacing w:before="194"/>
        <w:ind w:left="100" w:right="105"/>
        <w:rPr>
          <w:rFonts w:ascii="Times New Roman" w:hAnsi="Times New Roman"/>
          <w:i w:val="0"/>
          <w:iCs/>
          <w:szCs w:val="24"/>
        </w:rPr>
      </w:pPr>
      <w:r w:rsidRPr="00314A7A">
        <w:rPr>
          <w:rFonts w:ascii="Times New Roman" w:hAnsi="Times New Roman"/>
          <w:i w:val="0"/>
          <w:iCs/>
          <w:szCs w:val="24"/>
        </w:rPr>
        <w:t>The respondent universe for NASA Office of STEM Engagement (OSTEM) methodological testing consists of individuals who either participate in NASA STEM Engagement activities or are staff managing STEM Engagement activities (both at NASA and funded through NASA grants, cooperative agreements, and contracts). It is difficult to anticipate and define all the types of potential respondents under this generic clearance beyond the most immediate needs for this generic clearance, but below are</w:t>
      </w:r>
      <w:r w:rsidRPr="00314A7A">
        <w:rPr>
          <w:rFonts w:ascii="Times New Roman" w:hAnsi="Times New Roman"/>
          <w:i w:val="0"/>
          <w:iCs/>
          <w:spacing w:val="-17"/>
          <w:szCs w:val="24"/>
        </w:rPr>
        <w:t xml:space="preserve"> </w:t>
      </w:r>
      <w:r w:rsidRPr="00314A7A">
        <w:rPr>
          <w:rFonts w:ascii="Times New Roman" w:hAnsi="Times New Roman"/>
          <w:i w:val="0"/>
          <w:iCs/>
          <w:szCs w:val="24"/>
        </w:rPr>
        <w:t>descriptions of the individuals who could represent the respondent universe in this generic</w:t>
      </w:r>
      <w:r w:rsidRPr="00314A7A">
        <w:rPr>
          <w:rFonts w:ascii="Times New Roman" w:hAnsi="Times New Roman"/>
          <w:i w:val="0"/>
          <w:iCs/>
          <w:spacing w:val="-12"/>
          <w:szCs w:val="24"/>
        </w:rPr>
        <w:t xml:space="preserve"> </w:t>
      </w:r>
      <w:r w:rsidRPr="00314A7A">
        <w:rPr>
          <w:rFonts w:ascii="Times New Roman" w:hAnsi="Times New Roman"/>
          <w:i w:val="0"/>
          <w:iCs/>
          <w:szCs w:val="24"/>
        </w:rPr>
        <w:t>submission:</w:t>
      </w:r>
    </w:p>
    <w:p w:rsidR="00654CAF" w:rsidRPr="00314A7A" w:rsidP="00654CAF" w14:paraId="74D75513" w14:textId="77777777">
      <w:pPr>
        <w:pStyle w:val="ListParagraph"/>
        <w:numPr>
          <w:ilvl w:val="1"/>
          <w:numId w:val="3"/>
        </w:numPr>
        <w:tabs>
          <w:tab w:val="left" w:pos="820"/>
          <w:tab w:val="left" w:pos="821"/>
        </w:tabs>
        <w:autoSpaceDE w:val="0"/>
        <w:autoSpaceDN w:val="0"/>
        <w:spacing w:before="223" w:line="274" w:lineRule="exact"/>
        <w:ind w:right="1019"/>
        <w:contextualSpacing w:val="0"/>
        <w:rPr>
          <w:rFonts w:ascii="Times New Roman" w:hAnsi="Times New Roman"/>
          <w:iCs/>
          <w:szCs w:val="24"/>
        </w:rPr>
      </w:pPr>
      <w:r w:rsidRPr="00314A7A">
        <w:rPr>
          <w:rFonts w:ascii="Times New Roman" w:hAnsi="Times New Roman"/>
          <w:iCs/>
          <w:szCs w:val="24"/>
        </w:rPr>
        <w:t>Undergraduate and graduate students participating in NASA-funded internships and</w:t>
      </w:r>
      <w:r w:rsidRPr="00314A7A">
        <w:rPr>
          <w:rFonts w:ascii="Times New Roman" w:hAnsi="Times New Roman"/>
          <w:iCs/>
          <w:spacing w:val="-5"/>
          <w:szCs w:val="24"/>
        </w:rPr>
        <w:t xml:space="preserve"> </w:t>
      </w:r>
      <w:r w:rsidRPr="00314A7A">
        <w:rPr>
          <w:rFonts w:ascii="Times New Roman" w:hAnsi="Times New Roman"/>
          <w:iCs/>
          <w:szCs w:val="24"/>
        </w:rPr>
        <w:t>fellowships;</w:t>
      </w:r>
    </w:p>
    <w:p w:rsidR="00654CAF" w:rsidRPr="00314A7A" w:rsidP="00654CAF" w14:paraId="03E7BE74" w14:textId="77777777">
      <w:pPr>
        <w:pStyle w:val="ListParagraph"/>
        <w:numPr>
          <w:ilvl w:val="1"/>
          <w:numId w:val="3"/>
        </w:numPr>
        <w:tabs>
          <w:tab w:val="left" w:pos="820"/>
          <w:tab w:val="left" w:pos="821"/>
        </w:tabs>
        <w:autoSpaceDE w:val="0"/>
        <w:autoSpaceDN w:val="0"/>
        <w:spacing w:before="21" w:line="274" w:lineRule="exact"/>
        <w:ind w:right="232"/>
        <w:contextualSpacing w:val="0"/>
        <w:rPr>
          <w:rFonts w:ascii="Times New Roman" w:hAnsi="Times New Roman"/>
          <w:iCs/>
          <w:szCs w:val="24"/>
        </w:rPr>
      </w:pPr>
      <w:r w:rsidRPr="00314A7A">
        <w:rPr>
          <w:rFonts w:ascii="Times New Roman" w:hAnsi="Times New Roman"/>
          <w:iCs/>
          <w:szCs w:val="24"/>
        </w:rPr>
        <w:t>P-12 and informal educators and higher education faculty participating in NASA-funded educator professional</w:t>
      </w:r>
      <w:r w:rsidRPr="00314A7A">
        <w:rPr>
          <w:rFonts w:ascii="Times New Roman" w:hAnsi="Times New Roman"/>
          <w:iCs/>
          <w:spacing w:val="-9"/>
          <w:szCs w:val="24"/>
        </w:rPr>
        <w:t xml:space="preserve"> </w:t>
      </w:r>
      <w:r w:rsidRPr="00314A7A">
        <w:rPr>
          <w:rFonts w:ascii="Times New Roman" w:hAnsi="Times New Roman"/>
          <w:iCs/>
          <w:szCs w:val="24"/>
        </w:rPr>
        <w:t>development;</w:t>
      </w:r>
    </w:p>
    <w:p w:rsidR="00654CAF" w:rsidRPr="00314A7A" w:rsidP="00654CAF" w14:paraId="6C82280D" w14:textId="77777777">
      <w:pPr>
        <w:pStyle w:val="ListParagraph"/>
        <w:numPr>
          <w:ilvl w:val="1"/>
          <w:numId w:val="3"/>
        </w:numPr>
        <w:tabs>
          <w:tab w:val="left" w:pos="820"/>
          <w:tab w:val="left" w:pos="821"/>
        </w:tabs>
        <w:autoSpaceDE w:val="0"/>
        <w:autoSpaceDN w:val="0"/>
        <w:spacing w:before="21" w:line="274" w:lineRule="exact"/>
        <w:ind w:right="232"/>
        <w:contextualSpacing w:val="0"/>
        <w:rPr>
          <w:rFonts w:ascii="Times New Roman" w:hAnsi="Times New Roman"/>
          <w:iCs/>
          <w:szCs w:val="24"/>
        </w:rPr>
      </w:pPr>
      <w:r w:rsidRPr="00314A7A">
        <w:rPr>
          <w:rFonts w:ascii="Times New Roman" w:hAnsi="Times New Roman"/>
          <w:iCs/>
          <w:szCs w:val="24"/>
        </w:rPr>
        <w:t xml:space="preserve">Precollege students participating in NASA-funded STEM Engagement project and </w:t>
      </w:r>
      <w:r w:rsidRPr="00314A7A">
        <w:rPr>
          <w:rFonts w:ascii="Times New Roman" w:hAnsi="Times New Roman"/>
          <w:iCs/>
          <w:szCs w:val="24"/>
        </w:rPr>
        <w:t>activities;</w:t>
      </w:r>
    </w:p>
    <w:p w:rsidR="00654CAF" w:rsidRPr="00314A7A" w:rsidP="00654CAF" w14:paraId="5847789A" w14:textId="77777777">
      <w:pPr>
        <w:pStyle w:val="ListParagraph"/>
        <w:numPr>
          <w:ilvl w:val="1"/>
          <w:numId w:val="3"/>
        </w:numPr>
        <w:tabs>
          <w:tab w:val="left" w:pos="820"/>
          <w:tab w:val="left" w:pos="821"/>
        </w:tabs>
        <w:autoSpaceDE w:val="0"/>
        <w:autoSpaceDN w:val="0"/>
        <w:spacing w:line="293" w:lineRule="exact"/>
        <w:contextualSpacing w:val="0"/>
        <w:rPr>
          <w:rFonts w:ascii="Times New Roman" w:hAnsi="Times New Roman"/>
          <w:iCs/>
          <w:szCs w:val="24"/>
        </w:rPr>
      </w:pPr>
      <w:r w:rsidRPr="00314A7A">
        <w:rPr>
          <w:rFonts w:ascii="Times New Roman" w:hAnsi="Times New Roman"/>
          <w:iCs/>
          <w:szCs w:val="24"/>
        </w:rPr>
        <w:t>NASA civil servants who manage projects and activities;</w:t>
      </w:r>
      <w:r w:rsidRPr="00314A7A">
        <w:rPr>
          <w:rFonts w:ascii="Times New Roman" w:hAnsi="Times New Roman"/>
          <w:iCs/>
          <w:spacing w:val="-4"/>
          <w:szCs w:val="24"/>
        </w:rPr>
        <w:t xml:space="preserve"> </w:t>
      </w:r>
      <w:r w:rsidRPr="00314A7A">
        <w:rPr>
          <w:rFonts w:ascii="Times New Roman" w:hAnsi="Times New Roman"/>
          <w:iCs/>
          <w:szCs w:val="24"/>
        </w:rPr>
        <w:t>and</w:t>
      </w:r>
    </w:p>
    <w:p w:rsidR="00654CAF" w:rsidRPr="00314A7A" w:rsidP="00654CAF" w14:paraId="48EA8BC7" w14:textId="77777777">
      <w:pPr>
        <w:pStyle w:val="ListParagraph"/>
        <w:numPr>
          <w:ilvl w:val="1"/>
          <w:numId w:val="3"/>
        </w:numPr>
        <w:tabs>
          <w:tab w:val="left" w:pos="820"/>
          <w:tab w:val="left" w:pos="821"/>
        </w:tabs>
        <w:autoSpaceDE w:val="0"/>
        <w:autoSpaceDN w:val="0"/>
        <w:spacing w:before="21" w:line="274" w:lineRule="exact"/>
        <w:ind w:right="475"/>
        <w:contextualSpacing w:val="0"/>
        <w:rPr>
          <w:rFonts w:ascii="Times New Roman" w:hAnsi="Times New Roman"/>
          <w:iCs/>
          <w:szCs w:val="24"/>
        </w:rPr>
      </w:pPr>
      <w:r w:rsidRPr="00314A7A">
        <w:rPr>
          <w:rFonts w:ascii="Times New Roman" w:hAnsi="Times New Roman"/>
          <w:iCs/>
          <w:szCs w:val="24"/>
        </w:rPr>
        <w:t>Primary investigators and managers of NASA-funded grants, cooperative</w:t>
      </w:r>
      <w:r w:rsidRPr="00314A7A">
        <w:rPr>
          <w:rFonts w:ascii="Times New Roman" w:hAnsi="Times New Roman"/>
          <w:iCs/>
          <w:spacing w:val="-14"/>
          <w:szCs w:val="24"/>
        </w:rPr>
        <w:t xml:space="preserve"> </w:t>
      </w:r>
      <w:r w:rsidRPr="00314A7A">
        <w:rPr>
          <w:rFonts w:ascii="Times New Roman" w:hAnsi="Times New Roman"/>
          <w:iCs/>
          <w:szCs w:val="24"/>
        </w:rPr>
        <w:t>agreements, and</w:t>
      </w:r>
      <w:r w:rsidRPr="00314A7A">
        <w:rPr>
          <w:rFonts w:ascii="Times New Roman" w:hAnsi="Times New Roman"/>
          <w:iCs/>
          <w:spacing w:val="-3"/>
          <w:szCs w:val="24"/>
        </w:rPr>
        <w:t xml:space="preserve"> </w:t>
      </w:r>
      <w:r w:rsidRPr="00314A7A">
        <w:rPr>
          <w:rFonts w:ascii="Times New Roman" w:hAnsi="Times New Roman"/>
          <w:iCs/>
          <w:szCs w:val="24"/>
        </w:rPr>
        <w:t>contracts.</w:t>
      </w:r>
    </w:p>
    <w:p w:rsidR="00654CAF" w:rsidRPr="00314A7A" w:rsidP="00654CAF" w14:paraId="69013758" w14:textId="77777777">
      <w:pPr>
        <w:pStyle w:val="BodyText"/>
        <w:spacing w:before="10"/>
        <w:rPr>
          <w:rFonts w:ascii="Times New Roman" w:hAnsi="Times New Roman"/>
          <w:i w:val="0"/>
          <w:iCs/>
          <w:szCs w:val="24"/>
        </w:rPr>
      </w:pPr>
    </w:p>
    <w:p w:rsidR="00654CAF" w:rsidRPr="00314A7A" w:rsidP="00654CAF" w14:paraId="6EB513F1" w14:textId="77777777">
      <w:pPr>
        <w:pStyle w:val="BodyText"/>
        <w:ind w:left="100"/>
        <w:rPr>
          <w:rFonts w:ascii="Times New Roman" w:hAnsi="Times New Roman"/>
          <w:i w:val="0"/>
          <w:iCs/>
          <w:szCs w:val="24"/>
        </w:rPr>
      </w:pPr>
      <w:r w:rsidRPr="00314A7A">
        <w:rPr>
          <w:rFonts w:ascii="Times New Roman" w:hAnsi="Times New Roman"/>
          <w:i w:val="0"/>
          <w:iCs/>
          <w:szCs w:val="24"/>
        </w:rPr>
        <w:t>Respondent categories with a corresponding estimate for each Potential Respondent Universe</w:t>
      </w:r>
    </w:p>
    <w:p w:rsidR="00654CAF" w:rsidRPr="00314A7A" w:rsidP="00654CAF" w14:paraId="33CAF0C0" w14:textId="77777777">
      <w:pPr>
        <w:pStyle w:val="BodyText"/>
        <w:spacing w:before="74" w:line="276" w:lineRule="auto"/>
        <w:ind w:left="120" w:right="416"/>
        <w:rPr>
          <w:rFonts w:ascii="Times New Roman" w:hAnsi="Times New Roman"/>
          <w:i w:val="0"/>
          <w:iCs/>
          <w:szCs w:val="24"/>
        </w:rPr>
      </w:pPr>
      <w:r w:rsidRPr="00314A7A">
        <w:rPr>
          <w:rFonts w:ascii="Times New Roman" w:hAnsi="Times New Roman"/>
          <w:i w:val="0"/>
          <w:iCs/>
          <w:szCs w:val="24"/>
        </w:rPr>
        <w:t xml:space="preserve">(N) anticipated for this generic clearance can be found below (See Table 1). Expected Response Rate is defined as the past rate of response observed in OSTEM for that </w:t>
      </w:r>
      <w:r w:rsidRPr="00314A7A">
        <w:rPr>
          <w:rFonts w:ascii="Times New Roman" w:hAnsi="Times New Roman"/>
          <w:i w:val="0"/>
          <w:iCs/>
          <w:szCs w:val="24"/>
        </w:rPr>
        <w:t>particular Respondent</w:t>
      </w:r>
      <w:r w:rsidRPr="00314A7A">
        <w:rPr>
          <w:rFonts w:ascii="Times New Roman" w:hAnsi="Times New Roman"/>
          <w:i w:val="0"/>
          <w:iCs/>
          <w:szCs w:val="24"/>
        </w:rPr>
        <w:t xml:space="preserve"> Category. For instance, precollege, undergraduate, graduate, and post-graduate students are especially responsive to OSTEM requests for information because at the onset of establishing a relationship with NASA, they are not eligible to apply for NASA internships and fellowships with incomplete information. For that reason, these respondents willingly partner with OSTEM to maintain current contact information </w:t>
      </w:r>
      <w:r w:rsidRPr="00314A7A">
        <w:rPr>
          <w:rFonts w:ascii="Times New Roman" w:hAnsi="Times New Roman"/>
          <w:i w:val="0"/>
          <w:iCs/>
          <w:szCs w:val="24"/>
        </w:rPr>
        <w:t>in order to</w:t>
      </w:r>
      <w:r w:rsidRPr="00314A7A">
        <w:rPr>
          <w:rFonts w:ascii="Times New Roman" w:hAnsi="Times New Roman"/>
          <w:i w:val="0"/>
          <w:iCs/>
          <w:szCs w:val="24"/>
        </w:rPr>
        <w:t xml:space="preserve"> access current information pertaining to relevant opportunities. OSTEM Educational Platform and Tools Team has IT applications which can provide participants the opportunity to update contact </w:t>
      </w:r>
      <w:r w:rsidRPr="00314A7A">
        <w:rPr>
          <w:rFonts w:ascii="Times New Roman" w:hAnsi="Times New Roman"/>
          <w:i w:val="0"/>
          <w:iCs/>
          <w:szCs w:val="24"/>
        </w:rPr>
        <w:t>information in a way that is less burdensome, through automated delivery of links to the NASA STEM Gateway system wherein opening the link will take the participant directly to a log in screen appropriate to her or his project activity or program.</w:t>
      </w:r>
    </w:p>
    <w:p w:rsidR="00654CAF" w:rsidRPr="00314A7A" w:rsidP="00654CAF" w14:paraId="0B82B452" w14:textId="77777777">
      <w:pPr>
        <w:pStyle w:val="BodyText"/>
        <w:spacing w:before="202" w:line="276" w:lineRule="auto"/>
        <w:ind w:left="120" w:right="137"/>
        <w:rPr>
          <w:rFonts w:ascii="Times New Roman" w:hAnsi="Times New Roman"/>
          <w:i w:val="0"/>
          <w:iCs/>
          <w:szCs w:val="24"/>
        </w:rPr>
      </w:pPr>
      <w:r w:rsidRPr="00314A7A">
        <w:rPr>
          <w:rFonts w:ascii="Times New Roman" w:hAnsi="Times New Roman"/>
          <w:i w:val="0"/>
          <w:iCs/>
          <w:szCs w:val="24"/>
        </w:rPr>
        <w:t xml:space="preserve">Further, for these categories of respondents who are affectively characterized as highly motivated individuals, they understand the value of submitting feedback to optimize future opportunities they may be awarded. Therefore, they tend to be highly motivated to cooperate with NASA OSTEM requests for information at a rate of 60%. The same can be said for educator participants who must complete information in our systems </w:t>
      </w:r>
      <w:r w:rsidRPr="00314A7A">
        <w:rPr>
          <w:rFonts w:ascii="Times New Roman" w:hAnsi="Times New Roman"/>
          <w:i w:val="0"/>
          <w:iCs/>
          <w:szCs w:val="24"/>
        </w:rPr>
        <w:t>in order to</w:t>
      </w:r>
      <w:r w:rsidRPr="00314A7A">
        <w:rPr>
          <w:rFonts w:ascii="Times New Roman" w:hAnsi="Times New Roman"/>
          <w:i w:val="0"/>
          <w:iCs/>
          <w:szCs w:val="24"/>
        </w:rPr>
        <w:t xml:space="preserve"> partake of professional development opportunities or provide retrospective feedback on the NASA STEM Engagement activity they facilitate/instruct.</w:t>
      </w:r>
    </w:p>
    <w:p w:rsidR="00654CAF" w:rsidRPr="00314A7A" w:rsidP="00654CAF" w14:paraId="304C549A" w14:textId="77777777">
      <w:pPr>
        <w:pStyle w:val="BodyText"/>
        <w:spacing w:before="202" w:line="273" w:lineRule="auto"/>
        <w:ind w:left="120" w:right="89"/>
        <w:rPr>
          <w:rFonts w:ascii="Times New Roman" w:hAnsi="Times New Roman"/>
          <w:i w:val="0"/>
          <w:iCs/>
          <w:szCs w:val="24"/>
        </w:rPr>
      </w:pPr>
      <w:r w:rsidRPr="00314A7A">
        <w:rPr>
          <w:rFonts w:ascii="Times New Roman" w:hAnsi="Times New Roman"/>
          <w:i w:val="0"/>
          <w:iCs/>
          <w:szCs w:val="24"/>
        </w:rPr>
        <w:t>External program managers are required to submit information to our online data collection systems and therefore it is not difficult to leverage Center points of contact to obtain data submitted in a timely fashion. Therefore, 100% compliance with a request for information, even in the form of participation in data collection instrumentation, is a reasonable expectation. Note that some testing methods (e.g., focus groups, cognitive interviews) require nine participants or less. These numbers are not reflected below. Data collection through focus groups and cognitive interviews for testing purposes will not be used to generalize results, but rather for preliminary item and instrument development, and piloting only</w:t>
      </w:r>
      <w:r w:rsidRPr="00314A7A">
        <w:rPr>
          <w:rFonts w:ascii="Times New Roman" w:hAnsi="Times New Roman"/>
          <w:i w:val="0"/>
          <w:iCs/>
          <w:position w:val="9"/>
          <w:szCs w:val="24"/>
        </w:rPr>
        <w:t>1</w:t>
      </w:r>
      <w:r w:rsidRPr="00314A7A">
        <w:rPr>
          <w:rFonts w:ascii="Times New Roman" w:hAnsi="Times New Roman"/>
          <w:i w:val="0"/>
          <w:iCs/>
          <w:szCs w:val="24"/>
        </w:rPr>
        <w:t>. Table 1 below reflects potential respondent universe, expected response rates, and statistically adjusted number of respondents for each respondent category.</w:t>
      </w:r>
    </w:p>
    <w:p w:rsidR="00654CAF" w:rsidRPr="00314A7A" w:rsidP="00654CAF" w14:paraId="7B56753A" w14:textId="77777777">
      <w:pPr>
        <w:pStyle w:val="BodyText"/>
        <w:spacing w:before="202" w:line="273" w:lineRule="auto"/>
        <w:ind w:left="120" w:right="89"/>
        <w:rPr>
          <w:rFonts w:ascii="Times New Roman" w:hAnsi="Times New Roman"/>
          <w:i w:val="0"/>
          <w:iCs/>
          <w:szCs w:val="24"/>
        </w:rPr>
      </w:pPr>
    </w:p>
    <w:p w:rsidR="00654CAF" w:rsidRPr="00314A7A" w:rsidP="00654CAF" w14:paraId="3EDC37BE" w14:textId="77777777">
      <w:pPr>
        <w:spacing w:before="208"/>
        <w:ind w:left="120"/>
        <w:rPr>
          <w:rFonts w:ascii="Times New Roman" w:hAnsi="Times New Roman"/>
          <w:b/>
          <w:iCs/>
          <w:szCs w:val="24"/>
        </w:rPr>
      </w:pPr>
      <w:bookmarkStart w:id="0" w:name="_bookmark2"/>
      <w:bookmarkEnd w:id="0"/>
      <w:r w:rsidRPr="00314A7A">
        <w:rPr>
          <w:rFonts w:ascii="Times New Roman" w:hAnsi="Times New Roman"/>
          <w:b/>
          <w:iCs/>
          <w:szCs w:val="24"/>
        </w:rPr>
        <w:t>Table 1: Respondent Universe and Relevant Numbers</w:t>
      </w:r>
    </w:p>
    <w:p w:rsidR="00654CAF" w:rsidRPr="00314A7A" w:rsidP="00654CAF" w14:paraId="21534FAA" w14:textId="77777777">
      <w:pPr>
        <w:pStyle w:val="BodyText"/>
        <w:spacing w:before="5"/>
        <w:rPr>
          <w:rFonts w:ascii="Times New Roman" w:hAnsi="Times New Roman"/>
          <w:b/>
          <w:i w:val="0"/>
          <w:iCs/>
          <w:szCs w:val="24"/>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59"/>
        <w:gridCol w:w="1815"/>
        <w:gridCol w:w="1318"/>
        <w:gridCol w:w="1092"/>
        <w:gridCol w:w="1500"/>
      </w:tblGrid>
      <w:tr w14:paraId="39E0BCFF" w14:textId="77777777" w:rsidTr="00FB4ADC">
        <w:tblPrEx>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3"/>
        </w:trPr>
        <w:tc>
          <w:tcPr>
            <w:tcW w:w="1759" w:type="dxa"/>
            <w:tcBorders>
              <w:bottom w:val="single" w:sz="8" w:space="0" w:color="000000"/>
            </w:tcBorders>
            <w:shd w:val="clear" w:color="auto" w:fill="A6A6A6"/>
          </w:tcPr>
          <w:p w:rsidR="00654CAF" w:rsidRPr="00314A7A" w:rsidP="00FB4ADC" w14:paraId="1423E5DB" w14:textId="77777777">
            <w:pPr>
              <w:rPr>
                <w:rFonts w:ascii="Times New Roman" w:hAnsi="Times New Roman"/>
                <w:iCs/>
                <w:szCs w:val="24"/>
              </w:rPr>
            </w:pPr>
          </w:p>
        </w:tc>
        <w:tc>
          <w:tcPr>
            <w:tcW w:w="1815" w:type="dxa"/>
            <w:tcBorders>
              <w:bottom w:val="single" w:sz="8" w:space="0" w:color="000000"/>
            </w:tcBorders>
            <w:shd w:val="clear" w:color="auto" w:fill="A6A6A6"/>
          </w:tcPr>
          <w:p w:rsidR="00654CAF" w:rsidRPr="00314A7A" w:rsidP="00FB4ADC" w14:paraId="4035C5C5" w14:textId="77777777">
            <w:pPr>
              <w:pStyle w:val="TableParagraph"/>
              <w:rPr>
                <w:rFonts w:ascii="Times New Roman" w:hAnsi="Times New Roman" w:cs="Times New Roman"/>
                <w:b/>
                <w:iCs/>
                <w:sz w:val="24"/>
                <w:szCs w:val="24"/>
              </w:rPr>
            </w:pPr>
          </w:p>
          <w:p w:rsidR="00654CAF" w:rsidRPr="00314A7A" w:rsidP="00FB4ADC" w14:paraId="69F0EDC8" w14:textId="77777777">
            <w:pPr>
              <w:pStyle w:val="TableParagraph"/>
              <w:spacing w:before="1"/>
              <w:rPr>
                <w:rFonts w:ascii="Times New Roman" w:hAnsi="Times New Roman" w:cs="Times New Roman"/>
                <w:b/>
                <w:iCs/>
                <w:sz w:val="24"/>
                <w:szCs w:val="24"/>
              </w:rPr>
            </w:pPr>
          </w:p>
          <w:p w:rsidR="00654CAF" w:rsidRPr="00314A7A" w:rsidP="00FB4ADC" w14:paraId="5ADEFBFA" w14:textId="77777777">
            <w:pPr>
              <w:pStyle w:val="TableParagraph"/>
              <w:ind w:left="568" w:right="433" w:hanging="116"/>
              <w:rPr>
                <w:rFonts w:ascii="Times New Roman" w:hAnsi="Times New Roman" w:cs="Times New Roman"/>
                <w:b/>
                <w:iCs/>
                <w:sz w:val="24"/>
                <w:szCs w:val="24"/>
              </w:rPr>
            </w:pPr>
            <w:r w:rsidRPr="00314A7A">
              <w:rPr>
                <w:rFonts w:ascii="Times New Roman" w:hAnsi="Times New Roman" w:cs="Times New Roman"/>
                <w:b/>
                <w:iCs/>
                <w:sz w:val="24"/>
                <w:szCs w:val="24"/>
              </w:rPr>
              <w:t>Respondent Category</w:t>
            </w:r>
          </w:p>
        </w:tc>
        <w:tc>
          <w:tcPr>
            <w:tcW w:w="1318" w:type="dxa"/>
            <w:tcBorders>
              <w:bottom w:val="single" w:sz="8" w:space="0" w:color="000000"/>
            </w:tcBorders>
            <w:shd w:val="clear" w:color="auto" w:fill="A6A6A6"/>
          </w:tcPr>
          <w:p w:rsidR="00654CAF" w:rsidRPr="00314A7A" w:rsidP="00FB4ADC" w14:paraId="37759C5C" w14:textId="77777777">
            <w:pPr>
              <w:pStyle w:val="TableParagraph"/>
              <w:ind w:left="203" w:right="204" w:hanging="2"/>
              <w:jc w:val="center"/>
              <w:rPr>
                <w:rFonts w:ascii="Times New Roman" w:hAnsi="Times New Roman" w:cs="Times New Roman"/>
                <w:b/>
                <w:iCs/>
                <w:sz w:val="24"/>
                <w:szCs w:val="24"/>
              </w:rPr>
            </w:pPr>
            <w:r w:rsidRPr="00314A7A">
              <w:rPr>
                <w:rFonts w:ascii="Times New Roman" w:hAnsi="Times New Roman" w:cs="Times New Roman"/>
                <w:b/>
                <w:iCs/>
                <w:sz w:val="24"/>
                <w:szCs w:val="24"/>
              </w:rPr>
              <w:t xml:space="preserve">Potential </w:t>
            </w:r>
            <w:r w:rsidRPr="00314A7A">
              <w:rPr>
                <w:rFonts w:ascii="Times New Roman" w:hAnsi="Times New Roman" w:cs="Times New Roman"/>
                <w:b/>
                <w:iCs/>
                <w:spacing w:val="-1"/>
                <w:sz w:val="24"/>
                <w:szCs w:val="24"/>
              </w:rPr>
              <w:t xml:space="preserve">Respondent </w:t>
            </w:r>
            <w:r w:rsidRPr="00314A7A">
              <w:rPr>
                <w:rFonts w:ascii="Times New Roman" w:hAnsi="Times New Roman" w:cs="Times New Roman"/>
                <w:b/>
                <w:iCs/>
                <w:sz w:val="24"/>
                <w:szCs w:val="24"/>
              </w:rPr>
              <w:t>Universe (N)</w:t>
            </w:r>
          </w:p>
        </w:tc>
        <w:tc>
          <w:tcPr>
            <w:tcW w:w="1092" w:type="dxa"/>
            <w:tcBorders>
              <w:bottom w:val="single" w:sz="8" w:space="0" w:color="000000"/>
            </w:tcBorders>
            <w:shd w:val="clear" w:color="auto" w:fill="A6A6A6"/>
          </w:tcPr>
          <w:p w:rsidR="00654CAF" w:rsidRPr="00314A7A" w:rsidP="00FB4ADC" w14:paraId="35FC3689" w14:textId="77777777">
            <w:pPr>
              <w:pStyle w:val="TableParagraph"/>
              <w:ind w:left="182" w:right="184"/>
              <w:jc w:val="center"/>
              <w:rPr>
                <w:rFonts w:ascii="Times New Roman" w:hAnsi="Times New Roman" w:cs="Times New Roman"/>
                <w:b/>
                <w:iCs/>
                <w:sz w:val="24"/>
                <w:szCs w:val="24"/>
              </w:rPr>
            </w:pPr>
            <w:r w:rsidRPr="00314A7A">
              <w:rPr>
                <w:rFonts w:ascii="Times New Roman" w:hAnsi="Times New Roman" w:cs="Times New Roman"/>
                <w:b/>
                <w:iCs/>
                <w:sz w:val="24"/>
                <w:szCs w:val="24"/>
              </w:rPr>
              <w:t>Expected Response Rate</w:t>
            </w:r>
          </w:p>
          <w:p w:rsidR="00654CAF" w:rsidRPr="00314A7A" w:rsidP="00FB4ADC" w14:paraId="27C4F9B1" w14:textId="77777777">
            <w:pPr>
              <w:pStyle w:val="TableParagraph"/>
              <w:spacing w:before="2"/>
              <w:ind w:left="182" w:right="183"/>
              <w:jc w:val="center"/>
              <w:rPr>
                <w:rFonts w:ascii="Times New Roman" w:hAnsi="Times New Roman" w:cs="Times New Roman"/>
                <w:b/>
                <w:iCs/>
                <w:sz w:val="24"/>
                <w:szCs w:val="24"/>
              </w:rPr>
            </w:pPr>
            <w:r w:rsidRPr="00314A7A">
              <w:rPr>
                <w:rFonts w:ascii="Times New Roman" w:hAnsi="Times New Roman" w:cs="Times New Roman"/>
                <w:b/>
                <w:iCs/>
                <w:sz w:val="24"/>
                <w:szCs w:val="24"/>
              </w:rPr>
              <w:t>(R)</w:t>
            </w:r>
          </w:p>
        </w:tc>
        <w:tc>
          <w:tcPr>
            <w:tcW w:w="1500" w:type="dxa"/>
            <w:tcBorders>
              <w:bottom w:val="single" w:sz="8" w:space="0" w:color="000000"/>
            </w:tcBorders>
            <w:shd w:val="clear" w:color="auto" w:fill="A6A6A6"/>
          </w:tcPr>
          <w:p w:rsidR="00654CAF" w:rsidRPr="00314A7A" w:rsidP="00FB4ADC" w14:paraId="4AABBF8F" w14:textId="77777777">
            <w:pPr>
              <w:pStyle w:val="TableParagraph"/>
              <w:ind w:left="134" w:right="134" w:hanging="2"/>
              <w:jc w:val="center"/>
              <w:rPr>
                <w:rFonts w:ascii="Times New Roman" w:hAnsi="Times New Roman" w:cs="Times New Roman"/>
                <w:b/>
                <w:iCs/>
                <w:sz w:val="24"/>
                <w:szCs w:val="24"/>
              </w:rPr>
            </w:pPr>
            <w:r w:rsidRPr="00314A7A">
              <w:rPr>
                <w:rFonts w:ascii="Times New Roman" w:hAnsi="Times New Roman" w:cs="Times New Roman"/>
                <w:b/>
                <w:iCs/>
                <w:sz w:val="24"/>
                <w:szCs w:val="24"/>
              </w:rPr>
              <w:t>Statistically Adjusted Number of Respondents (n)</w:t>
            </w:r>
          </w:p>
        </w:tc>
      </w:tr>
      <w:tr w14:paraId="652C3B81" w14:textId="77777777" w:rsidTr="00FB4ADC">
        <w:tblPrEx>
          <w:tblW w:w="0" w:type="auto"/>
          <w:tblInd w:w="214" w:type="dxa"/>
          <w:tblLayout w:type="fixed"/>
          <w:tblCellMar>
            <w:left w:w="0" w:type="dxa"/>
            <w:right w:w="0" w:type="dxa"/>
          </w:tblCellMar>
          <w:tblLook w:val="01E0"/>
        </w:tblPrEx>
        <w:trPr>
          <w:trHeight w:hRule="exact" w:val="895"/>
        </w:trPr>
        <w:tc>
          <w:tcPr>
            <w:tcW w:w="1759" w:type="dxa"/>
            <w:vMerge w:val="restart"/>
            <w:tcBorders>
              <w:top w:val="single" w:sz="8" w:space="0" w:color="000000"/>
            </w:tcBorders>
            <w:shd w:val="clear" w:color="auto" w:fill="D9D9D9"/>
            <w:vAlign w:val="center"/>
          </w:tcPr>
          <w:p w:rsidR="00654CAF" w:rsidRPr="00314A7A" w:rsidP="00FB4ADC" w14:paraId="7DBF59A0" w14:textId="77777777">
            <w:pPr>
              <w:pStyle w:val="TableParagraph"/>
              <w:spacing w:before="1"/>
              <w:ind w:left="103" w:right="209"/>
              <w:rPr>
                <w:rFonts w:ascii="Times New Roman" w:hAnsi="Times New Roman" w:cs="Times New Roman"/>
                <w:b/>
                <w:iCs/>
                <w:sz w:val="24"/>
                <w:szCs w:val="24"/>
              </w:rPr>
            </w:pPr>
            <w:r w:rsidRPr="00314A7A">
              <w:rPr>
                <w:rFonts w:ascii="Times New Roman" w:hAnsi="Times New Roman" w:cs="Times New Roman"/>
                <w:b/>
                <w:iCs/>
                <w:sz w:val="24"/>
                <w:szCs w:val="24"/>
              </w:rPr>
              <w:t>NASA STEM Gateway</w:t>
            </w:r>
          </w:p>
        </w:tc>
        <w:tc>
          <w:tcPr>
            <w:tcW w:w="1815" w:type="dxa"/>
            <w:tcBorders>
              <w:top w:val="single" w:sz="8" w:space="0" w:color="000000"/>
            </w:tcBorders>
            <w:vAlign w:val="center"/>
          </w:tcPr>
          <w:p w:rsidR="00654CAF" w:rsidRPr="00314A7A" w:rsidP="00FB4ADC" w14:paraId="30DE4AE8" w14:textId="77777777">
            <w:pPr>
              <w:pStyle w:val="TableParagraph"/>
              <w:ind w:left="-90"/>
              <w:jc w:val="center"/>
              <w:rPr>
                <w:rFonts w:ascii="Times New Roman" w:hAnsi="Times New Roman" w:cs="Times New Roman"/>
                <w:iCs/>
                <w:sz w:val="24"/>
                <w:szCs w:val="24"/>
              </w:rPr>
            </w:pPr>
            <w:r w:rsidRPr="00314A7A">
              <w:rPr>
                <w:rFonts w:ascii="Times New Roman" w:hAnsi="Times New Roman" w:cs="Times New Roman"/>
                <w:iCs/>
                <w:sz w:val="24"/>
                <w:szCs w:val="24"/>
              </w:rPr>
              <w:t>Students (15 and younger)</w:t>
            </w:r>
          </w:p>
        </w:tc>
        <w:tc>
          <w:tcPr>
            <w:tcW w:w="1318" w:type="dxa"/>
            <w:tcBorders>
              <w:top w:val="single" w:sz="8" w:space="0" w:color="000000"/>
            </w:tcBorders>
            <w:vAlign w:val="center"/>
          </w:tcPr>
          <w:p w:rsidR="00654CAF" w:rsidRPr="00314A7A" w:rsidP="00FB4ADC" w14:paraId="5AEC82D1" w14:textId="77777777">
            <w:pPr>
              <w:pStyle w:val="TableParagraph"/>
              <w:ind w:right="403"/>
              <w:jc w:val="right"/>
              <w:rPr>
                <w:rFonts w:ascii="Times New Roman" w:hAnsi="Times New Roman" w:cs="Times New Roman"/>
                <w:iCs/>
                <w:sz w:val="24"/>
                <w:szCs w:val="24"/>
              </w:rPr>
            </w:pPr>
            <w:r w:rsidRPr="00314A7A">
              <w:rPr>
                <w:rFonts w:ascii="Times New Roman" w:hAnsi="Times New Roman" w:cs="Times New Roman"/>
                <w:iCs/>
                <w:sz w:val="24"/>
                <w:szCs w:val="24"/>
              </w:rPr>
              <w:t xml:space="preserve">10,000 </w:t>
            </w:r>
          </w:p>
        </w:tc>
        <w:tc>
          <w:tcPr>
            <w:tcW w:w="1092" w:type="dxa"/>
            <w:tcBorders>
              <w:top w:val="single" w:sz="8" w:space="0" w:color="000000"/>
            </w:tcBorders>
            <w:vAlign w:val="center"/>
          </w:tcPr>
          <w:p w:rsidR="00654CAF" w:rsidRPr="00314A7A" w:rsidP="00FB4ADC" w14:paraId="3E637247" w14:textId="77777777">
            <w:pPr>
              <w:pStyle w:val="TableParagraph"/>
              <w:ind w:right="425"/>
              <w:jc w:val="right"/>
              <w:rPr>
                <w:rFonts w:ascii="Times New Roman" w:hAnsi="Times New Roman" w:cs="Times New Roman"/>
                <w:iCs/>
                <w:sz w:val="24"/>
                <w:szCs w:val="24"/>
              </w:rPr>
            </w:pPr>
            <w:r w:rsidRPr="00314A7A">
              <w:rPr>
                <w:rFonts w:ascii="Times New Roman" w:hAnsi="Times New Roman" w:cs="Times New Roman"/>
                <w:iCs/>
                <w:sz w:val="24"/>
                <w:szCs w:val="24"/>
              </w:rPr>
              <w:t>0.6</w:t>
            </w:r>
          </w:p>
        </w:tc>
        <w:tc>
          <w:tcPr>
            <w:tcW w:w="1500" w:type="dxa"/>
            <w:tcBorders>
              <w:top w:val="single" w:sz="8" w:space="0" w:color="000000"/>
            </w:tcBorders>
            <w:vAlign w:val="center"/>
          </w:tcPr>
          <w:p w:rsidR="00654CAF" w:rsidRPr="00314A7A" w:rsidP="00FB4ADC" w14:paraId="0823EC48" w14:textId="77777777">
            <w:pPr>
              <w:pStyle w:val="TableParagraph"/>
              <w:jc w:val="center"/>
              <w:rPr>
                <w:rFonts w:ascii="Times New Roman" w:hAnsi="Times New Roman" w:cs="Times New Roman"/>
                <w:iCs/>
                <w:sz w:val="24"/>
                <w:szCs w:val="24"/>
              </w:rPr>
            </w:pPr>
            <w:r w:rsidRPr="00314A7A">
              <w:rPr>
                <w:rFonts w:ascii="Times New Roman" w:hAnsi="Times New Roman" w:cs="Times New Roman"/>
                <w:iCs/>
                <w:sz w:val="24"/>
                <w:szCs w:val="24"/>
              </w:rPr>
              <w:t>6,000</w:t>
            </w:r>
          </w:p>
        </w:tc>
      </w:tr>
      <w:tr w14:paraId="0A290CEE" w14:textId="77777777" w:rsidTr="00FB4ADC">
        <w:tblPrEx>
          <w:tblW w:w="0" w:type="auto"/>
          <w:tblInd w:w="214" w:type="dxa"/>
          <w:tblLayout w:type="fixed"/>
          <w:tblCellMar>
            <w:left w:w="0" w:type="dxa"/>
            <w:right w:w="0" w:type="dxa"/>
          </w:tblCellMar>
          <w:tblLook w:val="01E0"/>
        </w:tblPrEx>
        <w:trPr>
          <w:trHeight w:hRule="exact" w:val="449"/>
        </w:trPr>
        <w:tc>
          <w:tcPr>
            <w:tcW w:w="1759" w:type="dxa"/>
            <w:vMerge/>
          </w:tcPr>
          <w:p w:rsidR="00654CAF" w:rsidRPr="00314A7A" w:rsidP="00FB4ADC" w14:paraId="6CF3AA4A" w14:textId="77777777">
            <w:pPr>
              <w:rPr>
                <w:rFonts w:ascii="Times New Roman" w:hAnsi="Times New Roman"/>
                <w:iCs/>
                <w:szCs w:val="24"/>
              </w:rPr>
            </w:pPr>
          </w:p>
        </w:tc>
        <w:tc>
          <w:tcPr>
            <w:tcW w:w="1815" w:type="dxa"/>
            <w:vAlign w:val="center"/>
          </w:tcPr>
          <w:p w:rsidR="00654CAF" w:rsidRPr="00314A7A" w:rsidP="00FB4ADC" w14:paraId="5AD8BE56" w14:textId="77777777">
            <w:pPr>
              <w:pStyle w:val="TableParagraph"/>
              <w:ind w:left="-90"/>
              <w:jc w:val="center"/>
              <w:rPr>
                <w:rFonts w:ascii="Times New Roman" w:hAnsi="Times New Roman" w:cs="Times New Roman"/>
                <w:iCs/>
                <w:sz w:val="24"/>
                <w:szCs w:val="24"/>
              </w:rPr>
            </w:pPr>
            <w:r w:rsidRPr="00314A7A">
              <w:rPr>
                <w:rFonts w:ascii="Times New Roman" w:eastAsia="Times New Roman" w:hAnsi="Times New Roman" w:cs="Times New Roman"/>
                <w:iCs/>
                <w:sz w:val="24"/>
                <w:szCs w:val="24"/>
              </w:rPr>
              <w:t xml:space="preserve"> </w:t>
            </w:r>
            <w:r w:rsidRPr="00314A7A">
              <w:rPr>
                <w:rFonts w:ascii="Times New Roman" w:hAnsi="Times New Roman" w:cs="Times New Roman"/>
                <w:iCs/>
                <w:sz w:val="24"/>
                <w:szCs w:val="24"/>
              </w:rPr>
              <w:t>Students (16 and older)</w:t>
            </w:r>
          </w:p>
        </w:tc>
        <w:tc>
          <w:tcPr>
            <w:tcW w:w="1318" w:type="dxa"/>
            <w:vAlign w:val="center"/>
          </w:tcPr>
          <w:p w:rsidR="00654CAF" w:rsidRPr="00314A7A" w:rsidP="00FB4ADC" w14:paraId="480AC0D5" w14:textId="77777777">
            <w:pPr>
              <w:pStyle w:val="TableParagraph"/>
              <w:jc w:val="center"/>
              <w:rPr>
                <w:rFonts w:ascii="Times New Roman" w:hAnsi="Times New Roman" w:cs="Times New Roman"/>
                <w:iCs/>
                <w:sz w:val="24"/>
                <w:szCs w:val="24"/>
              </w:rPr>
            </w:pPr>
            <w:r w:rsidRPr="00314A7A">
              <w:rPr>
                <w:rFonts w:ascii="Times New Roman" w:hAnsi="Times New Roman" w:cs="Times New Roman"/>
                <w:iCs/>
                <w:sz w:val="24"/>
                <w:szCs w:val="24"/>
              </w:rPr>
              <w:t>10,000</w:t>
            </w:r>
          </w:p>
        </w:tc>
        <w:tc>
          <w:tcPr>
            <w:tcW w:w="1092" w:type="dxa"/>
            <w:vAlign w:val="center"/>
          </w:tcPr>
          <w:p w:rsidR="00654CAF" w:rsidRPr="00314A7A" w:rsidP="00FB4ADC" w14:paraId="5F94922E" w14:textId="77777777">
            <w:pPr>
              <w:pStyle w:val="TableParagraph"/>
              <w:ind w:right="425"/>
              <w:jc w:val="right"/>
              <w:rPr>
                <w:rFonts w:ascii="Times New Roman" w:hAnsi="Times New Roman" w:cs="Times New Roman"/>
                <w:iCs/>
                <w:sz w:val="24"/>
                <w:szCs w:val="24"/>
              </w:rPr>
            </w:pPr>
            <w:r w:rsidRPr="00314A7A">
              <w:rPr>
                <w:rFonts w:ascii="Times New Roman" w:hAnsi="Times New Roman" w:cs="Times New Roman"/>
                <w:iCs/>
                <w:sz w:val="24"/>
                <w:szCs w:val="24"/>
              </w:rPr>
              <w:t>0.6</w:t>
            </w:r>
          </w:p>
        </w:tc>
        <w:tc>
          <w:tcPr>
            <w:tcW w:w="1500" w:type="dxa"/>
            <w:vAlign w:val="center"/>
          </w:tcPr>
          <w:p w:rsidR="00654CAF" w:rsidRPr="00314A7A" w:rsidP="00FB4ADC" w14:paraId="61B8D0A4" w14:textId="77777777">
            <w:pPr>
              <w:pStyle w:val="TableParagraph"/>
              <w:jc w:val="center"/>
              <w:rPr>
                <w:rFonts w:ascii="Times New Roman" w:hAnsi="Times New Roman" w:cs="Times New Roman"/>
                <w:iCs/>
                <w:sz w:val="24"/>
                <w:szCs w:val="24"/>
              </w:rPr>
            </w:pPr>
            <w:r w:rsidRPr="00314A7A">
              <w:rPr>
                <w:rFonts w:ascii="Times New Roman" w:hAnsi="Times New Roman" w:cs="Times New Roman"/>
                <w:iCs/>
                <w:sz w:val="24"/>
                <w:szCs w:val="24"/>
              </w:rPr>
              <w:t>6,000</w:t>
            </w:r>
          </w:p>
        </w:tc>
      </w:tr>
      <w:tr w14:paraId="6A1917AA" w14:textId="77777777" w:rsidTr="00FB4ADC">
        <w:tblPrEx>
          <w:tblW w:w="0" w:type="auto"/>
          <w:tblInd w:w="214" w:type="dxa"/>
          <w:tblLayout w:type="fixed"/>
          <w:tblCellMar>
            <w:left w:w="0" w:type="dxa"/>
            <w:right w:w="0" w:type="dxa"/>
          </w:tblCellMar>
          <w:tblLook w:val="01E0"/>
        </w:tblPrEx>
        <w:trPr>
          <w:trHeight w:hRule="exact" w:val="670"/>
        </w:trPr>
        <w:tc>
          <w:tcPr>
            <w:tcW w:w="1759" w:type="dxa"/>
            <w:vMerge/>
          </w:tcPr>
          <w:p w:rsidR="00654CAF" w:rsidRPr="00314A7A" w:rsidP="00FB4ADC" w14:paraId="63E1C8C5" w14:textId="77777777">
            <w:pPr>
              <w:rPr>
                <w:rFonts w:ascii="Times New Roman" w:hAnsi="Times New Roman"/>
                <w:iCs/>
                <w:szCs w:val="24"/>
              </w:rPr>
            </w:pPr>
          </w:p>
        </w:tc>
        <w:tc>
          <w:tcPr>
            <w:tcW w:w="1815" w:type="dxa"/>
            <w:vAlign w:val="center"/>
          </w:tcPr>
          <w:p w:rsidR="00654CAF" w:rsidRPr="00314A7A" w:rsidP="00FB4ADC" w14:paraId="67E02440" w14:textId="77777777">
            <w:pPr>
              <w:pStyle w:val="TableParagraph"/>
              <w:ind w:left="-90"/>
              <w:jc w:val="center"/>
              <w:rPr>
                <w:rFonts w:ascii="Times New Roman" w:hAnsi="Times New Roman" w:cs="Times New Roman"/>
                <w:iCs/>
                <w:sz w:val="24"/>
                <w:szCs w:val="24"/>
              </w:rPr>
            </w:pPr>
            <w:r w:rsidRPr="00314A7A">
              <w:rPr>
                <w:rFonts w:ascii="Times New Roman" w:hAnsi="Times New Roman" w:cs="Times New Roman"/>
                <w:iCs/>
                <w:sz w:val="24"/>
                <w:szCs w:val="24"/>
              </w:rPr>
              <w:t>Educators and Parents</w:t>
            </w:r>
          </w:p>
        </w:tc>
        <w:tc>
          <w:tcPr>
            <w:tcW w:w="1318" w:type="dxa"/>
            <w:vAlign w:val="center"/>
          </w:tcPr>
          <w:p w:rsidR="00654CAF" w:rsidRPr="00314A7A" w:rsidP="00FB4ADC" w14:paraId="1CDBA0AA" w14:textId="77777777">
            <w:pPr>
              <w:adjustRightInd w:val="0"/>
              <w:jc w:val="center"/>
              <w:rPr>
                <w:rFonts w:ascii="Times New Roman" w:hAnsi="Times New Roman"/>
                <w:iCs/>
                <w:szCs w:val="24"/>
              </w:rPr>
            </w:pPr>
            <w:r w:rsidRPr="00314A7A">
              <w:rPr>
                <w:rFonts w:ascii="Times New Roman" w:hAnsi="Times New Roman"/>
                <w:iCs/>
                <w:szCs w:val="24"/>
              </w:rPr>
              <w:t>8,000</w:t>
            </w:r>
          </w:p>
        </w:tc>
        <w:tc>
          <w:tcPr>
            <w:tcW w:w="1092" w:type="dxa"/>
            <w:vAlign w:val="center"/>
          </w:tcPr>
          <w:p w:rsidR="00654CAF" w:rsidRPr="00314A7A" w:rsidP="00FB4ADC" w14:paraId="30AF6570" w14:textId="77777777">
            <w:pPr>
              <w:pStyle w:val="TableParagraph"/>
              <w:ind w:right="425"/>
              <w:jc w:val="right"/>
              <w:rPr>
                <w:rFonts w:ascii="Times New Roman" w:hAnsi="Times New Roman" w:cs="Times New Roman"/>
                <w:iCs/>
                <w:sz w:val="24"/>
                <w:szCs w:val="24"/>
              </w:rPr>
            </w:pPr>
            <w:r w:rsidRPr="00314A7A">
              <w:rPr>
                <w:rFonts w:ascii="Times New Roman" w:hAnsi="Times New Roman" w:cs="Times New Roman"/>
                <w:iCs/>
                <w:sz w:val="24"/>
                <w:szCs w:val="24"/>
              </w:rPr>
              <w:t>0.6</w:t>
            </w:r>
          </w:p>
        </w:tc>
        <w:tc>
          <w:tcPr>
            <w:tcW w:w="1500" w:type="dxa"/>
            <w:vAlign w:val="center"/>
          </w:tcPr>
          <w:p w:rsidR="00654CAF" w:rsidRPr="00314A7A" w:rsidP="00FB4ADC" w14:paraId="53D33EB2" w14:textId="77777777">
            <w:pPr>
              <w:pStyle w:val="TableParagraph"/>
              <w:jc w:val="center"/>
              <w:rPr>
                <w:rFonts w:ascii="Times New Roman" w:hAnsi="Times New Roman" w:cs="Times New Roman"/>
                <w:iCs/>
                <w:sz w:val="24"/>
                <w:szCs w:val="24"/>
              </w:rPr>
            </w:pPr>
            <w:r w:rsidRPr="00314A7A">
              <w:rPr>
                <w:rFonts w:ascii="Times New Roman" w:hAnsi="Times New Roman" w:cs="Times New Roman"/>
                <w:iCs/>
                <w:sz w:val="24"/>
                <w:szCs w:val="24"/>
              </w:rPr>
              <w:t>4,800</w:t>
            </w:r>
          </w:p>
        </w:tc>
      </w:tr>
      <w:tr w14:paraId="5086E7DB" w14:textId="77777777" w:rsidTr="00FB4ADC">
        <w:tblPrEx>
          <w:tblW w:w="0" w:type="auto"/>
          <w:tblInd w:w="214" w:type="dxa"/>
          <w:tblLayout w:type="fixed"/>
          <w:tblCellMar>
            <w:left w:w="0" w:type="dxa"/>
            <w:right w:w="0" w:type="dxa"/>
          </w:tblCellMar>
          <w:tblLook w:val="01E0"/>
        </w:tblPrEx>
        <w:trPr>
          <w:trHeight w:hRule="exact" w:val="235"/>
        </w:trPr>
        <w:tc>
          <w:tcPr>
            <w:tcW w:w="1759" w:type="dxa"/>
            <w:tcBorders>
              <w:top w:val="single" w:sz="8" w:space="0" w:color="000000"/>
            </w:tcBorders>
            <w:shd w:val="clear" w:color="auto" w:fill="BEBEBE"/>
          </w:tcPr>
          <w:p w:rsidR="00654CAF" w:rsidRPr="00314A7A" w:rsidP="00FB4ADC" w14:paraId="5FADCF44" w14:textId="77777777">
            <w:pPr>
              <w:rPr>
                <w:rFonts w:ascii="Times New Roman" w:hAnsi="Times New Roman"/>
                <w:iCs/>
                <w:szCs w:val="24"/>
              </w:rPr>
            </w:pPr>
          </w:p>
        </w:tc>
        <w:tc>
          <w:tcPr>
            <w:tcW w:w="1815" w:type="dxa"/>
            <w:tcBorders>
              <w:top w:val="single" w:sz="8" w:space="0" w:color="000000"/>
            </w:tcBorders>
            <w:shd w:val="clear" w:color="auto" w:fill="BEBEBE"/>
          </w:tcPr>
          <w:p w:rsidR="00654CAF" w:rsidRPr="00314A7A" w:rsidP="00FB4ADC" w14:paraId="29F53CDF" w14:textId="77777777">
            <w:pPr>
              <w:rPr>
                <w:rFonts w:ascii="Times New Roman" w:hAnsi="Times New Roman"/>
                <w:iCs/>
                <w:szCs w:val="24"/>
              </w:rPr>
            </w:pPr>
          </w:p>
        </w:tc>
        <w:tc>
          <w:tcPr>
            <w:tcW w:w="1318" w:type="dxa"/>
            <w:tcBorders>
              <w:top w:val="single" w:sz="8" w:space="0" w:color="000000"/>
            </w:tcBorders>
            <w:shd w:val="clear" w:color="auto" w:fill="BEBEBE"/>
          </w:tcPr>
          <w:p w:rsidR="00654CAF" w:rsidRPr="00314A7A" w:rsidP="00FB4ADC" w14:paraId="402CF055" w14:textId="77777777">
            <w:pPr>
              <w:jc w:val="center"/>
              <w:rPr>
                <w:rFonts w:ascii="Times New Roman" w:hAnsi="Times New Roman"/>
                <w:iCs/>
                <w:szCs w:val="24"/>
              </w:rPr>
            </w:pPr>
            <w:r w:rsidRPr="00314A7A">
              <w:rPr>
                <w:rFonts w:ascii="Times New Roman" w:hAnsi="Times New Roman"/>
                <w:b/>
                <w:bCs/>
                <w:iCs/>
                <w:szCs w:val="24"/>
              </w:rPr>
              <w:t>28,000</w:t>
            </w:r>
          </w:p>
        </w:tc>
        <w:tc>
          <w:tcPr>
            <w:tcW w:w="1092" w:type="dxa"/>
            <w:tcBorders>
              <w:top w:val="single" w:sz="8" w:space="0" w:color="000000"/>
            </w:tcBorders>
            <w:shd w:val="clear" w:color="auto" w:fill="BEBEBE"/>
          </w:tcPr>
          <w:p w:rsidR="00654CAF" w:rsidRPr="00314A7A" w:rsidP="00FB4ADC" w14:paraId="170CC4FF" w14:textId="77777777">
            <w:pPr>
              <w:rPr>
                <w:rFonts w:ascii="Times New Roman" w:hAnsi="Times New Roman"/>
                <w:iCs/>
                <w:szCs w:val="24"/>
              </w:rPr>
            </w:pPr>
          </w:p>
        </w:tc>
        <w:tc>
          <w:tcPr>
            <w:tcW w:w="1500" w:type="dxa"/>
            <w:tcBorders>
              <w:top w:val="single" w:sz="8" w:space="0" w:color="000000"/>
            </w:tcBorders>
            <w:shd w:val="clear" w:color="auto" w:fill="BEBEBE"/>
          </w:tcPr>
          <w:p w:rsidR="00654CAF" w:rsidRPr="00314A7A" w:rsidP="00FB4ADC" w14:paraId="5FEE357D" w14:textId="77777777">
            <w:pPr>
              <w:pStyle w:val="TableParagraph"/>
              <w:spacing w:line="219" w:lineRule="exact"/>
              <w:jc w:val="center"/>
              <w:rPr>
                <w:rFonts w:ascii="Times New Roman" w:hAnsi="Times New Roman" w:cs="Times New Roman"/>
                <w:b/>
                <w:iCs/>
                <w:sz w:val="24"/>
                <w:szCs w:val="24"/>
              </w:rPr>
            </w:pPr>
            <w:r w:rsidRPr="00314A7A">
              <w:rPr>
                <w:rFonts w:ascii="Times New Roman" w:hAnsi="Times New Roman" w:cs="Times New Roman"/>
                <w:b/>
                <w:iCs/>
                <w:sz w:val="24"/>
                <w:szCs w:val="24"/>
              </w:rPr>
              <w:t>16,800</w:t>
            </w:r>
          </w:p>
        </w:tc>
      </w:tr>
    </w:tbl>
    <w:p w:rsidR="00654CAF" w:rsidRPr="00314A7A" w:rsidP="00654CAF" w14:paraId="6279A887" w14:textId="77777777">
      <w:pPr>
        <w:pStyle w:val="BodyText"/>
        <w:rPr>
          <w:rFonts w:ascii="Times New Roman" w:hAnsi="Times New Roman"/>
          <w:b/>
          <w:i w:val="0"/>
          <w:iCs/>
          <w:szCs w:val="24"/>
        </w:rPr>
      </w:pPr>
    </w:p>
    <w:p w:rsidR="00654CAF" w:rsidRPr="00314A7A" w:rsidP="00654CAF" w14:paraId="7043396D" w14:textId="77777777">
      <w:pPr>
        <w:pStyle w:val="BodyText"/>
        <w:rPr>
          <w:rFonts w:ascii="Times New Roman" w:hAnsi="Times New Roman"/>
          <w:b/>
          <w:i w:val="0"/>
          <w:iCs/>
          <w:szCs w:val="24"/>
        </w:rPr>
      </w:pPr>
      <w:r w:rsidRPr="00314A7A">
        <w:rPr>
          <w:rFonts w:ascii="Times New Roman" w:hAnsi="Times New Roman"/>
          <w:i w:val="0"/>
          <w:iCs/>
          <w:noProof/>
          <w:szCs w:val="24"/>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146050</wp:posOffset>
                </wp:positionV>
                <wp:extent cx="1829435" cy="0"/>
                <wp:effectExtent l="9525" t="7620" r="8890" b="11430"/>
                <wp:wrapTopAndBottom/>
                <wp:docPr id="14"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5" style="mso-height-percent:0;mso-height-relative:page;mso-position-horizontal-relative:page;mso-width-percent:0;mso-width-relative:page;mso-wrap-distance-bottom:0;mso-wrap-distance-left:0;mso-wrap-distance-right:0;mso-wrap-distance-top:0;mso-wrap-style:square;position:absolute;visibility:visible;z-index:251659264" from="1in,11.5pt" to="216.05pt,11.5pt" strokeweight="0.6pt">
                <w10:wrap type="topAndBottom"/>
              </v:line>
            </w:pict>
          </mc:Fallback>
        </mc:AlternateContent>
      </w:r>
    </w:p>
    <w:p w:rsidR="00654CAF" w:rsidRPr="00314A7A" w:rsidP="00654CAF" w14:paraId="5DFF0A80" w14:textId="77777777">
      <w:pPr>
        <w:spacing w:before="70" w:line="233" w:lineRule="exact"/>
        <w:ind w:left="120"/>
        <w:rPr>
          <w:rFonts w:ascii="Times New Roman" w:hAnsi="Times New Roman"/>
          <w:iCs/>
          <w:szCs w:val="24"/>
        </w:rPr>
      </w:pPr>
      <w:r w:rsidRPr="00314A7A">
        <w:rPr>
          <w:rFonts w:ascii="Times New Roman" w:hAnsi="Times New Roman"/>
          <w:iCs/>
          <w:position w:val="7"/>
          <w:szCs w:val="24"/>
        </w:rPr>
        <w:t xml:space="preserve">1 </w:t>
      </w:r>
      <w:r w:rsidRPr="00314A7A">
        <w:rPr>
          <w:rFonts w:ascii="Times New Roman" w:hAnsi="Times New Roman"/>
          <w:iCs/>
          <w:szCs w:val="24"/>
        </w:rPr>
        <w:t>Further description of methodological testing techniques can be found in Appendix A.</w:t>
      </w:r>
    </w:p>
    <w:p w:rsidR="00654CAF" w:rsidRPr="00314A7A" w:rsidP="00654CAF" w14:paraId="1C42ACBD" w14:textId="77777777">
      <w:pPr>
        <w:rPr>
          <w:rFonts w:ascii="Times New Roman" w:hAnsi="Times New Roman"/>
          <w:b/>
          <w:bCs/>
          <w:iCs/>
          <w:szCs w:val="24"/>
        </w:rPr>
      </w:pPr>
      <w:r w:rsidRPr="00314A7A">
        <w:rPr>
          <w:rFonts w:ascii="Times New Roman" w:hAnsi="Times New Roman"/>
          <w:iCs/>
          <w:szCs w:val="24"/>
        </w:rPr>
        <w:br w:type="page"/>
      </w:r>
    </w:p>
    <w:p w:rsidR="00654CAF" w:rsidRPr="006976C8" w:rsidP="00654CAF" w14:paraId="44E99924" w14:textId="77777777">
      <w:pPr>
        <w:pStyle w:val="BodyText"/>
        <w:spacing w:before="8"/>
        <w:rPr>
          <w:rFonts w:ascii="Times New Roman" w:hAnsi="Times New Roman"/>
          <w:sz w:val="17"/>
        </w:rPr>
      </w:pPr>
    </w:p>
    <w:p w:rsidR="00654CAF" w:rsidRPr="005637FD" w:rsidP="00654CAF" w14:paraId="50A4C2AF" w14:textId="77777777">
      <w:pPr>
        <w:autoSpaceDE w:val="0"/>
        <w:autoSpaceDN w:val="0"/>
        <w:spacing w:before="79"/>
        <w:ind w:left="100"/>
        <w:outlineLvl w:val="2"/>
        <w:rPr>
          <w:rFonts w:ascii="Times New Roman" w:hAnsi="Times New Roman"/>
          <w:b/>
          <w:bCs/>
          <w:i/>
          <w:snapToGrid/>
          <w:szCs w:val="24"/>
        </w:rPr>
      </w:pPr>
      <w:r w:rsidRPr="005637FD">
        <w:rPr>
          <w:rFonts w:ascii="Times New Roman" w:hAnsi="Times New Roman"/>
          <w:b/>
          <w:bCs/>
          <w:i/>
          <w:snapToGrid/>
          <w:szCs w:val="24"/>
        </w:rPr>
        <w:t>Sampling Methods</w:t>
      </w:r>
    </w:p>
    <w:p w:rsidR="00654CAF" w:rsidRPr="005637FD" w:rsidP="00654CAF" w14:paraId="5BCD8DC9" w14:textId="77777777">
      <w:pPr>
        <w:autoSpaceDE w:val="0"/>
        <w:autoSpaceDN w:val="0"/>
        <w:spacing w:before="7"/>
        <w:rPr>
          <w:rFonts w:ascii="Times New Roman" w:hAnsi="Times New Roman"/>
          <w:b/>
          <w:i/>
          <w:snapToGrid/>
          <w:sz w:val="20"/>
          <w:szCs w:val="24"/>
        </w:rPr>
      </w:pPr>
    </w:p>
    <w:p w:rsidR="00654CAF" w:rsidRPr="005637FD" w:rsidP="00654CAF" w14:paraId="77C54C88" w14:textId="77777777">
      <w:pPr>
        <w:autoSpaceDE w:val="0"/>
        <w:autoSpaceDN w:val="0"/>
        <w:spacing w:before="1"/>
        <w:ind w:left="100"/>
        <w:rPr>
          <w:rFonts w:ascii="Times New Roman" w:hAnsi="Times New Roman"/>
          <w:i/>
          <w:iCs/>
          <w:snapToGrid/>
          <w:szCs w:val="24"/>
        </w:rPr>
      </w:pPr>
      <w:r w:rsidRPr="005637FD">
        <w:rPr>
          <w:rFonts w:ascii="Times New Roman" w:hAnsi="Times New Roman"/>
          <w:i/>
          <w:iCs/>
          <w:snapToGrid/>
          <w:szCs w:val="24"/>
        </w:rPr>
        <w:t>Systematic Random Sampling</w:t>
      </w:r>
    </w:p>
    <w:p w:rsidR="00654CAF" w:rsidRPr="005637FD" w:rsidP="00654CAF" w14:paraId="6715E88D" w14:textId="77777777">
      <w:pPr>
        <w:autoSpaceDE w:val="0"/>
        <w:autoSpaceDN w:val="0"/>
        <w:spacing w:before="10"/>
        <w:rPr>
          <w:rFonts w:ascii="Times New Roman" w:hAnsi="Times New Roman"/>
          <w:snapToGrid/>
          <w:sz w:val="20"/>
          <w:szCs w:val="24"/>
          <w:highlight w:val="yellow"/>
        </w:rPr>
      </w:pPr>
    </w:p>
    <w:p w:rsidR="00654CAF" w:rsidRPr="005637FD" w:rsidP="00654CAF" w14:paraId="4E875FAF" w14:textId="77777777">
      <w:pPr>
        <w:autoSpaceDE w:val="0"/>
        <w:autoSpaceDN w:val="0"/>
        <w:spacing w:line="276" w:lineRule="auto"/>
        <w:ind w:left="100" w:right="135"/>
        <w:rPr>
          <w:rFonts w:ascii="Times New Roman" w:hAnsi="Times New Roman"/>
          <w:snapToGrid/>
          <w:szCs w:val="24"/>
        </w:rPr>
      </w:pPr>
      <w:r w:rsidRPr="005637FD">
        <w:rPr>
          <w:rFonts w:ascii="Times New Roman" w:hAnsi="Times New Roman"/>
          <w:snapToGrid/>
          <w:szCs w:val="24"/>
        </w:rPr>
        <w:t>For each Respondent Category, OSTEM has identified the potential respondent universe for the purposes of piloting instruments.  OSTEM will systematically generate a random list in length corresponding to</w:t>
      </w:r>
      <w:r w:rsidRPr="005637FD">
        <w:rPr>
          <w:rFonts w:ascii="Times New Roman" w:hAnsi="Times New Roman"/>
          <w:i/>
          <w:iCs/>
          <w:snapToGrid/>
          <w:szCs w:val="24"/>
        </w:rPr>
        <w:t xml:space="preserve"> n</w:t>
      </w:r>
      <w:r w:rsidRPr="005637FD">
        <w:rPr>
          <w:rFonts w:ascii="Times New Roman" w:hAnsi="Times New Roman"/>
          <w:snapToGrid/>
          <w:szCs w:val="24"/>
        </w:rPr>
        <w:t xml:space="preserve"> Statistically Adjusted Number of Respondents wherein every </w:t>
      </w:r>
      <w:r w:rsidRPr="005637FD">
        <w:rPr>
          <w:rFonts w:ascii="Times New Roman" w:hAnsi="Times New Roman"/>
          <w:i/>
          <w:snapToGrid/>
          <w:szCs w:val="24"/>
        </w:rPr>
        <w:t>n</w:t>
      </w:r>
      <w:r w:rsidRPr="005637FD">
        <w:rPr>
          <w:rFonts w:ascii="Times New Roman" w:hAnsi="Times New Roman"/>
          <w:snapToGrid/>
          <w:szCs w:val="24"/>
        </w:rPr>
        <w:t>th element from the population list will be selected (Hesse-</w:t>
      </w:r>
      <w:r w:rsidRPr="005637FD">
        <w:rPr>
          <w:rFonts w:ascii="Times New Roman" w:hAnsi="Times New Roman"/>
          <w:snapToGrid/>
          <w:szCs w:val="24"/>
        </w:rPr>
        <w:t>Biber</w:t>
      </w:r>
      <w:r w:rsidRPr="005637FD">
        <w:rPr>
          <w:rFonts w:ascii="Times New Roman" w:hAnsi="Times New Roman"/>
          <w:snapToGrid/>
          <w:szCs w:val="24"/>
        </w:rPr>
        <w:t>, 2010, p. 50.). This process attempts to create a sampling frame that closely approximates in characteristics pertinent to the Respondent Universe for each data collection instrument.</w:t>
      </w:r>
    </w:p>
    <w:p w:rsidR="00654CAF" w:rsidRPr="005637FD" w:rsidP="00654CAF" w14:paraId="3A6E9D15" w14:textId="77777777">
      <w:pPr>
        <w:autoSpaceDE w:val="0"/>
        <w:autoSpaceDN w:val="0"/>
        <w:spacing w:before="202"/>
        <w:ind w:left="100"/>
        <w:rPr>
          <w:rFonts w:ascii="Times New Roman" w:hAnsi="Times New Roman"/>
          <w:i/>
          <w:iCs/>
          <w:snapToGrid/>
          <w:szCs w:val="24"/>
        </w:rPr>
      </w:pPr>
      <w:r w:rsidRPr="005637FD">
        <w:rPr>
          <w:rFonts w:ascii="Times New Roman" w:hAnsi="Times New Roman"/>
          <w:i/>
          <w:iCs/>
          <w:snapToGrid/>
          <w:szCs w:val="24"/>
        </w:rPr>
        <w:t>Nonprobability Purposive Sampling</w:t>
      </w:r>
    </w:p>
    <w:p w:rsidR="00654CAF" w:rsidRPr="005637FD" w:rsidP="00654CAF" w14:paraId="408D06AC" w14:textId="77777777">
      <w:pPr>
        <w:autoSpaceDE w:val="0"/>
        <w:autoSpaceDN w:val="0"/>
        <w:spacing w:before="10"/>
        <w:rPr>
          <w:rFonts w:ascii="Times New Roman" w:hAnsi="Times New Roman"/>
          <w:snapToGrid/>
          <w:sz w:val="20"/>
          <w:szCs w:val="24"/>
        </w:rPr>
      </w:pPr>
    </w:p>
    <w:p w:rsidR="00654CAF" w:rsidP="00654CAF" w14:paraId="7D45B85E" w14:textId="77777777">
      <w:pPr>
        <w:pStyle w:val="ListParagraph"/>
        <w:tabs>
          <w:tab w:val="left" w:pos="-1440"/>
        </w:tabs>
        <w:ind w:left="360"/>
        <w:rPr>
          <w:rFonts w:ascii="Times New Roman" w:hAnsi="Times New Roman"/>
          <w:snapToGrid/>
          <w:sz w:val="22"/>
          <w:szCs w:val="22"/>
        </w:rPr>
      </w:pPr>
      <w:r w:rsidRPr="005637FD">
        <w:rPr>
          <w:rFonts w:ascii="Times New Roman" w:hAnsi="Times New Roman"/>
          <w:snapToGrid/>
          <w:sz w:val="22"/>
          <w:szCs w:val="22"/>
        </w:rPr>
        <w:t>For the purposes of focus groups and cognitive interviews, nonprobability purposive sampling will be used wherein the research purpose determines the type of elements or respondents selected in the sample. This sampling strategy gathers a collection of specific informants deemed likely to exemplify patterns of behavior or characteristics reflective of the Respondent Universe from which they are drawn necessary for the purposes specific to a particular data collection instrument under development (Hesse-</w:t>
      </w:r>
      <w:r w:rsidRPr="005637FD">
        <w:rPr>
          <w:rFonts w:ascii="Times New Roman" w:hAnsi="Times New Roman"/>
          <w:snapToGrid/>
          <w:sz w:val="22"/>
          <w:szCs w:val="22"/>
        </w:rPr>
        <w:t>Biber</w:t>
      </w:r>
      <w:r w:rsidRPr="005637FD">
        <w:rPr>
          <w:rFonts w:ascii="Times New Roman" w:hAnsi="Times New Roman"/>
          <w:snapToGrid/>
          <w:sz w:val="22"/>
          <w:szCs w:val="22"/>
        </w:rPr>
        <w:t xml:space="preserve">, 2010, p. 126). Even </w:t>
      </w:r>
      <w:r w:rsidRPr="005637FD">
        <w:rPr>
          <w:rFonts w:ascii="Times New Roman" w:hAnsi="Times New Roman"/>
          <w:snapToGrid/>
          <w:sz w:val="22"/>
          <w:szCs w:val="22"/>
        </w:rPr>
        <w:t>in the event that</w:t>
      </w:r>
      <w:r w:rsidRPr="005637FD">
        <w:rPr>
          <w:rFonts w:ascii="Times New Roman" w:hAnsi="Times New Roman"/>
          <w:snapToGrid/>
          <w:sz w:val="22"/>
          <w:szCs w:val="22"/>
        </w:rPr>
        <w:t xml:space="preserve"> a focus group or cognitive interview fails to yield persuasive results, the P&amp;E Team will not interview a participant more than once. Instead, the P&amp;E Team will recruit an entirely new focus group or set of participants for cognitive interviews. Obtaining statistical rigor </w:t>
      </w:r>
      <w:r w:rsidRPr="005637FD">
        <w:rPr>
          <w:rFonts w:ascii="Times New Roman" w:hAnsi="Times New Roman"/>
          <w:snapToGrid/>
          <w:sz w:val="22"/>
          <w:szCs w:val="22"/>
        </w:rPr>
        <w:t>later on</w:t>
      </w:r>
      <w:r w:rsidRPr="005637FD">
        <w:rPr>
          <w:rFonts w:ascii="Times New Roman" w:hAnsi="Times New Roman"/>
          <w:snapToGrid/>
          <w:sz w:val="22"/>
          <w:szCs w:val="22"/>
        </w:rPr>
        <w:t xml:space="preserve"> in the process begins by avoiding introduction of confounding variables in the preliminary stages of instrument design. Interviewing a participant twice in a cognitive interview or including her or him in a new focus group may be a source of confounding variables and should be entirely avoided.</w:t>
      </w:r>
    </w:p>
    <w:p w:rsidR="00654CAF" w:rsidP="00654CAF" w14:paraId="76BEDDB7" w14:textId="77777777">
      <w:pPr>
        <w:pStyle w:val="ListParagraph"/>
        <w:tabs>
          <w:tab w:val="left" w:pos="-1440"/>
        </w:tabs>
        <w:ind w:left="360"/>
        <w:rPr>
          <w:rFonts w:ascii="Times New Roman" w:hAnsi="Times New Roman"/>
          <w:snapToGrid/>
          <w:sz w:val="22"/>
          <w:szCs w:val="22"/>
        </w:rPr>
      </w:pPr>
    </w:p>
    <w:p w:rsidR="00654CAF" w:rsidRPr="00BE62B3" w:rsidP="00654CAF" w14:paraId="134CA128" w14:textId="77777777">
      <w:pPr>
        <w:tabs>
          <w:tab w:val="left" w:pos="-1440"/>
        </w:tabs>
        <w:rPr>
          <w:rFonts w:ascii="Times New Roman" w:hAnsi="Times New Roman"/>
          <w:b/>
          <w:szCs w:val="24"/>
        </w:rPr>
      </w:pPr>
      <w:r w:rsidRPr="00BE62B3">
        <w:rPr>
          <w:rFonts w:ascii="Times New Roman" w:hAnsi="Times New Roman"/>
          <w:b/>
          <w:szCs w:val="24"/>
        </w:rPr>
        <w:t xml:space="preserve"> </w:t>
      </w:r>
    </w:p>
    <w:p w:rsidR="00654CAF" w:rsidRPr="00952324" w:rsidP="00654CAF" w14:paraId="7DCF2FC1" w14:textId="77777777">
      <w:pPr>
        <w:pStyle w:val="ListParagraph"/>
        <w:numPr>
          <w:ilvl w:val="0"/>
          <w:numId w:val="1"/>
        </w:numPr>
        <w:tabs>
          <w:tab w:val="left" w:pos="-1440"/>
        </w:tabs>
        <w:ind w:left="360"/>
        <w:rPr>
          <w:rFonts w:ascii="Times New Roman" w:hAnsi="Times New Roman"/>
          <w:b/>
          <w:szCs w:val="24"/>
        </w:rPr>
      </w:pPr>
      <w:r w:rsidRPr="00952324">
        <w:rPr>
          <w:rFonts w:ascii="Times New Roman" w:hAnsi="Times New Roman"/>
          <w:b/>
          <w:szCs w:val="24"/>
        </w:rPr>
        <w:t>Describe the procedures for the collection of information.</w:t>
      </w:r>
    </w:p>
    <w:p w:rsidR="00654CAF" w:rsidRPr="00ED21F9" w:rsidP="00654CAF" w14:paraId="1067F01C" w14:textId="77777777">
      <w:pPr>
        <w:spacing w:before="40"/>
        <w:ind w:left="100"/>
        <w:rPr>
          <w:rFonts w:ascii="Times New Roman" w:hAnsi="Times New Roman"/>
          <w:iCs/>
          <w:szCs w:val="24"/>
        </w:rPr>
      </w:pPr>
    </w:p>
    <w:p w:rsidR="00654CAF" w:rsidRPr="00ED21F9" w:rsidP="00654CAF" w14:paraId="7E731259" w14:textId="77777777">
      <w:pPr>
        <w:pStyle w:val="ListParagraph"/>
        <w:numPr>
          <w:ilvl w:val="0"/>
          <w:numId w:val="4"/>
        </w:numPr>
        <w:tabs>
          <w:tab w:val="left" w:pos="281"/>
        </w:tabs>
        <w:autoSpaceDE w:val="0"/>
        <w:autoSpaceDN w:val="0"/>
        <w:ind w:left="280"/>
        <w:contextualSpacing w:val="0"/>
        <w:rPr>
          <w:rFonts w:ascii="Times New Roman" w:hAnsi="Times New Roman"/>
          <w:i/>
          <w:szCs w:val="24"/>
        </w:rPr>
      </w:pPr>
      <w:r w:rsidRPr="00ED21F9">
        <w:rPr>
          <w:rFonts w:ascii="Times New Roman" w:hAnsi="Times New Roman"/>
          <w:i/>
          <w:szCs w:val="24"/>
        </w:rPr>
        <w:t>Statistical methodology for stratification and sample</w:t>
      </w:r>
      <w:r w:rsidRPr="00ED21F9">
        <w:rPr>
          <w:rFonts w:ascii="Times New Roman" w:hAnsi="Times New Roman"/>
          <w:i/>
          <w:spacing w:val="-12"/>
          <w:szCs w:val="24"/>
        </w:rPr>
        <w:t xml:space="preserve"> </w:t>
      </w:r>
      <w:r w:rsidRPr="00ED21F9">
        <w:rPr>
          <w:rFonts w:ascii="Times New Roman" w:hAnsi="Times New Roman"/>
          <w:i/>
          <w:szCs w:val="24"/>
        </w:rPr>
        <w:t>selection:</w:t>
      </w:r>
    </w:p>
    <w:p w:rsidR="00654CAF" w:rsidRPr="00ED21F9" w:rsidP="00654CAF" w14:paraId="1F93D8AB" w14:textId="77777777">
      <w:pPr>
        <w:pStyle w:val="BodyText"/>
        <w:rPr>
          <w:rFonts w:ascii="Times New Roman" w:hAnsi="Times New Roman"/>
          <w:i w:val="0"/>
          <w:szCs w:val="24"/>
        </w:rPr>
      </w:pPr>
    </w:p>
    <w:p w:rsidR="00654CAF" w:rsidRPr="00ED21F9" w:rsidP="00654CAF" w14:paraId="05EBE706" w14:textId="77777777">
      <w:pPr>
        <w:pStyle w:val="BodyText"/>
        <w:spacing w:line="276" w:lineRule="auto"/>
        <w:ind w:left="100" w:right="147"/>
        <w:rPr>
          <w:rFonts w:ascii="Times New Roman" w:hAnsi="Times New Roman"/>
          <w:i w:val="0"/>
          <w:iCs/>
          <w:szCs w:val="24"/>
        </w:rPr>
      </w:pPr>
      <w:r w:rsidRPr="00ED21F9">
        <w:rPr>
          <w:rFonts w:ascii="Times New Roman" w:hAnsi="Times New Roman"/>
          <w:i w:val="0"/>
          <w:iCs/>
          <w:szCs w:val="24"/>
        </w:rPr>
        <w:t>Not applicable. For the purposes of this data collection instrument development, OSTEM has no need for instrumentation specific to subgroups within any of the Respondent Universe categories of interest.</w:t>
      </w:r>
    </w:p>
    <w:p w:rsidR="00654CAF" w:rsidRPr="00ED21F9" w:rsidP="00654CAF" w14:paraId="460A8EEC" w14:textId="77777777">
      <w:pPr>
        <w:pStyle w:val="BodyText"/>
        <w:spacing w:before="9"/>
        <w:rPr>
          <w:rFonts w:ascii="Times New Roman" w:hAnsi="Times New Roman"/>
          <w:i w:val="0"/>
          <w:iCs/>
          <w:szCs w:val="24"/>
        </w:rPr>
      </w:pPr>
    </w:p>
    <w:p w:rsidR="00654CAF" w:rsidRPr="00ED21F9" w:rsidP="00654CAF" w14:paraId="1E19C0FD" w14:textId="77777777">
      <w:pPr>
        <w:spacing w:before="80"/>
        <w:ind w:left="120"/>
        <w:rPr>
          <w:rFonts w:ascii="Times New Roman" w:hAnsi="Times New Roman"/>
          <w:szCs w:val="24"/>
        </w:rPr>
      </w:pPr>
      <w:r w:rsidRPr="00ED21F9">
        <w:rPr>
          <w:rFonts w:ascii="Times New Roman" w:hAnsi="Times New Roman"/>
          <w:szCs w:val="24"/>
        </w:rPr>
        <w:t xml:space="preserve">For the purposes of large-scale statistical testing, we will make consideration of the </w:t>
      </w:r>
      <w:r w:rsidRPr="00ED21F9">
        <w:rPr>
          <w:rFonts w:ascii="Times New Roman" w:hAnsi="Times New Roman"/>
          <w:szCs w:val="24"/>
        </w:rPr>
        <w:t>aforementioned variables</w:t>
      </w:r>
      <w:r w:rsidRPr="00ED21F9">
        <w:rPr>
          <w:rFonts w:ascii="Times New Roman" w:hAnsi="Times New Roman"/>
          <w:szCs w:val="24"/>
        </w:rPr>
        <w:t xml:space="preserve"> within the context of this methodological testing package to ensure that the collection of responses statistically resembles each Respondent Universe. For each instrument tested under this methodological testing package, we will identify a sample that is appropriate based on the instrument and type of collection.</w:t>
      </w:r>
    </w:p>
    <w:p w:rsidR="00654CAF" w:rsidRPr="00ED21F9" w:rsidP="00654CAF" w14:paraId="5D0D67CD" w14:textId="77777777">
      <w:pPr>
        <w:spacing w:before="80"/>
        <w:ind w:left="120"/>
        <w:rPr>
          <w:rFonts w:ascii="Times New Roman" w:hAnsi="Times New Roman"/>
          <w:i/>
          <w:szCs w:val="24"/>
        </w:rPr>
      </w:pPr>
      <w:r w:rsidRPr="00ED21F9">
        <w:rPr>
          <w:rFonts w:ascii="Times New Roman" w:hAnsi="Times New Roman"/>
          <w:szCs w:val="24"/>
        </w:rPr>
        <w:t>*</w:t>
      </w:r>
      <w:r w:rsidRPr="00ED21F9">
        <w:rPr>
          <w:rFonts w:ascii="Times New Roman" w:hAnsi="Times New Roman"/>
          <w:i/>
          <w:szCs w:val="24"/>
        </w:rPr>
        <w:t>Degree of accuracy needed for the purpose described in the</w:t>
      </w:r>
      <w:r w:rsidRPr="00ED21F9">
        <w:rPr>
          <w:rFonts w:ascii="Times New Roman" w:hAnsi="Times New Roman"/>
          <w:i/>
          <w:spacing w:val="-9"/>
          <w:szCs w:val="24"/>
        </w:rPr>
        <w:t xml:space="preserve"> </w:t>
      </w:r>
      <w:r w:rsidRPr="00ED21F9">
        <w:rPr>
          <w:rFonts w:ascii="Times New Roman" w:hAnsi="Times New Roman"/>
          <w:i/>
          <w:szCs w:val="24"/>
        </w:rPr>
        <w:t>justification:</w:t>
      </w:r>
    </w:p>
    <w:p w:rsidR="00654CAF" w:rsidRPr="00ED21F9" w:rsidP="00654CAF" w14:paraId="6653FEA9" w14:textId="77777777">
      <w:pPr>
        <w:pStyle w:val="BodyText"/>
        <w:spacing w:before="10"/>
        <w:rPr>
          <w:rFonts w:ascii="Times New Roman" w:hAnsi="Times New Roman"/>
          <w:i w:val="0"/>
          <w:szCs w:val="24"/>
        </w:rPr>
      </w:pPr>
    </w:p>
    <w:p w:rsidR="00654CAF" w:rsidRPr="00FB35D9" w:rsidP="00654CAF" w14:paraId="3F5D7568" w14:textId="77777777">
      <w:pPr>
        <w:pStyle w:val="BodyText"/>
        <w:spacing w:line="276" w:lineRule="auto"/>
        <w:ind w:left="120" w:right="369"/>
        <w:rPr>
          <w:rFonts w:ascii="Times New Roman" w:hAnsi="Times New Roman"/>
          <w:i w:val="0"/>
          <w:iCs/>
          <w:szCs w:val="24"/>
        </w:rPr>
      </w:pPr>
      <w:r w:rsidRPr="00FB35D9">
        <w:rPr>
          <w:rFonts w:ascii="Times New Roman" w:hAnsi="Times New Roman"/>
          <w:i w:val="0"/>
          <w:iCs/>
          <w:szCs w:val="24"/>
        </w:rPr>
        <w:t xml:space="preserve">OSTEM project activities target STEM-related activities. Hence, instrumentation and the sample with which data collection instrumentation is tested must correspond with a high degree of accuracy. Moreover, because data from these instruments is used to inform policy, a high degree of accuracy must be integrated throughout the entire data collection instrument </w:t>
      </w:r>
      <w:r w:rsidRPr="00FB35D9">
        <w:rPr>
          <w:rFonts w:ascii="Times New Roman" w:hAnsi="Times New Roman"/>
          <w:i w:val="0"/>
          <w:iCs/>
          <w:szCs w:val="24"/>
        </w:rPr>
        <w:t>process.</w:t>
      </w:r>
    </w:p>
    <w:p w:rsidR="00654CAF" w:rsidRPr="00ED21F9" w:rsidP="00654CAF" w14:paraId="7F6DF2B7" w14:textId="77777777">
      <w:pPr>
        <w:pStyle w:val="ListParagraph"/>
        <w:numPr>
          <w:ilvl w:val="0"/>
          <w:numId w:val="4"/>
        </w:numPr>
        <w:tabs>
          <w:tab w:val="left" w:pos="301"/>
        </w:tabs>
        <w:autoSpaceDE w:val="0"/>
        <w:autoSpaceDN w:val="0"/>
        <w:spacing w:before="202"/>
        <w:ind w:left="300"/>
        <w:contextualSpacing w:val="0"/>
        <w:rPr>
          <w:rFonts w:ascii="Times New Roman" w:hAnsi="Times New Roman"/>
          <w:i/>
          <w:szCs w:val="24"/>
        </w:rPr>
      </w:pPr>
      <w:r w:rsidRPr="00ED21F9">
        <w:rPr>
          <w:rFonts w:ascii="Times New Roman" w:hAnsi="Times New Roman"/>
          <w:i/>
          <w:szCs w:val="24"/>
        </w:rPr>
        <w:t>Unusual problems requiring specialized sampling</w:t>
      </w:r>
      <w:r w:rsidRPr="00ED21F9">
        <w:rPr>
          <w:rFonts w:ascii="Times New Roman" w:hAnsi="Times New Roman"/>
          <w:i/>
          <w:spacing w:val="-6"/>
          <w:szCs w:val="24"/>
        </w:rPr>
        <w:t xml:space="preserve"> </w:t>
      </w:r>
      <w:r w:rsidRPr="00ED21F9">
        <w:rPr>
          <w:rFonts w:ascii="Times New Roman" w:hAnsi="Times New Roman"/>
          <w:i/>
          <w:szCs w:val="24"/>
        </w:rPr>
        <w:t>procedures,</w:t>
      </w:r>
    </w:p>
    <w:p w:rsidR="00654CAF" w:rsidRPr="00ED21F9" w:rsidP="00654CAF" w14:paraId="380551D0" w14:textId="77777777">
      <w:pPr>
        <w:pStyle w:val="BodyText"/>
        <w:spacing w:before="9"/>
        <w:rPr>
          <w:rFonts w:ascii="Times New Roman" w:hAnsi="Times New Roman"/>
          <w:i w:val="0"/>
          <w:szCs w:val="24"/>
        </w:rPr>
      </w:pPr>
    </w:p>
    <w:p w:rsidR="00654CAF" w:rsidRPr="00FB35D9" w:rsidP="00654CAF" w14:paraId="3F2071A7" w14:textId="77777777">
      <w:pPr>
        <w:pStyle w:val="BodyText"/>
        <w:spacing w:line="278" w:lineRule="auto"/>
        <w:ind w:left="120" w:right="619"/>
        <w:rPr>
          <w:rFonts w:ascii="Times New Roman" w:hAnsi="Times New Roman"/>
          <w:i w:val="0"/>
          <w:iCs/>
          <w:szCs w:val="24"/>
        </w:rPr>
      </w:pPr>
      <w:r w:rsidRPr="00FB35D9">
        <w:rPr>
          <w:rFonts w:ascii="Times New Roman" w:hAnsi="Times New Roman"/>
          <w:i w:val="0"/>
          <w:iCs/>
          <w:szCs w:val="24"/>
        </w:rPr>
        <w:t>Not applicable. The P&amp;E Team does not foresee any unusual problems with executing pilot or large-scale statistical testing via the procedures described.</w:t>
      </w:r>
    </w:p>
    <w:p w:rsidR="00654CAF" w:rsidRPr="006C0C07" w:rsidP="00654CAF" w14:paraId="5AB4EC62" w14:textId="77777777">
      <w:pPr>
        <w:numPr>
          <w:ilvl w:val="0"/>
          <w:numId w:val="2"/>
        </w:numPr>
        <w:autoSpaceDE w:val="0"/>
        <w:autoSpaceDN w:val="0"/>
        <w:spacing w:before="8"/>
        <w:rPr>
          <w:rFonts w:ascii="Times New Roman" w:hAnsi="Times New Roman"/>
          <w:i/>
          <w:snapToGrid/>
          <w:sz w:val="21"/>
          <w:szCs w:val="24"/>
        </w:rPr>
      </w:pPr>
    </w:p>
    <w:p w:rsidR="00654CAF" w:rsidRPr="006C0C07" w:rsidP="00654CAF" w14:paraId="69DD47D6" w14:textId="77777777">
      <w:pPr>
        <w:numPr>
          <w:ilvl w:val="0"/>
          <w:numId w:val="2"/>
        </w:numPr>
        <w:autoSpaceDE w:val="0"/>
        <w:autoSpaceDN w:val="0"/>
        <w:spacing w:before="8"/>
        <w:rPr>
          <w:rFonts w:ascii="Times New Roman" w:hAnsi="Times New Roman"/>
          <w:i/>
          <w:snapToGrid/>
          <w:sz w:val="21"/>
          <w:szCs w:val="24"/>
        </w:rPr>
      </w:pPr>
      <w:r w:rsidRPr="006C0C07">
        <w:rPr>
          <w:rFonts w:ascii="Times New Roman" w:hAnsi="Times New Roman"/>
          <w:noProof/>
          <w:snapToGrid/>
          <w:szCs w:val="24"/>
        </w:rPr>
        <mc:AlternateContent>
          <mc:Choice Requires="wps">
            <w:drawing>
              <wp:anchor distT="0" distB="0" distL="0" distR="0" simplePos="0" relativeHeight="251660288" behindDoc="0" locked="0" layoutInCell="1" allowOverlap="1">
                <wp:simplePos x="0" y="0"/>
                <wp:positionH relativeFrom="page">
                  <wp:posOffset>914400</wp:posOffset>
                </wp:positionH>
                <wp:positionV relativeFrom="paragraph">
                  <wp:posOffset>187325</wp:posOffset>
                </wp:positionV>
                <wp:extent cx="1829435" cy="0"/>
                <wp:effectExtent l="9525" t="11430" r="8890" b="7620"/>
                <wp:wrapTopAndBottom/>
                <wp:docPr id="45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page;mso-width-percent:0;mso-width-relative:page;mso-wrap-distance-bottom:0;mso-wrap-distance-left:0;mso-wrap-distance-right:0;mso-wrap-distance-top:0;mso-wrap-style:square;position:absolute;visibility:visible;z-index:251661312" from="1in,14.75pt" to="216.05pt,14.75pt" strokeweight="0.6pt">
                <w10:wrap type="topAndBottom"/>
              </v:line>
            </w:pict>
          </mc:Fallback>
        </mc:AlternateContent>
      </w:r>
    </w:p>
    <w:p w:rsidR="00654CAF" w:rsidRPr="006C0C07" w:rsidP="00654CAF" w14:paraId="6919CD95" w14:textId="77777777">
      <w:pPr>
        <w:autoSpaceDE w:val="0"/>
        <w:autoSpaceDN w:val="0"/>
        <w:spacing w:before="70"/>
        <w:ind w:left="120"/>
        <w:rPr>
          <w:rFonts w:ascii="Times New Roman" w:hAnsi="Times New Roman"/>
          <w:snapToGrid/>
          <w:sz w:val="20"/>
          <w:szCs w:val="22"/>
        </w:rPr>
      </w:pPr>
      <w:r w:rsidRPr="006C0C07">
        <w:rPr>
          <w:rFonts w:ascii="Times New Roman" w:hAnsi="Times New Roman"/>
          <w:snapToGrid/>
          <w:position w:val="7"/>
          <w:sz w:val="13"/>
          <w:szCs w:val="22"/>
        </w:rPr>
        <w:t>2</w:t>
      </w:r>
      <w:r w:rsidRPr="006C0C07">
        <w:rPr>
          <w:rFonts w:ascii="Times New Roman" w:hAnsi="Times New Roman"/>
          <w:snapToGrid/>
          <w:sz w:val="20"/>
          <w:szCs w:val="22"/>
        </w:rPr>
        <w:t xml:space="preserve">Again, in this instance, the category “pre-college” refers to students who are over the age of </w:t>
      </w:r>
      <w:r w:rsidRPr="006C0C07">
        <w:rPr>
          <w:rFonts w:ascii="Times New Roman" w:hAnsi="Times New Roman"/>
          <w:snapToGrid/>
          <w:sz w:val="20"/>
          <w:szCs w:val="22"/>
        </w:rPr>
        <w:t>consent, but</w:t>
      </w:r>
      <w:r w:rsidRPr="006C0C07">
        <w:rPr>
          <w:rFonts w:ascii="Times New Roman" w:hAnsi="Times New Roman"/>
          <w:snapToGrid/>
          <w:sz w:val="20"/>
          <w:szCs w:val="22"/>
        </w:rPr>
        <w:t xml:space="preserve"> have not formally enrolled in a college or university. As such, this group of students applies for opportunities associated with college preparation </w:t>
      </w:r>
      <w:r w:rsidRPr="006C0C07">
        <w:rPr>
          <w:rFonts w:ascii="Times New Roman" w:hAnsi="Times New Roman"/>
          <w:snapToGrid/>
          <w:sz w:val="20"/>
          <w:szCs w:val="22"/>
        </w:rPr>
        <w:t>as a means to</w:t>
      </w:r>
      <w:r w:rsidRPr="006C0C07">
        <w:rPr>
          <w:rFonts w:ascii="Times New Roman" w:hAnsi="Times New Roman"/>
          <w:snapToGrid/>
          <w:sz w:val="20"/>
          <w:szCs w:val="22"/>
        </w:rPr>
        <w:t xml:space="preserve"> become more competitive for enrollment in college or as a means to explore potential STEM majors prior to enrolling in college or university.</w:t>
      </w:r>
    </w:p>
    <w:p w:rsidR="00654CAF" w:rsidRPr="006C0C07" w:rsidP="00654CAF" w14:paraId="1DF0BC1A" w14:textId="77777777">
      <w:pPr>
        <w:autoSpaceDE w:val="0"/>
        <w:autoSpaceDN w:val="0"/>
        <w:spacing w:line="230" w:lineRule="exact"/>
        <w:ind w:left="120"/>
        <w:rPr>
          <w:rFonts w:ascii="Times New Roman" w:hAnsi="Times New Roman"/>
          <w:snapToGrid/>
          <w:sz w:val="20"/>
          <w:szCs w:val="22"/>
        </w:rPr>
      </w:pPr>
    </w:p>
    <w:p w:rsidR="00654CAF" w:rsidRPr="00ED21F9" w:rsidP="00654CAF" w14:paraId="376CE54C" w14:textId="77777777">
      <w:pPr>
        <w:spacing w:line="230" w:lineRule="exact"/>
        <w:rPr>
          <w:rFonts w:ascii="Times New Roman" w:hAnsi="Times New Roman"/>
          <w:szCs w:val="24"/>
        </w:rPr>
        <w:sectPr w:rsidSect="00654CAF">
          <w:footerReference w:type="default" r:id="rId4"/>
          <w:pgSz w:w="12240" w:h="15840"/>
          <w:pgMar w:top="1360" w:right="1340" w:bottom="1260" w:left="1320" w:header="0" w:footer="1068" w:gutter="0"/>
          <w:cols w:space="720"/>
        </w:sectPr>
      </w:pPr>
    </w:p>
    <w:p w:rsidR="00654CAF" w:rsidRPr="00ED21F9" w:rsidP="00654CAF" w14:paraId="67A562C2" w14:textId="77777777">
      <w:pPr>
        <w:pStyle w:val="ListParagraph"/>
        <w:numPr>
          <w:ilvl w:val="0"/>
          <w:numId w:val="4"/>
        </w:numPr>
        <w:tabs>
          <w:tab w:val="left" w:pos="301"/>
        </w:tabs>
        <w:autoSpaceDE w:val="0"/>
        <w:autoSpaceDN w:val="0"/>
        <w:spacing w:before="197"/>
        <w:ind w:left="300"/>
        <w:contextualSpacing w:val="0"/>
        <w:rPr>
          <w:rFonts w:ascii="Times New Roman" w:hAnsi="Times New Roman"/>
          <w:i/>
          <w:szCs w:val="24"/>
        </w:rPr>
      </w:pPr>
      <w:r w:rsidRPr="00ED21F9">
        <w:rPr>
          <w:rFonts w:ascii="Times New Roman" w:hAnsi="Times New Roman"/>
          <w:i/>
          <w:szCs w:val="24"/>
        </w:rPr>
        <w:t>Any use of periodic (less frequent than annual) data collection cycles to reduce</w:t>
      </w:r>
      <w:r w:rsidRPr="00ED21F9">
        <w:rPr>
          <w:rFonts w:ascii="Times New Roman" w:hAnsi="Times New Roman"/>
          <w:i/>
          <w:spacing w:val="-16"/>
          <w:szCs w:val="24"/>
        </w:rPr>
        <w:t xml:space="preserve"> </w:t>
      </w:r>
      <w:r w:rsidRPr="00ED21F9">
        <w:rPr>
          <w:rFonts w:ascii="Times New Roman" w:hAnsi="Times New Roman"/>
          <w:i/>
          <w:szCs w:val="24"/>
        </w:rPr>
        <w:t>burden.</w:t>
      </w:r>
    </w:p>
    <w:p w:rsidR="00654CAF" w:rsidRPr="00ED21F9" w:rsidP="00654CAF" w14:paraId="4ECA97A0" w14:textId="77777777">
      <w:pPr>
        <w:pStyle w:val="ListParagraph"/>
        <w:numPr>
          <w:ilvl w:val="1"/>
          <w:numId w:val="4"/>
        </w:numPr>
        <w:tabs>
          <w:tab w:val="left" w:pos="820"/>
          <w:tab w:val="left" w:pos="821"/>
        </w:tabs>
        <w:autoSpaceDE w:val="0"/>
        <w:autoSpaceDN w:val="0"/>
        <w:spacing w:before="74" w:line="276" w:lineRule="auto"/>
        <w:ind w:left="820" w:right="122"/>
        <w:contextualSpacing w:val="0"/>
        <w:rPr>
          <w:rFonts w:ascii="Times New Roman" w:hAnsi="Times New Roman"/>
          <w:szCs w:val="24"/>
        </w:rPr>
      </w:pPr>
      <w:r w:rsidRPr="00ED21F9">
        <w:rPr>
          <w:rFonts w:ascii="Times New Roman" w:hAnsi="Times New Roman"/>
          <w:szCs w:val="24"/>
        </w:rPr>
        <w:t>Since this information collection request applies to methodological testing activities, data collection activities will occur as needed to gather statistically significant data to appropriately determine the validity and reliability characteristics of instruments, where applicable, and the psychometric properties of instrumentation, where</w:t>
      </w:r>
      <w:r w:rsidRPr="00ED21F9">
        <w:rPr>
          <w:rFonts w:ascii="Times New Roman" w:hAnsi="Times New Roman"/>
          <w:spacing w:val="-10"/>
          <w:szCs w:val="24"/>
        </w:rPr>
        <w:t xml:space="preserve"> </w:t>
      </w:r>
      <w:r w:rsidRPr="00ED21F9">
        <w:rPr>
          <w:rFonts w:ascii="Times New Roman" w:hAnsi="Times New Roman"/>
          <w:szCs w:val="24"/>
        </w:rPr>
        <w:t>applicable.</w:t>
      </w:r>
    </w:p>
    <w:p w:rsidR="00654CAF" w:rsidRPr="00ED21F9" w:rsidP="00654CAF" w14:paraId="4D27A539" w14:textId="77777777">
      <w:pPr>
        <w:pStyle w:val="ListParagraph"/>
        <w:numPr>
          <w:ilvl w:val="1"/>
          <w:numId w:val="4"/>
        </w:numPr>
        <w:tabs>
          <w:tab w:val="left" w:pos="820"/>
          <w:tab w:val="left" w:pos="821"/>
        </w:tabs>
        <w:autoSpaceDE w:val="0"/>
        <w:autoSpaceDN w:val="0"/>
        <w:spacing w:line="276" w:lineRule="auto"/>
        <w:ind w:left="820" w:right="518"/>
        <w:contextualSpacing w:val="0"/>
        <w:rPr>
          <w:rFonts w:ascii="Times New Roman" w:hAnsi="Times New Roman"/>
          <w:szCs w:val="24"/>
        </w:rPr>
      </w:pPr>
      <w:r w:rsidRPr="00ED21F9">
        <w:rPr>
          <w:rFonts w:ascii="Times New Roman" w:hAnsi="Times New Roman"/>
          <w:szCs w:val="24"/>
        </w:rPr>
        <w:t>Rigorously tested data collection instrumentation is a requirement for accurate performance reporting. If these testing activities are not conducted, NASA will not be able to conduct basic program office functions such as strategic planning and management.</w:t>
      </w:r>
    </w:p>
    <w:p w:rsidR="00654CAF" w:rsidRPr="00ED21F9" w:rsidP="00654CAF" w14:paraId="04FA5C38" w14:textId="77777777">
      <w:pPr>
        <w:pStyle w:val="ListParagraph"/>
        <w:numPr>
          <w:ilvl w:val="1"/>
          <w:numId w:val="4"/>
        </w:numPr>
        <w:tabs>
          <w:tab w:val="left" w:pos="820"/>
          <w:tab w:val="left" w:pos="821"/>
        </w:tabs>
        <w:autoSpaceDE w:val="0"/>
        <w:autoSpaceDN w:val="0"/>
        <w:spacing w:line="276" w:lineRule="auto"/>
        <w:ind w:left="820" w:right="391"/>
        <w:contextualSpacing w:val="0"/>
        <w:rPr>
          <w:rFonts w:ascii="Times New Roman" w:hAnsi="Times New Roman"/>
          <w:szCs w:val="24"/>
        </w:rPr>
      </w:pPr>
      <w:r w:rsidRPr="00ED21F9">
        <w:rPr>
          <w:rFonts w:ascii="Times New Roman" w:hAnsi="Times New Roman"/>
          <w:szCs w:val="24"/>
        </w:rPr>
        <w:t>Without the timely and complete set of planning, execution, and outcome (survey)</w:t>
      </w:r>
      <w:r w:rsidRPr="00ED21F9">
        <w:rPr>
          <w:rFonts w:ascii="Times New Roman" w:hAnsi="Times New Roman"/>
          <w:spacing w:val="-14"/>
          <w:szCs w:val="24"/>
        </w:rPr>
        <w:t xml:space="preserve"> </w:t>
      </w:r>
      <w:r w:rsidRPr="00ED21F9">
        <w:rPr>
          <w:rFonts w:ascii="Times New Roman" w:hAnsi="Times New Roman"/>
          <w:szCs w:val="24"/>
        </w:rPr>
        <w:t>data collected by valid and reliable instruments, OSTEM will be unable to assess program effectiveness, meet federal and agency reporting requirements, or make data informed management</w:t>
      </w:r>
      <w:r w:rsidRPr="00ED21F9">
        <w:rPr>
          <w:rFonts w:ascii="Times New Roman" w:hAnsi="Times New Roman"/>
          <w:spacing w:val="-8"/>
          <w:szCs w:val="24"/>
        </w:rPr>
        <w:t xml:space="preserve"> </w:t>
      </w:r>
      <w:r w:rsidRPr="00ED21F9">
        <w:rPr>
          <w:rFonts w:ascii="Times New Roman" w:hAnsi="Times New Roman"/>
          <w:szCs w:val="24"/>
        </w:rPr>
        <w:t>decisions.</w:t>
      </w:r>
    </w:p>
    <w:p w:rsidR="00654CAF" w:rsidRPr="00ED21F9" w:rsidP="00654CAF" w14:paraId="13B08206" w14:textId="77777777">
      <w:pPr>
        <w:pStyle w:val="ListParagraph"/>
        <w:numPr>
          <w:ilvl w:val="1"/>
          <w:numId w:val="4"/>
        </w:numPr>
        <w:tabs>
          <w:tab w:val="left" w:pos="820"/>
          <w:tab w:val="left" w:pos="821"/>
        </w:tabs>
        <w:autoSpaceDE w:val="0"/>
        <w:autoSpaceDN w:val="0"/>
        <w:spacing w:before="1" w:line="276" w:lineRule="auto"/>
        <w:ind w:left="820" w:right="355"/>
        <w:contextualSpacing w:val="0"/>
        <w:rPr>
          <w:rFonts w:ascii="Times New Roman" w:hAnsi="Times New Roman"/>
          <w:szCs w:val="24"/>
        </w:rPr>
      </w:pPr>
      <w:r w:rsidRPr="00ED21F9">
        <w:rPr>
          <w:rFonts w:ascii="Times New Roman" w:hAnsi="Times New Roman"/>
          <w:szCs w:val="24"/>
        </w:rPr>
        <w:t>Less timely and complete information will adversely affect the quality and reliability</w:t>
      </w:r>
      <w:r w:rsidRPr="00ED21F9">
        <w:rPr>
          <w:rFonts w:ascii="Times New Roman" w:hAnsi="Times New Roman"/>
          <w:spacing w:val="-21"/>
          <w:szCs w:val="24"/>
        </w:rPr>
        <w:t xml:space="preserve"> </w:t>
      </w:r>
      <w:r w:rsidRPr="00ED21F9">
        <w:rPr>
          <w:rFonts w:ascii="Times New Roman" w:hAnsi="Times New Roman"/>
          <w:szCs w:val="24"/>
        </w:rPr>
        <w:t>of the above-mentioned endeavors. The degradation of any single component of our data collection would jeopardize the integrity and value of the entire suite of applications and the integrity of our</w:t>
      </w:r>
      <w:r w:rsidRPr="00ED21F9">
        <w:rPr>
          <w:rFonts w:ascii="Times New Roman" w:hAnsi="Times New Roman"/>
          <w:spacing w:val="-9"/>
          <w:szCs w:val="24"/>
        </w:rPr>
        <w:t xml:space="preserve"> </w:t>
      </w:r>
      <w:r w:rsidRPr="00ED21F9">
        <w:rPr>
          <w:rFonts w:ascii="Times New Roman" w:hAnsi="Times New Roman"/>
          <w:szCs w:val="24"/>
        </w:rPr>
        <w:t>databases</w:t>
      </w:r>
    </w:p>
    <w:p w:rsidR="00654CAF" w:rsidRPr="00ED21F9" w:rsidP="00654CAF" w14:paraId="7578E410" w14:textId="77777777">
      <w:pPr>
        <w:pStyle w:val="ListParagraph"/>
        <w:numPr>
          <w:ilvl w:val="1"/>
          <w:numId w:val="4"/>
        </w:numPr>
        <w:tabs>
          <w:tab w:val="left" w:pos="820"/>
          <w:tab w:val="left" w:pos="821"/>
        </w:tabs>
        <w:autoSpaceDE w:val="0"/>
        <w:autoSpaceDN w:val="0"/>
        <w:spacing w:before="1" w:line="276" w:lineRule="auto"/>
        <w:ind w:left="820" w:right="355"/>
        <w:contextualSpacing w:val="0"/>
        <w:rPr>
          <w:rFonts w:ascii="Times New Roman" w:hAnsi="Times New Roman"/>
          <w:szCs w:val="24"/>
        </w:rPr>
      </w:pPr>
      <w:r w:rsidRPr="00ED21F9">
        <w:rPr>
          <w:rFonts w:ascii="Times New Roman" w:hAnsi="Times New Roman"/>
          <w:szCs w:val="24"/>
        </w:rPr>
        <w:t xml:space="preserve">Information collected under the purview of this clearance will be maintained in accordance with the Privacy Act of 1974, the e-Government act of 2002, the Federal Records Act, and as applicable, the Freedom of Information Act in order to protect respondents’ privacy and the confidentiality of the data collected (see: </w:t>
      </w:r>
      <w:hyperlink r:id="rId5" w:history="1">
        <w:r w:rsidRPr="00ED21F9">
          <w:rPr>
            <w:rStyle w:val="Hyperlink"/>
            <w:rFonts w:ascii="Times New Roman" w:hAnsi="Times New Roman" w:eastAsiaTheme="majorEastAsia"/>
            <w:szCs w:val="24"/>
          </w:rPr>
          <w:t>http://www.nasa.gov/privacy/nasa_sorn_10EDUA.html</w:t>
        </w:r>
      </w:hyperlink>
      <w:r w:rsidRPr="00ED21F9">
        <w:rPr>
          <w:rFonts w:ascii="Times New Roman" w:hAnsi="Times New Roman"/>
          <w:szCs w:val="24"/>
        </w:rPr>
        <w:t>). Further information on data security is provided in Appendix</w:t>
      </w:r>
      <w:r w:rsidRPr="00ED21F9">
        <w:rPr>
          <w:rFonts w:ascii="Times New Roman" w:hAnsi="Times New Roman"/>
          <w:spacing w:val="-6"/>
          <w:szCs w:val="24"/>
        </w:rPr>
        <w:t xml:space="preserve"> </w:t>
      </w:r>
      <w:r w:rsidRPr="00ED21F9">
        <w:rPr>
          <w:rFonts w:ascii="Times New Roman" w:hAnsi="Times New Roman"/>
          <w:szCs w:val="24"/>
        </w:rPr>
        <w:t>B.</w:t>
      </w:r>
    </w:p>
    <w:p w:rsidR="00654CAF" w:rsidRPr="00ED21F9" w:rsidP="00654CAF" w14:paraId="39D22962" w14:textId="77777777">
      <w:pPr>
        <w:pStyle w:val="ListParagraph"/>
        <w:tabs>
          <w:tab w:val="left" w:pos="820"/>
          <w:tab w:val="left" w:pos="821"/>
        </w:tabs>
        <w:spacing w:before="1" w:line="276" w:lineRule="auto"/>
        <w:ind w:right="355"/>
        <w:rPr>
          <w:rFonts w:ascii="Times New Roman" w:hAnsi="Times New Roman"/>
          <w:szCs w:val="24"/>
        </w:rPr>
      </w:pPr>
    </w:p>
    <w:p w:rsidR="00654CAF" w:rsidRPr="00952324" w:rsidP="00654CAF" w14:paraId="4E8A59E9" w14:textId="77777777">
      <w:pPr>
        <w:pStyle w:val="ListParagraph"/>
        <w:tabs>
          <w:tab w:val="left" w:pos="-1440"/>
        </w:tabs>
        <w:ind w:left="360"/>
        <w:rPr>
          <w:rFonts w:ascii="Times New Roman" w:hAnsi="Times New Roman"/>
          <w:b/>
          <w:szCs w:val="24"/>
        </w:rPr>
      </w:pPr>
    </w:p>
    <w:p w:rsidR="00654CAF" w:rsidRPr="00952324" w:rsidP="00654CAF" w14:paraId="2CA81A29" w14:textId="77777777">
      <w:pPr>
        <w:pStyle w:val="ListParagraph"/>
        <w:numPr>
          <w:ilvl w:val="0"/>
          <w:numId w:val="1"/>
        </w:numPr>
        <w:tabs>
          <w:tab w:val="left" w:pos="-1440"/>
        </w:tabs>
        <w:ind w:left="360"/>
        <w:rPr>
          <w:rFonts w:ascii="Times New Roman" w:hAnsi="Times New Roman"/>
          <w:b/>
          <w:szCs w:val="24"/>
        </w:rPr>
      </w:pPr>
      <w:r w:rsidRPr="00952324">
        <w:rPr>
          <w:rFonts w:ascii="Times New Roman" w:hAnsi="Times New Roman"/>
          <w:b/>
          <w:szCs w:val="24"/>
        </w:rPr>
        <w:t xml:space="preserve">Describe methods to maximize response rates and to deal with issues of non-response.  </w:t>
      </w:r>
    </w:p>
    <w:p w:rsidR="00654CAF" w:rsidRPr="00D61D62" w:rsidP="00654CAF" w14:paraId="48005A8E" w14:textId="77777777">
      <w:pPr>
        <w:autoSpaceDE w:val="0"/>
        <w:autoSpaceDN w:val="0"/>
        <w:spacing w:before="200" w:line="276" w:lineRule="auto"/>
        <w:ind w:left="100" w:right="102"/>
        <w:rPr>
          <w:rFonts w:ascii="Times New Roman" w:hAnsi="Times New Roman"/>
          <w:snapToGrid/>
          <w:szCs w:val="24"/>
        </w:rPr>
      </w:pPr>
      <w:r w:rsidRPr="00D61D62">
        <w:rPr>
          <w:rFonts w:ascii="Times New Roman" w:hAnsi="Times New Roman"/>
          <w:snapToGrid/>
          <w:szCs w:val="24"/>
        </w:rPr>
        <w:t xml:space="preserve">Maximizing response rates and managing issues of non-response are equally relevant concerns in recruiting participants for pilot testing and routine data collection instrument administration. </w:t>
      </w:r>
      <w:r w:rsidRPr="00D61D62">
        <w:rPr>
          <w:rFonts w:ascii="Times New Roman" w:hAnsi="Times New Roman"/>
          <w:snapToGrid/>
          <w:szCs w:val="24"/>
        </w:rPr>
        <w:t>In that regard, the P&amp;E Team in collaboration with the Educational Platforms and Tools Team and Center STEM Engagement Offices, intends to utilize such methods to reach each targeted population to yield statistically significant data from a random sample of at least 200 respondents to determine initial reliability coefficients and validity (</w:t>
      </w:r>
      <w:r w:rsidRPr="00D61D62">
        <w:rPr>
          <w:rFonts w:ascii="Times New Roman" w:hAnsi="Times New Roman"/>
          <w:snapToGrid/>
          <w:szCs w:val="24"/>
        </w:rPr>
        <w:t>Komrey</w:t>
      </w:r>
      <w:r w:rsidRPr="00D61D62">
        <w:rPr>
          <w:rFonts w:ascii="Times New Roman" w:hAnsi="Times New Roman"/>
          <w:snapToGrid/>
          <w:szCs w:val="24"/>
        </w:rPr>
        <w:t xml:space="preserve"> and Bacon, 1992; </w:t>
      </w:r>
      <w:r w:rsidRPr="00D61D62">
        <w:rPr>
          <w:rFonts w:ascii="Times New Roman" w:hAnsi="Times New Roman"/>
          <w:snapToGrid/>
          <w:szCs w:val="24"/>
        </w:rPr>
        <w:t>Reckase</w:t>
      </w:r>
      <w:r w:rsidRPr="00D61D62">
        <w:rPr>
          <w:rFonts w:ascii="Times New Roman" w:hAnsi="Times New Roman"/>
          <w:snapToGrid/>
          <w:szCs w:val="24"/>
        </w:rPr>
        <w:t>, 2000). Furthermore, the same procedures will be employed during regular data collection through OMB-approved instruments. Meaning, similar patterns of effectiveness of participant recruitment strategies and response rates are inextricably linked and any procedures for maximizing response rates, as complex as they may be, are interdependent (Barclay, Todd, Finlay, Grande, &amp; Wyatt, 2002). Therefore, despite the wide range of data sources being recruited for study participation— undergraduate student, graduate student, or educator, for instance—the same strategies for maximizing response apply.</w:t>
      </w:r>
    </w:p>
    <w:p w:rsidR="00654CAF" w:rsidRPr="00D61D62" w:rsidP="00654CAF" w14:paraId="509ED440" w14:textId="77777777">
      <w:pPr>
        <w:autoSpaceDE w:val="0"/>
        <w:autoSpaceDN w:val="0"/>
        <w:spacing w:before="200"/>
        <w:ind w:left="100"/>
        <w:rPr>
          <w:rFonts w:ascii="Times New Roman" w:hAnsi="Times New Roman"/>
          <w:snapToGrid/>
          <w:szCs w:val="24"/>
        </w:rPr>
      </w:pPr>
      <w:r w:rsidRPr="00D61D62">
        <w:rPr>
          <w:rFonts w:ascii="Times New Roman" w:hAnsi="Times New Roman"/>
          <w:snapToGrid/>
          <w:szCs w:val="24"/>
          <w:u w:val="single"/>
        </w:rPr>
        <w:t>Study Participant Recruiting</w:t>
      </w:r>
    </w:p>
    <w:p w:rsidR="00654CAF" w:rsidRPr="00D61D62" w:rsidP="00654CAF" w14:paraId="78416CD8" w14:textId="77777777">
      <w:pPr>
        <w:autoSpaceDE w:val="0"/>
        <w:autoSpaceDN w:val="0"/>
        <w:spacing w:before="74" w:line="276" w:lineRule="auto"/>
        <w:ind w:left="100" w:right="408"/>
        <w:rPr>
          <w:rFonts w:ascii="Times New Roman" w:hAnsi="Times New Roman"/>
          <w:snapToGrid/>
          <w:szCs w:val="24"/>
        </w:rPr>
      </w:pPr>
      <w:r w:rsidRPr="00D61D62">
        <w:rPr>
          <w:rFonts w:ascii="Times New Roman" w:hAnsi="Times New Roman"/>
          <w:snapToGrid/>
          <w:szCs w:val="24"/>
        </w:rPr>
        <w:t xml:space="preserve">The P&amp;E Team will work in collaboration with the Educational Platform and Tools Team and Center STEM Engagement Offices to use a combination of recruitment by NASA Center STEM Engagement Directors and automatic email reminders adopted from </w:t>
      </w:r>
      <w:r w:rsidRPr="00D61D62">
        <w:rPr>
          <w:rFonts w:ascii="Times New Roman" w:hAnsi="Times New Roman"/>
          <w:snapToGrid/>
          <w:szCs w:val="24"/>
        </w:rPr>
        <w:t>Swail</w:t>
      </w:r>
      <w:r w:rsidRPr="00D61D62">
        <w:rPr>
          <w:rFonts w:ascii="Times New Roman" w:hAnsi="Times New Roman"/>
          <w:snapToGrid/>
          <w:szCs w:val="24"/>
        </w:rPr>
        <w:t xml:space="preserve"> and Russo (2010) to maximize participant response rates for data collection instrument testing. Participant contact lists will be solicited from the appropriate Center Point of Contact (POC) for the respondent population sampled. Center POCs will use one month to identify respondents who agree to participate and submit their contact information to the P&amp;E Team. Bi-weekly reminders will be </w:t>
      </w:r>
      <w:r w:rsidRPr="00D61D62">
        <w:rPr>
          <w:rFonts w:ascii="Times New Roman" w:hAnsi="Times New Roman"/>
          <w:snapToGrid/>
          <w:szCs w:val="24"/>
        </w:rPr>
        <w:t>sent</w:t>
      </w:r>
      <w:r w:rsidRPr="00D61D62">
        <w:rPr>
          <w:rFonts w:ascii="Times New Roman" w:hAnsi="Times New Roman"/>
          <w:snapToGrid/>
          <w:szCs w:val="24"/>
        </w:rPr>
        <w:t xml:space="preserve"> and follow-up phone calls will be made to POCs as needed.</w:t>
      </w:r>
    </w:p>
    <w:p w:rsidR="00654CAF" w:rsidRPr="00D61D62" w:rsidP="00654CAF" w14:paraId="00F99342" w14:textId="77777777">
      <w:pPr>
        <w:autoSpaceDE w:val="0"/>
        <w:autoSpaceDN w:val="0"/>
        <w:spacing w:before="202"/>
        <w:ind w:left="100"/>
        <w:rPr>
          <w:rFonts w:ascii="Times New Roman" w:hAnsi="Times New Roman"/>
          <w:snapToGrid/>
          <w:szCs w:val="24"/>
        </w:rPr>
      </w:pPr>
      <w:r w:rsidRPr="00D61D62">
        <w:rPr>
          <w:rFonts w:ascii="Times New Roman" w:hAnsi="Times New Roman"/>
          <w:snapToGrid/>
          <w:szCs w:val="24"/>
          <w:u w:val="single"/>
        </w:rPr>
        <w:t>Participant Assignment to Study</w:t>
      </w:r>
    </w:p>
    <w:p w:rsidR="00654CAF" w:rsidRPr="00B37A7E" w:rsidP="00654CAF" w14:paraId="0192F6F7" w14:textId="77777777">
      <w:pPr>
        <w:pStyle w:val="ListParagraph"/>
        <w:tabs>
          <w:tab w:val="left" w:pos="-1440"/>
        </w:tabs>
        <w:ind w:left="100"/>
        <w:rPr>
          <w:rFonts w:ascii="Times New Roman" w:hAnsi="Times New Roman"/>
          <w:b/>
          <w:szCs w:val="24"/>
        </w:rPr>
      </w:pPr>
      <w:r w:rsidRPr="00B37A7E">
        <w:rPr>
          <w:rFonts w:ascii="Times New Roman" w:hAnsi="Times New Roman"/>
          <w:snapToGrid/>
          <w:szCs w:val="24"/>
        </w:rPr>
        <w:t>Using random assignment, respondents will be assigned to an instrument for which their responses are appropriate with the goal of having equal numbers of participants completing instruments across testing sites and to avoid Center effects, meaning, responses to survey instruments related to a participant’s Center culture.</w:t>
      </w:r>
    </w:p>
    <w:p w:rsidR="00654CAF" w:rsidRPr="00952324" w:rsidP="00654CAF" w14:paraId="7E1906BE" w14:textId="77777777">
      <w:pPr>
        <w:pStyle w:val="ListParagraph"/>
        <w:tabs>
          <w:tab w:val="left" w:pos="-1440"/>
        </w:tabs>
        <w:ind w:left="360"/>
        <w:rPr>
          <w:rFonts w:ascii="Times New Roman" w:hAnsi="Times New Roman"/>
          <w:b/>
          <w:szCs w:val="24"/>
        </w:rPr>
      </w:pPr>
    </w:p>
    <w:p w:rsidR="00654CAF" w:rsidRPr="00952324" w:rsidP="00654CAF" w14:paraId="2124A863" w14:textId="77777777">
      <w:pPr>
        <w:pStyle w:val="ListParagraph"/>
        <w:numPr>
          <w:ilvl w:val="0"/>
          <w:numId w:val="1"/>
        </w:numPr>
        <w:tabs>
          <w:tab w:val="left" w:pos="-1440"/>
        </w:tabs>
        <w:ind w:left="360"/>
        <w:rPr>
          <w:rFonts w:ascii="Times New Roman" w:hAnsi="Times New Roman"/>
          <w:b/>
          <w:szCs w:val="24"/>
        </w:rPr>
      </w:pPr>
      <w:r w:rsidRPr="00952324">
        <w:rPr>
          <w:rFonts w:ascii="Times New Roman" w:hAnsi="Times New Roman"/>
          <w:b/>
          <w:szCs w:val="24"/>
        </w:rPr>
        <w:t xml:space="preserve">Describe any tests of procedures or methods to be undertaken. </w:t>
      </w:r>
    </w:p>
    <w:p w:rsidR="00654CAF" w:rsidP="00654CAF" w14:paraId="165CA4C6" w14:textId="77777777">
      <w:pPr>
        <w:pStyle w:val="ListParagraph"/>
        <w:tabs>
          <w:tab w:val="left" w:pos="-1440"/>
        </w:tabs>
        <w:ind w:left="360"/>
        <w:rPr>
          <w:rFonts w:ascii="Times New Roman" w:hAnsi="Times New Roman"/>
          <w:b/>
          <w:szCs w:val="24"/>
        </w:rPr>
      </w:pPr>
    </w:p>
    <w:p w:rsidR="00654CAF" w:rsidRPr="008A038C" w:rsidP="00654CAF" w14:paraId="7B2A0C5A" w14:textId="77777777">
      <w:pPr>
        <w:pStyle w:val="ListParagraph"/>
        <w:tabs>
          <w:tab w:val="left" w:pos="-1440"/>
        </w:tabs>
        <w:ind w:left="0"/>
        <w:rPr>
          <w:rFonts w:ascii="Times New Roman" w:hAnsi="Times New Roman"/>
          <w:bCs/>
          <w:szCs w:val="24"/>
        </w:rPr>
      </w:pPr>
      <w:r w:rsidRPr="008A038C">
        <w:rPr>
          <w:rFonts w:ascii="Times New Roman" w:hAnsi="Times New Roman"/>
          <w:bCs/>
          <w:szCs w:val="24"/>
        </w:rPr>
        <w:t xml:space="preserve">This submission is </w:t>
      </w:r>
      <w:r w:rsidRPr="008A038C">
        <w:rPr>
          <w:rFonts w:ascii="Times New Roman" w:hAnsi="Times New Roman"/>
          <w:bCs/>
          <w:szCs w:val="24"/>
        </w:rPr>
        <w:t>in itself a</w:t>
      </w:r>
      <w:r w:rsidRPr="008A038C">
        <w:rPr>
          <w:rFonts w:ascii="Times New Roman" w:hAnsi="Times New Roman"/>
          <w:bCs/>
          <w:szCs w:val="24"/>
        </w:rPr>
        <w:t xml:space="preserve"> request for authorization to conduct tests of data collection instruments that are in development and/or require OMB approval. The purpose of cognitive and other forms of intensive interviewing, and of the testing methods in general covered by this request, is not to obtain data, but rather to obtain information about the processes people use to answer questions as well as to identify any potential problems in the question items or instruments prior to piloting with a statistically relevant sample of respondents. In some cases, focus group and/or cognitive interview protocols will be submitted for OMB approval. In other cases where the evidence base provided by the educational measurement research literature has provided a basis for a reasonable instrument draft consistent with a program activity, the instrument draft will be submitted to OMB for approval for pilot testing. The testing procedures and methodologies to be used by OSTEM and its contractors are, overall, consistent with the educational measurement research literature evidence base and other Federal agencies engaged in STEM program performance data collection.</w:t>
      </w:r>
    </w:p>
    <w:p w:rsidR="00654CAF" w:rsidRPr="00952324" w:rsidP="00654CAF" w14:paraId="1728E364" w14:textId="77777777">
      <w:pPr>
        <w:pStyle w:val="ListParagraph"/>
        <w:tabs>
          <w:tab w:val="left" w:pos="-1440"/>
        </w:tabs>
        <w:ind w:left="360"/>
        <w:rPr>
          <w:rFonts w:ascii="Times New Roman" w:hAnsi="Times New Roman"/>
          <w:b/>
          <w:szCs w:val="24"/>
        </w:rPr>
      </w:pPr>
    </w:p>
    <w:p w:rsidR="00654CAF" w:rsidRPr="000C7CCE" w:rsidP="00654CAF" w14:paraId="16A82F33" w14:textId="77777777">
      <w:pPr>
        <w:pStyle w:val="ListParagraph"/>
        <w:numPr>
          <w:ilvl w:val="0"/>
          <w:numId w:val="1"/>
        </w:numPr>
        <w:tabs>
          <w:tab w:val="left" w:pos="-1440"/>
        </w:tabs>
        <w:ind w:left="360"/>
        <w:rPr>
          <w:rFonts w:ascii="Times New Roman" w:hAnsi="Times New Roman"/>
          <w:szCs w:val="24"/>
        </w:rPr>
      </w:pPr>
      <w:r w:rsidRPr="00952324">
        <w:rPr>
          <w:rFonts w:ascii="Times New Roman" w:hAnsi="Times New Roman"/>
          <w:b/>
          <w:szCs w:val="24"/>
        </w:rPr>
        <w:t xml:space="preserve">Provide the name and email, or telephone number, of individuals consulted on statistical aspects of the design and the name of the agency unit, contractor(s), grantee(s), or other person(s) who will </w:t>
      </w:r>
      <w:r w:rsidRPr="00952324">
        <w:rPr>
          <w:rFonts w:ascii="Times New Roman" w:hAnsi="Times New Roman"/>
          <w:b/>
          <w:szCs w:val="24"/>
        </w:rPr>
        <w:t>actually collect</w:t>
      </w:r>
      <w:r w:rsidRPr="00952324">
        <w:rPr>
          <w:rFonts w:ascii="Times New Roman" w:hAnsi="Times New Roman"/>
          <w:b/>
          <w:szCs w:val="24"/>
        </w:rPr>
        <w:t xml:space="preserve"> and/or analyze the information for the agency.</w:t>
      </w:r>
      <w:r w:rsidRPr="00952324">
        <w:rPr>
          <w:rFonts w:ascii="Times New Roman" w:hAnsi="Times New Roman"/>
          <w:szCs w:val="24"/>
        </w:rPr>
        <w:t xml:space="preserve"> </w:t>
      </w:r>
      <w:r w:rsidRPr="00952324">
        <w:rPr>
          <w:rFonts w:ascii="Times New Roman" w:hAnsi="Times New Roman"/>
          <w:b/>
          <w:szCs w:val="24"/>
        </w:rPr>
        <w:t xml:space="preserve"> </w:t>
      </w:r>
    </w:p>
    <w:p w:rsidR="00654CAF" w:rsidP="00654CAF" w14:paraId="4D277006" w14:textId="77777777">
      <w:pPr>
        <w:pStyle w:val="ListParagraph"/>
        <w:tabs>
          <w:tab w:val="left" w:pos="-1440"/>
        </w:tabs>
        <w:ind w:left="360"/>
        <w:rPr>
          <w:rFonts w:ascii="Times New Roman" w:hAnsi="Times New Roman"/>
          <w:b/>
          <w:szCs w:val="24"/>
        </w:rPr>
      </w:pPr>
    </w:p>
    <w:p w:rsidR="00654CAF" w:rsidRPr="0016306E" w:rsidP="00654CAF" w14:paraId="7D016E5E" w14:textId="77777777">
      <w:pPr>
        <w:pStyle w:val="BodyText"/>
        <w:spacing w:line="276" w:lineRule="auto"/>
        <w:ind w:left="100" w:right="336"/>
        <w:rPr>
          <w:rFonts w:ascii="Times New Roman" w:hAnsi="Times New Roman"/>
          <w:i w:val="0"/>
          <w:iCs/>
        </w:rPr>
      </w:pPr>
      <w:r w:rsidRPr="0016306E">
        <w:rPr>
          <w:rFonts w:ascii="Times New Roman" w:hAnsi="Times New Roman"/>
          <w:i w:val="0"/>
          <w:iCs/>
        </w:rPr>
        <w:t xml:space="preserve">NASA OSTEM Leadership along with Richard L. Gilmore Jr. (NASA Office of STEM Engagement, Performance Assessment and Evaluation Program Manager) have consulted its contractor support workforce subject matter experts in performance measure development; data collection instrument design; quantitative, qualitative, and mixed-methods research; inferential and descriptive statistics; user-generated content; big data analytics; education research and analysis. </w:t>
      </w:r>
    </w:p>
    <w:p w:rsidR="00654CAF" w:rsidRPr="008E2AA5" w:rsidP="00654CAF" w14:paraId="3AF40456" w14:textId="77777777">
      <w:pPr>
        <w:spacing w:line="276" w:lineRule="auto"/>
        <w:rPr>
          <w:rFonts w:ascii="Times New Roman" w:hAnsi="Times New Roman"/>
        </w:rPr>
        <w:sectPr w:rsidSect="00654CAF">
          <w:type w:val="continuous"/>
          <w:pgSz w:w="12240" w:h="15840"/>
          <w:pgMar w:top="1360" w:right="1360" w:bottom="1260" w:left="1340" w:header="0" w:footer="1068" w:gutter="0"/>
          <w:cols w:space="720"/>
        </w:sectPr>
      </w:pPr>
    </w:p>
    <w:p w:rsidR="00654CAF" w:rsidP="00654CAF" w14:paraId="3E571835" w14:textId="77777777">
      <w:pPr>
        <w:pStyle w:val="Heading1"/>
      </w:pPr>
      <w:bookmarkStart w:id="1" w:name="_bookmark8"/>
      <w:bookmarkEnd w:id="1"/>
    </w:p>
    <w:p w:rsidR="00654CAF" w:rsidRPr="008E2AA5" w:rsidP="00654CAF" w14:paraId="2E486F3D" w14:textId="77777777">
      <w:pPr>
        <w:pStyle w:val="Heading1"/>
      </w:pPr>
      <w:r w:rsidRPr="008E2AA5">
        <w:t>References</w:t>
      </w:r>
    </w:p>
    <w:p w:rsidR="00654CAF" w:rsidRPr="008E2AA5" w:rsidP="00654CAF" w14:paraId="2BE043AA" w14:textId="77777777">
      <w:pPr>
        <w:pStyle w:val="BodyText"/>
        <w:spacing w:before="47"/>
        <w:ind w:left="100"/>
        <w:rPr>
          <w:rFonts w:ascii="Times New Roman" w:hAnsi="Times New Roman"/>
        </w:rPr>
      </w:pPr>
      <w:r w:rsidRPr="008E2AA5">
        <w:rPr>
          <w:rFonts w:ascii="Times New Roman" w:hAnsi="Times New Roman"/>
        </w:rPr>
        <w:t>Barclay, S., Todd, C., Finlay, I., Grande, G., &amp; Wyatt, P. (2002). Not another questionnaire!</w:t>
      </w:r>
    </w:p>
    <w:p w:rsidR="00654CAF" w:rsidRPr="008E2AA5" w:rsidP="00654CAF" w14:paraId="559095B1" w14:textId="77777777">
      <w:pPr>
        <w:pStyle w:val="BodyText"/>
        <w:spacing w:before="43" w:line="276" w:lineRule="auto"/>
        <w:ind w:left="820" w:right="275"/>
        <w:rPr>
          <w:rFonts w:ascii="Times New Roman" w:hAnsi="Times New Roman"/>
        </w:rPr>
      </w:pPr>
      <w:r w:rsidRPr="008E2AA5">
        <w:rPr>
          <w:rFonts w:ascii="Times New Roman" w:hAnsi="Times New Roman"/>
        </w:rPr>
        <w:t>Maximizing the response rate, predicting non-response and assessing non-response bias in postal questionnaire studies of GPs. Family Practice, 19(1), 105-111.</w:t>
      </w:r>
    </w:p>
    <w:p w:rsidR="00654CAF" w:rsidRPr="008E2AA5" w:rsidP="00654CAF" w14:paraId="26CB8556" w14:textId="77777777">
      <w:pPr>
        <w:spacing w:before="200"/>
        <w:ind w:left="100"/>
        <w:rPr>
          <w:rFonts w:ascii="Times New Roman" w:hAnsi="Times New Roman"/>
        </w:rPr>
      </w:pPr>
      <w:r w:rsidRPr="008E2AA5">
        <w:rPr>
          <w:rFonts w:ascii="Times New Roman" w:hAnsi="Times New Roman"/>
        </w:rPr>
        <w:t xml:space="preserve">Blalock, H. M. (1972). </w:t>
      </w:r>
      <w:r w:rsidRPr="008E2AA5">
        <w:rPr>
          <w:rFonts w:ascii="Times New Roman" w:hAnsi="Times New Roman"/>
          <w:i/>
        </w:rPr>
        <w:t xml:space="preserve">Social statistics. </w:t>
      </w:r>
      <w:r w:rsidRPr="008E2AA5">
        <w:rPr>
          <w:rFonts w:ascii="Times New Roman" w:hAnsi="Times New Roman"/>
        </w:rPr>
        <w:t>New York, NY: McGraw-Hill.</w:t>
      </w:r>
    </w:p>
    <w:p w:rsidR="00654CAF" w:rsidRPr="008E2AA5" w:rsidP="00654CAF" w14:paraId="68C70C81" w14:textId="77777777">
      <w:pPr>
        <w:pStyle w:val="BodyText"/>
        <w:rPr>
          <w:rFonts w:ascii="Times New Roman" w:hAnsi="Times New Roman"/>
          <w:sz w:val="21"/>
        </w:rPr>
      </w:pPr>
    </w:p>
    <w:p w:rsidR="00654CAF" w:rsidRPr="008E2AA5" w:rsidP="00654CAF" w14:paraId="3737B004" w14:textId="77777777">
      <w:pPr>
        <w:spacing w:before="1" w:line="276" w:lineRule="auto"/>
        <w:ind w:left="820" w:right="287" w:hanging="720"/>
        <w:rPr>
          <w:rFonts w:ascii="Times New Roman" w:hAnsi="Times New Roman"/>
        </w:rPr>
      </w:pPr>
      <w:r w:rsidRPr="008E2AA5">
        <w:rPr>
          <w:rFonts w:ascii="Times New Roman" w:hAnsi="Times New Roman"/>
        </w:rPr>
        <w:t xml:space="preserve">Colton, D., &amp; Covert, R. W. (2007). </w:t>
      </w:r>
      <w:r w:rsidRPr="008E2AA5">
        <w:rPr>
          <w:rFonts w:ascii="Times New Roman" w:hAnsi="Times New Roman"/>
          <w:i/>
        </w:rPr>
        <w:t xml:space="preserve">Designing and constructing instruments for social </w:t>
      </w:r>
      <w:r w:rsidRPr="008E2AA5">
        <w:rPr>
          <w:rFonts w:ascii="Times New Roman" w:hAnsi="Times New Roman"/>
          <w:i/>
        </w:rPr>
        <w:t>reserch</w:t>
      </w:r>
      <w:r w:rsidRPr="008E2AA5">
        <w:rPr>
          <w:rFonts w:ascii="Times New Roman" w:hAnsi="Times New Roman"/>
          <w:i/>
        </w:rPr>
        <w:t xml:space="preserve"> and evaluation. </w:t>
      </w:r>
      <w:r w:rsidRPr="008E2AA5">
        <w:rPr>
          <w:rFonts w:ascii="Times New Roman" w:hAnsi="Times New Roman"/>
        </w:rPr>
        <w:t>San Francisco: John Wiley and Sons, Inc.</w:t>
      </w:r>
    </w:p>
    <w:p w:rsidR="00654CAF" w:rsidRPr="008E2AA5" w:rsidP="00654CAF" w14:paraId="6E686CA8" w14:textId="77777777">
      <w:pPr>
        <w:spacing w:before="202" w:line="276" w:lineRule="auto"/>
        <w:ind w:left="820" w:right="581" w:hanging="720"/>
        <w:rPr>
          <w:rFonts w:ascii="Times New Roman" w:hAnsi="Times New Roman"/>
        </w:rPr>
      </w:pPr>
      <w:r w:rsidRPr="008E2AA5">
        <w:rPr>
          <w:rFonts w:ascii="Times New Roman" w:hAnsi="Times New Roman"/>
        </w:rPr>
        <w:t xml:space="preserve">Costello, A. B., &amp; Osborne, J. W. (2005). Best practices in exploratory factor analysis: Four recommendations for getting the most from your analysis. </w:t>
      </w:r>
      <w:r w:rsidRPr="008E2AA5">
        <w:rPr>
          <w:rFonts w:ascii="Times New Roman" w:hAnsi="Times New Roman"/>
          <w:i/>
        </w:rPr>
        <w:t>Practical Assessment, Research &amp; Evaluation, 10</w:t>
      </w:r>
      <w:r w:rsidRPr="008E2AA5">
        <w:rPr>
          <w:rFonts w:ascii="Times New Roman" w:hAnsi="Times New Roman"/>
        </w:rPr>
        <w:t>(7), 1-9.</w:t>
      </w:r>
    </w:p>
    <w:p w:rsidR="00654CAF" w:rsidRPr="008E2AA5" w:rsidP="00654CAF" w14:paraId="371D55C1" w14:textId="77777777">
      <w:pPr>
        <w:spacing w:before="202"/>
        <w:ind w:left="100"/>
        <w:rPr>
          <w:rFonts w:ascii="Times New Roman" w:hAnsi="Times New Roman"/>
          <w:i/>
        </w:rPr>
      </w:pPr>
      <w:r w:rsidRPr="008E2AA5">
        <w:rPr>
          <w:rFonts w:ascii="Times New Roman" w:hAnsi="Times New Roman"/>
        </w:rPr>
        <w:t>Davidshofer</w:t>
      </w:r>
      <w:r w:rsidRPr="008E2AA5">
        <w:rPr>
          <w:rFonts w:ascii="Times New Roman" w:hAnsi="Times New Roman"/>
        </w:rPr>
        <w:t xml:space="preserve">, K. R., &amp; Murphy, C. O. (2005). </w:t>
      </w:r>
      <w:r w:rsidRPr="008E2AA5">
        <w:rPr>
          <w:rFonts w:ascii="Times New Roman" w:hAnsi="Times New Roman"/>
          <w:i/>
        </w:rPr>
        <w:t>Psychological testing: Principles and applications.</w:t>
      </w:r>
    </w:p>
    <w:p w:rsidR="00654CAF" w:rsidRPr="008E2AA5" w:rsidP="00654CAF" w14:paraId="7B6F962A" w14:textId="77777777">
      <w:pPr>
        <w:pStyle w:val="BodyText"/>
        <w:spacing w:before="40"/>
        <w:ind w:left="820"/>
        <w:rPr>
          <w:rFonts w:ascii="Times New Roman" w:hAnsi="Times New Roman"/>
        </w:rPr>
      </w:pPr>
      <w:r w:rsidRPr="008E2AA5">
        <w:rPr>
          <w:rFonts w:ascii="Times New Roman" w:hAnsi="Times New Roman"/>
        </w:rPr>
        <w:t>(6th ed.). Upper Saddle River, NJ: Pearson/Prentice Hall.</w:t>
      </w:r>
    </w:p>
    <w:p w:rsidR="00654CAF" w:rsidRPr="008E2AA5" w:rsidP="00654CAF" w14:paraId="02E0CD49" w14:textId="77777777">
      <w:pPr>
        <w:pStyle w:val="BodyText"/>
        <w:rPr>
          <w:rFonts w:ascii="Times New Roman" w:hAnsi="Times New Roman"/>
          <w:sz w:val="21"/>
        </w:rPr>
      </w:pPr>
    </w:p>
    <w:p w:rsidR="00654CAF" w:rsidRPr="008E2AA5" w:rsidP="00654CAF" w14:paraId="05301EF3" w14:textId="77777777">
      <w:pPr>
        <w:ind w:left="100"/>
        <w:rPr>
          <w:rFonts w:ascii="Times New Roman" w:hAnsi="Times New Roman"/>
        </w:rPr>
      </w:pPr>
      <w:r w:rsidRPr="008E2AA5">
        <w:rPr>
          <w:rFonts w:ascii="Times New Roman" w:hAnsi="Times New Roman"/>
        </w:rPr>
        <w:t>DeMars</w:t>
      </w:r>
      <w:r w:rsidRPr="008E2AA5">
        <w:rPr>
          <w:rFonts w:ascii="Times New Roman" w:hAnsi="Times New Roman"/>
        </w:rPr>
        <w:t xml:space="preserve">, C. (2010). </w:t>
      </w:r>
      <w:r w:rsidRPr="008E2AA5">
        <w:rPr>
          <w:rFonts w:ascii="Times New Roman" w:hAnsi="Times New Roman"/>
          <w:i/>
        </w:rPr>
        <w:t xml:space="preserve">Item response theory. </w:t>
      </w:r>
      <w:r w:rsidRPr="008E2AA5">
        <w:rPr>
          <w:rFonts w:ascii="Times New Roman" w:hAnsi="Times New Roman"/>
        </w:rPr>
        <w:t>New York: Oxford University Press.</w:t>
      </w:r>
    </w:p>
    <w:p w:rsidR="00654CAF" w:rsidRPr="008E2AA5" w:rsidP="00654CAF" w14:paraId="221FF0F3" w14:textId="77777777">
      <w:pPr>
        <w:pStyle w:val="BodyText"/>
        <w:spacing w:before="9"/>
        <w:rPr>
          <w:rFonts w:ascii="Times New Roman" w:hAnsi="Times New Roman"/>
          <w:sz w:val="20"/>
        </w:rPr>
      </w:pPr>
    </w:p>
    <w:p w:rsidR="00654CAF" w:rsidRPr="008E2AA5" w:rsidP="00654CAF" w14:paraId="3E6B6C3F" w14:textId="77777777">
      <w:pPr>
        <w:spacing w:line="276" w:lineRule="auto"/>
        <w:ind w:left="820" w:right="275" w:hanging="720"/>
        <w:rPr>
          <w:rFonts w:ascii="Times New Roman" w:hAnsi="Times New Roman"/>
        </w:rPr>
      </w:pPr>
      <w:r w:rsidRPr="008E2AA5">
        <w:rPr>
          <w:rFonts w:ascii="Times New Roman" w:hAnsi="Times New Roman"/>
        </w:rPr>
        <w:t>Fabrigar</w:t>
      </w:r>
      <w:r w:rsidRPr="008E2AA5">
        <w:rPr>
          <w:rFonts w:ascii="Times New Roman" w:hAnsi="Times New Roman"/>
        </w:rPr>
        <w:t xml:space="preserve">, L. R., &amp; Wegener, D. T. (2011). </w:t>
      </w:r>
      <w:r w:rsidRPr="008E2AA5">
        <w:rPr>
          <w:rFonts w:ascii="Times New Roman" w:hAnsi="Times New Roman"/>
          <w:i/>
        </w:rPr>
        <w:t xml:space="preserve">Exploratory factor analysis. </w:t>
      </w:r>
      <w:r w:rsidRPr="008E2AA5">
        <w:rPr>
          <w:rFonts w:ascii="Times New Roman" w:hAnsi="Times New Roman"/>
        </w:rPr>
        <w:t>New York, NY: Oxford University Press.</w:t>
      </w:r>
    </w:p>
    <w:p w:rsidR="00654CAF" w:rsidRPr="008E2AA5" w:rsidP="00654CAF" w14:paraId="3A247425" w14:textId="77777777">
      <w:pPr>
        <w:spacing w:before="202"/>
        <w:ind w:left="100"/>
        <w:rPr>
          <w:rFonts w:ascii="Times New Roman" w:hAnsi="Times New Roman"/>
        </w:rPr>
      </w:pPr>
      <w:r w:rsidRPr="008E2AA5">
        <w:rPr>
          <w:rFonts w:ascii="Times New Roman" w:hAnsi="Times New Roman"/>
        </w:rPr>
        <w:t>Haladyna</w:t>
      </w:r>
      <w:r w:rsidRPr="008E2AA5">
        <w:rPr>
          <w:rFonts w:ascii="Times New Roman" w:hAnsi="Times New Roman"/>
        </w:rPr>
        <w:t xml:space="preserve">, T. M. (2004). </w:t>
      </w:r>
      <w:r w:rsidRPr="008E2AA5">
        <w:rPr>
          <w:rFonts w:ascii="Times New Roman" w:hAnsi="Times New Roman"/>
          <w:i/>
        </w:rPr>
        <w:t xml:space="preserve">Developing and validating multiple-choice test items </w:t>
      </w:r>
      <w:r w:rsidRPr="008E2AA5">
        <w:rPr>
          <w:rFonts w:ascii="Times New Roman" w:hAnsi="Times New Roman"/>
        </w:rPr>
        <w:t>(3rd ed.).</w:t>
      </w:r>
    </w:p>
    <w:p w:rsidR="00654CAF" w:rsidRPr="008E2AA5" w:rsidP="00654CAF" w14:paraId="23887F51" w14:textId="77777777">
      <w:pPr>
        <w:pStyle w:val="BodyText"/>
        <w:spacing w:before="40"/>
        <w:ind w:left="820"/>
        <w:rPr>
          <w:rFonts w:ascii="Times New Roman" w:hAnsi="Times New Roman"/>
        </w:rPr>
      </w:pPr>
      <w:r w:rsidRPr="008E2AA5">
        <w:rPr>
          <w:rFonts w:ascii="Times New Roman" w:hAnsi="Times New Roman"/>
        </w:rPr>
        <w:t>Mahwah, NJ: Lawrence Erlbaum Associates, Inc.</w:t>
      </w:r>
    </w:p>
    <w:p w:rsidR="00654CAF" w:rsidRPr="008E2AA5" w:rsidP="00654CAF" w14:paraId="46891207" w14:textId="77777777">
      <w:pPr>
        <w:pStyle w:val="BodyText"/>
        <w:rPr>
          <w:rFonts w:ascii="Times New Roman" w:hAnsi="Times New Roman"/>
          <w:sz w:val="21"/>
        </w:rPr>
      </w:pPr>
    </w:p>
    <w:p w:rsidR="00654CAF" w:rsidRPr="008E2AA5" w:rsidP="00654CAF" w14:paraId="13857AF3" w14:textId="77777777">
      <w:pPr>
        <w:spacing w:line="276" w:lineRule="auto"/>
        <w:ind w:left="820" w:hanging="720"/>
        <w:rPr>
          <w:rFonts w:ascii="Times New Roman" w:hAnsi="Times New Roman"/>
        </w:rPr>
      </w:pPr>
      <w:r w:rsidRPr="008E2AA5">
        <w:rPr>
          <w:rFonts w:ascii="Times New Roman" w:hAnsi="Times New Roman"/>
        </w:rPr>
        <w:t>Hesse-</w:t>
      </w:r>
      <w:r w:rsidRPr="008E2AA5">
        <w:rPr>
          <w:rFonts w:ascii="Times New Roman" w:hAnsi="Times New Roman"/>
        </w:rPr>
        <w:t>Biber</w:t>
      </w:r>
      <w:r w:rsidRPr="008E2AA5">
        <w:rPr>
          <w:rFonts w:ascii="Times New Roman" w:hAnsi="Times New Roman"/>
        </w:rPr>
        <w:t xml:space="preserve">, S. N. (2010). </w:t>
      </w:r>
      <w:r w:rsidRPr="008E2AA5">
        <w:rPr>
          <w:rFonts w:ascii="Times New Roman" w:hAnsi="Times New Roman"/>
          <w:i/>
        </w:rPr>
        <w:t xml:space="preserve">Mixed methods research: Merging theory with practice. </w:t>
      </w:r>
      <w:r w:rsidRPr="008E2AA5">
        <w:rPr>
          <w:rFonts w:ascii="Times New Roman" w:hAnsi="Times New Roman"/>
        </w:rPr>
        <w:t>New York: Guilford Press.</w:t>
      </w:r>
    </w:p>
    <w:p w:rsidR="00654CAF" w:rsidRPr="008E2AA5" w:rsidP="00654CAF" w14:paraId="02CA7F0B" w14:textId="77777777">
      <w:pPr>
        <w:pStyle w:val="BodyText"/>
        <w:spacing w:before="202"/>
        <w:ind w:left="100"/>
        <w:rPr>
          <w:rFonts w:ascii="Times New Roman" w:hAnsi="Times New Roman"/>
        </w:rPr>
      </w:pPr>
      <w:r w:rsidRPr="008E2AA5">
        <w:rPr>
          <w:rFonts w:ascii="Times New Roman" w:hAnsi="Times New Roman"/>
        </w:rPr>
        <w:t xml:space="preserve">Jaaskelainen, R. (2010). Think-aloud protocol. In Y. Gambier, &amp; L. Van </w:t>
      </w:r>
      <w:r w:rsidRPr="008E2AA5">
        <w:rPr>
          <w:rFonts w:ascii="Times New Roman" w:hAnsi="Times New Roman"/>
        </w:rPr>
        <w:t>Doorslaer</w:t>
      </w:r>
      <w:r w:rsidRPr="008E2AA5">
        <w:rPr>
          <w:rFonts w:ascii="Times New Roman" w:hAnsi="Times New Roman"/>
        </w:rPr>
        <w:t xml:space="preserve"> (Eds.),</w:t>
      </w:r>
    </w:p>
    <w:p w:rsidR="00654CAF" w:rsidRPr="008E2AA5" w:rsidP="00654CAF" w14:paraId="2D787667" w14:textId="77777777">
      <w:pPr>
        <w:spacing w:before="41"/>
        <w:ind w:left="820"/>
        <w:rPr>
          <w:rFonts w:ascii="Times New Roman" w:hAnsi="Times New Roman"/>
        </w:rPr>
      </w:pPr>
      <w:r w:rsidRPr="008E2AA5">
        <w:rPr>
          <w:rFonts w:ascii="Times New Roman" w:hAnsi="Times New Roman"/>
          <w:i/>
        </w:rPr>
        <w:t xml:space="preserve">Handbook of translation studies </w:t>
      </w:r>
      <w:r w:rsidRPr="008E2AA5">
        <w:rPr>
          <w:rFonts w:ascii="Times New Roman" w:hAnsi="Times New Roman"/>
        </w:rPr>
        <w:t>(pp. 371-373). Philadelphia, PA: John Benjamins.</w:t>
      </w:r>
    </w:p>
    <w:p w:rsidR="00654CAF" w:rsidRPr="008E2AA5" w:rsidP="00654CAF" w14:paraId="01632A1C" w14:textId="77777777">
      <w:pPr>
        <w:pStyle w:val="BodyText"/>
        <w:spacing w:before="10"/>
        <w:rPr>
          <w:rFonts w:ascii="Times New Roman" w:hAnsi="Times New Roman"/>
          <w:sz w:val="20"/>
        </w:rPr>
      </w:pPr>
    </w:p>
    <w:p w:rsidR="00654CAF" w:rsidRPr="008E2AA5" w:rsidP="00654CAF" w14:paraId="545332BC" w14:textId="77777777">
      <w:pPr>
        <w:spacing w:line="276" w:lineRule="auto"/>
        <w:ind w:left="820" w:right="171" w:hanging="720"/>
        <w:rPr>
          <w:rFonts w:ascii="Times New Roman" w:hAnsi="Times New Roman"/>
        </w:rPr>
      </w:pPr>
      <w:r w:rsidRPr="008E2AA5">
        <w:rPr>
          <w:rFonts w:ascii="Times New Roman" w:hAnsi="Times New Roman"/>
        </w:rPr>
        <w:t>Komrey</w:t>
      </w:r>
      <w:r w:rsidRPr="008E2AA5">
        <w:rPr>
          <w:rFonts w:ascii="Times New Roman" w:hAnsi="Times New Roman"/>
        </w:rPr>
        <w:t xml:space="preserve">, J. D., &amp; Bacon, T. P. (1992). Item analysis of </w:t>
      </w:r>
      <w:r w:rsidRPr="008E2AA5">
        <w:rPr>
          <w:rFonts w:ascii="Times New Roman" w:hAnsi="Times New Roman"/>
        </w:rPr>
        <w:t>acheivement</w:t>
      </w:r>
      <w:r w:rsidRPr="008E2AA5">
        <w:rPr>
          <w:rFonts w:ascii="Times New Roman" w:hAnsi="Times New Roman"/>
        </w:rPr>
        <w:t xml:space="preserve"> tests based on small numbers of examinees. </w:t>
      </w:r>
      <w:r w:rsidRPr="008E2AA5">
        <w:rPr>
          <w:rFonts w:ascii="Times New Roman" w:hAnsi="Times New Roman"/>
          <w:i/>
        </w:rPr>
        <w:t xml:space="preserve">Paper presented at the annual meeting of the American Educational Research Association. </w:t>
      </w:r>
      <w:r w:rsidRPr="008E2AA5">
        <w:rPr>
          <w:rFonts w:ascii="Times New Roman" w:hAnsi="Times New Roman"/>
        </w:rPr>
        <w:t>San Francisco.</w:t>
      </w:r>
    </w:p>
    <w:p w:rsidR="00654CAF" w:rsidRPr="008E2AA5" w:rsidP="00654CAF" w14:paraId="16CE49D7" w14:textId="77777777">
      <w:pPr>
        <w:spacing w:before="200" w:line="278" w:lineRule="auto"/>
        <w:ind w:left="820" w:right="1288" w:hanging="720"/>
        <w:rPr>
          <w:rFonts w:ascii="Times New Roman" w:hAnsi="Times New Roman"/>
        </w:rPr>
      </w:pPr>
      <w:r w:rsidRPr="008E2AA5">
        <w:rPr>
          <w:rFonts w:ascii="Times New Roman" w:hAnsi="Times New Roman"/>
        </w:rPr>
        <w:t xml:space="preserve">Kota, K. (n.d.). Testing your web application: A quick 10-step guide. </w:t>
      </w:r>
      <w:r w:rsidRPr="008E2AA5">
        <w:rPr>
          <w:rFonts w:ascii="Times New Roman" w:hAnsi="Times New Roman"/>
          <w:i/>
        </w:rPr>
        <w:t xml:space="preserve">Retrieved from </w:t>
      </w:r>
      <w:hyperlink r:id="rId6">
        <w:r w:rsidRPr="008E2AA5">
          <w:rPr>
            <w:rFonts w:ascii="Times New Roman" w:hAnsi="Times New Roman"/>
            <w:i/>
          </w:rPr>
          <w:t>http://www.adminstrack.com/articles/testing_web_apps.pdf</w:t>
        </w:r>
        <w:r w:rsidRPr="008E2AA5">
          <w:rPr>
            <w:rFonts w:ascii="Times New Roman" w:hAnsi="Times New Roman"/>
          </w:rPr>
          <w:t>.</w:t>
        </w:r>
      </w:hyperlink>
    </w:p>
    <w:p w:rsidR="00654CAF" w:rsidRPr="008E2AA5" w:rsidP="00654CAF" w14:paraId="02F37F7F" w14:textId="77777777">
      <w:pPr>
        <w:spacing w:before="198" w:line="276" w:lineRule="auto"/>
        <w:ind w:left="820" w:right="569" w:hanging="720"/>
        <w:rPr>
          <w:rFonts w:ascii="Times New Roman" w:hAnsi="Times New Roman"/>
        </w:rPr>
      </w:pPr>
      <w:r w:rsidRPr="008E2AA5">
        <w:rPr>
          <w:rFonts w:ascii="Times New Roman" w:hAnsi="Times New Roman"/>
        </w:rPr>
        <w:t>Reckase</w:t>
      </w:r>
      <w:r w:rsidRPr="008E2AA5">
        <w:rPr>
          <w:rFonts w:ascii="Times New Roman" w:hAnsi="Times New Roman"/>
        </w:rPr>
        <w:t xml:space="preserve">, M. D. (2000). The minimum sample size needed to calibrate items using the three- parameter logistic model. </w:t>
      </w:r>
      <w:r w:rsidRPr="008E2AA5">
        <w:rPr>
          <w:rFonts w:ascii="Times New Roman" w:hAnsi="Times New Roman"/>
          <w:i/>
        </w:rPr>
        <w:t xml:space="preserve">Paper presented at the annual meeting of the American Educational Research Association. </w:t>
      </w:r>
      <w:r w:rsidRPr="008E2AA5">
        <w:rPr>
          <w:rFonts w:ascii="Times New Roman" w:hAnsi="Times New Roman"/>
        </w:rPr>
        <w:t>New Orleans.</w:t>
      </w:r>
    </w:p>
    <w:p w:rsidR="00654CAF" w:rsidRPr="008E2AA5" w:rsidP="00654CAF" w14:paraId="526EDC10" w14:textId="77777777">
      <w:pPr>
        <w:spacing w:before="200" w:line="278" w:lineRule="auto"/>
        <w:ind w:left="820" w:right="800" w:hanging="720"/>
        <w:rPr>
          <w:rFonts w:ascii="Times New Roman" w:hAnsi="Times New Roman"/>
        </w:rPr>
      </w:pPr>
      <w:r w:rsidRPr="008E2AA5">
        <w:rPr>
          <w:rFonts w:ascii="Times New Roman" w:hAnsi="Times New Roman"/>
        </w:rPr>
        <w:t>Swail</w:t>
      </w:r>
      <w:r w:rsidRPr="008E2AA5">
        <w:rPr>
          <w:rFonts w:ascii="Times New Roman" w:hAnsi="Times New Roman"/>
        </w:rPr>
        <w:t xml:space="preserve">, W. S., &amp; Russo, R. (2010). </w:t>
      </w:r>
      <w:r w:rsidRPr="008E2AA5">
        <w:rPr>
          <w:rFonts w:ascii="Times New Roman" w:hAnsi="Times New Roman"/>
          <w:i/>
        </w:rPr>
        <w:t xml:space="preserve">Instrument field test: Quantitative summary. </w:t>
      </w:r>
      <w:r w:rsidRPr="008E2AA5">
        <w:rPr>
          <w:rFonts w:ascii="Times New Roman" w:hAnsi="Times New Roman"/>
        </w:rPr>
        <w:t>Library of Congress- Teaching with Primary Sources: Educational Policy Institute.</w:t>
      </w:r>
    </w:p>
    <w:p w:rsidR="00654CAF" w:rsidRPr="008E2AA5" w:rsidP="00654CAF" w14:paraId="01FD431C" w14:textId="77777777">
      <w:pPr>
        <w:spacing w:line="278" w:lineRule="auto"/>
        <w:rPr>
          <w:rFonts w:ascii="Times New Roman" w:hAnsi="Times New Roman"/>
        </w:rPr>
        <w:sectPr w:rsidSect="00654CAF">
          <w:pgSz w:w="12240" w:h="15840"/>
          <w:pgMar w:top="1360" w:right="1360" w:bottom="1260" w:left="1340" w:header="0" w:footer="1068" w:gutter="0"/>
          <w:cols w:space="720"/>
        </w:sectPr>
      </w:pPr>
    </w:p>
    <w:p w:rsidR="00654CAF" w:rsidRPr="008E2AA5" w:rsidP="00654CAF" w14:paraId="6C0445DD" w14:textId="77777777">
      <w:pPr>
        <w:spacing w:before="74" w:line="276" w:lineRule="auto"/>
        <w:ind w:left="820" w:right="94" w:hanging="720"/>
        <w:rPr>
          <w:rFonts w:ascii="Times New Roman" w:hAnsi="Times New Roman"/>
        </w:rPr>
      </w:pPr>
      <w:r w:rsidRPr="008E2AA5">
        <w:rPr>
          <w:rFonts w:ascii="Times New Roman" w:hAnsi="Times New Roman"/>
        </w:rPr>
        <w:t xml:space="preserve">Wilson, M. (2005). </w:t>
      </w:r>
      <w:r w:rsidRPr="008E2AA5">
        <w:rPr>
          <w:rFonts w:ascii="Times New Roman" w:hAnsi="Times New Roman"/>
          <w:i/>
        </w:rPr>
        <w:t xml:space="preserve">Constructing measures: An item response modeling approach. </w:t>
      </w:r>
      <w:r w:rsidRPr="008E2AA5">
        <w:rPr>
          <w:rFonts w:ascii="Times New Roman" w:hAnsi="Times New Roman"/>
        </w:rPr>
        <w:t>New York: Psychology Press.</w:t>
      </w:r>
    </w:p>
    <w:p w:rsidR="00654CAF" w:rsidRPr="008E2AA5" w:rsidP="00654CAF" w14:paraId="7AF90E12" w14:textId="77777777">
      <w:pPr>
        <w:pStyle w:val="ListParagraph"/>
        <w:tabs>
          <w:tab w:val="left" w:pos="-1440"/>
        </w:tabs>
        <w:ind w:left="360"/>
        <w:rPr>
          <w:rFonts w:ascii="Times New Roman" w:hAnsi="Times New Roman"/>
          <w:szCs w:val="24"/>
        </w:rPr>
      </w:pPr>
      <w:r w:rsidRPr="008E2AA5">
        <w:rPr>
          <w:rFonts w:ascii="Times New Roman" w:hAnsi="Times New Roman"/>
        </w:rPr>
        <w:t xml:space="preserve">Yamane, T. (1973). </w:t>
      </w:r>
      <w:r w:rsidRPr="008E2AA5">
        <w:rPr>
          <w:rFonts w:ascii="Times New Roman" w:hAnsi="Times New Roman"/>
          <w:i/>
        </w:rPr>
        <w:t xml:space="preserve">Statistics: An introductory analysis. </w:t>
      </w:r>
      <w:r w:rsidRPr="008E2AA5">
        <w:rPr>
          <w:rFonts w:ascii="Times New Roman" w:hAnsi="Times New Roman"/>
        </w:rPr>
        <w:t>New York: Harper &amp; Row.</w:t>
      </w:r>
    </w:p>
    <w:p w:rsidR="00654CAF" w:rsidRPr="008E2AA5" w:rsidP="00654CAF" w14:paraId="3F9DB0C4" w14:textId="77777777">
      <w:pPr>
        <w:rPr>
          <w:rFonts w:ascii="Times New Roman" w:hAnsi="Times New Roman"/>
          <w:b/>
          <w:szCs w:val="24"/>
        </w:rPr>
      </w:pPr>
    </w:p>
    <w:p w:rsidR="00654CAF" w:rsidRPr="008E2AA5" w:rsidP="00654CAF" w14:paraId="1F931C28" w14:textId="77777777">
      <w:pPr>
        <w:rPr>
          <w:rFonts w:ascii="Times New Roman" w:hAnsi="Times New Roman"/>
          <w:b/>
          <w:szCs w:val="24"/>
        </w:rPr>
      </w:pPr>
    </w:p>
    <w:p w:rsidR="00654CAF" w:rsidRPr="006925B7" w:rsidP="00654CAF" w14:paraId="69ABF2E9" w14:textId="77777777">
      <w:pPr>
        <w:autoSpaceDE w:val="0"/>
        <w:autoSpaceDN w:val="0"/>
        <w:spacing w:before="75"/>
        <w:ind w:left="100"/>
        <w:outlineLvl w:val="0"/>
        <w:rPr>
          <w:rFonts w:ascii="Cambria" w:eastAsia="Cambria" w:hAnsi="Cambria" w:cs="Cambria"/>
          <w:b/>
          <w:bCs/>
          <w:snapToGrid/>
          <w:sz w:val="28"/>
          <w:szCs w:val="28"/>
        </w:rPr>
      </w:pPr>
      <w:r w:rsidRPr="006925B7">
        <w:rPr>
          <w:rFonts w:ascii="Cambria" w:eastAsia="Cambria" w:hAnsi="Cambria" w:cs="Cambria"/>
          <w:b/>
          <w:bCs/>
          <w:snapToGrid/>
          <w:sz w:val="28"/>
          <w:szCs w:val="28"/>
        </w:rPr>
        <w:t>APPENDIX A: Descriptions of Methodological Testing Techniques</w:t>
      </w:r>
    </w:p>
    <w:p w:rsidR="00654CAF" w:rsidRPr="006925B7" w:rsidP="00654CAF" w14:paraId="0492C052" w14:textId="77777777">
      <w:pPr>
        <w:numPr>
          <w:ilvl w:val="0"/>
          <w:numId w:val="2"/>
        </w:numPr>
        <w:tabs>
          <w:tab w:val="left" w:pos="820"/>
          <w:tab w:val="left" w:pos="821"/>
        </w:tabs>
        <w:autoSpaceDE w:val="0"/>
        <w:autoSpaceDN w:val="0"/>
        <w:spacing w:before="190" w:line="276" w:lineRule="auto"/>
        <w:ind w:right="108"/>
        <w:rPr>
          <w:rFonts w:ascii="Times New Roman" w:hAnsi="Times New Roman"/>
          <w:snapToGrid/>
          <w:szCs w:val="22"/>
        </w:rPr>
      </w:pPr>
      <w:r w:rsidRPr="006925B7">
        <w:rPr>
          <w:rFonts w:ascii="Times New Roman" w:hAnsi="Times New Roman"/>
          <w:snapToGrid/>
          <w:szCs w:val="22"/>
        </w:rPr>
        <w:t xml:space="preserve">Usability testing: Pertinent are the aspects of the web user interface (UI) that impact the User’s </w:t>
      </w:r>
      <w:r w:rsidRPr="006925B7">
        <w:rPr>
          <w:rFonts w:ascii="Times New Roman" w:hAnsi="Times New Roman"/>
          <w:snapToGrid/>
          <w:szCs w:val="22"/>
        </w:rPr>
        <w:t>experience</w:t>
      </w:r>
      <w:r w:rsidRPr="006925B7">
        <w:rPr>
          <w:rFonts w:ascii="Times New Roman" w:hAnsi="Times New Roman"/>
          <w:snapToGrid/>
          <w:szCs w:val="22"/>
        </w:rPr>
        <w:t xml:space="preserve"> and the accuracy and reliability of the information Users submit. The ease with which Users navigate the data collection screens and the ease at which the User accesses the actions and functionality available during the data input process are equally important. User experience is also impacted by the look and feel of the web UI and the consistency of aesthetics from page to page, including font type, size, color scheme utilized and the ways in which screen real estate is used (Kota, n.d.). The foundation for Usability testing will be a think-aloud protocol analysis as described by </w:t>
      </w:r>
      <w:r w:rsidRPr="006925B7">
        <w:rPr>
          <w:rFonts w:ascii="Times New Roman" w:hAnsi="Times New Roman"/>
          <w:snapToGrid/>
          <w:szCs w:val="22"/>
        </w:rPr>
        <w:t>Jääskeläinen</w:t>
      </w:r>
      <w:r w:rsidRPr="006925B7">
        <w:rPr>
          <w:rFonts w:ascii="Times New Roman" w:hAnsi="Times New Roman"/>
          <w:snapToGrid/>
          <w:szCs w:val="22"/>
        </w:rPr>
        <w:t xml:space="preserve"> (2010) that exposes distractions to accurate input of data whereas a short Likert Scale survey with qualitative questions will determine the extent of distraction and nature of</w:t>
      </w:r>
      <w:r w:rsidRPr="006925B7">
        <w:rPr>
          <w:rFonts w:ascii="Times New Roman" w:hAnsi="Times New Roman"/>
          <w:snapToGrid/>
          <w:spacing w:val="-10"/>
          <w:szCs w:val="22"/>
        </w:rPr>
        <w:t xml:space="preserve"> </w:t>
      </w:r>
      <w:r w:rsidRPr="006925B7">
        <w:rPr>
          <w:rFonts w:ascii="Times New Roman" w:hAnsi="Times New Roman"/>
          <w:snapToGrid/>
          <w:szCs w:val="22"/>
        </w:rPr>
        <w:t>the distractions that impede accurate data</w:t>
      </w:r>
      <w:r w:rsidRPr="006925B7">
        <w:rPr>
          <w:rFonts w:ascii="Times New Roman" w:hAnsi="Times New Roman"/>
          <w:snapToGrid/>
          <w:spacing w:val="-10"/>
          <w:szCs w:val="22"/>
        </w:rPr>
        <w:t xml:space="preserve"> </w:t>
      </w:r>
      <w:r w:rsidRPr="006925B7">
        <w:rPr>
          <w:rFonts w:ascii="Times New Roman" w:hAnsi="Times New Roman"/>
          <w:snapToGrid/>
          <w:szCs w:val="22"/>
        </w:rPr>
        <w:t>input.</w:t>
      </w:r>
    </w:p>
    <w:p w:rsidR="00654CAF" w:rsidRPr="006925B7" w:rsidP="00654CAF" w14:paraId="0CE8BDF1" w14:textId="77777777">
      <w:pPr>
        <w:numPr>
          <w:ilvl w:val="0"/>
          <w:numId w:val="2"/>
        </w:numPr>
        <w:tabs>
          <w:tab w:val="left" w:pos="820"/>
          <w:tab w:val="left" w:pos="821"/>
        </w:tabs>
        <w:autoSpaceDE w:val="0"/>
        <w:autoSpaceDN w:val="0"/>
        <w:spacing w:before="3" w:line="276" w:lineRule="auto"/>
        <w:ind w:right="125"/>
        <w:rPr>
          <w:rFonts w:ascii="Times New Roman" w:hAnsi="Times New Roman"/>
          <w:snapToGrid/>
          <w:szCs w:val="22"/>
        </w:rPr>
      </w:pPr>
      <w:r w:rsidRPr="006925B7">
        <w:rPr>
          <w:rFonts w:ascii="Times New Roman" w:hAnsi="Times New Roman"/>
          <w:snapToGrid/>
          <w:szCs w:val="22"/>
        </w:rPr>
        <w:t>Think-aloud protocols (commonly referred to as cognitive interviewing): This data elicitation method is also called ‘concurrent verbalization’, meaning subjects are asked to perform a task and to verbalize whatever comes to mind during task performance. The written transcripts of the verbalizations are referred to as think-aloud protocols (TAPs) (</w:t>
      </w:r>
      <w:r w:rsidRPr="006925B7">
        <w:rPr>
          <w:rFonts w:ascii="Times New Roman" w:hAnsi="Times New Roman"/>
          <w:snapToGrid/>
          <w:szCs w:val="22"/>
        </w:rPr>
        <w:t>Jääskeläinen</w:t>
      </w:r>
      <w:r w:rsidRPr="006925B7">
        <w:rPr>
          <w:rFonts w:ascii="Times New Roman" w:hAnsi="Times New Roman"/>
          <w:snapToGrid/>
          <w:szCs w:val="22"/>
        </w:rPr>
        <w:t>, 2010, p 371) and constitute the data on the cognitive processes involved in a task (Ericsson &amp; Simon, 1984/1993). When elicited with proper care and instruction, think-aloud does not alter the course or structure of thought processes, except with a slight slowing down of the process. Although high cognitive load can hinder verbalization by occupying all available cognitive resources, that property is of no concern regarding the tasks under analysis that are restricted to information actively processed in working memory (</w:t>
      </w:r>
      <w:r w:rsidRPr="006925B7">
        <w:rPr>
          <w:rFonts w:ascii="Times New Roman" w:hAnsi="Times New Roman"/>
          <w:snapToGrid/>
          <w:szCs w:val="22"/>
        </w:rPr>
        <w:t>Jääskeläinen</w:t>
      </w:r>
      <w:r w:rsidRPr="006925B7">
        <w:rPr>
          <w:rFonts w:ascii="Times New Roman" w:hAnsi="Times New Roman"/>
          <w:snapToGrid/>
          <w:szCs w:val="22"/>
        </w:rPr>
        <w:t>, 2010, p. 371). For the purposes of NASA Education, think-aloud protocols will be especially useful towards the improvement of existing and developing of new data collection screens, which are different in purpose from online applications. Whereas an online application is an electronic collection of fields that one either scrolls through or submits, completed page by completed page, data collection screens represent hierarchical layers of interconnected information for which user training is required. Since user training is required for proper navigation, think-aloud protocols capture the user experience to incorporate it into a more user-friendly design and implementation of this kind of technology. Lastly, data from think-aloud protocols is used to ensure that user experiences are reliable and consistent towards collecting robust data.</w:t>
      </w:r>
    </w:p>
    <w:p w:rsidR="00654CAF" w:rsidRPr="006925B7" w:rsidP="00654CAF" w14:paraId="57CB8A36" w14:textId="77777777">
      <w:pPr>
        <w:numPr>
          <w:ilvl w:val="0"/>
          <w:numId w:val="2"/>
        </w:numPr>
        <w:tabs>
          <w:tab w:val="left" w:pos="820"/>
          <w:tab w:val="left" w:pos="821"/>
        </w:tabs>
        <w:autoSpaceDE w:val="0"/>
        <w:autoSpaceDN w:val="0"/>
        <w:spacing w:line="276" w:lineRule="auto"/>
        <w:ind w:right="110"/>
        <w:rPr>
          <w:rFonts w:ascii="Times New Roman" w:hAnsi="Times New Roman"/>
          <w:snapToGrid/>
          <w:szCs w:val="22"/>
        </w:rPr>
      </w:pPr>
      <w:r w:rsidRPr="006925B7">
        <w:rPr>
          <w:rFonts w:ascii="Times New Roman" w:hAnsi="Times New Roman"/>
          <w:snapToGrid/>
          <w:szCs w:val="22"/>
        </w:rPr>
        <w:t>Focus group interviews: With groups of nine or less per instrument, this qualitative approach to data collection is a matter of brainstorming to creatively solve remaining problems identified after early usability testing of data collection screen and program application form instruments (Colton &amp; Covert, 2007, p. 37). Data from this type of research will include audiotapes obtained with participant consent, meeting minutes</w:t>
      </w:r>
      <w:r w:rsidRPr="006925B7">
        <w:rPr>
          <w:rFonts w:ascii="Times New Roman" w:hAnsi="Times New Roman"/>
          <w:snapToGrid/>
          <w:spacing w:val="-16"/>
          <w:szCs w:val="22"/>
        </w:rPr>
        <w:t xml:space="preserve"> </w:t>
      </w:r>
      <w:r w:rsidRPr="006925B7">
        <w:rPr>
          <w:rFonts w:ascii="Times New Roman" w:hAnsi="Times New Roman"/>
          <w:snapToGrid/>
          <w:szCs w:val="22"/>
        </w:rPr>
        <w:t>taken</w:t>
      </w:r>
    </w:p>
    <w:p w:rsidR="00654CAF" w:rsidRPr="006925B7" w:rsidP="00654CAF" w14:paraId="36821448" w14:textId="77777777">
      <w:pPr>
        <w:autoSpaceDE w:val="0"/>
        <w:autoSpaceDN w:val="0"/>
        <w:spacing w:line="276" w:lineRule="auto"/>
        <w:rPr>
          <w:rFonts w:ascii="Times New Roman" w:hAnsi="Times New Roman"/>
          <w:snapToGrid/>
          <w:szCs w:val="22"/>
        </w:rPr>
        <w:sectPr w:rsidSect="00654CAF">
          <w:type w:val="continuous"/>
          <w:pgSz w:w="12240" w:h="15840"/>
          <w:pgMar w:top="1360" w:right="1340" w:bottom="1260" w:left="1340" w:header="0" w:footer="1068" w:gutter="0"/>
          <w:cols w:space="720"/>
        </w:sectPr>
      </w:pPr>
    </w:p>
    <w:p w:rsidR="00654CAF" w:rsidRPr="006925B7" w:rsidP="00654CAF" w14:paraId="3750DFC1" w14:textId="77777777">
      <w:pPr>
        <w:numPr>
          <w:ilvl w:val="0"/>
          <w:numId w:val="2"/>
        </w:numPr>
        <w:autoSpaceDE w:val="0"/>
        <w:autoSpaceDN w:val="0"/>
        <w:spacing w:before="74" w:line="276" w:lineRule="auto"/>
        <w:ind w:left="460" w:right="275"/>
        <w:rPr>
          <w:rFonts w:ascii="Times New Roman" w:hAnsi="Times New Roman"/>
          <w:snapToGrid/>
          <w:szCs w:val="24"/>
        </w:rPr>
      </w:pPr>
      <w:r w:rsidRPr="006925B7">
        <w:rPr>
          <w:rFonts w:ascii="Times New Roman" w:hAnsi="Times New Roman"/>
          <w:snapToGrid/>
          <w:szCs w:val="24"/>
        </w:rPr>
        <w:t>by a subject matter expert in administration assistance, and reflective comments submitted by participants after conclusion of the focus group. Focus group interviews may be used to refine items that failed initial reliability testing for the purposes of retesting. Lastly, focus group interviews may be used with participants as a basis for a grounded theory approach to instrument development or for refining an already existing instrument to be appropriate to a specific audience.</w:t>
      </w:r>
    </w:p>
    <w:p w:rsidR="00654CAF" w:rsidRPr="006925B7" w:rsidP="00654CAF" w14:paraId="34A4C189" w14:textId="77777777">
      <w:pPr>
        <w:numPr>
          <w:ilvl w:val="0"/>
          <w:numId w:val="5"/>
        </w:numPr>
        <w:tabs>
          <w:tab w:val="left" w:pos="460"/>
          <w:tab w:val="left" w:pos="461"/>
        </w:tabs>
        <w:autoSpaceDE w:val="0"/>
        <w:autoSpaceDN w:val="0"/>
        <w:spacing w:line="276" w:lineRule="auto"/>
        <w:ind w:right="253"/>
        <w:rPr>
          <w:rFonts w:ascii="Times New Roman" w:hAnsi="Times New Roman"/>
          <w:snapToGrid/>
          <w:szCs w:val="22"/>
        </w:rPr>
      </w:pPr>
      <w:r w:rsidRPr="006925B7">
        <w:rPr>
          <w:rFonts w:ascii="Times New Roman" w:hAnsi="Times New Roman"/>
          <w:snapToGrid/>
          <w:szCs w:val="22"/>
        </w:rPr>
        <w:t xml:space="preserve">Comprehensibility testing: Comprehensibility testing of program activity survey instrumentation will determine if items and instructions make sense, are ambiguous, and are understandable by those who will complete them. For example, comprehensibility testing will determine if items are complex, wordy, or incorporate discipline- or </w:t>
      </w:r>
      <w:r w:rsidRPr="006925B7">
        <w:rPr>
          <w:rFonts w:ascii="Times New Roman" w:hAnsi="Times New Roman"/>
          <w:snapToGrid/>
          <w:szCs w:val="22"/>
        </w:rPr>
        <w:t>culturally-inappropriate</w:t>
      </w:r>
      <w:r w:rsidRPr="006925B7">
        <w:rPr>
          <w:rFonts w:ascii="Times New Roman" w:hAnsi="Times New Roman"/>
          <w:snapToGrid/>
          <w:szCs w:val="22"/>
        </w:rPr>
        <w:t xml:space="preserve"> language (Colton &amp; Covert, 2007, p.</w:t>
      </w:r>
      <w:r w:rsidRPr="006925B7">
        <w:rPr>
          <w:rFonts w:ascii="Times New Roman" w:hAnsi="Times New Roman"/>
          <w:snapToGrid/>
          <w:spacing w:val="-9"/>
          <w:szCs w:val="22"/>
        </w:rPr>
        <w:t xml:space="preserve"> </w:t>
      </w:r>
      <w:r w:rsidRPr="006925B7">
        <w:rPr>
          <w:rFonts w:ascii="Times New Roman" w:hAnsi="Times New Roman"/>
          <w:snapToGrid/>
          <w:szCs w:val="22"/>
        </w:rPr>
        <w:t>129).</w:t>
      </w:r>
    </w:p>
    <w:p w:rsidR="00654CAF" w:rsidRPr="006925B7" w:rsidP="00654CAF" w14:paraId="2FA1771E" w14:textId="77777777">
      <w:pPr>
        <w:numPr>
          <w:ilvl w:val="0"/>
          <w:numId w:val="5"/>
        </w:numPr>
        <w:tabs>
          <w:tab w:val="left" w:pos="460"/>
          <w:tab w:val="left" w:pos="461"/>
        </w:tabs>
        <w:autoSpaceDE w:val="0"/>
        <w:autoSpaceDN w:val="0"/>
        <w:spacing w:line="276" w:lineRule="auto"/>
        <w:ind w:right="250"/>
        <w:rPr>
          <w:rFonts w:ascii="Times New Roman" w:hAnsi="Times New Roman"/>
          <w:snapToGrid/>
          <w:szCs w:val="22"/>
        </w:rPr>
      </w:pPr>
      <w:r w:rsidRPr="006925B7">
        <w:rPr>
          <w:rFonts w:ascii="Times New Roman" w:hAnsi="Times New Roman"/>
          <w:snapToGrid/>
          <w:szCs w:val="22"/>
        </w:rPr>
        <w:t>Pilot testing: After program activity survey instruments have performed satisfactorily in readability and comprehensibility testing, the next phase is pilot testing with a sample</w:t>
      </w:r>
      <w:r w:rsidRPr="006925B7">
        <w:rPr>
          <w:rFonts w:ascii="Times New Roman" w:hAnsi="Times New Roman"/>
          <w:snapToGrid/>
          <w:spacing w:val="-18"/>
          <w:szCs w:val="22"/>
        </w:rPr>
        <w:t xml:space="preserve"> </w:t>
      </w:r>
      <w:r w:rsidRPr="006925B7">
        <w:rPr>
          <w:rFonts w:ascii="Times New Roman" w:hAnsi="Times New Roman"/>
          <w:snapToGrid/>
          <w:szCs w:val="22"/>
        </w:rPr>
        <w:t>of the target population that will yield statistically significant data, a random sample of at least 200 respondents (</w:t>
      </w:r>
      <w:r w:rsidRPr="006925B7">
        <w:rPr>
          <w:rFonts w:ascii="Times New Roman" w:hAnsi="Times New Roman"/>
          <w:snapToGrid/>
          <w:szCs w:val="22"/>
        </w:rPr>
        <w:t>Komrey</w:t>
      </w:r>
      <w:r w:rsidRPr="006925B7">
        <w:rPr>
          <w:rFonts w:ascii="Times New Roman" w:hAnsi="Times New Roman"/>
          <w:snapToGrid/>
          <w:szCs w:val="22"/>
        </w:rPr>
        <w:t xml:space="preserve"> and Bacon, 1992; </w:t>
      </w:r>
      <w:r w:rsidRPr="006925B7">
        <w:rPr>
          <w:rFonts w:ascii="Times New Roman" w:hAnsi="Times New Roman"/>
          <w:snapToGrid/>
          <w:szCs w:val="22"/>
        </w:rPr>
        <w:t>Reckase</w:t>
      </w:r>
      <w:r w:rsidRPr="006925B7">
        <w:rPr>
          <w:rFonts w:ascii="Times New Roman" w:hAnsi="Times New Roman"/>
          <w:snapToGrid/>
          <w:szCs w:val="22"/>
        </w:rPr>
        <w:t>, 2000). The goal of pilot testing is to yield preliminary validity and reliability data to determine if items and the instrument are functioning properly (</w:t>
      </w:r>
      <w:r w:rsidRPr="006925B7">
        <w:rPr>
          <w:rFonts w:ascii="Times New Roman" w:hAnsi="Times New Roman"/>
          <w:snapToGrid/>
          <w:szCs w:val="22"/>
        </w:rPr>
        <w:t>Haladyna</w:t>
      </w:r>
      <w:r w:rsidRPr="006925B7">
        <w:rPr>
          <w:rFonts w:ascii="Times New Roman" w:hAnsi="Times New Roman"/>
          <w:snapToGrid/>
          <w:szCs w:val="22"/>
        </w:rPr>
        <w:t>, 2004; Wilson, 2005). Data gleaned from pilot testing will be used to fine-tune items and the instrument in preparation for more complex statistical analysis upon large-scale statistical</w:t>
      </w:r>
      <w:r w:rsidRPr="006925B7">
        <w:rPr>
          <w:rFonts w:ascii="Times New Roman" w:hAnsi="Times New Roman"/>
          <w:snapToGrid/>
          <w:spacing w:val="-11"/>
          <w:szCs w:val="22"/>
        </w:rPr>
        <w:t xml:space="preserve"> </w:t>
      </w:r>
      <w:r w:rsidRPr="006925B7">
        <w:rPr>
          <w:rFonts w:ascii="Times New Roman" w:hAnsi="Times New Roman"/>
          <w:snapToGrid/>
          <w:szCs w:val="22"/>
        </w:rPr>
        <w:t>testing.</w:t>
      </w:r>
    </w:p>
    <w:p w:rsidR="00654CAF" w:rsidRPr="006925B7" w:rsidP="00654CAF" w14:paraId="60638546" w14:textId="77777777">
      <w:pPr>
        <w:numPr>
          <w:ilvl w:val="0"/>
          <w:numId w:val="5"/>
        </w:numPr>
        <w:tabs>
          <w:tab w:val="left" w:pos="460"/>
          <w:tab w:val="left" w:pos="461"/>
        </w:tabs>
        <w:autoSpaceDE w:val="0"/>
        <w:autoSpaceDN w:val="0"/>
        <w:spacing w:line="276" w:lineRule="auto"/>
        <w:ind w:right="357"/>
        <w:rPr>
          <w:rFonts w:ascii="Times New Roman" w:hAnsi="Times New Roman"/>
          <w:snapToGrid/>
          <w:szCs w:val="22"/>
        </w:rPr>
      </w:pPr>
      <w:r w:rsidRPr="006925B7">
        <w:rPr>
          <w:rFonts w:ascii="Times New Roman" w:hAnsi="Times New Roman"/>
          <w:snapToGrid/>
          <w:szCs w:val="22"/>
        </w:rPr>
        <w:t>Large-scale statistical testing: Instrument testing conducted with a statistically representative sample of responses from a population of interest. In the case of developing scales, large-scale statistical testing provides sufficient data points for exploratory factor analysis (EFA), a multivariate statistical method used to uncover the underlying structure of a relatively large set of variables and is commonly used when developing a scale, a collection of questions used to measure a particular research</w:t>
      </w:r>
      <w:r w:rsidRPr="006925B7">
        <w:rPr>
          <w:rFonts w:ascii="Times New Roman" w:hAnsi="Times New Roman"/>
          <w:snapToGrid/>
          <w:spacing w:val="-13"/>
          <w:szCs w:val="22"/>
        </w:rPr>
        <w:t xml:space="preserve"> </w:t>
      </w:r>
      <w:r w:rsidRPr="006925B7">
        <w:rPr>
          <w:rFonts w:ascii="Times New Roman" w:hAnsi="Times New Roman"/>
          <w:snapToGrid/>
          <w:szCs w:val="22"/>
        </w:rPr>
        <w:t>topic (</w:t>
      </w:r>
      <w:r w:rsidRPr="006925B7">
        <w:rPr>
          <w:rFonts w:ascii="Times New Roman" w:hAnsi="Times New Roman"/>
          <w:snapToGrid/>
          <w:szCs w:val="22"/>
        </w:rPr>
        <w:t>Fabrigar</w:t>
      </w:r>
      <w:r w:rsidRPr="006925B7">
        <w:rPr>
          <w:rFonts w:ascii="Times New Roman" w:hAnsi="Times New Roman"/>
          <w:snapToGrid/>
          <w:szCs w:val="22"/>
        </w:rPr>
        <w:t xml:space="preserve"> &amp; Wegener, 2011). EFA is a “</w:t>
      </w:r>
      <w:r w:rsidRPr="006925B7">
        <w:rPr>
          <w:rFonts w:ascii="Times New Roman" w:hAnsi="Times New Roman"/>
          <w:snapToGrid/>
          <w:szCs w:val="22"/>
        </w:rPr>
        <w:t>large-sample</w:t>
      </w:r>
      <w:r w:rsidRPr="006925B7">
        <w:rPr>
          <w:rFonts w:ascii="Times New Roman" w:hAnsi="Times New Roman"/>
          <w:snapToGrid/>
          <w:szCs w:val="22"/>
        </w:rPr>
        <w:t xml:space="preserve">” procedure where generalizable and/or replicable results is a desired outcome (Costello &amp; Osborne, 2005, p.5). This technique is particularly relevant to examining relationships between participant traits and the desired outcomes of NASA </w:t>
      </w:r>
      <w:r w:rsidRPr="006925B7">
        <w:rPr>
          <w:rFonts w:ascii="Times New Roman" w:hAnsi="Times New Roman"/>
          <w:snapToGrid/>
          <w:szCs w:val="22"/>
        </w:rPr>
        <w:t>OSTEMproject</w:t>
      </w:r>
      <w:r w:rsidRPr="006925B7">
        <w:rPr>
          <w:rFonts w:ascii="Times New Roman" w:hAnsi="Times New Roman"/>
          <w:snapToGrid/>
          <w:spacing w:val="-10"/>
          <w:szCs w:val="22"/>
        </w:rPr>
        <w:t xml:space="preserve"> </w:t>
      </w:r>
      <w:r w:rsidRPr="006925B7">
        <w:rPr>
          <w:rFonts w:ascii="Times New Roman" w:hAnsi="Times New Roman"/>
          <w:snapToGrid/>
          <w:szCs w:val="22"/>
        </w:rPr>
        <w:t>activities.</w:t>
      </w:r>
    </w:p>
    <w:p w:rsidR="00654CAF" w:rsidRPr="006925B7" w:rsidP="00654CAF" w14:paraId="64FCC44A" w14:textId="77777777">
      <w:pPr>
        <w:numPr>
          <w:ilvl w:val="0"/>
          <w:numId w:val="5"/>
        </w:numPr>
        <w:tabs>
          <w:tab w:val="left" w:pos="460"/>
          <w:tab w:val="left" w:pos="461"/>
        </w:tabs>
        <w:autoSpaceDE w:val="0"/>
        <w:autoSpaceDN w:val="0"/>
        <w:spacing w:line="276" w:lineRule="auto"/>
        <w:ind w:right="109"/>
        <w:rPr>
          <w:rFonts w:ascii="Times New Roman" w:hAnsi="Times New Roman"/>
          <w:snapToGrid/>
          <w:szCs w:val="22"/>
        </w:rPr>
      </w:pPr>
      <w:r w:rsidRPr="006925B7">
        <w:rPr>
          <w:rFonts w:ascii="Times New Roman" w:hAnsi="Times New Roman"/>
          <w:snapToGrid/>
          <w:szCs w:val="22"/>
        </w:rPr>
        <w:t>Item response approach to constructing measures: Foundations for testing that address</w:t>
      </w:r>
      <w:r w:rsidRPr="006925B7">
        <w:rPr>
          <w:rFonts w:ascii="Times New Roman" w:hAnsi="Times New Roman"/>
          <w:snapToGrid/>
          <w:spacing w:val="-17"/>
          <w:szCs w:val="22"/>
        </w:rPr>
        <w:t xml:space="preserve"> </w:t>
      </w:r>
      <w:r w:rsidRPr="006925B7">
        <w:rPr>
          <w:rFonts w:ascii="Times New Roman" w:hAnsi="Times New Roman"/>
          <w:snapToGrid/>
          <w:szCs w:val="22"/>
        </w:rPr>
        <w:t>the importance of item development for validity purposes, address item content to align with cognitive processes of instrument respondents, and that acknowledge guidelines for proper instrument development will be utilized in a systematic and rigorous process (</w:t>
      </w:r>
      <w:r w:rsidRPr="006925B7">
        <w:rPr>
          <w:rFonts w:ascii="Times New Roman" w:hAnsi="Times New Roman"/>
          <w:snapToGrid/>
          <w:szCs w:val="22"/>
        </w:rPr>
        <w:t>DeMars</w:t>
      </w:r>
      <w:r w:rsidRPr="006925B7">
        <w:rPr>
          <w:rFonts w:ascii="Times New Roman" w:hAnsi="Times New Roman"/>
          <w:snapToGrid/>
          <w:szCs w:val="22"/>
        </w:rPr>
        <w:t>, 2010). Validity will be determined as arising from item development, from statistical study of item responses, and from exploring item response patterns via</w:t>
      </w:r>
      <w:r w:rsidRPr="006925B7">
        <w:rPr>
          <w:rFonts w:ascii="Times New Roman" w:hAnsi="Times New Roman"/>
          <w:snapToGrid/>
          <w:spacing w:val="-15"/>
          <w:szCs w:val="22"/>
        </w:rPr>
        <w:t xml:space="preserve"> </w:t>
      </w:r>
      <w:r w:rsidRPr="006925B7">
        <w:rPr>
          <w:rFonts w:ascii="Times New Roman" w:hAnsi="Times New Roman"/>
          <w:snapToGrid/>
          <w:szCs w:val="22"/>
        </w:rPr>
        <w:t xml:space="preserve">methods prescribed by </w:t>
      </w:r>
      <w:r w:rsidRPr="006925B7">
        <w:rPr>
          <w:rFonts w:ascii="Times New Roman" w:hAnsi="Times New Roman"/>
          <w:snapToGrid/>
          <w:szCs w:val="22"/>
        </w:rPr>
        <w:t>Haladyna</w:t>
      </w:r>
      <w:r w:rsidRPr="006925B7">
        <w:rPr>
          <w:rFonts w:ascii="Times New Roman" w:hAnsi="Times New Roman"/>
          <w:snapToGrid/>
          <w:szCs w:val="22"/>
        </w:rPr>
        <w:t xml:space="preserve"> (2004) and Wilson</w:t>
      </w:r>
      <w:r w:rsidRPr="006925B7">
        <w:rPr>
          <w:rFonts w:ascii="Times New Roman" w:hAnsi="Times New Roman"/>
          <w:snapToGrid/>
          <w:spacing w:val="-7"/>
          <w:szCs w:val="22"/>
        </w:rPr>
        <w:t xml:space="preserve"> </w:t>
      </w:r>
      <w:r w:rsidRPr="006925B7">
        <w:rPr>
          <w:rFonts w:ascii="Times New Roman" w:hAnsi="Times New Roman"/>
          <w:snapToGrid/>
          <w:szCs w:val="22"/>
        </w:rPr>
        <w:t>(2005.)</w:t>
      </w:r>
    </w:p>
    <w:p w:rsidR="00654CAF" w:rsidRPr="006925B7" w:rsidP="00654CAF" w14:paraId="5003405F" w14:textId="77777777">
      <w:pPr>
        <w:numPr>
          <w:ilvl w:val="0"/>
          <w:numId w:val="5"/>
        </w:numPr>
        <w:tabs>
          <w:tab w:val="left" w:pos="460"/>
          <w:tab w:val="left" w:pos="461"/>
        </w:tabs>
        <w:autoSpaceDE w:val="0"/>
        <w:autoSpaceDN w:val="0"/>
        <w:spacing w:before="72"/>
        <w:ind w:right="699"/>
        <w:jc w:val="both"/>
        <w:rPr>
          <w:rFonts w:ascii="Times New Roman" w:hAnsi="Times New Roman"/>
          <w:snapToGrid/>
          <w:szCs w:val="24"/>
        </w:rPr>
      </w:pPr>
      <w:r w:rsidRPr="006925B7">
        <w:rPr>
          <w:rFonts w:ascii="Times New Roman" w:hAnsi="Times New Roman"/>
          <w:snapToGrid/>
          <w:szCs w:val="22"/>
        </w:rPr>
        <w:t>Split-half method: This method for determining test reliability is an efficient solution to parallel-forms or test/retest methods. Split-half method does not require developing alternate forms of a survey and it places a reduced burden on respondents in</w:t>
      </w:r>
      <w:r w:rsidRPr="006925B7">
        <w:rPr>
          <w:rFonts w:ascii="Times New Roman" w:hAnsi="Times New Roman"/>
          <w:snapToGrid/>
          <w:spacing w:val="-10"/>
          <w:szCs w:val="22"/>
        </w:rPr>
        <w:t xml:space="preserve"> </w:t>
      </w:r>
      <w:r w:rsidRPr="006925B7">
        <w:rPr>
          <w:rFonts w:ascii="Times New Roman" w:hAnsi="Times New Roman"/>
          <w:snapToGrid/>
          <w:szCs w:val="22"/>
        </w:rPr>
        <w:t xml:space="preserve">comparison to other methods, requiring participation in a single test scenario rather than requiring retesting </w:t>
      </w:r>
      <w:r w:rsidRPr="006925B7">
        <w:rPr>
          <w:rFonts w:ascii="Times New Roman" w:hAnsi="Times New Roman"/>
          <w:snapToGrid/>
          <w:szCs w:val="22"/>
        </w:rPr>
        <w:t>at a later date</w:t>
      </w:r>
      <w:r w:rsidRPr="006925B7">
        <w:rPr>
          <w:rFonts w:ascii="Times New Roman" w:hAnsi="Times New Roman"/>
          <w:snapToGrid/>
          <w:szCs w:val="22"/>
        </w:rPr>
        <w:t>. This method involves administering a test to a group</w:t>
      </w:r>
      <w:r w:rsidRPr="006925B7">
        <w:rPr>
          <w:rFonts w:ascii="Times New Roman" w:hAnsi="Times New Roman"/>
          <w:snapToGrid/>
          <w:spacing w:val="-10"/>
          <w:szCs w:val="22"/>
        </w:rPr>
        <w:t xml:space="preserve"> </w:t>
      </w:r>
      <w:r w:rsidRPr="006925B7">
        <w:rPr>
          <w:rFonts w:ascii="Times New Roman" w:hAnsi="Times New Roman"/>
          <w:snapToGrid/>
          <w:szCs w:val="22"/>
        </w:rPr>
        <w:t>of</w:t>
      </w:r>
      <w:r>
        <w:rPr>
          <w:rFonts w:ascii="Times New Roman" w:hAnsi="Times New Roman"/>
          <w:snapToGrid/>
          <w:szCs w:val="22"/>
        </w:rPr>
        <w:t xml:space="preserve"> </w:t>
      </w:r>
      <w:r w:rsidRPr="006925B7">
        <w:rPr>
          <w:rFonts w:ascii="Times New Roman" w:hAnsi="Times New Roman"/>
          <w:snapToGrid/>
          <w:szCs w:val="24"/>
        </w:rPr>
        <w:t>individuals, dividing the test in half along odd and even item numbers, and then correlating scores on one half of the test with scores on the other half of the test (</w:t>
      </w:r>
      <w:r w:rsidRPr="006925B7">
        <w:rPr>
          <w:rFonts w:ascii="Times New Roman" w:hAnsi="Times New Roman"/>
          <w:snapToGrid/>
          <w:szCs w:val="24"/>
        </w:rPr>
        <w:t>Davidshofer</w:t>
      </w:r>
      <w:r w:rsidRPr="006925B7">
        <w:rPr>
          <w:rFonts w:ascii="Times New Roman" w:hAnsi="Times New Roman"/>
          <w:snapToGrid/>
          <w:szCs w:val="24"/>
        </w:rPr>
        <w:t xml:space="preserve"> &amp; Murphy, 2005).</w:t>
      </w:r>
    </w:p>
    <w:p w:rsidR="00654CAF" w:rsidRPr="006925B7" w:rsidP="00654CAF" w14:paraId="27C94F29" w14:textId="77777777">
      <w:pPr>
        <w:autoSpaceDE w:val="0"/>
        <w:autoSpaceDN w:val="0"/>
        <w:jc w:val="both"/>
        <w:rPr>
          <w:rFonts w:ascii="Times New Roman" w:hAnsi="Times New Roman"/>
          <w:snapToGrid/>
          <w:sz w:val="22"/>
          <w:szCs w:val="22"/>
        </w:rPr>
        <w:sectPr w:rsidSect="00654CAF">
          <w:pgSz w:w="12240" w:h="15840"/>
          <w:pgMar w:top="1360" w:right="1720" w:bottom="1260" w:left="1720" w:header="0" w:footer="1068" w:gutter="0"/>
          <w:cols w:space="720"/>
        </w:sectPr>
      </w:pPr>
    </w:p>
    <w:p w:rsidR="00654CAF" w:rsidP="00654CAF" w14:paraId="70EE98C8" w14:textId="77777777">
      <w:pPr>
        <w:autoSpaceDE w:val="0"/>
        <w:autoSpaceDN w:val="0"/>
        <w:spacing w:before="78"/>
        <w:ind w:left="120"/>
        <w:outlineLvl w:val="0"/>
        <w:rPr>
          <w:rFonts w:ascii="Cambria" w:eastAsia="Cambria" w:hAnsi="Cambria" w:cs="Cambria"/>
          <w:b/>
          <w:bCs/>
          <w:snapToGrid/>
          <w:sz w:val="28"/>
          <w:szCs w:val="28"/>
        </w:rPr>
      </w:pPr>
      <w:bookmarkStart w:id="2" w:name="_bookmark10"/>
      <w:bookmarkEnd w:id="2"/>
    </w:p>
    <w:p w:rsidR="00654CAF" w:rsidRPr="006925B7" w:rsidP="00654CAF" w14:paraId="0C68160A" w14:textId="77777777">
      <w:pPr>
        <w:autoSpaceDE w:val="0"/>
        <w:autoSpaceDN w:val="0"/>
        <w:spacing w:before="78"/>
        <w:ind w:left="120"/>
        <w:outlineLvl w:val="0"/>
        <w:rPr>
          <w:rFonts w:ascii="Cambria" w:eastAsia="Cambria" w:hAnsi="Cambria" w:cs="Cambria"/>
          <w:b/>
          <w:bCs/>
          <w:snapToGrid/>
          <w:sz w:val="28"/>
          <w:szCs w:val="28"/>
        </w:rPr>
      </w:pPr>
      <w:r w:rsidRPr="006925B7">
        <w:rPr>
          <w:rFonts w:ascii="Cambria" w:eastAsia="Cambria" w:hAnsi="Cambria" w:cs="Cambria"/>
          <w:b/>
          <w:bCs/>
          <w:snapToGrid/>
          <w:sz w:val="28"/>
          <w:szCs w:val="28"/>
        </w:rPr>
        <w:t>APPENDIX B: Privacy Policies and Procedures</w:t>
      </w:r>
    </w:p>
    <w:p w:rsidR="00654CAF" w:rsidRPr="006925B7" w:rsidP="00654CAF" w14:paraId="102227F8" w14:textId="77777777">
      <w:pPr>
        <w:numPr>
          <w:ilvl w:val="1"/>
          <w:numId w:val="5"/>
        </w:numPr>
        <w:tabs>
          <w:tab w:val="left" w:pos="840"/>
          <w:tab w:val="left" w:pos="841"/>
        </w:tabs>
        <w:autoSpaceDE w:val="0"/>
        <w:autoSpaceDN w:val="0"/>
        <w:spacing w:before="189" w:line="276" w:lineRule="exact"/>
        <w:ind w:right="209"/>
        <w:rPr>
          <w:rFonts w:ascii="Symbol" w:hAnsi="Symbol"/>
          <w:snapToGrid/>
          <w:sz w:val="20"/>
          <w:szCs w:val="22"/>
        </w:rPr>
      </w:pPr>
      <w:r w:rsidRPr="006925B7">
        <w:rPr>
          <w:rFonts w:ascii="Times New Roman" w:hAnsi="Times New Roman"/>
          <w:snapToGrid/>
          <w:szCs w:val="22"/>
        </w:rPr>
        <w:t xml:space="preserve">Information collected under the purview of this clearance will be maintained in accordance with the Privacy Act of 1974, the e-Government act of 2002, the Federal Records Act, NPR 7100.1, and as applicable, the Freedom of Information Act </w:t>
      </w:r>
      <w:r w:rsidRPr="006925B7">
        <w:rPr>
          <w:rFonts w:ascii="Times New Roman" w:hAnsi="Times New Roman"/>
          <w:snapToGrid/>
          <w:szCs w:val="22"/>
        </w:rPr>
        <w:t>in order</w:t>
      </w:r>
      <w:r w:rsidRPr="006925B7">
        <w:rPr>
          <w:rFonts w:ascii="Times New Roman" w:hAnsi="Times New Roman"/>
          <w:snapToGrid/>
          <w:spacing w:val="-15"/>
          <w:szCs w:val="22"/>
        </w:rPr>
        <w:t xml:space="preserve"> </w:t>
      </w:r>
      <w:r w:rsidRPr="006925B7">
        <w:rPr>
          <w:rFonts w:ascii="Times New Roman" w:hAnsi="Times New Roman"/>
          <w:snapToGrid/>
          <w:szCs w:val="22"/>
        </w:rPr>
        <w:t>to</w:t>
      </w:r>
      <w:r w:rsidRPr="006925B7">
        <w:rPr>
          <w:rFonts w:ascii="Times New Roman" w:hAnsi="Times New Roman"/>
          <w:snapToGrid/>
          <w:szCs w:val="22"/>
        </w:rPr>
        <w:t xml:space="preserve"> protect respondents’ privacy and the confidentiality of the data</w:t>
      </w:r>
      <w:r w:rsidRPr="006925B7">
        <w:rPr>
          <w:rFonts w:ascii="Times New Roman" w:hAnsi="Times New Roman"/>
          <w:snapToGrid/>
          <w:spacing w:val="-7"/>
          <w:szCs w:val="22"/>
        </w:rPr>
        <w:t xml:space="preserve"> </w:t>
      </w:r>
      <w:r w:rsidRPr="006925B7">
        <w:rPr>
          <w:rFonts w:ascii="Times New Roman" w:hAnsi="Times New Roman"/>
          <w:snapToGrid/>
          <w:szCs w:val="22"/>
        </w:rPr>
        <w:t>collected</w:t>
      </w:r>
      <w:r w:rsidRPr="006925B7">
        <w:rPr>
          <w:rFonts w:ascii="Times New Roman" w:hAnsi="Times New Roman"/>
          <w:snapToGrid/>
          <w:position w:val="9"/>
          <w:sz w:val="16"/>
          <w:szCs w:val="22"/>
        </w:rPr>
        <w:t>5</w:t>
      </w:r>
      <w:r w:rsidRPr="006925B7">
        <w:rPr>
          <w:rFonts w:ascii="Times New Roman" w:hAnsi="Times New Roman"/>
          <w:snapToGrid/>
          <w:szCs w:val="22"/>
        </w:rPr>
        <w:t>.</w:t>
      </w:r>
    </w:p>
    <w:p w:rsidR="00654CAF" w:rsidRPr="006925B7" w:rsidP="00654CAF" w14:paraId="096420A0" w14:textId="77777777">
      <w:pPr>
        <w:numPr>
          <w:ilvl w:val="1"/>
          <w:numId w:val="5"/>
        </w:numPr>
        <w:tabs>
          <w:tab w:val="left" w:pos="840"/>
          <w:tab w:val="left" w:pos="841"/>
        </w:tabs>
        <w:autoSpaceDE w:val="0"/>
        <w:autoSpaceDN w:val="0"/>
        <w:ind w:right="569"/>
        <w:rPr>
          <w:rFonts w:ascii="Symbol" w:hAnsi="Times New Roman"/>
          <w:snapToGrid/>
          <w:sz w:val="20"/>
          <w:szCs w:val="22"/>
        </w:rPr>
      </w:pPr>
      <w:r w:rsidRPr="006925B7">
        <w:rPr>
          <w:rFonts w:ascii="Times New Roman" w:hAnsi="Times New Roman"/>
          <w:snapToGrid/>
          <w:szCs w:val="22"/>
        </w:rPr>
        <w:t>Data is maintained on secure NASA servers and protected in accordance with</w:t>
      </w:r>
      <w:r w:rsidRPr="006925B7">
        <w:rPr>
          <w:rFonts w:ascii="Times New Roman" w:hAnsi="Times New Roman"/>
          <w:snapToGrid/>
          <w:spacing w:val="-12"/>
          <w:szCs w:val="22"/>
        </w:rPr>
        <w:t xml:space="preserve"> </w:t>
      </w:r>
      <w:r w:rsidRPr="006925B7">
        <w:rPr>
          <w:rFonts w:ascii="Times New Roman" w:hAnsi="Times New Roman"/>
          <w:snapToGrid/>
          <w:szCs w:val="22"/>
        </w:rPr>
        <w:t>NASA regulations at 14 CFR</w:t>
      </w:r>
      <w:r w:rsidRPr="006925B7">
        <w:rPr>
          <w:rFonts w:ascii="Times New Roman" w:hAnsi="Times New Roman"/>
          <w:snapToGrid/>
          <w:spacing w:val="-4"/>
          <w:szCs w:val="22"/>
        </w:rPr>
        <w:t xml:space="preserve"> </w:t>
      </w:r>
      <w:r w:rsidRPr="006925B7">
        <w:rPr>
          <w:rFonts w:ascii="Times New Roman" w:hAnsi="Times New Roman"/>
          <w:snapToGrid/>
          <w:szCs w:val="22"/>
        </w:rPr>
        <w:t>1212.605.</w:t>
      </w:r>
    </w:p>
    <w:p w:rsidR="00654CAF" w:rsidRPr="006925B7" w:rsidP="00654CAF" w14:paraId="61445132" w14:textId="77777777">
      <w:pPr>
        <w:numPr>
          <w:ilvl w:val="1"/>
          <w:numId w:val="5"/>
        </w:numPr>
        <w:tabs>
          <w:tab w:val="left" w:pos="840"/>
          <w:tab w:val="left" w:pos="841"/>
        </w:tabs>
        <w:autoSpaceDE w:val="0"/>
        <w:autoSpaceDN w:val="0"/>
        <w:spacing w:before="3"/>
        <w:ind w:right="743"/>
        <w:rPr>
          <w:rFonts w:ascii="Symbol" w:hAnsi="Times New Roman"/>
          <w:snapToGrid/>
          <w:sz w:val="20"/>
          <w:szCs w:val="22"/>
        </w:rPr>
      </w:pPr>
      <w:r w:rsidRPr="006925B7">
        <w:rPr>
          <w:rFonts w:ascii="Times New Roman" w:hAnsi="Times New Roman"/>
          <w:snapToGrid/>
          <w:szCs w:val="22"/>
        </w:rPr>
        <w:t xml:space="preserve">Approved security plans are in place for the NASA STEM Gateway system in accordance with the Federal Information Security Management Act of 2002 and Office of Management and Budget, Circular A-130, </w:t>
      </w:r>
      <w:r w:rsidRPr="006925B7">
        <w:rPr>
          <w:rFonts w:ascii="Times New Roman" w:hAnsi="Times New Roman"/>
          <w:i/>
          <w:snapToGrid/>
          <w:szCs w:val="22"/>
        </w:rPr>
        <w:t>Management of Federal Information</w:t>
      </w:r>
      <w:r w:rsidRPr="006925B7">
        <w:rPr>
          <w:rFonts w:ascii="Times New Roman" w:hAnsi="Times New Roman"/>
          <w:i/>
          <w:snapToGrid/>
          <w:spacing w:val="-8"/>
          <w:szCs w:val="22"/>
        </w:rPr>
        <w:t xml:space="preserve"> </w:t>
      </w:r>
      <w:r w:rsidRPr="006925B7">
        <w:rPr>
          <w:rFonts w:ascii="Times New Roman" w:hAnsi="Times New Roman"/>
          <w:i/>
          <w:snapToGrid/>
          <w:szCs w:val="22"/>
        </w:rPr>
        <w:t>Resources</w:t>
      </w:r>
      <w:r w:rsidRPr="006925B7">
        <w:rPr>
          <w:rFonts w:ascii="Times New Roman" w:hAnsi="Times New Roman"/>
          <w:snapToGrid/>
          <w:szCs w:val="22"/>
        </w:rPr>
        <w:t>.</w:t>
      </w:r>
    </w:p>
    <w:p w:rsidR="00654CAF" w:rsidRPr="006925B7" w:rsidP="00654CAF" w14:paraId="14EBD86A" w14:textId="77777777">
      <w:pPr>
        <w:numPr>
          <w:ilvl w:val="1"/>
          <w:numId w:val="5"/>
        </w:numPr>
        <w:tabs>
          <w:tab w:val="left" w:pos="840"/>
          <w:tab w:val="left" w:pos="841"/>
        </w:tabs>
        <w:autoSpaceDE w:val="0"/>
        <w:autoSpaceDN w:val="0"/>
        <w:spacing w:before="2" w:line="276" w:lineRule="auto"/>
        <w:ind w:right="335"/>
        <w:rPr>
          <w:rFonts w:ascii="Symbol" w:hAnsi="Times New Roman"/>
          <w:snapToGrid/>
          <w:sz w:val="20"/>
          <w:szCs w:val="22"/>
        </w:rPr>
      </w:pPr>
      <w:r w:rsidRPr="006925B7">
        <w:rPr>
          <w:rFonts w:ascii="Times New Roman" w:hAnsi="Times New Roman"/>
          <w:snapToGrid/>
          <w:szCs w:val="22"/>
        </w:rPr>
        <w:t>Only authorized personnel requiring information in the official discharge of their</w:t>
      </w:r>
      <w:r w:rsidRPr="006925B7">
        <w:rPr>
          <w:rFonts w:ascii="Times New Roman" w:hAnsi="Times New Roman"/>
          <w:snapToGrid/>
          <w:spacing w:val="-14"/>
          <w:szCs w:val="22"/>
        </w:rPr>
        <w:t xml:space="preserve"> </w:t>
      </w:r>
      <w:r w:rsidRPr="006925B7">
        <w:rPr>
          <w:rFonts w:ascii="Times New Roman" w:hAnsi="Times New Roman"/>
          <w:snapToGrid/>
          <w:szCs w:val="22"/>
        </w:rPr>
        <w:t>duties are authorized access to records from workstations within the NASA Intranet or via a secure Virtual Private Network (VPN) connection that requires two-factor hardware token</w:t>
      </w:r>
      <w:r w:rsidRPr="006925B7">
        <w:rPr>
          <w:rFonts w:ascii="Times New Roman" w:hAnsi="Times New Roman"/>
          <w:snapToGrid/>
          <w:spacing w:val="-5"/>
          <w:szCs w:val="22"/>
        </w:rPr>
        <w:t xml:space="preserve"> </w:t>
      </w:r>
      <w:r w:rsidRPr="006925B7">
        <w:rPr>
          <w:rFonts w:ascii="Times New Roman" w:hAnsi="Times New Roman"/>
          <w:snapToGrid/>
          <w:szCs w:val="22"/>
        </w:rPr>
        <w:t>authentication.</w:t>
      </w:r>
    </w:p>
    <w:p w:rsidR="00654CAF" w:rsidRPr="006925B7" w:rsidP="00654CAF" w14:paraId="36DA078A" w14:textId="77777777">
      <w:pPr>
        <w:numPr>
          <w:ilvl w:val="1"/>
          <w:numId w:val="5"/>
        </w:numPr>
        <w:tabs>
          <w:tab w:val="left" w:pos="840"/>
          <w:tab w:val="left" w:pos="841"/>
        </w:tabs>
        <w:autoSpaceDE w:val="0"/>
        <w:autoSpaceDN w:val="0"/>
        <w:spacing w:before="3" w:line="276" w:lineRule="auto"/>
        <w:ind w:right="157"/>
        <w:rPr>
          <w:rFonts w:ascii="Symbol" w:hAnsi="Symbol"/>
          <w:snapToGrid/>
          <w:sz w:val="20"/>
          <w:szCs w:val="22"/>
        </w:rPr>
      </w:pPr>
      <w:r w:rsidRPr="006925B7">
        <w:rPr>
          <w:rFonts w:ascii="Times New Roman" w:hAnsi="Times New Roman"/>
          <w:snapToGrid/>
          <w:szCs w:val="22"/>
        </w:rPr>
        <w:t>NASA STEM Gateway resides in a certified NASA data center and has met strict requirements relating</w:t>
      </w:r>
      <w:r w:rsidRPr="006925B7">
        <w:rPr>
          <w:rFonts w:ascii="Times New Roman" w:hAnsi="Times New Roman"/>
          <w:snapToGrid/>
          <w:spacing w:val="-16"/>
          <w:szCs w:val="22"/>
        </w:rPr>
        <w:t xml:space="preserve"> </w:t>
      </w:r>
      <w:r w:rsidRPr="006925B7">
        <w:rPr>
          <w:rFonts w:ascii="Times New Roman" w:hAnsi="Times New Roman"/>
          <w:snapToGrid/>
          <w:szCs w:val="22"/>
        </w:rPr>
        <w:t>to application security, network security, and backup/recovery of the NASA Office of the Chief Information Officer’s security</w:t>
      </w:r>
      <w:r w:rsidRPr="006925B7">
        <w:rPr>
          <w:rFonts w:ascii="Times New Roman" w:hAnsi="Times New Roman"/>
          <w:snapToGrid/>
          <w:spacing w:val="-11"/>
          <w:szCs w:val="22"/>
        </w:rPr>
        <w:t xml:space="preserve"> </w:t>
      </w:r>
      <w:r w:rsidRPr="006925B7">
        <w:rPr>
          <w:rFonts w:ascii="Times New Roman" w:hAnsi="Times New Roman"/>
          <w:snapToGrid/>
          <w:szCs w:val="22"/>
        </w:rPr>
        <w:t>plan.</w:t>
      </w:r>
    </w:p>
    <w:p w:rsidR="00654CAF" w:rsidRPr="006925B7" w:rsidP="00654CAF" w14:paraId="65601957" w14:textId="77777777">
      <w:pPr>
        <w:tabs>
          <w:tab w:val="left" w:pos="840"/>
          <w:tab w:val="left" w:pos="841"/>
        </w:tabs>
        <w:autoSpaceDE w:val="0"/>
        <w:autoSpaceDN w:val="0"/>
        <w:ind w:left="840" w:right="153"/>
        <w:rPr>
          <w:rFonts w:ascii="Symbol" w:hAnsi="Times New Roman"/>
          <w:snapToGrid/>
          <w:szCs w:val="22"/>
        </w:rPr>
      </w:pPr>
      <w:r w:rsidRPr="006925B7">
        <w:rPr>
          <w:rFonts w:ascii="Times New Roman" w:hAnsi="Times New Roman"/>
          <w:snapToGrid/>
          <w:szCs w:val="22"/>
        </w:rPr>
        <w:t>Data will be secured and removed from this server and location upon guidelines set out by the NRRS/1392, 68-69. Specific guidelines relevant to the OPEM system include the following:</w:t>
      </w:r>
    </w:p>
    <w:p w:rsidR="00654CAF" w:rsidRPr="006925B7" w:rsidP="00654CAF" w14:paraId="32B90123" w14:textId="77777777">
      <w:pPr>
        <w:numPr>
          <w:ilvl w:val="2"/>
          <w:numId w:val="5"/>
        </w:numPr>
        <w:tabs>
          <w:tab w:val="left" w:pos="1561"/>
        </w:tabs>
        <w:autoSpaceDE w:val="0"/>
        <w:autoSpaceDN w:val="0"/>
        <w:spacing w:before="4" w:line="235" w:lineRule="auto"/>
        <w:ind w:right="139"/>
        <w:rPr>
          <w:rFonts w:ascii="Times New Roman" w:hAnsi="Times New Roman"/>
          <w:snapToGrid/>
          <w:szCs w:val="22"/>
        </w:rPr>
      </w:pPr>
      <w:r w:rsidRPr="006925B7">
        <w:rPr>
          <w:rFonts w:ascii="Times New Roman" w:hAnsi="Times New Roman"/>
          <w:snapToGrid/>
          <w:szCs w:val="22"/>
        </w:rPr>
        <w:t>Project management records documenting basic information about projects and/or opportunities, including basic project descriptions, funding amounts and sources, project managers, and NASA Centers, will be destroyed when 10 years old or when no longer needed, whichever is</w:t>
      </w:r>
      <w:r w:rsidRPr="006925B7">
        <w:rPr>
          <w:rFonts w:ascii="Times New Roman" w:hAnsi="Times New Roman"/>
          <w:snapToGrid/>
          <w:spacing w:val="-7"/>
          <w:szCs w:val="22"/>
        </w:rPr>
        <w:t xml:space="preserve"> </w:t>
      </w:r>
      <w:r w:rsidRPr="006925B7">
        <w:rPr>
          <w:rFonts w:ascii="Times New Roman" w:hAnsi="Times New Roman"/>
          <w:snapToGrid/>
          <w:szCs w:val="22"/>
        </w:rPr>
        <w:t>longer.</w:t>
      </w:r>
    </w:p>
    <w:p w:rsidR="00654CAF" w:rsidRPr="006925B7" w:rsidP="00654CAF" w14:paraId="7E6D7015" w14:textId="77777777">
      <w:pPr>
        <w:autoSpaceDE w:val="0"/>
        <w:autoSpaceDN w:val="0"/>
        <w:spacing w:before="5"/>
        <w:ind w:left="820"/>
        <w:rPr>
          <w:rFonts w:ascii="Times New Roman" w:hAnsi="Times New Roman"/>
          <w:snapToGrid/>
          <w:szCs w:val="24"/>
        </w:rPr>
      </w:pPr>
    </w:p>
    <w:p w:rsidR="00654CAF" w:rsidRPr="006925B7" w:rsidP="00654CAF" w14:paraId="4771C3B3" w14:textId="77777777">
      <w:pPr>
        <w:numPr>
          <w:ilvl w:val="2"/>
          <w:numId w:val="5"/>
        </w:numPr>
        <w:tabs>
          <w:tab w:val="left" w:pos="1561"/>
        </w:tabs>
        <w:autoSpaceDE w:val="0"/>
        <w:autoSpaceDN w:val="0"/>
        <w:spacing w:line="235" w:lineRule="auto"/>
        <w:ind w:right="114"/>
        <w:rPr>
          <w:rFonts w:ascii="Times New Roman" w:hAnsi="Times New Roman"/>
          <w:snapToGrid/>
          <w:szCs w:val="22"/>
        </w:rPr>
      </w:pPr>
      <w:r w:rsidRPr="006925B7">
        <w:rPr>
          <w:rFonts w:ascii="Times New Roman" w:hAnsi="Times New Roman"/>
          <w:snapToGrid/>
          <w:szCs w:val="22"/>
        </w:rPr>
        <w:t>Records of participants (in any format),</w:t>
      </w:r>
      <w:r w:rsidRPr="006925B7">
        <w:rPr>
          <w:rFonts w:ascii="Times New Roman" w:hAnsi="Times New Roman"/>
          <w:snapToGrid/>
          <w:szCs w:val="22"/>
        </w:rPr>
        <w:t xml:space="preserve"> maintained either as individual files identified by individual name or number, or in aggregated files of multiple participants identified by name or number, including but not limited to</w:t>
      </w:r>
      <w:r w:rsidRPr="006925B7">
        <w:rPr>
          <w:rFonts w:ascii="Times New Roman" w:hAnsi="Times New Roman"/>
          <w:snapToGrid/>
          <w:spacing w:val="-15"/>
          <w:szCs w:val="22"/>
        </w:rPr>
        <w:t xml:space="preserve"> </w:t>
      </w:r>
      <w:r w:rsidRPr="006925B7">
        <w:rPr>
          <w:rFonts w:ascii="Times New Roman" w:hAnsi="Times New Roman"/>
          <w:snapToGrid/>
          <w:szCs w:val="22"/>
        </w:rPr>
        <w:t>application forms, personal information supplied by the individuals, will be destroyed 5 years after the last activity with the</w:t>
      </w:r>
      <w:r w:rsidRPr="006925B7">
        <w:rPr>
          <w:rFonts w:ascii="Times New Roman" w:hAnsi="Times New Roman"/>
          <w:snapToGrid/>
          <w:spacing w:val="-9"/>
          <w:szCs w:val="22"/>
        </w:rPr>
        <w:t xml:space="preserve"> </w:t>
      </w:r>
      <w:r w:rsidRPr="006925B7">
        <w:rPr>
          <w:rFonts w:ascii="Times New Roman" w:hAnsi="Times New Roman"/>
          <w:snapToGrid/>
          <w:szCs w:val="22"/>
        </w:rPr>
        <w:t>file.</w:t>
      </w:r>
    </w:p>
    <w:p w:rsidR="00654CAF" w:rsidRPr="006925B7" w:rsidP="00654CAF" w14:paraId="726D7D6B" w14:textId="77777777">
      <w:pPr>
        <w:autoSpaceDE w:val="0"/>
        <w:autoSpaceDN w:val="0"/>
        <w:spacing w:before="2"/>
        <w:ind w:left="820"/>
        <w:rPr>
          <w:rFonts w:ascii="Times New Roman" w:hAnsi="Times New Roman"/>
          <w:snapToGrid/>
          <w:sz w:val="28"/>
          <w:szCs w:val="24"/>
        </w:rPr>
      </w:pPr>
    </w:p>
    <w:p w:rsidR="00654CAF" w:rsidRPr="006925B7" w:rsidP="00654CAF" w14:paraId="6D717871" w14:textId="77777777">
      <w:pPr>
        <w:numPr>
          <w:ilvl w:val="2"/>
          <w:numId w:val="5"/>
        </w:numPr>
        <w:tabs>
          <w:tab w:val="left" w:pos="1561"/>
        </w:tabs>
        <w:autoSpaceDE w:val="0"/>
        <w:autoSpaceDN w:val="0"/>
        <w:spacing w:line="235" w:lineRule="auto"/>
        <w:ind w:right="111"/>
        <w:rPr>
          <w:rFonts w:ascii="Times New Roman" w:hAnsi="Times New Roman"/>
          <w:snapToGrid/>
          <w:szCs w:val="22"/>
        </w:rPr>
      </w:pPr>
      <w:r w:rsidRPr="006925B7">
        <w:rPr>
          <w:rFonts w:ascii="Times New Roman" w:hAnsi="Times New Roman"/>
          <w:snapToGrid/>
          <w:szCs w:val="22"/>
        </w:rPr>
        <w:t>Survey responses and other feedback (in any format) from project participants</w:t>
      </w:r>
      <w:r w:rsidRPr="006925B7">
        <w:rPr>
          <w:rFonts w:ascii="Times New Roman" w:hAnsi="Times New Roman"/>
          <w:snapToGrid/>
          <w:spacing w:val="-16"/>
          <w:szCs w:val="22"/>
        </w:rPr>
        <w:t xml:space="preserve"> </w:t>
      </w:r>
      <w:r w:rsidRPr="006925B7">
        <w:rPr>
          <w:rFonts w:ascii="Times New Roman" w:hAnsi="Times New Roman"/>
          <w:snapToGrid/>
          <w:szCs w:val="22"/>
        </w:rPr>
        <w:t xml:space="preserve">and the </w:t>
      </w:r>
      <w:r w:rsidRPr="006925B7">
        <w:rPr>
          <w:rFonts w:ascii="Times New Roman" w:hAnsi="Times New Roman"/>
          <w:snapToGrid/>
          <w:szCs w:val="22"/>
        </w:rPr>
        <w:t>general public</w:t>
      </w:r>
      <w:r w:rsidRPr="006925B7">
        <w:rPr>
          <w:rFonts w:ascii="Times New Roman" w:hAnsi="Times New Roman"/>
          <w:snapToGrid/>
          <w:szCs w:val="22"/>
        </w:rPr>
        <w:t xml:space="preserve"> concerning NASA educational programs, including interest area preferences, participant feedback, and reports of experiences in projects, will be destroyed when 10 years old or when no longer needed, whichever is</w:t>
      </w:r>
      <w:r w:rsidRPr="006925B7">
        <w:rPr>
          <w:rFonts w:ascii="Times New Roman" w:hAnsi="Times New Roman"/>
          <w:snapToGrid/>
          <w:spacing w:val="-10"/>
          <w:szCs w:val="22"/>
        </w:rPr>
        <w:t xml:space="preserve"> </w:t>
      </w:r>
      <w:r w:rsidRPr="006925B7">
        <w:rPr>
          <w:rFonts w:ascii="Times New Roman" w:hAnsi="Times New Roman"/>
          <w:snapToGrid/>
          <w:szCs w:val="22"/>
        </w:rPr>
        <w:t>longer.</w:t>
      </w:r>
    </w:p>
    <w:p w:rsidR="00654CAF" w:rsidRPr="006925B7" w:rsidP="00654CAF" w14:paraId="35266995" w14:textId="77777777">
      <w:pPr>
        <w:autoSpaceDE w:val="0"/>
        <w:autoSpaceDN w:val="0"/>
        <w:spacing w:before="6"/>
        <w:ind w:left="720"/>
        <w:rPr>
          <w:rFonts w:ascii="Times New Roman" w:hAnsi="Times New Roman"/>
          <w:snapToGrid/>
          <w:sz w:val="25"/>
          <w:szCs w:val="24"/>
        </w:rPr>
      </w:pPr>
      <w:r w:rsidRPr="006925B7">
        <w:rPr>
          <w:rFonts w:ascii="Times New Roman" w:hAnsi="Times New Roman"/>
          <w:noProof/>
          <w:snapToGrid/>
          <w:szCs w:val="24"/>
        </w:rPr>
        <mc:AlternateContent>
          <mc:Choice Requires="wps">
            <w:drawing>
              <wp:anchor distT="0" distB="0" distL="0" distR="0" simplePos="0" relativeHeight="251662336" behindDoc="0" locked="0" layoutInCell="1" allowOverlap="1">
                <wp:simplePos x="0" y="0"/>
                <wp:positionH relativeFrom="page">
                  <wp:posOffset>-69215</wp:posOffset>
                </wp:positionH>
                <wp:positionV relativeFrom="paragraph">
                  <wp:posOffset>164465</wp:posOffset>
                </wp:positionV>
                <wp:extent cx="1829435" cy="0"/>
                <wp:effectExtent l="9525" t="5715" r="8890" b="13335"/>
                <wp:wrapTopAndBottom/>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position-horizontal-relative:page;mso-width-percent:0;mso-width-relative:page;mso-wrap-distance-bottom:0;mso-wrap-distance-left:0;mso-wrap-distance-right:0;mso-wrap-distance-top:0;mso-wrap-style:square;position:absolute;visibility:visible;z-index:251663360" from="-5.45pt,12.95pt" to="138.6pt,12.95pt" strokeweight="0.6pt">
                <w10:wrap type="topAndBottom"/>
              </v:line>
            </w:pict>
          </mc:Fallback>
        </mc:AlternateContent>
      </w:r>
    </w:p>
    <w:p w:rsidR="00654CAF" w:rsidRPr="006925B7" w:rsidP="00654CAF" w14:paraId="1DAD4D93" w14:textId="77777777">
      <w:pPr>
        <w:autoSpaceDE w:val="0"/>
        <w:autoSpaceDN w:val="0"/>
        <w:spacing w:before="70"/>
        <w:ind w:left="120"/>
        <w:rPr>
          <w:rFonts w:ascii="Times New Roman" w:hAnsi="Times New Roman"/>
          <w:snapToGrid/>
          <w:sz w:val="20"/>
          <w:szCs w:val="22"/>
        </w:rPr>
      </w:pPr>
      <w:r w:rsidRPr="006925B7">
        <w:rPr>
          <w:rFonts w:ascii="Times New Roman" w:hAnsi="Times New Roman"/>
          <w:snapToGrid/>
          <w:position w:val="7"/>
          <w:sz w:val="13"/>
          <w:szCs w:val="22"/>
        </w:rPr>
        <w:t xml:space="preserve">5 </w:t>
      </w:r>
      <w:hyperlink r:id="rId5">
        <w:r w:rsidRPr="006925B7">
          <w:rPr>
            <w:rFonts w:ascii="Times New Roman" w:hAnsi="Times New Roman"/>
            <w:snapToGrid/>
            <w:sz w:val="20"/>
            <w:szCs w:val="22"/>
          </w:rPr>
          <w:t>http://www.nasa.gov/privacy/nasa_sorn_10EDUA.html</w:t>
        </w:r>
      </w:hyperlink>
    </w:p>
    <w:p w:rsidR="00654CAF" w:rsidP="00654CAF" w14:paraId="1C85CF14" w14:textId="77777777">
      <w:pPr>
        <w:autoSpaceDE w:val="0"/>
        <w:autoSpaceDN w:val="0"/>
        <w:rPr>
          <w:rFonts w:ascii="Times New Roman" w:hAnsi="Times New Roman"/>
          <w:snapToGrid/>
          <w:sz w:val="20"/>
          <w:szCs w:val="22"/>
        </w:rPr>
      </w:pPr>
    </w:p>
    <w:p w:rsidR="00654CAF" w:rsidRPr="006925B7" w:rsidP="00654CAF" w14:paraId="54660177" w14:textId="77777777">
      <w:pPr>
        <w:autoSpaceDE w:val="0"/>
        <w:autoSpaceDN w:val="0"/>
        <w:rPr>
          <w:rFonts w:ascii="Times New Roman" w:hAnsi="Times New Roman"/>
          <w:snapToGrid/>
          <w:sz w:val="20"/>
          <w:szCs w:val="22"/>
        </w:rPr>
        <w:sectPr w:rsidSect="00654CAF">
          <w:pgSz w:w="12240" w:h="15840"/>
          <w:pgMar w:top="1360" w:right="1340" w:bottom="1260" w:left="1320" w:header="0" w:footer="1068" w:gutter="0"/>
          <w:cols w:space="720"/>
        </w:sectPr>
      </w:pPr>
    </w:p>
    <w:p w:rsidR="00654CAF" w:rsidRPr="006925B7" w:rsidP="00654CAF" w14:paraId="68530BD8" w14:textId="77777777">
      <w:pPr>
        <w:autoSpaceDE w:val="0"/>
        <w:autoSpaceDN w:val="0"/>
        <w:spacing w:before="72"/>
        <w:ind w:left="100" w:right="318"/>
        <w:jc w:val="both"/>
        <w:rPr>
          <w:rFonts w:ascii="Times New Roman" w:hAnsi="Times New Roman"/>
          <w:snapToGrid/>
          <w:szCs w:val="24"/>
        </w:rPr>
      </w:pPr>
      <w:r w:rsidRPr="006925B7">
        <w:rPr>
          <w:rFonts w:ascii="Times New Roman" w:hAnsi="Times New Roman"/>
          <w:snapToGrid/>
          <w:szCs w:val="24"/>
        </w:rPr>
        <w:t>The following Confidentiality Statement and Paperwork Reduction Act (PRA) statement, edited per data collection source, will be posted on all data collection screens and instruments, and will be provided to participants in methodological testing activities per NPR 7100.1:</w:t>
      </w:r>
    </w:p>
    <w:p w:rsidR="00654CAF" w:rsidRPr="006925B7" w:rsidP="00654CAF" w14:paraId="54FA4099" w14:textId="77777777">
      <w:pPr>
        <w:autoSpaceDE w:val="0"/>
        <w:autoSpaceDN w:val="0"/>
        <w:spacing w:before="3"/>
        <w:ind w:left="820"/>
        <w:rPr>
          <w:rFonts w:ascii="Times New Roman" w:hAnsi="Times New Roman"/>
          <w:snapToGrid/>
          <w:szCs w:val="24"/>
        </w:rPr>
      </w:pPr>
    </w:p>
    <w:p w:rsidR="00654CAF" w:rsidRPr="006925B7" w:rsidP="00654CAF" w14:paraId="1F8D1356" w14:textId="77777777">
      <w:pPr>
        <w:autoSpaceDE w:val="0"/>
        <w:autoSpaceDN w:val="0"/>
        <w:spacing w:before="1" w:line="276" w:lineRule="auto"/>
        <w:ind w:right="106"/>
        <w:rPr>
          <w:rFonts w:ascii="Times New Roman" w:hAnsi="Times New Roman"/>
          <w:snapToGrid/>
          <w:sz w:val="20"/>
          <w:szCs w:val="22"/>
        </w:rPr>
      </w:pPr>
    </w:p>
    <w:p w:rsidR="00654CAF" w:rsidRPr="006925B7" w:rsidP="00654CAF" w14:paraId="022B9759" w14:textId="77777777">
      <w:pPr>
        <w:autoSpaceDE w:val="0"/>
        <w:autoSpaceDN w:val="0"/>
        <w:spacing w:before="1" w:line="276" w:lineRule="auto"/>
        <w:ind w:left="820" w:right="106"/>
        <w:rPr>
          <w:rFonts w:ascii="Times New Roman" w:hAnsi="Times New Roman"/>
          <w:snapToGrid/>
          <w:sz w:val="20"/>
          <w:szCs w:val="22"/>
        </w:rPr>
      </w:pPr>
      <w:r w:rsidRPr="006925B7">
        <w:rPr>
          <w:rFonts w:ascii="Times New Roman" w:hAnsi="Times New Roman"/>
          <w:snapToGrid/>
          <w:sz w:val="20"/>
          <w:szCs w:val="22"/>
        </w:rPr>
        <w:t>Privacy Act Statement: In accordance with the Privacy Act of 1974, as amended (5 U.S.C. 552a), you are hereby notified that this study is sponsored by the National Aeronautics and Space Administration (NASA) Office of Education, under authority of the Government Performance and Results Modernization Act (GPRMA) of 2010 that requires quarterly performance assessment of Government programs for purposes of assessing agency performance and improvement. Your participation is important to the success of this study. The information we collect will help us improve the nature of NASA</w:t>
      </w:r>
      <w:r w:rsidRPr="006925B7">
        <w:rPr>
          <w:rFonts w:ascii="Times New Roman" w:hAnsi="Times New Roman"/>
          <w:snapToGrid/>
          <w:spacing w:val="-30"/>
          <w:sz w:val="20"/>
          <w:szCs w:val="22"/>
        </w:rPr>
        <w:t xml:space="preserve"> </w:t>
      </w:r>
      <w:r w:rsidRPr="006925B7">
        <w:rPr>
          <w:rFonts w:ascii="Times New Roman" w:hAnsi="Times New Roman"/>
          <w:snapToGrid/>
          <w:sz w:val="20"/>
          <w:szCs w:val="22"/>
        </w:rPr>
        <w:t xml:space="preserve">education project activities and the accuracy with which NASA Office of Education can report to the stakeholders about the project activities offered. </w:t>
      </w:r>
    </w:p>
    <w:p w:rsidR="00654CAF" w:rsidRPr="006925B7" w:rsidP="00654CAF" w14:paraId="5D59E149" w14:textId="77777777">
      <w:pPr>
        <w:autoSpaceDE w:val="0"/>
        <w:autoSpaceDN w:val="0"/>
        <w:spacing w:before="1" w:line="276" w:lineRule="auto"/>
        <w:ind w:left="820" w:right="106"/>
        <w:rPr>
          <w:rFonts w:ascii="Times New Roman" w:hAnsi="Times New Roman"/>
          <w:snapToGrid/>
          <w:sz w:val="20"/>
          <w:szCs w:val="22"/>
        </w:rPr>
      </w:pPr>
    </w:p>
    <w:p w:rsidR="00654CAF" w:rsidRPr="006925B7" w:rsidP="00654CAF" w14:paraId="5C2490F3" w14:textId="77777777">
      <w:pPr>
        <w:autoSpaceDE w:val="0"/>
        <w:autoSpaceDN w:val="0"/>
        <w:spacing w:before="1" w:line="276" w:lineRule="auto"/>
        <w:ind w:left="820" w:right="106"/>
        <w:rPr>
          <w:rFonts w:ascii="Times New Roman" w:hAnsi="Times New Roman"/>
          <w:snapToGrid/>
          <w:sz w:val="20"/>
          <w:szCs w:val="22"/>
        </w:rPr>
      </w:pPr>
      <w:r w:rsidRPr="006925B7">
        <w:rPr>
          <w:rFonts w:ascii="Times New Roman" w:hAnsi="Times New Roman"/>
          <w:snapToGrid/>
          <w:sz w:val="20"/>
          <w:szCs w:val="22"/>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(OMB) control number. The OMB control number for this collection is 2700-0159 and expires 09/30/2024. Send comments to: </w:t>
      </w:r>
      <w:hyperlink r:id="rId7" w:history="1">
        <w:r w:rsidRPr="006925B7">
          <w:rPr>
            <w:rFonts w:ascii="Times New Roman" w:hAnsi="Times New Roman"/>
            <w:snapToGrid/>
            <w:color w:val="0000FF"/>
            <w:sz w:val="20"/>
            <w:szCs w:val="22"/>
            <w:u w:val="single"/>
          </w:rPr>
          <w:t>richard.l.gilmore@nasa.gov</w:t>
        </w:r>
      </w:hyperlink>
      <w:r w:rsidRPr="006925B7">
        <w:rPr>
          <w:rFonts w:ascii="Times New Roman" w:hAnsi="Times New Roman"/>
          <w:snapToGrid/>
          <w:sz w:val="20"/>
          <w:szCs w:val="22"/>
        </w:rPr>
        <w:t>.</w:t>
      </w:r>
    </w:p>
    <w:p w:rsidR="00654CAF" w:rsidRPr="006925B7" w:rsidP="00654CAF" w14:paraId="01D9AC8C" w14:textId="77777777">
      <w:pPr>
        <w:autoSpaceDE w:val="0"/>
        <w:autoSpaceDN w:val="0"/>
        <w:spacing w:line="276" w:lineRule="auto"/>
        <w:rPr>
          <w:rFonts w:ascii="Times New Roman" w:hAnsi="Times New Roman"/>
          <w:snapToGrid/>
          <w:sz w:val="20"/>
          <w:szCs w:val="22"/>
        </w:rPr>
      </w:pPr>
    </w:p>
    <w:p w:rsidR="00654CAF" w:rsidRPr="006925B7" w:rsidP="00654CAF" w14:paraId="16BD2A6A" w14:textId="77777777">
      <w:pPr>
        <w:autoSpaceDE w:val="0"/>
        <w:autoSpaceDN w:val="0"/>
        <w:spacing w:line="276" w:lineRule="auto"/>
        <w:rPr>
          <w:rFonts w:ascii="Times New Roman" w:hAnsi="Times New Roman"/>
          <w:snapToGrid/>
          <w:sz w:val="20"/>
          <w:szCs w:val="22"/>
        </w:rPr>
      </w:pPr>
    </w:p>
    <w:p w:rsidR="00654CAF" w:rsidRPr="008E2AA5" w:rsidP="00654CAF" w14:paraId="7210D6C9" w14:textId="77777777">
      <w:pPr>
        <w:rPr>
          <w:rFonts w:ascii="Times New Roman" w:hAnsi="Times New Roman"/>
          <w:b/>
          <w:szCs w:val="24"/>
        </w:rPr>
      </w:pPr>
    </w:p>
    <w:p w:rsidR="00DF79C6" w14:paraId="0277B07E" w14:textId="77777777"/>
    <w:sectPr w:rsidSect="00654CAF">
      <w:footerReference w:type="default" r:id="rId8"/>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8518768"/>
      <w:docPartObj>
        <w:docPartGallery w:val="Page Numbers (Bottom of Page)"/>
        <w:docPartUnique/>
      </w:docPartObj>
    </w:sdtPr>
    <w:sdtEndPr>
      <w:rPr>
        <w:noProof/>
      </w:rPr>
    </w:sdtEndPr>
    <w:sdtContent>
      <w:p w:rsidR="00654CAF" w14:paraId="73468CA1" w14:textId="7777777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654CAF" w14:paraId="748DFCB0"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9943580"/>
      <w:docPartObj>
        <w:docPartGallery w:val="Page Numbers (Bottom of Page)"/>
        <w:docPartUnique/>
      </w:docPartObj>
    </w:sdtPr>
    <w:sdtEndPr>
      <w:rPr>
        <w:noProof/>
      </w:rPr>
    </w:sdtEndPr>
    <w:sdtContent>
      <w:p w:rsidR="00654CAF" w14:paraId="29F080CB" w14:textId="7777777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654CAF" w14:paraId="0A89BCD2" w14:textId="77777777">
    <w:pPr>
      <w:pStyle w:val="BodyText"/>
      <w:spacing w:line="14" w:lineRule="auto"/>
      <w:rPr>
        <w:sz w:val="20"/>
      </w:rPr>
    </w:pPr>
  </w:p>
  <w:p w:rsidR="00654CAF" w14:paraId="611D8C4B" w14:textId="77777777"/>
  <w:p w:rsidR="00654CAF" w14:paraId="459C0871" w14:textId="77777777"/>
  <w:p w:rsidR="00654CAF" w14:paraId="0DFC9FCF" w14:textId="77777777"/>
  <w:p w:rsidR="00654CAF" w14:paraId="2F8B89FD" w14:textId="77777777"/>
  <w:p w:rsidR="00654CAF" w14:paraId="173974D2" w14:textId="77777777"/>
  <w:p w:rsidR="00654CAF" w14:paraId="124361D3" w14:textId="77777777"/>
  <w:p w:rsidR="00654CAF" w14:paraId="3E0CA4B5" w14:textId="77777777"/>
  <w:p w:rsidR="00654CAF" w14:paraId="0617916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C68AC"/>
    <w:multiLevelType w:val="hybridMultilevel"/>
    <w:tmpl w:val="AB009568"/>
    <w:lvl w:ilvl="0">
      <w:start w:val="0"/>
      <w:numFmt w:val="bullet"/>
      <w:lvlText w:val="*"/>
      <w:lvlJc w:val="left"/>
      <w:pPr>
        <w:ind w:left="180" w:hanging="180"/>
      </w:pPr>
      <w:rPr>
        <w:rFonts w:ascii="Times New Roman" w:eastAsia="Times New Roman" w:hAnsi="Times New Roman" w:cs="Times New Roman" w:hint="default"/>
        <w:i/>
        <w:spacing w:val="-2"/>
        <w:w w:val="99"/>
        <w:sz w:val="24"/>
        <w:szCs w:val="24"/>
      </w:rPr>
    </w:lvl>
    <w:lvl w:ilvl="1">
      <w:start w:val="0"/>
      <w:numFmt w:val="bullet"/>
      <w:lvlText w:val=""/>
      <w:lvlJc w:val="left"/>
      <w:pPr>
        <w:ind w:left="740" w:hanging="360"/>
      </w:pPr>
      <w:rPr>
        <w:rFonts w:ascii="Symbol" w:eastAsia="Symbol" w:hAnsi="Symbol" w:cs="Symbol" w:hint="default"/>
        <w:w w:val="100"/>
        <w:sz w:val="24"/>
        <w:szCs w:val="24"/>
      </w:rPr>
    </w:lvl>
    <w:lvl w:ilvl="2">
      <w:start w:val="0"/>
      <w:numFmt w:val="bullet"/>
      <w:lvlText w:val="•"/>
      <w:lvlJc w:val="left"/>
      <w:pPr>
        <w:ind w:left="740" w:hanging="360"/>
      </w:pPr>
      <w:rPr>
        <w:rFonts w:hint="default"/>
      </w:rPr>
    </w:lvl>
    <w:lvl w:ilvl="3">
      <w:start w:val="0"/>
      <w:numFmt w:val="bullet"/>
      <w:lvlText w:val="•"/>
      <w:lvlJc w:val="left"/>
      <w:pPr>
        <w:ind w:left="1830" w:hanging="360"/>
      </w:pPr>
      <w:rPr>
        <w:rFonts w:hint="default"/>
      </w:rPr>
    </w:lvl>
    <w:lvl w:ilvl="4">
      <w:start w:val="0"/>
      <w:numFmt w:val="bullet"/>
      <w:lvlText w:val="•"/>
      <w:lvlJc w:val="left"/>
      <w:pPr>
        <w:ind w:left="2920" w:hanging="360"/>
      </w:pPr>
      <w:rPr>
        <w:rFonts w:hint="default"/>
      </w:rPr>
    </w:lvl>
    <w:lvl w:ilvl="5">
      <w:start w:val="0"/>
      <w:numFmt w:val="bullet"/>
      <w:lvlText w:val="•"/>
      <w:lvlJc w:val="left"/>
      <w:pPr>
        <w:ind w:left="4010" w:hanging="360"/>
      </w:pPr>
      <w:rPr>
        <w:rFonts w:hint="default"/>
      </w:rPr>
    </w:lvl>
    <w:lvl w:ilvl="6">
      <w:start w:val="0"/>
      <w:numFmt w:val="bullet"/>
      <w:lvlText w:val="•"/>
      <w:lvlJc w:val="left"/>
      <w:pPr>
        <w:ind w:left="5100" w:hanging="360"/>
      </w:pPr>
      <w:rPr>
        <w:rFonts w:hint="default"/>
      </w:rPr>
    </w:lvl>
    <w:lvl w:ilvl="7">
      <w:start w:val="0"/>
      <w:numFmt w:val="bullet"/>
      <w:lvlText w:val="•"/>
      <w:lvlJc w:val="left"/>
      <w:pPr>
        <w:ind w:left="6190" w:hanging="360"/>
      </w:pPr>
      <w:rPr>
        <w:rFonts w:hint="default"/>
      </w:rPr>
    </w:lvl>
    <w:lvl w:ilvl="8">
      <w:start w:val="0"/>
      <w:numFmt w:val="bullet"/>
      <w:lvlText w:val="•"/>
      <w:lvlJc w:val="left"/>
      <w:pPr>
        <w:ind w:left="7280" w:hanging="360"/>
      </w:pPr>
      <w:rPr>
        <w:rFonts w:hint="default"/>
      </w:rPr>
    </w:lvl>
  </w:abstractNum>
  <w:abstractNum w:abstractNumId="2">
    <w:nsid w:val="3BD77873"/>
    <w:multiLevelType w:val="hybridMultilevel"/>
    <w:tmpl w:val="55B2E4A4"/>
    <w:lvl w:ilvl="0">
      <w:start w:val="0"/>
      <w:numFmt w:val="bullet"/>
      <w:lvlText w:val=""/>
      <w:lvlJc w:val="left"/>
      <w:pPr>
        <w:ind w:left="820" w:hanging="360"/>
      </w:pPr>
      <w:rPr>
        <w:rFonts w:ascii="Symbol" w:eastAsia="Symbol" w:hAnsi="Symbol" w:cs="Symbol" w:hint="default"/>
        <w:w w:val="100"/>
        <w:sz w:val="24"/>
        <w:szCs w:val="24"/>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3">
    <w:nsid w:val="55DA586F"/>
    <w:multiLevelType w:val="hybridMultilevel"/>
    <w:tmpl w:val="D702F974"/>
    <w:lvl w:ilvl="0">
      <w:start w:val="1"/>
      <w:numFmt w:val="decimal"/>
      <w:lvlText w:val="%1."/>
      <w:lvlJc w:val="left"/>
      <w:pPr>
        <w:ind w:left="359" w:hanging="260"/>
      </w:pPr>
      <w:rPr>
        <w:rFonts w:ascii="Cambria" w:eastAsia="Cambria" w:hAnsi="Cambria" w:cs="Cambria" w:hint="default"/>
        <w:b/>
        <w:bCs/>
        <w:w w:val="99"/>
        <w:sz w:val="26"/>
        <w:szCs w:val="26"/>
      </w:rPr>
    </w:lvl>
    <w:lvl w:ilvl="1">
      <w:start w:val="0"/>
      <w:numFmt w:val="bullet"/>
      <w:lvlText w:val=""/>
      <w:lvlJc w:val="left"/>
      <w:pPr>
        <w:ind w:left="820" w:hanging="360"/>
      </w:pPr>
      <w:rPr>
        <w:rFonts w:ascii="Symbol" w:eastAsia="Symbol" w:hAnsi="Symbol" w:cs="Symbol" w:hint="default"/>
        <w:w w:val="100"/>
        <w:sz w:val="24"/>
        <w:szCs w:val="24"/>
      </w:rPr>
    </w:lvl>
    <w:lvl w:ilvl="2">
      <w:start w:val="0"/>
      <w:numFmt w:val="bullet"/>
      <w:lvlText w:val="•"/>
      <w:lvlJc w:val="left"/>
      <w:pPr>
        <w:ind w:left="1791" w:hanging="360"/>
      </w:pPr>
      <w:rPr>
        <w:rFonts w:hint="default"/>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4">
    <w:nsid w:val="74CA27AC"/>
    <w:multiLevelType w:val="hybridMultilevel"/>
    <w:tmpl w:val="33DA87D8"/>
    <w:lvl w:ilvl="0">
      <w:start w:val="0"/>
      <w:numFmt w:val="bullet"/>
      <w:lvlText w:val=""/>
      <w:lvlJc w:val="left"/>
      <w:pPr>
        <w:ind w:left="460" w:hanging="360"/>
      </w:pPr>
      <w:rPr>
        <w:rFonts w:ascii="Symbol" w:eastAsia="Symbol" w:hAnsi="Symbol" w:cs="Symbol" w:hint="default"/>
        <w:w w:val="100"/>
        <w:sz w:val="24"/>
        <w:szCs w:val="24"/>
      </w:rPr>
    </w:lvl>
    <w:lvl w:ilvl="1">
      <w:start w:val="1"/>
      <w:numFmt w:val="bullet"/>
      <w:lvlText w:val=""/>
      <w:lvlJc w:val="left"/>
      <w:pPr>
        <w:ind w:left="840" w:hanging="360"/>
      </w:pPr>
      <w:rPr>
        <w:rFonts w:ascii="Symbol" w:hAnsi="Symbol" w:hint="default"/>
        <w:w w:val="99"/>
      </w:rPr>
    </w:lvl>
    <w:lvl w:ilvl="2">
      <w:start w:val="0"/>
      <w:numFmt w:val="bullet"/>
      <w:lvlText w:val="o"/>
      <w:lvlJc w:val="left"/>
      <w:pPr>
        <w:ind w:left="1560" w:hanging="360"/>
      </w:pPr>
      <w:rPr>
        <w:rFonts w:ascii="Courier New" w:eastAsia="Courier New" w:hAnsi="Courier New" w:cs="Courier New" w:hint="default"/>
        <w:w w:val="100"/>
        <w:sz w:val="24"/>
        <w:szCs w:val="24"/>
      </w:rPr>
    </w:lvl>
    <w:lvl w:ilvl="3">
      <w:start w:val="0"/>
      <w:numFmt w:val="bullet"/>
      <w:lvlText w:val="•"/>
      <w:lvlJc w:val="left"/>
      <w:pPr>
        <w:ind w:left="2515" w:hanging="360"/>
      </w:pPr>
      <w:rPr>
        <w:rFonts w:hint="default"/>
      </w:rPr>
    </w:lvl>
    <w:lvl w:ilvl="4">
      <w:start w:val="0"/>
      <w:numFmt w:val="bullet"/>
      <w:lvlText w:val="•"/>
      <w:lvlJc w:val="left"/>
      <w:pPr>
        <w:ind w:left="3470" w:hanging="360"/>
      </w:pPr>
      <w:rPr>
        <w:rFonts w:hint="default"/>
      </w:rPr>
    </w:lvl>
    <w:lvl w:ilvl="5">
      <w:start w:val="0"/>
      <w:numFmt w:val="bullet"/>
      <w:lvlText w:val="•"/>
      <w:lvlJc w:val="left"/>
      <w:pPr>
        <w:ind w:left="4425" w:hanging="360"/>
      </w:pPr>
      <w:rPr>
        <w:rFonts w:hint="default"/>
      </w:rPr>
    </w:lvl>
    <w:lvl w:ilvl="6">
      <w:start w:val="0"/>
      <w:numFmt w:val="bullet"/>
      <w:lvlText w:val="•"/>
      <w:lvlJc w:val="left"/>
      <w:pPr>
        <w:ind w:left="5380" w:hanging="360"/>
      </w:pPr>
      <w:rPr>
        <w:rFonts w:hint="default"/>
      </w:rPr>
    </w:lvl>
    <w:lvl w:ilvl="7">
      <w:start w:val="0"/>
      <w:numFmt w:val="bullet"/>
      <w:lvlText w:val="•"/>
      <w:lvlJc w:val="left"/>
      <w:pPr>
        <w:ind w:left="6335" w:hanging="360"/>
      </w:pPr>
      <w:rPr>
        <w:rFonts w:hint="default"/>
      </w:rPr>
    </w:lvl>
    <w:lvl w:ilvl="8">
      <w:start w:val="0"/>
      <w:numFmt w:val="bullet"/>
      <w:lvlText w:val="•"/>
      <w:lvlJc w:val="left"/>
      <w:pPr>
        <w:ind w:left="7290" w:hanging="360"/>
      </w:pPr>
      <w:rPr>
        <w:rFonts w:hint="default"/>
      </w:rPr>
    </w:lvl>
  </w:abstractNum>
  <w:num w:numId="1" w16cid:durableId="932402162">
    <w:abstractNumId w:val="0"/>
  </w:num>
  <w:num w:numId="2" w16cid:durableId="49496477">
    <w:abstractNumId w:val="2"/>
  </w:num>
  <w:num w:numId="3" w16cid:durableId="2024820129">
    <w:abstractNumId w:val="3"/>
  </w:num>
  <w:num w:numId="4" w16cid:durableId="94403563">
    <w:abstractNumId w:val="1"/>
  </w:num>
  <w:num w:numId="5" w16cid:durableId="14890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AF"/>
    <w:rsid w:val="000C7CCE"/>
    <w:rsid w:val="0016306E"/>
    <w:rsid w:val="00314A7A"/>
    <w:rsid w:val="005637FD"/>
    <w:rsid w:val="00654CAF"/>
    <w:rsid w:val="006925B7"/>
    <w:rsid w:val="006976C8"/>
    <w:rsid w:val="006C0C07"/>
    <w:rsid w:val="008A038C"/>
    <w:rsid w:val="008E2AA5"/>
    <w:rsid w:val="00952324"/>
    <w:rsid w:val="00B37A7E"/>
    <w:rsid w:val="00BE62B3"/>
    <w:rsid w:val="00BF1CCB"/>
    <w:rsid w:val="00D61D62"/>
    <w:rsid w:val="00DF79C6"/>
    <w:rsid w:val="00ED21F9"/>
    <w:rsid w:val="00FB35D9"/>
    <w:rsid w:val="00FB4A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51AE3C"/>
  <w15:chartTrackingRefBased/>
  <w15:docId w15:val="{CEE27422-3AED-DC49-B649-769E125C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CAF"/>
    <w:pPr>
      <w:widowControl w:val="0"/>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654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C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C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4C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4C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C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C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C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C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C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4C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4C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C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C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CA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654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C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C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4C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4CAF"/>
    <w:rPr>
      <w:i/>
      <w:iCs/>
      <w:color w:val="404040" w:themeColor="text1" w:themeTint="BF"/>
    </w:rPr>
  </w:style>
  <w:style w:type="paragraph" w:styleId="ListParagraph">
    <w:name w:val="List Paragraph"/>
    <w:aliases w:val="Bullet List,FooterText,Paragraphe de liste1"/>
    <w:basedOn w:val="Normal"/>
    <w:link w:val="ListParagraphChar"/>
    <w:uiPriority w:val="1"/>
    <w:qFormat/>
    <w:rsid w:val="00654CAF"/>
    <w:pPr>
      <w:ind w:left="720"/>
      <w:contextualSpacing/>
    </w:pPr>
  </w:style>
  <w:style w:type="character" w:styleId="IntenseEmphasis">
    <w:name w:val="Intense Emphasis"/>
    <w:basedOn w:val="DefaultParagraphFont"/>
    <w:uiPriority w:val="21"/>
    <w:qFormat/>
    <w:rsid w:val="00654CAF"/>
    <w:rPr>
      <w:i/>
      <w:iCs/>
      <w:color w:val="0F4761" w:themeColor="accent1" w:themeShade="BF"/>
    </w:rPr>
  </w:style>
  <w:style w:type="paragraph" w:styleId="IntenseQuote">
    <w:name w:val="Intense Quote"/>
    <w:basedOn w:val="Normal"/>
    <w:next w:val="Normal"/>
    <w:link w:val="IntenseQuoteChar"/>
    <w:uiPriority w:val="30"/>
    <w:qFormat/>
    <w:rsid w:val="0065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CAF"/>
    <w:rPr>
      <w:i/>
      <w:iCs/>
      <w:color w:val="0F4761" w:themeColor="accent1" w:themeShade="BF"/>
    </w:rPr>
  </w:style>
  <w:style w:type="character" w:styleId="IntenseReference">
    <w:name w:val="Intense Reference"/>
    <w:basedOn w:val="DefaultParagraphFont"/>
    <w:uiPriority w:val="32"/>
    <w:qFormat/>
    <w:rsid w:val="00654CAF"/>
    <w:rPr>
      <w:b/>
      <w:bCs/>
      <w:smallCaps/>
      <w:color w:val="0F4761" w:themeColor="accent1" w:themeShade="BF"/>
      <w:spacing w:val="5"/>
    </w:rPr>
  </w:style>
  <w:style w:type="paragraph" w:styleId="BodyText">
    <w:name w:val="Body Text"/>
    <w:basedOn w:val="Normal"/>
    <w:link w:val="BodyTextChar"/>
    <w:uiPriority w:val="1"/>
    <w:qFormat/>
    <w:rsid w:val="00654CAF"/>
    <w:rPr>
      <w:i/>
    </w:rPr>
  </w:style>
  <w:style w:type="character" w:customStyle="1" w:styleId="BodyTextChar">
    <w:name w:val="Body Text Char"/>
    <w:basedOn w:val="DefaultParagraphFont"/>
    <w:link w:val="BodyText"/>
    <w:uiPriority w:val="1"/>
    <w:rsid w:val="00654CAF"/>
    <w:rPr>
      <w:rFonts w:ascii="Courier" w:eastAsia="Times New Roman" w:hAnsi="Courier" w:cs="Times New Roman"/>
      <w:i/>
      <w:snapToGrid w:val="0"/>
      <w:kern w:val="0"/>
      <w:sz w:val="24"/>
      <w:szCs w:val="20"/>
      <w14:ligatures w14:val="none"/>
    </w:rPr>
  </w:style>
  <w:style w:type="character" w:styleId="Hyperlink">
    <w:name w:val="Hyperlink"/>
    <w:uiPriority w:val="99"/>
    <w:rsid w:val="00654CAF"/>
    <w:rPr>
      <w:color w:val="0000FF"/>
      <w:u w:val="single"/>
    </w:rPr>
  </w:style>
  <w:style w:type="paragraph" w:styleId="Footer">
    <w:name w:val="footer"/>
    <w:basedOn w:val="Normal"/>
    <w:link w:val="FooterChar"/>
    <w:uiPriority w:val="99"/>
    <w:rsid w:val="00654CAF"/>
    <w:pPr>
      <w:tabs>
        <w:tab w:val="center" w:pos="4680"/>
        <w:tab w:val="right" w:pos="9360"/>
      </w:tabs>
    </w:pPr>
  </w:style>
  <w:style w:type="character" w:customStyle="1" w:styleId="FooterChar">
    <w:name w:val="Footer Char"/>
    <w:basedOn w:val="DefaultParagraphFont"/>
    <w:link w:val="Footer"/>
    <w:uiPriority w:val="99"/>
    <w:rsid w:val="00654CAF"/>
    <w:rPr>
      <w:rFonts w:ascii="Courier" w:eastAsia="Times New Roman" w:hAnsi="Courier" w:cs="Times New Roman"/>
      <w:snapToGrid w:val="0"/>
      <w:kern w:val="0"/>
      <w:sz w:val="24"/>
      <w:szCs w:val="20"/>
      <w14:ligatures w14:val="none"/>
    </w:rPr>
  </w:style>
  <w:style w:type="paragraph" w:customStyle="1" w:styleId="TableParagraph">
    <w:name w:val="Table Paragraph"/>
    <w:basedOn w:val="Normal"/>
    <w:uiPriority w:val="1"/>
    <w:qFormat/>
    <w:rsid w:val="00654CAF"/>
    <w:pPr>
      <w:autoSpaceDE w:val="0"/>
      <w:autoSpaceDN w:val="0"/>
    </w:pPr>
    <w:rPr>
      <w:rFonts w:ascii="Calibri" w:eastAsia="Calibri" w:hAnsi="Calibri" w:cs="Calibri"/>
      <w:snapToGrid/>
      <w:sz w:val="22"/>
      <w:szCs w:val="22"/>
    </w:rPr>
  </w:style>
  <w:style w:type="character" w:customStyle="1" w:styleId="ListParagraphChar">
    <w:name w:val="List Paragraph Char"/>
    <w:aliases w:val="Bullet List Char,FooterText Char,Paragraphe de liste1 Char"/>
    <w:link w:val="ListParagraph"/>
    <w:uiPriority w:val="1"/>
    <w:locked/>
    <w:rsid w:val="0065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nasa.gov/privacy/nasa_sorn_10EDUA.html" TargetMode="External" /><Relationship Id="rId6" Type="http://schemas.openxmlformats.org/officeDocument/2006/relationships/hyperlink" Target="http://www.adminstrack.com/articles/testing_web_apps.pdf" TargetMode="External" /><Relationship Id="rId7" Type="http://schemas.openxmlformats.org/officeDocument/2006/relationships/hyperlink" Target="mailto:richard.l.gilmore@nasa.gov" TargetMode="Externa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4123</Words>
  <Characters>23506</Characters>
  <Application>Microsoft Office Word</Application>
  <DocSecurity>0</DocSecurity>
  <Lines>195</Lines>
  <Paragraphs>55</Paragraphs>
  <ScaleCrop>false</ScaleCrop>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1</cp:revision>
  <dcterms:created xsi:type="dcterms:W3CDTF">2024-09-05T17:37:00Z</dcterms:created>
  <dcterms:modified xsi:type="dcterms:W3CDTF">2024-09-05T17:39:00Z</dcterms:modified>
</cp:coreProperties>
</file>