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37EF" w:rsidP="007C37EF" w14:paraId="2A1D5243" w14:textId="77777777">
      <w:pPr>
        <w:jc w:val="center"/>
        <w:rPr>
          <w:b/>
          <w:sz w:val="24"/>
          <w:szCs w:val="24"/>
        </w:rPr>
      </w:pPr>
      <w:r w:rsidRPr="00167E53">
        <w:rPr>
          <w:b/>
          <w:sz w:val="24"/>
          <w:szCs w:val="24"/>
        </w:rPr>
        <w:t>Supporting Statement for Paperwork Reduction Act Submissions</w:t>
      </w:r>
    </w:p>
    <w:p w:rsidR="007C37EF" w:rsidRPr="00167E53" w:rsidP="007C37EF" w14:paraId="41E9912F" w14:textId="63E87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HOME Investment Partnership</w:t>
      </w:r>
    </w:p>
    <w:p w:rsidR="007C37EF" w:rsidRPr="00167E53" w:rsidP="007C37EF" w14:paraId="38737E6F" w14:textId="68E4F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Pr>
          <w:b/>
          <w:sz w:val="24"/>
          <w:szCs w:val="24"/>
        </w:rPr>
        <w:t xml:space="preserve"> </w:t>
      </w:r>
      <w:r w:rsidRPr="00167E53">
        <w:rPr>
          <w:b/>
          <w:sz w:val="24"/>
          <w:szCs w:val="24"/>
        </w:rPr>
        <w:t>#</w:t>
      </w:r>
      <w:r w:rsidRPr="00BF4DBA">
        <w:rPr>
          <w:b/>
          <w:sz w:val="24"/>
          <w:szCs w:val="24"/>
        </w:rPr>
        <w:t>2506</w:t>
      </w:r>
      <w:r>
        <w:rPr>
          <w:b/>
          <w:sz w:val="24"/>
          <w:szCs w:val="24"/>
        </w:rPr>
        <w:t>-</w:t>
      </w:r>
      <w:r w:rsidRPr="00117040">
        <w:rPr>
          <w:b/>
          <w:sz w:val="24"/>
          <w:szCs w:val="24"/>
        </w:rPr>
        <w:t>0171</w:t>
      </w:r>
      <w:r w:rsidRPr="00167E53">
        <w:rPr>
          <w:b/>
          <w:sz w:val="24"/>
          <w:szCs w:val="24"/>
        </w:rPr>
        <w:t>)</w:t>
      </w:r>
    </w:p>
    <w:p w:rsidR="009E13B1" w:rsidP="006C7FAE" w14:paraId="58AE124E" w14:textId="77777777">
      <w:pPr>
        <w:rPr>
          <w:b/>
          <w:sz w:val="24"/>
          <w:szCs w:val="24"/>
        </w:rPr>
      </w:pPr>
    </w:p>
    <w:p w:rsidR="009E13B1" w:rsidRPr="006C7FAE" w14:paraId="29012E0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2D4F87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5F0A517C"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C37EF" w:rsidRPr="001D6057" w:rsidP="007C37EF" w14:paraId="0353DD49" w14:textId="77777777">
      <w:pPr>
        <w:pStyle w:val="BodyTextIndent"/>
        <w:tabs>
          <w:tab w:val="left" w:pos="0"/>
          <w:tab w:val="clear" w:pos="360"/>
          <w:tab w:val="left" w:pos="720"/>
          <w:tab w:val="left" w:pos="1080"/>
        </w:tabs>
        <w:ind w:left="0" w:firstLine="0"/>
        <w:rPr>
          <w:sz w:val="24"/>
        </w:rPr>
      </w:pPr>
      <w:r w:rsidRPr="001D6057">
        <w:rPr>
          <w:sz w:val="24"/>
        </w:rPr>
        <w:t xml:space="preserve">The HOME statute (Public Law 101-625 (104 Stat. 4079), Title II of the Cranston-Gonzalez National Affordable Housing Act) imposes several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HUD for monitoring the performance of the program participants and ensuring compliance with all program requirements.  </w:t>
      </w:r>
    </w:p>
    <w:p w:rsidR="009E13B1" w:rsidRPr="006C7FAE" w14:paraId="29E4DE6F" w14:textId="77777777">
      <w:pPr>
        <w:tabs>
          <w:tab w:val="left" w:pos="360"/>
        </w:tabs>
        <w:ind w:left="360" w:hanging="360"/>
        <w:rPr>
          <w:sz w:val="24"/>
          <w:szCs w:val="24"/>
        </w:rPr>
      </w:pPr>
    </w:p>
    <w:p w:rsidR="009E13B1" w:rsidRPr="006C7FAE" w14:paraId="4C3620BD" w14:textId="77777777">
      <w:pPr>
        <w:keepLines/>
        <w:tabs>
          <w:tab w:val="left" w:pos="360"/>
        </w:tabs>
        <w:spacing w:after="80"/>
        <w:ind w:left="360" w:hanging="360"/>
        <w:rPr>
          <w:sz w:val="24"/>
          <w:szCs w:val="24"/>
        </w:rPr>
      </w:pPr>
      <w:r w:rsidRPr="006C7FAE">
        <w:rPr>
          <w:sz w:val="24"/>
          <w:szCs w:val="24"/>
        </w:rPr>
        <w:t>2.</w:t>
      </w:r>
      <w:r w:rsidRPr="006C7FAE">
        <w:rPr>
          <w:sz w:val="24"/>
          <w:szCs w:val="24"/>
        </w:rPr>
        <w:tab/>
      </w:r>
      <w:bookmarkStart w:id="0" w:name="_Hlk188955446"/>
      <w:r w:rsidRPr="006C7FAE">
        <w:rPr>
          <w:sz w:val="24"/>
          <w:szCs w:val="24"/>
        </w:rPr>
        <w:t>Indicate how, by whom and for what purpose the information is to be used.  Except for a new collection, indicate the actual use the agency has made of the information received from the current collection.</w:t>
      </w:r>
      <w:bookmarkEnd w:id="0"/>
    </w:p>
    <w:p w:rsidR="00F9142F" w:rsidP="00F9142F" w14:paraId="3E6E5165" w14:textId="614A39A6">
      <w:pPr>
        <w:pStyle w:val="BodyTextIndent"/>
        <w:tabs>
          <w:tab w:val="left" w:pos="0"/>
          <w:tab w:val="clear" w:pos="360"/>
          <w:tab w:val="left" w:pos="720"/>
        </w:tabs>
        <w:ind w:left="0" w:firstLine="0"/>
        <w:rPr>
          <w:sz w:val="24"/>
        </w:rPr>
      </w:pPr>
      <w:r>
        <w:rPr>
          <w:sz w:val="24"/>
        </w:rPr>
        <w:t xml:space="preserve">This is </w:t>
      </w:r>
      <w:r w:rsidR="00435162">
        <w:rPr>
          <w:sz w:val="24"/>
        </w:rPr>
        <w:t>a</w:t>
      </w:r>
      <w:r>
        <w:rPr>
          <w:sz w:val="24"/>
        </w:rPr>
        <w:t xml:space="preserve"> </w:t>
      </w:r>
      <w:r w:rsidR="00E03BBC">
        <w:rPr>
          <w:sz w:val="24"/>
        </w:rPr>
        <w:t>re</w:t>
      </w:r>
      <w:r>
        <w:rPr>
          <w:sz w:val="24"/>
        </w:rPr>
        <w:t>in</w:t>
      </w:r>
      <w:r w:rsidR="00E03BBC">
        <w:rPr>
          <w:sz w:val="24"/>
        </w:rPr>
        <w:t xml:space="preserve">statement </w:t>
      </w:r>
      <w:r>
        <w:rPr>
          <w:sz w:val="24"/>
        </w:rPr>
        <w:t xml:space="preserve">with change </w:t>
      </w:r>
      <w:r w:rsidR="00E03BBC">
        <w:rPr>
          <w:sz w:val="24"/>
        </w:rPr>
        <w:t>of previously approv</w:t>
      </w:r>
      <w:r w:rsidR="00435162">
        <w:rPr>
          <w:sz w:val="24"/>
        </w:rPr>
        <w:t>ed</w:t>
      </w:r>
      <w:r>
        <w:rPr>
          <w:sz w:val="24"/>
        </w:rPr>
        <w:t xml:space="preserve"> collection. </w:t>
      </w:r>
      <w:r w:rsidRPr="001D6057" w:rsidR="00A7760F">
        <w:rPr>
          <w:sz w:val="24"/>
        </w:rPr>
        <w:t>HUD requires state and local</w:t>
      </w:r>
      <w:r w:rsidR="00F32588">
        <w:rPr>
          <w:sz w:val="24"/>
        </w:rPr>
        <w:t xml:space="preserve"> Participating Jurisdictions</w:t>
      </w:r>
      <w:r w:rsidRPr="001D6057" w:rsidR="00A7760F">
        <w:rPr>
          <w:sz w:val="24"/>
        </w:rPr>
        <w:t xml:space="preserve"> </w:t>
      </w:r>
      <w:r w:rsidR="00F32588">
        <w:rPr>
          <w:sz w:val="24"/>
        </w:rPr>
        <w:t>(</w:t>
      </w:r>
      <w:r w:rsidRPr="001D6057" w:rsidR="00A7760F">
        <w:rPr>
          <w:sz w:val="24"/>
        </w:rPr>
        <w:t>PJs</w:t>
      </w:r>
      <w:r w:rsidR="00F32588">
        <w:rPr>
          <w:sz w:val="24"/>
        </w:rPr>
        <w:t>)</w:t>
      </w:r>
      <w:r w:rsidRPr="001D6057" w:rsidR="00A7760F">
        <w:rPr>
          <w:sz w:val="24"/>
        </w:rPr>
        <w:t xml:space="preserve"> to collect information on the activities undertaken with HOME funds to be reviewed by HUD Field Office and Headquarters staff. Data is entered into the Integrated Disbursement and Information System (IDIS) by PJs for specific projects, including address, financial management, owner/developer, and beneficiary data as needed. HUD has used the data collection to monitor the use of HOME funds and to make sure PJs are complying with HOME rules and regulations. </w:t>
      </w:r>
      <w:r>
        <w:rPr>
          <w:sz w:val="24"/>
        </w:rPr>
        <w:t>The information collection previously contained HUD forms 40107, 40107a, SF1199a, and HUD 40093 are no longer required for this collection.</w:t>
      </w:r>
    </w:p>
    <w:p w:rsidR="00A7760F" w:rsidRPr="001D6057" w:rsidP="00A7760F" w14:paraId="5D4825D9" w14:textId="29357452">
      <w:pPr>
        <w:pStyle w:val="BodyTextIndent"/>
        <w:tabs>
          <w:tab w:val="left" w:pos="0"/>
          <w:tab w:val="clear" w:pos="360"/>
          <w:tab w:val="left" w:pos="720"/>
        </w:tabs>
        <w:ind w:left="0" w:firstLine="0"/>
        <w:rPr>
          <w:sz w:val="24"/>
        </w:rPr>
      </w:pPr>
    </w:p>
    <w:p w:rsidR="009E13B1" w:rsidRPr="006C7FAE" w14:paraId="5392D963" w14:textId="77777777">
      <w:pPr>
        <w:keepLines/>
        <w:tabs>
          <w:tab w:val="left" w:pos="360"/>
          <w:tab w:val="left" w:pos="720"/>
        </w:tabs>
        <w:ind w:left="360"/>
        <w:rPr>
          <w:sz w:val="24"/>
          <w:szCs w:val="24"/>
        </w:rPr>
      </w:pPr>
    </w:p>
    <w:p w:rsidR="009E13B1" w:rsidRPr="006C7FAE" w14:paraId="43AA85EE" w14:textId="77777777">
      <w:pPr>
        <w:keepLines/>
        <w:tabs>
          <w:tab w:val="left" w:pos="360"/>
        </w:tabs>
        <w:spacing w:after="80"/>
        <w:ind w:left="360" w:hanging="360"/>
        <w:rPr>
          <w:sz w:val="24"/>
          <w:szCs w:val="24"/>
        </w:rPr>
      </w:pPr>
      <w:r w:rsidRPr="006C7FAE">
        <w:rPr>
          <w:sz w:val="24"/>
          <w:szCs w:val="24"/>
        </w:rPr>
        <w:t>3.</w:t>
      </w:r>
      <w:r w:rsidRPr="006C7FAE">
        <w:rPr>
          <w:sz w:val="24"/>
          <w:szCs w:val="24"/>
        </w:rPr>
        <w:tab/>
      </w:r>
      <w:bookmarkStart w:id="1" w:name="_Hlk188955487"/>
      <w:r w:rsidRPr="006C7FA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
    </w:p>
    <w:p w:rsidR="00A7760F" w:rsidRPr="001D6057" w:rsidP="00A7760F" w14:paraId="11DE0293" w14:textId="3F84B1B2">
      <w:pPr>
        <w:pStyle w:val="BodyText"/>
        <w:tabs>
          <w:tab w:val="left" w:pos="0"/>
          <w:tab w:val="left" w:pos="720"/>
          <w:tab w:val="left" w:pos="840"/>
        </w:tabs>
        <w:rPr>
          <w:b/>
          <w:noProof/>
          <w:sz w:val="24"/>
          <w:szCs w:val="24"/>
        </w:rPr>
      </w:pPr>
      <w:r w:rsidRPr="001D6057">
        <w:rPr>
          <w:sz w:val="24"/>
          <w:szCs w:val="24"/>
        </w:rPr>
        <w:t>T</w:t>
      </w:r>
      <w:r w:rsidRPr="001D6057">
        <w:rPr>
          <w:noProof/>
          <w:sz w:val="24"/>
          <w:szCs w:val="24"/>
        </w:rPr>
        <w:t>he collection of HOME Program information (collection of data on funds management, project and tenant characteristics, and owner data) has been automated by IDIS.  IDIS eliminates the need for PJs to submit paper reports.  The submission of Action Plan related documents by PJs to the Field Office is</w:t>
      </w:r>
      <w:r w:rsidR="00A22A3E">
        <w:rPr>
          <w:noProof/>
          <w:sz w:val="24"/>
          <w:szCs w:val="24"/>
        </w:rPr>
        <w:t xml:space="preserve"> </w:t>
      </w:r>
      <w:r w:rsidR="00DB7579">
        <w:rPr>
          <w:noProof/>
          <w:sz w:val="24"/>
          <w:szCs w:val="24"/>
        </w:rPr>
        <w:t>electronic via IDIS</w:t>
      </w:r>
      <w:r w:rsidRPr="001D6057">
        <w:rPr>
          <w:noProof/>
          <w:sz w:val="24"/>
          <w:szCs w:val="24"/>
        </w:rPr>
        <w:t>.  All of the data elements of the IDIS systems and Consolidated Plan are required under Title II or related authorities.</w:t>
      </w:r>
    </w:p>
    <w:p w:rsidR="009E13B1" w:rsidRPr="006C7FAE" w14:paraId="7FE0C290" w14:textId="77777777">
      <w:pPr>
        <w:tabs>
          <w:tab w:val="left" w:pos="360"/>
        </w:tabs>
        <w:ind w:left="360" w:hanging="360"/>
        <w:rPr>
          <w:sz w:val="24"/>
          <w:szCs w:val="24"/>
        </w:rPr>
      </w:pPr>
    </w:p>
    <w:p w:rsidR="009E13B1" w:rsidRPr="006C7FAE" w14:paraId="6C951CF9" w14:textId="77777777">
      <w:pPr>
        <w:keepLines/>
        <w:tabs>
          <w:tab w:val="left" w:pos="360"/>
        </w:tabs>
        <w:spacing w:after="80"/>
        <w:ind w:left="360" w:hanging="360"/>
        <w:rPr>
          <w:sz w:val="24"/>
          <w:szCs w:val="24"/>
        </w:rPr>
      </w:pPr>
      <w:r w:rsidRPr="006C7FAE">
        <w:rPr>
          <w:sz w:val="24"/>
          <w:szCs w:val="24"/>
        </w:rPr>
        <w:t>4.</w:t>
      </w:r>
      <w:r w:rsidRPr="006C7FAE">
        <w:rPr>
          <w:sz w:val="24"/>
          <w:szCs w:val="24"/>
        </w:rPr>
        <w:tab/>
      </w:r>
      <w:bookmarkStart w:id="2" w:name="_Hlk188955546"/>
      <w:r w:rsidRPr="006C7FAE">
        <w:rPr>
          <w:sz w:val="24"/>
          <w:szCs w:val="24"/>
        </w:rPr>
        <w:t>Describe efforts to identify duplication.  Show specifically why any similar information already available cannot be used or modified for use for the purposes described in Item 2 above.</w:t>
      </w:r>
      <w:bookmarkEnd w:id="2"/>
    </w:p>
    <w:p w:rsidR="00A7760F" w:rsidRPr="001D6057" w:rsidP="00A7760F" w14:paraId="543889A3" w14:textId="77777777">
      <w:pPr>
        <w:pStyle w:val="BodyText3"/>
        <w:tabs>
          <w:tab w:val="left" w:pos="840"/>
        </w:tabs>
        <w:rPr>
          <w:b/>
          <w:sz w:val="24"/>
          <w:szCs w:val="24"/>
        </w:rPr>
      </w:pPr>
      <w:r w:rsidRPr="001D6057">
        <w:rPr>
          <w:sz w:val="24"/>
          <w:szCs w:val="24"/>
        </w:rPr>
        <w:t xml:space="preserve">No similar information exists.  The information collected through IDIS is project-specific and, therefore, unique to each PJ’s local HOME program.  Other recordkeeping requirements (e.g., property standards, </w:t>
      </w:r>
      <w:r w:rsidRPr="001D6057">
        <w:rPr>
          <w:sz w:val="24"/>
          <w:szCs w:val="24"/>
        </w:rPr>
        <w:t>written agreements, tenant protections) are project- or program-specific and unique to local HOME programs.  Documentation relating to nondiscrimination, displacement and relocation and lead-based paint are unique to individual program designs and do not result in duplication of effort.</w:t>
      </w:r>
    </w:p>
    <w:p w:rsidR="009E13B1" w:rsidRPr="006C7FAE" w14:paraId="2F8576AB" w14:textId="77777777">
      <w:pPr>
        <w:keepLines/>
        <w:tabs>
          <w:tab w:val="left" w:pos="360"/>
          <w:tab w:val="left" w:pos="720"/>
        </w:tabs>
        <w:ind w:left="360"/>
        <w:rPr>
          <w:sz w:val="24"/>
          <w:szCs w:val="24"/>
        </w:rPr>
      </w:pPr>
    </w:p>
    <w:p w:rsidR="009E13B1" w:rsidRPr="006C7FAE" w14:paraId="2E263B7D"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A7760F" w:rsidRPr="001D6057" w:rsidP="00A7760F" w14:paraId="46BF3388" w14:textId="77777777">
      <w:pPr>
        <w:tabs>
          <w:tab w:val="left" w:pos="360"/>
        </w:tabs>
        <w:overflowPunct/>
        <w:autoSpaceDE/>
        <w:autoSpaceDN/>
        <w:adjustRightInd/>
        <w:ind w:left="360" w:hanging="360"/>
        <w:textAlignment w:val="auto"/>
        <w:rPr>
          <w:color w:val="000000"/>
          <w:sz w:val="24"/>
          <w:szCs w:val="24"/>
        </w:rPr>
      </w:pPr>
      <w:r w:rsidRPr="001D6057">
        <w:rPr>
          <w:color w:val="000000"/>
          <w:sz w:val="24"/>
          <w:szCs w:val="24"/>
        </w:rPr>
        <w:t xml:space="preserve">There is no undue burden to small businesses or other small entities. </w:t>
      </w:r>
    </w:p>
    <w:p w:rsidR="009E13B1" w:rsidRPr="006C7FAE" w14:paraId="0BC4FB30" w14:textId="77777777">
      <w:pPr>
        <w:tabs>
          <w:tab w:val="left" w:pos="360"/>
        </w:tabs>
        <w:ind w:left="360" w:hanging="360"/>
        <w:rPr>
          <w:sz w:val="24"/>
          <w:szCs w:val="24"/>
        </w:rPr>
      </w:pPr>
    </w:p>
    <w:p w:rsidR="009E13B1" w:rsidRPr="006C7FAE" w14:paraId="1EE50C93"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A7760F" w:rsidRPr="001D6057" w:rsidP="00A7760F" w14:paraId="2B89892E" w14:textId="77777777">
      <w:pPr>
        <w:pStyle w:val="BodyText3"/>
        <w:tabs>
          <w:tab w:val="left" w:pos="840"/>
        </w:tabs>
        <w:rPr>
          <w:sz w:val="24"/>
          <w:szCs w:val="24"/>
        </w:rPr>
      </w:pPr>
      <w:r w:rsidRPr="001D6057">
        <w:rPr>
          <w:sz w:val="24"/>
          <w:szCs w:val="24"/>
        </w:rPr>
        <w:t>The information is collected on a project-by-project basis to permit PJs to draw down HOME funds from the U.S. Treasury and to ensure that HOME funds are used for eligible purposes.  It is not possible to collect the information less frequently.</w:t>
      </w:r>
    </w:p>
    <w:p w:rsidR="009E13B1" w:rsidRPr="006C7FAE" w14:paraId="5420165A" w14:textId="77777777">
      <w:pPr>
        <w:keepLines/>
        <w:tabs>
          <w:tab w:val="left" w:pos="360"/>
          <w:tab w:val="left" w:pos="720"/>
        </w:tabs>
        <w:ind w:left="360"/>
        <w:rPr>
          <w:sz w:val="24"/>
          <w:szCs w:val="24"/>
        </w:rPr>
      </w:pPr>
    </w:p>
    <w:p w:rsidR="00A65F9E" w14:paraId="6E066850"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06DCBB4E" w14:textId="77777777">
      <w:pPr>
        <w:tabs>
          <w:tab w:val="left" w:pos="360"/>
        </w:tabs>
        <w:ind w:left="360"/>
        <w:rPr>
          <w:sz w:val="24"/>
          <w:szCs w:val="24"/>
        </w:rPr>
      </w:pPr>
      <w:r w:rsidRPr="006C7FAE">
        <w:rPr>
          <w:sz w:val="24"/>
          <w:szCs w:val="24"/>
        </w:rPr>
        <w:t xml:space="preserve"> </w:t>
      </w:r>
    </w:p>
    <w:p w:rsidR="009E13B1" w:rsidRPr="006C7FAE" w14:paraId="5D0A44B9" w14:textId="30BF3F23">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A7760F" w:rsidR="00A7760F">
        <w:rPr>
          <w:sz w:val="24"/>
          <w:szCs w:val="24"/>
        </w:rPr>
        <w:t>n/a</w:t>
      </w:r>
    </w:p>
    <w:p w:rsidR="00A65F9E" w:rsidP="00A65F9E" w14:paraId="6DFB5F8C" w14:textId="77777777">
      <w:pPr>
        <w:tabs>
          <w:tab w:val="left" w:pos="600"/>
        </w:tabs>
        <w:ind w:left="684"/>
        <w:rPr>
          <w:sz w:val="24"/>
          <w:szCs w:val="24"/>
        </w:rPr>
      </w:pPr>
    </w:p>
    <w:p w:rsidR="009E13B1" w14:paraId="5F8D5EBD" w14:textId="3CE173A5">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A7760F" w:rsidR="00A7760F">
        <w:rPr>
          <w:sz w:val="24"/>
          <w:szCs w:val="24"/>
        </w:rPr>
        <w:t>n/a</w:t>
      </w:r>
    </w:p>
    <w:p w:rsidR="00A65F9E" w:rsidP="00A65F9E" w14:paraId="4D78739E" w14:textId="77777777">
      <w:pPr>
        <w:pStyle w:val="ListParagraph"/>
        <w:rPr>
          <w:sz w:val="24"/>
          <w:szCs w:val="24"/>
        </w:rPr>
      </w:pPr>
    </w:p>
    <w:p w:rsidR="009E13B1" w14:paraId="20F85103" w14:textId="0EB0DA2B">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A7760F" w:rsidR="00A7760F">
        <w:rPr>
          <w:sz w:val="24"/>
          <w:szCs w:val="24"/>
        </w:rPr>
        <w:t>n/a</w:t>
      </w:r>
    </w:p>
    <w:p w:rsidR="00A65F9E" w:rsidP="00A65F9E" w14:paraId="7148A70B" w14:textId="77777777">
      <w:pPr>
        <w:pStyle w:val="ListParagraph"/>
        <w:rPr>
          <w:sz w:val="24"/>
          <w:szCs w:val="24"/>
        </w:rPr>
      </w:pPr>
    </w:p>
    <w:p w:rsidR="009E13B1" w:rsidRPr="006C7FAE" w14:paraId="0B3D51BA" w14:textId="0BF0EC7D">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A7760F" w:rsidR="00A7760F">
        <w:rPr>
          <w:sz w:val="24"/>
          <w:szCs w:val="24"/>
        </w:rPr>
        <w:t>n/a</w:t>
      </w:r>
    </w:p>
    <w:p w:rsidR="00A65F9E" w:rsidP="00A65F9E" w14:paraId="4A750272" w14:textId="77777777">
      <w:pPr>
        <w:tabs>
          <w:tab w:val="left" w:pos="600"/>
        </w:tabs>
        <w:ind w:left="684"/>
        <w:rPr>
          <w:sz w:val="24"/>
          <w:szCs w:val="24"/>
        </w:rPr>
      </w:pPr>
    </w:p>
    <w:p w:rsidR="009E13B1" w14:paraId="05EB99E6" w14:textId="2D70A81E">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A7760F">
        <w:rPr>
          <w:sz w:val="24"/>
          <w:szCs w:val="24"/>
        </w:rPr>
        <w:t xml:space="preserve"> </w:t>
      </w:r>
      <w:r w:rsidRPr="00A7760F" w:rsidR="00A7760F">
        <w:rPr>
          <w:sz w:val="24"/>
          <w:szCs w:val="24"/>
        </w:rPr>
        <w:t>n/a</w:t>
      </w:r>
    </w:p>
    <w:p w:rsidR="00A7760F" w:rsidRPr="006C7FAE" w:rsidP="00A7760F" w14:paraId="72C612F6" w14:textId="77777777">
      <w:pPr>
        <w:tabs>
          <w:tab w:val="left" w:pos="600"/>
        </w:tabs>
        <w:rPr>
          <w:sz w:val="24"/>
          <w:szCs w:val="24"/>
        </w:rPr>
      </w:pPr>
    </w:p>
    <w:p w:rsidR="00A65F9E" w14:paraId="3A7BAECC" w14:textId="1AC0A5AB">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A7760F">
        <w:rPr>
          <w:sz w:val="24"/>
          <w:szCs w:val="24"/>
        </w:rPr>
        <w:t xml:space="preserve"> </w:t>
      </w:r>
      <w:r w:rsidRPr="00A7760F" w:rsidR="00A7760F">
        <w:rPr>
          <w:sz w:val="24"/>
          <w:szCs w:val="24"/>
        </w:rPr>
        <w:t>n/a</w:t>
      </w:r>
    </w:p>
    <w:p w:rsidR="009E13B1" w:rsidRPr="006C7FAE" w:rsidP="00A65F9E" w14:paraId="35EDA253" w14:textId="77777777">
      <w:pPr>
        <w:tabs>
          <w:tab w:val="left" w:pos="600"/>
        </w:tabs>
        <w:ind w:left="684"/>
        <w:rPr>
          <w:sz w:val="24"/>
          <w:szCs w:val="24"/>
        </w:rPr>
      </w:pPr>
      <w:r w:rsidRPr="006C7FAE">
        <w:rPr>
          <w:sz w:val="24"/>
          <w:szCs w:val="24"/>
        </w:rPr>
        <w:t xml:space="preserve"> </w:t>
      </w:r>
    </w:p>
    <w:p w:rsidR="009E13B1" w:rsidRPr="006C7FAE" w14:paraId="7879184D" w14:textId="6712565E">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A7760F" w:rsidR="00A7760F">
        <w:rPr>
          <w:sz w:val="24"/>
          <w:szCs w:val="24"/>
        </w:rPr>
        <w:t>n/a</w:t>
      </w:r>
    </w:p>
    <w:p w:rsidR="00A65F9E" w:rsidP="00A65F9E" w14:paraId="58A62D1E" w14:textId="77777777">
      <w:pPr>
        <w:keepLines/>
        <w:tabs>
          <w:tab w:val="left" w:pos="600"/>
        </w:tabs>
        <w:spacing w:after="80"/>
        <w:ind w:left="684"/>
        <w:rPr>
          <w:sz w:val="24"/>
          <w:szCs w:val="24"/>
        </w:rPr>
      </w:pPr>
    </w:p>
    <w:p w:rsidR="009E13B1" w:rsidRPr="006C7FAE" w14:paraId="7A1DCE82" w14:textId="7B257AC4">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A7760F" w:rsidR="00A7760F">
        <w:t xml:space="preserve"> </w:t>
      </w:r>
      <w:r w:rsidRPr="00A7760F" w:rsidR="00A7760F">
        <w:rPr>
          <w:sz w:val="24"/>
          <w:szCs w:val="24"/>
        </w:rPr>
        <w:t>n/a</w:t>
      </w:r>
    </w:p>
    <w:p w:rsidR="009E13B1" w:rsidRPr="006C7FAE" w14:paraId="64883FAB" w14:textId="77777777">
      <w:pPr>
        <w:tabs>
          <w:tab w:val="left" w:pos="360"/>
        </w:tabs>
        <w:ind w:left="360" w:hanging="360"/>
        <w:rPr>
          <w:sz w:val="24"/>
          <w:szCs w:val="24"/>
        </w:rPr>
      </w:pPr>
    </w:p>
    <w:p w:rsidR="00A65F9E" w:rsidP="00A65F9E" w14:paraId="59FF796E"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publication in the Federal Register of the agency's notice, required by 5 CFR 1320.8(d), soliciting comments on the </w:t>
      </w:r>
      <w:r w:rsidRPr="006C7FAE">
        <w:rPr>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38E269E5" w14:textId="77777777">
      <w:pPr>
        <w:tabs>
          <w:tab w:val="left" w:pos="360"/>
        </w:tabs>
        <w:ind w:left="360"/>
        <w:rPr>
          <w:sz w:val="24"/>
          <w:szCs w:val="24"/>
        </w:rPr>
      </w:pPr>
      <w:r w:rsidRPr="006C7FAE">
        <w:rPr>
          <w:sz w:val="24"/>
          <w:szCs w:val="24"/>
        </w:rPr>
        <w:t xml:space="preserve"> </w:t>
      </w:r>
    </w:p>
    <w:p w:rsidR="009E13B1" w:rsidRPr="006C7FAE" w14:paraId="61055679"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24D34975" w14:textId="77777777">
      <w:pPr>
        <w:keepLines/>
        <w:tabs>
          <w:tab w:val="left" w:pos="360"/>
        </w:tabs>
        <w:spacing w:after="80"/>
        <w:ind w:left="480"/>
        <w:rPr>
          <w:sz w:val="24"/>
          <w:szCs w:val="24"/>
        </w:rPr>
      </w:pPr>
    </w:p>
    <w:p w:rsidR="009E13B1" w:rsidRPr="006C7FAE" w14:paraId="58B5DDC0"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7760F" w:rsidRPr="001D6057" w:rsidP="00A7760F" w14:paraId="6FC407E8" w14:textId="492A783D">
      <w:pPr>
        <w:tabs>
          <w:tab w:val="left" w:pos="360"/>
        </w:tabs>
        <w:overflowPunct/>
        <w:autoSpaceDE/>
        <w:autoSpaceDN/>
        <w:adjustRightInd/>
        <w:textAlignment w:val="auto"/>
        <w:rPr>
          <w:rFonts w:eastAsia="Calibri"/>
          <w:color w:val="000000"/>
          <w:sz w:val="24"/>
          <w:szCs w:val="24"/>
        </w:rPr>
      </w:pPr>
      <w:r w:rsidRPr="001D6057">
        <w:rPr>
          <w:rFonts w:eastAsia="Calibri"/>
          <w:color w:val="000000"/>
          <w:sz w:val="24"/>
          <w:szCs w:val="24"/>
        </w:rPr>
        <w:t>This information collection was announced in the Federal Register</w:t>
      </w:r>
      <w:r w:rsidR="006512DD">
        <w:rPr>
          <w:rFonts w:eastAsia="Calibri"/>
          <w:color w:val="000000"/>
          <w:sz w:val="24"/>
          <w:szCs w:val="24"/>
        </w:rPr>
        <w:t xml:space="preserve"> on May 30, 2025, </w:t>
      </w:r>
      <w:r w:rsidRPr="001D6057">
        <w:rPr>
          <w:rFonts w:eastAsia="Calibri"/>
          <w:color w:val="000000"/>
          <w:sz w:val="24"/>
          <w:szCs w:val="24"/>
        </w:rPr>
        <w:t xml:space="preserve">Volume </w:t>
      </w:r>
      <w:r w:rsidR="006512DD">
        <w:rPr>
          <w:rFonts w:eastAsia="Calibri"/>
          <w:color w:val="000000"/>
          <w:sz w:val="24"/>
          <w:szCs w:val="24"/>
        </w:rPr>
        <w:t>90</w:t>
      </w:r>
      <w:r w:rsidRPr="001D6057">
        <w:rPr>
          <w:rFonts w:eastAsia="Calibri"/>
          <w:color w:val="000000"/>
          <w:sz w:val="24"/>
          <w:szCs w:val="24"/>
        </w:rPr>
        <w:t xml:space="preserve">; Page </w:t>
      </w:r>
      <w:r w:rsidR="006512DD">
        <w:rPr>
          <w:rFonts w:eastAsia="Calibri"/>
          <w:color w:val="000000"/>
          <w:sz w:val="24"/>
          <w:szCs w:val="24"/>
        </w:rPr>
        <w:t>23063</w:t>
      </w:r>
      <w:r w:rsidRPr="001D6057">
        <w:rPr>
          <w:rFonts w:eastAsia="Calibri"/>
          <w:color w:val="000000"/>
          <w:sz w:val="24"/>
          <w:szCs w:val="24"/>
        </w:rPr>
        <w:t xml:space="preserve">. </w:t>
      </w:r>
      <w:r w:rsidR="006512DD">
        <w:rPr>
          <w:rFonts w:eastAsia="Calibri"/>
          <w:color w:val="000000"/>
          <w:sz w:val="24"/>
          <w:szCs w:val="24"/>
        </w:rPr>
        <w:t xml:space="preserve"> </w:t>
      </w:r>
      <w:r w:rsidRPr="001D6057">
        <w:rPr>
          <w:rFonts w:eastAsia="Calibri"/>
          <w:color w:val="000000"/>
          <w:sz w:val="24"/>
          <w:szCs w:val="24"/>
        </w:rPr>
        <w:t>In response to the Proposed Information Collection HUD received submissions no comments</w:t>
      </w:r>
      <w:r w:rsidR="007636AC">
        <w:rPr>
          <w:rFonts w:eastAsia="Calibri"/>
          <w:color w:val="000000"/>
          <w:sz w:val="24"/>
          <w:szCs w:val="24"/>
        </w:rPr>
        <w:t>.</w:t>
      </w:r>
    </w:p>
    <w:p w:rsidR="009E13B1" w:rsidRPr="006C7FAE" w14:paraId="5408FD32" w14:textId="77777777">
      <w:pPr>
        <w:tabs>
          <w:tab w:val="left" w:pos="360"/>
        </w:tabs>
        <w:ind w:left="360" w:hanging="360"/>
        <w:rPr>
          <w:sz w:val="24"/>
          <w:szCs w:val="24"/>
        </w:rPr>
      </w:pPr>
    </w:p>
    <w:p w:rsidR="009E13B1" w:rsidRPr="006C7FAE" w14:paraId="77E636F6"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A7760F" w:rsidRPr="001D6057" w:rsidP="00A7760F" w14:paraId="7396B418" w14:textId="77777777">
      <w:pPr>
        <w:keepLines/>
        <w:tabs>
          <w:tab w:val="left" w:pos="360"/>
        </w:tabs>
        <w:spacing w:after="80"/>
        <w:ind w:left="360" w:hanging="360"/>
        <w:rPr>
          <w:sz w:val="24"/>
          <w:szCs w:val="24"/>
        </w:rPr>
      </w:pPr>
      <w:r w:rsidRPr="001D6057">
        <w:rPr>
          <w:color w:val="000000"/>
          <w:sz w:val="24"/>
          <w:szCs w:val="24"/>
        </w:rPr>
        <w:t>There have been no gifts or payments in association with this program</w:t>
      </w:r>
      <w:r w:rsidR="007636AC">
        <w:rPr>
          <w:color w:val="000000"/>
          <w:sz w:val="24"/>
          <w:szCs w:val="24"/>
        </w:rPr>
        <w:t>.</w:t>
      </w:r>
    </w:p>
    <w:p w:rsidR="009E13B1" w:rsidRPr="006C7FAE" w14:paraId="55D7665D" w14:textId="77777777">
      <w:pPr>
        <w:tabs>
          <w:tab w:val="left" w:pos="360"/>
        </w:tabs>
        <w:ind w:left="360" w:hanging="360"/>
        <w:rPr>
          <w:sz w:val="24"/>
          <w:szCs w:val="24"/>
        </w:rPr>
      </w:pPr>
    </w:p>
    <w:p w:rsidR="009E13B1" w:rsidRPr="006C7FAE" w14:paraId="437EE64F" w14:textId="77777777">
      <w:pPr>
        <w:keepLines/>
        <w:tabs>
          <w:tab w:val="left" w:pos="360"/>
        </w:tabs>
        <w:spacing w:after="80"/>
        <w:ind w:left="360" w:hanging="360"/>
        <w:rPr>
          <w:sz w:val="24"/>
          <w:szCs w:val="24"/>
        </w:rPr>
      </w:pPr>
      <w:r w:rsidRPr="00DB7579">
        <w:rPr>
          <w:sz w:val="24"/>
          <w:szCs w:val="24"/>
        </w:rPr>
        <w:t>10.</w:t>
      </w:r>
      <w:r w:rsidRPr="00DB7579">
        <w:rPr>
          <w:sz w:val="24"/>
          <w:szCs w:val="24"/>
        </w:rPr>
        <w:tab/>
        <w:t>Describe any assurance of confidentiality provided to respondents and the basis for assurance in statute, regulation or agency policy.</w:t>
      </w:r>
      <w:r w:rsidRPr="00DB7579" w:rsidR="000D5079">
        <w:t xml:space="preserve"> </w:t>
      </w:r>
      <w:r w:rsidRPr="00DB7579" w:rsidR="000D5079">
        <w:rPr>
          <w:sz w:val="24"/>
          <w:szCs w:val="24"/>
        </w:rPr>
        <w:t xml:space="preserve">If the collection requires a </w:t>
      </w:r>
      <w:r w:rsidRPr="00DB7579" w:rsidR="00BB2518">
        <w:rPr>
          <w:sz w:val="24"/>
          <w:szCs w:val="24"/>
        </w:rPr>
        <w:t>system of records notice (SORN)</w:t>
      </w:r>
      <w:r w:rsidRPr="00DB7579" w:rsidR="000D5079">
        <w:rPr>
          <w:sz w:val="24"/>
          <w:szCs w:val="24"/>
        </w:rPr>
        <w:t xml:space="preserve"> or privacy impact assessment (PIA), those should be cited and described here.</w:t>
      </w:r>
    </w:p>
    <w:p w:rsidR="00A1601E" w:rsidRPr="001D6057" w:rsidP="00A1601E" w14:paraId="47B2C8F5" w14:textId="77777777">
      <w:pPr>
        <w:keepNext/>
        <w:tabs>
          <w:tab w:val="left" w:pos="0"/>
          <w:tab w:val="left" w:pos="720"/>
          <w:tab w:val="left" w:pos="840"/>
        </w:tabs>
        <w:overflowPunct/>
        <w:autoSpaceDE/>
        <w:autoSpaceDN/>
        <w:adjustRightInd/>
        <w:spacing w:after="120"/>
        <w:textAlignment w:val="auto"/>
        <w:rPr>
          <w:sz w:val="24"/>
          <w:szCs w:val="24"/>
        </w:rPr>
      </w:pPr>
      <w:r w:rsidRPr="001D6057">
        <w:rPr>
          <w:sz w:val="24"/>
          <w:szCs w:val="24"/>
        </w:rPr>
        <w:t>PJs receiving HOME funds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9E13B1" w:rsidRPr="006C7FAE" w14:paraId="76564D72" w14:textId="77777777">
      <w:pPr>
        <w:tabs>
          <w:tab w:val="left" w:pos="360"/>
        </w:tabs>
        <w:ind w:left="360" w:hanging="360"/>
        <w:rPr>
          <w:sz w:val="24"/>
          <w:szCs w:val="24"/>
        </w:rPr>
      </w:pPr>
    </w:p>
    <w:p w:rsidR="009E13B1" w:rsidRPr="006C7FAE" w14:paraId="67E60C1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601E" w:rsidRPr="001D6057" w:rsidP="00A1601E" w14:paraId="2BC6FF8F" w14:textId="77777777">
      <w:pPr>
        <w:keepLines/>
        <w:tabs>
          <w:tab w:val="left" w:pos="360"/>
          <w:tab w:val="left" w:pos="720"/>
        </w:tabs>
        <w:overflowPunct/>
        <w:autoSpaceDE/>
        <w:autoSpaceDN/>
        <w:adjustRightInd/>
        <w:ind w:left="360" w:hanging="360"/>
        <w:textAlignment w:val="auto"/>
        <w:rPr>
          <w:color w:val="000000"/>
          <w:sz w:val="24"/>
          <w:szCs w:val="24"/>
        </w:rPr>
      </w:pPr>
      <w:r w:rsidRPr="001D6057">
        <w:rPr>
          <w:color w:val="000000"/>
          <w:sz w:val="24"/>
          <w:szCs w:val="24"/>
        </w:rPr>
        <w:t xml:space="preserve">There are no questions of a sensitive nature in association with this program. </w:t>
      </w:r>
    </w:p>
    <w:p w:rsidR="00A65F9E" w14:paraId="1ACB7C85" w14:textId="77777777">
      <w:pPr>
        <w:tabs>
          <w:tab w:val="left" w:pos="360"/>
        </w:tabs>
        <w:ind w:left="360" w:hanging="360"/>
        <w:rPr>
          <w:sz w:val="24"/>
          <w:szCs w:val="24"/>
        </w:rPr>
      </w:pPr>
    </w:p>
    <w:p w:rsidR="000D5079" w14:paraId="27B66D97"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C97059C" w14:textId="77777777">
      <w:pPr>
        <w:tabs>
          <w:tab w:val="left" w:pos="360"/>
        </w:tabs>
        <w:ind w:left="360" w:hanging="360"/>
        <w:rPr>
          <w:sz w:val="24"/>
          <w:szCs w:val="24"/>
        </w:rPr>
      </w:pPr>
      <w:r w:rsidRPr="006C7FAE">
        <w:rPr>
          <w:sz w:val="24"/>
          <w:szCs w:val="24"/>
        </w:rPr>
        <w:t xml:space="preserve"> </w:t>
      </w:r>
    </w:p>
    <w:p w:rsidR="009E13B1" w:rsidRPr="006C7FAE" w14:paraId="68BEFDA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0215AA31"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A1601E" w14:paraId="142EC7F6" w14:textId="48953A0B">
      <w:pPr>
        <w:keepLines/>
        <w:numPr>
          <w:ilvl w:val="0"/>
          <w:numId w:val="14"/>
        </w:numPr>
        <w:tabs>
          <w:tab w:val="left" w:pos="480"/>
        </w:tabs>
        <w:spacing w:after="80"/>
        <w:ind w:left="480"/>
        <w:rPr>
          <w:sz w:val="24"/>
          <w:szCs w:val="24"/>
        </w:rPr>
      </w:pPr>
      <w:r>
        <w:rPr>
          <w:sz w:val="24"/>
          <w:szCs w:val="24"/>
        </w:rPr>
        <w:t>P</w:t>
      </w:r>
      <w:r w:rsidRPr="006C7FAE" w:rsidR="009E13B1">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sidR="009E13B1">
        <w:rPr>
          <w:sz w:val="24"/>
          <w:szCs w:val="24"/>
        </w:rPr>
        <w:t xml:space="preserve"> this cost should be included in Item 13.</w:t>
      </w:r>
    </w:p>
    <w:tbl>
      <w:tblPr>
        <w:tblpPr w:leftFromText="180" w:rightFromText="180" w:tblpX="-612" w:tblpY="-1175"/>
        <w:tblW w:w="12451" w:type="dxa"/>
        <w:tblLook w:val="04A0"/>
      </w:tblPr>
      <w:tblGrid>
        <w:gridCol w:w="2972"/>
        <w:gridCol w:w="1239"/>
        <w:gridCol w:w="1101"/>
        <w:gridCol w:w="1244"/>
        <w:gridCol w:w="999"/>
        <w:gridCol w:w="1170"/>
        <w:gridCol w:w="990"/>
        <w:gridCol w:w="2070"/>
        <w:gridCol w:w="222"/>
        <w:gridCol w:w="222"/>
        <w:gridCol w:w="222"/>
      </w:tblGrid>
      <w:tr w14:paraId="14E15B77" w14:textId="77777777" w:rsidTr="00605A09">
        <w:tblPrEx>
          <w:tblW w:w="12451" w:type="dxa"/>
          <w:tblLook w:val="04A0"/>
        </w:tblPrEx>
        <w:trPr>
          <w:gridAfter w:val="3"/>
          <w:trHeight w:val="620"/>
        </w:trPr>
        <w:tc>
          <w:tcPr>
            <w:tcW w:w="2972"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330C29" w:rsidRPr="00CE05C3" w14:paraId="7BC1C50F" w14:textId="59D20C8E">
            <w:pPr>
              <w:overflowPunct/>
              <w:autoSpaceDE/>
              <w:autoSpaceDN/>
              <w:adjustRightInd/>
              <w:jc w:val="center"/>
              <w:textAlignment w:val="auto"/>
              <w:rPr>
                <w:color w:val="000000"/>
              </w:rPr>
            </w:pPr>
            <w:bookmarkStart w:id="3" w:name="_Hlk204333492"/>
            <w:bookmarkStart w:id="4" w:name="_Hlk189828965"/>
            <w:bookmarkStart w:id="5" w:name="_Hlk204333546"/>
            <w:r>
              <w:rPr>
                <w:color w:val="000000"/>
              </w:rPr>
              <w:t>I</w:t>
            </w:r>
            <w:r w:rsidRPr="00CE05C3">
              <w:rPr>
                <w:color w:val="000000"/>
              </w:rPr>
              <w:t>nformation Collection</w:t>
            </w:r>
          </w:p>
        </w:tc>
        <w:tc>
          <w:tcPr>
            <w:tcW w:w="1239" w:type="dxa"/>
            <w:tcBorders>
              <w:top w:val="single" w:sz="4" w:space="0" w:color="auto"/>
              <w:left w:val="nil"/>
              <w:bottom w:val="single" w:sz="4" w:space="0" w:color="auto"/>
              <w:right w:val="single" w:sz="4" w:space="0" w:color="auto"/>
            </w:tcBorders>
            <w:shd w:val="clear" w:color="auto" w:fill="A6A6A6"/>
            <w:vAlign w:val="bottom"/>
            <w:hideMark/>
          </w:tcPr>
          <w:p w:rsidR="00330C29" w:rsidRPr="00CE05C3" w14:paraId="53B1D0A7" w14:textId="1D5DDF32">
            <w:pPr>
              <w:overflowPunct/>
              <w:autoSpaceDE/>
              <w:autoSpaceDN/>
              <w:adjustRightInd/>
              <w:jc w:val="center"/>
              <w:textAlignment w:val="auto"/>
              <w:rPr>
                <w:color w:val="000000"/>
              </w:rPr>
            </w:pPr>
            <w:r w:rsidRPr="00CE05C3">
              <w:rPr>
                <w:color w:val="000000"/>
              </w:rPr>
              <w:t>Number of Respondents</w:t>
            </w:r>
          </w:p>
        </w:tc>
        <w:tc>
          <w:tcPr>
            <w:tcW w:w="1101" w:type="dxa"/>
            <w:tcBorders>
              <w:top w:val="single" w:sz="4" w:space="0" w:color="auto"/>
              <w:left w:val="nil"/>
              <w:bottom w:val="single" w:sz="4" w:space="0" w:color="auto"/>
              <w:right w:val="single" w:sz="4" w:space="0" w:color="auto"/>
            </w:tcBorders>
            <w:shd w:val="clear" w:color="auto" w:fill="A6A6A6"/>
            <w:vAlign w:val="bottom"/>
            <w:hideMark/>
          </w:tcPr>
          <w:p w:rsidR="00330C29" w:rsidRPr="00CE05C3" w14:paraId="679E686A" w14:textId="77777777">
            <w:pPr>
              <w:overflowPunct/>
              <w:autoSpaceDE/>
              <w:autoSpaceDN/>
              <w:adjustRightInd/>
              <w:jc w:val="center"/>
              <w:textAlignment w:val="auto"/>
              <w:rPr>
                <w:color w:val="000000"/>
              </w:rPr>
            </w:pPr>
            <w:r w:rsidRPr="00CE05C3">
              <w:rPr>
                <w:color w:val="000000"/>
              </w:rPr>
              <w:t>Frequency of Response</w:t>
            </w:r>
          </w:p>
        </w:tc>
        <w:tc>
          <w:tcPr>
            <w:tcW w:w="1244" w:type="dxa"/>
            <w:tcBorders>
              <w:top w:val="single" w:sz="4" w:space="0" w:color="auto"/>
              <w:left w:val="nil"/>
              <w:bottom w:val="single" w:sz="4" w:space="0" w:color="auto"/>
              <w:right w:val="single" w:sz="4" w:space="0" w:color="auto"/>
            </w:tcBorders>
            <w:shd w:val="clear" w:color="auto" w:fill="A6A6A6"/>
            <w:vAlign w:val="bottom"/>
            <w:hideMark/>
          </w:tcPr>
          <w:p w:rsidR="00330C29" w:rsidRPr="00CE05C3" w14:paraId="43188ADE" w14:textId="77777777">
            <w:pPr>
              <w:overflowPunct/>
              <w:autoSpaceDE/>
              <w:autoSpaceDN/>
              <w:adjustRightInd/>
              <w:ind w:right="183"/>
              <w:jc w:val="center"/>
              <w:textAlignment w:val="auto"/>
              <w:rPr>
                <w:color w:val="000000"/>
              </w:rPr>
            </w:pPr>
            <w:r w:rsidRPr="00CE05C3">
              <w:rPr>
                <w:color w:val="000000"/>
              </w:rPr>
              <w:t>Responses Per Annum</w:t>
            </w:r>
          </w:p>
        </w:tc>
        <w:tc>
          <w:tcPr>
            <w:tcW w:w="999" w:type="dxa"/>
            <w:tcBorders>
              <w:top w:val="single" w:sz="4" w:space="0" w:color="auto"/>
              <w:left w:val="nil"/>
              <w:bottom w:val="single" w:sz="4" w:space="0" w:color="auto"/>
              <w:right w:val="single" w:sz="4" w:space="0" w:color="auto"/>
            </w:tcBorders>
            <w:shd w:val="clear" w:color="auto" w:fill="A6A6A6"/>
            <w:vAlign w:val="bottom"/>
            <w:hideMark/>
          </w:tcPr>
          <w:p w:rsidR="00330C29" w:rsidRPr="00CE05C3" w14:paraId="1F9430C1" w14:textId="77777777">
            <w:pPr>
              <w:overflowPunct/>
              <w:autoSpaceDE/>
              <w:autoSpaceDN/>
              <w:adjustRightInd/>
              <w:jc w:val="center"/>
              <w:textAlignment w:val="auto"/>
              <w:rPr>
                <w:color w:val="000000"/>
              </w:rPr>
            </w:pPr>
            <w:r w:rsidRPr="00CE05C3">
              <w:rPr>
                <w:color w:val="000000"/>
              </w:rPr>
              <w:t>Burden Hour Per Response</w:t>
            </w:r>
          </w:p>
        </w:tc>
        <w:tc>
          <w:tcPr>
            <w:tcW w:w="1170" w:type="dxa"/>
            <w:tcBorders>
              <w:top w:val="single" w:sz="4" w:space="0" w:color="auto"/>
              <w:left w:val="nil"/>
              <w:bottom w:val="single" w:sz="4" w:space="0" w:color="auto"/>
              <w:right w:val="single" w:sz="4" w:space="0" w:color="auto"/>
            </w:tcBorders>
            <w:shd w:val="clear" w:color="auto" w:fill="A6A6A6"/>
            <w:vAlign w:val="bottom"/>
            <w:hideMark/>
          </w:tcPr>
          <w:p w:rsidR="00330C29" w:rsidRPr="00CE05C3" w:rsidP="00BD087C" w14:paraId="131F283E" w14:textId="77777777">
            <w:pPr>
              <w:overflowPunct/>
              <w:autoSpaceDE/>
              <w:autoSpaceDN/>
              <w:adjustRightInd/>
              <w:ind w:right="286"/>
              <w:jc w:val="center"/>
              <w:textAlignment w:val="auto"/>
              <w:rPr>
                <w:color w:val="000000"/>
              </w:rPr>
            </w:pPr>
            <w:r w:rsidRPr="00CE05C3">
              <w:rPr>
                <w:color w:val="000000"/>
              </w:rPr>
              <w:t>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A6A6A6"/>
          </w:tcPr>
          <w:p w:rsidR="00330C29" w:rsidRPr="00CE05C3" w14:paraId="0369713F" w14:textId="7BB22C4C">
            <w:pPr>
              <w:overflowPunct/>
              <w:autoSpaceDE/>
              <w:autoSpaceDN/>
              <w:adjustRightInd/>
              <w:jc w:val="center"/>
              <w:textAlignment w:val="auto"/>
              <w:rPr>
                <w:color w:val="000000"/>
              </w:rPr>
            </w:pPr>
            <w:r w:rsidRPr="00CE05C3">
              <w:rPr>
                <w:color w:val="000000"/>
              </w:rPr>
              <w:t>Hourly Cost Per Response</w:t>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330C29" w:rsidRPr="00CE05C3" w14:paraId="2D579AFB" w14:textId="34F057EA">
            <w:pPr>
              <w:overflowPunct/>
              <w:autoSpaceDE/>
              <w:autoSpaceDN/>
              <w:adjustRightInd/>
              <w:jc w:val="center"/>
              <w:textAlignment w:val="auto"/>
              <w:rPr>
                <w:color w:val="000000"/>
              </w:rPr>
            </w:pPr>
            <w:r w:rsidRPr="00CE05C3">
              <w:rPr>
                <w:color w:val="000000"/>
              </w:rPr>
              <w:t>Annual Cost</w:t>
            </w:r>
          </w:p>
        </w:tc>
      </w:tr>
      <w:bookmarkEnd w:id="3"/>
      <w:tr w14:paraId="79E49A8E"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270A9260" w14:textId="720416DA">
            <w:pPr>
              <w:overflowPunct/>
              <w:autoSpaceDE/>
              <w:autoSpaceDN/>
              <w:adjustRightInd/>
              <w:textAlignment w:val="auto"/>
              <w:rPr>
                <w:color w:val="000000"/>
              </w:rPr>
            </w:pPr>
            <w:r w:rsidRPr="00CE05C3">
              <w:rPr>
                <w:color w:val="000000"/>
              </w:rPr>
              <w:t>Insular areas submission requirement (§ 92.61(a))</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5B9E4404" w14:textId="34CC085B">
            <w:pPr>
              <w:overflowPunct/>
              <w:autoSpaceDE/>
              <w:autoSpaceDN/>
              <w:adjustRightInd/>
              <w:jc w:val="right"/>
              <w:textAlignment w:val="auto"/>
              <w:rPr>
                <w:color w:val="000000"/>
              </w:rPr>
            </w:pPr>
            <w:r w:rsidRPr="00CE05C3">
              <w:rPr>
                <w:color w:val="000000"/>
              </w:rPr>
              <w:t xml:space="preserve">                        4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61A430CE" w14:textId="647BDD49">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72F1497E" w14:textId="53149042">
            <w:pPr>
              <w:overflowPunct/>
              <w:autoSpaceDE/>
              <w:autoSpaceDN/>
              <w:adjustRightInd/>
              <w:jc w:val="right"/>
              <w:textAlignment w:val="auto"/>
              <w:rPr>
                <w:color w:val="000000"/>
              </w:rPr>
            </w:pPr>
            <w:r w:rsidRPr="00CE05C3">
              <w:rPr>
                <w:color w:val="000000"/>
              </w:rPr>
              <w:t>4</w:t>
            </w:r>
          </w:p>
        </w:tc>
        <w:tc>
          <w:tcPr>
            <w:tcW w:w="999" w:type="dxa"/>
            <w:tcBorders>
              <w:top w:val="nil"/>
              <w:left w:val="nil"/>
              <w:bottom w:val="single" w:sz="4" w:space="0" w:color="auto"/>
              <w:right w:val="single" w:sz="4" w:space="0" w:color="auto"/>
            </w:tcBorders>
            <w:noWrap/>
            <w:vAlign w:val="bottom"/>
            <w:hideMark/>
          </w:tcPr>
          <w:p w:rsidR="008B0916" w:rsidRPr="00CE05C3" w:rsidP="008B0916" w14:paraId="2D9D4DE0" w14:textId="77777777">
            <w:pPr>
              <w:overflowPunct/>
              <w:autoSpaceDE/>
              <w:autoSpaceDN/>
              <w:adjustRightInd/>
              <w:jc w:val="right"/>
              <w:textAlignment w:val="auto"/>
              <w:rPr>
                <w:color w:val="000000"/>
              </w:rPr>
            </w:pPr>
            <w:r w:rsidRPr="00CE05C3">
              <w:rPr>
                <w:color w:val="000000"/>
              </w:rPr>
              <w:t>10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06C161D2" w14:textId="3D58B407">
            <w:pPr>
              <w:overflowPunct/>
              <w:autoSpaceDE/>
              <w:autoSpaceDN/>
              <w:adjustRightInd/>
              <w:jc w:val="right"/>
              <w:textAlignment w:val="auto"/>
              <w:rPr>
                <w:color w:val="000000"/>
              </w:rPr>
            </w:pPr>
            <w:r w:rsidRPr="00CE05C3">
              <w:rPr>
                <w:color w:val="000000"/>
              </w:rPr>
              <w:t xml:space="preserve">            40.00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0FC31953" w14:textId="7F599A83">
            <w:pPr>
              <w:overflowPunct/>
              <w:autoSpaceDE/>
              <w:autoSpaceDN/>
              <w:adjustRightInd/>
              <w:jc w:val="right"/>
              <w:textAlignment w:val="auto"/>
              <w:rPr>
                <w:color w:val="000000"/>
              </w:rPr>
            </w:pPr>
            <w:r w:rsidRPr="00CE05C3">
              <w:rPr>
                <w:color w:val="000000"/>
              </w:rPr>
              <w:t>$48.59</w:t>
            </w:r>
          </w:p>
        </w:tc>
        <w:tc>
          <w:tcPr>
            <w:tcW w:w="2070" w:type="dxa"/>
            <w:tcBorders>
              <w:top w:val="single" w:sz="4" w:space="0" w:color="auto"/>
              <w:left w:val="single" w:sz="4" w:space="0" w:color="auto"/>
              <w:bottom w:val="single" w:sz="4" w:space="0" w:color="auto"/>
              <w:right w:val="single" w:sz="4" w:space="0" w:color="auto"/>
            </w:tcBorders>
            <w:noWrap/>
            <w:hideMark/>
          </w:tcPr>
          <w:p w:rsidR="008B0916" w:rsidRPr="00CE05C3" w:rsidP="008B0916" w14:paraId="43D267CA" w14:textId="56E70D31">
            <w:pPr>
              <w:overflowPunct/>
              <w:autoSpaceDE/>
              <w:autoSpaceDN/>
              <w:adjustRightInd/>
              <w:jc w:val="right"/>
              <w:textAlignment w:val="auto"/>
              <w:rPr>
                <w:color w:val="000000"/>
              </w:rPr>
            </w:pPr>
            <w:r w:rsidRPr="00CE05C3">
              <w:t>$1,943.60</w:t>
            </w:r>
          </w:p>
        </w:tc>
      </w:tr>
      <w:tr w14:paraId="3A26CA26"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69CE54CA" w14:textId="66B3F55A">
            <w:pPr>
              <w:overflowPunct/>
              <w:autoSpaceDE/>
              <w:autoSpaceDN/>
              <w:adjustRightInd/>
              <w:textAlignment w:val="auto"/>
              <w:rPr>
                <w:color w:val="000000"/>
              </w:rPr>
            </w:pPr>
            <w:r w:rsidRPr="00CE05C3">
              <w:rPr>
                <w:color w:val="000000"/>
              </w:rPr>
              <w:t>Consortia Doc Submission         (§ 92.101(a)(2))</w:t>
            </w:r>
          </w:p>
        </w:tc>
        <w:tc>
          <w:tcPr>
            <w:tcW w:w="1239" w:type="dxa"/>
            <w:tcBorders>
              <w:top w:val="nil"/>
              <w:left w:val="single" w:sz="4" w:space="0" w:color="auto"/>
              <w:bottom w:val="single" w:sz="4" w:space="0" w:color="auto"/>
              <w:right w:val="single" w:sz="4" w:space="0" w:color="auto"/>
            </w:tcBorders>
            <w:noWrap/>
            <w:vAlign w:val="bottom"/>
            <w:hideMark/>
          </w:tcPr>
          <w:p w:rsidR="008B0916" w:rsidRPr="00CE05C3" w:rsidP="008B0916" w14:paraId="2B97C2EB" w14:textId="717B8FC6">
            <w:pPr>
              <w:overflowPunct/>
              <w:autoSpaceDE/>
              <w:autoSpaceDN/>
              <w:adjustRightInd/>
              <w:jc w:val="right"/>
              <w:textAlignment w:val="auto"/>
              <w:rPr>
                <w:color w:val="000000"/>
              </w:rPr>
            </w:pPr>
            <w:r w:rsidRPr="00CE05C3">
              <w:rPr>
                <w:color w:val="000000"/>
              </w:rPr>
              <w:t xml:space="preserve">                      49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781D7CAC" w14:textId="35F93886">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1E44C161" w14:textId="04504593">
            <w:pPr>
              <w:overflowPunct/>
              <w:autoSpaceDE/>
              <w:autoSpaceDN/>
              <w:adjustRightInd/>
              <w:jc w:val="right"/>
              <w:textAlignment w:val="auto"/>
              <w:rPr>
                <w:color w:val="000000"/>
              </w:rPr>
            </w:pPr>
            <w:r w:rsidRPr="00CE05C3">
              <w:rPr>
                <w:color w:val="000000"/>
              </w:rPr>
              <w:t>49</w:t>
            </w:r>
          </w:p>
        </w:tc>
        <w:tc>
          <w:tcPr>
            <w:tcW w:w="999" w:type="dxa"/>
            <w:tcBorders>
              <w:top w:val="nil"/>
              <w:left w:val="nil"/>
              <w:bottom w:val="single" w:sz="4" w:space="0" w:color="auto"/>
              <w:right w:val="single" w:sz="4" w:space="0" w:color="auto"/>
            </w:tcBorders>
            <w:noWrap/>
            <w:vAlign w:val="bottom"/>
            <w:hideMark/>
          </w:tcPr>
          <w:p w:rsidR="008B0916" w:rsidRPr="00CE05C3" w:rsidP="008B0916" w14:paraId="4EBB797C" w14:textId="77777777">
            <w:pPr>
              <w:overflowPunct/>
              <w:autoSpaceDE/>
              <w:autoSpaceDN/>
              <w:adjustRightInd/>
              <w:jc w:val="right"/>
              <w:textAlignment w:val="auto"/>
              <w:rPr>
                <w:color w:val="000000"/>
              </w:rPr>
            </w:pPr>
            <w:r w:rsidRPr="00CE05C3">
              <w:rPr>
                <w:color w:val="000000"/>
              </w:rPr>
              <w:t>5</w:t>
            </w:r>
          </w:p>
        </w:tc>
        <w:tc>
          <w:tcPr>
            <w:tcW w:w="1170" w:type="dxa"/>
            <w:tcBorders>
              <w:top w:val="nil"/>
              <w:left w:val="single" w:sz="4" w:space="0" w:color="auto"/>
              <w:bottom w:val="single" w:sz="4" w:space="0" w:color="auto"/>
              <w:right w:val="single" w:sz="4" w:space="0" w:color="auto"/>
            </w:tcBorders>
            <w:noWrap/>
            <w:vAlign w:val="bottom"/>
            <w:hideMark/>
          </w:tcPr>
          <w:p w:rsidR="008B0916" w:rsidRPr="00CE05C3" w:rsidP="008B0916" w14:paraId="09305C52" w14:textId="6F6B8A96">
            <w:pPr>
              <w:overflowPunct/>
              <w:autoSpaceDE/>
              <w:autoSpaceDN/>
              <w:adjustRightInd/>
              <w:jc w:val="right"/>
              <w:textAlignment w:val="auto"/>
              <w:rPr>
                <w:color w:val="000000"/>
              </w:rPr>
            </w:pPr>
            <w:r w:rsidRPr="00CE05C3">
              <w:rPr>
                <w:color w:val="000000"/>
              </w:rPr>
              <w:t xml:space="preserve">          245.00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3F334920" w14:textId="74FC88A1">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8B0916" w:rsidRPr="00CE05C3" w:rsidP="008B0916" w14:paraId="1F527A33" w14:textId="70997C01">
            <w:pPr>
              <w:overflowPunct/>
              <w:autoSpaceDE/>
              <w:autoSpaceDN/>
              <w:adjustRightInd/>
              <w:jc w:val="right"/>
              <w:textAlignment w:val="auto"/>
              <w:rPr>
                <w:color w:val="000000"/>
              </w:rPr>
            </w:pPr>
            <w:r w:rsidRPr="00CE05C3">
              <w:t>$11,904.55</w:t>
            </w:r>
          </w:p>
        </w:tc>
      </w:tr>
      <w:tr w14:paraId="1D3A176D"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317137C1" w14:textId="2A729B48">
            <w:pPr>
              <w:overflowPunct/>
              <w:autoSpaceDE/>
              <w:autoSpaceDN/>
              <w:adjustRightInd/>
              <w:textAlignment w:val="auto"/>
              <w:rPr>
                <w:color w:val="000000"/>
              </w:rPr>
            </w:pPr>
            <w:r w:rsidRPr="00CE05C3">
              <w:rPr>
                <w:color w:val="000000"/>
              </w:rPr>
              <w:t>Notification of intent to participate (§ 92.103)</w:t>
            </w:r>
          </w:p>
        </w:tc>
        <w:tc>
          <w:tcPr>
            <w:tcW w:w="1239" w:type="dxa"/>
            <w:tcBorders>
              <w:top w:val="nil"/>
              <w:left w:val="single" w:sz="4" w:space="0" w:color="auto"/>
              <w:bottom w:val="single" w:sz="4" w:space="0" w:color="auto"/>
              <w:right w:val="single" w:sz="4" w:space="0" w:color="auto"/>
            </w:tcBorders>
            <w:noWrap/>
            <w:vAlign w:val="bottom"/>
            <w:hideMark/>
          </w:tcPr>
          <w:p w:rsidR="008B0916" w:rsidRPr="00CE05C3" w:rsidP="008B0916" w14:paraId="5F74BCC1" w14:textId="51A27941">
            <w:pPr>
              <w:overflowPunct/>
              <w:autoSpaceDE/>
              <w:autoSpaceDN/>
              <w:adjustRightInd/>
              <w:jc w:val="right"/>
              <w:textAlignment w:val="auto"/>
              <w:rPr>
                <w:color w:val="000000"/>
              </w:rPr>
            </w:pPr>
            <w:r w:rsidRPr="00CE05C3">
              <w:rPr>
                <w:color w:val="000000"/>
              </w:rPr>
              <w:t xml:space="preserve">                        3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1C7A298F" w14:textId="00A9AB68">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15990694" w14:textId="3CB60710">
            <w:pPr>
              <w:overflowPunct/>
              <w:autoSpaceDE/>
              <w:autoSpaceDN/>
              <w:adjustRightInd/>
              <w:jc w:val="right"/>
              <w:textAlignment w:val="auto"/>
              <w:rPr>
                <w:color w:val="000000"/>
              </w:rPr>
            </w:pPr>
            <w:r w:rsidRPr="00CE05C3">
              <w:rPr>
                <w:color w:val="000000"/>
              </w:rPr>
              <w:t>3</w:t>
            </w:r>
          </w:p>
        </w:tc>
        <w:tc>
          <w:tcPr>
            <w:tcW w:w="999" w:type="dxa"/>
            <w:tcBorders>
              <w:top w:val="nil"/>
              <w:left w:val="nil"/>
              <w:bottom w:val="single" w:sz="4" w:space="0" w:color="auto"/>
              <w:right w:val="single" w:sz="4" w:space="0" w:color="auto"/>
            </w:tcBorders>
            <w:noWrap/>
            <w:vAlign w:val="bottom"/>
            <w:hideMark/>
          </w:tcPr>
          <w:p w:rsidR="008B0916" w:rsidRPr="00CE05C3" w:rsidP="008B0916" w14:paraId="2A9E1503" w14:textId="77777777">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single" w:sz="4" w:space="0" w:color="auto"/>
              <w:right w:val="single" w:sz="4" w:space="0" w:color="auto"/>
            </w:tcBorders>
            <w:noWrap/>
            <w:vAlign w:val="bottom"/>
            <w:hideMark/>
          </w:tcPr>
          <w:p w:rsidR="008B0916" w:rsidRPr="00CE05C3" w:rsidP="008B0916" w14:paraId="0D98E53E" w14:textId="0F6D01F4">
            <w:pPr>
              <w:overflowPunct/>
              <w:autoSpaceDE/>
              <w:autoSpaceDN/>
              <w:adjustRightInd/>
              <w:jc w:val="right"/>
              <w:textAlignment w:val="auto"/>
              <w:rPr>
                <w:color w:val="000000"/>
              </w:rPr>
            </w:pPr>
            <w:r w:rsidRPr="00CE05C3">
              <w:rPr>
                <w:color w:val="000000"/>
              </w:rPr>
              <w:t xml:space="preserve">              3.00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02ECA05F" w14:textId="66BF845D">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8B0916" w:rsidRPr="00CE05C3" w:rsidP="008B0916" w14:paraId="3D9F2423" w14:textId="59174F55">
            <w:pPr>
              <w:overflowPunct/>
              <w:autoSpaceDE/>
              <w:autoSpaceDN/>
              <w:adjustRightInd/>
              <w:jc w:val="right"/>
              <w:textAlignment w:val="auto"/>
              <w:rPr>
                <w:color w:val="000000"/>
              </w:rPr>
            </w:pPr>
            <w:r w:rsidRPr="00CE05C3">
              <w:t>$145.77</w:t>
            </w:r>
          </w:p>
        </w:tc>
      </w:tr>
      <w:tr w14:paraId="707527F2"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45C7B933" w14:textId="0C95DC23">
            <w:pPr>
              <w:overflowPunct/>
              <w:autoSpaceDE/>
              <w:autoSpaceDN/>
              <w:adjustRightInd/>
              <w:textAlignment w:val="auto"/>
              <w:rPr>
                <w:color w:val="000000"/>
              </w:rPr>
            </w:pPr>
            <w:r w:rsidRPr="00CE05C3">
              <w:rPr>
                <w:color w:val="000000"/>
              </w:rPr>
              <w:t>Site and neighborhood standards (§ 92.202(b))</w:t>
            </w:r>
          </w:p>
        </w:tc>
        <w:tc>
          <w:tcPr>
            <w:tcW w:w="1239" w:type="dxa"/>
            <w:tcBorders>
              <w:top w:val="nil"/>
              <w:left w:val="single" w:sz="4" w:space="0" w:color="auto"/>
              <w:bottom w:val="single" w:sz="4" w:space="0" w:color="auto"/>
              <w:right w:val="single" w:sz="4" w:space="0" w:color="auto"/>
            </w:tcBorders>
            <w:noWrap/>
            <w:vAlign w:val="bottom"/>
            <w:hideMark/>
          </w:tcPr>
          <w:p w:rsidR="008B0916" w:rsidRPr="00CE05C3" w:rsidP="008B0916" w14:paraId="1A18B132" w14:textId="212CDE19">
            <w:pPr>
              <w:overflowPunct/>
              <w:autoSpaceDE/>
              <w:autoSpaceDN/>
              <w:adjustRightInd/>
              <w:jc w:val="right"/>
              <w:textAlignment w:val="auto"/>
              <w:rPr>
                <w:color w:val="000000"/>
              </w:rPr>
            </w:pPr>
            <w:r w:rsidRPr="00CE05C3">
              <w:rPr>
                <w:color w:val="000000"/>
              </w:rPr>
              <w:t xml:space="preserve">                    750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40529292" w14:textId="03BDC842">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3ACDC8DA" w14:textId="19E8FFA2">
            <w:pPr>
              <w:overflowPunct/>
              <w:autoSpaceDE/>
              <w:autoSpaceDN/>
              <w:adjustRightInd/>
              <w:jc w:val="right"/>
              <w:textAlignment w:val="auto"/>
              <w:rPr>
                <w:color w:val="000000"/>
              </w:rPr>
            </w:pPr>
            <w:r w:rsidRPr="00CE05C3">
              <w:rPr>
                <w:color w:val="000000"/>
              </w:rPr>
              <w:t>750</w:t>
            </w:r>
          </w:p>
        </w:tc>
        <w:tc>
          <w:tcPr>
            <w:tcW w:w="999" w:type="dxa"/>
            <w:tcBorders>
              <w:top w:val="nil"/>
              <w:left w:val="nil"/>
              <w:bottom w:val="single" w:sz="4" w:space="0" w:color="auto"/>
              <w:right w:val="single" w:sz="4" w:space="0" w:color="auto"/>
            </w:tcBorders>
            <w:noWrap/>
            <w:vAlign w:val="bottom"/>
            <w:hideMark/>
          </w:tcPr>
          <w:p w:rsidR="008B0916" w:rsidRPr="00CE05C3" w:rsidP="008B0916" w14:paraId="039F168F" w14:textId="77777777">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hideMark/>
          </w:tcPr>
          <w:p w:rsidR="008B0916" w:rsidRPr="00CE05C3" w:rsidP="008B0916" w14:paraId="09312ABE" w14:textId="1FC6C011">
            <w:pPr>
              <w:overflowPunct/>
              <w:autoSpaceDE/>
              <w:autoSpaceDN/>
              <w:adjustRightInd/>
              <w:jc w:val="right"/>
              <w:textAlignment w:val="auto"/>
              <w:rPr>
                <w:color w:val="000000"/>
              </w:rPr>
            </w:pPr>
            <w:r w:rsidRPr="00CE05C3">
              <w:rPr>
                <w:color w:val="000000"/>
              </w:rPr>
              <w:t xml:space="preserve">      1,500.00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50C9B54F" w14:textId="6AFE5146">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8B0916" w:rsidRPr="00CE05C3" w:rsidP="008B0916" w14:paraId="3E4176BE" w14:textId="6E8AF6AE">
            <w:pPr>
              <w:overflowPunct/>
              <w:autoSpaceDE/>
              <w:autoSpaceDN/>
              <w:adjustRightInd/>
              <w:jc w:val="right"/>
              <w:textAlignment w:val="auto"/>
              <w:rPr>
                <w:color w:val="000000"/>
              </w:rPr>
            </w:pPr>
            <w:r w:rsidRPr="00CE05C3">
              <w:t xml:space="preserve">$72,885.00 </w:t>
            </w:r>
          </w:p>
        </w:tc>
      </w:tr>
      <w:tr w14:paraId="407D0903"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2A12DA7B" w14:textId="53A5C8B3">
            <w:pPr>
              <w:overflowPunct/>
              <w:autoSpaceDE/>
              <w:autoSpaceDN/>
              <w:adjustRightInd/>
              <w:textAlignment w:val="auto"/>
              <w:rPr>
                <w:color w:val="000000"/>
              </w:rPr>
            </w:pPr>
            <w:r w:rsidRPr="00CE05C3">
              <w:rPr>
                <w:color w:val="000000"/>
              </w:rPr>
              <w:t>Income determinations (Rental) (§ 92.203(a)(1))</w:t>
            </w:r>
          </w:p>
        </w:tc>
        <w:tc>
          <w:tcPr>
            <w:tcW w:w="1239" w:type="dxa"/>
            <w:tcBorders>
              <w:top w:val="nil"/>
              <w:left w:val="single" w:sz="4" w:space="0" w:color="auto"/>
              <w:bottom w:val="single" w:sz="4" w:space="0" w:color="auto"/>
              <w:right w:val="single" w:sz="4" w:space="0" w:color="auto"/>
            </w:tcBorders>
            <w:noWrap/>
            <w:vAlign w:val="bottom"/>
            <w:hideMark/>
          </w:tcPr>
          <w:p w:rsidR="008B0916" w:rsidRPr="00CE05C3" w:rsidP="008B0916" w14:paraId="30546FA9" w14:textId="30B785A5">
            <w:pPr>
              <w:overflowPunct/>
              <w:autoSpaceDE/>
              <w:autoSpaceDN/>
              <w:adjustRightInd/>
              <w:jc w:val="right"/>
              <w:textAlignment w:val="auto"/>
              <w:rPr>
                <w:color w:val="000000"/>
              </w:rPr>
            </w:pPr>
            <w:r w:rsidRPr="00CE05C3">
              <w:rPr>
                <w:color w:val="000000"/>
              </w:rPr>
              <w:t xml:space="preserve">            234,247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324C6B1B" w14:textId="11F5606A">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38B5B3F0" w14:textId="5869897F">
            <w:pPr>
              <w:overflowPunct/>
              <w:autoSpaceDE/>
              <w:autoSpaceDN/>
              <w:adjustRightInd/>
              <w:jc w:val="right"/>
              <w:textAlignment w:val="auto"/>
              <w:rPr>
                <w:color w:val="000000"/>
              </w:rPr>
            </w:pPr>
            <w:r w:rsidRPr="00CE05C3">
              <w:rPr>
                <w:color w:val="000000"/>
              </w:rPr>
              <w:t>234,247</w:t>
            </w:r>
          </w:p>
        </w:tc>
        <w:tc>
          <w:tcPr>
            <w:tcW w:w="999" w:type="dxa"/>
            <w:tcBorders>
              <w:top w:val="nil"/>
              <w:left w:val="nil"/>
              <w:bottom w:val="single" w:sz="4" w:space="0" w:color="auto"/>
              <w:right w:val="single" w:sz="4" w:space="0" w:color="auto"/>
            </w:tcBorders>
            <w:noWrap/>
            <w:vAlign w:val="bottom"/>
            <w:hideMark/>
          </w:tcPr>
          <w:p w:rsidR="008B0916" w:rsidRPr="00CE05C3" w:rsidP="008B0916" w14:paraId="2DC4E2D1" w14:textId="77777777">
            <w:pPr>
              <w:overflowPunct/>
              <w:autoSpaceDE/>
              <w:autoSpaceDN/>
              <w:adjustRightInd/>
              <w:jc w:val="right"/>
              <w:textAlignment w:val="auto"/>
              <w:rPr>
                <w:color w:val="000000"/>
              </w:rPr>
            </w:pPr>
            <w:r w:rsidRPr="00CE05C3">
              <w:rPr>
                <w:color w:val="000000"/>
              </w:rPr>
              <w:t>0.25</w:t>
            </w:r>
          </w:p>
        </w:tc>
        <w:tc>
          <w:tcPr>
            <w:tcW w:w="1170" w:type="dxa"/>
            <w:tcBorders>
              <w:top w:val="nil"/>
              <w:left w:val="single" w:sz="4" w:space="0" w:color="auto"/>
              <w:bottom w:val="single" w:sz="4" w:space="0" w:color="auto"/>
              <w:right w:val="single" w:sz="4" w:space="0" w:color="auto"/>
            </w:tcBorders>
            <w:noWrap/>
            <w:vAlign w:val="bottom"/>
            <w:hideMark/>
          </w:tcPr>
          <w:p w:rsidR="008B0916" w:rsidRPr="00CE05C3" w:rsidP="008B0916" w14:paraId="753E4397" w14:textId="23D90431">
            <w:pPr>
              <w:overflowPunct/>
              <w:autoSpaceDE/>
              <w:autoSpaceDN/>
              <w:adjustRightInd/>
              <w:jc w:val="right"/>
              <w:textAlignment w:val="auto"/>
              <w:rPr>
                <w:color w:val="000000"/>
              </w:rPr>
            </w:pPr>
            <w:r w:rsidRPr="00CE05C3">
              <w:rPr>
                <w:color w:val="000000"/>
              </w:rPr>
              <w:t xml:space="preserve">    58,561.75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0239614C" w14:textId="08DCA32F">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8B0916" w:rsidRPr="00CE05C3" w:rsidP="008B0916" w14:paraId="70B3E59F" w14:textId="7EB66984">
            <w:pPr>
              <w:overflowPunct/>
              <w:autoSpaceDE/>
              <w:autoSpaceDN/>
              <w:adjustRightInd/>
              <w:jc w:val="right"/>
              <w:textAlignment w:val="auto"/>
              <w:rPr>
                <w:color w:val="000000"/>
              </w:rPr>
            </w:pPr>
            <w:r w:rsidRPr="00CE05C3">
              <w:t>$2,845,515.43</w:t>
            </w:r>
          </w:p>
        </w:tc>
      </w:tr>
      <w:tr w14:paraId="4D8FE87E"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64497030" w14:textId="66FE359C">
            <w:pPr>
              <w:overflowPunct/>
              <w:autoSpaceDE/>
              <w:autoSpaceDN/>
              <w:adjustRightInd/>
              <w:textAlignment w:val="auto"/>
              <w:rPr>
                <w:color w:val="000000"/>
              </w:rPr>
            </w:pPr>
            <w:r w:rsidRPr="00CE05C3">
              <w:rPr>
                <w:color w:val="000000"/>
              </w:rPr>
              <w:t>TBRA Tenant selection              (§ 92.209(c))</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8B0916" w:rsidRPr="00CE05C3" w:rsidP="008B0916" w14:paraId="7061C564" w14:textId="03310964">
            <w:pPr>
              <w:overflowPunct/>
              <w:autoSpaceDE/>
              <w:autoSpaceDN/>
              <w:adjustRightInd/>
              <w:jc w:val="right"/>
              <w:textAlignment w:val="auto"/>
              <w:rPr>
                <w:color w:val="000000"/>
              </w:rPr>
            </w:pPr>
            <w:r w:rsidRPr="00CE05C3">
              <w:rPr>
                <w:color w:val="000000"/>
              </w:rPr>
              <w:t xml:space="preserve">              18,006 </w:t>
            </w:r>
          </w:p>
        </w:tc>
        <w:tc>
          <w:tcPr>
            <w:tcW w:w="1101" w:type="dxa"/>
            <w:tcBorders>
              <w:top w:val="nil"/>
              <w:left w:val="nil"/>
              <w:bottom w:val="single" w:sz="4" w:space="0" w:color="auto"/>
              <w:right w:val="single" w:sz="4" w:space="0" w:color="auto"/>
            </w:tcBorders>
            <w:noWrap/>
            <w:vAlign w:val="bottom"/>
            <w:hideMark/>
          </w:tcPr>
          <w:p w:rsidR="008B0916" w:rsidRPr="00CE05C3" w:rsidP="008B0916" w14:paraId="71DE7301" w14:textId="6525D343">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8B0916" w:rsidRPr="00CE05C3" w:rsidP="008B0916" w14:paraId="7DEED9EE" w14:textId="70558468">
            <w:pPr>
              <w:overflowPunct/>
              <w:autoSpaceDE/>
              <w:autoSpaceDN/>
              <w:adjustRightInd/>
              <w:jc w:val="right"/>
              <w:textAlignment w:val="auto"/>
              <w:rPr>
                <w:color w:val="000000"/>
              </w:rPr>
            </w:pPr>
            <w:r w:rsidRPr="00CE05C3">
              <w:rPr>
                <w:color w:val="000000"/>
              </w:rPr>
              <w:t>18,006</w:t>
            </w:r>
          </w:p>
        </w:tc>
        <w:tc>
          <w:tcPr>
            <w:tcW w:w="999" w:type="dxa"/>
            <w:tcBorders>
              <w:top w:val="nil"/>
              <w:left w:val="nil"/>
              <w:bottom w:val="single" w:sz="4" w:space="0" w:color="auto"/>
              <w:right w:val="single" w:sz="4" w:space="0" w:color="auto"/>
            </w:tcBorders>
            <w:noWrap/>
            <w:vAlign w:val="bottom"/>
            <w:hideMark/>
          </w:tcPr>
          <w:p w:rsidR="008B0916" w:rsidRPr="00CE05C3" w:rsidP="008B0916" w14:paraId="4F2B874E" w14:textId="77777777">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single" w:sz="4" w:space="0" w:color="auto"/>
              <w:right w:val="single" w:sz="4" w:space="0" w:color="auto"/>
            </w:tcBorders>
            <w:noWrap/>
            <w:vAlign w:val="bottom"/>
            <w:hideMark/>
          </w:tcPr>
          <w:p w:rsidR="008B0916" w:rsidRPr="00CE05C3" w:rsidP="008B0916" w14:paraId="53F2A150" w14:textId="3DA40EDD">
            <w:pPr>
              <w:overflowPunct/>
              <w:autoSpaceDE/>
              <w:autoSpaceDN/>
              <w:adjustRightInd/>
              <w:jc w:val="right"/>
              <w:textAlignment w:val="auto"/>
              <w:rPr>
                <w:color w:val="000000"/>
              </w:rPr>
            </w:pPr>
            <w:r w:rsidRPr="00CE05C3">
              <w:rPr>
                <w:color w:val="000000"/>
              </w:rPr>
              <w:t xml:space="preserve">    18,006.00 </w:t>
            </w:r>
          </w:p>
        </w:tc>
        <w:tc>
          <w:tcPr>
            <w:tcW w:w="990" w:type="dxa"/>
            <w:tcBorders>
              <w:top w:val="single" w:sz="4" w:space="0" w:color="auto"/>
              <w:left w:val="single" w:sz="4" w:space="0" w:color="auto"/>
              <w:bottom w:val="single" w:sz="4" w:space="0" w:color="auto"/>
              <w:right w:val="single" w:sz="4" w:space="0" w:color="auto"/>
            </w:tcBorders>
            <w:vAlign w:val="bottom"/>
          </w:tcPr>
          <w:p w:rsidR="008B0916" w:rsidRPr="00CE05C3" w:rsidP="008B0916" w14:paraId="1B6B24BC" w14:textId="683F5019">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8B0916" w:rsidRPr="00CE05C3" w:rsidP="008B0916" w14:paraId="1E235C12" w14:textId="283A71D8">
            <w:pPr>
              <w:overflowPunct/>
              <w:autoSpaceDE/>
              <w:autoSpaceDN/>
              <w:adjustRightInd/>
              <w:jc w:val="right"/>
              <w:textAlignment w:val="auto"/>
              <w:rPr>
                <w:color w:val="000000"/>
              </w:rPr>
            </w:pPr>
            <w:r w:rsidRPr="00CE05C3">
              <w:t>$874,911.54</w:t>
            </w:r>
          </w:p>
        </w:tc>
      </w:tr>
      <w:tr w14:paraId="2F25DFC0"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tcPr>
          <w:p w:rsidR="00BE6A9A" w:rsidRPr="00CE05C3" w:rsidP="00BE6A9A" w14:paraId="3A0C9E21" w14:textId="77777777">
            <w:pPr>
              <w:overflowPunct/>
              <w:autoSpaceDE/>
              <w:autoSpaceDN/>
              <w:adjustRightInd/>
              <w:textAlignment w:val="auto"/>
              <w:rPr>
                <w:color w:val="000000"/>
              </w:rPr>
            </w:pPr>
            <w:bookmarkStart w:id="6" w:name="_Hlk204333800"/>
            <w:r w:rsidRPr="00CE05C3">
              <w:rPr>
                <w:color w:val="000000"/>
              </w:rPr>
              <w:t xml:space="preserve">TBRA Income determination </w:t>
            </w:r>
          </w:p>
          <w:p w:rsidR="00BE6A9A" w:rsidRPr="00CE05C3" w:rsidP="00BE6A9A" w14:paraId="37478DFC" w14:textId="6B324CDD">
            <w:pPr>
              <w:overflowPunct/>
              <w:autoSpaceDE/>
              <w:autoSpaceDN/>
              <w:adjustRightInd/>
              <w:textAlignment w:val="auto"/>
              <w:rPr>
                <w:color w:val="000000"/>
              </w:rPr>
            </w:pPr>
            <w:r w:rsidRPr="00CE05C3">
              <w:rPr>
                <w:color w:val="000000"/>
              </w:rPr>
              <w:t>(§ 92.209(c)(1))</w:t>
            </w:r>
          </w:p>
        </w:tc>
        <w:tc>
          <w:tcPr>
            <w:tcW w:w="1239" w:type="dxa"/>
            <w:tcBorders>
              <w:top w:val="nil"/>
              <w:left w:val="single" w:sz="4" w:space="0" w:color="auto"/>
              <w:bottom w:val="single" w:sz="4" w:space="0" w:color="auto"/>
              <w:right w:val="single" w:sz="4" w:space="0" w:color="auto"/>
            </w:tcBorders>
            <w:noWrap/>
            <w:vAlign w:val="bottom"/>
          </w:tcPr>
          <w:p w:rsidR="00BE6A9A" w:rsidRPr="00CE05C3" w:rsidP="00BE6A9A" w14:paraId="4F1ECB12" w14:textId="73DA5936">
            <w:pPr>
              <w:overflowPunct/>
              <w:autoSpaceDE/>
              <w:autoSpaceDN/>
              <w:adjustRightInd/>
              <w:jc w:val="right"/>
              <w:textAlignment w:val="auto"/>
              <w:rPr>
                <w:color w:val="000000"/>
              </w:rPr>
            </w:pPr>
            <w:r w:rsidRPr="00CE05C3">
              <w:rPr>
                <w:color w:val="000000"/>
              </w:rPr>
              <w:t>72,000</w:t>
            </w:r>
          </w:p>
        </w:tc>
        <w:tc>
          <w:tcPr>
            <w:tcW w:w="1101" w:type="dxa"/>
            <w:tcBorders>
              <w:top w:val="nil"/>
              <w:left w:val="nil"/>
              <w:bottom w:val="single" w:sz="4" w:space="0" w:color="auto"/>
              <w:right w:val="single" w:sz="4" w:space="0" w:color="auto"/>
            </w:tcBorders>
            <w:noWrap/>
            <w:vAlign w:val="bottom"/>
          </w:tcPr>
          <w:p w:rsidR="00BE6A9A" w:rsidRPr="00CE05C3" w:rsidP="00BE6A9A" w14:paraId="6B61592A" w14:textId="40ADB1E2">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tcPr>
          <w:p w:rsidR="00BE6A9A" w:rsidRPr="00CE05C3" w:rsidP="00BE6A9A" w14:paraId="10A6821E" w14:textId="2581FE7A">
            <w:pPr>
              <w:overflowPunct/>
              <w:autoSpaceDE/>
              <w:autoSpaceDN/>
              <w:adjustRightInd/>
              <w:jc w:val="right"/>
              <w:textAlignment w:val="auto"/>
              <w:rPr>
                <w:color w:val="000000"/>
              </w:rPr>
            </w:pPr>
            <w:r w:rsidRPr="00CE05C3">
              <w:rPr>
                <w:color w:val="000000"/>
              </w:rPr>
              <w:t>72,000</w:t>
            </w:r>
          </w:p>
        </w:tc>
        <w:tc>
          <w:tcPr>
            <w:tcW w:w="999" w:type="dxa"/>
            <w:tcBorders>
              <w:top w:val="nil"/>
              <w:left w:val="nil"/>
              <w:bottom w:val="single" w:sz="4" w:space="0" w:color="auto"/>
              <w:right w:val="single" w:sz="4" w:space="0" w:color="auto"/>
            </w:tcBorders>
            <w:noWrap/>
            <w:vAlign w:val="bottom"/>
          </w:tcPr>
          <w:p w:rsidR="00BE6A9A" w:rsidRPr="00CE05C3" w:rsidP="00BE6A9A" w14:paraId="5EDA7510" w14:textId="503B8227">
            <w:pPr>
              <w:overflowPunct/>
              <w:autoSpaceDE/>
              <w:autoSpaceDN/>
              <w:adjustRightInd/>
              <w:jc w:val="right"/>
              <w:textAlignment w:val="auto"/>
              <w:rPr>
                <w:color w:val="000000"/>
              </w:rPr>
            </w:pPr>
            <w:r w:rsidRPr="00CE05C3">
              <w:rPr>
                <w:color w:val="000000"/>
              </w:rPr>
              <w:t>0.75</w:t>
            </w:r>
          </w:p>
        </w:tc>
        <w:tc>
          <w:tcPr>
            <w:tcW w:w="1170" w:type="dxa"/>
            <w:tcBorders>
              <w:top w:val="nil"/>
              <w:left w:val="single" w:sz="4" w:space="0" w:color="auto"/>
              <w:bottom w:val="single" w:sz="4" w:space="0" w:color="auto"/>
              <w:right w:val="single" w:sz="4" w:space="0" w:color="auto"/>
            </w:tcBorders>
            <w:noWrap/>
            <w:vAlign w:val="bottom"/>
          </w:tcPr>
          <w:p w:rsidR="00BE6A9A" w:rsidRPr="00CE05C3" w:rsidP="00BE6A9A" w14:paraId="7DC9E18B" w14:textId="3E38D7FD">
            <w:pPr>
              <w:overflowPunct/>
              <w:autoSpaceDE/>
              <w:autoSpaceDN/>
              <w:adjustRightInd/>
              <w:jc w:val="right"/>
              <w:textAlignment w:val="auto"/>
              <w:rPr>
                <w:color w:val="000000"/>
              </w:rPr>
            </w:pPr>
            <w:r w:rsidRPr="00CE05C3">
              <w:rPr>
                <w:color w:val="000000"/>
              </w:rPr>
              <w:t>54,000.00</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44DE7F91" w14:textId="30B98455">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tcPr>
          <w:p w:rsidR="00BE6A9A" w:rsidRPr="00CE05C3" w:rsidP="00BE6A9A" w14:paraId="26D0B113" w14:textId="1F989CB3">
            <w:pPr>
              <w:overflowPunct/>
              <w:autoSpaceDE/>
              <w:autoSpaceDN/>
              <w:adjustRightInd/>
              <w:jc w:val="right"/>
              <w:textAlignment w:val="auto"/>
            </w:pPr>
            <w:r w:rsidRPr="00CE05C3">
              <w:t>$2,623,860.00</w:t>
            </w:r>
          </w:p>
        </w:tc>
      </w:tr>
      <w:bookmarkEnd w:id="6"/>
      <w:tr w14:paraId="64C9DF40"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694D7D36" w14:textId="348B5CE9">
            <w:pPr>
              <w:overflowPunct/>
              <w:autoSpaceDE/>
              <w:autoSpaceDN/>
              <w:adjustRightInd/>
              <w:textAlignment w:val="auto"/>
              <w:rPr>
                <w:color w:val="000000"/>
              </w:rPr>
            </w:pPr>
            <w:r w:rsidRPr="00CE05C3">
              <w:rPr>
                <w:color w:val="000000"/>
              </w:rPr>
              <w:t>Troubled HOME-Assisted Rental Projects (§ 92.210)</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5CC97282" w14:textId="7C311651">
            <w:pPr>
              <w:overflowPunct/>
              <w:autoSpaceDE/>
              <w:autoSpaceDN/>
              <w:adjustRightInd/>
              <w:jc w:val="right"/>
              <w:textAlignment w:val="auto"/>
              <w:rPr>
                <w:color w:val="000000"/>
              </w:rPr>
            </w:pPr>
            <w:r w:rsidRPr="00CE05C3">
              <w:rPr>
                <w:color w:val="000000"/>
              </w:rPr>
              <w:t xml:space="preserve">                        5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373AC2AA" w14:textId="202B8D8D">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644ABAA3" w14:textId="017F9A93">
            <w:pPr>
              <w:overflowPunct/>
              <w:autoSpaceDE/>
              <w:autoSpaceDN/>
              <w:adjustRightInd/>
              <w:jc w:val="right"/>
              <w:textAlignment w:val="auto"/>
              <w:rPr>
                <w:color w:val="000000"/>
              </w:rPr>
            </w:pPr>
            <w:r w:rsidRPr="00CE05C3">
              <w:rPr>
                <w:color w:val="000000"/>
              </w:rPr>
              <w:t>5</w:t>
            </w:r>
          </w:p>
        </w:tc>
        <w:tc>
          <w:tcPr>
            <w:tcW w:w="999" w:type="dxa"/>
            <w:tcBorders>
              <w:top w:val="nil"/>
              <w:left w:val="nil"/>
              <w:bottom w:val="single" w:sz="4" w:space="0" w:color="auto"/>
              <w:right w:val="single" w:sz="4" w:space="0" w:color="auto"/>
            </w:tcBorders>
            <w:noWrap/>
            <w:vAlign w:val="bottom"/>
            <w:hideMark/>
          </w:tcPr>
          <w:p w:rsidR="00BE6A9A" w:rsidRPr="00CE05C3" w:rsidP="00BE6A9A" w14:paraId="21E6F8FA" w14:textId="77777777">
            <w:pPr>
              <w:overflowPunct/>
              <w:autoSpaceDE/>
              <w:autoSpaceDN/>
              <w:adjustRightInd/>
              <w:jc w:val="right"/>
              <w:textAlignment w:val="auto"/>
              <w:rPr>
                <w:color w:val="000000"/>
              </w:rPr>
            </w:pPr>
            <w:r w:rsidRPr="00CE05C3">
              <w:rPr>
                <w:color w:val="000000"/>
              </w:rPr>
              <w:t>0.5</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34EA48AA" w14:textId="43499857">
            <w:pPr>
              <w:overflowPunct/>
              <w:autoSpaceDE/>
              <w:autoSpaceDN/>
              <w:adjustRightInd/>
              <w:jc w:val="right"/>
              <w:textAlignment w:val="auto"/>
              <w:rPr>
                <w:color w:val="000000"/>
              </w:rPr>
            </w:pPr>
            <w:r w:rsidRPr="00CE05C3">
              <w:rPr>
                <w:color w:val="000000"/>
              </w:rPr>
              <w:t xml:space="preserve">              2.50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09FB6023" w14:textId="6D7A66A1">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1AF2844B" w14:textId="03BEEE38">
            <w:pPr>
              <w:overflowPunct/>
              <w:autoSpaceDE/>
              <w:autoSpaceDN/>
              <w:adjustRightInd/>
              <w:jc w:val="right"/>
              <w:textAlignment w:val="auto"/>
              <w:rPr>
                <w:color w:val="000000"/>
              </w:rPr>
            </w:pPr>
            <w:r w:rsidRPr="00CE05C3">
              <w:t>$121.48</w:t>
            </w:r>
          </w:p>
        </w:tc>
      </w:tr>
      <w:tr w14:paraId="462DF52E"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tcPr>
          <w:p w:rsidR="00BE6A9A" w:rsidRPr="00CE05C3" w:rsidP="00BE6A9A" w14:paraId="0713E7BA" w14:textId="7742A8F4">
            <w:pPr>
              <w:overflowPunct/>
              <w:autoSpaceDE/>
              <w:autoSpaceDN/>
              <w:adjustRightInd/>
              <w:textAlignment w:val="auto"/>
              <w:rPr>
                <w:color w:val="000000"/>
              </w:rPr>
            </w:pPr>
            <w:r w:rsidRPr="00CE05C3">
              <w:rPr>
                <w:color w:val="000000"/>
              </w:rPr>
              <w:t>Green building max subsidy limits (§ 92.250)</w:t>
            </w:r>
          </w:p>
        </w:tc>
        <w:tc>
          <w:tcPr>
            <w:tcW w:w="1239" w:type="dxa"/>
            <w:tcBorders>
              <w:top w:val="nil"/>
              <w:left w:val="single" w:sz="4" w:space="0" w:color="auto"/>
              <w:bottom w:val="single" w:sz="4" w:space="0" w:color="auto"/>
              <w:right w:val="single" w:sz="4" w:space="0" w:color="auto"/>
            </w:tcBorders>
            <w:noWrap/>
            <w:vAlign w:val="bottom"/>
          </w:tcPr>
          <w:p w:rsidR="00BE6A9A" w:rsidRPr="00CE05C3" w:rsidP="00BE6A9A" w14:paraId="21AD7462" w14:textId="4B4F611E">
            <w:pPr>
              <w:overflowPunct/>
              <w:autoSpaceDE/>
              <w:autoSpaceDN/>
              <w:adjustRightInd/>
              <w:jc w:val="right"/>
              <w:textAlignment w:val="auto"/>
              <w:rPr>
                <w:color w:val="000000"/>
              </w:rPr>
            </w:pPr>
            <w:r w:rsidRPr="00CE05C3">
              <w:rPr>
                <w:color w:val="000000"/>
              </w:rPr>
              <w:t>188</w:t>
            </w:r>
          </w:p>
        </w:tc>
        <w:tc>
          <w:tcPr>
            <w:tcW w:w="1101" w:type="dxa"/>
            <w:tcBorders>
              <w:top w:val="nil"/>
              <w:left w:val="nil"/>
              <w:bottom w:val="single" w:sz="4" w:space="0" w:color="auto"/>
              <w:right w:val="single" w:sz="4" w:space="0" w:color="auto"/>
            </w:tcBorders>
            <w:noWrap/>
            <w:vAlign w:val="bottom"/>
          </w:tcPr>
          <w:p w:rsidR="00BE6A9A" w:rsidRPr="00CE05C3" w:rsidP="00BE6A9A" w14:paraId="165694B8" w14:textId="105AC67A">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tcPr>
          <w:p w:rsidR="00BE6A9A" w:rsidRPr="00CE05C3" w:rsidP="00BE6A9A" w14:paraId="12940467" w14:textId="45BB67C8">
            <w:pPr>
              <w:overflowPunct/>
              <w:autoSpaceDE/>
              <w:autoSpaceDN/>
              <w:adjustRightInd/>
              <w:jc w:val="right"/>
              <w:textAlignment w:val="auto"/>
              <w:rPr>
                <w:color w:val="000000"/>
              </w:rPr>
            </w:pPr>
            <w:r w:rsidRPr="00CE05C3">
              <w:rPr>
                <w:color w:val="000000"/>
              </w:rPr>
              <w:t>188</w:t>
            </w:r>
          </w:p>
        </w:tc>
        <w:tc>
          <w:tcPr>
            <w:tcW w:w="999" w:type="dxa"/>
            <w:tcBorders>
              <w:top w:val="nil"/>
              <w:left w:val="nil"/>
              <w:bottom w:val="single" w:sz="4" w:space="0" w:color="auto"/>
              <w:right w:val="single" w:sz="4" w:space="0" w:color="auto"/>
            </w:tcBorders>
            <w:noWrap/>
            <w:vAlign w:val="bottom"/>
          </w:tcPr>
          <w:p w:rsidR="00BE6A9A" w:rsidRPr="00CE05C3" w:rsidP="00BE6A9A" w14:paraId="5379A7AD" w14:textId="0F279629">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tcPr>
          <w:p w:rsidR="00BE6A9A" w:rsidRPr="00CE05C3" w:rsidP="00BE6A9A" w14:paraId="7D2283E4" w14:textId="4C569C22">
            <w:pPr>
              <w:overflowPunct/>
              <w:autoSpaceDE/>
              <w:autoSpaceDN/>
              <w:adjustRightInd/>
              <w:jc w:val="right"/>
              <w:textAlignment w:val="auto"/>
              <w:rPr>
                <w:color w:val="000000"/>
              </w:rPr>
            </w:pPr>
            <w:r w:rsidRPr="00CE05C3">
              <w:rPr>
                <w:color w:val="000000"/>
              </w:rPr>
              <w:t>376</w:t>
            </w:r>
            <w:r w:rsidRPr="00CE05C3" w:rsidR="00385D16">
              <w:rPr>
                <w:color w:val="000000"/>
              </w:rPr>
              <w:t>.00</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302ABF2F" w14:textId="2005D269">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tcPr>
          <w:p w:rsidR="00BE6A9A" w:rsidRPr="00CE05C3" w:rsidP="00BE6A9A" w14:paraId="72F54391" w14:textId="5A0DE44C">
            <w:pPr>
              <w:overflowPunct/>
              <w:autoSpaceDE/>
              <w:autoSpaceDN/>
              <w:adjustRightInd/>
              <w:jc w:val="right"/>
              <w:textAlignment w:val="auto"/>
            </w:pPr>
            <w:r w:rsidRPr="00CE05C3">
              <w:t>$18,269.84</w:t>
            </w:r>
          </w:p>
        </w:tc>
      </w:tr>
      <w:tr w14:paraId="1A868C4F"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5728851C" w14:textId="6A9F19E5">
            <w:pPr>
              <w:overflowPunct/>
              <w:autoSpaceDE/>
              <w:autoSpaceDN/>
              <w:adjustRightInd/>
              <w:textAlignment w:val="auto"/>
              <w:rPr>
                <w:color w:val="000000"/>
              </w:rPr>
            </w:pPr>
            <w:r w:rsidRPr="00CE05C3">
              <w:rPr>
                <w:color w:val="000000"/>
              </w:rPr>
              <w:t>Underwriting and subsidy layering (§ 92.250(b))</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48875C69" w14:textId="58C7AD38">
            <w:pPr>
              <w:overflowPunct/>
              <w:autoSpaceDE/>
              <w:autoSpaceDN/>
              <w:adjustRightInd/>
              <w:jc w:val="right"/>
              <w:textAlignment w:val="auto"/>
              <w:rPr>
                <w:color w:val="000000"/>
              </w:rPr>
            </w:pPr>
            <w:r w:rsidRPr="00CE05C3">
              <w:rPr>
                <w:color w:val="000000"/>
              </w:rPr>
              <w:t xml:space="preserve">                    750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0BF10ECD" w14:textId="1D6A21B2">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39D17C1B" w14:textId="0D5D9A73">
            <w:pPr>
              <w:overflowPunct/>
              <w:autoSpaceDE/>
              <w:autoSpaceDN/>
              <w:adjustRightInd/>
              <w:jc w:val="right"/>
              <w:textAlignment w:val="auto"/>
              <w:rPr>
                <w:color w:val="000000"/>
              </w:rPr>
            </w:pPr>
            <w:r w:rsidRPr="00CE05C3">
              <w:rPr>
                <w:color w:val="000000"/>
              </w:rPr>
              <w:t>750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3492E30A" w14:textId="77777777">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021CB833" w14:textId="5E3D4A51">
            <w:pPr>
              <w:overflowPunct/>
              <w:autoSpaceDE/>
              <w:autoSpaceDN/>
              <w:adjustRightInd/>
              <w:jc w:val="right"/>
              <w:textAlignment w:val="auto"/>
              <w:rPr>
                <w:color w:val="000000"/>
              </w:rPr>
            </w:pPr>
            <w:r w:rsidRPr="00CE05C3">
              <w:rPr>
                <w:color w:val="000000"/>
              </w:rPr>
              <w:t xml:space="preserve">      1,500.00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50307A6" w14:textId="3F09A000">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22D32D88" w14:textId="3402D5B7">
            <w:pPr>
              <w:overflowPunct/>
              <w:autoSpaceDE/>
              <w:autoSpaceDN/>
              <w:adjustRightInd/>
              <w:jc w:val="right"/>
              <w:textAlignment w:val="auto"/>
              <w:rPr>
                <w:color w:val="000000"/>
              </w:rPr>
            </w:pPr>
            <w:r w:rsidRPr="00CE05C3">
              <w:t xml:space="preserve">$72,885.00 </w:t>
            </w:r>
          </w:p>
        </w:tc>
      </w:tr>
      <w:tr w14:paraId="59C0DCC2"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353D153A" w14:textId="4A2AA746">
            <w:pPr>
              <w:overflowPunct/>
              <w:autoSpaceDE/>
              <w:autoSpaceDN/>
              <w:adjustRightInd/>
              <w:textAlignment w:val="auto"/>
              <w:rPr>
                <w:color w:val="000000"/>
              </w:rPr>
            </w:pPr>
            <w:r w:rsidRPr="00CE05C3">
              <w:rPr>
                <w:color w:val="000000"/>
              </w:rPr>
              <w:t>Marketing Plan after 6 months    (§ 92.252)</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03641FC6" w14:textId="6A270A39">
            <w:pPr>
              <w:overflowPunct/>
              <w:autoSpaceDE/>
              <w:autoSpaceDN/>
              <w:adjustRightInd/>
              <w:jc w:val="right"/>
              <w:textAlignment w:val="auto"/>
              <w:rPr>
                <w:color w:val="000000"/>
              </w:rPr>
            </w:pPr>
            <w:r w:rsidRPr="00CE05C3">
              <w:rPr>
                <w:color w:val="000000"/>
              </w:rPr>
              <w:t xml:space="preserve">                    </w:t>
            </w:r>
            <w:r w:rsidRPr="00CE05C3" w:rsidR="00385D16">
              <w:rPr>
                <w:color w:val="000000"/>
              </w:rPr>
              <w:t xml:space="preserve">60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3323B045" w14:textId="6325B62E">
            <w:pPr>
              <w:overflowPunct/>
              <w:autoSpaceDE/>
              <w:autoSpaceDN/>
              <w:adjustRightInd/>
              <w:jc w:val="center"/>
              <w:textAlignment w:val="auto"/>
              <w:rPr>
                <w:color w:val="000000"/>
              </w:rPr>
            </w:pPr>
            <w:r w:rsidRPr="00CE05C3">
              <w:rPr>
                <w:color w:val="000000"/>
              </w:rPr>
              <w:t xml:space="preserve">1 </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7B2E0986" w14:textId="76C010BC">
            <w:pPr>
              <w:overflowPunct/>
              <w:autoSpaceDE/>
              <w:autoSpaceDN/>
              <w:adjustRightInd/>
              <w:jc w:val="right"/>
              <w:textAlignment w:val="auto"/>
              <w:rPr>
                <w:color w:val="000000"/>
              </w:rPr>
            </w:pPr>
            <w:r w:rsidRPr="00CE05C3">
              <w:rPr>
                <w:color w:val="000000"/>
              </w:rPr>
              <w:t>60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30305E4E" w14:textId="414EE8F1">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4A9E9D4B" w14:textId="0B4B4E14">
            <w:pPr>
              <w:overflowPunct/>
              <w:autoSpaceDE/>
              <w:autoSpaceDN/>
              <w:adjustRightInd/>
              <w:jc w:val="right"/>
              <w:textAlignment w:val="auto"/>
              <w:rPr>
                <w:color w:val="000000"/>
              </w:rPr>
            </w:pPr>
            <w:r w:rsidRPr="00CE05C3">
              <w:rPr>
                <w:color w:val="000000"/>
              </w:rPr>
              <w:t>60</w:t>
            </w:r>
            <w:r w:rsidRPr="00CE05C3">
              <w:rPr>
                <w:color w:val="000000"/>
              </w:rPr>
              <w:t xml:space="preserve">.00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1478BEEE" w14:textId="768920A1">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4205209C" w14:textId="4E05004C">
            <w:pPr>
              <w:overflowPunct/>
              <w:autoSpaceDE/>
              <w:autoSpaceDN/>
              <w:adjustRightInd/>
              <w:jc w:val="right"/>
              <w:textAlignment w:val="auto"/>
              <w:rPr>
                <w:color w:val="000000"/>
              </w:rPr>
            </w:pPr>
            <w:r w:rsidRPr="00CE05C3">
              <w:rPr>
                <w:color w:val="000000"/>
              </w:rPr>
              <w:t>$2,915.40</w:t>
            </w:r>
          </w:p>
        </w:tc>
      </w:tr>
      <w:tr w14:paraId="27AF84A5"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32903D73" w14:textId="109D6423">
            <w:pPr>
              <w:overflowPunct/>
              <w:autoSpaceDE/>
              <w:autoSpaceDN/>
              <w:adjustRightInd/>
              <w:textAlignment w:val="auto"/>
              <w:rPr>
                <w:color w:val="000000"/>
              </w:rPr>
            </w:pPr>
            <w:r w:rsidRPr="00CE05C3">
              <w:rPr>
                <w:color w:val="000000"/>
              </w:rPr>
              <w:t>Monthly utility allowances         (§ 92.252(b))</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62923E3D" w14:textId="3DD52DB4">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1F6AA5B8" w14:textId="59B55C4F">
            <w:pPr>
              <w:overflowPunct/>
              <w:autoSpaceDE/>
              <w:autoSpaceDN/>
              <w:adjustRightInd/>
              <w:jc w:val="center"/>
              <w:textAlignment w:val="auto"/>
              <w:rPr>
                <w:color w:val="000000"/>
              </w:rPr>
            </w:pPr>
            <w:r w:rsidRPr="00CE05C3">
              <w:rPr>
                <w:color w:val="000000"/>
              </w:rPr>
              <w:t xml:space="preserve">1 </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59644B79" w14:textId="7B2A0E20">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77B053AB" w14:textId="77777777">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4286CAD8" w14:textId="162D2E3C">
            <w:pPr>
              <w:overflowPunct/>
              <w:autoSpaceDE/>
              <w:autoSpaceDN/>
              <w:adjustRightInd/>
              <w:jc w:val="right"/>
              <w:textAlignment w:val="auto"/>
              <w:rPr>
                <w:color w:val="000000"/>
              </w:rPr>
            </w:pPr>
            <w:r w:rsidRPr="00CE05C3">
              <w:rPr>
                <w:color w:val="000000"/>
              </w:rPr>
              <w:t xml:space="preserve">      1,340.00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25ED155" w14:textId="5201F5B6">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4820A6E5" w14:textId="33684CFB">
            <w:pPr>
              <w:overflowPunct/>
              <w:autoSpaceDE/>
              <w:autoSpaceDN/>
              <w:adjustRightInd/>
              <w:jc w:val="right"/>
              <w:textAlignment w:val="auto"/>
              <w:rPr>
                <w:color w:val="000000"/>
              </w:rPr>
            </w:pPr>
            <w:r w:rsidRPr="00CE05C3">
              <w:t xml:space="preserve">$65,110.60 </w:t>
            </w:r>
          </w:p>
        </w:tc>
      </w:tr>
      <w:tr w14:paraId="3615FB46"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448F9935" w14:textId="17F8DB31">
            <w:pPr>
              <w:overflowPunct/>
              <w:autoSpaceDE/>
              <w:autoSpaceDN/>
              <w:adjustRightInd/>
              <w:textAlignment w:val="auto"/>
              <w:rPr>
                <w:color w:val="000000"/>
              </w:rPr>
            </w:pPr>
            <w:r w:rsidRPr="00CE05C3">
              <w:rPr>
                <w:color w:val="000000"/>
              </w:rPr>
              <w:t>Annual rent review                     (§ 92.252(e)(2))</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53F5682F" w14:textId="635066EA">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08AABC6D" w14:textId="149EF66A">
            <w:pPr>
              <w:overflowPunct/>
              <w:autoSpaceDE/>
              <w:autoSpaceDN/>
              <w:adjustRightInd/>
              <w:jc w:val="center"/>
              <w:textAlignment w:val="auto"/>
              <w:rPr>
                <w:color w:val="000000"/>
              </w:rPr>
            </w:pPr>
            <w:r w:rsidRPr="00CE05C3">
              <w:rPr>
                <w:color w:val="000000"/>
              </w:rPr>
              <w:t xml:space="preserve">1 </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190B63E9" w14:textId="764B68EA">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6504B1F7" w14:textId="77777777">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002C4626" w14:textId="43C71668">
            <w:pPr>
              <w:overflowPunct/>
              <w:autoSpaceDE/>
              <w:autoSpaceDN/>
              <w:adjustRightInd/>
              <w:jc w:val="right"/>
              <w:textAlignment w:val="auto"/>
              <w:rPr>
                <w:color w:val="000000"/>
              </w:rPr>
            </w:pPr>
            <w:r w:rsidRPr="00CE05C3">
              <w:rPr>
                <w:color w:val="000000"/>
              </w:rPr>
              <w:t xml:space="preserve">      1,340.00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97192CC" w14:textId="3CFE8B98">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3D8BC51F" w14:textId="211E9219">
            <w:pPr>
              <w:overflowPunct/>
              <w:autoSpaceDE/>
              <w:autoSpaceDN/>
              <w:adjustRightInd/>
              <w:jc w:val="right"/>
              <w:textAlignment w:val="auto"/>
              <w:rPr>
                <w:color w:val="000000"/>
              </w:rPr>
            </w:pPr>
            <w:r w:rsidRPr="00CE05C3">
              <w:t>$65,110.60</w:t>
            </w:r>
          </w:p>
        </w:tc>
      </w:tr>
      <w:tr w14:paraId="1A160C19" w14:textId="77777777" w:rsidTr="00605A09">
        <w:tblPrEx>
          <w:tblW w:w="12451" w:type="dxa"/>
          <w:tblLook w:val="04A0"/>
        </w:tblPrEx>
        <w:trPr>
          <w:gridAfter w:val="3"/>
          <w:trHeight w:val="313"/>
        </w:trPr>
        <w:tc>
          <w:tcPr>
            <w:tcW w:w="2972" w:type="dxa"/>
            <w:tcBorders>
              <w:top w:val="single" w:sz="4" w:space="0" w:color="auto"/>
              <w:left w:val="single" w:sz="4" w:space="0" w:color="auto"/>
              <w:bottom w:val="single" w:sz="4" w:space="0" w:color="auto"/>
              <w:right w:val="single" w:sz="4" w:space="0" w:color="auto"/>
            </w:tcBorders>
            <w:noWrap/>
            <w:vAlign w:val="bottom"/>
          </w:tcPr>
          <w:p w:rsidR="00BE6A9A" w:rsidRPr="00CE05C3" w:rsidP="00BE6A9A" w14:paraId="356065F3" w14:textId="798A43D4">
            <w:pPr>
              <w:overflowPunct/>
              <w:autoSpaceDE/>
              <w:autoSpaceDN/>
              <w:adjustRightInd/>
              <w:textAlignment w:val="auto"/>
              <w:rPr>
                <w:color w:val="000000"/>
              </w:rPr>
            </w:pPr>
            <w:r w:rsidRPr="00CE05C3">
              <w:rPr>
                <w:color w:val="000000"/>
              </w:rPr>
              <w:t>Small scale income determination (§ 92.252(g)(1))</w:t>
            </w:r>
          </w:p>
        </w:tc>
        <w:tc>
          <w:tcPr>
            <w:tcW w:w="1239" w:type="dxa"/>
            <w:tcBorders>
              <w:top w:val="nil"/>
              <w:left w:val="single" w:sz="4" w:space="0" w:color="auto"/>
              <w:bottom w:val="single" w:sz="4" w:space="0" w:color="auto"/>
              <w:right w:val="single" w:sz="4" w:space="0" w:color="auto"/>
            </w:tcBorders>
            <w:noWrap/>
            <w:vAlign w:val="bottom"/>
          </w:tcPr>
          <w:p w:rsidR="00BE6A9A" w:rsidRPr="00CE05C3" w:rsidP="00BE6A9A" w14:paraId="4E33EE13" w14:textId="05FDD367">
            <w:pPr>
              <w:overflowPunct/>
              <w:autoSpaceDE/>
              <w:autoSpaceDN/>
              <w:adjustRightInd/>
              <w:jc w:val="right"/>
              <w:textAlignment w:val="auto"/>
              <w:rPr>
                <w:color w:val="000000"/>
              </w:rPr>
            </w:pPr>
            <w:r w:rsidRPr="00CE05C3">
              <w:rPr>
                <w:color w:val="000000"/>
              </w:rPr>
              <w:t>2,000</w:t>
            </w:r>
          </w:p>
        </w:tc>
        <w:tc>
          <w:tcPr>
            <w:tcW w:w="1101" w:type="dxa"/>
            <w:tcBorders>
              <w:top w:val="nil"/>
              <w:left w:val="nil"/>
              <w:bottom w:val="single" w:sz="4" w:space="0" w:color="auto"/>
              <w:right w:val="single" w:sz="4" w:space="0" w:color="auto"/>
            </w:tcBorders>
            <w:noWrap/>
            <w:vAlign w:val="bottom"/>
          </w:tcPr>
          <w:p w:rsidR="00BE6A9A" w:rsidRPr="00CE05C3" w:rsidP="00BE6A9A" w14:paraId="39411DBA" w14:textId="46E101B8">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tcPr>
          <w:p w:rsidR="00BE6A9A" w:rsidRPr="00CE05C3" w:rsidP="00BE6A9A" w14:paraId="121E45B6" w14:textId="268D9627">
            <w:pPr>
              <w:overflowPunct/>
              <w:autoSpaceDE/>
              <w:autoSpaceDN/>
              <w:adjustRightInd/>
              <w:jc w:val="right"/>
              <w:textAlignment w:val="auto"/>
              <w:rPr>
                <w:color w:val="000000"/>
              </w:rPr>
            </w:pPr>
            <w:r w:rsidRPr="00CE05C3">
              <w:rPr>
                <w:color w:val="000000"/>
              </w:rPr>
              <w:t>2,000</w:t>
            </w:r>
          </w:p>
        </w:tc>
        <w:tc>
          <w:tcPr>
            <w:tcW w:w="999" w:type="dxa"/>
            <w:tcBorders>
              <w:top w:val="nil"/>
              <w:left w:val="nil"/>
              <w:bottom w:val="single" w:sz="4" w:space="0" w:color="auto"/>
              <w:right w:val="single" w:sz="4" w:space="0" w:color="auto"/>
            </w:tcBorders>
            <w:noWrap/>
            <w:vAlign w:val="bottom"/>
          </w:tcPr>
          <w:p w:rsidR="00BE6A9A" w:rsidRPr="00CE05C3" w:rsidP="00BE6A9A" w14:paraId="2E650221" w14:textId="5B6560C3">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tcPr>
          <w:p w:rsidR="00BE6A9A" w:rsidRPr="00CE05C3" w:rsidP="00BE6A9A" w14:paraId="740F6980" w14:textId="3C0323B7">
            <w:pPr>
              <w:overflowPunct/>
              <w:autoSpaceDE/>
              <w:autoSpaceDN/>
              <w:adjustRightInd/>
              <w:jc w:val="right"/>
              <w:textAlignment w:val="auto"/>
              <w:rPr>
                <w:color w:val="000000"/>
              </w:rPr>
            </w:pPr>
            <w:r w:rsidRPr="00CE05C3">
              <w:rPr>
                <w:color w:val="000000"/>
              </w:rPr>
              <w:t>4,000.00</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0E4F5893" w14:textId="67465A32">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tcPr>
          <w:p w:rsidR="00BE6A9A" w:rsidRPr="00CE05C3" w:rsidP="00BE6A9A" w14:paraId="1505C9A9" w14:textId="18722738">
            <w:pPr>
              <w:overflowPunct/>
              <w:autoSpaceDE/>
              <w:autoSpaceDN/>
              <w:adjustRightInd/>
              <w:jc w:val="right"/>
              <w:textAlignment w:val="auto"/>
            </w:pPr>
            <w:r w:rsidRPr="00CE05C3">
              <w:t>$194,360.00</w:t>
            </w:r>
          </w:p>
        </w:tc>
      </w:tr>
      <w:tr w14:paraId="5D9E4C9A" w14:textId="77777777" w:rsidTr="00605A09">
        <w:tblPrEx>
          <w:tblW w:w="12451" w:type="dxa"/>
          <w:tblLook w:val="04A0"/>
        </w:tblPrEx>
        <w:trPr>
          <w:gridAfter w:val="3"/>
          <w:trHeight w:val="313"/>
        </w:trPr>
        <w:tc>
          <w:tcPr>
            <w:tcW w:w="2972" w:type="dxa"/>
            <w:tcBorders>
              <w:top w:val="single" w:sz="4" w:space="0" w:color="auto"/>
              <w:left w:val="single" w:sz="4" w:space="0" w:color="auto"/>
              <w:bottom w:val="single" w:sz="4" w:space="0" w:color="auto"/>
              <w:right w:val="single" w:sz="4" w:space="0" w:color="auto"/>
            </w:tcBorders>
            <w:noWrap/>
            <w:vAlign w:val="bottom"/>
          </w:tcPr>
          <w:p w:rsidR="00385D16" w:rsidRPr="00CE05C3" w:rsidP="00BE6A9A" w14:paraId="506858F1" w14:textId="47972DB6">
            <w:pPr>
              <w:overflowPunct/>
              <w:autoSpaceDE/>
              <w:autoSpaceDN/>
              <w:adjustRightInd/>
              <w:textAlignment w:val="auto"/>
              <w:rPr>
                <w:color w:val="000000"/>
              </w:rPr>
            </w:pPr>
            <w:r w:rsidRPr="00CE05C3">
              <w:rPr>
                <w:color w:val="000000"/>
              </w:rPr>
              <w:t>Tenant protections (§ 92.253)</w:t>
            </w:r>
          </w:p>
        </w:tc>
        <w:tc>
          <w:tcPr>
            <w:tcW w:w="1239" w:type="dxa"/>
            <w:tcBorders>
              <w:top w:val="nil"/>
              <w:left w:val="single" w:sz="4" w:space="0" w:color="auto"/>
              <w:bottom w:val="single" w:sz="4" w:space="0" w:color="auto"/>
              <w:right w:val="single" w:sz="4" w:space="0" w:color="auto"/>
            </w:tcBorders>
            <w:noWrap/>
            <w:vAlign w:val="bottom"/>
          </w:tcPr>
          <w:p w:rsidR="00385D16" w:rsidRPr="00CE05C3" w:rsidP="00BE6A9A" w14:paraId="4E28E3B3" w14:textId="3F1832D4">
            <w:pPr>
              <w:overflowPunct/>
              <w:autoSpaceDE/>
              <w:autoSpaceDN/>
              <w:adjustRightInd/>
              <w:jc w:val="right"/>
              <w:textAlignment w:val="auto"/>
              <w:rPr>
                <w:color w:val="000000"/>
              </w:rPr>
            </w:pPr>
            <w:r w:rsidRPr="00CE05C3">
              <w:rPr>
                <w:color w:val="000000"/>
              </w:rPr>
              <w:t>6,667</w:t>
            </w:r>
          </w:p>
        </w:tc>
        <w:tc>
          <w:tcPr>
            <w:tcW w:w="1101" w:type="dxa"/>
            <w:tcBorders>
              <w:top w:val="nil"/>
              <w:left w:val="nil"/>
              <w:bottom w:val="single" w:sz="4" w:space="0" w:color="auto"/>
              <w:right w:val="single" w:sz="4" w:space="0" w:color="auto"/>
            </w:tcBorders>
            <w:noWrap/>
            <w:vAlign w:val="bottom"/>
          </w:tcPr>
          <w:p w:rsidR="00385D16" w:rsidRPr="00CE05C3" w:rsidP="00BE6A9A" w14:paraId="11B4352E" w14:textId="5C0DC281">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tcPr>
          <w:p w:rsidR="00385D16" w:rsidRPr="00CE05C3" w:rsidP="00BE6A9A" w14:paraId="4968CF72" w14:textId="77D9F4BB">
            <w:pPr>
              <w:overflowPunct/>
              <w:autoSpaceDE/>
              <w:autoSpaceDN/>
              <w:adjustRightInd/>
              <w:jc w:val="right"/>
              <w:textAlignment w:val="auto"/>
              <w:rPr>
                <w:color w:val="000000"/>
              </w:rPr>
            </w:pPr>
            <w:r w:rsidRPr="00CE05C3">
              <w:rPr>
                <w:color w:val="000000"/>
              </w:rPr>
              <w:t>6,667</w:t>
            </w:r>
          </w:p>
        </w:tc>
        <w:tc>
          <w:tcPr>
            <w:tcW w:w="999" w:type="dxa"/>
            <w:tcBorders>
              <w:top w:val="nil"/>
              <w:left w:val="nil"/>
              <w:bottom w:val="single" w:sz="4" w:space="0" w:color="auto"/>
              <w:right w:val="single" w:sz="4" w:space="0" w:color="auto"/>
            </w:tcBorders>
            <w:noWrap/>
            <w:vAlign w:val="bottom"/>
          </w:tcPr>
          <w:p w:rsidR="00385D16" w:rsidRPr="00CE05C3" w:rsidP="00BE6A9A" w14:paraId="54EB28EC" w14:textId="5F8DFE8D">
            <w:pPr>
              <w:overflowPunct/>
              <w:autoSpaceDE/>
              <w:autoSpaceDN/>
              <w:adjustRightInd/>
              <w:jc w:val="right"/>
              <w:textAlignment w:val="auto"/>
              <w:rPr>
                <w:color w:val="000000"/>
              </w:rPr>
            </w:pPr>
            <w:r w:rsidRPr="00CE05C3">
              <w:rPr>
                <w:color w:val="000000"/>
              </w:rPr>
              <w:t>2</w:t>
            </w:r>
          </w:p>
        </w:tc>
        <w:tc>
          <w:tcPr>
            <w:tcW w:w="1170" w:type="dxa"/>
            <w:tcBorders>
              <w:top w:val="nil"/>
              <w:left w:val="single" w:sz="4" w:space="0" w:color="auto"/>
              <w:bottom w:val="single" w:sz="4" w:space="0" w:color="auto"/>
              <w:right w:val="single" w:sz="4" w:space="0" w:color="auto"/>
            </w:tcBorders>
            <w:noWrap/>
            <w:vAlign w:val="bottom"/>
          </w:tcPr>
          <w:p w:rsidR="00385D16" w:rsidRPr="00CE05C3" w:rsidP="00BE6A9A" w14:paraId="5C8DBDC6" w14:textId="4426038D">
            <w:pPr>
              <w:overflowPunct/>
              <w:autoSpaceDE/>
              <w:autoSpaceDN/>
              <w:adjustRightInd/>
              <w:jc w:val="right"/>
              <w:textAlignment w:val="auto"/>
              <w:rPr>
                <w:color w:val="000000"/>
              </w:rPr>
            </w:pPr>
            <w:r w:rsidRPr="00CE05C3">
              <w:rPr>
                <w:color w:val="000000"/>
              </w:rPr>
              <w:t>13,334.00</w:t>
            </w:r>
          </w:p>
        </w:tc>
        <w:tc>
          <w:tcPr>
            <w:tcW w:w="990" w:type="dxa"/>
            <w:tcBorders>
              <w:top w:val="single" w:sz="4" w:space="0" w:color="auto"/>
              <w:left w:val="single" w:sz="4" w:space="0" w:color="auto"/>
              <w:bottom w:val="single" w:sz="4" w:space="0" w:color="auto"/>
              <w:right w:val="single" w:sz="4" w:space="0" w:color="auto"/>
            </w:tcBorders>
            <w:vAlign w:val="bottom"/>
          </w:tcPr>
          <w:p w:rsidR="00385D16" w:rsidRPr="00CE05C3" w:rsidP="00BE6A9A" w14:paraId="44B63F2E" w14:textId="50DFB0AE">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tcPr>
          <w:p w:rsidR="00385D16" w:rsidRPr="00CE05C3" w:rsidP="00BE6A9A" w14:paraId="1EA290EB" w14:textId="54DB0CA7">
            <w:pPr>
              <w:overflowPunct/>
              <w:autoSpaceDE/>
              <w:autoSpaceDN/>
              <w:adjustRightInd/>
              <w:jc w:val="right"/>
              <w:textAlignment w:val="auto"/>
            </w:pPr>
            <w:r w:rsidRPr="00CE05C3">
              <w:t>$647,899.06</w:t>
            </w:r>
          </w:p>
        </w:tc>
      </w:tr>
      <w:tr w14:paraId="140DEE65" w14:textId="77777777" w:rsidTr="00605A09">
        <w:tblPrEx>
          <w:tblW w:w="12451" w:type="dxa"/>
          <w:tblLook w:val="04A0"/>
        </w:tblPrEx>
        <w:trPr>
          <w:gridAfter w:val="3"/>
          <w:trHeight w:val="313"/>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5E214CDA" w14:textId="6603EFC4">
            <w:pPr>
              <w:overflowPunct/>
              <w:autoSpaceDE/>
              <w:autoSpaceDN/>
              <w:adjustRightInd/>
              <w:textAlignment w:val="auto"/>
              <w:rPr>
                <w:color w:val="000000"/>
              </w:rPr>
            </w:pPr>
            <w:r w:rsidRPr="00CE05C3">
              <w:rPr>
                <w:color w:val="000000"/>
              </w:rPr>
              <w:t>Lease (§ 92.253(a))</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3E8E2EBF" w14:textId="0A93CDEB">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6FA43046" w14:textId="47F4E9AB">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08DCD3EF" w14:textId="0BCD100A">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1ABB3DE3" w14:textId="77777777">
            <w:pPr>
              <w:overflowPunct/>
              <w:autoSpaceDE/>
              <w:autoSpaceDN/>
              <w:adjustRightInd/>
              <w:jc w:val="right"/>
              <w:textAlignment w:val="auto"/>
              <w:rPr>
                <w:color w:val="000000"/>
              </w:rPr>
            </w:pPr>
            <w:r w:rsidRPr="00CE05C3">
              <w:rPr>
                <w:color w:val="000000"/>
              </w:rPr>
              <w:t>5</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1C41DA93" w14:textId="4B7567EE">
            <w:pPr>
              <w:overflowPunct/>
              <w:autoSpaceDE/>
              <w:autoSpaceDN/>
              <w:adjustRightInd/>
              <w:jc w:val="right"/>
              <w:textAlignment w:val="auto"/>
              <w:rPr>
                <w:color w:val="000000"/>
              </w:rPr>
            </w:pPr>
            <w:r w:rsidRPr="00CE05C3">
              <w:rPr>
                <w:color w:val="000000"/>
              </w:rPr>
              <w:t xml:space="preserve">      3,350.00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38EC29B2" w14:textId="5123AC6E">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256AFA38" w14:textId="5BB5738D">
            <w:pPr>
              <w:overflowPunct/>
              <w:autoSpaceDE/>
              <w:autoSpaceDN/>
              <w:adjustRightInd/>
              <w:jc w:val="right"/>
              <w:textAlignment w:val="auto"/>
              <w:rPr>
                <w:color w:val="000000"/>
              </w:rPr>
            </w:pPr>
            <w:r w:rsidRPr="00CE05C3">
              <w:t>$162,776.50</w:t>
            </w:r>
          </w:p>
        </w:tc>
      </w:tr>
      <w:tr w14:paraId="17EA5D93"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2ED66817" w14:textId="40FD9DE0">
            <w:pPr>
              <w:overflowPunct/>
              <w:autoSpaceDE/>
              <w:autoSpaceDN/>
              <w:adjustRightInd/>
              <w:textAlignment w:val="auto"/>
              <w:rPr>
                <w:color w:val="000000"/>
              </w:rPr>
            </w:pPr>
            <w:r w:rsidRPr="00CE05C3">
              <w:rPr>
                <w:color w:val="000000"/>
              </w:rPr>
              <w:t>Homeownership - Median Purchase Price                             (§ 92.254(a)(2))</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7263F938" w14:textId="773D92EF">
            <w:pPr>
              <w:overflowPunct/>
              <w:autoSpaceDE/>
              <w:autoSpaceDN/>
              <w:adjustRightInd/>
              <w:jc w:val="right"/>
              <w:textAlignment w:val="auto"/>
              <w:rPr>
                <w:color w:val="000000"/>
              </w:rPr>
            </w:pPr>
            <w:r w:rsidRPr="00CE05C3">
              <w:rPr>
                <w:color w:val="000000"/>
              </w:rPr>
              <w:t xml:space="preserve">                        5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005CC266" w14:textId="555D4A6F">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019A69A6" w14:textId="23667D4E">
            <w:pPr>
              <w:overflowPunct/>
              <w:autoSpaceDE/>
              <w:autoSpaceDN/>
              <w:adjustRightInd/>
              <w:jc w:val="right"/>
              <w:textAlignment w:val="auto"/>
              <w:rPr>
                <w:color w:val="000000"/>
              </w:rPr>
            </w:pPr>
            <w:r w:rsidRPr="00CE05C3">
              <w:rPr>
                <w:color w:val="000000"/>
              </w:rPr>
              <w:t>5</w:t>
            </w:r>
          </w:p>
        </w:tc>
        <w:tc>
          <w:tcPr>
            <w:tcW w:w="999" w:type="dxa"/>
            <w:tcBorders>
              <w:top w:val="nil"/>
              <w:left w:val="nil"/>
              <w:bottom w:val="single" w:sz="4" w:space="0" w:color="auto"/>
              <w:right w:val="single" w:sz="4" w:space="0" w:color="auto"/>
            </w:tcBorders>
            <w:noWrap/>
            <w:vAlign w:val="bottom"/>
            <w:hideMark/>
          </w:tcPr>
          <w:p w:rsidR="00BE6A9A" w:rsidRPr="00CE05C3" w:rsidP="00BE6A9A" w14:paraId="1BD3A753" w14:textId="77777777">
            <w:pPr>
              <w:overflowPunct/>
              <w:autoSpaceDE/>
              <w:autoSpaceDN/>
              <w:adjustRightInd/>
              <w:jc w:val="right"/>
              <w:textAlignment w:val="auto"/>
              <w:rPr>
                <w:color w:val="000000"/>
              </w:rPr>
            </w:pPr>
            <w:r w:rsidRPr="00CE05C3">
              <w:rPr>
                <w:color w:val="000000"/>
              </w:rPr>
              <w:t>5</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21C6EED6" w14:textId="763E1AFC">
            <w:pPr>
              <w:overflowPunct/>
              <w:autoSpaceDE/>
              <w:autoSpaceDN/>
              <w:adjustRightInd/>
              <w:jc w:val="right"/>
              <w:textAlignment w:val="auto"/>
              <w:rPr>
                <w:color w:val="000000"/>
              </w:rPr>
            </w:pPr>
            <w:r w:rsidRPr="00CE05C3">
              <w:rPr>
                <w:color w:val="000000"/>
              </w:rPr>
              <w:t xml:space="preserve">            25.00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79F6FB30" w14:textId="5A527330">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67C55212" w14:textId="02274F5D">
            <w:pPr>
              <w:overflowPunct/>
              <w:autoSpaceDE/>
              <w:autoSpaceDN/>
              <w:adjustRightInd/>
              <w:jc w:val="right"/>
              <w:textAlignment w:val="auto"/>
              <w:rPr>
                <w:color w:val="000000"/>
              </w:rPr>
            </w:pPr>
            <w:r w:rsidRPr="00CE05C3">
              <w:t>$1,214.75</w:t>
            </w:r>
          </w:p>
        </w:tc>
      </w:tr>
      <w:tr w14:paraId="226A502F"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505EB189" w14:textId="3C7D7082">
            <w:pPr>
              <w:overflowPunct/>
              <w:autoSpaceDE/>
              <w:autoSpaceDN/>
              <w:adjustRightInd/>
              <w:textAlignment w:val="auto"/>
              <w:rPr>
                <w:color w:val="000000"/>
              </w:rPr>
            </w:pPr>
            <w:r w:rsidRPr="00CE05C3">
              <w:rPr>
                <w:color w:val="000000"/>
              </w:rPr>
              <w:t>Designation of CHDOs               (§ 92.300(a))</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5BCDC6F5" w14:textId="30E92FAA">
            <w:pPr>
              <w:overflowPunct/>
              <w:autoSpaceDE/>
              <w:autoSpaceDN/>
              <w:adjustRightInd/>
              <w:jc w:val="right"/>
              <w:textAlignment w:val="auto"/>
              <w:rPr>
                <w:color w:val="000000"/>
              </w:rPr>
            </w:pPr>
            <w:r w:rsidRPr="00CE05C3">
              <w:rPr>
                <w:color w:val="000000"/>
              </w:rPr>
              <w:t xml:space="preserve">                    </w:t>
            </w:r>
            <w:r w:rsidRPr="00CE05C3" w:rsidR="00385D16">
              <w:rPr>
                <w:color w:val="000000"/>
              </w:rPr>
              <w:t xml:space="preserve">600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00569E51" w14:textId="721AB707">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16043FD4" w14:textId="7CD64E3E">
            <w:pPr>
              <w:overflowPunct/>
              <w:autoSpaceDE/>
              <w:autoSpaceDN/>
              <w:adjustRightInd/>
              <w:jc w:val="right"/>
              <w:textAlignment w:val="auto"/>
              <w:rPr>
                <w:color w:val="000000"/>
              </w:rPr>
            </w:pPr>
            <w:r w:rsidRPr="00CE05C3">
              <w:rPr>
                <w:color w:val="000000"/>
              </w:rPr>
              <w:t>600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3C11568C" w14:textId="77777777">
            <w:pPr>
              <w:overflowPunct/>
              <w:autoSpaceDE/>
              <w:autoSpaceDN/>
              <w:adjustRightInd/>
              <w:jc w:val="right"/>
              <w:textAlignment w:val="auto"/>
              <w:rPr>
                <w:color w:val="000000"/>
              </w:rPr>
            </w:pPr>
            <w:r w:rsidRPr="00CE05C3">
              <w:rPr>
                <w:color w:val="000000"/>
              </w:rPr>
              <w:t>1.5</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0032195A" w14:textId="44849749">
            <w:pPr>
              <w:overflowPunct/>
              <w:autoSpaceDE/>
              <w:autoSpaceDN/>
              <w:adjustRightInd/>
              <w:jc w:val="right"/>
              <w:textAlignment w:val="auto"/>
              <w:rPr>
                <w:color w:val="000000"/>
              </w:rPr>
            </w:pPr>
            <w:r w:rsidRPr="00CE05C3">
              <w:rPr>
                <w:color w:val="000000"/>
              </w:rPr>
              <w:t xml:space="preserve">          </w:t>
            </w:r>
            <w:r w:rsidRPr="00CE05C3" w:rsidR="00385D16">
              <w:rPr>
                <w:color w:val="000000"/>
              </w:rPr>
              <w:t>900.00</w:t>
            </w:r>
            <w:r w:rsidRPr="00CE05C3">
              <w:rPr>
                <w:color w:val="000000"/>
              </w:rPr>
              <w:t xml:space="preserve">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4C802D6A" w14:textId="49E61B37">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1D034B3E" w14:textId="4A5A9F93">
            <w:pPr>
              <w:overflowPunct/>
              <w:autoSpaceDE/>
              <w:autoSpaceDN/>
              <w:adjustRightInd/>
              <w:jc w:val="right"/>
              <w:textAlignment w:val="auto"/>
              <w:rPr>
                <w:color w:val="000000"/>
              </w:rPr>
            </w:pPr>
            <w:r w:rsidRPr="00CE05C3">
              <w:t>$</w:t>
            </w:r>
            <w:r w:rsidRPr="00CE05C3" w:rsidR="00385D16">
              <w:t>43</w:t>
            </w:r>
            <w:r w:rsidRPr="00CE05C3">
              <w:t>,</w:t>
            </w:r>
            <w:r w:rsidRPr="00CE05C3" w:rsidR="00385D16">
              <w:t>731</w:t>
            </w:r>
          </w:p>
        </w:tc>
      </w:tr>
      <w:tr w14:paraId="10AEF091" w14:textId="77777777" w:rsidTr="0093458B">
        <w:tblPrEx>
          <w:tblW w:w="12451" w:type="dxa"/>
          <w:tblLook w:val="04A0"/>
        </w:tblPrEx>
        <w:trPr>
          <w:gridAfter w:val="3"/>
          <w:trHeight w:val="107"/>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P="00BE6A9A" w14:paraId="347A22C7" w14:textId="77777777">
            <w:pPr>
              <w:overflowPunct/>
              <w:autoSpaceDE/>
              <w:autoSpaceDN/>
              <w:adjustRightInd/>
              <w:textAlignment w:val="auto"/>
              <w:rPr>
                <w:color w:val="000000"/>
              </w:rPr>
            </w:pPr>
            <w:r w:rsidRPr="00CE05C3">
              <w:rPr>
                <w:color w:val="000000"/>
              </w:rPr>
              <w:t>IDIS reporting (§ 92.502)</w:t>
            </w:r>
          </w:p>
          <w:p w:rsidR="005B72E7" w:rsidRPr="00CE05C3" w:rsidP="00BE6A9A" w14:paraId="15D93D0E" w14:textId="161A7AA0">
            <w:pPr>
              <w:overflowPunct/>
              <w:autoSpaceDE/>
              <w:autoSpaceDN/>
              <w:adjustRightInd/>
              <w:textAlignment w:val="auto"/>
              <w:rPr>
                <w:color w:val="000000"/>
              </w:rPr>
            </w:pPr>
            <w:r w:rsidRPr="00F9142F">
              <w:rPr>
                <w:color w:val="000000"/>
              </w:rPr>
              <w:t>HUD 27055</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4A080B84" w14:textId="1F2C30B9">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31AEA118" w14:textId="5EC174E4">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1366DCE7" w14:textId="69954C50">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6C3552D2" w14:textId="77777777">
            <w:pPr>
              <w:overflowPunct/>
              <w:autoSpaceDE/>
              <w:autoSpaceDN/>
              <w:adjustRightInd/>
              <w:jc w:val="right"/>
              <w:textAlignment w:val="auto"/>
              <w:rPr>
                <w:color w:val="000000"/>
              </w:rPr>
            </w:pPr>
            <w:r w:rsidRPr="00CE05C3">
              <w:rPr>
                <w:color w:val="000000"/>
              </w:rPr>
              <w:t>12</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54B73860" w14:textId="5A82CF5D">
            <w:pPr>
              <w:overflowPunct/>
              <w:autoSpaceDE/>
              <w:autoSpaceDN/>
              <w:adjustRightInd/>
              <w:jc w:val="right"/>
              <w:textAlignment w:val="auto"/>
              <w:rPr>
                <w:color w:val="000000"/>
              </w:rPr>
            </w:pPr>
            <w:r w:rsidRPr="00CE05C3">
              <w:rPr>
                <w:color w:val="000000"/>
              </w:rPr>
              <w:t xml:space="preserve">      8,040.00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000389D7" w14:textId="50CF02AD">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13FA9EE8" w14:textId="3EB93FAD">
            <w:pPr>
              <w:overflowPunct/>
              <w:autoSpaceDE/>
              <w:autoSpaceDN/>
              <w:adjustRightInd/>
              <w:jc w:val="right"/>
              <w:textAlignment w:val="auto"/>
              <w:rPr>
                <w:color w:val="000000"/>
              </w:rPr>
            </w:pPr>
            <w:r w:rsidRPr="00CE05C3">
              <w:t>$390,663.60</w:t>
            </w:r>
          </w:p>
        </w:tc>
      </w:tr>
      <w:tr w14:paraId="5A8347BB"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65A0B6C0" w14:textId="26CEC5C8">
            <w:pPr>
              <w:overflowPunct/>
              <w:autoSpaceDE/>
              <w:autoSpaceDN/>
              <w:adjustRightInd/>
              <w:textAlignment w:val="auto"/>
              <w:rPr>
                <w:color w:val="000000"/>
              </w:rPr>
            </w:pPr>
            <w:r w:rsidRPr="00CE05C3">
              <w:rPr>
                <w:color w:val="000000"/>
              </w:rPr>
              <w:t>Executing a written agreement    (§ 92.504(b))</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618FC348" w14:textId="11A8AC43">
            <w:pPr>
              <w:overflowPunct/>
              <w:autoSpaceDE/>
              <w:autoSpaceDN/>
              <w:adjustRightInd/>
              <w:jc w:val="right"/>
              <w:textAlignment w:val="auto"/>
              <w:rPr>
                <w:color w:val="000000"/>
              </w:rPr>
            </w:pPr>
            <w:r w:rsidRPr="00CE05C3">
              <w:rPr>
                <w:color w:val="000000"/>
              </w:rPr>
              <w:t xml:space="preserve"> 7,596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634391B2" w14:textId="3B3E0F94">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32395320" w14:textId="2D6AED90">
            <w:pPr>
              <w:overflowPunct/>
              <w:autoSpaceDE/>
              <w:autoSpaceDN/>
              <w:adjustRightInd/>
              <w:jc w:val="right"/>
              <w:textAlignment w:val="auto"/>
              <w:rPr>
                <w:color w:val="000000"/>
              </w:rPr>
            </w:pPr>
            <w:r w:rsidRPr="00CE05C3">
              <w:rPr>
                <w:color w:val="000000"/>
              </w:rPr>
              <w:t>7,596</w:t>
            </w:r>
          </w:p>
        </w:tc>
        <w:tc>
          <w:tcPr>
            <w:tcW w:w="999" w:type="dxa"/>
            <w:tcBorders>
              <w:top w:val="nil"/>
              <w:left w:val="nil"/>
              <w:bottom w:val="single" w:sz="4" w:space="0" w:color="auto"/>
              <w:right w:val="single" w:sz="4" w:space="0" w:color="auto"/>
            </w:tcBorders>
            <w:noWrap/>
            <w:vAlign w:val="bottom"/>
            <w:hideMark/>
          </w:tcPr>
          <w:p w:rsidR="00BE6A9A" w:rsidRPr="00CE05C3" w:rsidP="00BE6A9A" w14:paraId="5C36B6F5" w14:textId="77777777">
            <w:pPr>
              <w:overflowPunct/>
              <w:autoSpaceDE/>
              <w:autoSpaceDN/>
              <w:adjustRightInd/>
              <w:jc w:val="right"/>
              <w:textAlignment w:val="auto"/>
              <w:rPr>
                <w:color w:val="000000"/>
              </w:rPr>
            </w:pPr>
            <w:r w:rsidRPr="00CE05C3">
              <w:rPr>
                <w:color w:val="000000"/>
              </w:rPr>
              <w:t>4</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3A15C805" w14:textId="04B89B38">
            <w:pPr>
              <w:overflowPunct/>
              <w:autoSpaceDE/>
              <w:autoSpaceDN/>
              <w:adjustRightInd/>
              <w:jc w:val="right"/>
              <w:textAlignment w:val="auto"/>
              <w:rPr>
                <w:color w:val="000000"/>
              </w:rPr>
            </w:pPr>
            <w:r w:rsidRPr="00CE05C3">
              <w:rPr>
                <w:color w:val="000000"/>
              </w:rPr>
              <w:t xml:space="preserve">    30,384.00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7BD78F13" w14:textId="35B4EE14">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70A73AAF" w14:textId="7D44AB65">
            <w:pPr>
              <w:overflowPunct/>
              <w:autoSpaceDE/>
              <w:autoSpaceDN/>
              <w:adjustRightInd/>
              <w:jc w:val="right"/>
              <w:textAlignment w:val="auto"/>
              <w:rPr>
                <w:color w:val="000000"/>
              </w:rPr>
            </w:pPr>
            <w:r w:rsidRPr="00CE05C3">
              <w:t>$1,476,358.56</w:t>
            </w:r>
          </w:p>
        </w:tc>
      </w:tr>
      <w:tr w14:paraId="12042449"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7F7E80E4" w14:textId="780CF424">
            <w:pPr>
              <w:overflowPunct/>
              <w:autoSpaceDE/>
              <w:autoSpaceDN/>
              <w:adjustRightInd/>
              <w:textAlignment w:val="auto"/>
              <w:rPr>
                <w:color w:val="000000"/>
              </w:rPr>
            </w:pPr>
            <w:r w:rsidRPr="00CE05C3">
              <w:rPr>
                <w:color w:val="000000"/>
              </w:rPr>
              <w:t>Inspections (§ 92.251)</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3323AD6E" w14:textId="0EE5425C">
            <w:pPr>
              <w:overflowPunct/>
              <w:autoSpaceDE/>
              <w:autoSpaceDN/>
              <w:adjustRightInd/>
              <w:jc w:val="right"/>
              <w:textAlignment w:val="auto"/>
              <w:rPr>
                <w:color w:val="000000"/>
              </w:rPr>
            </w:pPr>
            <w:r w:rsidRPr="00CE05C3">
              <w:rPr>
                <w:color w:val="000000"/>
              </w:rPr>
              <w:t xml:space="preserve">              </w:t>
            </w:r>
            <w:r w:rsidRPr="00CE05C3" w:rsidR="00385D16">
              <w:rPr>
                <w:color w:val="000000"/>
              </w:rPr>
              <w:t>6,000</w:t>
            </w:r>
            <w:r w:rsidRPr="00CE05C3">
              <w:rPr>
                <w:color w:val="000000"/>
              </w:rPr>
              <w:t xml:space="preserve">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7AC11F83" w14:textId="2CD75EF6">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5DE2DA87" w14:textId="0C2F89DC">
            <w:pPr>
              <w:overflowPunct/>
              <w:autoSpaceDE/>
              <w:autoSpaceDN/>
              <w:adjustRightInd/>
              <w:jc w:val="right"/>
              <w:textAlignment w:val="auto"/>
              <w:rPr>
                <w:color w:val="000000"/>
              </w:rPr>
            </w:pPr>
            <w:r w:rsidRPr="00CE05C3">
              <w:rPr>
                <w:color w:val="000000"/>
              </w:rPr>
              <w:t>6,000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62E64349" w14:textId="16C86683">
            <w:pPr>
              <w:overflowPunct/>
              <w:autoSpaceDE/>
              <w:autoSpaceDN/>
              <w:adjustRightInd/>
              <w:jc w:val="right"/>
              <w:textAlignment w:val="auto"/>
              <w:rPr>
                <w:color w:val="000000"/>
              </w:rPr>
            </w:pPr>
            <w:r w:rsidRPr="00CE05C3">
              <w:rPr>
                <w:color w:val="000000"/>
              </w:rPr>
              <w:t>3</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36B023FB" w14:textId="68D7D8CA">
            <w:pPr>
              <w:overflowPunct/>
              <w:autoSpaceDE/>
              <w:autoSpaceDN/>
              <w:adjustRightInd/>
              <w:jc w:val="right"/>
              <w:textAlignment w:val="auto"/>
              <w:rPr>
                <w:color w:val="000000"/>
              </w:rPr>
            </w:pPr>
            <w:r w:rsidRPr="00CE05C3">
              <w:rPr>
                <w:color w:val="000000"/>
              </w:rPr>
              <w:t>18,000.00</w:t>
            </w:r>
            <w:r w:rsidRPr="00CE05C3">
              <w:rPr>
                <w:color w:val="000000"/>
              </w:rPr>
              <w:t xml:space="preserve">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5A7DB93B" w14:textId="30BA2D0E">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1E613392" w14:textId="64C4DE04">
            <w:pPr>
              <w:overflowPunct/>
              <w:autoSpaceDE/>
              <w:autoSpaceDN/>
              <w:adjustRightInd/>
              <w:jc w:val="right"/>
              <w:textAlignment w:val="auto"/>
              <w:rPr>
                <w:color w:val="000000"/>
              </w:rPr>
            </w:pPr>
            <w:r w:rsidRPr="00CE05C3">
              <w:t>$</w:t>
            </w:r>
            <w:r w:rsidRPr="00CE05C3" w:rsidR="00BD367D">
              <w:t>874,620.00</w:t>
            </w:r>
          </w:p>
        </w:tc>
      </w:tr>
      <w:tr w14:paraId="0396A338"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050900BA" w14:textId="1968E52F">
            <w:pPr>
              <w:overflowPunct/>
              <w:autoSpaceDE/>
              <w:autoSpaceDN/>
              <w:adjustRightInd/>
              <w:textAlignment w:val="auto"/>
              <w:rPr>
                <w:color w:val="000000"/>
              </w:rPr>
            </w:pPr>
            <w:r w:rsidRPr="00CE05C3">
              <w:rPr>
                <w:color w:val="000000"/>
              </w:rPr>
              <w:t xml:space="preserve">Financial oversight                   </w:t>
            </w:r>
            <w:r w:rsidRPr="00CE05C3" w:rsidR="00605A09">
              <w:rPr>
                <w:color w:val="000000"/>
              </w:rPr>
              <w:t xml:space="preserve"> </w:t>
            </w:r>
            <w:r w:rsidRPr="00CE05C3">
              <w:rPr>
                <w:color w:val="000000"/>
              </w:rPr>
              <w:t xml:space="preserve">  (§ 92.251(f)(3)(iv) )</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456D8CE7" w14:textId="0A512B65">
            <w:pPr>
              <w:overflowPunct/>
              <w:autoSpaceDE/>
              <w:autoSpaceDN/>
              <w:adjustRightInd/>
              <w:jc w:val="right"/>
              <w:textAlignment w:val="auto"/>
              <w:rPr>
                <w:color w:val="000000"/>
              </w:rPr>
            </w:pPr>
            <w:r w:rsidRPr="00CE05C3">
              <w:rPr>
                <w:color w:val="000000"/>
              </w:rPr>
              <w:t xml:space="preserve">                7,261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16C34FA4" w14:textId="313DD4EC">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5DD2F243" w14:textId="4732EA39">
            <w:pPr>
              <w:overflowPunct/>
              <w:autoSpaceDE/>
              <w:autoSpaceDN/>
              <w:adjustRightInd/>
              <w:jc w:val="right"/>
              <w:textAlignment w:val="auto"/>
              <w:rPr>
                <w:color w:val="000000"/>
              </w:rPr>
            </w:pPr>
            <w:r w:rsidRPr="00CE05C3">
              <w:rPr>
                <w:color w:val="000000"/>
              </w:rPr>
              <w:t>7,261</w:t>
            </w:r>
          </w:p>
        </w:tc>
        <w:tc>
          <w:tcPr>
            <w:tcW w:w="999" w:type="dxa"/>
            <w:tcBorders>
              <w:top w:val="nil"/>
              <w:left w:val="nil"/>
              <w:bottom w:val="single" w:sz="4" w:space="0" w:color="auto"/>
              <w:right w:val="single" w:sz="4" w:space="0" w:color="auto"/>
            </w:tcBorders>
            <w:noWrap/>
            <w:vAlign w:val="bottom"/>
            <w:hideMark/>
          </w:tcPr>
          <w:p w:rsidR="00BE6A9A" w:rsidRPr="00CE05C3" w:rsidP="00BE6A9A" w14:paraId="00A4CA36" w14:textId="77777777">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4CEE333D" w14:textId="76381773">
            <w:pPr>
              <w:overflowPunct/>
              <w:autoSpaceDE/>
              <w:autoSpaceDN/>
              <w:adjustRightInd/>
              <w:jc w:val="right"/>
              <w:textAlignment w:val="auto"/>
              <w:rPr>
                <w:color w:val="000000"/>
              </w:rPr>
            </w:pPr>
            <w:r w:rsidRPr="00CE05C3">
              <w:rPr>
                <w:color w:val="000000"/>
              </w:rPr>
              <w:t xml:space="preserve">      7,261.00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104A7471" w14:textId="19B8D5D5">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693078C9" w14:textId="34A6BB75">
            <w:pPr>
              <w:overflowPunct/>
              <w:autoSpaceDE/>
              <w:autoSpaceDN/>
              <w:adjustRightInd/>
              <w:jc w:val="right"/>
              <w:textAlignment w:val="auto"/>
              <w:rPr>
                <w:color w:val="000000"/>
              </w:rPr>
            </w:pPr>
            <w:r w:rsidRPr="00CE05C3">
              <w:t>$352,811.99</w:t>
            </w:r>
          </w:p>
        </w:tc>
      </w:tr>
      <w:tr w14:paraId="00746094"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39860CD2" w14:textId="09DA9D30">
            <w:pPr>
              <w:overflowPunct/>
              <w:autoSpaceDE/>
              <w:autoSpaceDN/>
              <w:adjustRightInd/>
              <w:textAlignment w:val="auto"/>
              <w:rPr>
                <w:color w:val="000000"/>
              </w:rPr>
            </w:pPr>
            <w:r w:rsidRPr="00CE05C3">
              <w:rPr>
                <w:color w:val="000000"/>
              </w:rPr>
              <w:t>Closeout (§ 92.507)</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66A6B193" w14:textId="67A051DC">
            <w:pPr>
              <w:overflowPunct/>
              <w:autoSpaceDE/>
              <w:autoSpaceDN/>
              <w:adjustRightInd/>
              <w:jc w:val="right"/>
              <w:textAlignment w:val="auto"/>
              <w:rPr>
                <w:color w:val="000000"/>
              </w:rPr>
            </w:pPr>
            <w:r w:rsidRPr="00CE05C3">
              <w:rPr>
                <w:color w:val="000000"/>
              </w:rPr>
              <w:t xml:space="preserve">                    </w:t>
            </w:r>
            <w:r w:rsidRPr="00CE05C3" w:rsidR="00FA1490">
              <w:rPr>
                <w:color w:val="000000"/>
              </w:rPr>
              <w:t>652</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23F733B7" w14:textId="1F1CA55C">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5D87A8C1" w14:textId="0C715638">
            <w:pPr>
              <w:overflowPunct/>
              <w:autoSpaceDE/>
              <w:autoSpaceDN/>
              <w:adjustRightInd/>
              <w:jc w:val="right"/>
              <w:textAlignment w:val="auto"/>
              <w:rPr>
                <w:color w:val="000000"/>
              </w:rPr>
            </w:pPr>
            <w:r w:rsidRPr="00CE05C3">
              <w:rPr>
                <w:color w:val="000000"/>
              </w:rPr>
              <w:t>652</w:t>
            </w:r>
          </w:p>
        </w:tc>
        <w:tc>
          <w:tcPr>
            <w:tcW w:w="999" w:type="dxa"/>
            <w:tcBorders>
              <w:top w:val="nil"/>
              <w:left w:val="nil"/>
              <w:bottom w:val="single" w:sz="4" w:space="0" w:color="auto"/>
              <w:right w:val="single" w:sz="4" w:space="0" w:color="auto"/>
            </w:tcBorders>
            <w:noWrap/>
            <w:vAlign w:val="bottom"/>
            <w:hideMark/>
          </w:tcPr>
          <w:p w:rsidR="00BE6A9A" w:rsidRPr="00CE05C3" w:rsidP="00BE6A9A" w14:paraId="3861D393" w14:textId="73054808">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1BFE719E" w14:textId="2CA942C2">
            <w:pPr>
              <w:overflowPunct/>
              <w:autoSpaceDE/>
              <w:autoSpaceDN/>
              <w:adjustRightInd/>
              <w:jc w:val="right"/>
              <w:textAlignment w:val="auto"/>
              <w:rPr>
                <w:color w:val="000000"/>
              </w:rPr>
            </w:pPr>
            <w:r w:rsidRPr="00CE05C3">
              <w:rPr>
                <w:color w:val="000000"/>
              </w:rPr>
              <w:t xml:space="preserve">      6</w:t>
            </w:r>
            <w:r w:rsidRPr="00CE05C3" w:rsidR="00FA1490">
              <w:rPr>
                <w:color w:val="000000"/>
              </w:rPr>
              <w:t>52</w:t>
            </w:r>
            <w:r w:rsidRPr="00CE05C3">
              <w:rPr>
                <w:color w:val="000000"/>
              </w:rPr>
              <w:t xml:space="preserve">.00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7D6688E" w14:textId="6B545B4C">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0B596B41" w14:textId="75961322">
            <w:pPr>
              <w:overflowPunct/>
              <w:autoSpaceDE/>
              <w:autoSpaceDN/>
              <w:adjustRightInd/>
              <w:jc w:val="right"/>
              <w:textAlignment w:val="auto"/>
              <w:rPr>
                <w:color w:val="000000"/>
              </w:rPr>
            </w:pPr>
            <w:r w:rsidRPr="00CE05C3">
              <w:t>$31,680.68</w:t>
            </w:r>
          </w:p>
        </w:tc>
      </w:tr>
      <w:tr w14:paraId="73E2E040"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08F469E2" w14:textId="6821B04E">
            <w:pPr>
              <w:overflowPunct/>
              <w:autoSpaceDE/>
              <w:autoSpaceDN/>
              <w:adjustRightInd/>
              <w:textAlignment w:val="auto"/>
              <w:rPr>
                <w:color w:val="000000"/>
              </w:rPr>
            </w:pPr>
            <w:r w:rsidRPr="00CE05C3">
              <w:rPr>
                <w:color w:val="000000"/>
              </w:rPr>
              <w:t>Record Keeping                           (§ 92.508)</w:t>
            </w:r>
          </w:p>
        </w:tc>
        <w:tc>
          <w:tcPr>
            <w:tcW w:w="1239" w:type="dxa"/>
            <w:tcBorders>
              <w:top w:val="nil"/>
              <w:left w:val="single" w:sz="4" w:space="0" w:color="auto"/>
              <w:bottom w:val="single" w:sz="4" w:space="0" w:color="auto"/>
              <w:right w:val="single" w:sz="4" w:space="0" w:color="auto"/>
            </w:tcBorders>
            <w:noWrap/>
            <w:vAlign w:val="bottom"/>
            <w:hideMark/>
          </w:tcPr>
          <w:p w:rsidR="00BE6A9A" w:rsidRPr="00CE05C3" w:rsidP="00BE6A9A" w14:paraId="238EBC29" w14:textId="5694F9C1">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single" w:sz="4" w:space="0" w:color="auto"/>
              <w:right w:val="single" w:sz="4" w:space="0" w:color="auto"/>
            </w:tcBorders>
            <w:noWrap/>
            <w:vAlign w:val="bottom"/>
            <w:hideMark/>
          </w:tcPr>
          <w:p w:rsidR="00BE6A9A" w:rsidRPr="00CE05C3" w:rsidP="00BE6A9A" w14:paraId="35D543CE" w14:textId="14BAD1BB">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single" w:sz="4" w:space="0" w:color="auto"/>
              <w:right w:val="single" w:sz="4" w:space="0" w:color="auto"/>
            </w:tcBorders>
            <w:noWrap/>
            <w:vAlign w:val="bottom"/>
            <w:hideMark/>
          </w:tcPr>
          <w:p w:rsidR="00BE6A9A" w:rsidRPr="00CE05C3" w:rsidP="00BE6A9A" w14:paraId="5196FBEE" w14:textId="0809A4BF">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single" w:sz="4" w:space="0" w:color="auto"/>
              <w:right w:val="single" w:sz="4" w:space="0" w:color="auto"/>
            </w:tcBorders>
            <w:noWrap/>
            <w:vAlign w:val="bottom"/>
            <w:hideMark/>
          </w:tcPr>
          <w:p w:rsidR="00BE6A9A" w:rsidRPr="00CE05C3" w:rsidP="00BE6A9A" w14:paraId="284BC390" w14:textId="77777777">
            <w:pPr>
              <w:overflowPunct/>
              <w:autoSpaceDE/>
              <w:autoSpaceDN/>
              <w:adjustRightInd/>
              <w:jc w:val="right"/>
              <w:textAlignment w:val="auto"/>
              <w:rPr>
                <w:color w:val="000000"/>
              </w:rPr>
            </w:pPr>
            <w:r w:rsidRPr="00CE05C3">
              <w:rPr>
                <w:color w:val="000000"/>
              </w:rPr>
              <w:t>40</w:t>
            </w:r>
          </w:p>
        </w:tc>
        <w:tc>
          <w:tcPr>
            <w:tcW w:w="1170" w:type="dxa"/>
            <w:tcBorders>
              <w:top w:val="nil"/>
              <w:left w:val="single" w:sz="4" w:space="0" w:color="auto"/>
              <w:bottom w:val="single" w:sz="4" w:space="0" w:color="auto"/>
              <w:right w:val="single" w:sz="4" w:space="0" w:color="auto"/>
            </w:tcBorders>
            <w:noWrap/>
            <w:vAlign w:val="bottom"/>
            <w:hideMark/>
          </w:tcPr>
          <w:p w:rsidR="00BE6A9A" w:rsidRPr="00CE05C3" w:rsidP="00BE6A9A" w14:paraId="7D9A2694" w14:textId="573A07A6">
            <w:pPr>
              <w:overflowPunct/>
              <w:autoSpaceDE/>
              <w:autoSpaceDN/>
              <w:adjustRightInd/>
              <w:jc w:val="right"/>
              <w:textAlignment w:val="auto"/>
              <w:rPr>
                <w:color w:val="000000"/>
              </w:rPr>
            </w:pPr>
            <w:r w:rsidRPr="00CE05C3">
              <w:rPr>
                <w:color w:val="000000"/>
              </w:rPr>
              <w:t xml:space="preserve">    26,800.00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E8F0E8B" w14:textId="69EDF275">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1DC6EF9B" w14:textId="229C9E35">
            <w:pPr>
              <w:overflowPunct/>
              <w:autoSpaceDE/>
              <w:autoSpaceDN/>
              <w:adjustRightInd/>
              <w:jc w:val="right"/>
              <w:textAlignment w:val="auto"/>
              <w:rPr>
                <w:color w:val="000000"/>
              </w:rPr>
            </w:pPr>
            <w:r w:rsidRPr="00CE05C3">
              <w:t xml:space="preserve">$1,302,212.00 </w:t>
            </w:r>
          </w:p>
        </w:tc>
      </w:tr>
      <w:tr w14:paraId="780C77B4"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noWrap/>
            <w:vAlign w:val="bottom"/>
            <w:hideMark/>
          </w:tcPr>
          <w:p w:rsidR="005B72E7" w:rsidRPr="00CE05C3" w:rsidP="00BE6A9A" w14:paraId="69AF09EB" w14:textId="26677381">
            <w:pPr>
              <w:overflowPunct/>
              <w:autoSpaceDE/>
              <w:autoSpaceDN/>
              <w:adjustRightInd/>
              <w:textAlignment w:val="auto"/>
              <w:rPr>
                <w:color w:val="000000"/>
              </w:rPr>
            </w:pPr>
            <w:r w:rsidRPr="00CE05C3">
              <w:rPr>
                <w:color w:val="000000"/>
              </w:rPr>
              <w:t>Annual Performance Reports       (§ 92.509)</w:t>
            </w:r>
          </w:p>
        </w:tc>
        <w:tc>
          <w:tcPr>
            <w:tcW w:w="1239" w:type="dxa"/>
            <w:tcBorders>
              <w:top w:val="nil"/>
              <w:left w:val="single" w:sz="4" w:space="0" w:color="auto"/>
              <w:bottom w:val="nil"/>
              <w:right w:val="single" w:sz="4" w:space="0" w:color="auto"/>
            </w:tcBorders>
            <w:noWrap/>
            <w:vAlign w:val="bottom"/>
            <w:hideMark/>
          </w:tcPr>
          <w:p w:rsidR="00BE6A9A" w:rsidRPr="00CE05C3" w:rsidP="00BE6A9A" w14:paraId="7B1C5C6D" w14:textId="69320247">
            <w:pPr>
              <w:overflowPunct/>
              <w:autoSpaceDE/>
              <w:autoSpaceDN/>
              <w:adjustRightInd/>
              <w:jc w:val="right"/>
              <w:textAlignment w:val="auto"/>
              <w:rPr>
                <w:color w:val="000000"/>
              </w:rPr>
            </w:pPr>
            <w:r w:rsidRPr="00CE05C3">
              <w:rPr>
                <w:color w:val="000000"/>
              </w:rPr>
              <w:t xml:space="preserve">                    670 </w:t>
            </w:r>
          </w:p>
        </w:tc>
        <w:tc>
          <w:tcPr>
            <w:tcW w:w="1101" w:type="dxa"/>
            <w:tcBorders>
              <w:top w:val="nil"/>
              <w:left w:val="nil"/>
              <w:bottom w:val="nil"/>
              <w:right w:val="single" w:sz="4" w:space="0" w:color="auto"/>
            </w:tcBorders>
            <w:noWrap/>
            <w:vAlign w:val="bottom"/>
            <w:hideMark/>
          </w:tcPr>
          <w:p w:rsidR="00BE6A9A" w:rsidRPr="00CE05C3" w:rsidP="00BE6A9A" w14:paraId="0A12BC8F" w14:textId="2A668D22">
            <w:pPr>
              <w:overflowPunct/>
              <w:autoSpaceDE/>
              <w:autoSpaceDN/>
              <w:adjustRightInd/>
              <w:jc w:val="center"/>
              <w:textAlignment w:val="auto"/>
              <w:rPr>
                <w:color w:val="000000"/>
              </w:rPr>
            </w:pPr>
            <w:r w:rsidRPr="00CE05C3">
              <w:rPr>
                <w:color w:val="000000"/>
              </w:rPr>
              <w:t>1</w:t>
            </w:r>
          </w:p>
        </w:tc>
        <w:tc>
          <w:tcPr>
            <w:tcW w:w="1244" w:type="dxa"/>
            <w:tcBorders>
              <w:top w:val="nil"/>
              <w:left w:val="nil"/>
              <w:bottom w:val="nil"/>
              <w:right w:val="single" w:sz="4" w:space="0" w:color="auto"/>
            </w:tcBorders>
            <w:noWrap/>
            <w:vAlign w:val="bottom"/>
            <w:hideMark/>
          </w:tcPr>
          <w:p w:rsidR="00BE6A9A" w:rsidRPr="00CE05C3" w:rsidP="00BE6A9A" w14:paraId="0BD87047" w14:textId="42667E36">
            <w:pPr>
              <w:overflowPunct/>
              <w:autoSpaceDE/>
              <w:autoSpaceDN/>
              <w:adjustRightInd/>
              <w:jc w:val="right"/>
              <w:textAlignment w:val="auto"/>
              <w:rPr>
                <w:color w:val="000000"/>
              </w:rPr>
            </w:pPr>
            <w:r w:rsidRPr="00CE05C3">
              <w:rPr>
                <w:color w:val="000000"/>
              </w:rPr>
              <w:t>670</w:t>
            </w:r>
          </w:p>
        </w:tc>
        <w:tc>
          <w:tcPr>
            <w:tcW w:w="999" w:type="dxa"/>
            <w:tcBorders>
              <w:top w:val="nil"/>
              <w:left w:val="nil"/>
              <w:bottom w:val="nil"/>
              <w:right w:val="single" w:sz="4" w:space="0" w:color="auto"/>
            </w:tcBorders>
            <w:noWrap/>
            <w:vAlign w:val="bottom"/>
            <w:hideMark/>
          </w:tcPr>
          <w:p w:rsidR="00BE6A9A" w:rsidRPr="00CE05C3" w:rsidP="00BE6A9A" w14:paraId="0957FB5C" w14:textId="77777777">
            <w:pPr>
              <w:overflowPunct/>
              <w:autoSpaceDE/>
              <w:autoSpaceDN/>
              <w:adjustRightInd/>
              <w:jc w:val="right"/>
              <w:textAlignment w:val="auto"/>
              <w:rPr>
                <w:color w:val="000000"/>
              </w:rPr>
            </w:pPr>
            <w:r w:rsidRPr="00CE05C3">
              <w:rPr>
                <w:color w:val="000000"/>
              </w:rPr>
              <w:t>1</w:t>
            </w:r>
          </w:p>
        </w:tc>
        <w:tc>
          <w:tcPr>
            <w:tcW w:w="1170" w:type="dxa"/>
            <w:tcBorders>
              <w:top w:val="nil"/>
              <w:left w:val="single" w:sz="4" w:space="0" w:color="auto"/>
              <w:bottom w:val="nil"/>
              <w:right w:val="single" w:sz="4" w:space="0" w:color="auto"/>
            </w:tcBorders>
            <w:noWrap/>
            <w:vAlign w:val="bottom"/>
            <w:hideMark/>
          </w:tcPr>
          <w:p w:rsidR="00BE6A9A" w:rsidRPr="00CE05C3" w:rsidP="00BE6A9A" w14:paraId="0F52A84E" w14:textId="1D3A5855">
            <w:pPr>
              <w:overflowPunct/>
              <w:autoSpaceDE/>
              <w:autoSpaceDN/>
              <w:adjustRightInd/>
              <w:jc w:val="right"/>
              <w:textAlignment w:val="auto"/>
              <w:rPr>
                <w:color w:val="000000"/>
              </w:rPr>
            </w:pPr>
            <w:r w:rsidRPr="00CE05C3">
              <w:rPr>
                <w:color w:val="000000"/>
              </w:rPr>
              <w:t xml:space="preserve">          670.00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10AFED00" w14:textId="67A79BE4">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710F6E6E" w14:textId="159CDDDF">
            <w:pPr>
              <w:overflowPunct/>
              <w:autoSpaceDE/>
              <w:autoSpaceDN/>
              <w:adjustRightInd/>
              <w:jc w:val="right"/>
              <w:textAlignment w:val="auto"/>
              <w:rPr>
                <w:color w:val="000000"/>
              </w:rPr>
            </w:pPr>
            <w:r w:rsidRPr="00CE05C3">
              <w:t>$32,555.30</w:t>
            </w:r>
          </w:p>
        </w:tc>
      </w:tr>
      <w:tr w14:paraId="523EB116" w14:textId="77777777" w:rsidTr="00605A09">
        <w:tblPrEx>
          <w:tblW w:w="12451" w:type="dxa"/>
          <w:tblLook w:val="04A0"/>
        </w:tblPrEx>
        <w:trPr>
          <w:gridAfter w:val="3"/>
          <w:trHeight w:val="290"/>
        </w:trPr>
        <w:tc>
          <w:tcPr>
            <w:tcW w:w="2972" w:type="dxa"/>
            <w:tcBorders>
              <w:top w:val="single" w:sz="4" w:space="0" w:color="auto"/>
              <w:left w:val="single" w:sz="4" w:space="0" w:color="auto"/>
              <w:bottom w:val="single" w:sz="4" w:space="0" w:color="auto"/>
              <w:right w:val="single" w:sz="4" w:space="0" w:color="auto"/>
            </w:tcBorders>
            <w:vAlign w:val="bottom"/>
            <w:hideMark/>
          </w:tcPr>
          <w:p w:rsidR="00BE6A9A" w:rsidRPr="00CE05C3" w:rsidP="00BE6A9A" w14:paraId="2796ADB5" w14:textId="77777777">
            <w:pPr>
              <w:overflowPunct/>
              <w:autoSpaceDE/>
              <w:autoSpaceDN/>
              <w:adjustRightInd/>
              <w:textAlignment w:val="auto"/>
              <w:rPr>
                <w:color w:val="000000"/>
              </w:rPr>
            </w:pPr>
            <w:r w:rsidRPr="00CE05C3">
              <w:rPr>
                <w:color w:val="000000"/>
              </w:rPr>
              <w:t>Policy and procedure review</w:t>
            </w:r>
          </w:p>
        </w:tc>
        <w:tc>
          <w:tcPr>
            <w:tcW w:w="1239"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5A92BF2F" w14:textId="745D2C77">
            <w:pPr>
              <w:overflowPunct/>
              <w:autoSpaceDE/>
              <w:autoSpaceDN/>
              <w:adjustRightInd/>
              <w:jc w:val="right"/>
              <w:textAlignment w:val="auto"/>
              <w:rPr>
                <w:color w:val="000000"/>
              </w:rPr>
            </w:pPr>
            <w:r w:rsidRPr="00CE05C3">
              <w:rPr>
                <w:color w:val="000000"/>
              </w:rPr>
              <w:t xml:space="preserve">                    670 </w:t>
            </w:r>
          </w:p>
        </w:tc>
        <w:tc>
          <w:tcPr>
            <w:tcW w:w="1101" w:type="dxa"/>
            <w:tcBorders>
              <w:top w:val="single" w:sz="4" w:space="0" w:color="auto"/>
              <w:left w:val="nil"/>
              <w:bottom w:val="single" w:sz="4" w:space="0" w:color="auto"/>
              <w:right w:val="single" w:sz="4" w:space="0" w:color="auto"/>
            </w:tcBorders>
            <w:vAlign w:val="bottom"/>
            <w:hideMark/>
          </w:tcPr>
          <w:p w:rsidR="00BE6A9A" w:rsidRPr="00CE05C3" w:rsidP="00BE6A9A" w14:paraId="4ABD6463" w14:textId="320C1DA1">
            <w:pPr>
              <w:overflowPunct/>
              <w:autoSpaceDE/>
              <w:autoSpaceDN/>
              <w:adjustRightInd/>
              <w:jc w:val="center"/>
              <w:textAlignment w:val="auto"/>
              <w:rPr>
                <w:color w:val="000000"/>
              </w:rPr>
            </w:pPr>
            <w:r w:rsidRPr="00CE05C3">
              <w:rPr>
                <w:color w:val="000000"/>
              </w:rPr>
              <w:t>1</w:t>
            </w:r>
          </w:p>
        </w:tc>
        <w:tc>
          <w:tcPr>
            <w:tcW w:w="1244" w:type="dxa"/>
            <w:tcBorders>
              <w:top w:val="single" w:sz="4" w:space="0" w:color="auto"/>
              <w:left w:val="nil"/>
              <w:bottom w:val="single" w:sz="4" w:space="0" w:color="auto"/>
              <w:right w:val="single" w:sz="4" w:space="0" w:color="auto"/>
            </w:tcBorders>
            <w:noWrap/>
            <w:vAlign w:val="bottom"/>
            <w:hideMark/>
          </w:tcPr>
          <w:p w:rsidR="00BE6A9A" w:rsidRPr="00CE05C3" w:rsidP="00BE6A9A" w14:paraId="5EC0FC89" w14:textId="07125140">
            <w:pPr>
              <w:overflowPunct/>
              <w:autoSpaceDE/>
              <w:autoSpaceDN/>
              <w:adjustRightInd/>
              <w:jc w:val="right"/>
              <w:textAlignment w:val="auto"/>
              <w:rPr>
                <w:color w:val="000000"/>
              </w:rPr>
            </w:pPr>
            <w:r w:rsidRPr="00CE05C3">
              <w:rPr>
                <w:color w:val="000000"/>
              </w:rPr>
              <w:t>670</w:t>
            </w:r>
          </w:p>
        </w:tc>
        <w:tc>
          <w:tcPr>
            <w:tcW w:w="999" w:type="dxa"/>
            <w:tcBorders>
              <w:top w:val="single" w:sz="4" w:space="0" w:color="auto"/>
              <w:left w:val="nil"/>
              <w:bottom w:val="single" w:sz="4" w:space="0" w:color="auto"/>
              <w:right w:val="single" w:sz="4" w:space="0" w:color="auto"/>
            </w:tcBorders>
            <w:noWrap/>
            <w:vAlign w:val="bottom"/>
            <w:hideMark/>
          </w:tcPr>
          <w:p w:rsidR="00BE6A9A" w:rsidRPr="00CE05C3" w:rsidP="00BE6A9A" w14:paraId="2CA4F40E" w14:textId="77777777">
            <w:pPr>
              <w:overflowPunct/>
              <w:autoSpaceDE/>
              <w:autoSpaceDN/>
              <w:adjustRightInd/>
              <w:jc w:val="right"/>
              <w:textAlignment w:val="auto"/>
              <w:rPr>
                <w:color w:val="000000"/>
              </w:rPr>
            </w:pPr>
            <w:r w:rsidRPr="00CE05C3">
              <w:rPr>
                <w:color w:val="000000"/>
              </w:rPr>
              <w:t>8</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4F338039" w14:textId="6A79BD4D">
            <w:pPr>
              <w:overflowPunct/>
              <w:autoSpaceDE/>
              <w:autoSpaceDN/>
              <w:adjustRightInd/>
              <w:jc w:val="right"/>
              <w:textAlignment w:val="auto"/>
              <w:rPr>
                <w:color w:val="000000"/>
              </w:rPr>
            </w:pPr>
            <w:r w:rsidRPr="00CE05C3">
              <w:rPr>
                <w:color w:val="000000"/>
              </w:rPr>
              <w:t xml:space="preserve">      5,360.00 </w:t>
            </w:r>
          </w:p>
        </w:tc>
        <w:tc>
          <w:tcPr>
            <w:tcW w:w="990" w:type="dxa"/>
            <w:tcBorders>
              <w:top w:val="single" w:sz="4" w:space="0" w:color="auto"/>
              <w:left w:val="single" w:sz="4" w:space="0" w:color="auto"/>
              <w:bottom w:val="single" w:sz="4" w:space="0" w:color="auto"/>
              <w:right w:val="single" w:sz="4" w:space="0" w:color="auto"/>
            </w:tcBorders>
            <w:vAlign w:val="bottom"/>
          </w:tcPr>
          <w:p w:rsidR="00BE6A9A" w:rsidRPr="00CE05C3" w:rsidP="00BE6A9A" w14:paraId="202BD8B6" w14:textId="2C564F3B">
            <w:pPr>
              <w:overflowPunct/>
              <w:autoSpaceDE/>
              <w:autoSpaceDN/>
              <w:adjustRightInd/>
              <w:jc w:val="right"/>
              <w:textAlignment w:val="auto"/>
              <w:rPr>
                <w:color w:val="000000"/>
              </w:rPr>
            </w:pPr>
            <w:r w:rsidRPr="00CE05C3">
              <w:rPr>
                <w:color w:val="000000"/>
              </w:rPr>
              <w:t>$48.59</w:t>
            </w:r>
          </w:p>
        </w:tc>
        <w:tc>
          <w:tcPr>
            <w:tcW w:w="2070" w:type="dxa"/>
            <w:tcBorders>
              <w:top w:val="nil"/>
              <w:left w:val="single" w:sz="4" w:space="0" w:color="auto"/>
              <w:bottom w:val="single" w:sz="4" w:space="0" w:color="auto"/>
              <w:right w:val="single" w:sz="4" w:space="0" w:color="auto"/>
            </w:tcBorders>
            <w:noWrap/>
            <w:hideMark/>
          </w:tcPr>
          <w:p w:rsidR="00BE6A9A" w:rsidRPr="00CE05C3" w:rsidP="00BE6A9A" w14:paraId="05CADAF6" w14:textId="54C52BEE">
            <w:pPr>
              <w:overflowPunct/>
              <w:autoSpaceDE/>
              <w:autoSpaceDN/>
              <w:adjustRightInd/>
              <w:jc w:val="right"/>
              <w:textAlignment w:val="auto"/>
              <w:rPr>
                <w:color w:val="000000"/>
              </w:rPr>
            </w:pPr>
            <w:r w:rsidRPr="00CE05C3">
              <w:t>$260,442.40</w:t>
            </w:r>
          </w:p>
        </w:tc>
      </w:tr>
      <w:tr w14:paraId="1A45AABC" w14:textId="34EB9266" w:rsidTr="00605A09">
        <w:tblPrEx>
          <w:tblW w:w="12451" w:type="dxa"/>
          <w:tblLook w:val="04A0"/>
        </w:tblPrEx>
        <w:trPr>
          <w:trHeight w:val="300"/>
        </w:trPr>
        <w:tc>
          <w:tcPr>
            <w:tcW w:w="6556" w:type="dxa"/>
            <w:gridSpan w:val="4"/>
            <w:tcBorders>
              <w:top w:val="nil"/>
              <w:left w:val="nil"/>
              <w:bottom w:val="nil"/>
              <w:right w:val="single" w:sz="4" w:space="0" w:color="auto"/>
            </w:tcBorders>
            <w:noWrap/>
            <w:vAlign w:val="bottom"/>
            <w:hideMark/>
          </w:tcPr>
          <w:p w:rsidR="00BE6A9A" w:rsidRPr="00CE05C3" w:rsidP="00BE6A9A" w14:paraId="3EECF861" w14:textId="77777777">
            <w:pPr>
              <w:overflowPunct/>
              <w:autoSpaceDE/>
              <w:autoSpaceDN/>
              <w:adjustRightInd/>
              <w:textAlignment w:val="auto"/>
            </w:pPr>
          </w:p>
        </w:tc>
        <w:tc>
          <w:tcPr>
            <w:tcW w:w="999" w:type="dxa"/>
            <w:tcBorders>
              <w:top w:val="single" w:sz="4" w:space="0" w:color="auto"/>
              <w:left w:val="single" w:sz="4" w:space="0" w:color="auto"/>
              <w:bottom w:val="single" w:sz="4" w:space="0" w:color="auto"/>
              <w:right w:val="single" w:sz="4" w:space="0" w:color="auto"/>
            </w:tcBorders>
            <w:noWrap/>
            <w:vAlign w:val="bottom"/>
            <w:hideMark/>
          </w:tcPr>
          <w:p w:rsidR="00BE6A9A" w:rsidRPr="00CE05C3" w:rsidP="00BE6A9A" w14:paraId="240189C4" w14:textId="77777777">
            <w:pPr>
              <w:overflowPunct/>
              <w:autoSpaceDE/>
              <w:autoSpaceDN/>
              <w:adjustRightInd/>
              <w:textAlignment w:val="auto"/>
              <w:rPr>
                <w:color w:val="000000"/>
              </w:rPr>
            </w:pPr>
            <w:r w:rsidRPr="00CE05C3">
              <w:rPr>
                <w:color w:val="000000"/>
              </w:rPr>
              <w:t>Total</w:t>
            </w:r>
          </w:p>
        </w:tc>
        <w:tc>
          <w:tcPr>
            <w:tcW w:w="1170" w:type="dxa"/>
            <w:tcBorders>
              <w:top w:val="single" w:sz="4" w:space="0" w:color="auto"/>
              <w:left w:val="nil"/>
              <w:bottom w:val="single" w:sz="4" w:space="0" w:color="auto"/>
              <w:right w:val="single" w:sz="4" w:space="0" w:color="auto"/>
            </w:tcBorders>
            <w:noWrap/>
            <w:vAlign w:val="bottom"/>
            <w:hideMark/>
          </w:tcPr>
          <w:p w:rsidR="00BE6A9A" w:rsidRPr="00CE05C3" w:rsidP="00BE6A9A" w14:paraId="6A0EE696" w14:textId="4B184C69">
            <w:pPr>
              <w:overflowPunct/>
              <w:autoSpaceDE/>
              <w:autoSpaceDN/>
              <w:adjustRightInd/>
              <w:jc w:val="right"/>
              <w:textAlignment w:val="auto"/>
              <w:rPr>
                <w:color w:val="000000"/>
              </w:rPr>
            </w:pPr>
            <w:r w:rsidRPr="00CE05C3">
              <w:rPr>
                <w:color w:val="000000"/>
              </w:rPr>
              <w:t>2</w:t>
            </w:r>
            <w:r w:rsidR="006512DD">
              <w:rPr>
                <w:color w:val="000000"/>
              </w:rPr>
              <w:t>55</w:t>
            </w:r>
            <w:r w:rsidRPr="00CE05C3">
              <w:rPr>
                <w:color w:val="000000"/>
              </w:rPr>
              <w:t>,7</w:t>
            </w:r>
            <w:r w:rsidR="006512DD">
              <w:rPr>
                <w:color w:val="000000"/>
              </w:rPr>
              <w:t>50.25</w:t>
            </w:r>
          </w:p>
        </w:tc>
        <w:tc>
          <w:tcPr>
            <w:tcW w:w="990" w:type="dxa"/>
            <w:tcBorders>
              <w:top w:val="nil"/>
              <w:left w:val="single" w:sz="4" w:space="0" w:color="auto"/>
              <w:bottom w:val="single" w:sz="8" w:space="0" w:color="auto"/>
              <w:right w:val="single" w:sz="4" w:space="0" w:color="auto"/>
            </w:tcBorders>
            <w:vAlign w:val="bottom"/>
          </w:tcPr>
          <w:p w:rsidR="00BE6A9A" w:rsidRPr="00CE05C3" w:rsidP="00BE6A9A" w14:paraId="31EAF5BA" w14:textId="77F5216E">
            <w:pPr>
              <w:overflowPunct/>
              <w:autoSpaceDE/>
              <w:autoSpaceDN/>
              <w:adjustRightInd/>
              <w:jc w:val="right"/>
              <w:textAlignment w:val="auto"/>
              <w:rPr>
                <w:color w:val="000000"/>
              </w:rPr>
            </w:pPr>
            <w:r w:rsidRPr="00CE05C3">
              <w:rPr>
                <w:color w:val="000000"/>
              </w:rPr>
              <w:t xml:space="preserve">    </w:t>
            </w:r>
          </w:p>
        </w:tc>
        <w:tc>
          <w:tcPr>
            <w:tcW w:w="2070" w:type="dxa"/>
            <w:tcBorders>
              <w:top w:val="single" w:sz="4" w:space="0" w:color="auto"/>
              <w:left w:val="nil"/>
              <w:bottom w:val="single" w:sz="4" w:space="0" w:color="auto"/>
              <w:right w:val="single" w:sz="4" w:space="0" w:color="auto"/>
            </w:tcBorders>
            <w:noWrap/>
            <w:vAlign w:val="bottom"/>
            <w:hideMark/>
          </w:tcPr>
          <w:p w:rsidR="00BE6A9A" w:rsidRPr="00CE05C3" w:rsidP="00BE6A9A" w14:paraId="58B10625" w14:textId="0DD3B237">
            <w:pPr>
              <w:overflowPunct/>
              <w:autoSpaceDE/>
              <w:autoSpaceDN/>
              <w:adjustRightInd/>
              <w:jc w:val="right"/>
              <w:textAlignment w:val="auto"/>
              <w:rPr>
                <w:color w:val="000000"/>
              </w:rPr>
            </w:pPr>
            <w:r w:rsidRPr="00CE05C3">
              <w:rPr>
                <w:color w:val="000000"/>
              </w:rPr>
              <w:t>$</w:t>
            </w:r>
            <w:r w:rsidRPr="00CE05C3" w:rsidR="00CE05C3">
              <w:rPr>
                <w:color w:val="000000"/>
              </w:rPr>
              <w:t>12,426,904.65</w:t>
            </w:r>
          </w:p>
        </w:tc>
        <w:tc>
          <w:tcPr>
            <w:tcW w:w="0" w:type="auto"/>
          </w:tcPr>
          <w:p w:rsidR="00BE6A9A" w:rsidRPr="00C6669C" w:rsidP="00BE6A9A" w14:paraId="4C5C12D1" w14:textId="77777777">
            <w:pPr>
              <w:overflowPunct/>
              <w:autoSpaceDE/>
              <w:autoSpaceDN/>
              <w:adjustRightInd/>
              <w:textAlignment w:val="auto"/>
            </w:pPr>
          </w:p>
        </w:tc>
        <w:tc>
          <w:tcPr>
            <w:tcW w:w="0" w:type="auto"/>
          </w:tcPr>
          <w:p w:rsidR="00BE6A9A" w:rsidRPr="00C6669C" w:rsidP="00BE6A9A" w14:paraId="034ACBDF" w14:textId="77777777">
            <w:pPr>
              <w:overflowPunct/>
              <w:autoSpaceDE/>
              <w:autoSpaceDN/>
              <w:adjustRightInd/>
              <w:textAlignment w:val="auto"/>
            </w:pPr>
          </w:p>
        </w:tc>
        <w:tc>
          <w:tcPr>
            <w:tcW w:w="0" w:type="auto"/>
            <w:tcBorders>
              <w:top w:val="nil"/>
              <w:left w:val="single" w:sz="4" w:space="0" w:color="auto"/>
              <w:bottom w:val="single" w:sz="4" w:space="0" w:color="auto"/>
              <w:right w:val="single" w:sz="4" w:space="0" w:color="auto"/>
            </w:tcBorders>
            <w:vAlign w:val="bottom"/>
          </w:tcPr>
          <w:p w:rsidR="00BE6A9A" w:rsidRPr="00C6669C" w:rsidP="00BE6A9A" w14:paraId="677BEBB9" w14:textId="7B4340CE">
            <w:pPr>
              <w:overflowPunct/>
              <w:autoSpaceDE/>
              <w:autoSpaceDN/>
              <w:adjustRightInd/>
              <w:textAlignment w:val="auto"/>
            </w:pPr>
          </w:p>
        </w:tc>
      </w:tr>
    </w:tbl>
    <w:p w:rsidR="00AC08B9" w:rsidRPr="00AF2BF2" w:rsidP="00AC08B9" w14:paraId="2AAD41E1" w14:textId="78FB95B3">
      <w:pPr>
        <w:pStyle w:val="NoSpacing"/>
        <w:ind w:left="-540" w:right="-1170"/>
        <w:rPr>
          <w:sz w:val="16"/>
          <w:szCs w:val="16"/>
        </w:rPr>
      </w:pPr>
      <w:bookmarkStart w:id="7" w:name="_Hlk204333974"/>
      <w:bookmarkEnd w:id="4"/>
      <w:r w:rsidRPr="00AF2BF2">
        <w:rPr>
          <w:sz w:val="16"/>
          <w:szCs w:val="16"/>
        </w:rPr>
        <w:t xml:space="preserve">Total cost to the Federal Government:  </w:t>
      </w:r>
      <w:r w:rsidR="00CE05C3">
        <w:rPr>
          <w:sz w:val="16"/>
          <w:szCs w:val="16"/>
        </w:rPr>
        <w:t>240,798,75</w:t>
      </w:r>
      <w:r w:rsidRPr="00AF2BF2">
        <w:rPr>
          <w:sz w:val="16"/>
          <w:szCs w:val="16"/>
        </w:rPr>
        <w:t xml:space="preserve"> hours at $</w:t>
      </w:r>
      <w:r w:rsidR="00CE05C3">
        <w:rPr>
          <w:sz w:val="16"/>
          <w:szCs w:val="16"/>
        </w:rPr>
        <w:t>48</w:t>
      </w:r>
      <w:r>
        <w:rPr>
          <w:sz w:val="16"/>
          <w:szCs w:val="16"/>
        </w:rPr>
        <w:t>.</w:t>
      </w:r>
      <w:r w:rsidR="00CE05C3">
        <w:rPr>
          <w:sz w:val="16"/>
          <w:szCs w:val="16"/>
        </w:rPr>
        <w:t>59</w:t>
      </w:r>
      <w:r w:rsidRPr="00AF2BF2">
        <w:rPr>
          <w:sz w:val="16"/>
          <w:szCs w:val="16"/>
        </w:rPr>
        <w:t xml:space="preserve">/hour (This figure is based on </w:t>
      </w:r>
      <w:r>
        <w:rPr>
          <w:sz w:val="16"/>
          <w:szCs w:val="16"/>
        </w:rPr>
        <w:t xml:space="preserve">the FY 2025 </w:t>
      </w:r>
      <w:r w:rsidRPr="00AF2BF2">
        <w:rPr>
          <w:sz w:val="16"/>
          <w:szCs w:val="16"/>
        </w:rPr>
        <w:t>GS-1</w:t>
      </w:r>
      <w:r w:rsidR="00CE05C3">
        <w:rPr>
          <w:sz w:val="16"/>
          <w:szCs w:val="16"/>
        </w:rPr>
        <w:t>2</w:t>
      </w:r>
      <w:r w:rsidRPr="00AF2BF2">
        <w:rPr>
          <w:sz w:val="16"/>
          <w:szCs w:val="16"/>
        </w:rPr>
        <w:t xml:space="preserve"> salary</w:t>
      </w:r>
      <w:r>
        <w:rPr>
          <w:sz w:val="16"/>
          <w:szCs w:val="16"/>
        </w:rPr>
        <w:t xml:space="preserve"> for an employee in the Washington-Baltimore-Arlington DC-MD-VA-WV-PA Locality</w:t>
      </w:r>
      <w:r w:rsidRPr="00AF2BF2">
        <w:rPr>
          <w:sz w:val="16"/>
          <w:szCs w:val="16"/>
        </w:rPr>
        <w:t>)</w:t>
      </w:r>
    </w:p>
    <w:bookmarkEnd w:id="7"/>
    <w:p w:rsidR="00AC08B9" w:rsidP="00AC08B9" w14:paraId="56A1A2D7" w14:textId="654D356B">
      <w:pPr>
        <w:pStyle w:val="NoSpacing"/>
        <w:tabs>
          <w:tab w:val="left" w:pos="3256"/>
        </w:tabs>
      </w:pPr>
    </w:p>
    <w:p w:rsidR="00AC08B9" w:rsidRPr="00AF2BF2" w:rsidP="00AC08B9" w14:paraId="580776B3" w14:textId="202BD7A3">
      <w:pPr>
        <w:pStyle w:val="NoSpacing"/>
        <w:rPr>
          <w:sz w:val="16"/>
          <w:szCs w:val="16"/>
        </w:rPr>
      </w:pPr>
      <w:r w:rsidRPr="00AC08B9">
        <w:br w:type="page"/>
      </w:r>
      <w:bookmarkEnd w:id="5"/>
      <w:r w:rsidRPr="00AF2BF2">
        <w:rPr>
          <w:sz w:val="16"/>
          <w:szCs w:val="16"/>
        </w:rPr>
        <w:t xml:space="preserve"> </w:t>
      </w:r>
    </w:p>
    <w:p w:rsidR="008F7C2B" w:rsidP="008A5688" w14:paraId="4486B4F7" w14:textId="316185C6">
      <w:pPr>
        <w:overflowPunct/>
        <w:autoSpaceDE/>
        <w:autoSpaceDN/>
        <w:adjustRightInd/>
        <w:ind w:right="270"/>
        <w:textAlignment w:val="auto"/>
      </w:pPr>
    </w:p>
    <w:tbl>
      <w:tblPr>
        <w:tblpPr w:leftFromText="180" w:rightFromText="180" w:tblpX="-612" w:tblpY="-1175"/>
        <w:tblW w:w="10101" w:type="dxa"/>
        <w:tblLook w:val="04A0"/>
      </w:tblPr>
      <w:tblGrid>
        <w:gridCol w:w="984"/>
        <w:gridCol w:w="6598"/>
        <w:gridCol w:w="236"/>
        <w:gridCol w:w="2283"/>
      </w:tblGrid>
      <w:tr w14:paraId="0C75B009" w14:textId="77777777" w:rsidTr="008F7C2B">
        <w:tblPrEx>
          <w:tblW w:w="10101" w:type="dxa"/>
          <w:tblLook w:val="04A0"/>
        </w:tblPrEx>
        <w:trPr>
          <w:trHeight w:val="86"/>
        </w:trPr>
        <w:tc>
          <w:tcPr>
            <w:tcW w:w="984" w:type="dxa"/>
            <w:noWrap/>
            <w:vAlign w:val="bottom"/>
          </w:tcPr>
          <w:p w:rsidR="002A6A7B" w:rsidRPr="001D6057" w:rsidP="002A6A7B" w14:paraId="7300D02E" w14:textId="463B5C14">
            <w:pPr>
              <w:overflowPunct/>
              <w:autoSpaceDE/>
              <w:autoSpaceDN/>
              <w:adjustRightInd/>
              <w:textAlignment w:val="auto"/>
              <w:rPr>
                <w:rFonts w:ascii="Calibri" w:hAnsi="Calibri" w:cs="Calibri"/>
                <w:color w:val="000000"/>
              </w:rPr>
            </w:pPr>
          </w:p>
        </w:tc>
        <w:tc>
          <w:tcPr>
            <w:tcW w:w="6598" w:type="dxa"/>
            <w:noWrap/>
            <w:vAlign w:val="bottom"/>
          </w:tcPr>
          <w:p w:rsidR="002A6A7B" w:rsidRPr="001D6057" w:rsidP="002A6A7B" w14:paraId="013F6BA0" w14:textId="0689EBF6">
            <w:pPr>
              <w:overflowPunct/>
              <w:autoSpaceDE/>
              <w:autoSpaceDN/>
              <w:adjustRightInd/>
              <w:textAlignment w:val="auto"/>
              <w:rPr>
                <w:rFonts w:ascii="Calibri" w:hAnsi="Calibri" w:cs="Calibri"/>
                <w:color w:val="000000"/>
              </w:rPr>
            </w:pPr>
          </w:p>
        </w:tc>
        <w:tc>
          <w:tcPr>
            <w:tcW w:w="236" w:type="dxa"/>
          </w:tcPr>
          <w:p w:rsidR="002A6A7B" w:rsidRPr="001D6057" w:rsidP="002A6A7B" w14:paraId="75325CE9" w14:textId="77777777">
            <w:pPr>
              <w:overflowPunct/>
              <w:autoSpaceDE/>
              <w:autoSpaceDN/>
              <w:adjustRightInd/>
              <w:textAlignment w:val="auto"/>
              <w:rPr>
                <w:rFonts w:ascii="Calibri" w:hAnsi="Calibri" w:cs="Calibri"/>
                <w:color w:val="000000"/>
              </w:rPr>
            </w:pPr>
          </w:p>
        </w:tc>
        <w:tc>
          <w:tcPr>
            <w:tcW w:w="2283" w:type="dxa"/>
            <w:noWrap/>
            <w:vAlign w:val="bottom"/>
          </w:tcPr>
          <w:p w:rsidR="002A6A7B" w:rsidRPr="001D6057" w:rsidP="002A6A7B" w14:paraId="791096CA" w14:textId="1DE1A98E">
            <w:pPr>
              <w:overflowPunct/>
              <w:autoSpaceDE/>
              <w:autoSpaceDN/>
              <w:adjustRightInd/>
              <w:textAlignment w:val="auto"/>
              <w:rPr>
                <w:rFonts w:ascii="Calibri" w:hAnsi="Calibri" w:cs="Calibri"/>
                <w:color w:val="000000"/>
              </w:rPr>
            </w:pPr>
          </w:p>
        </w:tc>
      </w:tr>
    </w:tbl>
    <w:p w:rsidR="000D5079" w14:paraId="77DE2FE7"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1E0B46B" w14:textId="77777777">
      <w:pPr>
        <w:tabs>
          <w:tab w:val="left" w:pos="360"/>
        </w:tabs>
        <w:ind w:left="360" w:hanging="360"/>
        <w:rPr>
          <w:sz w:val="24"/>
          <w:szCs w:val="24"/>
        </w:rPr>
      </w:pPr>
      <w:r w:rsidRPr="006C7FAE">
        <w:rPr>
          <w:sz w:val="24"/>
          <w:szCs w:val="24"/>
        </w:rPr>
        <w:t xml:space="preserve"> </w:t>
      </w:r>
    </w:p>
    <w:p w:rsidR="009E13B1" w:rsidRPr="006C7FAE" w14:paraId="44763E51"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0741944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79E21C04"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81F30" w:rsidRPr="007B3973" w:rsidP="00181F30" w14:paraId="475458A8" w14:textId="2FAFB312">
      <w:pPr>
        <w:tabs>
          <w:tab w:val="left" w:pos="360"/>
        </w:tabs>
        <w:rPr>
          <w:color w:val="000000"/>
          <w:sz w:val="24"/>
          <w:szCs w:val="24"/>
        </w:rPr>
      </w:pPr>
      <w:r w:rsidRPr="007B3973">
        <w:rPr>
          <w:sz w:val="24"/>
          <w:szCs w:val="24"/>
        </w:rPr>
        <w:t>There are no additional costs to the respondents (other than the cost shown in item 12 above)</w:t>
      </w:r>
      <w:r w:rsidR="007636AC">
        <w:rPr>
          <w:sz w:val="24"/>
          <w:szCs w:val="24"/>
        </w:rPr>
        <w:t>.</w:t>
      </w:r>
    </w:p>
    <w:p w:rsidR="00181F30" w:rsidRPr="00105854" w:rsidP="00181F30" w14:paraId="09D9F6C8" w14:textId="77777777">
      <w:pPr>
        <w:tabs>
          <w:tab w:val="left" w:pos="360"/>
        </w:tabs>
        <w:ind w:left="504"/>
        <w:rPr>
          <w:color w:val="000000"/>
        </w:rPr>
      </w:pPr>
    </w:p>
    <w:p w:rsidR="00181F30" w14:paraId="197BA746" w14:textId="4BF8521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81F30" w:rsidRPr="006C7FAE" w14:paraId="773BCB6F" w14:textId="77777777">
      <w:pPr>
        <w:keepLines/>
        <w:tabs>
          <w:tab w:val="left" w:pos="360"/>
        </w:tabs>
        <w:spacing w:after="80"/>
        <w:ind w:left="360" w:hanging="360"/>
        <w:rPr>
          <w:sz w:val="24"/>
          <w:szCs w:val="24"/>
        </w:rPr>
      </w:pPr>
      <w:r>
        <w:rPr>
          <w:sz w:val="24"/>
          <w:szCs w:val="24"/>
        </w:rPr>
        <w:br w:type="page"/>
      </w:r>
    </w:p>
    <w:tbl>
      <w:tblPr>
        <w:tblW w:w="10435" w:type="dxa"/>
        <w:tblInd w:w="113" w:type="dxa"/>
        <w:tblLook w:val="04A0"/>
      </w:tblPr>
      <w:tblGrid>
        <w:gridCol w:w="2178"/>
        <w:gridCol w:w="1306"/>
        <w:gridCol w:w="1127"/>
        <w:gridCol w:w="1094"/>
        <w:gridCol w:w="1124"/>
        <w:gridCol w:w="1176"/>
        <w:gridCol w:w="1188"/>
        <w:gridCol w:w="1242"/>
      </w:tblGrid>
      <w:tr w14:paraId="1740D1FB" w14:textId="77777777" w:rsidTr="00181F30">
        <w:tblPrEx>
          <w:tblW w:w="10435" w:type="dxa"/>
          <w:tblInd w:w="113" w:type="dxa"/>
          <w:tblLook w:val="04A0"/>
        </w:tblPrEx>
        <w:trPr>
          <w:trHeight w:val="557"/>
        </w:trPr>
        <w:tc>
          <w:tcPr>
            <w:tcW w:w="2178" w:type="dxa"/>
            <w:tcBorders>
              <w:top w:val="single" w:sz="4" w:space="0" w:color="auto"/>
              <w:left w:val="single" w:sz="4" w:space="0" w:color="auto"/>
              <w:bottom w:val="single" w:sz="4" w:space="0" w:color="auto"/>
              <w:right w:val="single" w:sz="4" w:space="0" w:color="auto"/>
            </w:tcBorders>
            <w:shd w:val="clear" w:color="auto" w:fill="A6A6A6"/>
            <w:vAlign w:val="center"/>
          </w:tcPr>
          <w:p w:rsidR="00181F30" w:rsidRPr="00181F30" w14:paraId="37CCEEF0" w14:textId="77777777">
            <w:pPr>
              <w:overflowPunct/>
              <w:autoSpaceDE/>
              <w:autoSpaceDN/>
              <w:adjustRightInd/>
              <w:jc w:val="center"/>
              <w:textAlignment w:val="auto"/>
              <w:rPr>
                <w:b/>
                <w:bCs/>
                <w:color w:val="000000"/>
              </w:rPr>
            </w:pPr>
            <w:r w:rsidRPr="00181F30">
              <w:rPr>
                <w:b/>
                <w:bCs/>
                <w:color w:val="000000"/>
              </w:rPr>
              <w:t>Information Collection</w:t>
            </w:r>
          </w:p>
        </w:tc>
        <w:tc>
          <w:tcPr>
            <w:tcW w:w="1306" w:type="dxa"/>
            <w:tcBorders>
              <w:top w:val="single" w:sz="4" w:space="0" w:color="auto"/>
              <w:left w:val="nil"/>
              <w:bottom w:val="single" w:sz="4" w:space="0" w:color="auto"/>
              <w:right w:val="single" w:sz="4" w:space="0" w:color="auto"/>
            </w:tcBorders>
            <w:shd w:val="clear" w:color="auto" w:fill="A6A6A6"/>
            <w:vAlign w:val="center"/>
          </w:tcPr>
          <w:p w:rsidR="00181F30" w:rsidRPr="00181F30" w14:paraId="4BF7441B" w14:textId="77777777">
            <w:pPr>
              <w:overflowPunct/>
              <w:autoSpaceDE/>
              <w:autoSpaceDN/>
              <w:adjustRightInd/>
              <w:jc w:val="center"/>
              <w:textAlignment w:val="auto"/>
              <w:rPr>
                <w:b/>
                <w:bCs/>
                <w:color w:val="000000"/>
              </w:rPr>
            </w:pPr>
            <w:r w:rsidRPr="00181F30">
              <w:rPr>
                <w:b/>
                <w:bCs/>
                <w:color w:val="000000"/>
              </w:rPr>
              <w:t>Number of Respondents</w:t>
            </w:r>
          </w:p>
        </w:tc>
        <w:tc>
          <w:tcPr>
            <w:tcW w:w="1127" w:type="dxa"/>
            <w:tcBorders>
              <w:top w:val="single" w:sz="4" w:space="0" w:color="auto"/>
              <w:left w:val="nil"/>
              <w:bottom w:val="single" w:sz="4" w:space="0" w:color="auto"/>
              <w:right w:val="single" w:sz="4" w:space="0" w:color="auto"/>
            </w:tcBorders>
            <w:shd w:val="clear" w:color="auto" w:fill="A6A6A6"/>
            <w:vAlign w:val="center"/>
          </w:tcPr>
          <w:p w:rsidR="00181F30" w:rsidRPr="00181F30" w14:paraId="67FC8E42" w14:textId="77777777">
            <w:pPr>
              <w:overflowPunct/>
              <w:autoSpaceDE/>
              <w:autoSpaceDN/>
              <w:adjustRightInd/>
              <w:jc w:val="center"/>
              <w:textAlignment w:val="auto"/>
              <w:rPr>
                <w:b/>
                <w:bCs/>
                <w:color w:val="000000"/>
              </w:rPr>
            </w:pPr>
            <w:r w:rsidRPr="00181F30">
              <w:rPr>
                <w:b/>
                <w:bCs/>
                <w:color w:val="000000"/>
              </w:rPr>
              <w:t>Frequency of Response</w:t>
            </w:r>
          </w:p>
        </w:tc>
        <w:tc>
          <w:tcPr>
            <w:tcW w:w="1094" w:type="dxa"/>
            <w:tcBorders>
              <w:top w:val="single" w:sz="4" w:space="0" w:color="auto"/>
              <w:left w:val="nil"/>
              <w:bottom w:val="single" w:sz="4" w:space="0" w:color="auto"/>
              <w:right w:val="single" w:sz="4" w:space="0" w:color="auto"/>
            </w:tcBorders>
            <w:shd w:val="clear" w:color="auto" w:fill="A6A6A6"/>
            <w:vAlign w:val="center"/>
          </w:tcPr>
          <w:p w:rsidR="00181F30" w:rsidRPr="00181F30" w14:paraId="5EEA5AA2" w14:textId="77777777">
            <w:pPr>
              <w:overflowPunct/>
              <w:autoSpaceDE/>
              <w:autoSpaceDN/>
              <w:adjustRightInd/>
              <w:jc w:val="center"/>
              <w:textAlignment w:val="auto"/>
              <w:rPr>
                <w:b/>
                <w:bCs/>
                <w:color w:val="000000"/>
              </w:rPr>
            </w:pPr>
            <w:r w:rsidRPr="00181F30">
              <w:rPr>
                <w:b/>
                <w:bCs/>
                <w:color w:val="000000"/>
              </w:rPr>
              <w:t>Responses</w:t>
            </w:r>
          </w:p>
        </w:tc>
        <w:tc>
          <w:tcPr>
            <w:tcW w:w="1124" w:type="dxa"/>
            <w:tcBorders>
              <w:top w:val="single" w:sz="4" w:space="0" w:color="auto"/>
              <w:left w:val="nil"/>
              <w:bottom w:val="single" w:sz="4" w:space="0" w:color="auto"/>
              <w:right w:val="single" w:sz="4" w:space="0" w:color="auto"/>
            </w:tcBorders>
            <w:shd w:val="clear" w:color="auto" w:fill="A6A6A6"/>
            <w:vAlign w:val="center"/>
          </w:tcPr>
          <w:p w:rsidR="00181F30" w:rsidRPr="00181F30" w14:paraId="5FA3DED4" w14:textId="77777777">
            <w:pPr>
              <w:overflowPunct/>
              <w:autoSpaceDE/>
              <w:autoSpaceDN/>
              <w:adjustRightInd/>
              <w:jc w:val="center"/>
              <w:textAlignment w:val="auto"/>
              <w:rPr>
                <w:b/>
                <w:bCs/>
                <w:color w:val="000000"/>
              </w:rPr>
            </w:pPr>
            <w:r w:rsidRPr="00181F30">
              <w:rPr>
                <w:b/>
                <w:bCs/>
                <w:color w:val="000000"/>
              </w:rPr>
              <w:t>Burden Hour Per Response</w:t>
            </w:r>
          </w:p>
        </w:tc>
        <w:tc>
          <w:tcPr>
            <w:tcW w:w="1176" w:type="dxa"/>
            <w:tcBorders>
              <w:top w:val="single" w:sz="4" w:space="0" w:color="auto"/>
              <w:left w:val="nil"/>
              <w:bottom w:val="single" w:sz="4" w:space="0" w:color="auto"/>
              <w:right w:val="single" w:sz="4" w:space="0" w:color="auto"/>
            </w:tcBorders>
            <w:shd w:val="clear" w:color="auto" w:fill="A6A6A6"/>
            <w:vAlign w:val="center"/>
          </w:tcPr>
          <w:p w:rsidR="00181F30" w:rsidRPr="00181F30" w14:paraId="2CA84D06" w14:textId="77777777">
            <w:pPr>
              <w:overflowPunct/>
              <w:autoSpaceDE/>
              <w:autoSpaceDN/>
              <w:adjustRightInd/>
              <w:jc w:val="center"/>
              <w:textAlignment w:val="auto"/>
              <w:rPr>
                <w:b/>
                <w:bCs/>
                <w:color w:val="000000"/>
              </w:rPr>
            </w:pPr>
            <w:r w:rsidRPr="00181F30">
              <w:rPr>
                <w:b/>
                <w:bCs/>
                <w:color w:val="000000"/>
              </w:rPr>
              <w:t>Annual Burden Hours</w:t>
            </w:r>
          </w:p>
        </w:tc>
        <w:tc>
          <w:tcPr>
            <w:tcW w:w="1188" w:type="dxa"/>
            <w:tcBorders>
              <w:top w:val="single" w:sz="4" w:space="0" w:color="auto"/>
              <w:left w:val="nil"/>
              <w:bottom w:val="single" w:sz="4" w:space="0" w:color="auto"/>
              <w:right w:val="single" w:sz="4" w:space="0" w:color="auto"/>
            </w:tcBorders>
            <w:shd w:val="clear" w:color="auto" w:fill="A6A6A6"/>
            <w:vAlign w:val="center"/>
          </w:tcPr>
          <w:p w:rsidR="00181F30" w:rsidRPr="00181F30" w14:paraId="4F9FA922" w14:textId="77777777">
            <w:pPr>
              <w:overflowPunct/>
              <w:autoSpaceDE/>
              <w:autoSpaceDN/>
              <w:adjustRightInd/>
              <w:jc w:val="center"/>
              <w:textAlignment w:val="auto"/>
              <w:rPr>
                <w:b/>
                <w:bCs/>
                <w:color w:val="000000"/>
              </w:rPr>
            </w:pPr>
            <w:r w:rsidRPr="00181F30">
              <w:rPr>
                <w:b/>
                <w:bCs/>
                <w:color w:val="000000"/>
              </w:rPr>
              <w:t>Hourly Cost Per Response</w:t>
            </w:r>
          </w:p>
        </w:tc>
        <w:tc>
          <w:tcPr>
            <w:tcW w:w="1242" w:type="dxa"/>
            <w:tcBorders>
              <w:top w:val="single" w:sz="4" w:space="0" w:color="auto"/>
              <w:left w:val="nil"/>
              <w:bottom w:val="single" w:sz="4" w:space="0" w:color="auto"/>
              <w:right w:val="single" w:sz="4" w:space="0" w:color="auto"/>
            </w:tcBorders>
            <w:shd w:val="clear" w:color="auto" w:fill="A6A6A6"/>
            <w:vAlign w:val="center"/>
          </w:tcPr>
          <w:p w:rsidR="00181F30" w:rsidRPr="00181F30" w14:paraId="3B2861E8" w14:textId="77777777">
            <w:pPr>
              <w:overflowPunct/>
              <w:autoSpaceDE/>
              <w:autoSpaceDN/>
              <w:adjustRightInd/>
              <w:jc w:val="center"/>
              <w:textAlignment w:val="auto"/>
              <w:rPr>
                <w:b/>
                <w:bCs/>
                <w:color w:val="000000"/>
              </w:rPr>
            </w:pPr>
            <w:r w:rsidRPr="00181F30">
              <w:rPr>
                <w:b/>
                <w:bCs/>
                <w:color w:val="000000"/>
              </w:rPr>
              <w:t>Annual Cost</w:t>
            </w:r>
          </w:p>
        </w:tc>
      </w:tr>
      <w:tr w14:paraId="0F9B8F19" w14:textId="77777777">
        <w:tblPrEx>
          <w:tblW w:w="10435" w:type="dxa"/>
          <w:tblInd w:w="113" w:type="dxa"/>
          <w:tblLook w:val="04A0"/>
        </w:tblPrEx>
        <w:trPr>
          <w:trHeight w:val="449"/>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2CC455B6" w14:textId="77777777">
            <w:pPr>
              <w:overflowPunct/>
              <w:autoSpaceDE/>
              <w:autoSpaceDN/>
              <w:adjustRightInd/>
              <w:jc w:val="center"/>
              <w:textAlignment w:val="auto"/>
              <w:rPr>
                <w:color w:val="000000"/>
              </w:rPr>
            </w:pPr>
            <w:r w:rsidRPr="00F849B4">
              <w:rPr>
                <w:color w:val="000000"/>
              </w:rPr>
              <w:t>Consortia Applications and Certification</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0319048F" w14:textId="77777777">
            <w:pPr>
              <w:overflowPunct/>
              <w:autoSpaceDE/>
              <w:autoSpaceDN/>
              <w:adjustRightInd/>
              <w:jc w:val="center"/>
              <w:textAlignment w:val="auto"/>
              <w:rPr>
                <w:color w:val="000000"/>
              </w:rPr>
            </w:pPr>
            <w:r w:rsidRPr="00F849B4">
              <w:rPr>
                <w:color w:val="000000"/>
              </w:rPr>
              <w:t>12</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71D08277" w14:textId="251E262C">
            <w:pPr>
              <w:overflowPunct/>
              <w:autoSpaceDE/>
              <w:autoSpaceDN/>
              <w:adjustRightInd/>
              <w:jc w:val="center"/>
              <w:textAlignment w:val="auto"/>
              <w:rPr>
                <w:color w:val="000000"/>
              </w:rPr>
            </w:pPr>
            <w:r>
              <w:rPr>
                <w:color w:val="000000"/>
              </w:rPr>
              <w:t>1</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672A08FD" w14:textId="53DB7303">
            <w:pPr>
              <w:overflowPunct/>
              <w:autoSpaceDE/>
              <w:autoSpaceDN/>
              <w:adjustRightInd/>
              <w:jc w:val="center"/>
              <w:textAlignment w:val="auto"/>
              <w:rPr>
                <w:color w:val="000000"/>
              </w:rPr>
            </w:pPr>
            <w:r>
              <w:rPr>
                <w:color w:val="000000"/>
              </w:rPr>
              <w:t>12</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52A7C91F" w14:textId="77777777">
            <w:pPr>
              <w:overflowPunct/>
              <w:autoSpaceDE/>
              <w:autoSpaceDN/>
              <w:adjustRightInd/>
              <w:jc w:val="center"/>
              <w:textAlignment w:val="auto"/>
              <w:rPr>
                <w:color w:val="000000"/>
              </w:rPr>
            </w:pPr>
            <w:r w:rsidRPr="00F849B4">
              <w:rPr>
                <w:color w:val="000000"/>
              </w:rPr>
              <w:t>2</w:t>
            </w:r>
          </w:p>
        </w:tc>
        <w:tc>
          <w:tcPr>
            <w:tcW w:w="1176"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09DB83BB" w14:textId="4826E8C3">
            <w:pPr>
              <w:overflowPunct/>
              <w:autoSpaceDE/>
              <w:autoSpaceDN/>
              <w:adjustRightInd/>
              <w:jc w:val="center"/>
              <w:textAlignment w:val="auto"/>
              <w:rPr>
                <w:color w:val="000000"/>
              </w:rPr>
            </w:pPr>
            <w:r w:rsidRPr="00F849B4">
              <w:rPr>
                <w:color w:val="000000"/>
              </w:rPr>
              <w:t>24</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45594BC4" w14:textId="77777777">
            <w:pPr>
              <w:overflowPunct/>
              <w:autoSpaceDE/>
              <w:autoSpaceDN/>
              <w:adjustRightInd/>
              <w:jc w:val="center"/>
              <w:textAlignment w:val="auto"/>
              <w:rPr>
                <w:color w:val="000000"/>
              </w:rPr>
            </w:pPr>
            <w:r w:rsidRPr="00F849B4">
              <w:rPr>
                <w:color w:val="000000"/>
              </w:rPr>
              <w:t>$57.78</w:t>
            </w:r>
          </w:p>
        </w:tc>
        <w:tc>
          <w:tcPr>
            <w:tcW w:w="1242"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0DBC65D7" w14:textId="26269852">
            <w:pPr>
              <w:overflowPunct/>
              <w:autoSpaceDE/>
              <w:autoSpaceDN/>
              <w:adjustRightInd/>
              <w:jc w:val="center"/>
              <w:textAlignment w:val="auto"/>
              <w:rPr>
                <w:color w:val="000000"/>
              </w:rPr>
            </w:pPr>
            <w:r w:rsidRPr="00F849B4">
              <w:rPr>
                <w:color w:val="000000"/>
              </w:rPr>
              <w:t>$1,38</w:t>
            </w:r>
            <w:r w:rsidR="0062282C">
              <w:rPr>
                <w:color w:val="000000"/>
              </w:rPr>
              <w:t>6.72</w:t>
            </w:r>
            <w:r w:rsidRPr="00F849B4">
              <w:rPr>
                <w:color w:val="000000"/>
              </w:rPr>
              <w:t xml:space="preserve"> </w:t>
            </w:r>
          </w:p>
        </w:tc>
      </w:tr>
      <w:tr w14:paraId="35DB2728" w14:textId="77777777">
        <w:tblPrEx>
          <w:tblW w:w="10435" w:type="dxa"/>
          <w:tblInd w:w="113" w:type="dxa"/>
          <w:tblLook w:val="04A0"/>
        </w:tblPrEx>
        <w:trPr>
          <w:trHeight w:val="530"/>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5DCD6914" w14:textId="77777777">
            <w:pPr>
              <w:overflowPunct/>
              <w:autoSpaceDE/>
              <w:autoSpaceDN/>
              <w:adjustRightInd/>
              <w:jc w:val="center"/>
              <w:textAlignment w:val="auto"/>
              <w:rPr>
                <w:color w:val="000000"/>
              </w:rPr>
            </w:pPr>
            <w:r w:rsidRPr="00F849B4">
              <w:rPr>
                <w:color w:val="000000"/>
              </w:rPr>
              <w:t>Investment Partnership Agreement</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2C450A8B" w14:textId="52FE4F6E">
            <w:pPr>
              <w:overflowPunct/>
              <w:autoSpaceDE/>
              <w:autoSpaceDN/>
              <w:adjustRightInd/>
              <w:jc w:val="center"/>
              <w:textAlignment w:val="auto"/>
              <w:rPr>
                <w:color w:val="000000"/>
              </w:rPr>
            </w:pPr>
            <w:r w:rsidRPr="00F849B4">
              <w:rPr>
                <w:color w:val="000000"/>
              </w:rPr>
              <w:t>670</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6FB24E02" w14:textId="7A2ADB25">
            <w:pPr>
              <w:overflowPunct/>
              <w:autoSpaceDE/>
              <w:autoSpaceDN/>
              <w:adjustRightInd/>
              <w:jc w:val="center"/>
              <w:textAlignment w:val="auto"/>
              <w:rPr>
                <w:color w:val="000000"/>
              </w:rPr>
            </w:pPr>
            <w:r>
              <w:rPr>
                <w:color w:val="000000"/>
              </w:rPr>
              <w:t>1</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2667A8ED" w14:textId="647EA9AB">
            <w:pPr>
              <w:overflowPunct/>
              <w:autoSpaceDE/>
              <w:autoSpaceDN/>
              <w:adjustRightInd/>
              <w:jc w:val="center"/>
              <w:textAlignment w:val="auto"/>
              <w:rPr>
                <w:color w:val="000000"/>
              </w:rPr>
            </w:pPr>
            <w:r>
              <w:rPr>
                <w:color w:val="000000"/>
              </w:rPr>
              <w:t>670</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71C84BDC" w14:textId="77777777">
            <w:pPr>
              <w:overflowPunct/>
              <w:autoSpaceDE/>
              <w:autoSpaceDN/>
              <w:adjustRightInd/>
              <w:jc w:val="center"/>
              <w:textAlignment w:val="auto"/>
              <w:rPr>
                <w:color w:val="000000"/>
              </w:rPr>
            </w:pPr>
            <w:r w:rsidRPr="00F849B4">
              <w:rPr>
                <w:color w:val="000000"/>
              </w:rPr>
              <w:t>1</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2C1326DE" w14:textId="32A177D9">
            <w:pPr>
              <w:overflowPunct/>
              <w:autoSpaceDE/>
              <w:autoSpaceDN/>
              <w:adjustRightInd/>
              <w:jc w:val="center"/>
              <w:textAlignment w:val="auto"/>
              <w:rPr>
                <w:color w:val="000000"/>
              </w:rPr>
            </w:pPr>
            <w:r w:rsidRPr="00F849B4">
              <w:rPr>
                <w:color w:val="000000"/>
              </w:rPr>
              <w:t>670</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75C6D482"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67D37277" w14:textId="35C6A66D">
            <w:pPr>
              <w:overflowPunct/>
              <w:autoSpaceDE/>
              <w:autoSpaceDN/>
              <w:adjustRightInd/>
              <w:jc w:val="center"/>
              <w:textAlignment w:val="auto"/>
              <w:rPr>
                <w:color w:val="000000"/>
              </w:rPr>
            </w:pPr>
            <w:r w:rsidRPr="00F849B4">
              <w:rPr>
                <w:color w:val="000000"/>
              </w:rPr>
              <w:t>$38,71</w:t>
            </w:r>
            <w:r w:rsidR="0062282C">
              <w:rPr>
                <w:color w:val="000000"/>
              </w:rPr>
              <w:t>2.60</w:t>
            </w:r>
            <w:r w:rsidRPr="00F849B4">
              <w:rPr>
                <w:color w:val="000000"/>
              </w:rPr>
              <w:t xml:space="preserve"> </w:t>
            </w:r>
          </w:p>
        </w:tc>
      </w:tr>
      <w:tr w14:paraId="5399936A" w14:textId="77777777">
        <w:tblPrEx>
          <w:tblW w:w="10435" w:type="dxa"/>
          <w:tblInd w:w="113" w:type="dxa"/>
          <w:tblLook w:val="04A0"/>
        </w:tblPrEx>
        <w:trPr>
          <w:trHeight w:val="503"/>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337A00E6" w14:textId="77777777">
            <w:pPr>
              <w:overflowPunct/>
              <w:autoSpaceDE/>
              <w:autoSpaceDN/>
              <w:adjustRightInd/>
              <w:jc w:val="center"/>
              <w:textAlignment w:val="auto"/>
              <w:rPr>
                <w:color w:val="000000"/>
              </w:rPr>
            </w:pPr>
            <w:r w:rsidRPr="00F849B4">
              <w:rPr>
                <w:color w:val="000000"/>
              </w:rPr>
              <w:t>IDIS Program Management Reports (Field Office)</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6A814973" w14:textId="77777777">
            <w:pPr>
              <w:overflowPunct/>
              <w:autoSpaceDE/>
              <w:autoSpaceDN/>
              <w:adjustRightInd/>
              <w:jc w:val="center"/>
              <w:textAlignment w:val="auto"/>
              <w:rPr>
                <w:color w:val="000000"/>
              </w:rPr>
            </w:pPr>
            <w:r w:rsidRPr="00F849B4">
              <w:rPr>
                <w:color w:val="000000"/>
              </w:rPr>
              <w:t>43</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7CEBAF12" w14:textId="24FB6624">
            <w:pPr>
              <w:overflowPunct/>
              <w:autoSpaceDE/>
              <w:autoSpaceDN/>
              <w:adjustRightInd/>
              <w:jc w:val="center"/>
              <w:textAlignment w:val="auto"/>
              <w:rPr>
                <w:color w:val="000000"/>
              </w:rPr>
            </w:pPr>
            <w:r>
              <w:rPr>
                <w:color w:val="000000"/>
              </w:rPr>
              <w:t>12</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78A82DC3" w14:textId="19215DFD">
            <w:pPr>
              <w:overflowPunct/>
              <w:autoSpaceDE/>
              <w:autoSpaceDN/>
              <w:adjustRightInd/>
              <w:jc w:val="center"/>
              <w:textAlignment w:val="auto"/>
              <w:rPr>
                <w:color w:val="000000"/>
              </w:rPr>
            </w:pPr>
            <w:r>
              <w:rPr>
                <w:color w:val="000000"/>
              </w:rPr>
              <w:t>516</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66F08527" w14:textId="77777777">
            <w:pPr>
              <w:overflowPunct/>
              <w:autoSpaceDE/>
              <w:autoSpaceDN/>
              <w:adjustRightInd/>
              <w:jc w:val="center"/>
              <w:textAlignment w:val="auto"/>
              <w:rPr>
                <w:color w:val="000000"/>
              </w:rPr>
            </w:pPr>
            <w:r w:rsidRPr="00F849B4">
              <w:rPr>
                <w:color w:val="000000"/>
              </w:rPr>
              <w:t>14</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343117FD" w14:textId="12CE40BA">
            <w:pPr>
              <w:overflowPunct/>
              <w:autoSpaceDE/>
              <w:autoSpaceDN/>
              <w:adjustRightInd/>
              <w:jc w:val="center"/>
              <w:textAlignment w:val="auto"/>
              <w:rPr>
                <w:color w:val="000000"/>
              </w:rPr>
            </w:pPr>
            <w:r w:rsidRPr="00F849B4">
              <w:rPr>
                <w:color w:val="000000"/>
              </w:rPr>
              <w:t>7,224</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5A721130"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650A34D4" w14:textId="719D2443">
            <w:pPr>
              <w:overflowPunct/>
              <w:autoSpaceDE/>
              <w:autoSpaceDN/>
              <w:adjustRightInd/>
              <w:jc w:val="center"/>
              <w:textAlignment w:val="auto"/>
              <w:rPr>
                <w:color w:val="000000"/>
              </w:rPr>
            </w:pPr>
            <w:r w:rsidRPr="00F849B4">
              <w:rPr>
                <w:color w:val="000000"/>
              </w:rPr>
              <w:t>$417,40</w:t>
            </w:r>
            <w:r w:rsidR="0062282C">
              <w:rPr>
                <w:color w:val="000000"/>
              </w:rPr>
              <w:t>2.72</w:t>
            </w:r>
            <w:r w:rsidRPr="00F849B4">
              <w:rPr>
                <w:color w:val="000000"/>
              </w:rPr>
              <w:t xml:space="preserve"> </w:t>
            </w:r>
          </w:p>
        </w:tc>
      </w:tr>
      <w:tr w14:paraId="212DC6AD" w14:textId="77777777">
        <w:tblPrEx>
          <w:tblW w:w="10435" w:type="dxa"/>
          <w:tblInd w:w="113" w:type="dxa"/>
          <w:tblLook w:val="04A0"/>
        </w:tblPrEx>
        <w:trPr>
          <w:trHeight w:val="485"/>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45B920A6" w14:textId="77777777">
            <w:pPr>
              <w:overflowPunct/>
              <w:autoSpaceDE/>
              <w:autoSpaceDN/>
              <w:adjustRightInd/>
              <w:jc w:val="center"/>
              <w:textAlignment w:val="auto"/>
              <w:rPr>
                <w:color w:val="000000"/>
              </w:rPr>
            </w:pPr>
            <w:r w:rsidRPr="00F849B4">
              <w:rPr>
                <w:color w:val="000000"/>
              </w:rPr>
              <w:t>IDIS Program Management Reports (Headquarters)</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6A2663A8" w14:textId="77777777">
            <w:pPr>
              <w:overflowPunct/>
              <w:autoSpaceDE/>
              <w:autoSpaceDN/>
              <w:adjustRightInd/>
              <w:jc w:val="center"/>
              <w:textAlignment w:val="auto"/>
              <w:rPr>
                <w:color w:val="000000"/>
              </w:rPr>
            </w:pPr>
            <w:r w:rsidRPr="00F849B4">
              <w:rPr>
                <w:color w:val="000000"/>
              </w:rPr>
              <w:t>1</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5DCA1EB0" w14:textId="2B6080B9">
            <w:pPr>
              <w:overflowPunct/>
              <w:autoSpaceDE/>
              <w:autoSpaceDN/>
              <w:adjustRightInd/>
              <w:jc w:val="center"/>
              <w:textAlignment w:val="auto"/>
              <w:rPr>
                <w:color w:val="000000"/>
              </w:rPr>
            </w:pPr>
            <w:r>
              <w:rPr>
                <w:color w:val="000000"/>
              </w:rPr>
              <w:t>12</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2E082D0A" w14:textId="77777777">
            <w:pPr>
              <w:overflowPunct/>
              <w:autoSpaceDE/>
              <w:autoSpaceDN/>
              <w:adjustRightInd/>
              <w:jc w:val="center"/>
              <w:textAlignment w:val="auto"/>
              <w:rPr>
                <w:color w:val="000000"/>
              </w:rPr>
            </w:pPr>
            <w:r w:rsidRPr="00F849B4">
              <w:rPr>
                <w:color w:val="000000"/>
              </w:rPr>
              <w:t>12</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0AB4B014" w14:textId="77777777">
            <w:pPr>
              <w:overflowPunct/>
              <w:autoSpaceDE/>
              <w:autoSpaceDN/>
              <w:adjustRightInd/>
              <w:jc w:val="center"/>
              <w:textAlignment w:val="auto"/>
              <w:rPr>
                <w:color w:val="000000"/>
              </w:rPr>
            </w:pPr>
            <w:r w:rsidRPr="00F849B4">
              <w:rPr>
                <w:color w:val="000000"/>
              </w:rPr>
              <w:t>250</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50D3A1C4" w14:textId="28565381">
            <w:pPr>
              <w:overflowPunct/>
              <w:autoSpaceDE/>
              <w:autoSpaceDN/>
              <w:adjustRightInd/>
              <w:jc w:val="center"/>
              <w:textAlignment w:val="auto"/>
              <w:rPr>
                <w:color w:val="000000"/>
              </w:rPr>
            </w:pPr>
            <w:r w:rsidRPr="00F849B4">
              <w:rPr>
                <w:color w:val="000000"/>
              </w:rPr>
              <w:t>3,000</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61F1C660"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1354397A" w14:textId="3C6DB361">
            <w:pPr>
              <w:overflowPunct/>
              <w:autoSpaceDE/>
              <w:autoSpaceDN/>
              <w:adjustRightInd/>
              <w:jc w:val="center"/>
              <w:textAlignment w:val="auto"/>
              <w:rPr>
                <w:color w:val="000000"/>
              </w:rPr>
            </w:pPr>
            <w:r w:rsidRPr="00F849B4">
              <w:rPr>
                <w:color w:val="000000"/>
              </w:rPr>
              <w:t xml:space="preserve">$173,340.00 </w:t>
            </w:r>
          </w:p>
        </w:tc>
      </w:tr>
      <w:tr w14:paraId="01F4C343" w14:textId="77777777">
        <w:tblPrEx>
          <w:tblW w:w="10435" w:type="dxa"/>
          <w:tblInd w:w="113" w:type="dxa"/>
          <w:tblLook w:val="04A0"/>
        </w:tblPrEx>
        <w:trPr>
          <w:trHeight w:val="467"/>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742BAE04" w14:textId="77777777">
            <w:pPr>
              <w:overflowPunct/>
              <w:autoSpaceDE/>
              <w:autoSpaceDN/>
              <w:adjustRightInd/>
              <w:jc w:val="center"/>
              <w:textAlignment w:val="auto"/>
              <w:rPr>
                <w:color w:val="000000"/>
              </w:rPr>
            </w:pPr>
            <w:r w:rsidRPr="00F849B4">
              <w:rPr>
                <w:color w:val="000000"/>
              </w:rPr>
              <w:t>Management Reports (Field Office)</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4ABFC11E" w14:textId="28EC00DA">
            <w:pPr>
              <w:overflowPunct/>
              <w:autoSpaceDE/>
              <w:autoSpaceDN/>
              <w:adjustRightInd/>
              <w:jc w:val="center"/>
              <w:textAlignment w:val="auto"/>
              <w:rPr>
                <w:color w:val="000000"/>
              </w:rPr>
            </w:pPr>
            <w:r w:rsidRPr="00F849B4">
              <w:rPr>
                <w:color w:val="000000"/>
              </w:rPr>
              <w:t>670</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39608ADE" w14:textId="2D0F42A7">
            <w:pPr>
              <w:overflowPunct/>
              <w:autoSpaceDE/>
              <w:autoSpaceDN/>
              <w:adjustRightInd/>
              <w:jc w:val="center"/>
              <w:textAlignment w:val="auto"/>
              <w:rPr>
                <w:color w:val="000000"/>
              </w:rPr>
            </w:pPr>
            <w:r>
              <w:rPr>
                <w:color w:val="000000"/>
              </w:rPr>
              <w:t>1</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47BC40DD" w14:textId="5677B8CA">
            <w:pPr>
              <w:overflowPunct/>
              <w:autoSpaceDE/>
              <w:autoSpaceDN/>
              <w:adjustRightInd/>
              <w:jc w:val="center"/>
              <w:textAlignment w:val="auto"/>
              <w:rPr>
                <w:color w:val="000000"/>
              </w:rPr>
            </w:pPr>
            <w:r>
              <w:rPr>
                <w:color w:val="000000"/>
              </w:rPr>
              <w:t>670</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1C112C70" w14:textId="77777777">
            <w:pPr>
              <w:overflowPunct/>
              <w:autoSpaceDE/>
              <w:autoSpaceDN/>
              <w:adjustRightInd/>
              <w:jc w:val="center"/>
              <w:textAlignment w:val="auto"/>
              <w:rPr>
                <w:color w:val="000000"/>
              </w:rPr>
            </w:pPr>
            <w:r w:rsidRPr="00F849B4">
              <w:rPr>
                <w:color w:val="000000"/>
              </w:rPr>
              <w:t>0.5</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59E28978" w14:textId="6E5AB6FC">
            <w:pPr>
              <w:overflowPunct/>
              <w:autoSpaceDE/>
              <w:autoSpaceDN/>
              <w:adjustRightInd/>
              <w:jc w:val="center"/>
              <w:textAlignment w:val="auto"/>
              <w:rPr>
                <w:color w:val="000000"/>
              </w:rPr>
            </w:pPr>
            <w:r w:rsidRPr="00F849B4">
              <w:rPr>
                <w:color w:val="000000"/>
              </w:rPr>
              <w:t>335</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62C0B70E"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163B7499" w14:textId="379AD628">
            <w:pPr>
              <w:overflowPunct/>
              <w:autoSpaceDE/>
              <w:autoSpaceDN/>
              <w:adjustRightInd/>
              <w:jc w:val="center"/>
              <w:textAlignment w:val="auto"/>
              <w:rPr>
                <w:color w:val="000000"/>
              </w:rPr>
            </w:pPr>
            <w:r w:rsidRPr="00F849B4">
              <w:rPr>
                <w:color w:val="000000"/>
              </w:rPr>
              <w:t>$19,356.</w:t>
            </w:r>
            <w:r w:rsidR="0062282C">
              <w:rPr>
                <w:color w:val="000000"/>
              </w:rPr>
              <w:t>3</w:t>
            </w:r>
            <w:r w:rsidRPr="00F849B4">
              <w:rPr>
                <w:color w:val="000000"/>
              </w:rPr>
              <w:t xml:space="preserve">0 </w:t>
            </w:r>
          </w:p>
        </w:tc>
      </w:tr>
      <w:tr w14:paraId="4ED298E1" w14:textId="77777777">
        <w:tblPrEx>
          <w:tblW w:w="10435" w:type="dxa"/>
          <w:tblInd w:w="113" w:type="dxa"/>
          <w:tblLook w:val="04A0"/>
        </w:tblPrEx>
        <w:trPr>
          <w:trHeight w:val="449"/>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25F3A53A" w14:textId="77777777">
            <w:pPr>
              <w:overflowPunct/>
              <w:autoSpaceDE/>
              <w:autoSpaceDN/>
              <w:adjustRightInd/>
              <w:jc w:val="center"/>
              <w:textAlignment w:val="auto"/>
              <w:rPr>
                <w:color w:val="000000"/>
              </w:rPr>
            </w:pPr>
            <w:r w:rsidRPr="00F849B4">
              <w:rPr>
                <w:color w:val="000000"/>
              </w:rPr>
              <w:t>Management Reports (Headquarters)</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0F166B48" w14:textId="6B44392D">
            <w:pPr>
              <w:overflowPunct/>
              <w:autoSpaceDE/>
              <w:autoSpaceDN/>
              <w:adjustRightInd/>
              <w:jc w:val="center"/>
              <w:textAlignment w:val="auto"/>
              <w:rPr>
                <w:color w:val="000000"/>
              </w:rPr>
            </w:pPr>
            <w:r w:rsidRPr="00F849B4">
              <w:rPr>
                <w:color w:val="000000"/>
              </w:rPr>
              <w:t>670</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6A1E5F07" w14:textId="10E81F6D">
            <w:pPr>
              <w:overflowPunct/>
              <w:autoSpaceDE/>
              <w:autoSpaceDN/>
              <w:adjustRightInd/>
              <w:jc w:val="center"/>
              <w:textAlignment w:val="auto"/>
              <w:rPr>
                <w:color w:val="000000"/>
              </w:rPr>
            </w:pPr>
            <w:r>
              <w:rPr>
                <w:color w:val="000000"/>
              </w:rPr>
              <w:t>1</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2A308063" w14:textId="12F7E040">
            <w:pPr>
              <w:overflowPunct/>
              <w:autoSpaceDE/>
              <w:autoSpaceDN/>
              <w:adjustRightInd/>
              <w:jc w:val="center"/>
              <w:textAlignment w:val="auto"/>
              <w:rPr>
                <w:color w:val="000000"/>
              </w:rPr>
            </w:pPr>
            <w:r>
              <w:rPr>
                <w:color w:val="000000"/>
              </w:rPr>
              <w:t>670</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21BA1E93" w14:textId="77777777">
            <w:pPr>
              <w:overflowPunct/>
              <w:autoSpaceDE/>
              <w:autoSpaceDN/>
              <w:adjustRightInd/>
              <w:jc w:val="center"/>
              <w:textAlignment w:val="auto"/>
              <w:rPr>
                <w:color w:val="000000"/>
              </w:rPr>
            </w:pPr>
            <w:r w:rsidRPr="00F849B4">
              <w:rPr>
                <w:color w:val="000000"/>
              </w:rPr>
              <w:t>0.25</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7C33A140" w14:textId="68E4C561">
            <w:pPr>
              <w:overflowPunct/>
              <w:autoSpaceDE/>
              <w:autoSpaceDN/>
              <w:adjustRightInd/>
              <w:jc w:val="center"/>
              <w:textAlignment w:val="auto"/>
              <w:rPr>
                <w:color w:val="000000"/>
              </w:rPr>
            </w:pPr>
            <w:r w:rsidRPr="00F849B4">
              <w:rPr>
                <w:color w:val="000000"/>
              </w:rPr>
              <w:t>167.5</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63BE08C3"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0C630C11" w14:textId="21063BF6">
            <w:pPr>
              <w:overflowPunct/>
              <w:autoSpaceDE/>
              <w:autoSpaceDN/>
              <w:adjustRightInd/>
              <w:jc w:val="center"/>
              <w:textAlignment w:val="auto"/>
              <w:rPr>
                <w:color w:val="000000"/>
              </w:rPr>
            </w:pPr>
            <w:r w:rsidRPr="00F849B4">
              <w:rPr>
                <w:color w:val="000000"/>
              </w:rPr>
              <w:t>$9,678.</w:t>
            </w:r>
            <w:r w:rsidR="0062282C">
              <w:rPr>
                <w:color w:val="000000"/>
              </w:rPr>
              <w:t>15</w:t>
            </w:r>
            <w:r w:rsidRPr="00F849B4">
              <w:rPr>
                <w:color w:val="000000"/>
              </w:rPr>
              <w:t xml:space="preserve"> </w:t>
            </w:r>
          </w:p>
        </w:tc>
      </w:tr>
      <w:tr w14:paraId="71BA1DAA" w14:textId="77777777">
        <w:tblPrEx>
          <w:tblW w:w="10435" w:type="dxa"/>
          <w:tblInd w:w="113" w:type="dxa"/>
          <w:tblLook w:val="04A0"/>
        </w:tblPrEx>
        <w:trPr>
          <w:trHeight w:val="521"/>
        </w:trPr>
        <w:tc>
          <w:tcPr>
            <w:tcW w:w="2178" w:type="dxa"/>
            <w:tcBorders>
              <w:top w:val="single" w:sz="4" w:space="0" w:color="auto"/>
              <w:left w:val="single" w:sz="4" w:space="0" w:color="auto"/>
              <w:bottom w:val="single" w:sz="4" w:space="0" w:color="auto"/>
              <w:right w:val="single" w:sz="4" w:space="0" w:color="auto"/>
            </w:tcBorders>
            <w:vAlign w:val="center"/>
          </w:tcPr>
          <w:p w:rsidR="00F849B4" w:rsidRPr="00F849B4" w:rsidP="00F849B4" w14:paraId="003FCC21" w14:textId="77777777">
            <w:pPr>
              <w:overflowPunct/>
              <w:autoSpaceDE/>
              <w:autoSpaceDN/>
              <w:adjustRightInd/>
              <w:jc w:val="center"/>
              <w:textAlignment w:val="auto"/>
              <w:rPr>
                <w:color w:val="000000"/>
              </w:rPr>
            </w:pPr>
            <w:r w:rsidRPr="00F849B4">
              <w:rPr>
                <w:color w:val="000000"/>
              </w:rPr>
              <w:t>Total hours</w:t>
            </w:r>
          </w:p>
        </w:tc>
        <w:tc>
          <w:tcPr>
            <w:tcW w:w="1306" w:type="dxa"/>
            <w:tcBorders>
              <w:top w:val="single" w:sz="4" w:space="0" w:color="auto"/>
              <w:left w:val="nil"/>
              <w:bottom w:val="single" w:sz="4" w:space="0" w:color="auto"/>
              <w:right w:val="single" w:sz="4" w:space="0" w:color="auto"/>
            </w:tcBorders>
            <w:vAlign w:val="center"/>
          </w:tcPr>
          <w:p w:rsidR="00F849B4" w:rsidRPr="00F849B4" w:rsidP="00F849B4" w14:paraId="2A86C00B" w14:textId="77777777">
            <w:pPr>
              <w:overflowPunct/>
              <w:autoSpaceDE/>
              <w:autoSpaceDN/>
              <w:adjustRightInd/>
              <w:jc w:val="center"/>
              <w:textAlignment w:val="auto"/>
              <w:rPr>
                <w:color w:val="000000"/>
              </w:rPr>
            </w:pPr>
            <w:r w:rsidRPr="00F849B4">
              <w:rPr>
                <w:color w:val="000000"/>
              </w:rPr>
              <w:t> </w:t>
            </w:r>
          </w:p>
        </w:tc>
        <w:tc>
          <w:tcPr>
            <w:tcW w:w="1127" w:type="dxa"/>
            <w:tcBorders>
              <w:top w:val="single" w:sz="4" w:space="0" w:color="auto"/>
              <w:left w:val="nil"/>
              <w:bottom w:val="single" w:sz="4" w:space="0" w:color="auto"/>
              <w:right w:val="single" w:sz="4" w:space="0" w:color="auto"/>
            </w:tcBorders>
            <w:vAlign w:val="center"/>
          </w:tcPr>
          <w:p w:rsidR="00F849B4" w:rsidRPr="00F849B4" w:rsidP="00F849B4" w14:paraId="0E82265D" w14:textId="77777777">
            <w:pPr>
              <w:overflowPunct/>
              <w:autoSpaceDE/>
              <w:autoSpaceDN/>
              <w:adjustRightInd/>
              <w:jc w:val="center"/>
              <w:textAlignment w:val="auto"/>
              <w:rPr>
                <w:color w:val="000000"/>
              </w:rPr>
            </w:pPr>
            <w:r w:rsidRPr="00F849B4">
              <w:rPr>
                <w:color w:val="000000"/>
              </w:rPr>
              <w:t> </w:t>
            </w:r>
          </w:p>
        </w:tc>
        <w:tc>
          <w:tcPr>
            <w:tcW w:w="1094" w:type="dxa"/>
            <w:tcBorders>
              <w:top w:val="single" w:sz="4" w:space="0" w:color="auto"/>
              <w:left w:val="nil"/>
              <w:bottom w:val="single" w:sz="4" w:space="0" w:color="auto"/>
              <w:right w:val="single" w:sz="4" w:space="0" w:color="auto"/>
            </w:tcBorders>
            <w:vAlign w:val="center"/>
          </w:tcPr>
          <w:p w:rsidR="00F849B4" w:rsidRPr="00F849B4" w:rsidP="00F849B4" w14:paraId="320680C6" w14:textId="77777777">
            <w:pPr>
              <w:overflowPunct/>
              <w:autoSpaceDE/>
              <w:autoSpaceDN/>
              <w:adjustRightInd/>
              <w:jc w:val="center"/>
              <w:textAlignment w:val="auto"/>
              <w:rPr>
                <w:color w:val="000000"/>
              </w:rPr>
            </w:pPr>
            <w:r w:rsidRPr="00F849B4">
              <w:rPr>
                <w:color w:val="000000"/>
              </w:rPr>
              <w:t> </w:t>
            </w:r>
          </w:p>
        </w:tc>
        <w:tc>
          <w:tcPr>
            <w:tcW w:w="1124" w:type="dxa"/>
            <w:tcBorders>
              <w:top w:val="single" w:sz="4" w:space="0" w:color="auto"/>
              <w:left w:val="nil"/>
              <w:bottom w:val="single" w:sz="4" w:space="0" w:color="auto"/>
              <w:right w:val="single" w:sz="4" w:space="0" w:color="auto"/>
            </w:tcBorders>
            <w:vAlign w:val="center"/>
          </w:tcPr>
          <w:p w:rsidR="00F849B4" w:rsidRPr="00F849B4" w:rsidP="00F849B4" w14:paraId="3E86EE3E" w14:textId="77777777">
            <w:pPr>
              <w:overflowPunct/>
              <w:autoSpaceDE/>
              <w:autoSpaceDN/>
              <w:adjustRightInd/>
              <w:jc w:val="center"/>
              <w:textAlignment w:val="auto"/>
              <w:rPr>
                <w:color w:val="000000"/>
              </w:rPr>
            </w:pPr>
            <w:r w:rsidRPr="00F849B4">
              <w:rPr>
                <w:color w:val="000000"/>
              </w:rPr>
              <w:t> </w:t>
            </w:r>
          </w:p>
        </w:tc>
        <w:tc>
          <w:tcPr>
            <w:tcW w:w="1176" w:type="dxa"/>
            <w:tcBorders>
              <w:top w:val="nil"/>
              <w:left w:val="single" w:sz="4" w:space="0" w:color="auto"/>
              <w:bottom w:val="single" w:sz="4" w:space="0" w:color="auto"/>
              <w:right w:val="single" w:sz="4" w:space="0" w:color="auto"/>
            </w:tcBorders>
            <w:vAlign w:val="center"/>
          </w:tcPr>
          <w:p w:rsidR="00F849B4" w:rsidRPr="00F849B4" w:rsidP="00F849B4" w14:paraId="596E90D8" w14:textId="0D95D047">
            <w:pPr>
              <w:overflowPunct/>
              <w:autoSpaceDE/>
              <w:autoSpaceDN/>
              <w:adjustRightInd/>
              <w:jc w:val="center"/>
              <w:textAlignment w:val="auto"/>
              <w:rPr>
                <w:color w:val="000000"/>
              </w:rPr>
            </w:pPr>
            <w:r w:rsidRPr="00F849B4">
              <w:rPr>
                <w:color w:val="000000"/>
              </w:rPr>
              <w:t>11,420.5</w:t>
            </w:r>
          </w:p>
        </w:tc>
        <w:tc>
          <w:tcPr>
            <w:tcW w:w="1188" w:type="dxa"/>
            <w:tcBorders>
              <w:top w:val="single" w:sz="4" w:space="0" w:color="auto"/>
              <w:left w:val="nil"/>
              <w:bottom w:val="single" w:sz="4" w:space="0" w:color="auto"/>
              <w:right w:val="single" w:sz="4" w:space="0" w:color="auto"/>
            </w:tcBorders>
            <w:vAlign w:val="center"/>
          </w:tcPr>
          <w:p w:rsidR="00F849B4" w:rsidRPr="00F849B4" w:rsidP="00F849B4" w14:paraId="01B7A3E3" w14:textId="77777777">
            <w:pPr>
              <w:overflowPunct/>
              <w:autoSpaceDE/>
              <w:autoSpaceDN/>
              <w:adjustRightInd/>
              <w:jc w:val="center"/>
              <w:textAlignment w:val="auto"/>
              <w:rPr>
                <w:color w:val="000000"/>
              </w:rPr>
            </w:pPr>
            <w:r w:rsidRPr="00F849B4">
              <w:rPr>
                <w:color w:val="000000"/>
              </w:rPr>
              <w:t>$57.78</w:t>
            </w:r>
          </w:p>
        </w:tc>
        <w:tc>
          <w:tcPr>
            <w:tcW w:w="1242" w:type="dxa"/>
            <w:tcBorders>
              <w:top w:val="nil"/>
              <w:left w:val="single" w:sz="4" w:space="0" w:color="auto"/>
              <w:bottom w:val="single" w:sz="4" w:space="0" w:color="auto"/>
              <w:right w:val="single" w:sz="4" w:space="0" w:color="auto"/>
            </w:tcBorders>
            <w:vAlign w:val="center"/>
          </w:tcPr>
          <w:p w:rsidR="00F849B4" w:rsidRPr="00F849B4" w:rsidP="00F849B4" w14:paraId="7D16E0C7" w14:textId="36C7F5B4">
            <w:pPr>
              <w:overflowPunct/>
              <w:autoSpaceDE/>
              <w:autoSpaceDN/>
              <w:adjustRightInd/>
              <w:jc w:val="center"/>
              <w:textAlignment w:val="auto"/>
              <w:rPr>
                <w:color w:val="000000"/>
              </w:rPr>
            </w:pPr>
            <w:r w:rsidRPr="00F849B4">
              <w:rPr>
                <w:color w:val="000000"/>
              </w:rPr>
              <w:t>$659,87</w:t>
            </w:r>
            <w:r w:rsidR="0062282C">
              <w:rPr>
                <w:color w:val="000000"/>
              </w:rPr>
              <w:t>6</w:t>
            </w:r>
            <w:r w:rsidRPr="00F849B4">
              <w:rPr>
                <w:color w:val="000000"/>
              </w:rPr>
              <w:t>.</w:t>
            </w:r>
            <w:r w:rsidR="0062282C">
              <w:rPr>
                <w:color w:val="000000"/>
              </w:rPr>
              <w:t>49</w:t>
            </w:r>
            <w:r w:rsidRPr="00F849B4">
              <w:rPr>
                <w:color w:val="000000"/>
              </w:rPr>
              <w:t xml:space="preserve"> </w:t>
            </w:r>
          </w:p>
        </w:tc>
      </w:tr>
    </w:tbl>
    <w:p w:rsidR="00181F30" w:rsidRPr="00AF2BF2" w:rsidP="00181F30" w14:paraId="35719AB5" w14:textId="3A3A08B7">
      <w:pPr>
        <w:pStyle w:val="NoSpacing"/>
        <w:rPr>
          <w:sz w:val="16"/>
          <w:szCs w:val="16"/>
        </w:rPr>
      </w:pPr>
      <w:bookmarkStart w:id="8" w:name="_Hlk203566258"/>
      <w:r w:rsidRPr="00AF2BF2">
        <w:rPr>
          <w:sz w:val="16"/>
          <w:szCs w:val="16"/>
        </w:rPr>
        <w:t>Total cost to the Federal Government:  11,</w:t>
      </w:r>
      <w:r w:rsidR="00A22A3E">
        <w:rPr>
          <w:sz w:val="16"/>
          <w:szCs w:val="16"/>
        </w:rPr>
        <w:t>420</w:t>
      </w:r>
      <w:r>
        <w:rPr>
          <w:sz w:val="16"/>
          <w:szCs w:val="16"/>
        </w:rPr>
        <w:t>.5</w:t>
      </w:r>
      <w:r w:rsidRPr="00AF2BF2">
        <w:rPr>
          <w:sz w:val="16"/>
          <w:szCs w:val="16"/>
        </w:rPr>
        <w:t xml:space="preserve"> hours at $</w:t>
      </w:r>
      <w:r>
        <w:rPr>
          <w:sz w:val="16"/>
          <w:szCs w:val="16"/>
        </w:rPr>
        <w:t>57.78</w:t>
      </w:r>
      <w:r w:rsidRPr="00AF2BF2">
        <w:rPr>
          <w:sz w:val="16"/>
          <w:szCs w:val="16"/>
        </w:rPr>
        <w:t xml:space="preserve">/hour (This figure is based on </w:t>
      </w:r>
      <w:r w:rsidR="00A22A3E">
        <w:rPr>
          <w:sz w:val="16"/>
          <w:szCs w:val="16"/>
        </w:rPr>
        <w:t xml:space="preserve">the FY 2025 </w:t>
      </w:r>
      <w:r w:rsidRPr="00AF2BF2">
        <w:rPr>
          <w:sz w:val="16"/>
          <w:szCs w:val="16"/>
        </w:rPr>
        <w:t>GS-1</w:t>
      </w:r>
      <w:r>
        <w:rPr>
          <w:sz w:val="16"/>
          <w:szCs w:val="16"/>
        </w:rPr>
        <w:t>3</w:t>
      </w:r>
      <w:r w:rsidRPr="00AF2BF2">
        <w:rPr>
          <w:sz w:val="16"/>
          <w:szCs w:val="16"/>
        </w:rPr>
        <w:t xml:space="preserve"> salary</w:t>
      </w:r>
      <w:r w:rsidR="00D95EED">
        <w:rPr>
          <w:sz w:val="16"/>
          <w:szCs w:val="16"/>
        </w:rPr>
        <w:t xml:space="preserve"> for a</w:t>
      </w:r>
      <w:r w:rsidR="00E5497C">
        <w:rPr>
          <w:sz w:val="16"/>
          <w:szCs w:val="16"/>
        </w:rPr>
        <w:t>n employee in the Washington-Baltimore-Arlington DC-MD-VA-WV-PA Locality</w:t>
      </w:r>
      <w:r w:rsidRPr="00AF2BF2">
        <w:rPr>
          <w:sz w:val="16"/>
          <w:szCs w:val="16"/>
        </w:rPr>
        <w:t>)</w:t>
      </w:r>
    </w:p>
    <w:bookmarkEnd w:id="8"/>
    <w:p w:rsidR="006C7FAE" w:rsidRPr="006C7FAE" w14:paraId="7D89E4FE" w14:textId="77777777">
      <w:pPr>
        <w:tabs>
          <w:tab w:val="left" w:pos="360"/>
        </w:tabs>
        <w:ind w:left="360" w:hanging="360"/>
        <w:rPr>
          <w:sz w:val="24"/>
          <w:szCs w:val="24"/>
        </w:rPr>
      </w:pPr>
    </w:p>
    <w:p w:rsidR="009E13B1" w:rsidRPr="006C7FAE" w14:paraId="2E22D39E"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4F1845" w:rsidRPr="006C7FAE" w:rsidP="004F1845" w14:paraId="629E8404" w14:textId="28017F22">
      <w:pPr>
        <w:keepLines/>
        <w:tabs>
          <w:tab w:val="left" w:pos="360"/>
        </w:tabs>
        <w:spacing w:after="80"/>
        <w:ind w:left="360" w:hanging="360"/>
        <w:rPr>
          <w:sz w:val="24"/>
          <w:szCs w:val="24"/>
        </w:rPr>
      </w:pPr>
      <w:r>
        <w:rPr>
          <w:sz w:val="24"/>
        </w:rPr>
        <w:t xml:space="preserve">This is a reinstatement with change of previously approved collection. </w:t>
      </w:r>
      <w:r w:rsidR="006512DD">
        <w:rPr>
          <w:sz w:val="24"/>
          <w:szCs w:val="24"/>
        </w:rPr>
        <w:t xml:space="preserve">Only changes was hourly cost. </w:t>
      </w:r>
      <w:r w:rsidR="005609B2">
        <w:rPr>
          <w:sz w:val="24"/>
        </w:rPr>
        <w:t>The information collection previously contained HUD forms 40107, 40107a, SF1199a, and HUD 40093 are no longer required for this collection.</w:t>
      </w:r>
    </w:p>
    <w:p w:rsidR="009E13B1" w:rsidRPr="006C7FAE" w14:paraId="091D2B3E" w14:textId="77777777">
      <w:pPr>
        <w:keepLines/>
        <w:tabs>
          <w:tab w:val="left" w:pos="360"/>
          <w:tab w:val="left" w:pos="720"/>
        </w:tabs>
        <w:ind w:left="360"/>
        <w:rPr>
          <w:sz w:val="24"/>
          <w:szCs w:val="24"/>
        </w:rPr>
      </w:pPr>
    </w:p>
    <w:p w:rsidR="009E13B1" w:rsidRPr="006C7FAE" w14:paraId="3F10B101"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1845" w:rsidP="004F1845" w14:paraId="606912A9" w14:textId="77777777">
      <w:pPr>
        <w:pStyle w:val="BodyTextIndent"/>
        <w:tabs>
          <w:tab w:val="left" w:pos="0"/>
          <w:tab w:val="clear" w:pos="360"/>
          <w:tab w:val="left" w:pos="720"/>
        </w:tabs>
        <w:ind w:left="0" w:firstLine="0"/>
        <w:rPr>
          <w:sz w:val="24"/>
        </w:rPr>
      </w:pPr>
      <w:r w:rsidRPr="00105854">
        <w:rPr>
          <w:sz w:val="24"/>
        </w:rPr>
        <w:t>Not later than 120 days after the end of each fiscal year, the Department is required at Section 284(b) of the Act to report to Congress on the overall progress of program participants in meeting statutory and regulatory provisions of the HOME Program.  The report must include a description of the action taken by PJs to establish and oversee minority outreach programs as required by Section 281 of the Act and include an assessment of the fiscal year performance of the program based upon the data identified herein</w:t>
      </w:r>
      <w:r>
        <w:rPr>
          <w:sz w:val="24"/>
        </w:rPr>
        <w:t>.</w:t>
      </w:r>
    </w:p>
    <w:p w:rsidR="009E13B1" w:rsidRPr="006C7FAE" w14:paraId="7E635823" w14:textId="77777777">
      <w:pPr>
        <w:tabs>
          <w:tab w:val="left" w:pos="360"/>
        </w:tabs>
        <w:ind w:left="360" w:hanging="360"/>
        <w:rPr>
          <w:sz w:val="24"/>
          <w:szCs w:val="24"/>
        </w:rPr>
      </w:pPr>
    </w:p>
    <w:p w:rsidR="009E13B1" w:rsidRPr="006C7FAE" w14:paraId="443942AE"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4F1845" w:rsidRPr="006C7FAE" w:rsidP="004F1845" w14:paraId="282A947D" w14:textId="77777777">
      <w:pPr>
        <w:keepLines/>
        <w:tabs>
          <w:tab w:val="left" w:pos="360"/>
          <w:tab w:val="left" w:pos="720"/>
        </w:tabs>
        <w:overflowPunct/>
        <w:autoSpaceDE/>
        <w:autoSpaceDN/>
        <w:adjustRightInd/>
        <w:ind w:left="360" w:hanging="360"/>
        <w:textAlignment w:val="auto"/>
        <w:rPr>
          <w:sz w:val="24"/>
          <w:szCs w:val="24"/>
        </w:rPr>
      </w:pPr>
      <w:r w:rsidRPr="00AF2BF2">
        <w:rPr>
          <w:color w:val="000000"/>
          <w:sz w:val="24"/>
          <w:szCs w:val="24"/>
        </w:rPr>
        <w:t>There is no request to not display the expiration date.</w:t>
      </w:r>
    </w:p>
    <w:p w:rsidR="009E13B1" w:rsidRPr="006C7FAE" w14:paraId="63BFF2BD" w14:textId="77777777">
      <w:pPr>
        <w:keepLines/>
        <w:tabs>
          <w:tab w:val="left" w:pos="360"/>
          <w:tab w:val="left" w:pos="720"/>
        </w:tabs>
        <w:ind w:left="360"/>
        <w:rPr>
          <w:sz w:val="24"/>
          <w:szCs w:val="24"/>
        </w:rPr>
      </w:pPr>
    </w:p>
    <w:p w:rsidR="009E13B1" w:rsidRPr="006C7FAE" w14:paraId="55D01B38"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4F1845" w:rsidRPr="00AF2BF2" w:rsidP="004F1845" w14:paraId="5E1A326C" w14:textId="77777777">
      <w:pPr>
        <w:overflowPunct/>
        <w:autoSpaceDE/>
        <w:autoSpaceDN/>
        <w:adjustRightInd/>
        <w:textAlignment w:val="auto"/>
        <w:rPr>
          <w:sz w:val="24"/>
          <w:szCs w:val="24"/>
        </w:rPr>
      </w:pPr>
      <w:r w:rsidRPr="00AF2BF2">
        <w:rPr>
          <w:sz w:val="24"/>
          <w:szCs w:val="24"/>
        </w:rPr>
        <w:t>There are no exceptions being requested for the certification statements.</w:t>
      </w:r>
    </w:p>
    <w:p w:rsidR="009E13B1" w:rsidRPr="006C7FAE" w14:paraId="43A6C67C" w14:textId="77777777">
      <w:pPr>
        <w:tabs>
          <w:tab w:val="left" w:pos="360"/>
          <w:tab w:val="left" w:pos="720"/>
        </w:tabs>
        <w:rPr>
          <w:sz w:val="24"/>
          <w:szCs w:val="24"/>
        </w:rPr>
      </w:pPr>
    </w:p>
    <w:p w:rsidR="009E13B1" w:rsidRPr="006C7FAE" w:rsidP="00167E53" w14:paraId="701968D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pgSz w:w="12240" w:h="15840"/>
      <w:pgMar w:top="1440" w:right="1440" w:bottom="1440" w:left="900" w:header="480" w:footer="480" w:gutter="0"/>
      <w:cols w:space="480" w:equalWidth="0">
        <w:col w:w="10080" w:space="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680277639">
    <w:abstractNumId w:val="4"/>
  </w:num>
  <w:num w:numId="2" w16cid:durableId="2040163924">
    <w:abstractNumId w:val="2"/>
  </w:num>
  <w:num w:numId="3" w16cid:durableId="1690914523">
    <w:abstractNumId w:val="8"/>
  </w:num>
  <w:num w:numId="4" w16cid:durableId="1696535782">
    <w:abstractNumId w:val="5"/>
  </w:num>
  <w:num w:numId="5" w16cid:durableId="2076004722">
    <w:abstractNumId w:val="6"/>
  </w:num>
  <w:num w:numId="6" w16cid:durableId="1011570112">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961644050">
    <w:abstractNumId w:val="3"/>
  </w:num>
  <w:num w:numId="8" w16cid:durableId="358893347">
    <w:abstractNumId w:val="11"/>
  </w:num>
  <w:num w:numId="9" w16cid:durableId="1328367278">
    <w:abstractNumId w:val="1"/>
  </w:num>
  <w:num w:numId="10" w16cid:durableId="866410311">
    <w:abstractNumId w:val="10"/>
  </w:num>
  <w:num w:numId="11" w16cid:durableId="1849247996">
    <w:abstractNumId w:val="9"/>
  </w:num>
  <w:num w:numId="12" w16cid:durableId="622462534">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427382818">
    <w:abstractNumId w:val="7"/>
  </w:num>
  <w:num w:numId="14" w16cid:durableId="59293536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D09"/>
    <w:rsid w:val="0000484E"/>
    <w:rsid w:val="00017129"/>
    <w:rsid w:val="00022964"/>
    <w:rsid w:val="00067BC1"/>
    <w:rsid w:val="00095031"/>
    <w:rsid w:val="000A1639"/>
    <w:rsid w:val="000C117C"/>
    <w:rsid w:val="000C38FD"/>
    <w:rsid w:val="000D4B06"/>
    <w:rsid w:val="000D5079"/>
    <w:rsid w:val="000E00A8"/>
    <w:rsid w:val="000E2A89"/>
    <w:rsid w:val="00105854"/>
    <w:rsid w:val="00117040"/>
    <w:rsid w:val="00131CE1"/>
    <w:rsid w:val="00146120"/>
    <w:rsid w:val="00166D80"/>
    <w:rsid w:val="00167E53"/>
    <w:rsid w:val="00181F30"/>
    <w:rsid w:val="00196E06"/>
    <w:rsid w:val="001D6057"/>
    <w:rsid w:val="001E5ABB"/>
    <w:rsid w:val="001F2D74"/>
    <w:rsid w:val="001F3A83"/>
    <w:rsid w:val="002302B2"/>
    <w:rsid w:val="0023256B"/>
    <w:rsid w:val="00247CA7"/>
    <w:rsid w:val="00257E74"/>
    <w:rsid w:val="002A6A7B"/>
    <w:rsid w:val="002B3320"/>
    <w:rsid w:val="002C5BA8"/>
    <w:rsid w:val="002C6B09"/>
    <w:rsid w:val="002C7F8C"/>
    <w:rsid w:val="002F6CE8"/>
    <w:rsid w:val="00330C29"/>
    <w:rsid w:val="00341A99"/>
    <w:rsid w:val="00360090"/>
    <w:rsid w:val="00385D16"/>
    <w:rsid w:val="003A4EA2"/>
    <w:rsid w:val="003C2625"/>
    <w:rsid w:val="003C686F"/>
    <w:rsid w:val="00413B85"/>
    <w:rsid w:val="00416270"/>
    <w:rsid w:val="0043227F"/>
    <w:rsid w:val="00435162"/>
    <w:rsid w:val="00437AAD"/>
    <w:rsid w:val="00450591"/>
    <w:rsid w:val="00471D41"/>
    <w:rsid w:val="00482388"/>
    <w:rsid w:val="004C4DBB"/>
    <w:rsid w:val="004F1845"/>
    <w:rsid w:val="004F40F9"/>
    <w:rsid w:val="004F5101"/>
    <w:rsid w:val="004F5632"/>
    <w:rsid w:val="0052648C"/>
    <w:rsid w:val="00532200"/>
    <w:rsid w:val="005609B2"/>
    <w:rsid w:val="0058747D"/>
    <w:rsid w:val="005A65A6"/>
    <w:rsid w:val="005B72E7"/>
    <w:rsid w:val="005C6C21"/>
    <w:rsid w:val="005D0FEF"/>
    <w:rsid w:val="005D1393"/>
    <w:rsid w:val="00601349"/>
    <w:rsid w:val="00605A09"/>
    <w:rsid w:val="0061463E"/>
    <w:rsid w:val="0062282C"/>
    <w:rsid w:val="006269A2"/>
    <w:rsid w:val="006401B4"/>
    <w:rsid w:val="0064766C"/>
    <w:rsid w:val="006512DD"/>
    <w:rsid w:val="00652611"/>
    <w:rsid w:val="006566BB"/>
    <w:rsid w:val="00674B15"/>
    <w:rsid w:val="00685086"/>
    <w:rsid w:val="006908F7"/>
    <w:rsid w:val="006B19C3"/>
    <w:rsid w:val="006B409F"/>
    <w:rsid w:val="006B7674"/>
    <w:rsid w:val="006C4830"/>
    <w:rsid w:val="006C7FAE"/>
    <w:rsid w:val="006F0A4E"/>
    <w:rsid w:val="006F4C7A"/>
    <w:rsid w:val="00701918"/>
    <w:rsid w:val="007469E9"/>
    <w:rsid w:val="007636AC"/>
    <w:rsid w:val="00764AB3"/>
    <w:rsid w:val="007843D4"/>
    <w:rsid w:val="0079310F"/>
    <w:rsid w:val="00795AE0"/>
    <w:rsid w:val="007B3973"/>
    <w:rsid w:val="007B4A33"/>
    <w:rsid w:val="007C37EF"/>
    <w:rsid w:val="00820F44"/>
    <w:rsid w:val="008314BA"/>
    <w:rsid w:val="0086038A"/>
    <w:rsid w:val="008707C4"/>
    <w:rsid w:val="008A5688"/>
    <w:rsid w:val="008A7175"/>
    <w:rsid w:val="008B0916"/>
    <w:rsid w:val="008C4A54"/>
    <w:rsid w:val="008E02A4"/>
    <w:rsid w:val="008E0DDF"/>
    <w:rsid w:val="008F3843"/>
    <w:rsid w:val="008F7C2B"/>
    <w:rsid w:val="009034A3"/>
    <w:rsid w:val="00910C28"/>
    <w:rsid w:val="0091119A"/>
    <w:rsid w:val="0093458B"/>
    <w:rsid w:val="009435D7"/>
    <w:rsid w:val="0095024E"/>
    <w:rsid w:val="0099319E"/>
    <w:rsid w:val="009A7061"/>
    <w:rsid w:val="009B07FF"/>
    <w:rsid w:val="009B11A1"/>
    <w:rsid w:val="009C193B"/>
    <w:rsid w:val="009C5A5A"/>
    <w:rsid w:val="009D327C"/>
    <w:rsid w:val="009E0C3E"/>
    <w:rsid w:val="009E13B1"/>
    <w:rsid w:val="009F1F10"/>
    <w:rsid w:val="00A1601E"/>
    <w:rsid w:val="00A22A3E"/>
    <w:rsid w:val="00A43403"/>
    <w:rsid w:val="00A630F0"/>
    <w:rsid w:val="00A65F9E"/>
    <w:rsid w:val="00A7760F"/>
    <w:rsid w:val="00A83E46"/>
    <w:rsid w:val="00A86D09"/>
    <w:rsid w:val="00A87AFE"/>
    <w:rsid w:val="00A910F7"/>
    <w:rsid w:val="00AA6C53"/>
    <w:rsid w:val="00AC08B9"/>
    <w:rsid w:val="00AE5449"/>
    <w:rsid w:val="00AF2BF2"/>
    <w:rsid w:val="00B01940"/>
    <w:rsid w:val="00B03398"/>
    <w:rsid w:val="00B04BA6"/>
    <w:rsid w:val="00B94401"/>
    <w:rsid w:val="00BA6EAF"/>
    <w:rsid w:val="00BB2518"/>
    <w:rsid w:val="00BC10AF"/>
    <w:rsid w:val="00BC50C0"/>
    <w:rsid w:val="00BD087C"/>
    <w:rsid w:val="00BD367D"/>
    <w:rsid w:val="00BD7F7F"/>
    <w:rsid w:val="00BE6A9A"/>
    <w:rsid w:val="00BF4DBA"/>
    <w:rsid w:val="00C32A3A"/>
    <w:rsid w:val="00C574A1"/>
    <w:rsid w:val="00C6669C"/>
    <w:rsid w:val="00C94BDB"/>
    <w:rsid w:val="00CA06CC"/>
    <w:rsid w:val="00CD03F6"/>
    <w:rsid w:val="00CD5788"/>
    <w:rsid w:val="00CE05C3"/>
    <w:rsid w:val="00CE1567"/>
    <w:rsid w:val="00CF635C"/>
    <w:rsid w:val="00CF71B5"/>
    <w:rsid w:val="00D15603"/>
    <w:rsid w:val="00D2498B"/>
    <w:rsid w:val="00D51330"/>
    <w:rsid w:val="00D717DB"/>
    <w:rsid w:val="00D74136"/>
    <w:rsid w:val="00D7753A"/>
    <w:rsid w:val="00D95EED"/>
    <w:rsid w:val="00DA4B90"/>
    <w:rsid w:val="00DB7579"/>
    <w:rsid w:val="00DC16CB"/>
    <w:rsid w:val="00DD3286"/>
    <w:rsid w:val="00DD4845"/>
    <w:rsid w:val="00DD5A7D"/>
    <w:rsid w:val="00E000B3"/>
    <w:rsid w:val="00E01140"/>
    <w:rsid w:val="00E01F8C"/>
    <w:rsid w:val="00E035A3"/>
    <w:rsid w:val="00E03BBC"/>
    <w:rsid w:val="00E5497C"/>
    <w:rsid w:val="00E67B41"/>
    <w:rsid w:val="00EA691D"/>
    <w:rsid w:val="00EC29AB"/>
    <w:rsid w:val="00ED02D5"/>
    <w:rsid w:val="00ED1C9A"/>
    <w:rsid w:val="00EF0788"/>
    <w:rsid w:val="00F03AF8"/>
    <w:rsid w:val="00F27C8F"/>
    <w:rsid w:val="00F32588"/>
    <w:rsid w:val="00F5145B"/>
    <w:rsid w:val="00F6159B"/>
    <w:rsid w:val="00F849B4"/>
    <w:rsid w:val="00F9085F"/>
    <w:rsid w:val="00F9142F"/>
    <w:rsid w:val="00FA1490"/>
    <w:rsid w:val="00FB2C49"/>
    <w:rsid w:val="00FC2C1F"/>
    <w:rsid w:val="00FC4D2B"/>
    <w:rsid w:val="00FE1C4E"/>
    <w:rsid w:val="00FF23B9"/>
    <w:rsid w:val="00FF6BC2"/>
    <w:rsid w:val="00FF7D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764244"/>
  <w15:chartTrackingRefBased/>
  <w15:docId w15:val="{88FFC997-B5FC-486B-B322-6C0B0C6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C2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BodyTextIndent">
    <w:name w:val="Body Text Indent"/>
    <w:basedOn w:val="Normal"/>
    <w:link w:val="BodyTextIndentChar"/>
    <w:semiHidden/>
    <w:rsid w:val="007C37EF"/>
    <w:pPr>
      <w:keepLines/>
      <w:tabs>
        <w:tab w:val="left" w:pos="360"/>
      </w:tabs>
      <w:overflowPunct/>
      <w:autoSpaceDE/>
      <w:autoSpaceDN/>
      <w:adjustRightInd/>
      <w:spacing w:after="80"/>
      <w:ind w:left="360" w:hanging="360"/>
      <w:textAlignment w:val="auto"/>
    </w:pPr>
    <w:rPr>
      <w:color w:val="000000"/>
      <w:sz w:val="22"/>
      <w:szCs w:val="24"/>
    </w:rPr>
  </w:style>
  <w:style w:type="character" w:customStyle="1" w:styleId="BodyTextIndentChar">
    <w:name w:val="Body Text Indent Char"/>
    <w:basedOn w:val="DefaultParagraphFont"/>
    <w:link w:val="BodyTextIndent"/>
    <w:semiHidden/>
    <w:rsid w:val="007C37EF"/>
    <w:rPr>
      <w:color w:val="000000"/>
      <w:sz w:val="22"/>
      <w:szCs w:val="24"/>
    </w:rPr>
  </w:style>
  <w:style w:type="paragraph" w:styleId="BodyText">
    <w:name w:val="Body Text"/>
    <w:basedOn w:val="Normal"/>
    <w:link w:val="BodyTextChar"/>
    <w:uiPriority w:val="99"/>
    <w:semiHidden/>
    <w:unhideWhenUsed/>
    <w:rsid w:val="00A7760F"/>
    <w:pPr>
      <w:spacing w:after="120"/>
    </w:pPr>
  </w:style>
  <w:style w:type="character" w:customStyle="1" w:styleId="BodyTextChar">
    <w:name w:val="Body Text Char"/>
    <w:basedOn w:val="DefaultParagraphFont"/>
    <w:link w:val="BodyText"/>
    <w:uiPriority w:val="99"/>
    <w:semiHidden/>
    <w:rsid w:val="00A7760F"/>
  </w:style>
  <w:style w:type="paragraph" w:styleId="BodyText3">
    <w:name w:val="Body Text 3"/>
    <w:basedOn w:val="Normal"/>
    <w:link w:val="BodyText3Char"/>
    <w:uiPriority w:val="99"/>
    <w:semiHidden/>
    <w:unhideWhenUsed/>
    <w:rsid w:val="00A7760F"/>
    <w:pPr>
      <w:spacing w:after="120"/>
    </w:pPr>
    <w:rPr>
      <w:sz w:val="16"/>
      <w:szCs w:val="16"/>
    </w:rPr>
  </w:style>
  <w:style w:type="character" w:customStyle="1" w:styleId="BodyText3Char">
    <w:name w:val="Body Text 3 Char"/>
    <w:basedOn w:val="DefaultParagraphFont"/>
    <w:link w:val="BodyText3"/>
    <w:uiPriority w:val="99"/>
    <w:semiHidden/>
    <w:rsid w:val="00A7760F"/>
    <w:rPr>
      <w:sz w:val="16"/>
      <w:szCs w:val="16"/>
    </w:rPr>
  </w:style>
  <w:style w:type="paragraph" w:styleId="NoSpacing">
    <w:name w:val="No Spacing"/>
    <w:uiPriority w:val="1"/>
    <w:qFormat/>
    <w:rsid w:val="00181F30"/>
    <w:rPr>
      <w:sz w:val="24"/>
      <w:szCs w:val="24"/>
    </w:rPr>
  </w:style>
  <w:style w:type="character" w:styleId="CommentReference">
    <w:name w:val="annotation reference"/>
    <w:basedOn w:val="DefaultParagraphFont"/>
    <w:semiHidden/>
    <w:unhideWhenUsed/>
    <w:rsid w:val="00DC16CB"/>
    <w:rPr>
      <w:sz w:val="16"/>
      <w:szCs w:val="16"/>
    </w:rPr>
  </w:style>
  <w:style w:type="paragraph" w:styleId="CommentText">
    <w:name w:val="annotation text"/>
    <w:basedOn w:val="Normal"/>
    <w:link w:val="CommentTextChar"/>
    <w:unhideWhenUsed/>
    <w:rsid w:val="00DC16CB"/>
  </w:style>
  <w:style w:type="character" w:customStyle="1" w:styleId="CommentTextChar">
    <w:name w:val="Comment Text Char"/>
    <w:basedOn w:val="DefaultParagraphFont"/>
    <w:link w:val="CommentText"/>
    <w:rsid w:val="00DC16CB"/>
  </w:style>
  <w:style w:type="paragraph" w:styleId="CommentSubject">
    <w:name w:val="annotation subject"/>
    <w:basedOn w:val="CommentText"/>
    <w:next w:val="CommentText"/>
    <w:link w:val="CommentSubjectChar"/>
    <w:uiPriority w:val="99"/>
    <w:semiHidden/>
    <w:unhideWhenUsed/>
    <w:rsid w:val="00DC16CB"/>
    <w:rPr>
      <w:b/>
      <w:bCs/>
    </w:rPr>
  </w:style>
  <w:style w:type="character" w:customStyle="1" w:styleId="CommentSubjectChar">
    <w:name w:val="Comment Subject Char"/>
    <w:basedOn w:val="CommentTextChar"/>
    <w:link w:val="CommentSubject"/>
    <w:uiPriority w:val="99"/>
    <w:semiHidden/>
    <w:rsid w:val="00DC16CB"/>
    <w:rPr>
      <w:b/>
      <w:bCs/>
    </w:rPr>
  </w:style>
  <w:style w:type="paragraph" w:styleId="Revision">
    <w:name w:val="Revision"/>
    <w:hidden/>
    <w:uiPriority w:val="99"/>
    <w:semiHidden/>
    <w:rsid w:val="004F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HUDOGC-1479810509-77524</_dlc_DocId>
    <_dlc_DocIdUrl xmlns="d4a638c4-874f-49c0-bb2b-5cb8563c2b18">
      <Url>https://hudgov.sharepoint.com/sites/OGC/OLR/_layouts/15/DocIdRedir.aspx?ID=HUDOGC-1479810509-77524</Url>
      <Description>HUDOGC-1479810509-77524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553C9BD866E68459025E447E16A2FF8" ma:contentTypeVersion="15" ma:contentTypeDescription="Create a new document." ma:contentTypeScope="" ma:versionID="9c4239c00fbcb7f745032ff06e7f3bec">
  <xsd:schema xmlns:xsd="http://www.w3.org/2001/XMLSchema" xmlns:xs="http://www.w3.org/2001/XMLSchema" xmlns:p="http://schemas.microsoft.com/office/2006/metadata/properties" xmlns:ns2="d4a638c4-874f-49c0-bb2b-5cb8563c2b18" xmlns:ns3="0b69a269-bdfa-4917-ba31-afdcf1a6b40f" targetNamespace="http://schemas.microsoft.com/office/2006/metadata/properties" ma:root="true" ma:fieldsID="bf7507fe9637065f244992908b176851" ns2:_="" ns3:_="">
    <xsd:import namespace="d4a638c4-874f-49c0-bb2b-5cb8563c2b18"/>
    <xsd:import namespace="0b69a269-bdfa-4917-ba31-afdcf1a6b40f"/>
    <xsd:element name="properties">
      <xsd:complexType>
        <xsd:sequence>
          <xsd:element name="documentManagement">
            <xsd:complexType>
              <xsd:all>
                <xsd:element ref="ns2:_dlc_DocId" minOccurs="0"/>
                <xsd:element ref="ns2:_dlc_DocIdUrl" minOccurs="0"/>
                <xsd:element ref="ns2:_dlc_DocIdPersistId" minOccurs="0"/>
                <xsd:element ref="ns3:Clearance_ID" minOccurs="0"/>
                <xsd:element ref="ns3:ReviewingOfficeResponses_ID" minOccurs="0"/>
                <xsd:element ref="ns3:Attachments_ID" minOccurs="0"/>
                <xsd:element ref="ns3:Office" minOccurs="0"/>
                <xsd:element ref="ns3:ID_BackUp" minOccurs="0"/>
                <xsd:element ref="ns3:ClearanceNumber" minOccurs="0"/>
                <xsd:element ref="ns3:StatusNumber" minOccurs="0"/>
                <xsd:element ref="ns3:lcf76f155ced4ddcb4097134ff3c332f" minOccurs="0"/>
                <xsd:element ref="ns2:TaxCatchAll" minOccurs="0"/>
                <xsd:element ref="ns3:Semaphore"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efc46b71-8bb1-467c-bb36-416366d5eb88}"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a269-bdfa-4917-ba31-afdcf1a6b40f" elementFormDefault="qualified">
    <xsd:import namespace="http://schemas.microsoft.com/office/2006/documentManagement/types"/>
    <xsd:import namespace="http://schemas.microsoft.com/office/infopath/2007/PartnerControls"/>
    <xsd:element name="Clearance_ID" ma:index="11" nillable="true" ma:displayName="Clearance_ID" ma:decimals="0" ma:internalName="Clearance_ID">
      <xsd:simpleType>
        <xsd:restriction base="dms:Number"/>
      </xsd:simpleType>
    </xsd:element>
    <xsd:element name="ReviewingOfficeResponses_ID" ma:index="12" nillable="true" ma:displayName="ReviewingOfficeResponses_ID" ma:decimals="0" ma:internalName="ReviewingOfficeResponses_ID">
      <xsd:simpleType>
        <xsd:restriction base="dms:Number"/>
      </xsd:simpleType>
    </xsd:element>
    <xsd:element name="Attachments_ID" ma:index="13" nillable="true" ma:displayName="Attachments_ID" ma:decimals="0" ma:internalName="Attachments_ID">
      <xsd:simpleType>
        <xsd:restriction base="dms:Number"/>
      </xsd:simpleType>
    </xsd:element>
    <xsd:element name="Office" ma:index="14" nillable="true" ma:displayName="Office" ma:internalName="Office">
      <xsd:simpleType>
        <xsd:restriction base="dms:Text">
          <xsd:maxLength value="255"/>
        </xsd:restriction>
      </xsd:simpleType>
    </xsd:element>
    <xsd:element name="ID_BackUp" ma:index="15" nillable="true" ma:displayName="ID_BackUp" ma:decimals="0" ma:internalName="ID_BackUp">
      <xsd:simpleType>
        <xsd:restriction base="dms:Number"/>
      </xsd:simpleType>
    </xsd:element>
    <xsd:element name="ClearanceNumber" ma:index="16" nillable="true" ma:displayName="ClearanceNumber" ma:format="Dropdown" ma:internalName="ClearanceNumber">
      <xsd:simpleType>
        <xsd:restriction base="dms:Text">
          <xsd:maxLength value="255"/>
        </xsd:restriction>
      </xsd:simpleType>
    </xsd:element>
    <xsd:element name="StatusNumber" ma:index="17" nillable="true" ma:displayName="StatusNumber" ma:internalName="StatusNumber">
      <xsd:simpleType>
        <xsd:restriction base="dms:Number"/>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Semaphore" ma:index="21" nillable="true" ma:displayName="Semaphore" ma:format="Dropdown" ma:internalName="Semaphor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19E281-7EFA-4717-BE0A-A6E0847E2E1A}">
  <ds:schemaRefs>
    <ds:schemaRef ds:uri="http://schemas.microsoft.com/office/2006/metadata/properties"/>
    <ds:schemaRef ds:uri="http://schemas.microsoft.com/office/infopath/2007/PartnerControls"/>
    <ds:schemaRef ds:uri="http://schemas.microsoft.com/sharepoint/v3"/>
  </ds:schemaRefs>
</ds:datastoreItem>
</file>

<file path=customXml/itemProps10.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7C1A2893-7ACC-4D75-800D-C9660E37915F}">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4.xml><?xml version="1.0" encoding="utf-8"?>
<ds:datastoreItem xmlns:ds="http://schemas.openxmlformats.org/officeDocument/2006/customXml" ds:itemID="{6AEF2959-7988-4622-B38B-8C3235E03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DB08C1-6C68-4DA6-B662-68C502C20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0b69a269-bdfa-4917-ba31-afdcf1a6b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1C6FC5-56D3-4EBC-93E0-BEDB5073018A}">
  <ds:schemaRefs>
    <ds:schemaRef ds:uri="http://schemas.microsoft.com/sharepoint/v3/contenttype/forms"/>
  </ds:schemaRefs>
</ds:datastoreItem>
</file>

<file path=customXml/itemProps7.xml><?xml version="1.0" encoding="utf-8"?>
<ds:datastoreItem xmlns:ds="http://schemas.openxmlformats.org/officeDocument/2006/customXml" ds:itemID="{EBC0E2B9-81B5-4E69-A84B-1BEFD94F2334}">
  <ds:schemaRefs>
    <ds:schemaRef ds:uri="http://schemas.microsoft.com/sharepoint/events"/>
  </ds:schemaRefs>
</ds:datastoreItem>
</file>

<file path=customXml/itemProps8.xml><?xml version="1.0" encoding="utf-8"?>
<ds:datastoreItem xmlns:ds="http://schemas.openxmlformats.org/officeDocument/2006/customXml" ds:itemID="{2A6E13D4-5398-47FF-8365-F0A3EDD69AD8}">
  <ds:schemaRefs>
    <ds:schemaRef ds:uri="http://schemas.openxmlformats.org/officeDocument/2006/bibliography"/>
  </ds:schemaRefs>
</ds:datastoreItem>
</file>

<file path=customXml/itemProps9.xml><?xml version="1.0" encoding="utf-8"?>
<ds:datastoreItem xmlns:ds="http://schemas.openxmlformats.org/officeDocument/2006/customXml" ds:itemID="{9DBCB22B-B5D5-4825-BBF6-228CA52DDA91}">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2534</Words>
  <Characters>14274</Characters>
  <Application>Microsoft Office Word</Application>
  <DocSecurity>0</DocSecurity>
  <Lines>584</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Quinn A</dc:creator>
  <cp:lastModifiedBy>Murphy, John L</cp:lastModifiedBy>
  <cp:revision>7</cp:revision>
  <dcterms:created xsi:type="dcterms:W3CDTF">2026-01-29T16:37:00Z</dcterms:created>
  <dcterms:modified xsi:type="dcterms:W3CDTF">2026-01-29T16:56:00Z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8039dbca-a9f9-4e89-80f4-becdb03eb538</vt:lpwstr>
  </property>
  <property fmtid="{D5CDD505-2E9C-101B-9397-08002B2CF9AE}" pid="5" name="_ExtendedDescription">
    <vt:lpwstr>HOME Investment Partnership. HUD is seeking approval from the Office of Management and Budget (OMB) for the information collection described below. In accordance with the Paperwork Reduction Act, HUD is requesting comments from all interested parties on the proposed collection of information.  The purpose of this notice is to allow for 60 days of public comment.</vt:lpwstr>
  </property>
  <property fmtid="{D5CDD505-2E9C-101B-9397-08002B2CF9AE}" pid="6" name="_NewReviewCycle">
    <vt:lpwstr/>
  </property>
</Properties>
</file>