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9E7848" w:rsidP="11AB4B38" w14:paraId="46692DEB" w14:textId="18E8CE09">
      <w:pPr>
        <w:spacing w:after="0"/>
        <w:jc w:val="center"/>
        <w:rPr>
          <w:rFonts w:cstheme="minorHAnsi"/>
          <w:sz w:val="32"/>
          <w:szCs w:val="32"/>
        </w:rPr>
      </w:pPr>
      <w:bookmarkStart w:id="0" w:name="_Toc49148152"/>
      <w:r w:rsidRPr="009E7848">
        <w:rPr>
          <w:rFonts w:cstheme="minorHAnsi"/>
          <w:sz w:val="32"/>
          <w:szCs w:val="32"/>
        </w:rPr>
        <w:t>U.S. Environmental Protection Agency</w:t>
      </w:r>
    </w:p>
    <w:p w:rsidR="00DE4E0C" w:rsidRPr="009E7848" w:rsidP="11AB4B38" w14:paraId="1A3CA841" w14:textId="4B14E2EE">
      <w:pPr>
        <w:jc w:val="center"/>
        <w:rPr>
          <w:rFonts w:cstheme="minorHAnsi"/>
          <w:sz w:val="32"/>
          <w:szCs w:val="32"/>
        </w:rPr>
      </w:pPr>
      <w:r w:rsidRPr="009E7848">
        <w:rPr>
          <w:rFonts w:cstheme="minorHAnsi"/>
          <w:sz w:val="32"/>
          <w:szCs w:val="32"/>
        </w:rPr>
        <w:t>Information Collection Request</w:t>
      </w:r>
    </w:p>
    <w:p w:rsidR="00EA0D20" w:rsidRPr="009E7848" w:rsidP="00BB432F" w14:paraId="77D1C27C" w14:textId="77777777">
      <w:pPr>
        <w:rPr>
          <w:rFonts w:cstheme="minorHAnsi"/>
          <w:b/>
          <w:bCs/>
        </w:rPr>
      </w:pPr>
    </w:p>
    <w:p w:rsidR="00BB432F" w:rsidRPr="009E7848" w:rsidP="004518C2" w14:paraId="7B82FD92" w14:textId="592EBFDE">
      <w:pPr>
        <w:spacing w:after="0" w:line="240" w:lineRule="auto"/>
        <w:textAlignment w:val="baseline"/>
        <w:rPr>
          <w:rFonts w:eastAsia="Times New Roman"/>
        </w:rPr>
      </w:pPr>
      <w:r w:rsidRPr="009E7848">
        <w:rPr>
          <w:rFonts w:cstheme="minorHAnsi"/>
          <w:b/>
          <w:bCs/>
        </w:rPr>
        <w:t>Title:</w:t>
      </w:r>
      <w:r w:rsidRPr="009E7848" w:rsidR="001F34A5">
        <w:rPr>
          <w:rFonts w:cstheme="minorHAnsi"/>
        </w:rPr>
        <w:t xml:space="preserve"> </w:t>
      </w:r>
      <w:r w:rsidRPr="00BA179A" w:rsidR="00BA179A">
        <w:rPr>
          <w:rFonts w:cstheme="minorHAnsi"/>
        </w:rPr>
        <w:t xml:space="preserve">Cross-State Air Pollution Rule </w:t>
      </w:r>
      <w:r w:rsidR="00BA179A">
        <w:rPr>
          <w:rFonts w:cstheme="minorHAnsi"/>
        </w:rPr>
        <w:t>(</w:t>
      </w:r>
      <w:r w:rsidRPr="009E7848" w:rsidR="00BA179A">
        <w:rPr>
          <w:rFonts w:eastAsia="Times New Roman"/>
          <w:color w:val="444444"/>
          <w:shd w:val="clear" w:color="auto" w:fill="FFFFFF"/>
        </w:rPr>
        <w:t>CSAPR</w:t>
      </w:r>
      <w:r w:rsidR="00BA179A">
        <w:rPr>
          <w:rFonts w:eastAsia="Times New Roman"/>
          <w:color w:val="444444"/>
          <w:shd w:val="clear" w:color="auto" w:fill="FFFFFF"/>
        </w:rPr>
        <w:t xml:space="preserve">) </w:t>
      </w:r>
      <w:r w:rsidRPr="00BA179A" w:rsidR="00BA179A">
        <w:rPr>
          <w:rFonts w:cstheme="minorHAnsi"/>
        </w:rPr>
        <w:t>and Texas SO2 Trading Programs</w:t>
      </w:r>
      <w:r w:rsidRPr="009E7848" w:rsidR="00F410EA">
        <w:rPr>
          <w:rFonts w:eastAsia="Times New Roman"/>
          <w:color w:val="444444"/>
          <w:shd w:val="clear" w:color="auto" w:fill="FFFFFF"/>
        </w:rPr>
        <w:t xml:space="preserve"> (Renewal) </w:t>
      </w:r>
    </w:p>
    <w:p w:rsidR="004518C2" w:rsidRPr="009E7848" w:rsidP="004518C2" w14:paraId="77247E0A" w14:textId="77777777">
      <w:pPr>
        <w:spacing w:after="0" w:line="240" w:lineRule="auto"/>
        <w:textAlignment w:val="baseline"/>
        <w:rPr>
          <w:rFonts w:eastAsia="Times New Roman"/>
        </w:rPr>
      </w:pPr>
    </w:p>
    <w:p w:rsidR="00EE2403" w:rsidRPr="009E7848" w:rsidP="3E41EFAC" w14:paraId="71D5121E" w14:textId="2E892605">
      <w:pPr>
        <w:spacing w:line="240" w:lineRule="auto"/>
      </w:pPr>
      <w:r w:rsidRPr="009E7848">
        <w:rPr>
          <w:b/>
          <w:bCs/>
        </w:rPr>
        <w:t>OMB Control Number:</w:t>
      </w:r>
      <w:r w:rsidRPr="009E7848" w:rsidR="00BB432F">
        <w:t xml:space="preserve"> </w:t>
      </w:r>
      <w:r w:rsidRPr="009E7848" w:rsidR="00EC77C0">
        <w:t>2</w:t>
      </w:r>
      <w:r w:rsidRPr="009E7848" w:rsidR="38269011">
        <w:t>06</w:t>
      </w:r>
      <w:r w:rsidRPr="009E7848" w:rsidR="00EC77C0">
        <w:t>0-</w:t>
      </w:r>
      <w:r w:rsidRPr="009E7848" w:rsidR="00F410EA">
        <w:t>0667</w:t>
      </w:r>
    </w:p>
    <w:p w:rsidR="00EE2403" w:rsidRPr="009E7848" w:rsidP="00ED57A4" w14:paraId="4FB77BCA" w14:textId="2BF9A36C">
      <w:pPr>
        <w:spacing w:before="240" w:line="240" w:lineRule="auto"/>
        <w:rPr>
          <w:rFonts w:cstheme="minorHAnsi"/>
        </w:rPr>
      </w:pPr>
      <w:r w:rsidRPr="009E7848">
        <w:rPr>
          <w:rFonts w:cstheme="minorHAnsi"/>
          <w:b/>
          <w:bCs/>
        </w:rPr>
        <w:t>EPA ICR Number:</w:t>
      </w:r>
      <w:r w:rsidRPr="009E7848" w:rsidR="00B2663E">
        <w:rPr>
          <w:rFonts w:cstheme="minorHAnsi"/>
        </w:rPr>
        <w:t xml:space="preserve"> </w:t>
      </w:r>
      <w:r w:rsidRPr="009E7848" w:rsidR="00F410EA">
        <w:rPr>
          <w:rFonts w:cstheme="minorHAnsi"/>
        </w:rPr>
        <w:t>2391.0</w:t>
      </w:r>
      <w:r w:rsidRPr="009E7848" w:rsidR="00E24EA0">
        <w:rPr>
          <w:rFonts w:cstheme="minorHAnsi"/>
        </w:rPr>
        <w:t>7</w:t>
      </w:r>
    </w:p>
    <w:p w:rsidR="00BB432F" w:rsidRPr="009E7848" w:rsidP="00B2663E" w14:paraId="6A3E928D" w14:textId="3842F213">
      <w:pPr>
        <w:tabs>
          <w:tab w:val="left" w:pos="1892"/>
        </w:tabs>
        <w:spacing w:before="240"/>
        <w:rPr>
          <w:rFonts w:cstheme="minorHAnsi"/>
          <w:b/>
          <w:bCs/>
        </w:rPr>
      </w:pPr>
      <w:r w:rsidRPr="009E7848">
        <w:rPr>
          <w:rFonts w:cstheme="minorHAnsi"/>
          <w:b/>
          <w:bCs/>
        </w:rPr>
        <w:t>Abstract:</w:t>
      </w:r>
    </w:p>
    <w:p w:rsidR="0060265C" w:rsidRPr="009E7848" w:rsidP="0060265C" w14:paraId="776AAAA2" w14:textId="7E3A0EA7">
      <w:pPr>
        <w:autoSpaceDE w:val="0"/>
        <w:autoSpaceDN w:val="0"/>
        <w:adjustRightInd w:val="0"/>
        <w:rPr>
          <w:szCs w:val="24"/>
        </w:rPr>
      </w:pPr>
      <w:r w:rsidRPr="009E7848">
        <w:rPr>
          <w:szCs w:val="24"/>
        </w:rPr>
        <w:t>The United States Environmental Protection Agency (EPA) is renewing an information collection request (ICR) for the Cross-State Air Pollution Rule (CSAPR) and the Texas SO</w:t>
      </w:r>
      <w:r w:rsidRPr="009E7848">
        <w:rPr>
          <w:szCs w:val="24"/>
          <w:vertAlign w:val="subscript"/>
        </w:rPr>
        <w:t>2</w:t>
      </w:r>
      <w:r w:rsidRPr="009E7848">
        <w:rPr>
          <w:szCs w:val="24"/>
        </w:rPr>
        <w:t xml:space="preserve"> trading programs to allow for continued implementation of the programs. Th</w:t>
      </w:r>
      <w:r w:rsidRPr="009E7848" w:rsidR="00650367">
        <w:rPr>
          <w:szCs w:val="24"/>
        </w:rPr>
        <w:t xml:space="preserve">is </w:t>
      </w:r>
      <w:r w:rsidRPr="009E7848" w:rsidR="00492703">
        <w:rPr>
          <w:szCs w:val="24"/>
        </w:rPr>
        <w:t>ICR includes</w:t>
      </w:r>
      <w:r w:rsidRPr="009E7848">
        <w:rPr>
          <w:szCs w:val="24"/>
        </w:rPr>
        <w:t xml:space="preserve"> information collection requirements for </w:t>
      </w:r>
      <w:r w:rsidRPr="009E7848" w:rsidR="00650367">
        <w:rPr>
          <w:szCs w:val="24"/>
        </w:rPr>
        <w:t>the six</w:t>
      </w:r>
      <w:r w:rsidRPr="009E7848">
        <w:rPr>
          <w:szCs w:val="24"/>
        </w:rPr>
        <w:t xml:space="preserve"> CSAPR trading programs addressing sulfur dioxide (SO</w:t>
      </w:r>
      <w:r w:rsidRPr="009E7848">
        <w:rPr>
          <w:szCs w:val="24"/>
          <w:vertAlign w:val="subscript"/>
        </w:rPr>
        <w:t>2</w:t>
      </w:r>
      <w:r w:rsidRPr="009E7848">
        <w:rPr>
          <w:szCs w:val="24"/>
        </w:rPr>
        <w:t>) emissions, annual nitrogen oxides (NO</w:t>
      </w:r>
      <w:r w:rsidRPr="009E7848">
        <w:rPr>
          <w:szCs w:val="24"/>
          <w:vertAlign w:val="subscript"/>
        </w:rPr>
        <w:t>X</w:t>
      </w:r>
      <w:r w:rsidRPr="009E7848">
        <w:rPr>
          <w:szCs w:val="24"/>
        </w:rPr>
        <w:t>) emissions, or seasonal NO</w:t>
      </w:r>
      <w:r w:rsidRPr="009E7848">
        <w:rPr>
          <w:szCs w:val="24"/>
          <w:vertAlign w:val="subscript"/>
        </w:rPr>
        <w:t>X</w:t>
      </w:r>
      <w:r w:rsidRPr="009E7848">
        <w:rPr>
          <w:szCs w:val="24"/>
        </w:rPr>
        <w:t xml:space="preserve"> emissions in various sets of states, and the Texas SO</w:t>
      </w:r>
      <w:r w:rsidRPr="009E7848">
        <w:rPr>
          <w:szCs w:val="24"/>
          <w:vertAlign w:val="subscript"/>
        </w:rPr>
        <w:t>2</w:t>
      </w:r>
      <w:r w:rsidRPr="009E7848">
        <w:rPr>
          <w:szCs w:val="24"/>
        </w:rPr>
        <w:t xml:space="preserve"> trading program which is modeled after CSAPR. </w:t>
      </w:r>
    </w:p>
    <w:p w:rsidR="0060265C" w:rsidRPr="009E7848" w:rsidP="0060265C" w14:paraId="545A5E64" w14:textId="77777777">
      <w:pPr>
        <w:autoSpaceDE w:val="0"/>
        <w:autoSpaceDN w:val="0"/>
        <w:adjustRightInd w:val="0"/>
        <w:rPr>
          <w:szCs w:val="24"/>
        </w:rPr>
      </w:pPr>
      <w:r w:rsidRPr="009E7848">
        <w:rPr>
          <w:szCs w:val="24"/>
        </w:rPr>
        <w:t>The principal information collection requirements under the CSAPR and Texas trading programs relate to the monitoring and reporting of emissions and associated data in accordance with 40 CFR part 75.  Other information collection requirements under the programs concern the submittal of information necessary to allocate and transfer emission allowances and the submittal of certificates of representation and other typically one-time registration forms.</w:t>
      </w:r>
    </w:p>
    <w:p w:rsidR="0060265C" w:rsidRPr="009E7848" w:rsidP="0060265C" w14:paraId="2964F9C5" w14:textId="2F208396">
      <w:pPr>
        <w:autoSpaceDE w:val="0"/>
        <w:autoSpaceDN w:val="0"/>
        <w:adjustRightInd w:val="0"/>
        <w:rPr>
          <w:szCs w:val="24"/>
        </w:rPr>
      </w:pPr>
      <w:r w:rsidRPr="009E7848">
        <w:rPr>
          <w:szCs w:val="24"/>
        </w:rPr>
        <w:t>Affected sources under the CSAPR and Texas trading programs are generally stationary, fossil fuel-fired boilers and combustion turbines serving generators larger than 25 megawatts (MW) producing electricity for sale.  Most of these affected sources are also subject to the Acid Rain Program (ARP).  The information collection requirements under the CSAPR and Texas trading programs and the ARP substantially overlap and are fully integrated.  The burden and costs of overlapping requirements are accounted for in the ARP ICR (OMB Control Number 2060-0258). This ICR accounts for information collection burden and costs under the CSAPR and Texas trading programs that are incremental to the burden and costs already accounted for in the ARP ICR.</w:t>
      </w:r>
    </w:p>
    <w:p w:rsidR="0060265C" w:rsidRPr="009E7848" w:rsidP="0060265C" w14:paraId="6D0BC3FD" w14:textId="58B1F250">
      <w:pPr>
        <w:autoSpaceDE w:val="0"/>
        <w:autoSpaceDN w:val="0"/>
        <w:adjustRightInd w:val="0"/>
        <w:rPr>
          <w:szCs w:val="24"/>
        </w:rPr>
      </w:pPr>
      <w:r w:rsidRPr="009E7848">
        <w:rPr>
          <w:szCs w:val="24"/>
        </w:rPr>
        <w:t>While most sources participating in the CSAPR and Texas trading programs are directly regulated under federal implementation plans (FIPs), sources in some states participate in the CSAPR trading programs under state implementation plan (SIP) revisions adopted to replace previous FIPs.  This ICR accounts for the burden and costs for sources participating under both FIPs and SIPs.</w:t>
      </w:r>
    </w:p>
    <w:p w:rsidR="00B2663E" w:rsidRPr="009E7848" w:rsidP="00B2663E" w14:paraId="533FC3FA" w14:textId="77777777">
      <w:pPr>
        <w:pStyle w:val="ListParagraph"/>
        <w:autoSpaceDE w:val="0"/>
        <w:autoSpaceDN w:val="0"/>
        <w:adjustRightInd w:val="0"/>
        <w:spacing w:after="0" w:line="240" w:lineRule="auto"/>
        <w:rPr>
          <w:rFonts w:cstheme="minorHAnsi"/>
        </w:rPr>
      </w:pPr>
    </w:p>
    <w:p w:rsidR="00F352A7" w:rsidRPr="009E7848" w:rsidP="00915E40" w14:paraId="08435AAE" w14:textId="77777777">
      <w:pPr>
        <w:autoSpaceDE w:val="0"/>
        <w:autoSpaceDN w:val="0"/>
        <w:adjustRightInd w:val="0"/>
        <w:spacing w:after="0" w:line="240" w:lineRule="auto"/>
        <w:rPr>
          <w:rFonts w:cstheme="minorHAnsi"/>
        </w:rPr>
      </w:pPr>
    </w:p>
    <w:p w:rsidR="00DE4E0C" w:rsidRPr="009E7848" w:rsidP="4BDBF0A0" w14:paraId="12DA0580" w14:textId="3A9EBC77">
      <w:pPr>
        <w:rPr>
          <w:rFonts w:cstheme="minorHAnsi"/>
          <w:b/>
          <w:bCs/>
          <w:u w:val="single"/>
        </w:rPr>
      </w:pPr>
      <w:r w:rsidRPr="009E7848">
        <w:rPr>
          <w:rFonts w:cstheme="minorHAnsi"/>
          <w:b/>
          <w:bCs/>
          <w:u w:val="single"/>
        </w:rPr>
        <w:t>Supporting Statement A</w:t>
      </w:r>
      <w:bookmarkEnd w:id="0"/>
    </w:p>
    <w:p w:rsidR="00D47CB3" w:rsidRPr="009E7848" w:rsidP="00BF5317"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9E7848">
        <w:rPr>
          <w:rFonts w:cstheme="minorHAnsi"/>
          <w:b/>
          <w:bCs/>
        </w:rPr>
        <w:t>NEED AND AUTHORITY FOR THE COLLECTION</w:t>
      </w:r>
      <w:bookmarkEnd w:id="1"/>
    </w:p>
    <w:p w:rsidR="00A27E5C" w:rsidRPr="009E7848" w:rsidP="00854AAE" w14:paraId="0D31D853" w14:textId="354D5D40">
      <w:pPr>
        <w:pBdr>
          <w:bottom w:val="single" w:sz="4" w:space="1" w:color="auto"/>
        </w:pBdr>
        <w:spacing w:before="60"/>
        <w:rPr>
          <w:rFonts w:cstheme="minorHAnsi"/>
          <w:i/>
          <w:iCs/>
        </w:rPr>
      </w:pPr>
      <w:r w:rsidRPr="009E7848">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6F3F41" w:rsidRPr="009E7848" w:rsidP="006F3F41" w14:paraId="072F5AD1" w14:textId="616160E4">
      <w:pPr>
        <w:keepNext/>
        <w:autoSpaceDE w:val="0"/>
        <w:autoSpaceDN w:val="0"/>
        <w:adjustRightInd w:val="0"/>
        <w:rPr>
          <w:szCs w:val="24"/>
        </w:rPr>
      </w:pPr>
      <w:bookmarkStart w:id="2" w:name="_Toc156593369"/>
    </w:p>
    <w:p w:rsidR="006F3F41" w:rsidRPr="009E7848" w:rsidP="006F3F41" w14:paraId="404CF50D" w14:textId="77777777">
      <w:pPr>
        <w:keepNext/>
        <w:autoSpaceDE w:val="0"/>
        <w:autoSpaceDN w:val="0"/>
        <w:adjustRightInd w:val="0"/>
        <w:rPr>
          <w:szCs w:val="24"/>
        </w:rPr>
      </w:pPr>
      <w:r w:rsidRPr="009E7848">
        <w:rPr>
          <w:szCs w:val="24"/>
        </w:rPr>
        <w:t>Clean Air Act (CAA) section 110(a)(2)(D)(i)(I), 42 U.S.C. § 7410(a)(2)(D)(i)(I) – often referred to as the “good neighbor” provision – requires all states, within three years of EPA’s promulgation of a new or revised national ambient air quality standard (NAAQS), to revise their SIPs to prohibit certain emissions of air pollutants because of the adverse impact those emissions would have on air quality in other states.  The first four CSAPR trading programs at 40 CFR part 97, subparts AAAAA through DDDDD, were promulgated in 2011 to fully or partially address multiple states’ good neighbor obligations with respect to the 1997 ozone NAAQS and the 1997 and 2006 fine particulate matter (PM</w:t>
      </w:r>
      <w:r w:rsidRPr="009E7848">
        <w:rPr>
          <w:szCs w:val="24"/>
          <w:vertAlign w:val="subscript"/>
        </w:rPr>
        <w:t>2.5</w:t>
      </w:r>
      <w:r w:rsidRPr="009E7848">
        <w:rPr>
          <w:szCs w:val="24"/>
        </w:rPr>
        <w:t xml:space="preserve">) NAAQS.  The fifth CSAPR trading program at 40 CFR part 97, subpart EEEEE, was promulgated in 2016 to fully or partially address multiple states’ good neighbor obligations with respect to the 2008 ozone NAAQS.  The sixth CSAPR trading program at 40 CFR part 97, subpart GGGGG, was promulgated in 2021 to fully address multiple states’ remaining good neighbor obligations with respect to the 2008 ozone NAAQS.   </w:t>
      </w:r>
    </w:p>
    <w:p w:rsidR="006F3F41" w:rsidRPr="009E7848" w:rsidP="006F3F41" w14:paraId="387CD17B" w14:textId="77777777">
      <w:pPr>
        <w:autoSpaceDE w:val="0"/>
        <w:autoSpaceDN w:val="0"/>
        <w:adjustRightInd w:val="0"/>
        <w:rPr>
          <w:szCs w:val="24"/>
        </w:rPr>
      </w:pPr>
      <w:r w:rsidRPr="009E7848">
        <w:rPr>
          <w:szCs w:val="24"/>
        </w:rPr>
        <w:t>CAA section 169A, 42 U.S.C. § 7491, contains provisions addressing the impairment of visibility in certain areas, including requirements for certain sources to install and operate best available retrofit technology (BART).  EPA’s regulations at 40 CFR 51.308(e) allow alternatives to BART under some circumstances.  The Texas SO</w:t>
      </w:r>
      <w:r w:rsidRPr="009E7848">
        <w:rPr>
          <w:szCs w:val="24"/>
          <w:vertAlign w:val="subscript"/>
        </w:rPr>
        <w:t>2</w:t>
      </w:r>
      <w:r w:rsidRPr="009E7848">
        <w:rPr>
          <w:szCs w:val="24"/>
        </w:rPr>
        <w:t xml:space="preserve"> Trading Program at 40 CFR part 97, subpart FFFFF, was promulgated in 2017 as a BART alternative for Texas sources.  </w:t>
      </w:r>
    </w:p>
    <w:p w:rsidR="006F3F41" w:rsidRPr="009E7848" w:rsidP="006F3F41" w14:paraId="05BDF26C" w14:textId="77777777">
      <w:pPr>
        <w:autoSpaceDE w:val="0"/>
        <w:autoSpaceDN w:val="0"/>
        <w:adjustRightInd w:val="0"/>
        <w:rPr>
          <w:szCs w:val="24"/>
        </w:rPr>
      </w:pPr>
      <w:r w:rsidRPr="009E7848">
        <w:rPr>
          <w:szCs w:val="24"/>
        </w:rPr>
        <w:t>EPA’s promulgation of the CSAPR and Texas trading programs is supported by two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are necessary to carry out his or her statutory functions.</w:t>
      </w:r>
    </w:p>
    <w:p w:rsidR="006F3F41" w:rsidRPr="009E7848" w:rsidP="006F3F41" w14:paraId="6057B220" w14:textId="77777777">
      <w:pPr>
        <w:autoSpaceDE w:val="0"/>
        <w:autoSpaceDN w:val="0"/>
        <w:adjustRightInd w:val="0"/>
        <w:rPr>
          <w:szCs w:val="24"/>
        </w:rPr>
      </w:pPr>
    </w:p>
    <w:p w:rsidR="00D47CB3" w:rsidRPr="009E7848" w:rsidP="00BF5317" w14:paraId="24F38A28" w14:textId="345BCCC4">
      <w:pPr>
        <w:pStyle w:val="ListParagraph"/>
        <w:numPr>
          <w:ilvl w:val="0"/>
          <w:numId w:val="2"/>
        </w:numPr>
        <w:spacing w:before="240" w:after="0"/>
        <w:rPr>
          <w:rFonts w:cstheme="minorHAnsi"/>
          <w:b/>
          <w:bCs/>
        </w:rPr>
      </w:pPr>
      <w:r w:rsidRPr="009E7848">
        <w:rPr>
          <w:rFonts w:cstheme="minorHAnsi"/>
          <w:b/>
          <w:bCs/>
        </w:rPr>
        <w:t>PRACTICAL UTILITY/USERS OF THE DATA</w:t>
      </w:r>
      <w:bookmarkEnd w:id="2"/>
    </w:p>
    <w:p w:rsidR="004252C1" w:rsidRPr="009E7848" w:rsidP="000B7B9B" w14:paraId="3E2FC7F8" w14:textId="1DCB8D2C">
      <w:pPr>
        <w:pBdr>
          <w:bottom w:val="single" w:sz="4" w:space="1" w:color="auto"/>
        </w:pBdr>
        <w:spacing w:before="60"/>
        <w:rPr>
          <w:rFonts w:cstheme="minorHAnsi"/>
          <w:i/>
          <w:iCs/>
          <w:color w:val="000000"/>
          <w:shd w:val="clear" w:color="auto" w:fill="FFFFFF"/>
        </w:rPr>
      </w:pPr>
      <w:r w:rsidRPr="009E7848">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96285" w:rsidRPr="009E7848" w:rsidP="00596285" w14:paraId="0257736F" w14:textId="17E95B32">
      <w:pPr>
        <w:autoSpaceDE w:val="0"/>
        <w:autoSpaceDN w:val="0"/>
        <w:adjustRightInd w:val="0"/>
        <w:rPr>
          <w:szCs w:val="24"/>
        </w:rPr>
      </w:pPr>
      <w:bookmarkStart w:id="3" w:name="_Toc156593370"/>
      <w:r w:rsidRPr="009E7848">
        <w:rPr>
          <w:szCs w:val="24"/>
        </w:rPr>
        <w:t>Accurate data from emissions monitoring under 40 CFR part 75 is indispensable to successful implementation of the CSAPR and Texas trading programs for two reasons:</w:t>
      </w:r>
    </w:p>
    <w:p w:rsidR="00596285" w:rsidRPr="009E7848" w:rsidP="00BF5317" w14:paraId="03E7ABCE" w14:textId="6775FC28">
      <w:pPr>
        <w:pStyle w:val="ListParagraph"/>
        <w:numPr>
          <w:ilvl w:val="0"/>
          <w:numId w:val="4"/>
        </w:numPr>
        <w:autoSpaceDE w:val="0"/>
        <w:autoSpaceDN w:val="0"/>
        <w:adjustRightInd w:val="0"/>
        <w:rPr>
          <w:szCs w:val="24"/>
        </w:rPr>
      </w:pPr>
      <w:r w:rsidRPr="009E7848">
        <w:rPr>
          <w:szCs w:val="24"/>
        </w:rPr>
        <w:t>Accurate emissions data is integral in EPA and state assessment of the impact of the trading programs in reducing NO</w:t>
      </w:r>
      <w:r w:rsidRPr="009E7848">
        <w:rPr>
          <w:szCs w:val="24"/>
          <w:vertAlign w:val="subscript"/>
        </w:rPr>
        <w:t>X</w:t>
      </w:r>
      <w:r w:rsidRPr="009E7848">
        <w:rPr>
          <w:szCs w:val="24"/>
        </w:rPr>
        <w:t xml:space="preserve"> and SO</w:t>
      </w:r>
      <w:r w:rsidRPr="009E7848">
        <w:rPr>
          <w:szCs w:val="24"/>
          <w:vertAlign w:val="subscript"/>
        </w:rPr>
        <w:t>2</w:t>
      </w:r>
      <w:r w:rsidRPr="009E7848">
        <w:rPr>
          <w:szCs w:val="24"/>
        </w:rPr>
        <w:t xml:space="preserve"> emissions, and therefore in assisting states in meeting the ozone and fine particulate matter NAAQS and addressing visibility-related requirements.   By reducing levels of NO</w:t>
      </w:r>
      <w:r w:rsidRPr="009E7848">
        <w:rPr>
          <w:szCs w:val="24"/>
          <w:vertAlign w:val="subscript"/>
        </w:rPr>
        <w:t>X</w:t>
      </w:r>
      <w:r w:rsidRPr="009E7848">
        <w:rPr>
          <w:szCs w:val="24"/>
        </w:rPr>
        <w:t xml:space="preserve"> and SO</w:t>
      </w:r>
      <w:r w:rsidRPr="009E7848">
        <w:rPr>
          <w:szCs w:val="24"/>
          <w:vertAlign w:val="subscript"/>
        </w:rPr>
        <w:t>2</w:t>
      </w:r>
      <w:r w:rsidRPr="009E7848">
        <w:rPr>
          <w:szCs w:val="24"/>
        </w:rPr>
        <w:t xml:space="preserve"> emissions, the trading programs reduce the adverse effects of the transport of ozone and fine particles and their precursors from upwind states.</w:t>
      </w:r>
    </w:p>
    <w:p w:rsidR="00596285" w:rsidRPr="009E7848" w:rsidP="00BF5317" w14:paraId="20B75BFF" w14:textId="1BFC70C9">
      <w:pPr>
        <w:pStyle w:val="ListParagraph"/>
        <w:numPr>
          <w:ilvl w:val="0"/>
          <w:numId w:val="4"/>
        </w:numPr>
        <w:autoSpaceDE w:val="0"/>
        <w:autoSpaceDN w:val="0"/>
        <w:adjustRightInd w:val="0"/>
        <w:rPr>
          <w:szCs w:val="24"/>
        </w:rPr>
      </w:pPr>
      <w:r w:rsidRPr="009E7848">
        <w:rPr>
          <w:szCs w:val="24"/>
        </w:rPr>
        <w:t>EPA enforces the trading programs (in part) by comparing emissions data measured, recorded, and reported under 40 CFR part 75 from affected sources with the number of allowances held in the respective compliance accounts of such affected sources.</w:t>
      </w:r>
    </w:p>
    <w:p w:rsidR="00596285" w:rsidRPr="009E7848" w:rsidP="00596285" w14:paraId="355100E8" w14:textId="1D5E9124">
      <w:pPr>
        <w:autoSpaceDE w:val="0"/>
        <w:autoSpaceDN w:val="0"/>
        <w:adjustRightInd w:val="0"/>
        <w:rPr>
          <w:szCs w:val="24"/>
        </w:rPr>
      </w:pPr>
      <w:r w:rsidRPr="009E7848">
        <w:rPr>
          <w:szCs w:val="24"/>
        </w:rPr>
        <w:t>Information collected on allowance transfers is used by EPA to track allowances for the purpose of determining compliance with the NO</w:t>
      </w:r>
      <w:r w:rsidRPr="009E7848">
        <w:rPr>
          <w:szCs w:val="24"/>
          <w:vertAlign w:val="subscript"/>
        </w:rPr>
        <w:t>X</w:t>
      </w:r>
      <w:r w:rsidRPr="009E7848">
        <w:rPr>
          <w:szCs w:val="24"/>
        </w:rPr>
        <w:t xml:space="preserve"> and SO</w:t>
      </w:r>
      <w:r w:rsidRPr="009E7848">
        <w:rPr>
          <w:szCs w:val="24"/>
          <w:vertAlign w:val="subscript"/>
        </w:rPr>
        <w:t>2</w:t>
      </w:r>
      <w:r w:rsidRPr="009E7848">
        <w:rPr>
          <w:szCs w:val="24"/>
        </w:rPr>
        <w:t xml:space="preserve"> trading programs.  Information on allowance transfers is also used by participants in the allowance market and the public to evaluate the activities of affected </w:t>
      </w:r>
      <w:r w:rsidRPr="009E7848" w:rsidR="00AA45AC">
        <w:rPr>
          <w:szCs w:val="24"/>
        </w:rPr>
        <w:t>sources and</w:t>
      </w:r>
      <w:r w:rsidRPr="009E7848">
        <w:rPr>
          <w:szCs w:val="24"/>
        </w:rPr>
        <w:t xml:space="preserve"> is used by EPA for program evaluation. </w:t>
      </w:r>
    </w:p>
    <w:p w:rsidR="00596285" w:rsidRPr="009E7848" w:rsidP="00596285" w14:paraId="29485655" w14:textId="1CD44AB5">
      <w:pPr>
        <w:autoSpaceDE w:val="0"/>
        <w:autoSpaceDN w:val="0"/>
        <w:adjustRightInd w:val="0"/>
        <w:rPr>
          <w:szCs w:val="24"/>
        </w:rPr>
      </w:pPr>
      <w:r w:rsidRPr="009E7848">
        <w:rPr>
          <w:szCs w:val="24"/>
        </w:rPr>
        <w:t xml:space="preserve">Certificates of representation are used to identify a single individual (and optionally a single alternate individual) authorized to represent and act on behalf of all owners and operating personnel of each affected unit.  Without a designated representative, disagreements among joint owners of a unit or lack of clear authority could hamper the operation of an effective allowance trading program by impeding timely submission of quality-assured emissions data or timely decisions with respect to allowance transfers needed for program compliance.  Other one-time registration forms allow qualifying sources or non-source parties to efficiently manage their own participation in the programs, including allowance trading activities. </w:t>
      </w:r>
    </w:p>
    <w:p w:rsidR="00596285" w:rsidRPr="009E7848" w:rsidP="00596285" w14:paraId="5724B89E" w14:textId="77777777">
      <w:pPr>
        <w:autoSpaceDE w:val="0"/>
        <w:autoSpaceDN w:val="0"/>
        <w:adjustRightInd w:val="0"/>
        <w:rPr>
          <w:szCs w:val="24"/>
        </w:rPr>
      </w:pPr>
      <w:r w:rsidRPr="009E7848">
        <w:rPr>
          <w:szCs w:val="24"/>
        </w:rPr>
        <w:t>Together, the emissions data, allowance data, and various registration forms help to provide the accountability necessary to allow the NO</w:t>
      </w:r>
      <w:r w:rsidRPr="009E7848">
        <w:rPr>
          <w:szCs w:val="24"/>
          <w:vertAlign w:val="subscript"/>
        </w:rPr>
        <w:t>X</w:t>
      </w:r>
      <w:r w:rsidRPr="009E7848">
        <w:rPr>
          <w:szCs w:val="24"/>
        </w:rPr>
        <w:t xml:space="preserve"> and SO</w:t>
      </w:r>
      <w:r w:rsidRPr="009E7848">
        <w:rPr>
          <w:szCs w:val="24"/>
          <w:vertAlign w:val="subscript"/>
        </w:rPr>
        <w:t>2</w:t>
      </w:r>
      <w:r w:rsidRPr="009E7848">
        <w:rPr>
          <w:szCs w:val="24"/>
        </w:rPr>
        <w:t xml:space="preserve"> trading programs to function, thereby avoiding the need to pursue costlier command-and-control approaches for achieving environmental objectives.</w:t>
      </w:r>
    </w:p>
    <w:p w:rsidR="00596285" w:rsidRPr="009E7848" w:rsidP="00596285" w14:paraId="7800E9A4" w14:textId="77777777">
      <w:pPr>
        <w:autoSpaceDE w:val="0"/>
        <w:autoSpaceDN w:val="0"/>
        <w:adjustRightInd w:val="0"/>
        <w:rPr>
          <w:szCs w:val="24"/>
        </w:rPr>
      </w:pPr>
    </w:p>
    <w:p w:rsidR="00074917" w:rsidRPr="009E7848" w:rsidP="00BF5317" w14:paraId="1522D565" w14:textId="3E4679A6">
      <w:pPr>
        <w:pStyle w:val="ListParagraph"/>
        <w:numPr>
          <w:ilvl w:val="0"/>
          <w:numId w:val="2"/>
        </w:numPr>
        <w:spacing w:before="240" w:after="0"/>
        <w:rPr>
          <w:rFonts w:cstheme="minorHAnsi"/>
          <w:b/>
          <w:bCs/>
        </w:rPr>
      </w:pPr>
      <w:r w:rsidRPr="009E7848">
        <w:rPr>
          <w:rFonts w:cstheme="minorHAnsi"/>
          <w:b/>
          <w:bCs/>
        </w:rPr>
        <w:t>USE OF TECHNOLOGY</w:t>
      </w:r>
      <w:bookmarkEnd w:id="3"/>
    </w:p>
    <w:p w:rsidR="00D47CB3" w:rsidRPr="009E7848" w:rsidP="000B7B9B" w14:paraId="50A4BA09" w14:textId="2FD9C2D1">
      <w:pPr>
        <w:pBdr>
          <w:bottom w:val="single" w:sz="4" w:space="1" w:color="auto"/>
        </w:pBdr>
        <w:spacing w:before="60"/>
        <w:rPr>
          <w:rFonts w:cstheme="minorHAnsi"/>
          <w:i/>
          <w:iCs/>
        </w:rPr>
      </w:pPr>
      <w:r w:rsidRPr="009E7848">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B7B9B" w:rsidRPr="009E7848" w:rsidP="000B7B9B" w14:paraId="4616569E" w14:textId="61967013">
      <w:p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To ensure consistency across sources and to expedite data entry, EPA requires that standard formats used for reporting under 40 CFR part 75 be used to submit the information collected for the CSAPR and Texas trading programs.</w:t>
      </w:r>
    </w:p>
    <w:p w:rsidR="000B7B9B" w:rsidRPr="009E7848" w:rsidP="000B7B9B" w14:paraId="6205D7D1" w14:textId="407D4CEB">
      <w:p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 xml:space="preserve">Several computer systems and associated databases have been developed to (1) track allowance activity, (2) record quarterly emissions monitoring data, and (3) calculate the number of allowances to be deducted each year.  These systems and databases are designed to provide easy access to information for use by the Agency, states, the regulated community, and the general public.  EPA provides access to the data on emissions and allowance activity in both detailed and summary formats on the Clean Air </w:t>
      </w:r>
      <w:r w:rsidRPr="009E7848" w:rsidR="00577EF2">
        <w:rPr>
          <w:rFonts w:cstheme="minorHAnsi"/>
          <w:color w:val="000000"/>
        </w:rPr>
        <w:t>and Power</w:t>
      </w:r>
      <w:r w:rsidRPr="009E7848">
        <w:rPr>
          <w:rFonts w:cstheme="minorHAnsi"/>
          <w:color w:val="000000"/>
        </w:rPr>
        <w:t xml:space="preserve"> Division website. </w:t>
      </w:r>
    </w:p>
    <w:p w:rsidR="002956B0" w:rsidRPr="009E7848" w:rsidP="00854AAE" w14:paraId="32F8B2CA" w14:textId="77777777">
      <w:pPr>
        <w:pBdr>
          <w:top w:val="single" w:sz="6" w:space="0" w:color="FFFFFF"/>
          <w:left w:val="single" w:sz="6" w:space="0" w:color="FFFFFF"/>
          <w:bottom w:val="single" w:sz="6" w:space="0" w:color="FFFFFF"/>
          <w:right w:val="single" w:sz="6" w:space="0" w:color="FFFFFF"/>
        </w:pBdr>
        <w:rPr>
          <w:rFonts w:cstheme="minorHAnsi"/>
        </w:rPr>
      </w:pPr>
    </w:p>
    <w:p w:rsidR="005263EC" w:rsidRPr="009E7848" w:rsidP="00BF5317" w14:paraId="2CB3B868" w14:textId="58CBB947">
      <w:pPr>
        <w:pStyle w:val="ListParagraph"/>
        <w:numPr>
          <w:ilvl w:val="0"/>
          <w:numId w:val="2"/>
        </w:numPr>
        <w:pBdr>
          <w:bottom w:val="single" w:sz="4" w:space="1" w:color="auto"/>
        </w:pBdr>
        <w:spacing w:before="240" w:after="0"/>
        <w:rPr>
          <w:rFonts w:cstheme="minorHAnsi"/>
          <w:b/>
          <w:bCs/>
        </w:rPr>
      </w:pPr>
      <w:bookmarkStart w:id="4" w:name="_Toc156593371"/>
      <w:r w:rsidRPr="009E7848">
        <w:rPr>
          <w:rFonts w:cstheme="minorHAnsi"/>
          <w:b/>
          <w:bCs/>
        </w:rPr>
        <w:t>EFFORTS TO IDENTIFY DUPLICATION</w:t>
      </w:r>
      <w:bookmarkEnd w:id="4"/>
    </w:p>
    <w:p w:rsidR="00D47CB3" w:rsidRPr="009E7848" w:rsidP="00854AAE" w14:paraId="15DFF081" w14:textId="57054C58">
      <w:pPr>
        <w:pBdr>
          <w:bottom w:val="single" w:sz="4" w:space="1" w:color="auto"/>
        </w:pBdr>
        <w:spacing w:before="60"/>
        <w:rPr>
          <w:rFonts w:cstheme="minorHAnsi"/>
          <w:i/>
          <w:iCs/>
        </w:rPr>
      </w:pPr>
      <w:r w:rsidRPr="009E7848">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B269EE" w:rsidRPr="009E7848" w:rsidP="00BF5317" w14:paraId="4E56A7A7" w14:textId="67B5D629">
      <w:pPr>
        <w:numPr>
          <w:ilvl w:val="12"/>
          <w:numId w:val="0"/>
        </w:numPr>
        <w:rPr>
          <w:rFonts w:cstheme="minorHAnsi"/>
        </w:rPr>
      </w:pPr>
      <w:bookmarkStart w:id="5" w:name="_Toc156593372"/>
      <w:r w:rsidRPr="009E7848">
        <w:rPr>
          <w:rFonts w:cstheme="minorHAnsi"/>
        </w:rPr>
        <w:t xml:space="preserve">Reporting formats for affected sources for the CSAPR and Texas trading programs are integrated with existing reporting formats under 40 CFR part 75.  These reporting formats are currently used by ARP-affected units to meet reporting requirements related to SO2 and NOX under Title IV of the Act.  For a unit subject to more than one of these programs, a single quarterly submission is used to satisfy the quarterly reporting requirements for all programs. </w:t>
      </w:r>
    </w:p>
    <w:p w:rsidR="002956B0" w:rsidRPr="009E7848" w:rsidP="00BF5317" w14:paraId="3D72E2D4" w14:textId="6D6AA222">
      <w:pPr>
        <w:numPr>
          <w:ilvl w:val="12"/>
          <w:numId w:val="0"/>
        </w:numPr>
        <w:rPr>
          <w:rFonts w:cstheme="minorHAnsi"/>
        </w:rPr>
      </w:pPr>
      <w:r w:rsidRPr="009E7848">
        <w:rPr>
          <w:rFonts w:cstheme="minorHAnsi"/>
        </w:rPr>
        <w:t xml:space="preserve">Information collection procedures under the CSAPR and Texas trading programs for submitting and updating certificates of representation, identifying retired units, and establishing non-source general accounts in the allowance tracking system are similarly integrated with the analogous procedures under </w:t>
      </w:r>
      <w:r w:rsidRPr="009E7848">
        <w:rPr>
          <w:rFonts w:cstheme="minorHAnsi"/>
        </w:rPr>
        <w:t>the ARP.  In each case, a representative can submit a single form to address the analogous requirements under all applicable programs.</w:t>
      </w:r>
    </w:p>
    <w:p w:rsidR="00B269EE" w:rsidRPr="009E7848" w:rsidP="00BF5317" w14:paraId="1CCDA435" w14:textId="77777777">
      <w:pPr>
        <w:numPr>
          <w:ilvl w:val="12"/>
          <w:numId w:val="0"/>
        </w:numPr>
        <w:rPr>
          <w:rFonts w:cstheme="minorHAnsi"/>
        </w:rPr>
      </w:pPr>
    </w:p>
    <w:p w:rsidR="00251151" w:rsidRPr="009E7848" w:rsidP="00BF5317" w14:paraId="79D36B3F" w14:textId="440DD77F">
      <w:pPr>
        <w:pStyle w:val="ListParagraph"/>
        <w:numPr>
          <w:ilvl w:val="0"/>
          <w:numId w:val="2"/>
        </w:numPr>
        <w:pBdr>
          <w:bottom w:val="single" w:sz="4" w:space="1" w:color="auto"/>
        </w:pBdr>
        <w:spacing w:before="240" w:after="0"/>
        <w:rPr>
          <w:rFonts w:cstheme="minorHAnsi"/>
          <w:b/>
          <w:bCs/>
        </w:rPr>
      </w:pPr>
      <w:r w:rsidRPr="009E7848">
        <w:rPr>
          <w:rFonts w:cstheme="minorHAnsi"/>
          <w:b/>
          <w:bCs/>
        </w:rPr>
        <w:t xml:space="preserve">MINIMIZING BURDEN ON SMALL </w:t>
      </w:r>
      <w:r w:rsidRPr="009E7848" w:rsidR="0F43C128">
        <w:rPr>
          <w:rFonts w:cstheme="minorHAnsi"/>
          <w:b/>
          <w:bCs/>
        </w:rPr>
        <w:t xml:space="preserve">BUSINESSES AND SMALL </w:t>
      </w:r>
      <w:r w:rsidRPr="009E7848">
        <w:rPr>
          <w:rFonts w:cstheme="minorHAnsi"/>
          <w:b/>
          <w:bCs/>
        </w:rPr>
        <w:t>ENTITIES</w:t>
      </w:r>
      <w:bookmarkEnd w:id="5"/>
    </w:p>
    <w:p w:rsidR="00D47CB3" w:rsidRPr="009E7848" w:rsidP="00854AAE" w14:paraId="3D612A53" w14:textId="12EBD254">
      <w:pPr>
        <w:pBdr>
          <w:bottom w:val="single" w:sz="4" w:space="1" w:color="auto"/>
        </w:pBdr>
        <w:spacing w:before="60"/>
        <w:rPr>
          <w:rFonts w:cstheme="minorHAnsi"/>
          <w:i/>
          <w:iCs/>
        </w:rPr>
      </w:pPr>
      <w:r w:rsidRPr="009E7848">
        <w:rPr>
          <w:rFonts w:cstheme="minorHAnsi"/>
          <w:i/>
          <w:iCs/>
          <w:color w:val="000000"/>
          <w:shd w:val="clear" w:color="auto" w:fill="FFFFFF"/>
        </w:rPr>
        <w:t>If the collection of information impacts small businesses or other small entities, describe any methods used to minimize burden.</w:t>
      </w:r>
    </w:p>
    <w:p w:rsidR="00D4754F" w:rsidRPr="009E7848" w:rsidP="00D4754F" w14:paraId="559C76C8" w14:textId="7B2FAF49">
      <w:pPr>
        <w:rPr>
          <w:rFonts w:cstheme="minorHAnsi"/>
        </w:rPr>
      </w:pPr>
      <w:r w:rsidRPr="009E7848">
        <w:rPr>
          <w:rFonts w:cstheme="minorHAnsi"/>
        </w:rPr>
        <w:t>CSAPR applies to fossil fuel-fired units (stationary boilers and combustion turbines) that serve an electrical generator with nameplate capacity greater than 25 MWe.  Some cogeneration units and solid waste incinerators are exempt from CSAPR if they meet certain criteria.  The Texas SO2 Trading Program applies to a subset of CSAPR-affected units.</w:t>
      </w:r>
    </w:p>
    <w:p w:rsidR="00D4754F" w:rsidRPr="009E7848" w:rsidP="00D4754F" w14:paraId="7C206317" w14:textId="77777777">
      <w:pPr>
        <w:rPr>
          <w:rFonts w:cstheme="minorHAnsi"/>
        </w:rPr>
      </w:pPr>
      <w:r w:rsidRPr="009E7848">
        <w:rPr>
          <w:rFonts w:cstheme="minorHAnsi"/>
        </w:rPr>
        <w:t>The low mass emissions provisions under 40 CFR 75.19 provide for optional reduced monitoring, quality assurance, and reporting requirements for certain units that combust natural gas and/or fuel oil.  Such units must emit no more than 100 tons of NOX annually, 50 tons of NOX during the May-September ozone season, and 25 tons of SO2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002956B0" w:rsidRPr="009E7848" w:rsidP="00D4754F" w14:paraId="4EC82439" w14:textId="3F495A77">
      <w:pPr>
        <w:rPr>
          <w:rFonts w:cstheme="minorHAnsi"/>
        </w:rPr>
      </w:pPr>
      <w:r w:rsidRPr="009E7848">
        <w:rPr>
          <w:rFonts w:cstheme="minorHAnsi"/>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00B269EE" w:rsidRPr="009E7848" w:rsidP="00854AAE" w14:paraId="511C467B" w14:textId="77777777">
      <w:pPr>
        <w:rPr>
          <w:rFonts w:cstheme="minorHAnsi"/>
        </w:rPr>
      </w:pPr>
    </w:p>
    <w:p w:rsidR="004252C1" w:rsidRPr="009E7848" w:rsidP="00BF5317" w14:paraId="1FF5A778" w14:textId="02F91DFF">
      <w:pPr>
        <w:pStyle w:val="ListParagraph"/>
        <w:numPr>
          <w:ilvl w:val="0"/>
          <w:numId w:val="2"/>
        </w:numPr>
        <w:pBdr>
          <w:bottom w:val="single" w:sz="4" w:space="1" w:color="auto"/>
        </w:pBdr>
        <w:spacing w:before="240" w:after="0"/>
        <w:rPr>
          <w:rFonts w:cstheme="minorHAnsi"/>
          <w:b/>
          <w:bCs/>
        </w:rPr>
      </w:pPr>
      <w:bookmarkStart w:id="6" w:name="_Toc156593373"/>
      <w:r w:rsidRPr="009E7848">
        <w:rPr>
          <w:rFonts w:cstheme="minorHAnsi"/>
          <w:b/>
          <w:bCs/>
        </w:rPr>
        <w:t>CONSEQUENCES</w:t>
      </w:r>
      <w:r w:rsidRPr="009E7848" w:rsidR="00061A77">
        <w:rPr>
          <w:rFonts w:cstheme="minorHAnsi"/>
          <w:b/>
          <w:bCs/>
        </w:rPr>
        <w:t xml:space="preserve"> OF LESS FREQUENT COLLECTION</w:t>
      </w:r>
      <w:bookmarkEnd w:id="6"/>
    </w:p>
    <w:p w:rsidR="00D47CB3" w:rsidRPr="009E7848" w:rsidP="00854AAE" w14:paraId="00E27992" w14:textId="51FE3814">
      <w:pPr>
        <w:pBdr>
          <w:bottom w:val="single" w:sz="4" w:space="1" w:color="auto"/>
        </w:pBdr>
        <w:tabs>
          <w:tab w:val="left" w:pos="921"/>
        </w:tabs>
        <w:spacing w:before="60"/>
        <w:rPr>
          <w:rFonts w:cstheme="minorHAnsi"/>
          <w:i/>
          <w:iCs/>
        </w:rPr>
      </w:pPr>
      <w:r w:rsidRPr="009E7848">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D631BD" w:rsidRPr="009E7848" w:rsidP="00D631BD" w14:paraId="35B7CE96" w14:textId="26ABDA5B">
      <w:pPr>
        <w:keepNext/>
        <w:numPr>
          <w:ilvl w:val="12"/>
          <w:numId w:val="0"/>
        </w:numPr>
        <w:rPr>
          <w:rFonts w:cstheme="minorHAnsi"/>
        </w:rPr>
      </w:pPr>
      <w:r w:rsidRPr="009E7848">
        <w:rPr>
          <w:rFonts w:cstheme="minorHAnsi"/>
        </w:rPr>
        <w:t xml:space="preserve">Submittal of allowance trading and emissions information on at least an annual basis (and/or on an ozone-season basis, as applicable) provides the data necessary to determine whether state budgets have been exceeded.  If this information collection were not carried out at least annually for sources subject to the CSAPR and Texas trading programs, EPA would not be able to verify that emission reductions necessary to meet each state's NOX and SO2 emission budgets were being achieved.  Meeting the annual or seasonal budgets is a central compliance requirement under each of the trading programs. </w:t>
      </w:r>
    </w:p>
    <w:p w:rsidR="00FE059C" w:rsidRPr="009E7848" w:rsidP="00D631BD" w14:paraId="15BFBBA6" w14:textId="677D2083">
      <w:pPr>
        <w:keepNext/>
        <w:numPr>
          <w:ilvl w:val="12"/>
          <w:numId w:val="0"/>
        </w:numPr>
        <w:rPr>
          <w:rFonts w:cstheme="minorHAnsi"/>
        </w:rPr>
      </w:pPr>
      <w:r w:rsidRPr="009E7848">
        <w:rPr>
          <w:rFonts w:cstheme="minorHAnsi"/>
        </w:rPr>
        <w:t xml:space="preserve">Quarterly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such as semi-annually or annually, would increase the amount of preparation and review time at the end of the </w:t>
      </w:r>
      <w:r w:rsidRPr="009E7848">
        <w:rPr>
          <w:rFonts w:cstheme="minorHAnsi"/>
        </w:rPr>
        <w:t>reporting period both for regulated sources and for EPA, and would slow down the process of compliance determination.</w:t>
      </w:r>
    </w:p>
    <w:p w:rsidR="00D4754F" w:rsidRPr="009E7848" w:rsidP="0051647F" w14:paraId="1AC63922" w14:textId="77777777">
      <w:pPr>
        <w:keepNext/>
        <w:numPr>
          <w:ilvl w:val="12"/>
          <w:numId w:val="0"/>
        </w:numPr>
        <w:rPr>
          <w:rFonts w:cstheme="minorHAnsi"/>
        </w:rPr>
      </w:pPr>
    </w:p>
    <w:p w:rsidR="00A233E0" w:rsidRPr="009E7848" w:rsidP="00BF5317" w14:paraId="27596CC0" w14:textId="77777777">
      <w:pPr>
        <w:pStyle w:val="ListParagraph"/>
        <w:numPr>
          <w:ilvl w:val="0"/>
          <w:numId w:val="2"/>
        </w:numPr>
        <w:pBdr>
          <w:bottom w:val="single" w:sz="4" w:space="1" w:color="auto"/>
        </w:pBdr>
        <w:spacing w:before="240" w:after="0"/>
        <w:rPr>
          <w:rFonts w:cstheme="minorHAnsi"/>
          <w:b/>
          <w:bCs/>
        </w:rPr>
      </w:pPr>
      <w:bookmarkStart w:id="7" w:name="_Toc156593374"/>
      <w:r w:rsidRPr="009E7848">
        <w:rPr>
          <w:rFonts w:cstheme="minorHAnsi"/>
          <w:b/>
          <w:bCs/>
        </w:rPr>
        <w:t>GENERAL GUIDELINES</w:t>
      </w:r>
      <w:bookmarkEnd w:id="7"/>
    </w:p>
    <w:p w:rsidR="0051647F" w:rsidRPr="009E7848" w:rsidP="0051647F" w14:paraId="2439B1D9" w14:textId="17FA6109">
      <w:pPr>
        <w:pBdr>
          <w:bottom w:val="single" w:sz="4" w:space="1" w:color="auto"/>
        </w:pBdr>
        <w:spacing w:before="60"/>
        <w:rPr>
          <w:rFonts w:cstheme="minorHAnsi"/>
        </w:rPr>
      </w:pPr>
      <w:r w:rsidRPr="009E7848">
        <w:rPr>
          <w:rFonts w:cstheme="minorHAnsi"/>
          <w:i/>
          <w:iCs/>
        </w:rPr>
        <w:t>Explain any special circumstances that require the collection to be conducted in a manner inconsistent with OMB guidelines.</w:t>
      </w:r>
    </w:p>
    <w:p w:rsidR="00007F2D" w:rsidRPr="009E7848" w:rsidP="00007F2D" w14:paraId="1DB8A166" w14:textId="28CC0204">
      <w:pPr>
        <w:autoSpaceDE w:val="0"/>
        <w:autoSpaceDN w:val="0"/>
        <w:adjustRightInd w:val="0"/>
        <w:outlineLvl w:val="0"/>
        <w:rPr>
          <w:rFonts w:cstheme="minorHAnsi"/>
        </w:rPr>
      </w:pPr>
      <w:r w:rsidRPr="009E7848">
        <w:rPr>
          <w:rFonts w:cstheme="minorHAnsi"/>
        </w:rPr>
        <w:t>This collection requires respondents to retain records for 5-year periods.  Otherwise, it</w:t>
      </w:r>
      <w:r w:rsidRPr="009E7848">
        <w:rPr>
          <w:rFonts w:cstheme="minorHAnsi"/>
        </w:rPr>
        <w:t xml:space="preserve"> does not create special circumstances requiring justification under 5 CFR 1320.5.</w:t>
      </w:r>
    </w:p>
    <w:p w:rsidR="006036CD" w:rsidRPr="009E7848" w:rsidP="00BF5317" w14:paraId="02EE9B8D" w14:textId="77777777">
      <w:pPr>
        <w:pStyle w:val="ListParagraph"/>
        <w:numPr>
          <w:ilvl w:val="0"/>
          <w:numId w:val="2"/>
        </w:numPr>
        <w:pBdr>
          <w:bottom w:val="single" w:sz="4" w:space="1" w:color="auto"/>
        </w:pBdr>
        <w:spacing w:before="240" w:after="0"/>
        <w:rPr>
          <w:rFonts w:cstheme="minorHAnsi"/>
          <w:b/>
          <w:bCs/>
        </w:rPr>
      </w:pPr>
      <w:bookmarkStart w:id="8" w:name="_Toc156593375"/>
      <w:r w:rsidRPr="009E7848">
        <w:rPr>
          <w:rFonts w:cstheme="minorHAnsi"/>
          <w:b/>
          <w:bCs/>
        </w:rPr>
        <w:t>PUBLIC COMMENT AND CONSULTATIONS</w:t>
      </w:r>
      <w:bookmarkStart w:id="9" w:name="_Toc156593376"/>
      <w:bookmarkEnd w:id="8"/>
    </w:p>
    <w:p w:rsidR="00DD2682" w:rsidRPr="009E7848" w:rsidP="00854AAE" w14:paraId="4922639E" w14:textId="016E742A">
      <w:pPr>
        <w:spacing w:before="120" w:after="0"/>
        <w:rPr>
          <w:rFonts w:cstheme="minorHAnsi"/>
          <w:b/>
          <w:bCs/>
        </w:rPr>
      </w:pPr>
      <w:r w:rsidRPr="009E7848">
        <w:rPr>
          <w:rFonts w:cstheme="minorHAnsi"/>
          <w:b/>
          <w:bCs/>
        </w:rPr>
        <w:t xml:space="preserve">8a. </w:t>
      </w:r>
      <w:r w:rsidRPr="009E7848" w:rsidR="00A82647">
        <w:rPr>
          <w:rFonts w:cstheme="minorHAnsi"/>
          <w:b/>
          <w:bCs/>
        </w:rPr>
        <w:t>Public Comment</w:t>
      </w:r>
      <w:bookmarkStart w:id="10" w:name="_Toc156593377"/>
      <w:bookmarkEnd w:id="9"/>
    </w:p>
    <w:p w:rsidR="00A233E0" w:rsidRPr="009E7848" w:rsidP="00854AAE" w14:paraId="4D2D25D5" w14:textId="77777777">
      <w:pPr>
        <w:spacing w:line="240" w:lineRule="auto"/>
        <w:rPr>
          <w:rFonts w:cstheme="minorHAnsi"/>
          <w:i/>
          <w:iCs/>
        </w:rPr>
      </w:pPr>
      <w:r w:rsidRPr="009E7848">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D6E51" w:rsidRPr="009E7848" w:rsidP="00AD6E51" w14:paraId="10DDAB04" w14:textId="6BAC12BF">
      <w:pPr>
        <w:spacing w:line="240" w:lineRule="auto"/>
      </w:pPr>
      <w:r w:rsidRPr="009E7848">
        <w:t xml:space="preserve">EPA provided public notice of the proposed ICR in the Federal Register on </w:t>
      </w:r>
      <w:r w:rsidRPr="009E7848" w:rsidR="34870877">
        <w:t>9/5/2024</w:t>
      </w:r>
      <w:r w:rsidRPr="009E7848">
        <w:t xml:space="preserve"> </w:t>
      </w:r>
      <w:r w:rsidRPr="009E7848" w:rsidR="007D523B">
        <w:t>(FRL-</w:t>
      </w:r>
      <w:r w:rsidRPr="009E7848" w:rsidR="007D523B">
        <w:rPr>
          <w:rFonts w:ascii="Calibri" w:hAnsi="Calibri" w:cs="Calibri"/>
          <w:shd w:val="clear" w:color="auto" w:fill="FFFFFF"/>
        </w:rPr>
        <w:t>12193-01-OAR).</w:t>
      </w:r>
      <w:r w:rsidRPr="009E7848" w:rsidR="00906E32">
        <w:rPr>
          <w:rFonts w:ascii="Calibri" w:hAnsi="Calibri" w:cs="Calibri"/>
          <w:shd w:val="clear" w:color="auto" w:fill="FFFFFF"/>
        </w:rPr>
        <w:t xml:space="preserve"> </w:t>
      </w:r>
      <w:r w:rsidRPr="009E7848" w:rsidR="0006137A">
        <w:rPr>
          <w:rFonts w:ascii="Calibri" w:hAnsi="Calibri" w:cs="Calibri"/>
          <w:shd w:val="clear" w:color="auto" w:fill="FFFFFF"/>
        </w:rPr>
        <w:t>The EPA did not receive any</w:t>
      </w:r>
      <w:r w:rsidRPr="009E7848" w:rsidR="001624D1">
        <w:rPr>
          <w:rFonts w:ascii="Calibri" w:hAnsi="Calibri" w:cs="Calibri"/>
          <w:shd w:val="clear" w:color="auto" w:fill="FFFFFF"/>
        </w:rPr>
        <w:t xml:space="preserve"> public</w:t>
      </w:r>
      <w:r w:rsidRPr="009E7848" w:rsidR="0006137A">
        <w:rPr>
          <w:rFonts w:ascii="Calibri" w:hAnsi="Calibri" w:cs="Calibri"/>
          <w:shd w:val="clear" w:color="auto" w:fill="FFFFFF"/>
        </w:rPr>
        <w:t xml:space="preserve"> comments </w:t>
      </w:r>
      <w:r w:rsidRPr="009E7848" w:rsidR="001624D1">
        <w:rPr>
          <w:rFonts w:ascii="Calibri" w:hAnsi="Calibri" w:cs="Calibri"/>
          <w:shd w:val="clear" w:color="auto" w:fill="FFFFFF"/>
        </w:rPr>
        <w:t xml:space="preserve">for this ICR. </w:t>
      </w:r>
    </w:p>
    <w:p w:rsidR="00AD6E51" w:rsidRPr="009E7848" w:rsidP="00AD6E51" w14:paraId="03597898" w14:textId="77777777">
      <w:pPr>
        <w:spacing w:line="240" w:lineRule="auto"/>
        <w:rPr>
          <w:rFonts w:cstheme="minorHAnsi"/>
        </w:rPr>
      </w:pPr>
    </w:p>
    <w:p w:rsidR="00DB7775" w:rsidRPr="009E7848" w:rsidP="00854AAE" w14:paraId="71A9B3CC" w14:textId="77087A05">
      <w:pPr>
        <w:spacing w:before="120" w:after="0"/>
        <w:rPr>
          <w:rFonts w:cstheme="minorHAnsi"/>
          <w:b/>
          <w:bCs/>
        </w:rPr>
      </w:pPr>
      <w:r w:rsidRPr="009E7848">
        <w:rPr>
          <w:rFonts w:cstheme="minorHAnsi"/>
          <w:b/>
          <w:bCs/>
        </w:rPr>
        <w:t xml:space="preserve">8b. </w:t>
      </w:r>
      <w:r w:rsidRPr="009E7848" w:rsidR="0061689C">
        <w:rPr>
          <w:rFonts w:cstheme="minorHAnsi"/>
          <w:b/>
          <w:bCs/>
        </w:rPr>
        <w:t>C</w:t>
      </w:r>
      <w:bookmarkEnd w:id="10"/>
      <w:r w:rsidRPr="009E7848" w:rsidR="005D140B">
        <w:rPr>
          <w:rFonts w:cstheme="minorHAnsi"/>
          <w:b/>
          <w:bCs/>
        </w:rPr>
        <w:t>onsultations</w:t>
      </w:r>
    </w:p>
    <w:p w:rsidR="00A233E0" w:rsidRPr="009E7848" w:rsidP="00854AAE" w14:paraId="04F99483" w14:textId="57CEFEF7">
      <w:pPr>
        <w:rPr>
          <w:rFonts w:cstheme="minorHAnsi"/>
          <w:i/>
          <w:iCs/>
        </w:rPr>
      </w:pPr>
      <w:r w:rsidRPr="009E7848">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w:t>
      </w:r>
      <w:r w:rsidRPr="009E7848" w:rsidR="00E76798">
        <w:rPr>
          <w:rFonts w:cstheme="minorHAnsi"/>
          <w:i/>
          <w:iCs/>
        </w:rPr>
        <w:t>x</w:t>
      </w:r>
      <w:r w:rsidRPr="009E7848">
        <w:rPr>
          <w:rFonts w:cstheme="minorHAnsi"/>
          <w:i/>
          <w:iCs/>
        </w:rPr>
        <w:t>plained.</w:t>
      </w:r>
    </w:p>
    <w:p w:rsidR="00E76798" w:rsidRPr="009E7848" w:rsidP="00E76798" w14:paraId="2BD8A05C" w14:textId="1107469B">
      <w:pPr>
        <w:rPr>
          <w:rFonts w:cstheme="minorHAnsi"/>
        </w:rPr>
      </w:pPr>
      <w:r w:rsidRPr="009E7848">
        <w:rPr>
          <w:rFonts w:cstheme="minorHAnsi"/>
        </w:rPr>
        <w:t>The information collection requirements for the CSAPR and Texas trading programs are largely based on the analogous requirements initially developed for the ARP and promulgated in 40 CFR parts 72, 73, and 75, as modified for use in subsequent trading programs under the NOX SIP Call and the Clean Air Interstate Rule (CAIR).  The requirements have evolved based on the trading programs’ needs, EPA’s experience administering those programs and a similar trading program established by the Ozone Transport Commission (OTC), and consultations with interested parties.</w:t>
      </w:r>
    </w:p>
    <w:p w:rsidR="00E76798" w:rsidRPr="009E7848" w:rsidP="00E76798" w14:paraId="223FFD9E" w14:textId="590E67F3">
      <w:pPr>
        <w:rPr>
          <w:rFonts w:cstheme="minorHAnsi"/>
        </w:rPr>
      </w:pPr>
      <w:r w:rsidRPr="009E7848">
        <w:rPr>
          <w:rFonts w:cstheme="minorHAnsi"/>
        </w:rPr>
        <w:t xml:space="preserve">Initial development of the ARP’s reporting requirements involved a multi-stakeholder advisory committee that included representatives of states, industry, and environmental groups.  EPA conducted similar processes when modifying the reporting requirements to implement the trading program under the NOX SIP Call, and held workshops with states that participated in the NOX SIP Call or OTC programs to discuss lessons learned in those programs when formulating the emission trading requirements of CAIR.  In 2009, EPA held a series of discussions with stakeholders to identify potential options for addressing states’ good neighbor obligations following the remand of CAIR.  EPA incorporated those comments from those discussions into CSAPR.  The requirements for each successive trading program </w:t>
      </w:r>
      <w:r w:rsidRPr="009E7848">
        <w:rPr>
          <w:rFonts w:cstheme="minorHAnsi"/>
        </w:rPr>
        <w:t xml:space="preserve">have been established through notice-and-comment rulemaking.  Additionally, EPA has had frequent interaction with affected sources and states in the course of implementing the ARP, NOX SIP Call, CAIR, and CSAPR trading programs.  </w:t>
      </w:r>
    </w:p>
    <w:p w:rsidR="00111663" w:rsidRPr="009E7848" w:rsidP="00E76798" w14:paraId="5E198479" w14:textId="20909FB6">
      <w:pPr>
        <w:rPr>
          <w:rFonts w:cstheme="minorHAnsi"/>
        </w:rPr>
      </w:pPr>
      <w:r w:rsidRPr="009E7848">
        <w:rPr>
          <w:rFonts w:cstheme="minorHAnsi"/>
        </w:rPr>
        <w:t xml:space="preserve">Finally, </w:t>
      </w:r>
      <w:r w:rsidRPr="009E7848" w:rsidR="00577EF2">
        <w:rPr>
          <w:rFonts w:cstheme="minorHAnsi"/>
        </w:rPr>
        <w:t xml:space="preserve">in coordination with the renewal of the Acid Rain ICR, </w:t>
      </w:r>
      <w:r w:rsidRPr="009E7848" w:rsidR="001624D1">
        <w:rPr>
          <w:rStyle w:val="normaltextrun"/>
          <w:rFonts w:ascii="Calibri" w:hAnsi="Calibri" w:cs="Calibri"/>
          <w:color w:val="000000"/>
          <w:shd w:val="clear" w:color="auto" w:fill="FFFFFF"/>
        </w:rPr>
        <w:t xml:space="preserve">EPA reached out </w:t>
      </w:r>
      <w:r w:rsidRPr="009E7848" w:rsidR="00F01606">
        <w:rPr>
          <w:rStyle w:val="normaltextrun"/>
          <w:rFonts w:ascii="Calibri" w:hAnsi="Calibri" w:cs="Calibri"/>
          <w:color w:val="000000"/>
          <w:shd w:val="clear" w:color="auto" w:fill="FFFFFF"/>
        </w:rPr>
        <w:t xml:space="preserve">in July 2024 </w:t>
      </w:r>
      <w:r w:rsidRPr="009E7848" w:rsidR="001624D1">
        <w:rPr>
          <w:rStyle w:val="normaltextrun"/>
          <w:rFonts w:ascii="Calibri" w:hAnsi="Calibri" w:cs="Calibri"/>
          <w:color w:val="000000"/>
          <w:shd w:val="clear" w:color="auto" w:fill="FFFFFF"/>
        </w:rPr>
        <w:t>to a representative sample of affected sources who are subject to the Acid Rain, CSAPR, and/or Texas SO2 requirements. The sources were asked for their voluntary input regarding estimated labor hours and costs associated with various tasks related to emissions monitoring and data submissions under these programs. Based on the limited responses received, the EPA re-evaluated the burden hours for specific tasks and capital and O&amp;M costs incurred under the program. </w:t>
      </w:r>
    </w:p>
    <w:p w:rsidR="00E76798" w:rsidRPr="009E7848" w:rsidP="00E76798" w14:paraId="376275CA" w14:textId="77777777">
      <w:pPr>
        <w:rPr>
          <w:rFonts w:cstheme="minorHAnsi"/>
        </w:rPr>
      </w:pPr>
    </w:p>
    <w:p w:rsidR="00A233E0" w:rsidRPr="009E7848" w:rsidP="00BF5317" w14:paraId="191560B2" w14:textId="77777777">
      <w:pPr>
        <w:pStyle w:val="ListParagraph"/>
        <w:numPr>
          <w:ilvl w:val="0"/>
          <w:numId w:val="2"/>
        </w:numPr>
        <w:pBdr>
          <w:bottom w:val="single" w:sz="4" w:space="1" w:color="auto"/>
        </w:pBdr>
        <w:spacing w:before="240" w:after="0"/>
        <w:rPr>
          <w:rFonts w:cstheme="minorHAnsi"/>
          <w:b/>
          <w:bCs/>
        </w:rPr>
      </w:pPr>
      <w:bookmarkStart w:id="11" w:name="_Toc156593378"/>
      <w:r w:rsidRPr="009E7848">
        <w:rPr>
          <w:rFonts w:cstheme="minorHAnsi"/>
          <w:b/>
          <w:bCs/>
        </w:rPr>
        <w:t>PAYMENTS OR GIFTS TO RESPONDENTS</w:t>
      </w:r>
      <w:bookmarkEnd w:id="11"/>
    </w:p>
    <w:p w:rsidR="00D47CB3" w:rsidRPr="009E7848" w:rsidP="00854AAE" w14:paraId="5B1B6C7F" w14:textId="1A951D95">
      <w:pPr>
        <w:pBdr>
          <w:bottom w:val="single" w:sz="4" w:space="1" w:color="auto"/>
        </w:pBdr>
        <w:spacing w:before="60"/>
        <w:rPr>
          <w:rFonts w:cstheme="minorHAnsi"/>
        </w:rPr>
      </w:pPr>
      <w:r w:rsidRPr="009E7848">
        <w:rPr>
          <w:rFonts w:cstheme="minorHAnsi"/>
          <w:i/>
          <w:iCs/>
        </w:rPr>
        <w:t>Explain any decisions to provide payments or gifts to respondents, other than remuneration of contractors or grantees.</w:t>
      </w:r>
    </w:p>
    <w:p w:rsidR="00ED57A4" w:rsidRPr="009E7848" w:rsidP="00854AAE" w14:paraId="0D75D3D3" w14:textId="5FC65F0D">
      <w:pPr>
        <w:rPr>
          <w:rStyle w:val="normaltextrun"/>
          <w:rFonts w:cstheme="minorHAnsi"/>
          <w:color w:val="000000"/>
          <w:bdr w:val="none" w:sz="0" w:space="0" w:color="auto" w:frame="1"/>
        </w:rPr>
      </w:pPr>
      <w:r w:rsidRPr="009E7848">
        <w:rPr>
          <w:rStyle w:val="normaltextrun"/>
          <w:rFonts w:cstheme="minorHAnsi"/>
          <w:color w:val="000000"/>
          <w:bdr w:val="none" w:sz="0" w:space="0" w:color="auto" w:frame="1"/>
        </w:rPr>
        <w:t>Respon</w:t>
      </w:r>
      <w:r w:rsidRPr="009E7848" w:rsidR="003C4C0C">
        <w:rPr>
          <w:rStyle w:val="normaltextrun"/>
          <w:rFonts w:cstheme="minorHAnsi"/>
          <w:color w:val="000000"/>
          <w:bdr w:val="none" w:sz="0" w:space="0" w:color="auto" w:frame="1"/>
        </w:rPr>
        <w:t xml:space="preserve">dents will not receive payments or gifts. </w:t>
      </w:r>
    </w:p>
    <w:p w:rsidR="009E7848" w:rsidRPr="009E7848" w:rsidP="00854AAE" w14:paraId="0E47AF5E" w14:textId="77777777">
      <w:pPr>
        <w:rPr>
          <w:rStyle w:val="normaltextrun"/>
          <w:rFonts w:cstheme="minorHAnsi"/>
          <w:color w:val="000000"/>
          <w:bdr w:val="none" w:sz="0" w:space="0" w:color="auto" w:frame="1"/>
        </w:rPr>
      </w:pPr>
    </w:p>
    <w:p w:rsidR="4C04BBF2" w:rsidRPr="009E7848" w:rsidP="00BF5317" w14:paraId="333FE36D" w14:textId="45DEA41F">
      <w:pPr>
        <w:pStyle w:val="ListParagraph"/>
        <w:numPr>
          <w:ilvl w:val="0"/>
          <w:numId w:val="2"/>
        </w:numPr>
        <w:pBdr>
          <w:bottom w:val="single" w:sz="4" w:space="1" w:color="auto"/>
        </w:pBdr>
        <w:spacing w:before="240" w:after="0"/>
        <w:rPr>
          <w:rFonts w:cstheme="minorHAnsi"/>
          <w:b/>
          <w:bCs/>
        </w:rPr>
      </w:pPr>
      <w:r w:rsidRPr="009E7848">
        <w:rPr>
          <w:rFonts w:cstheme="minorHAnsi"/>
          <w:b/>
          <w:bCs/>
        </w:rPr>
        <w:t>ASSURANCE OF CONFIDENTIALITY</w:t>
      </w:r>
    </w:p>
    <w:p w:rsidR="00E86880" w:rsidRPr="009E7848" w:rsidP="00E86880" w14:paraId="654CE296" w14:textId="0C258519">
      <w:pPr>
        <w:pBdr>
          <w:bottom w:val="single" w:sz="4" w:space="1" w:color="auto"/>
        </w:pBdr>
        <w:spacing w:before="60"/>
        <w:rPr>
          <w:rFonts w:cstheme="minorHAnsi"/>
        </w:rPr>
      </w:pPr>
      <w:r w:rsidRPr="009E7848">
        <w:rPr>
          <w:rFonts w:cstheme="minorHAnsi"/>
          <w:i/>
          <w:iCs/>
        </w:rPr>
        <w:t xml:space="preserve">Describe any assurance of confidentiality provided to respondents and the basis for the assurance in statute, regulation, or Agency policy. If the collection requires a </w:t>
      </w:r>
      <w:r w:rsidRPr="009E7848" w:rsidR="00FD4CCA">
        <w:rPr>
          <w:rFonts w:cstheme="minorHAnsi"/>
          <w:i/>
          <w:iCs/>
        </w:rPr>
        <w:t>system of records notice (SORN)</w:t>
      </w:r>
      <w:r w:rsidRPr="009E7848">
        <w:rPr>
          <w:rFonts w:cstheme="minorHAnsi"/>
          <w:i/>
          <w:iCs/>
        </w:rPr>
        <w:t xml:space="preserve"> or privacy impact assessment (PIA), those should be cited and described here.</w:t>
      </w:r>
    </w:p>
    <w:p w:rsidR="009F1E00" w:rsidRPr="009E7848" w:rsidP="00854AAE" w14:paraId="3676EBC5" w14:textId="66E0A22E">
      <w:p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Emissions or allowance-related data that are submitted to EPA under this rule generally will be considered in the public domain and will not be treated as confidential.  CAA section 114(c), 42 U.S.C. § 7414(c), specifically requires that estimates or measurements of emissions must be treated as non-confidential.  Under Agency procedures, data items relating to the computation of emissions may be identified as sensitive by a state and are then treated as "state-sensitive" by EPA.  The potentially state-sensitive items include process rate, boiler design capacity, emission estimation codes, percent space heat, operating rate, and maximum operation rate/hour.  Where federal and state requirements are inconsistent, the appropriate EPA Regional Office should be consulted.</w:t>
      </w:r>
    </w:p>
    <w:p w:rsidR="00862392" w:rsidRPr="009E7848" w:rsidP="00854AAE" w14:paraId="27CBCB3E"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A233E0" w:rsidRPr="009E7848" w:rsidP="00BF5317" w14:paraId="36FBAEFB" w14:textId="77777777">
      <w:pPr>
        <w:pStyle w:val="ListParagraph"/>
        <w:numPr>
          <w:ilvl w:val="0"/>
          <w:numId w:val="2"/>
        </w:numPr>
        <w:pBdr>
          <w:bottom w:val="single" w:sz="4" w:space="1" w:color="auto"/>
        </w:pBdr>
        <w:spacing w:before="240" w:after="0"/>
        <w:rPr>
          <w:rFonts w:cstheme="minorHAnsi"/>
          <w:b/>
          <w:bCs/>
        </w:rPr>
      </w:pPr>
      <w:bookmarkStart w:id="12" w:name="_Toc156593380"/>
      <w:r w:rsidRPr="009E7848">
        <w:rPr>
          <w:rFonts w:cstheme="minorHAnsi"/>
          <w:b/>
          <w:bCs/>
        </w:rPr>
        <w:t>JUSTIFICATION FOR SENSITIVE QUESTIONS</w:t>
      </w:r>
      <w:bookmarkEnd w:id="12"/>
    </w:p>
    <w:p w:rsidR="00A233E0" w:rsidRPr="009E7848" w:rsidP="00854AAE" w14:paraId="6E3B78D8" w14:textId="5C334C1C">
      <w:pPr>
        <w:pBdr>
          <w:bottom w:val="single" w:sz="4" w:space="1" w:color="auto"/>
        </w:pBdr>
        <w:spacing w:before="60"/>
        <w:rPr>
          <w:rFonts w:cstheme="minorHAnsi"/>
        </w:rPr>
      </w:pPr>
      <w:r w:rsidRPr="009E7848">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9E7848" w:rsidP="00854AAE" w14:paraId="77467D05" w14:textId="725E1C02">
      <w:p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This information collection does not ask any questions concerning sexual behavior or attitudes, religious beliefs, or other matters usually considered private.</w:t>
      </w:r>
    </w:p>
    <w:p w:rsidR="00862392" w:rsidRPr="009E7848" w:rsidP="00854AAE" w14:paraId="3E8D0BB4"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1172FE" w:rsidRPr="009E7848" w:rsidP="00BF5317" w14:paraId="637A8E82" w14:textId="77777777">
      <w:pPr>
        <w:pStyle w:val="ListParagraph"/>
        <w:numPr>
          <w:ilvl w:val="0"/>
          <w:numId w:val="2"/>
        </w:numPr>
        <w:spacing w:before="240" w:after="0"/>
        <w:rPr>
          <w:rFonts w:cstheme="minorHAnsi"/>
          <w:b/>
          <w:bCs/>
        </w:rPr>
      </w:pPr>
      <w:bookmarkStart w:id="13" w:name="_Toc156593381"/>
      <w:r w:rsidRPr="009E7848">
        <w:rPr>
          <w:rFonts w:cstheme="minorHAnsi"/>
          <w:b/>
          <w:bCs/>
        </w:rPr>
        <w:t>RESPONDENT BURDEN HOURS</w:t>
      </w:r>
      <w:r w:rsidRPr="009E7848" w:rsidR="00DB799B">
        <w:rPr>
          <w:rFonts w:cstheme="minorHAnsi"/>
          <w:b/>
          <w:bCs/>
        </w:rPr>
        <w:t xml:space="preserve"> &amp; LABOR COSTS</w:t>
      </w:r>
      <w:bookmarkStart w:id="14" w:name="_Toc156593382"/>
      <w:bookmarkEnd w:id="13"/>
    </w:p>
    <w:p w:rsidR="00A233E0" w:rsidRPr="009E7848" w:rsidP="00163C69" w14:paraId="71F2FC12" w14:textId="77777777">
      <w:pPr>
        <w:pStyle w:val="ListParagraph"/>
        <w:ind w:left="0"/>
        <w:rPr>
          <w:rFonts w:cstheme="minorHAnsi"/>
          <w:i/>
          <w:iCs/>
        </w:rPr>
      </w:pPr>
      <w:r w:rsidRPr="009E7848">
        <w:rPr>
          <w:rFonts w:cstheme="minorHAnsi"/>
          <w:i/>
          <w:iCs/>
        </w:rPr>
        <w:t>Provide estimates of the hour burden of the collection of information. The statement should:</w:t>
      </w:r>
    </w:p>
    <w:p w:rsidR="00A233E0" w:rsidRPr="009E7848" w:rsidP="00BF5317" w14:paraId="11BD2D70" w14:textId="77777777">
      <w:pPr>
        <w:pStyle w:val="ListParagraph"/>
        <w:numPr>
          <w:ilvl w:val="0"/>
          <w:numId w:val="1"/>
        </w:numPr>
        <w:ind w:left="446"/>
        <w:rPr>
          <w:rFonts w:cstheme="minorHAnsi"/>
          <w:i/>
          <w:iCs/>
        </w:rPr>
      </w:pPr>
      <w:r w:rsidRPr="009E7848">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9E7848" w:rsidP="00BF5317" w14:paraId="2184CE92" w14:textId="77777777">
      <w:pPr>
        <w:pStyle w:val="ListParagraph"/>
        <w:numPr>
          <w:ilvl w:val="0"/>
          <w:numId w:val="1"/>
        </w:numPr>
        <w:ind w:left="450"/>
        <w:rPr>
          <w:rFonts w:cstheme="minorHAnsi"/>
          <w:i/>
          <w:iCs/>
        </w:rPr>
      </w:pPr>
      <w:r w:rsidRPr="009E7848">
        <w:rPr>
          <w:rFonts w:cstheme="minorHAnsi"/>
          <w:i/>
          <w:iCs/>
        </w:rPr>
        <w:t>If this request for approval covers more than one form, provide separate hour burden estimates for each form and the aggregate the hour burdens.</w:t>
      </w:r>
    </w:p>
    <w:p w:rsidR="00A233E0" w:rsidRPr="009E7848" w:rsidP="00BF5317" w14:paraId="7EF5894F" w14:textId="5EEBA470">
      <w:pPr>
        <w:pStyle w:val="ListParagraph"/>
        <w:numPr>
          <w:ilvl w:val="0"/>
          <w:numId w:val="1"/>
        </w:numPr>
        <w:pBdr>
          <w:bottom w:val="single" w:sz="4" w:space="1" w:color="auto"/>
        </w:pBdr>
        <w:ind w:left="446"/>
        <w:rPr>
          <w:rFonts w:cstheme="minorHAnsi"/>
          <w:i/>
          <w:iCs/>
        </w:rPr>
      </w:pPr>
      <w:r w:rsidRPr="009E7848">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9E7848" w:rsidR="001F0834">
        <w:rPr>
          <w:rFonts w:cstheme="minorHAnsi"/>
          <w:i/>
          <w:iCs/>
        </w:rPr>
        <w:t>.</w:t>
      </w:r>
    </w:p>
    <w:p w:rsidR="001172FE" w:rsidRPr="009E7848" w:rsidP="00854AAE" w14:paraId="571186E5" w14:textId="2917827F">
      <w:pPr>
        <w:spacing w:before="120" w:after="0"/>
        <w:rPr>
          <w:rFonts w:cstheme="minorHAnsi"/>
          <w:b/>
          <w:bCs/>
        </w:rPr>
      </w:pPr>
      <w:r w:rsidRPr="009E7848">
        <w:rPr>
          <w:rFonts w:cstheme="minorHAnsi"/>
          <w:b/>
          <w:bCs/>
        </w:rPr>
        <w:t xml:space="preserve">12a. </w:t>
      </w:r>
      <w:r w:rsidRPr="009E7848" w:rsidR="00557E8F">
        <w:rPr>
          <w:rFonts w:cstheme="minorHAnsi"/>
          <w:b/>
          <w:bCs/>
        </w:rPr>
        <w:t>Respondents/NAICS Codes</w:t>
      </w:r>
      <w:bookmarkStart w:id="15" w:name="_Toc156593383"/>
      <w:bookmarkEnd w:id="14"/>
    </w:p>
    <w:p w:rsidR="00067588" w:rsidRPr="009E7848" w:rsidP="00067588" w14:paraId="051538CF" w14:textId="2C439086">
      <w:pPr>
        <w:spacing w:before="120" w:after="0"/>
        <w:rPr>
          <w:rFonts w:cstheme="minorHAnsi"/>
          <w:color w:val="000000"/>
        </w:rPr>
      </w:pPr>
      <w:r w:rsidRPr="009E7848">
        <w:rPr>
          <w:rFonts w:cstheme="minorHAnsi"/>
          <w:color w:val="000000"/>
        </w:rPr>
        <w:t xml:space="preserve">The CSAPR and Texas trading programs generally apply to stationary, fossil fuel-fired boilers and combustion turbines serving generators larger than 25 MW producing electricity for sale.  In the North American Industry Classification System, these sources are generally classified as NAICS code 221112 – Fossil Fuel-Fired Electric Power Generation.  Covered sources are subject to recurring emissions-related information collection requirements and one-time or occasional registration requirements.  </w:t>
      </w:r>
    </w:p>
    <w:p w:rsidR="00067588" w:rsidRPr="009E7848" w:rsidP="00067588" w14:paraId="65EC7EF1" w14:textId="089125D3">
      <w:pPr>
        <w:spacing w:before="120" w:after="0"/>
        <w:rPr>
          <w:rFonts w:cstheme="minorHAnsi"/>
          <w:color w:val="000000"/>
        </w:rPr>
      </w:pPr>
      <w:r w:rsidRPr="009E7848">
        <w:rPr>
          <w:rFonts w:cstheme="minorHAnsi"/>
          <w:color w:val="000000"/>
        </w:rPr>
        <w:t xml:space="preserve">Under the CSAPR and Texas trading programs’ allowance trading provisions, all covered sources may engage in optional allowance trading activities. Opportunities to participate in allowance trading activities are also open to non-source entities in any industry.  Use of these opportunities is subject to trading-related information collection requirements and, in the case of non-source entities, a one-time registration requirement. </w:t>
      </w:r>
    </w:p>
    <w:p w:rsidR="00067588" w:rsidRPr="009E7848" w:rsidP="00067588" w14:paraId="0BF7B6A8" w14:textId="77777777">
      <w:pPr>
        <w:spacing w:before="120" w:after="0"/>
        <w:rPr>
          <w:rFonts w:cstheme="minorHAnsi"/>
          <w:color w:val="000000"/>
        </w:rPr>
      </w:pPr>
      <w:r w:rsidRPr="009E7848">
        <w:rPr>
          <w:rFonts w:cstheme="minorHAnsi"/>
          <w:color w:val="000000"/>
        </w:rPr>
        <w:t xml:space="preserve">The CSAPR and Texas trading programs do not impose any information collection obligations on states and do not establish any program-specific permitting requirements that would implicate state and local permitting authorities.  However, a state whose sources participate in a CSAPR trading program under either a FIP or a SIP has certain options to determine how CSAPR emission allowances are allocated each year among the state’s affected sources.  Use of this opportunity triggers requirements to submit allowance allocation information.  </w:t>
      </w:r>
    </w:p>
    <w:p w:rsidR="00067588" w:rsidRPr="009E7848" w:rsidP="00067588" w14:paraId="26078988" w14:textId="77777777">
      <w:pPr>
        <w:spacing w:before="120" w:after="0"/>
        <w:rPr>
          <w:rFonts w:cstheme="minorHAnsi"/>
          <w:color w:val="000000"/>
        </w:rPr>
      </w:pPr>
    </w:p>
    <w:p w:rsidR="00796BAE" w:rsidRPr="009E7848" w:rsidP="00067588" w14:paraId="42FB97EA" w14:textId="3926F165">
      <w:pPr>
        <w:spacing w:before="120" w:after="0"/>
        <w:rPr>
          <w:rFonts w:cstheme="minorHAnsi"/>
          <w:b/>
          <w:bCs/>
        </w:rPr>
      </w:pPr>
      <w:r w:rsidRPr="009E7848">
        <w:rPr>
          <w:rFonts w:cstheme="minorHAnsi"/>
          <w:b/>
          <w:bCs/>
        </w:rPr>
        <w:t xml:space="preserve">12b. </w:t>
      </w:r>
      <w:r w:rsidRPr="009E7848" w:rsidR="00BB7DA0">
        <w:rPr>
          <w:rFonts w:cstheme="minorHAnsi"/>
          <w:b/>
          <w:bCs/>
        </w:rPr>
        <w:t>Information Requested</w:t>
      </w:r>
      <w:bookmarkStart w:id="16" w:name="_Toc156593384"/>
      <w:bookmarkEnd w:id="15"/>
    </w:p>
    <w:p w:rsidR="003B3FB4" w:rsidRPr="009E7848" w:rsidP="003B3FB4" w14:paraId="4A8D544E" w14:textId="5838C9AE">
      <w:pPr>
        <w:spacing w:before="120" w:after="0"/>
        <w:rPr>
          <w:rFonts w:cstheme="minorHAnsi"/>
          <w:color w:val="000000"/>
        </w:rPr>
      </w:pPr>
      <w:r w:rsidRPr="009E7848">
        <w:rPr>
          <w:rFonts w:cstheme="minorHAnsi"/>
          <w:color w:val="000000"/>
        </w:rPr>
        <w:t xml:space="preserve">This section describes the data items requested from affected sources for the collections described in this ICR and defines the activities in which respondents must engage to assemble, submit, or store these data items.  </w:t>
      </w:r>
    </w:p>
    <w:p w:rsidR="00944E3C" w:rsidRPr="009E7848" w:rsidP="00037D90" w14:paraId="022133C3" w14:textId="77777777">
      <w:pPr>
        <w:pStyle w:val="ListParagraph"/>
        <w:numPr>
          <w:ilvl w:val="0"/>
          <w:numId w:val="9"/>
        </w:numPr>
        <w:spacing w:before="120" w:after="0"/>
        <w:rPr>
          <w:rFonts w:cstheme="minorHAnsi"/>
          <w:color w:val="000000"/>
        </w:rPr>
      </w:pPr>
      <w:r w:rsidRPr="009E7848">
        <w:rPr>
          <w:rFonts w:cstheme="minorHAnsi"/>
          <w:color w:val="000000"/>
        </w:rPr>
        <w:t xml:space="preserve">Information Requested </w:t>
      </w:r>
    </w:p>
    <w:p w:rsidR="00944E3C" w:rsidRPr="009E7848" w:rsidP="00944E3C" w14:paraId="15B3BD04" w14:textId="77777777">
      <w:pPr>
        <w:pStyle w:val="ListParagraph"/>
        <w:numPr>
          <w:ilvl w:val="1"/>
          <w:numId w:val="9"/>
        </w:numPr>
        <w:spacing w:before="120" w:after="0"/>
        <w:rPr>
          <w:rFonts w:cstheme="minorHAnsi"/>
          <w:color w:val="000000"/>
        </w:rPr>
      </w:pPr>
      <w:r w:rsidRPr="009E7848">
        <w:rPr>
          <w:rFonts w:cstheme="minorHAnsi"/>
          <w:color w:val="000000"/>
        </w:rPr>
        <w:t>Data Items, Including Recordkeeping Requirements</w:t>
      </w:r>
    </w:p>
    <w:p w:rsidR="003B3FB4" w:rsidRPr="009E7848" w:rsidP="00944E3C" w14:paraId="46573358" w14:textId="54787503">
      <w:pPr>
        <w:pStyle w:val="ListParagraph"/>
        <w:numPr>
          <w:ilvl w:val="2"/>
          <w:numId w:val="9"/>
        </w:numPr>
        <w:spacing w:before="120" w:after="0"/>
        <w:rPr>
          <w:rFonts w:cstheme="minorHAnsi"/>
          <w:color w:val="000000"/>
        </w:rPr>
      </w:pPr>
      <w:r w:rsidRPr="009E7848">
        <w:rPr>
          <w:rFonts w:cstheme="minorHAnsi"/>
          <w:color w:val="000000"/>
        </w:rPr>
        <w:t>C</w:t>
      </w:r>
      <w:r w:rsidRPr="009E7848">
        <w:rPr>
          <w:rFonts w:cstheme="minorHAnsi"/>
          <w:color w:val="000000"/>
        </w:rPr>
        <w:t>ertificates of Representation and Other One-Time Registration Forms</w:t>
      </w:r>
    </w:p>
    <w:p w:rsidR="003B3FB4" w:rsidRPr="009E7848" w:rsidP="00944E3C" w14:paraId="7B17AFB8" w14:textId="6ADDE33B">
      <w:pPr>
        <w:spacing w:before="120" w:after="0"/>
        <w:ind w:left="1080"/>
        <w:rPr>
          <w:rFonts w:cstheme="minorHAnsi"/>
          <w:color w:val="000000"/>
        </w:rPr>
      </w:pPr>
      <w:r w:rsidRPr="009E7848">
        <w:rPr>
          <w:rFonts w:cstheme="minorHAnsi"/>
          <w:color w:val="000000"/>
        </w:rPr>
        <w:t>For each affected source under each of the CSAPR trading programs and the Texas SO2 trading program, the designated representative must submit a certificate of representation.  The certificate must be updated as needed to reflect any changes in the units at the source or in the identities of owners, operators, or the designated representative or alternate.  A complete certificate of representation for a source includes:</w:t>
      </w:r>
    </w:p>
    <w:p w:rsidR="003B3FB4" w:rsidRPr="009E7848" w:rsidP="00944E3C" w14:paraId="56BD1CD4" w14:textId="74CC6D18">
      <w:pPr>
        <w:pStyle w:val="ListParagraph"/>
        <w:numPr>
          <w:ilvl w:val="0"/>
          <w:numId w:val="8"/>
        </w:numPr>
        <w:spacing w:before="120" w:after="0"/>
        <w:ind w:left="1800"/>
        <w:rPr>
          <w:rFonts w:cstheme="minorHAnsi"/>
          <w:color w:val="000000"/>
        </w:rPr>
      </w:pPr>
      <w:r w:rsidRPr="009E7848">
        <w:rPr>
          <w:rFonts w:cstheme="minorHAnsi" w:hint="eastAsia"/>
          <w:color w:val="000000"/>
        </w:rPr>
        <w:t>Identification of the source and the units at the source;</w:t>
      </w:r>
    </w:p>
    <w:p w:rsidR="003B3FB4" w:rsidRPr="009E7848" w:rsidP="00944E3C" w14:paraId="3007DBF1" w14:textId="5B743476">
      <w:pPr>
        <w:pStyle w:val="ListParagraph"/>
        <w:numPr>
          <w:ilvl w:val="0"/>
          <w:numId w:val="8"/>
        </w:numPr>
        <w:spacing w:before="120" w:after="0"/>
        <w:ind w:left="1800"/>
        <w:rPr>
          <w:rFonts w:cstheme="minorHAnsi"/>
          <w:color w:val="000000"/>
        </w:rPr>
      </w:pPr>
      <w:r w:rsidRPr="009E7848">
        <w:rPr>
          <w:rFonts w:cstheme="minorHAnsi" w:hint="eastAsia"/>
          <w:color w:val="000000"/>
        </w:rPr>
        <w:t>Dates on which the units commenced commercial operation;</w:t>
      </w:r>
    </w:p>
    <w:p w:rsidR="003B3FB4" w:rsidRPr="009E7848" w:rsidP="00944E3C" w14:paraId="388D67BF" w14:textId="64FE6BAB">
      <w:pPr>
        <w:pStyle w:val="ListParagraph"/>
        <w:numPr>
          <w:ilvl w:val="0"/>
          <w:numId w:val="8"/>
        </w:numPr>
        <w:spacing w:before="120" w:after="0"/>
        <w:ind w:left="1800"/>
        <w:rPr>
          <w:rFonts w:cstheme="minorHAnsi"/>
          <w:color w:val="000000"/>
        </w:rPr>
      </w:pPr>
      <w:r w:rsidRPr="009E7848">
        <w:rPr>
          <w:rFonts w:cstheme="minorHAnsi" w:hint="eastAsia"/>
          <w:color w:val="000000"/>
        </w:rPr>
        <w:t>Name and contact information for the designated representative and alternate (if applicable);</w:t>
      </w:r>
    </w:p>
    <w:p w:rsidR="003B3FB4" w:rsidRPr="009E7848" w:rsidP="00944E3C" w14:paraId="23D1D0E5" w14:textId="295A880F">
      <w:pPr>
        <w:pStyle w:val="ListParagraph"/>
        <w:numPr>
          <w:ilvl w:val="0"/>
          <w:numId w:val="8"/>
        </w:numPr>
        <w:spacing w:before="120" w:after="0"/>
        <w:ind w:left="1800"/>
        <w:rPr>
          <w:rFonts w:cstheme="minorHAnsi"/>
          <w:color w:val="000000"/>
        </w:rPr>
      </w:pPr>
      <w:r w:rsidRPr="009E7848">
        <w:rPr>
          <w:rFonts w:cstheme="minorHAnsi" w:hint="eastAsia"/>
          <w:color w:val="000000"/>
        </w:rPr>
        <w:t>A list of the owners and operators of each unit; and</w:t>
      </w:r>
    </w:p>
    <w:p w:rsidR="003B3FB4" w:rsidRPr="009E7848" w:rsidP="00944E3C" w14:paraId="316ED89F" w14:textId="71E6BB26">
      <w:pPr>
        <w:pStyle w:val="ListParagraph"/>
        <w:numPr>
          <w:ilvl w:val="0"/>
          <w:numId w:val="8"/>
        </w:numPr>
        <w:spacing w:before="120" w:after="0"/>
        <w:ind w:left="1800"/>
        <w:rPr>
          <w:rFonts w:cstheme="minorHAnsi"/>
          <w:color w:val="000000"/>
        </w:rPr>
      </w:pPr>
      <w:r w:rsidRPr="009E7848">
        <w:rPr>
          <w:rFonts w:cstheme="minorHAnsi" w:hint="eastAsia"/>
          <w:color w:val="000000"/>
        </w:rPr>
        <w:t>A certification statement and signature of the designated representative and alternate (if applicable).</w:t>
      </w:r>
    </w:p>
    <w:p w:rsidR="003B3FB4" w:rsidRPr="009E7848" w:rsidP="00944E3C" w14:paraId="37A9EAD9" w14:textId="7E6EE133">
      <w:pPr>
        <w:spacing w:before="120" w:after="0"/>
        <w:ind w:left="1080"/>
        <w:rPr>
          <w:rFonts w:cstheme="minorHAnsi"/>
          <w:color w:val="000000"/>
        </w:rPr>
      </w:pPr>
      <w:r w:rsidRPr="009E7848">
        <w:rPr>
          <w:rFonts w:cstheme="minorHAnsi"/>
          <w:color w:val="000000"/>
        </w:rPr>
        <w:t>Certification applications are to be kept for a period of five years pursuant to the general requirements imposed for Title V permitted facilities.</w:t>
      </w:r>
    </w:p>
    <w:p w:rsidR="003B3FB4" w:rsidRPr="009E7848" w:rsidP="00944E3C" w14:paraId="73F9CA0F" w14:textId="2235BC21">
      <w:pPr>
        <w:spacing w:before="120" w:after="0"/>
        <w:ind w:left="1080"/>
        <w:rPr>
          <w:rFonts w:cstheme="minorHAnsi"/>
          <w:color w:val="000000"/>
        </w:rPr>
      </w:pPr>
      <w:r w:rsidRPr="009E7848">
        <w:rPr>
          <w:rFonts w:cstheme="minorHAnsi"/>
          <w:color w:val="000000"/>
        </w:rPr>
        <w:t>The CSAPR and Texas trading programs exempt a retired unit from emission monitoring and reporting requirements following receipt of appropriate notification from the designated representative.  A complete retired unit exemption form includes:</w:t>
      </w:r>
    </w:p>
    <w:p w:rsidR="003B3FB4" w:rsidRPr="009E7848" w:rsidP="00944E3C" w14:paraId="50C98601" w14:textId="3CE736A1">
      <w:pPr>
        <w:pStyle w:val="ListParagraph"/>
        <w:numPr>
          <w:ilvl w:val="0"/>
          <w:numId w:val="7"/>
        </w:numPr>
        <w:spacing w:before="120" w:after="0"/>
        <w:ind w:left="1800"/>
        <w:rPr>
          <w:rFonts w:cstheme="minorHAnsi"/>
          <w:color w:val="000000"/>
        </w:rPr>
      </w:pPr>
      <w:r w:rsidRPr="009E7848">
        <w:rPr>
          <w:rFonts w:cstheme="minorHAnsi" w:hint="eastAsia"/>
          <w:color w:val="000000"/>
        </w:rPr>
        <w:t>Identification of the source and unit;</w:t>
      </w:r>
    </w:p>
    <w:p w:rsidR="003B3FB4" w:rsidRPr="009E7848" w:rsidP="00944E3C" w14:paraId="5E26A536" w14:textId="442273A5">
      <w:pPr>
        <w:pStyle w:val="ListParagraph"/>
        <w:numPr>
          <w:ilvl w:val="0"/>
          <w:numId w:val="7"/>
        </w:numPr>
        <w:spacing w:before="120" w:after="0"/>
        <w:ind w:left="1800"/>
        <w:rPr>
          <w:rFonts w:cstheme="minorHAnsi"/>
          <w:color w:val="000000"/>
        </w:rPr>
      </w:pPr>
      <w:r w:rsidRPr="009E7848">
        <w:rPr>
          <w:rFonts w:cstheme="minorHAnsi" w:hint="eastAsia"/>
          <w:color w:val="000000"/>
        </w:rPr>
        <w:t>Date on which the unit was or will be permanently retired;</w:t>
      </w:r>
    </w:p>
    <w:p w:rsidR="003B3FB4" w:rsidRPr="009E7848" w:rsidP="00944E3C" w14:paraId="1C9A14D3" w14:textId="3A689044">
      <w:pPr>
        <w:pStyle w:val="ListParagraph"/>
        <w:numPr>
          <w:ilvl w:val="0"/>
          <w:numId w:val="7"/>
        </w:numPr>
        <w:spacing w:before="120" w:after="0"/>
        <w:ind w:left="1800"/>
        <w:rPr>
          <w:rFonts w:cstheme="minorHAnsi"/>
          <w:color w:val="000000"/>
        </w:rPr>
      </w:pPr>
      <w:r w:rsidRPr="009E7848">
        <w:rPr>
          <w:rFonts w:cstheme="minorHAnsi" w:hint="eastAsia"/>
          <w:color w:val="000000"/>
        </w:rPr>
        <w:t>A certification statement and signature of the designated representative or alternate.</w:t>
      </w:r>
    </w:p>
    <w:p w:rsidR="003B3FB4" w:rsidRPr="009E7848" w:rsidP="00944E3C" w14:paraId="5E1DAA48" w14:textId="77777777">
      <w:pPr>
        <w:spacing w:before="120" w:after="0"/>
        <w:ind w:left="1080"/>
        <w:rPr>
          <w:rFonts w:cstheme="minorHAnsi"/>
          <w:color w:val="000000"/>
        </w:rPr>
      </w:pPr>
      <w:r w:rsidRPr="009E7848">
        <w:rPr>
          <w:rFonts w:cstheme="minorHAnsi"/>
          <w:color w:val="000000"/>
        </w:rPr>
        <w:t>Non-source entities participating in allowance trading activities under the CSAPR and Texas trading programs must submit an application to establish a general account in the allowance tracking system.  For purposes of this ICR, it is assumed that the burden and costs of all general account applications are accounted for in the ARP ICR.</w:t>
      </w:r>
    </w:p>
    <w:p w:rsidR="00944E3C" w:rsidRPr="009E7848" w:rsidP="00944E3C" w14:paraId="4F486976" w14:textId="77777777">
      <w:pPr>
        <w:spacing w:before="120" w:after="0"/>
        <w:ind w:left="1080"/>
        <w:rPr>
          <w:rFonts w:cstheme="minorHAnsi"/>
          <w:color w:val="000000"/>
        </w:rPr>
      </w:pPr>
    </w:p>
    <w:p w:rsidR="003B3FB4" w:rsidRPr="009E7848" w:rsidP="00944E3C" w14:paraId="0A6E38CB" w14:textId="72C94218">
      <w:pPr>
        <w:pStyle w:val="ListParagraph"/>
        <w:numPr>
          <w:ilvl w:val="2"/>
          <w:numId w:val="9"/>
        </w:numPr>
        <w:spacing w:before="120" w:after="0"/>
        <w:rPr>
          <w:rFonts w:cstheme="minorHAnsi"/>
          <w:color w:val="000000"/>
        </w:rPr>
      </w:pPr>
      <w:r w:rsidRPr="009E7848">
        <w:rPr>
          <w:rFonts w:cstheme="minorHAnsi"/>
          <w:color w:val="000000"/>
        </w:rPr>
        <w:t>Allowance Tracking</w:t>
      </w:r>
    </w:p>
    <w:p w:rsidR="003B3FB4" w:rsidRPr="009E7848" w:rsidP="00944E3C" w14:paraId="37E27B64" w14:textId="78D71880">
      <w:pPr>
        <w:spacing w:before="120" w:after="0"/>
        <w:ind w:left="1080"/>
        <w:rPr>
          <w:rFonts w:cstheme="minorHAnsi"/>
          <w:color w:val="000000"/>
        </w:rPr>
      </w:pPr>
      <w:r w:rsidRPr="009E7848">
        <w:rPr>
          <w:rFonts w:cstheme="minorHAnsi"/>
          <w:color w:val="000000"/>
        </w:rPr>
        <w:t xml:space="preserve">Sources and other trading program participants must submit allowance transfer, allowance deduction, and compliance assurance information, as necessary. </w:t>
      </w:r>
    </w:p>
    <w:p w:rsidR="003B3FB4" w:rsidRPr="009E7848" w:rsidP="00944E3C" w14:paraId="6CAA616D" w14:textId="32637638">
      <w:pPr>
        <w:spacing w:before="120" w:after="0"/>
        <w:ind w:left="1080"/>
        <w:rPr>
          <w:rFonts w:cstheme="minorHAnsi"/>
          <w:color w:val="000000"/>
        </w:rPr>
      </w:pPr>
      <w:r w:rsidRPr="009E7848">
        <w:rPr>
          <w:rFonts w:cstheme="minorHAnsi"/>
          <w:color w:val="000000"/>
        </w:rPr>
        <w:t>The authorized account representative for an allowance tracking system account is required to provide the following information for each transfer of allowances to another account:</w:t>
      </w:r>
    </w:p>
    <w:p w:rsidR="003B3FB4" w:rsidRPr="009E7848" w:rsidP="00944E3C" w14:paraId="5F687ECB" w14:textId="6A13F6DA">
      <w:pPr>
        <w:pStyle w:val="ListParagraph"/>
        <w:numPr>
          <w:ilvl w:val="0"/>
          <w:numId w:val="6"/>
        </w:numPr>
        <w:spacing w:before="120" w:after="0"/>
        <w:ind w:left="1800"/>
        <w:rPr>
          <w:rFonts w:cstheme="minorHAnsi"/>
          <w:color w:val="000000"/>
        </w:rPr>
      </w:pPr>
      <w:r w:rsidRPr="009E7848">
        <w:rPr>
          <w:rFonts w:cstheme="minorHAnsi" w:hint="eastAsia"/>
          <w:color w:val="000000"/>
        </w:rPr>
        <w:t>Allowance tracking system account number;</w:t>
      </w:r>
    </w:p>
    <w:p w:rsidR="003B3FB4" w:rsidRPr="009E7848" w:rsidP="00944E3C" w14:paraId="46D516AD" w14:textId="4D3DBAD4">
      <w:pPr>
        <w:pStyle w:val="ListParagraph"/>
        <w:numPr>
          <w:ilvl w:val="0"/>
          <w:numId w:val="6"/>
        </w:numPr>
        <w:spacing w:before="120" w:after="0"/>
        <w:ind w:left="1800"/>
        <w:rPr>
          <w:rFonts w:cstheme="minorHAnsi"/>
          <w:color w:val="000000"/>
        </w:rPr>
      </w:pPr>
      <w:r w:rsidRPr="009E7848">
        <w:rPr>
          <w:rFonts w:cstheme="minorHAnsi" w:hint="eastAsia"/>
          <w:color w:val="000000"/>
        </w:rPr>
        <w:t>Name, phone number, and facsimile number of the authorized account representative, along with the representative's signature and date of submission; and</w:t>
      </w:r>
    </w:p>
    <w:p w:rsidR="003B3FB4" w:rsidRPr="009E7848" w:rsidP="00944E3C" w14:paraId="10479B78" w14:textId="5C8E826C">
      <w:pPr>
        <w:pStyle w:val="ListParagraph"/>
        <w:numPr>
          <w:ilvl w:val="0"/>
          <w:numId w:val="6"/>
        </w:numPr>
        <w:spacing w:before="120" w:after="0"/>
        <w:ind w:left="1800"/>
        <w:rPr>
          <w:rFonts w:cstheme="minorHAnsi"/>
          <w:color w:val="000000"/>
        </w:rPr>
      </w:pPr>
      <w:r w:rsidRPr="009E7848">
        <w:rPr>
          <w:rFonts w:cstheme="minorHAnsi" w:hint="eastAsia"/>
          <w:color w:val="000000"/>
        </w:rPr>
        <w:t>Serial numbers of allowances to be transferred.</w:t>
      </w:r>
    </w:p>
    <w:p w:rsidR="003B3FB4" w:rsidRPr="009E7848" w:rsidP="00944E3C" w14:paraId="4EAB80A4" w14:textId="29BCA088">
      <w:pPr>
        <w:spacing w:before="120" w:after="0"/>
        <w:ind w:left="1080"/>
        <w:rPr>
          <w:rFonts w:cstheme="minorHAnsi"/>
          <w:color w:val="000000"/>
        </w:rPr>
      </w:pPr>
      <w:r w:rsidRPr="009E7848">
        <w:rPr>
          <w:rFonts w:cstheme="minorHAnsi"/>
          <w:color w:val="000000"/>
        </w:rPr>
        <w:t>In addition, if the designated representative for a source chooses to identify the specific serialized allowances to be deducted from the source's allowance tracking system account for annual reconciliation, then the following information is required:</w:t>
      </w:r>
    </w:p>
    <w:p w:rsidR="003B3FB4" w:rsidRPr="009E7848" w:rsidP="00944E3C" w14:paraId="2472EEEB" w14:textId="0B128BFF">
      <w:pPr>
        <w:pStyle w:val="ListParagraph"/>
        <w:numPr>
          <w:ilvl w:val="0"/>
          <w:numId w:val="5"/>
        </w:numPr>
        <w:spacing w:before="120" w:after="0"/>
        <w:ind w:left="1800"/>
        <w:rPr>
          <w:rFonts w:cstheme="minorHAnsi"/>
          <w:color w:val="000000"/>
        </w:rPr>
      </w:pPr>
      <w:r w:rsidRPr="009E7848">
        <w:rPr>
          <w:rFonts w:cstheme="minorHAnsi" w:hint="eastAsia"/>
          <w:color w:val="000000"/>
        </w:rPr>
        <w:t>Allowance tracking system account number;</w:t>
      </w:r>
    </w:p>
    <w:p w:rsidR="003B3FB4" w:rsidRPr="009E7848" w:rsidP="00944E3C" w14:paraId="684470F4" w14:textId="21CDD6F8">
      <w:pPr>
        <w:pStyle w:val="ListParagraph"/>
        <w:numPr>
          <w:ilvl w:val="0"/>
          <w:numId w:val="5"/>
        </w:numPr>
        <w:spacing w:before="120" w:after="0"/>
        <w:ind w:left="1800"/>
        <w:rPr>
          <w:rFonts w:cstheme="minorHAnsi"/>
          <w:color w:val="000000"/>
        </w:rPr>
      </w:pPr>
      <w:r w:rsidRPr="009E7848">
        <w:rPr>
          <w:rFonts w:cstheme="minorHAnsi" w:hint="eastAsia"/>
          <w:color w:val="000000"/>
        </w:rPr>
        <w:t>Type of deduction;</w:t>
      </w:r>
    </w:p>
    <w:p w:rsidR="003B3FB4" w:rsidRPr="009E7848" w:rsidP="00944E3C" w14:paraId="24AE3AB3" w14:textId="11272501">
      <w:pPr>
        <w:pStyle w:val="ListParagraph"/>
        <w:numPr>
          <w:ilvl w:val="0"/>
          <w:numId w:val="5"/>
        </w:numPr>
        <w:spacing w:before="120" w:after="0"/>
        <w:ind w:left="1800"/>
        <w:rPr>
          <w:rFonts w:cstheme="minorHAnsi"/>
          <w:color w:val="000000"/>
        </w:rPr>
      </w:pPr>
      <w:r w:rsidRPr="009E7848">
        <w:rPr>
          <w:rFonts w:cstheme="minorHAnsi" w:hint="eastAsia"/>
          <w:color w:val="000000"/>
        </w:rPr>
        <w:t>Serial numbers of the allowance blocks to be deducted; and</w:t>
      </w:r>
    </w:p>
    <w:p w:rsidR="003B3FB4" w:rsidRPr="009E7848" w:rsidP="00944E3C" w14:paraId="0F1F0370" w14:textId="30A1EC39">
      <w:pPr>
        <w:pStyle w:val="ListParagraph"/>
        <w:numPr>
          <w:ilvl w:val="0"/>
          <w:numId w:val="5"/>
        </w:numPr>
        <w:spacing w:before="120" w:after="0"/>
        <w:ind w:left="1800"/>
        <w:rPr>
          <w:rFonts w:cstheme="minorHAnsi"/>
          <w:color w:val="000000"/>
        </w:rPr>
      </w:pPr>
      <w:r w:rsidRPr="009E7848">
        <w:rPr>
          <w:rFonts w:cstheme="minorHAnsi" w:hint="eastAsia"/>
          <w:color w:val="000000"/>
        </w:rPr>
        <w:t>Dated signature of the designated representative.</w:t>
      </w:r>
    </w:p>
    <w:p w:rsidR="003B3FB4" w:rsidRPr="009E7848" w:rsidP="00944E3C" w14:paraId="56292AC8" w14:textId="0EC42883">
      <w:pPr>
        <w:spacing w:before="120" w:after="0"/>
        <w:ind w:left="1080"/>
        <w:rPr>
          <w:rFonts w:cstheme="minorHAnsi"/>
          <w:color w:val="000000"/>
        </w:rPr>
      </w:pPr>
      <w:r w:rsidRPr="009E7848">
        <w:rPr>
          <w:rFonts w:cstheme="minorHAnsi"/>
          <w:color w:val="000000"/>
        </w:rPr>
        <w:t xml:space="preserve">In the event that total emissions in a state during a control period ever exceeded the state’s emission budget by more than a specified variability limit, some sources in the state would </w:t>
      </w:r>
      <w:r w:rsidRPr="009E7848">
        <w:rPr>
          <w:rFonts w:cstheme="minorHAnsi"/>
          <w:color w:val="000000"/>
        </w:rPr>
        <w:t>be required to submit additional information for compliance assurance.  For purposes of this ICR, it is assumed that no such exceedances will occur.</w:t>
      </w:r>
    </w:p>
    <w:p w:rsidR="003B3FB4" w:rsidRPr="009E7848" w:rsidP="00944E3C" w14:paraId="045B2EA6" w14:textId="52DAECFD">
      <w:pPr>
        <w:spacing w:before="120" w:after="0"/>
        <w:ind w:left="1080"/>
        <w:rPr>
          <w:rFonts w:cstheme="minorHAnsi"/>
          <w:color w:val="000000"/>
        </w:rPr>
      </w:pPr>
      <w:r w:rsidRPr="009E7848">
        <w:rPr>
          <w:rFonts w:cstheme="minorHAnsi"/>
          <w:color w:val="000000"/>
        </w:rPr>
        <w:t xml:space="preserve">Where a state has elected to determine allowance allocations, the state must submit a list identifying the units or other entities to which allowances are being allocated and the numbers of allowances being allocated to each unit or entity. </w:t>
      </w:r>
    </w:p>
    <w:p w:rsidR="00944E3C" w:rsidRPr="009E7848" w:rsidP="00944E3C" w14:paraId="4B83E12A" w14:textId="77777777">
      <w:pPr>
        <w:spacing w:before="120" w:after="0"/>
        <w:ind w:left="1080"/>
        <w:rPr>
          <w:rFonts w:cstheme="minorHAnsi"/>
          <w:color w:val="000000"/>
        </w:rPr>
      </w:pPr>
    </w:p>
    <w:p w:rsidR="003B3FB4" w:rsidRPr="009E7848" w:rsidP="00944E3C" w14:paraId="6BAE30D8" w14:textId="2D717745">
      <w:pPr>
        <w:pStyle w:val="ListParagraph"/>
        <w:numPr>
          <w:ilvl w:val="2"/>
          <w:numId w:val="9"/>
        </w:numPr>
        <w:spacing w:before="120" w:after="0"/>
        <w:rPr>
          <w:rFonts w:cstheme="minorHAnsi"/>
          <w:color w:val="000000"/>
        </w:rPr>
      </w:pPr>
      <w:r w:rsidRPr="009E7848">
        <w:rPr>
          <w:rFonts w:cstheme="minorHAnsi"/>
          <w:color w:val="000000"/>
        </w:rPr>
        <w:t>Emissions Monitoring and Reporting</w:t>
      </w:r>
    </w:p>
    <w:p w:rsidR="003B3FB4" w:rsidRPr="009E7848" w:rsidP="00944E3C" w14:paraId="297668EE" w14:textId="0A36A6BF">
      <w:pPr>
        <w:spacing w:before="120" w:after="0"/>
        <w:ind w:left="1080"/>
        <w:rPr>
          <w:rFonts w:cstheme="minorHAnsi"/>
          <w:color w:val="000000"/>
        </w:rPr>
      </w:pPr>
      <w:r w:rsidRPr="009E7848">
        <w:rPr>
          <w:rFonts w:cstheme="minorHAnsi"/>
          <w:color w:val="000000"/>
        </w:rPr>
        <w:t>Sources affected under the CSAPR and Texas trading programs are required to monitor NOX and/or SO2 mass emissions and record and report emissions data following the procedures of 40 CFR part 75.  The 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w:t>
      </w:r>
    </w:p>
    <w:p w:rsidR="002E5622" w:rsidRPr="009E7848" w:rsidP="00944E3C" w14:paraId="2F73554E" w14:textId="1E871127">
      <w:pPr>
        <w:spacing w:before="120" w:after="0"/>
        <w:ind w:left="1080"/>
        <w:rPr>
          <w:rFonts w:cstheme="minorHAnsi"/>
          <w:color w:val="000000"/>
        </w:rPr>
      </w:pPr>
      <w:r w:rsidRPr="009E7848">
        <w:rPr>
          <w:rFonts w:cstheme="minorHAnsi"/>
          <w:color w:val="000000"/>
        </w:rPr>
        <w:t>Respondents are required under 40 CFR 75.64 to submit the quarterly NOX and SO2 mass emissions data via direct electronic submission to EPA.  Such data must include a certification statement by the designated representative of the facility attesting to the accuracy, truthfulness, and completeness of the submission.  Generally, all monitoring records are required to be kept for three years.</w:t>
      </w:r>
    </w:p>
    <w:p w:rsidR="00AD79CA" w:rsidRPr="009E7848" w:rsidP="00257699" w14:paraId="2258EDAE" w14:textId="77777777">
      <w:pPr>
        <w:spacing w:before="120" w:after="0"/>
        <w:ind w:left="720"/>
        <w:rPr>
          <w:rFonts w:cstheme="minorHAnsi"/>
          <w:color w:val="000000"/>
        </w:rPr>
      </w:pPr>
    </w:p>
    <w:p w:rsidR="00257699" w:rsidRPr="009E7848" w:rsidP="00257699" w14:paraId="131A0137" w14:textId="474EDBA0">
      <w:pPr>
        <w:pStyle w:val="ListParagraph"/>
        <w:numPr>
          <w:ilvl w:val="0"/>
          <w:numId w:val="9"/>
        </w:numPr>
        <w:spacing w:before="120" w:after="0"/>
        <w:rPr>
          <w:rFonts w:cstheme="minorHAnsi"/>
          <w:color w:val="000000"/>
        </w:rPr>
      </w:pPr>
      <w:r w:rsidRPr="009E7848">
        <w:rPr>
          <w:rFonts w:cstheme="minorHAnsi"/>
          <w:color w:val="000000"/>
        </w:rPr>
        <w:t xml:space="preserve">Collection Schedule </w:t>
      </w:r>
    </w:p>
    <w:p w:rsidR="00257699" w:rsidRPr="009E7848" w:rsidP="0002573E" w14:paraId="06CB62EF" w14:textId="495D15F3">
      <w:pPr>
        <w:spacing w:before="120" w:after="0"/>
        <w:ind w:left="360"/>
        <w:rPr>
          <w:rFonts w:cstheme="minorHAnsi"/>
          <w:color w:val="000000"/>
        </w:rPr>
      </w:pPr>
      <w:r w:rsidRPr="009E7848">
        <w:rPr>
          <w:rFonts w:cstheme="minorHAnsi"/>
          <w:color w:val="000000"/>
        </w:rPr>
        <w:t>Collection frequency under the CSAPR and Texas trading programs is on a quarterly basis</w:t>
      </w:r>
      <w:r w:rsidRPr="009E7848" w:rsidR="001624D1">
        <w:rPr>
          <w:rFonts w:cstheme="minorHAnsi"/>
          <w:color w:val="000000"/>
        </w:rPr>
        <w:t xml:space="preserve"> for emissions reporting</w:t>
      </w:r>
      <w:r w:rsidRPr="009E7848">
        <w:rPr>
          <w:rFonts w:cstheme="minorHAnsi"/>
          <w:color w:val="000000"/>
        </w:rPr>
        <w:t xml:space="preserve">.  All affected industry sources must use the Emission Collection and Monitoring Plan System (ECMPS) to submit monitoring plan, quality assurance, certification test, and emissions data to EPA quarterly.  In addition, the programs require the collection of allowance trading information as transfers are submitted, as well as information regarding other "event" submissions made on a one-time or annual basis.  </w:t>
      </w:r>
    </w:p>
    <w:p w:rsidR="003B3FB4" w:rsidRPr="009E7848" w:rsidP="003B3FB4" w14:paraId="4D1D809B" w14:textId="77777777">
      <w:pPr>
        <w:spacing w:before="120" w:after="0"/>
        <w:rPr>
          <w:rFonts w:cstheme="minorHAnsi"/>
          <w:color w:val="000000"/>
        </w:rPr>
      </w:pPr>
    </w:p>
    <w:p w:rsidR="001172FE" w:rsidRPr="009E7848" w:rsidP="003B3FB4" w14:paraId="7B8A0ACD" w14:textId="77E24A19">
      <w:pPr>
        <w:spacing w:before="120" w:after="0"/>
        <w:rPr>
          <w:rFonts w:cstheme="minorHAnsi"/>
          <w:b/>
          <w:bCs/>
        </w:rPr>
      </w:pPr>
      <w:r w:rsidRPr="009E7848">
        <w:rPr>
          <w:rFonts w:cstheme="minorHAnsi"/>
          <w:b/>
          <w:bCs/>
        </w:rPr>
        <w:t xml:space="preserve">12c. </w:t>
      </w:r>
      <w:r w:rsidRPr="009E7848" w:rsidR="00DD718B">
        <w:rPr>
          <w:rFonts w:cstheme="minorHAnsi"/>
          <w:b/>
          <w:bCs/>
        </w:rPr>
        <w:t>Respondent Activities</w:t>
      </w:r>
      <w:bookmarkStart w:id="17" w:name="_Toc156593385"/>
      <w:bookmarkEnd w:id="16"/>
    </w:p>
    <w:p w:rsidR="003B3FB4" w:rsidRPr="009E7848" w:rsidP="003B3FB4" w14:paraId="1CBADBFE" w14:textId="18343CAC">
      <w:pPr>
        <w:spacing w:before="120" w:after="0"/>
        <w:rPr>
          <w:rFonts w:cstheme="minorHAnsi"/>
          <w:color w:val="000000"/>
        </w:rPr>
      </w:pPr>
      <w:r w:rsidRPr="009E7848">
        <w:rPr>
          <w:rFonts w:cstheme="minorHAnsi"/>
          <w:color w:val="000000"/>
        </w:rPr>
        <w:t xml:space="preserve">Industry respondents’ tasks to meet the certificate of representation requirement are to submit the certificate when a source first becomes subject to a particular trading program and to submit an updated certificate whenever there are changes in the units at the source or changes in the source’s owners, operators, or designated representative.  The task to meet the retired unit exemption notification requirement is to submit a one-time form.  </w:t>
      </w:r>
    </w:p>
    <w:p w:rsidR="003B3FB4" w:rsidRPr="009E7848" w:rsidP="003B3FB4" w14:paraId="6FABE1FE" w14:textId="05E5ECDB">
      <w:pPr>
        <w:spacing w:before="120" w:after="0"/>
        <w:rPr>
          <w:rFonts w:cstheme="minorHAnsi"/>
          <w:color w:val="000000"/>
        </w:rPr>
      </w:pPr>
      <w:r w:rsidRPr="009E7848">
        <w:rPr>
          <w:rFonts w:cstheme="minorHAnsi"/>
          <w:color w:val="000000"/>
        </w:rPr>
        <w:t>Industry respondents’ only required task for allowance tracking is occasional submission of allowance transfer forms as necessary to ensure that sufficient allowances are in a source’s compliance account as of each compliance deadline.  Additional allowance transfer forms may be submitted by industry or non-source entity respondents as desired, and industry respondents may submit optional allowance deduction forms as desired. These forms may be submitted on paper or electronically through the CAMD Business System.</w:t>
      </w:r>
    </w:p>
    <w:p w:rsidR="003B3FB4" w:rsidRPr="009E7848" w:rsidP="003B3FB4" w14:paraId="0272FAA0" w14:textId="4CF22E25">
      <w:pPr>
        <w:spacing w:before="120" w:after="0"/>
        <w:rPr>
          <w:rFonts w:cstheme="minorHAnsi"/>
          <w:color w:val="000000"/>
        </w:rPr>
      </w:pPr>
      <w:r w:rsidRPr="009E7848">
        <w:rPr>
          <w:rFonts w:cstheme="minorHAnsi"/>
          <w:color w:val="000000"/>
        </w:rPr>
        <w:t>Industry respondents’ primary tasks to meet the emissions monitoring and reporting requirements are:  (1) completing and submitting appropriate monitoring plans; (2) conducting tests to certify monitors and submitting test results to EPA; (3) recording hourly emissions and operational data (this activity is generally performed electronically); (4) performing operation and maintenance activities associated with monitoring, including quality assurance activities; (5) assuring data quality, preparing quarterly reports of emissions data, and submitting these reports to EPA; and (6) responding to error messages generated by such submissions.  In addition, respondents must purchase the necessary monitoring hardware and electronic data reporting software (or software upgrades).</w:t>
      </w:r>
    </w:p>
    <w:p w:rsidR="009F1E00" w:rsidRPr="009E7848" w:rsidP="003B3FB4" w14:paraId="3C4B52CA" w14:textId="0950501F">
      <w:pPr>
        <w:spacing w:before="60"/>
        <w:rPr>
          <w:rFonts w:cstheme="minorHAnsi"/>
          <w:color w:val="000000"/>
        </w:rPr>
      </w:pPr>
      <w:r w:rsidRPr="009E7848">
        <w:rPr>
          <w:rFonts w:cstheme="minorHAnsi"/>
          <w:color w:val="000000"/>
        </w:rPr>
        <w:t xml:space="preserve">A state respondent that has elected to submit </w:t>
      </w:r>
      <w:r w:rsidRPr="009E7848" w:rsidR="00944E3C">
        <w:rPr>
          <w:rFonts w:cstheme="minorHAnsi"/>
          <w:color w:val="000000"/>
        </w:rPr>
        <w:t>state determined</w:t>
      </w:r>
      <w:r w:rsidRPr="009E7848">
        <w:rPr>
          <w:rFonts w:cstheme="minorHAnsi"/>
          <w:color w:val="000000"/>
        </w:rPr>
        <w:t xml:space="preserve"> CSAPR allowance allocations must calculate the allocations according to the state’s procedures and periodically submit the allocation information to EPA by specified deadlines.</w:t>
      </w:r>
    </w:p>
    <w:p w:rsidR="003B3FB4" w:rsidRPr="009E7848" w:rsidP="003B3FB4" w14:paraId="351C9C9A" w14:textId="77777777">
      <w:pPr>
        <w:spacing w:before="60"/>
        <w:rPr>
          <w:rFonts w:cstheme="minorHAnsi"/>
        </w:rPr>
      </w:pPr>
    </w:p>
    <w:p w:rsidR="00D92ED6" w:rsidRPr="009E7848" w:rsidP="00854AAE" w14:paraId="0B6BE1C2" w14:textId="3F49A8F0">
      <w:pPr>
        <w:spacing w:before="120" w:after="0"/>
        <w:rPr>
          <w:rFonts w:cstheme="minorHAnsi"/>
          <w:b/>
          <w:bCs/>
        </w:rPr>
      </w:pPr>
      <w:r w:rsidRPr="009E7848">
        <w:rPr>
          <w:rFonts w:cstheme="minorHAnsi"/>
          <w:b/>
          <w:bCs/>
        </w:rPr>
        <w:t xml:space="preserve">12d. </w:t>
      </w:r>
      <w:r w:rsidRPr="009E7848">
        <w:rPr>
          <w:rFonts w:cstheme="minorHAnsi"/>
          <w:b/>
          <w:bCs/>
        </w:rPr>
        <w:t xml:space="preserve">Respondent </w:t>
      </w:r>
      <w:r w:rsidRPr="009E7848" w:rsidR="00BB2B15">
        <w:rPr>
          <w:rFonts w:cstheme="minorHAnsi"/>
          <w:b/>
          <w:bCs/>
        </w:rPr>
        <w:t xml:space="preserve">Burden </w:t>
      </w:r>
      <w:r w:rsidRPr="009E7848" w:rsidR="00B666CD">
        <w:rPr>
          <w:rFonts w:cstheme="minorHAnsi"/>
          <w:b/>
          <w:bCs/>
        </w:rPr>
        <w:t>Hour</w:t>
      </w:r>
      <w:r w:rsidRPr="009E7848" w:rsidR="00BB2B15">
        <w:rPr>
          <w:rFonts w:cstheme="minorHAnsi"/>
          <w:b/>
          <w:bCs/>
        </w:rPr>
        <w:t>s</w:t>
      </w:r>
      <w:r w:rsidRPr="009E7848" w:rsidR="00B666CD">
        <w:rPr>
          <w:rFonts w:cstheme="minorHAnsi"/>
          <w:b/>
          <w:bCs/>
        </w:rPr>
        <w:t xml:space="preserve"> and Labor </w:t>
      </w:r>
      <w:bookmarkEnd w:id="17"/>
      <w:r w:rsidRPr="009E7848" w:rsidR="00BB2B15">
        <w:rPr>
          <w:rFonts w:cstheme="minorHAnsi"/>
          <w:b/>
          <w:bCs/>
        </w:rPr>
        <w:t>Costs</w:t>
      </w:r>
    </w:p>
    <w:p w:rsidR="00B92495" w:rsidRPr="009E7848" w:rsidP="00AD79CA" w14:paraId="5734A0A8" w14:textId="125A0EE6">
      <w:pPr>
        <w:autoSpaceDE w:val="0"/>
        <w:autoSpaceDN w:val="0"/>
        <w:adjustRightInd w:val="0"/>
        <w:rPr>
          <w:rFonts w:cstheme="minorHAnsi"/>
        </w:rPr>
      </w:pPr>
      <w:r w:rsidRPr="009E7848">
        <w:rPr>
          <w:rFonts w:cstheme="minorHAnsi"/>
        </w:rPr>
        <w:t>T</w:t>
      </w:r>
      <w:r w:rsidRPr="009E7848">
        <w:rPr>
          <w:rFonts w:cstheme="minorHAnsi"/>
        </w:rPr>
        <w:t xml:space="preserve">his section estimates respondents’ burden and cost to meet the information collection requirements described above. </w:t>
      </w:r>
      <w:r w:rsidRPr="009E7848">
        <w:rPr>
          <w:rFonts w:cstheme="minorHAnsi"/>
        </w:rPr>
        <w:t xml:space="preserve"> </w:t>
      </w:r>
      <w:r w:rsidRPr="009E7848">
        <w:rPr>
          <w:rFonts w:cstheme="minorHAnsi"/>
        </w:rPr>
        <w:t>To estimate the burden and/or cost of each requirement, EPA utilized prior estimates of the costs of activities, estimates provided by affected utilities in comments to the Agency, and/or estimates based on the Agency's experience in implementing existing trading programs.</w:t>
      </w:r>
    </w:p>
    <w:p w:rsidR="00B92495" w:rsidRPr="009E7848" w:rsidP="00AD79CA" w14:paraId="4F3D0BB8" w14:textId="282C1328">
      <w:pPr>
        <w:autoSpaceDE w:val="0"/>
        <w:autoSpaceDN w:val="0"/>
        <w:adjustRightInd w:val="0"/>
        <w:rPr>
          <w:rFonts w:cstheme="minorHAnsi"/>
        </w:rPr>
      </w:pPr>
      <w:r w:rsidRPr="009E7848">
        <w:rPr>
          <w:rFonts w:cstheme="minorHAnsi"/>
        </w:rPr>
        <w:t xml:space="preserve">For purposes of this ICR, emissions-related burdens and costs are calculated only for </w:t>
      </w:r>
      <w:r w:rsidRPr="009E7848" w:rsidR="003236A7">
        <w:rPr>
          <w:rFonts w:cstheme="minorHAnsi"/>
        </w:rPr>
        <w:t>CSAPR or Texas SO</w:t>
      </w:r>
      <w:r w:rsidRPr="009E7848" w:rsidR="003236A7">
        <w:rPr>
          <w:rFonts w:cstheme="minorHAnsi"/>
          <w:vertAlign w:val="subscript"/>
        </w:rPr>
        <w:t>2</w:t>
      </w:r>
      <w:r w:rsidRPr="009E7848" w:rsidR="003236A7">
        <w:rPr>
          <w:rFonts w:cstheme="minorHAnsi"/>
        </w:rPr>
        <w:t xml:space="preserve"> </w:t>
      </w:r>
      <w:r w:rsidRPr="009E7848">
        <w:rPr>
          <w:rFonts w:cstheme="minorHAnsi"/>
        </w:rPr>
        <w:t xml:space="preserve">units </w:t>
      </w:r>
      <w:r w:rsidRPr="009E7848" w:rsidR="003236A7">
        <w:rPr>
          <w:rFonts w:cstheme="minorHAnsi"/>
        </w:rPr>
        <w:t xml:space="preserve">that are </w:t>
      </w:r>
      <w:r w:rsidRPr="009E7848">
        <w:rPr>
          <w:rFonts w:cstheme="minorHAnsi"/>
        </w:rPr>
        <w:t xml:space="preserve">not </w:t>
      </w:r>
      <w:r w:rsidRPr="009E7848" w:rsidR="003236A7">
        <w:rPr>
          <w:rFonts w:cstheme="minorHAnsi"/>
        </w:rPr>
        <w:t xml:space="preserve">also </w:t>
      </w:r>
      <w:r w:rsidRPr="009E7848">
        <w:rPr>
          <w:rFonts w:cstheme="minorHAnsi"/>
        </w:rPr>
        <w:t xml:space="preserve">subject to the ARP. Units subject to the ARP have all of the monitoring and reporting capability required under CSAPR, and EPA believes that the associated ongoing burdens and costs are entirely accounted for under the ARP ICR.  Most CSAPR-affected units are subject to the ARP, and all units required to participate in the Texas trading program are also subject to the ARP.  Relatedly, this ICR does not address burden and costs for any new units.  EPA expects that any new CSAPR-affected units will also be subject to the ARP, and the burden and costs for those units are therefore covered under the ARP ICR.  The Texas </w:t>
      </w:r>
      <w:r w:rsidRPr="009E7848" w:rsidR="00DD21CA">
        <w:rPr>
          <w:rFonts w:cstheme="minorHAnsi"/>
        </w:rPr>
        <w:t>SO</w:t>
      </w:r>
      <w:r w:rsidRPr="009E7848" w:rsidR="00DD21CA">
        <w:rPr>
          <w:rFonts w:cstheme="minorHAnsi"/>
          <w:vertAlign w:val="subscript"/>
        </w:rPr>
        <w:t xml:space="preserve">2 </w:t>
      </w:r>
      <w:r w:rsidRPr="009E7848">
        <w:rPr>
          <w:rFonts w:cstheme="minorHAnsi"/>
        </w:rPr>
        <w:t>trading program does not apply to new units.</w:t>
      </w:r>
      <w:r w:rsidRPr="009E7848">
        <w:rPr>
          <w:rFonts w:cstheme="minorHAnsi"/>
        </w:rPr>
        <w:t xml:space="preserve"> </w:t>
      </w:r>
      <w:r w:rsidRPr="009E7848">
        <w:rPr>
          <w:rFonts w:cstheme="minorHAnsi"/>
        </w:rPr>
        <w:t xml:space="preserve"> </w:t>
      </w:r>
    </w:p>
    <w:p w:rsidR="00B92495" w:rsidRPr="009E7848" w:rsidP="00AD79CA" w14:paraId="750AB455" w14:textId="77777777">
      <w:pPr>
        <w:autoSpaceDE w:val="0"/>
        <w:autoSpaceDN w:val="0"/>
        <w:adjustRightInd w:val="0"/>
        <w:rPr>
          <w:rFonts w:cstheme="minorHAnsi"/>
        </w:rPr>
      </w:pPr>
      <w:r w:rsidRPr="009E7848">
        <w:rPr>
          <w:rFonts w:cstheme="minorHAnsi"/>
        </w:rPr>
        <w:t>Burden and costs associated with allowance-related activities and submittal of certificates of representation and other registration forms are calculated based on the estimated numbers of transactions.  The estimates reflect transactions by all sources subject to the CSAPR and Texas trading programs as well as non-source entities participating in allowance trading activities.</w:t>
      </w:r>
    </w:p>
    <w:p w:rsidR="00B92495" w:rsidRPr="009E7848" w:rsidP="00AD79CA" w14:paraId="5A1F9E47" w14:textId="100729B0">
      <w:pPr>
        <w:autoSpaceDE w:val="0"/>
        <w:autoSpaceDN w:val="0"/>
        <w:adjustRightInd w:val="0"/>
        <w:rPr>
          <w:rFonts w:cstheme="minorHAnsi"/>
        </w:rPr>
      </w:pPr>
      <w:r w:rsidRPr="009E7848">
        <w:rPr>
          <w:rFonts w:cstheme="minorHAnsi"/>
        </w:rPr>
        <w:t xml:space="preserve">Table </w:t>
      </w:r>
      <w:r w:rsidRPr="009E7848" w:rsidR="009B5FBC">
        <w:rPr>
          <w:rFonts w:cstheme="minorHAnsi"/>
        </w:rPr>
        <w:t xml:space="preserve">12.1 </w:t>
      </w:r>
      <w:r w:rsidRPr="009E7848">
        <w:rPr>
          <w:rFonts w:cstheme="minorHAnsi"/>
        </w:rPr>
        <w:t xml:space="preserve">summarizes the annual industry respondent burden for registration-related, allowance-related, and emissions-related activities.  Table </w:t>
      </w:r>
      <w:r w:rsidRPr="009E7848" w:rsidR="009B5FBC">
        <w:rPr>
          <w:rFonts w:cstheme="minorHAnsi"/>
        </w:rPr>
        <w:t xml:space="preserve">12.2 </w:t>
      </w:r>
      <w:r w:rsidRPr="009E7848">
        <w:rPr>
          <w:rFonts w:cstheme="minorHAnsi"/>
        </w:rPr>
        <w:t xml:space="preserve">summarizes the annual state respondent burden.  The following discussion describes how the burden estimates were derived.  </w:t>
      </w:r>
    </w:p>
    <w:p w:rsidR="003013E9" w:rsidRPr="009E7848" w:rsidP="00AD79CA" w14:paraId="6B95CBF4" w14:textId="77777777">
      <w:pPr>
        <w:autoSpaceDE w:val="0"/>
        <w:autoSpaceDN w:val="0"/>
        <w:adjustRightInd w:val="0"/>
        <w:rPr>
          <w:rFonts w:cstheme="minorHAnsi"/>
          <w:iCs/>
        </w:rPr>
      </w:pPr>
    </w:p>
    <w:p w:rsidR="003013E9" w:rsidRPr="009E7848" w:rsidP="003013E9" w14:paraId="6140268E" w14:textId="77777777">
      <w:pPr>
        <w:pStyle w:val="ListParagraph"/>
        <w:keepNext/>
        <w:numPr>
          <w:ilvl w:val="0"/>
          <w:numId w:val="14"/>
        </w:numPr>
        <w:autoSpaceDE w:val="0"/>
        <w:autoSpaceDN w:val="0"/>
        <w:adjustRightInd w:val="0"/>
        <w:rPr>
          <w:rFonts w:cstheme="minorHAnsi"/>
          <w:iCs/>
        </w:rPr>
      </w:pPr>
      <w:r w:rsidRPr="009E7848">
        <w:rPr>
          <w:rFonts w:cstheme="minorHAnsi"/>
          <w:iCs/>
        </w:rPr>
        <w:t>Respondent Burden Related to Certificates of Representation and Other One-Time Registration Forms</w:t>
      </w:r>
    </w:p>
    <w:p w:rsidR="003013E9" w:rsidRPr="009E7848" w:rsidP="003013E9" w14:paraId="5504A2CC" w14:textId="3B877487">
      <w:pPr>
        <w:keepNext/>
        <w:autoSpaceDE w:val="0"/>
        <w:autoSpaceDN w:val="0"/>
        <w:adjustRightInd w:val="0"/>
        <w:ind w:left="720"/>
        <w:rPr>
          <w:rFonts w:cstheme="minorHAnsi"/>
          <w:iCs/>
        </w:rPr>
      </w:pPr>
      <w:r w:rsidRPr="009E7848">
        <w:rPr>
          <w:rFonts w:cstheme="minorHAnsi"/>
        </w:rPr>
        <w:t xml:space="preserve">Under the CSAPR and Texas </w:t>
      </w:r>
      <w:r w:rsidRPr="009E7848" w:rsidR="00DD21CA">
        <w:rPr>
          <w:rFonts w:cstheme="minorHAnsi"/>
        </w:rPr>
        <w:t>SO</w:t>
      </w:r>
      <w:r w:rsidRPr="009E7848" w:rsidR="00DD21CA">
        <w:rPr>
          <w:rFonts w:cstheme="minorHAnsi"/>
          <w:vertAlign w:val="subscript"/>
        </w:rPr>
        <w:t>2</w:t>
      </w:r>
      <w:r w:rsidRPr="009E7848" w:rsidR="001624D1">
        <w:rPr>
          <w:rFonts w:cstheme="minorHAnsi"/>
        </w:rPr>
        <w:t xml:space="preserve"> </w:t>
      </w:r>
      <w:r w:rsidRPr="009E7848">
        <w:rPr>
          <w:rFonts w:cstheme="minorHAnsi"/>
        </w:rPr>
        <w:t xml:space="preserve">trading programs, the designated representative for each affected source must submit a certificate of representation to EPA.  For purposes of this ICR, EPA estimates that certificates of representation covering 10% of non-ARP-affected units will need to be updated annually.  EPA believes that all such revisions are routine and estimates that, on a </w:t>
      </w:r>
      <w:r w:rsidRPr="009E7848">
        <w:rPr>
          <w:rFonts w:cstheme="minorHAnsi"/>
        </w:rPr>
        <w:t xml:space="preserve">per unit basis, about one half hour of managerial time and </w:t>
      </w:r>
      <w:r w:rsidRPr="009E7848">
        <w:rPr>
          <w:rFonts w:cstheme="minorHAnsi"/>
        </w:rPr>
        <w:t>one-half</w:t>
      </w:r>
      <w:r w:rsidRPr="009E7848">
        <w:rPr>
          <w:rFonts w:cstheme="minorHAnsi"/>
        </w:rPr>
        <w:t xml:space="preserve"> hour of technical time will be required for each revision.</w:t>
      </w:r>
    </w:p>
    <w:p w:rsidR="00B92495" w:rsidRPr="009E7848" w:rsidP="003013E9" w14:paraId="1EC22412" w14:textId="2D8BE500">
      <w:pPr>
        <w:keepNext/>
        <w:autoSpaceDE w:val="0"/>
        <w:autoSpaceDN w:val="0"/>
        <w:adjustRightInd w:val="0"/>
        <w:ind w:left="720"/>
        <w:rPr>
          <w:rFonts w:cstheme="minorHAnsi"/>
        </w:rPr>
      </w:pPr>
      <w:r w:rsidRPr="009E7848">
        <w:rPr>
          <w:rFonts w:cstheme="minorHAnsi"/>
        </w:rPr>
        <w:t xml:space="preserve">Under the CSAPR and Texas </w:t>
      </w:r>
      <w:r w:rsidRPr="009E7848" w:rsidR="00DD21CA">
        <w:rPr>
          <w:rFonts w:cstheme="minorHAnsi"/>
        </w:rPr>
        <w:t>SO</w:t>
      </w:r>
      <w:r w:rsidRPr="009E7848" w:rsidR="00DD21CA">
        <w:rPr>
          <w:rFonts w:cstheme="minorHAnsi"/>
          <w:vertAlign w:val="subscript"/>
        </w:rPr>
        <w:t>2</w:t>
      </w:r>
      <w:r w:rsidRPr="009E7848" w:rsidR="00DD21CA">
        <w:rPr>
          <w:rFonts w:cstheme="minorHAnsi"/>
        </w:rPr>
        <w:t xml:space="preserve"> </w:t>
      </w:r>
      <w:r w:rsidRPr="009E7848">
        <w:rPr>
          <w:rFonts w:cstheme="minorHAnsi"/>
        </w:rPr>
        <w:t>trading programs, the designated representative for each retired unit must submit a retired unit exemption form.  EPA estimates that retired unit exemption forms will be filed for approximately 3% of non-ARP units annually, and estimates that each revision will require about one hour of managerial time and one hour of technical time.</w:t>
      </w:r>
    </w:p>
    <w:p w:rsidR="003013E9" w:rsidRPr="009E7848" w:rsidP="003013E9" w14:paraId="07B33D35" w14:textId="77777777">
      <w:pPr>
        <w:keepNext/>
        <w:autoSpaceDE w:val="0"/>
        <w:autoSpaceDN w:val="0"/>
        <w:adjustRightInd w:val="0"/>
        <w:ind w:left="720"/>
        <w:rPr>
          <w:rFonts w:cstheme="minorHAnsi"/>
          <w:iCs/>
        </w:rPr>
      </w:pPr>
    </w:p>
    <w:p w:rsidR="003013E9" w:rsidRPr="009E7848" w:rsidP="003013E9" w14:paraId="4D9F4E45" w14:textId="77777777">
      <w:pPr>
        <w:pStyle w:val="ListParagraph"/>
        <w:numPr>
          <w:ilvl w:val="0"/>
          <w:numId w:val="14"/>
        </w:numPr>
        <w:autoSpaceDE w:val="0"/>
        <w:autoSpaceDN w:val="0"/>
        <w:adjustRightInd w:val="0"/>
        <w:rPr>
          <w:rFonts w:cstheme="minorHAnsi"/>
        </w:rPr>
      </w:pPr>
      <w:r w:rsidRPr="009E7848">
        <w:rPr>
          <w:rFonts w:cstheme="minorHAnsi"/>
          <w:iCs/>
        </w:rPr>
        <w:t>Respondent Burden Related to Allowance Tracking</w:t>
      </w:r>
    </w:p>
    <w:p w:rsidR="003013E9" w:rsidRPr="009E7848" w:rsidP="003013E9" w14:paraId="26EA26FC" w14:textId="77777777">
      <w:pPr>
        <w:pStyle w:val="ListParagraph"/>
        <w:autoSpaceDE w:val="0"/>
        <w:autoSpaceDN w:val="0"/>
        <w:adjustRightInd w:val="0"/>
        <w:rPr>
          <w:rFonts w:cstheme="minorHAnsi"/>
          <w:iCs/>
        </w:rPr>
      </w:pPr>
    </w:p>
    <w:p w:rsidR="003013E9" w:rsidRPr="009E7848" w:rsidP="00202D30" w14:paraId="315893E2" w14:textId="28F8267A">
      <w:pPr>
        <w:pStyle w:val="ListParagraph"/>
        <w:autoSpaceDE w:val="0"/>
        <w:autoSpaceDN w:val="0"/>
        <w:adjustRightInd w:val="0"/>
        <w:rPr>
          <w:rFonts w:cstheme="minorHAnsi"/>
        </w:rPr>
      </w:pPr>
      <w:r w:rsidRPr="009E7848">
        <w:rPr>
          <w:rFonts w:cstheme="minorHAnsi"/>
        </w:rPr>
        <w:t xml:space="preserve">Based on the number of allowance transfers recorded by EPA for all CSAPR trading programs for the </w:t>
      </w:r>
      <w:r w:rsidRPr="009E7848" w:rsidR="00C95B3E">
        <w:rPr>
          <w:rFonts w:cstheme="minorHAnsi"/>
        </w:rPr>
        <w:t xml:space="preserve">2022-2024 </w:t>
      </w:r>
      <w:r w:rsidRPr="009E7848">
        <w:rPr>
          <w:rFonts w:cstheme="minorHAnsi"/>
        </w:rPr>
        <w:t xml:space="preserve">, EPA estimates that approximately </w:t>
      </w:r>
      <w:r w:rsidRPr="009E7848" w:rsidR="00C95B3E">
        <w:rPr>
          <w:rFonts w:cstheme="minorHAnsi"/>
        </w:rPr>
        <w:t>1,214</w:t>
      </w:r>
      <w:r w:rsidRPr="009E7848">
        <w:rPr>
          <w:rFonts w:cstheme="minorHAnsi"/>
        </w:rPr>
        <w:t xml:space="preserve"> privately submitted allowance transfers will be made each year by sources and non-source entities combined.  The Agency estimates that each transaction submitted will involve about one hour each of managerial and technician time.</w:t>
      </w:r>
    </w:p>
    <w:p w:rsidR="00202D30" w:rsidRPr="009E7848" w:rsidP="00202D30" w14:paraId="4AA8E537" w14:textId="77777777">
      <w:pPr>
        <w:pStyle w:val="ListParagraph"/>
        <w:autoSpaceDE w:val="0"/>
        <w:autoSpaceDN w:val="0"/>
        <w:adjustRightInd w:val="0"/>
        <w:rPr>
          <w:rFonts w:cstheme="minorHAnsi"/>
        </w:rPr>
      </w:pPr>
    </w:p>
    <w:p w:rsidR="00202D30" w:rsidRPr="009E7848" w:rsidP="00202D30" w14:paraId="70C2AB4D" w14:textId="11DBFE1E">
      <w:pPr>
        <w:pStyle w:val="ListParagraph"/>
        <w:autoSpaceDE w:val="0"/>
        <w:autoSpaceDN w:val="0"/>
        <w:adjustRightInd w:val="0"/>
        <w:rPr>
          <w:rFonts w:cstheme="minorHAnsi"/>
        </w:rPr>
      </w:pPr>
      <w:r w:rsidRPr="009E7848">
        <w:rPr>
          <w:rFonts w:cstheme="minorHAnsi"/>
        </w:rPr>
        <w:t xml:space="preserve">Because compliance under the CSAPR and Texas </w:t>
      </w:r>
      <w:r w:rsidRPr="009E7848" w:rsidR="00DD21CA">
        <w:rPr>
          <w:rFonts w:cstheme="minorHAnsi"/>
        </w:rPr>
        <w:t>SO</w:t>
      </w:r>
      <w:r w:rsidRPr="009E7848" w:rsidR="00DD21CA">
        <w:rPr>
          <w:rFonts w:cstheme="minorHAnsi"/>
          <w:vertAlign w:val="subscript"/>
        </w:rPr>
        <w:t xml:space="preserve">2 </w:t>
      </w:r>
      <w:r w:rsidRPr="009E7848">
        <w:rPr>
          <w:rFonts w:cstheme="minorHAnsi"/>
        </w:rPr>
        <w:t xml:space="preserve">trading programs is determined on a facility basis rather than a unit basis, allowance deduction forms are also generally submitted for facilities rather than individual units.  From experience, EPA estimates that these optional forms will be submitted for approximately </w:t>
      </w:r>
      <w:r w:rsidRPr="009E7848" w:rsidR="00C95B3E">
        <w:rPr>
          <w:rFonts w:cstheme="minorHAnsi"/>
        </w:rPr>
        <w:t>25%</w:t>
      </w:r>
      <w:r w:rsidRPr="009E7848">
        <w:rPr>
          <w:rFonts w:cstheme="minorHAnsi"/>
        </w:rPr>
        <w:t xml:space="preserve"> of all affected facilities, and that each transaction submitted will involve about one hour of managerial time and two hours of technician time.  </w:t>
      </w:r>
    </w:p>
    <w:p w:rsidR="00202D30" w:rsidRPr="009E7848" w:rsidP="00202D30" w14:paraId="046CA821" w14:textId="77777777">
      <w:pPr>
        <w:pStyle w:val="ListParagraph"/>
        <w:autoSpaceDE w:val="0"/>
        <w:autoSpaceDN w:val="0"/>
        <w:adjustRightInd w:val="0"/>
        <w:rPr>
          <w:rFonts w:cstheme="minorHAnsi"/>
        </w:rPr>
      </w:pPr>
    </w:p>
    <w:p w:rsidR="00B92495" w:rsidRPr="009E7848" w:rsidP="00202D30" w14:paraId="6D96B4D5" w14:textId="5F4C02CF">
      <w:pPr>
        <w:pStyle w:val="ListParagraph"/>
        <w:autoSpaceDE w:val="0"/>
        <w:autoSpaceDN w:val="0"/>
        <w:adjustRightInd w:val="0"/>
        <w:rPr>
          <w:rFonts w:cstheme="minorHAnsi"/>
        </w:rPr>
      </w:pPr>
      <w:r w:rsidRPr="009E7848">
        <w:rPr>
          <w:rFonts w:cstheme="minorHAnsi"/>
          <w:iCs/>
        </w:rPr>
        <w:t>As noted above, under the CSAPR trading programs, states have certain options to submit state-determined allowance allocations.  EPA estimates that where a state has elected to submit such allocations, the activities to prepare the submissions will require 100 hours per year, comprising 25 hours of managerial time and 75 hours of technician time.</w:t>
      </w:r>
      <w:r w:rsidRPr="009E7848">
        <w:rPr>
          <w:rFonts w:cstheme="minorHAnsi"/>
        </w:rPr>
        <w:t xml:space="preserve"> To date, four states have revised their SIPs to provide for periodic submissions of CSAPR allowance allocation information. </w:t>
      </w:r>
    </w:p>
    <w:p w:rsidR="00B92495" w:rsidRPr="009E7848" w:rsidP="00B92495" w14:paraId="49A44DEF" w14:textId="77777777">
      <w:pPr>
        <w:autoSpaceDE w:val="0"/>
        <w:autoSpaceDN w:val="0"/>
        <w:adjustRightInd w:val="0"/>
        <w:rPr>
          <w:rFonts w:cstheme="minorHAnsi"/>
        </w:rPr>
      </w:pPr>
    </w:p>
    <w:p w:rsidR="005637BF" w:rsidRPr="009E7848" w:rsidP="005637BF" w14:paraId="2D3EE2FD" w14:textId="63211CA4">
      <w:pPr>
        <w:pStyle w:val="ListParagraph"/>
        <w:numPr>
          <w:ilvl w:val="0"/>
          <w:numId w:val="14"/>
        </w:numPr>
        <w:autoSpaceDE w:val="0"/>
        <w:autoSpaceDN w:val="0"/>
        <w:adjustRightInd w:val="0"/>
        <w:rPr>
          <w:rFonts w:cstheme="minorHAnsi"/>
        </w:rPr>
      </w:pPr>
      <w:r w:rsidRPr="009E7848">
        <w:rPr>
          <w:rFonts w:cstheme="minorHAnsi"/>
          <w:iCs/>
        </w:rPr>
        <w:t>Respondent Burden Related to Emissions Monitoring and Reporting</w:t>
      </w:r>
    </w:p>
    <w:p w:rsidR="003013E9" w:rsidRPr="009E7848" w:rsidP="003013E9" w14:paraId="541DFA78" w14:textId="77777777">
      <w:pPr>
        <w:pStyle w:val="ListParagraph"/>
        <w:autoSpaceDE w:val="0"/>
        <w:autoSpaceDN w:val="0"/>
        <w:adjustRightInd w:val="0"/>
        <w:rPr>
          <w:rFonts w:cstheme="minorHAnsi"/>
          <w:iCs/>
        </w:rPr>
      </w:pPr>
    </w:p>
    <w:p w:rsidR="003013E9" w:rsidRPr="009E7848" w:rsidP="003013E9" w14:paraId="363FD27C" w14:textId="6E6D65A0">
      <w:pPr>
        <w:pStyle w:val="ListParagraph"/>
        <w:autoSpaceDE w:val="0"/>
        <w:autoSpaceDN w:val="0"/>
        <w:adjustRightInd w:val="0"/>
        <w:rPr>
          <w:rFonts w:cstheme="minorHAnsi"/>
        </w:rPr>
      </w:pPr>
      <w:r w:rsidRPr="009E7848">
        <w:rPr>
          <w:rFonts w:cstheme="minorHAnsi"/>
        </w:rPr>
        <w:t>For emissions monitoring and reporting, the respondent burden varies depending on the monitoring approach followed by the unit and the trading programs in which the unit participates.  The burden and costs in Table 2 are broken out for various groups of respondents to reflect these differences.  As noted above, EPA believes that the emissions-related information collection burden and costs of</w:t>
      </w:r>
      <w:r w:rsidRPr="009E7848" w:rsidR="00C95B3E">
        <w:rPr>
          <w:rFonts w:cstheme="minorHAnsi"/>
        </w:rPr>
        <w:t xml:space="preserve"> </w:t>
      </w:r>
      <w:r w:rsidRPr="009E7848">
        <w:rPr>
          <w:rFonts w:cstheme="minorHAnsi"/>
        </w:rPr>
        <w:t xml:space="preserve">the CSAPR and Texas </w:t>
      </w:r>
      <w:r w:rsidRPr="009E7848" w:rsidR="00C95B3E">
        <w:rPr>
          <w:rFonts w:cstheme="minorHAnsi"/>
        </w:rPr>
        <w:t>SO</w:t>
      </w:r>
      <w:r w:rsidRPr="009E7848" w:rsidR="00C95B3E">
        <w:rPr>
          <w:rFonts w:cstheme="minorHAnsi"/>
          <w:vertAlign w:val="subscript"/>
        </w:rPr>
        <w:t xml:space="preserve">2 </w:t>
      </w:r>
      <w:r w:rsidRPr="009E7848">
        <w:rPr>
          <w:rFonts w:cstheme="minorHAnsi"/>
        </w:rPr>
        <w:t xml:space="preserve">trading programs are fully </w:t>
      </w:r>
      <w:r w:rsidRPr="009E7848" w:rsidR="00C95B3E">
        <w:rPr>
          <w:rFonts w:cstheme="minorHAnsi"/>
        </w:rPr>
        <w:t>integrated with the ARP. The emissions related burdens for CSPAR and/or Texas SO</w:t>
      </w:r>
      <w:r w:rsidRPr="009E7848" w:rsidR="00C95B3E">
        <w:rPr>
          <w:rFonts w:cstheme="minorHAnsi"/>
          <w:vertAlign w:val="subscript"/>
        </w:rPr>
        <w:t xml:space="preserve">2 </w:t>
      </w:r>
      <w:r w:rsidRPr="009E7848" w:rsidR="00C95B3E">
        <w:rPr>
          <w:rFonts w:cstheme="minorHAnsi"/>
        </w:rPr>
        <w:t xml:space="preserve">units who are also subject to ARP, are fully </w:t>
      </w:r>
      <w:r w:rsidRPr="009E7848">
        <w:rPr>
          <w:rFonts w:cstheme="minorHAnsi"/>
        </w:rPr>
        <w:t>accounted for in the ARP ICR</w:t>
      </w:r>
      <w:r w:rsidRPr="009E7848" w:rsidR="00C95B3E">
        <w:rPr>
          <w:rFonts w:cstheme="minorHAnsi"/>
        </w:rPr>
        <w:t>.</w:t>
      </w:r>
      <w:r w:rsidRPr="009E7848" w:rsidR="00DD21CA">
        <w:rPr>
          <w:rFonts w:cstheme="minorHAnsi"/>
        </w:rPr>
        <w:t xml:space="preserve"> </w:t>
      </w:r>
      <w:r w:rsidRPr="009E7848" w:rsidR="00C95B3E">
        <w:rPr>
          <w:rFonts w:cstheme="minorHAnsi"/>
        </w:rPr>
        <w:t>T</w:t>
      </w:r>
      <w:r w:rsidRPr="009E7848">
        <w:rPr>
          <w:rFonts w:cstheme="minorHAnsi"/>
        </w:rPr>
        <w:t>his ICR therefore accounts for emissions-related burden and costs for non-ARP units</w:t>
      </w:r>
      <w:r w:rsidRPr="009E7848" w:rsidR="00DD21CA">
        <w:rPr>
          <w:rFonts w:cstheme="minorHAnsi"/>
        </w:rPr>
        <w:t xml:space="preserve"> only</w:t>
      </w:r>
      <w:r w:rsidRPr="009E7848">
        <w:rPr>
          <w:rFonts w:cstheme="minorHAnsi"/>
        </w:rPr>
        <w:t>.</w:t>
      </w:r>
    </w:p>
    <w:p w:rsidR="003013E9" w:rsidRPr="009E7848" w:rsidP="003013E9" w14:paraId="01E0477D" w14:textId="77777777">
      <w:pPr>
        <w:pStyle w:val="ListParagraph"/>
        <w:autoSpaceDE w:val="0"/>
        <w:autoSpaceDN w:val="0"/>
        <w:adjustRightInd w:val="0"/>
        <w:rPr>
          <w:rFonts w:cstheme="minorHAnsi"/>
        </w:rPr>
      </w:pPr>
    </w:p>
    <w:p w:rsidR="003013E9" w:rsidRPr="009E7848" w:rsidP="003013E9" w14:paraId="6D050785" w14:textId="3660B67F">
      <w:pPr>
        <w:pStyle w:val="ListParagraph"/>
        <w:autoSpaceDE w:val="0"/>
        <w:autoSpaceDN w:val="0"/>
        <w:adjustRightInd w:val="0"/>
        <w:rPr>
          <w:rFonts w:cstheme="minorHAnsi"/>
        </w:rPr>
      </w:pPr>
      <w:r w:rsidRPr="009E7848">
        <w:rPr>
          <w:rFonts w:cstheme="minorHAnsi"/>
        </w:rPr>
        <w:t xml:space="preserve">The CSAPR and Texas </w:t>
      </w:r>
      <w:r w:rsidRPr="009E7848" w:rsidR="00DD21CA">
        <w:rPr>
          <w:rFonts w:cstheme="minorHAnsi"/>
        </w:rPr>
        <w:t>SO</w:t>
      </w:r>
      <w:r w:rsidRPr="009E7848" w:rsidR="00DD21CA">
        <w:rPr>
          <w:rFonts w:cstheme="minorHAnsi"/>
          <w:vertAlign w:val="subscript"/>
        </w:rPr>
        <w:t xml:space="preserve">2 </w:t>
      </w:r>
      <w:r w:rsidRPr="009E7848">
        <w:rPr>
          <w:rFonts w:cstheme="minorHAnsi"/>
        </w:rPr>
        <w:t>trading programs generally require all affected sources to monitor their NO</w:t>
      </w:r>
      <w:r w:rsidRPr="009E7848">
        <w:rPr>
          <w:rFonts w:cstheme="minorHAnsi"/>
          <w:vertAlign w:val="subscript"/>
        </w:rPr>
        <w:t>X</w:t>
      </w:r>
      <w:r w:rsidRPr="009E7848">
        <w:rPr>
          <w:rFonts w:cstheme="minorHAnsi"/>
        </w:rPr>
        <w:t xml:space="preserve"> and/or SO</w:t>
      </w:r>
      <w:r w:rsidRPr="009E7848">
        <w:rPr>
          <w:rFonts w:cstheme="minorHAnsi"/>
          <w:vertAlign w:val="subscript"/>
        </w:rPr>
        <w:t>2</w:t>
      </w:r>
      <w:r w:rsidRPr="009E7848">
        <w:rPr>
          <w:rFonts w:cstheme="minorHAnsi"/>
        </w:rPr>
        <w:t xml:space="preserve"> emission rate and heat input in order to determine NO</w:t>
      </w:r>
      <w:r w:rsidRPr="009E7848">
        <w:rPr>
          <w:rFonts w:cstheme="minorHAnsi"/>
          <w:vertAlign w:val="subscript"/>
        </w:rPr>
        <w:t>X</w:t>
      </w:r>
      <w:r w:rsidRPr="009E7848">
        <w:rPr>
          <w:rFonts w:cstheme="minorHAnsi"/>
        </w:rPr>
        <w:t xml:space="preserve"> mass emissions and/or SO</w:t>
      </w:r>
      <w:r w:rsidRPr="009E7848">
        <w:rPr>
          <w:rFonts w:cstheme="minorHAnsi"/>
          <w:vertAlign w:val="subscript"/>
        </w:rPr>
        <w:t>2</w:t>
      </w:r>
      <w:r w:rsidRPr="009E7848">
        <w:rPr>
          <w:rFonts w:cstheme="minorHAnsi"/>
        </w:rPr>
        <w:t xml:space="preserve"> mass emissions.  Coal-fired units use NO</w:t>
      </w:r>
      <w:r w:rsidRPr="009E7848">
        <w:rPr>
          <w:rFonts w:cstheme="minorHAnsi"/>
          <w:vertAlign w:val="subscript"/>
        </w:rPr>
        <w:t>X</w:t>
      </w:r>
      <w:r w:rsidRPr="009E7848">
        <w:rPr>
          <w:rFonts w:cstheme="minorHAnsi"/>
        </w:rPr>
        <w:t>, SO</w:t>
      </w:r>
      <w:r w:rsidRPr="009E7848">
        <w:rPr>
          <w:rFonts w:cstheme="minorHAnsi"/>
          <w:vertAlign w:val="subscript"/>
        </w:rPr>
        <w:t>2</w:t>
      </w:r>
      <w:r w:rsidRPr="009E7848">
        <w:rPr>
          <w:rFonts w:cstheme="minorHAnsi"/>
        </w:rPr>
        <w:t>, and stack flow CEMS to meet those requirements.  Oil and gas-fired units have alternatives.  For SO</w:t>
      </w:r>
      <w:r w:rsidRPr="009E7848">
        <w:rPr>
          <w:rFonts w:cstheme="minorHAnsi"/>
          <w:vertAlign w:val="subscript"/>
        </w:rPr>
        <w:t>2</w:t>
      </w:r>
      <w:r w:rsidRPr="009E7848">
        <w:rPr>
          <w:rFonts w:cstheme="minorHAnsi"/>
        </w:rPr>
        <w:t xml:space="preserve">, these units can use fuel </w:t>
      </w:r>
      <w:r w:rsidRPr="009E7848">
        <w:rPr>
          <w:rFonts w:cstheme="minorHAnsi"/>
        </w:rPr>
        <w:t>sampling and analysis (or an SO</w:t>
      </w:r>
      <w:r w:rsidRPr="009E7848">
        <w:rPr>
          <w:rFonts w:cstheme="minorHAnsi"/>
          <w:vertAlign w:val="subscript"/>
        </w:rPr>
        <w:t>2</w:t>
      </w:r>
      <w:r w:rsidRPr="009E7848">
        <w:rPr>
          <w:rFonts w:cstheme="minorHAnsi"/>
        </w:rPr>
        <w:t xml:space="preserve"> default factor for pipeline natural gas) combined with a fuel flowmeter.  In addition, peaking units that burn natural gas and/or fuel oil may use an alternative method for calculating NO</w:t>
      </w:r>
      <w:r w:rsidRPr="009E7848">
        <w:rPr>
          <w:rFonts w:cstheme="minorHAnsi"/>
          <w:vertAlign w:val="subscript"/>
        </w:rPr>
        <w:t>X</w:t>
      </w:r>
      <w:r w:rsidRPr="009E7848">
        <w:rPr>
          <w:rFonts w:cstheme="minorHAnsi"/>
        </w:rPr>
        <w:t xml:space="preserve"> emission rates.  The regulations also allow certain low mass emissions units to use assumed emissions factors together with operational data to calculate emissions.  </w:t>
      </w:r>
    </w:p>
    <w:p w:rsidR="003013E9" w:rsidRPr="009E7848" w:rsidP="003013E9" w14:paraId="61DC113C" w14:textId="77777777">
      <w:pPr>
        <w:pStyle w:val="ListParagraph"/>
        <w:autoSpaceDE w:val="0"/>
        <w:autoSpaceDN w:val="0"/>
        <w:adjustRightInd w:val="0"/>
        <w:rPr>
          <w:rFonts w:cstheme="minorHAnsi"/>
        </w:rPr>
      </w:pPr>
    </w:p>
    <w:p w:rsidR="003013E9" w:rsidRPr="009E7848" w:rsidP="003013E9" w14:paraId="50753182" w14:textId="77777777">
      <w:pPr>
        <w:pStyle w:val="ListParagraph"/>
        <w:autoSpaceDE w:val="0"/>
        <w:autoSpaceDN w:val="0"/>
        <w:adjustRightInd w:val="0"/>
        <w:rPr>
          <w:rFonts w:cstheme="minorHAnsi"/>
        </w:rPr>
      </w:pPr>
      <w:r w:rsidRPr="009E7848">
        <w:rPr>
          <w:rFonts w:cstheme="minorHAnsi"/>
        </w:rPr>
        <w:t>Non-ARP units in 22 states are subject to CSAPR trading programs for both NO</w:t>
      </w:r>
      <w:r w:rsidRPr="009E7848">
        <w:rPr>
          <w:rFonts w:cstheme="minorHAnsi"/>
          <w:vertAlign w:val="subscript"/>
        </w:rPr>
        <w:t>X</w:t>
      </w:r>
      <w:r w:rsidRPr="009E7848">
        <w:rPr>
          <w:rFonts w:cstheme="minorHAnsi"/>
        </w:rPr>
        <w:t xml:space="preserve"> and SO</w:t>
      </w:r>
      <w:r w:rsidRPr="009E7848">
        <w:rPr>
          <w:rFonts w:cstheme="minorHAnsi"/>
          <w:vertAlign w:val="subscript"/>
        </w:rPr>
        <w:t>2</w:t>
      </w:r>
      <w:r w:rsidRPr="009E7848">
        <w:rPr>
          <w:rFonts w:cstheme="minorHAnsi"/>
        </w:rPr>
        <w:t xml:space="preserve"> and therefore must monitor or calculate and report emissions data for both pollutants.  Non-ARP units in these states must submit quarterly reports for all four quarters of each year.</w:t>
      </w:r>
    </w:p>
    <w:p w:rsidR="003013E9" w:rsidRPr="009E7848" w:rsidP="003013E9" w14:paraId="060F3026" w14:textId="77777777">
      <w:pPr>
        <w:pStyle w:val="ListParagraph"/>
        <w:autoSpaceDE w:val="0"/>
        <w:autoSpaceDN w:val="0"/>
        <w:adjustRightInd w:val="0"/>
        <w:rPr>
          <w:rFonts w:cstheme="minorHAnsi"/>
        </w:rPr>
      </w:pPr>
    </w:p>
    <w:p w:rsidR="009B5FBC" w:rsidRPr="009E7848" w:rsidP="009B5FBC" w14:paraId="6B25C4F8" w14:textId="6017471E">
      <w:pPr>
        <w:pStyle w:val="ListParagraph"/>
        <w:autoSpaceDE w:val="0"/>
        <w:autoSpaceDN w:val="0"/>
        <w:adjustRightInd w:val="0"/>
        <w:rPr>
          <w:rFonts w:cstheme="minorHAnsi"/>
        </w:rPr>
      </w:pPr>
      <w:r w:rsidRPr="009E7848">
        <w:rPr>
          <w:rFonts w:cstheme="minorHAnsi"/>
        </w:rPr>
        <w:t>Non-ARP units in five states including Texas are subject to CSAPR trading programs for NO</w:t>
      </w:r>
      <w:r w:rsidRPr="009E7848">
        <w:rPr>
          <w:rFonts w:cstheme="minorHAnsi"/>
          <w:vertAlign w:val="subscript"/>
        </w:rPr>
        <w:t>X</w:t>
      </w:r>
      <w:r w:rsidRPr="009E7848">
        <w:rPr>
          <w:rFonts w:cstheme="minorHAnsi"/>
        </w:rPr>
        <w:t>, but not SO</w:t>
      </w:r>
      <w:r w:rsidRPr="009E7848">
        <w:rPr>
          <w:rFonts w:cstheme="minorHAnsi"/>
          <w:vertAlign w:val="subscript"/>
        </w:rPr>
        <w:t>2</w:t>
      </w:r>
      <w:r w:rsidRPr="009E7848">
        <w:rPr>
          <w:rFonts w:cstheme="minorHAnsi"/>
        </w:rPr>
        <w:t>, and therefore must monitor or calculate and report emissions data only for NO</w:t>
      </w:r>
      <w:r w:rsidRPr="009E7848">
        <w:rPr>
          <w:rFonts w:cstheme="minorHAnsi"/>
          <w:vertAlign w:val="subscript"/>
        </w:rPr>
        <w:t>X</w:t>
      </w:r>
      <w:r w:rsidRPr="009E7848">
        <w:rPr>
          <w:rFonts w:cstheme="minorHAnsi"/>
        </w:rPr>
        <w:t>.  (While certain Texas units must also monitor and report emissions data for SO</w:t>
      </w:r>
      <w:r w:rsidRPr="009E7848">
        <w:rPr>
          <w:rFonts w:cstheme="minorHAnsi"/>
          <w:vertAlign w:val="subscript"/>
        </w:rPr>
        <w:t>2</w:t>
      </w:r>
      <w:r w:rsidRPr="009E7848">
        <w:rPr>
          <w:rFonts w:cstheme="minorHAnsi"/>
        </w:rPr>
        <w:t xml:space="preserve"> under the Texas SO</w:t>
      </w:r>
      <w:r w:rsidRPr="009E7848">
        <w:rPr>
          <w:rFonts w:cstheme="minorHAnsi"/>
          <w:vertAlign w:val="subscript"/>
        </w:rPr>
        <w:t>2</w:t>
      </w:r>
      <w:r w:rsidRPr="009E7848">
        <w:rPr>
          <w:rFonts w:cstheme="minorHAnsi"/>
        </w:rPr>
        <w:t xml:space="preserve"> trading program, all units required to participate in that program are ARP units.)  Non-ARP units in these states may elect to submit quarterly reports for only the two quarters of each year that encompass the May-September ozone season.</w:t>
      </w:r>
    </w:p>
    <w:p w:rsidR="009B5FBC" w:rsidRPr="009E7848" w:rsidP="009B5FBC" w14:paraId="2096600C" w14:textId="77777777">
      <w:pPr>
        <w:pStyle w:val="ListParagraph"/>
        <w:autoSpaceDE w:val="0"/>
        <w:autoSpaceDN w:val="0"/>
        <w:adjustRightInd w:val="0"/>
        <w:rPr>
          <w:rFonts w:cstheme="minorHAnsi"/>
        </w:rPr>
      </w:pPr>
    </w:p>
    <w:p w:rsidR="001F0272" w:rsidRPr="009E7848" w:rsidP="009B5FBC" w14:paraId="44EAEDFA" w14:textId="77777777">
      <w:pPr>
        <w:pStyle w:val="ListParagraph"/>
        <w:numPr>
          <w:ilvl w:val="2"/>
          <w:numId w:val="16"/>
        </w:numPr>
        <w:autoSpaceDE w:val="0"/>
        <w:autoSpaceDN w:val="0"/>
        <w:adjustRightInd w:val="0"/>
        <w:rPr>
          <w:rFonts w:cstheme="minorHAnsi"/>
        </w:rPr>
      </w:pPr>
      <w:r w:rsidRPr="009E7848">
        <w:rPr>
          <w:rFonts w:cstheme="minorHAnsi"/>
          <w:iCs/>
        </w:rPr>
        <w:t xml:space="preserve">Start-up Activities </w:t>
      </w:r>
    </w:p>
    <w:p w:rsidR="00B92495" w:rsidRPr="009E7848" w:rsidP="009B5FBC" w14:paraId="155AE31C" w14:textId="2A8ED76B">
      <w:pPr>
        <w:pStyle w:val="ListParagraph"/>
        <w:numPr>
          <w:ilvl w:val="3"/>
          <w:numId w:val="16"/>
        </w:numPr>
        <w:autoSpaceDE w:val="0"/>
        <w:autoSpaceDN w:val="0"/>
        <w:adjustRightInd w:val="0"/>
        <w:rPr>
          <w:rFonts w:cstheme="minorHAnsi"/>
        </w:rPr>
      </w:pPr>
      <w:r w:rsidRPr="009E7848">
        <w:rPr>
          <w:rFonts w:cstheme="minorHAnsi"/>
        </w:rPr>
        <w:t xml:space="preserve">For many sources, a large part of the overall emissions monitoring burden consists of start-up costs for the acquisition, installation, and testing of monitoring equipment.  For units subject to the ARP, the </w:t>
      </w:r>
      <w:r w:rsidRPr="009E7848" w:rsidR="001F0272">
        <w:rPr>
          <w:rFonts w:cstheme="minorHAnsi"/>
        </w:rPr>
        <w:t>burden</w:t>
      </w:r>
      <w:r w:rsidRPr="009E7848">
        <w:rPr>
          <w:rFonts w:cstheme="minorHAnsi"/>
        </w:rPr>
        <w:t xml:space="preserve"> and costs for both NO</w:t>
      </w:r>
      <w:r w:rsidRPr="009E7848">
        <w:rPr>
          <w:rFonts w:cstheme="minorHAnsi"/>
          <w:vertAlign w:val="subscript"/>
        </w:rPr>
        <w:t>X</w:t>
      </w:r>
      <w:r w:rsidRPr="009E7848">
        <w:rPr>
          <w:rFonts w:cstheme="minorHAnsi"/>
        </w:rPr>
        <w:t xml:space="preserve"> and SO</w:t>
      </w:r>
      <w:r w:rsidRPr="009E7848">
        <w:rPr>
          <w:rFonts w:cstheme="minorHAnsi"/>
          <w:vertAlign w:val="subscript"/>
        </w:rPr>
        <w:t>2</w:t>
      </w:r>
      <w:r w:rsidRPr="009E7848">
        <w:rPr>
          <w:rFonts w:cstheme="minorHAnsi"/>
        </w:rPr>
        <w:t xml:space="preserve"> monitoring equipment are accounted for in the ARP ICR.  For non-ARP units, this ICR includes ongoing annualized start-up/capital costs as well as ongoing O&amp;M burden and costs for any monitoring equipment needed by the unit to meet the applicable monitoring and reporting requirements of the CSAPR trading programs, whether the equipment was initially installed to address the requirements of the trading programs under CSAPR, CAIR, or the NO</w:t>
      </w:r>
      <w:r w:rsidRPr="009E7848">
        <w:rPr>
          <w:rFonts w:cstheme="minorHAnsi"/>
          <w:vertAlign w:val="subscript"/>
        </w:rPr>
        <w:t>X</w:t>
      </w:r>
      <w:r w:rsidRPr="009E7848">
        <w:rPr>
          <w:rFonts w:cstheme="minorHAnsi"/>
        </w:rPr>
        <w:t xml:space="preserve"> SIP Call.  No one-time start-up burden is included in this ICR renewal because any such burden was accounted for in previous ICRs, and start-up burdens for any new units are assumed to be covered under the ARP ICR.</w:t>
      </w:r>
    </w:p>
    <w:p w:rsidR="00D07F4F" w:rsidRPr="009E7848" w:rsidP="009B5FBC" w14:paraId="78BBECEA" w14:textId="77777777">
      <w:pPr>
        <w:pStyle w:val="ListParagraph"/>
        <w:keepNext/>
        <w:numPr>
          <w:ilvl w:val="2"/>
          <w:numId w:val="16"/>
        </w:numPr>
        <w:autoSpaceDE w:val="0"/>
        <w:autoSpaceDN w:val="0"/>
        <w:adjustRightInd w:val="0"/>
        <w:outlineLvl w:val="0"/>
        <w:rPr>
          <w:rFonts w:cstheme="minorHAnsi"/>
        </w:rPr>
      </w:pPr>
      <w:r w:rsidRPr="009E7848">
        <w:rPr>
          <w:rFonts w:cstheme="minorHAnsi"/>
        </w:rPr>
        <w:t>Regulatory Review</w:t>
      </w:r>
    </w:p>
    <w:p w:rsidR="00B92495" w:rsidRPr="009E7848" w:rsidP="009B5FBC" w14:paraId="0145BAD9" w14:textId="20971D7A">
      <w:pPr>
        <w:pStyle w:val="ListParagraph"/>
        <w:keepNext/>
        <w:numPr>
          <w:ilvl w:val="3"/>
          <w:numId w:val="16"/>
        </w:numPr>
        <w:autoSpaceDE w:val="0"/>
        <w:autoSpaceDN w:val="0"/>
        <w:adjustRightInd w:val="0"/>
        <w:outlineLvl w:val="0"/>
        <w:rPr>
          <w:rFonts w:cstheme="minorHAnsi"/>
        </w:rPr>
      </w:pPr>
      <w:r w:rsidRPr="009E7848">
        <w:rPr>
          <w:rFonts w:cstheme="minorHAnsi"/>
        </w:rPr>
        <w:t>The ICR includes an allocation of time for the managerial and technical staff to review the CSAPR regulatory requirements as well as the instructions associated with electronic emissions data submissions.  Burden for an initial review was covered in previous ICRs.  For purposes of ongoing review after the initial review, the estimated annual burden for each non-ARP source is four hours each for managerial and technician time.</w:t>
      </w:r>
    </w:p>
    <w:p w:rsidR="001F0272" w:rsidRPr="009E7848" w:rsidP="009B5FBC" w14:paraId="0E3FDECE" w14:textId="77777777">
      <w:pPr>
        <w:pStyle w:val="ListParagraph"/>
        <w:keepNext/>
        <w:numPr>
          <w:ilvl w:val="2"/>
          <w:numId w:val="16"/>
        </w:numPr>
        <w:autoSpaceDE w:val="0"/>
        <w:autoSpaceDN w:val="0"/>
        <w:adjustRightInd w:val="0"/>
        <w:outlineLvl w:val="0"/>
        <w:rPr>
          <w:rFonts w:cstheme="minorHAnsi"/>
        </w:rPr>
      </w:pPr>
      <w:r w:rsidRPr="009E7848">
        <w:rPr>
          <w:rFonts w:cstheme="minorHAnsi"/>
        </w:rPr>
        <w:t>Response to Error Messages</w:t>
      </w:r>
    </w:p>
    <w:p w:rsidR="00D07F4F" w:rsidRPr="009E7848" w:rsidP="009B5FBC" w14:paraId="5C8BDF81" w14:textId="22E6E084">
      <w:pPr>
        <w:pStyle w:val="ListParagraph"/>
        <w:keepNext/>
        <w:numPr>
          <w:ilvl w:val="3"/>
          <w:numId w:val="16"/>
        </w:numPr>
        <w:autoSpaceDE w:val="0"/>
        <w:autoSpaceDN w:val="0"/>
        <w:adjustRightInd w:val="0"/>
        <w:outlineLvl w:val="0"/>
        <w:rPr>
          <w:rFonts w:cstheme="minorHAnsi"/>
        </w:rPr>
      </w:pPr>
      <w:r w:rsidRPr="009E7848">
        <w:rPr>
          <w:rFonts w:cstheme="minorHAnsi"/>
        </w:rPr>
        <w:t>The Agency provides feedback for errors that are found in monitoring plans or other reports.  The Agency estimates that for each non-ARP unit, an owner or operator will spend approximately six hours of managerial time and eighteen hours of technician time responding to these error messages each year.</w:t>
      </w:r>
    </w:p>
    <w:p w:rsidR="00D07F4F" w:rsidRPr="009E7848" w:rsidP="009B5FBC" w14:paraId="417563F6" w14:textId="77777777">
      <w:pPr>
        <w:pStyle w:val="ListParagraph"/>
        <w:keepNext/>
        <w:numPr>
          <w:ilvl w:val="2"/>
          <w:numId w:val="16"/>
        </w:numPr>
        <w:autoSpaceDE w:val="0"/>
        <w:autoSpaceDN w:val="0"/>
        <w:adjustRightInd w:val="0"/>
        <w:outlineLvl w:val="0"/>
        <w:rPr>
          <w:rFonts w:cstheme="minorHAnsi"/>
        </w:rPr>
      </w:pPr>
      <w:r w:rsidRPr="009E7848">
        <w:rPr>
          <w:rFonts w:cstheme="minorHAnsi"/>
        </w:rPr>
        <w:t>DAHS Debugging</w:t>
      </w:r>
    </w:p>
    <w:p w:rsidR="00B92495" w:rsidRPr="009E7848" w:rsidP="009B5FBC" w14:paraId="1B3E9082" w14:textId="0764E05E">
      <w:pPr>
        <w:pStyle w:val="ListParagraph"/>
        <w:keepNext/>
        <w:numPr>
          <w:ilvl w:val="3"/>
          <w:numId w:val="16"/>
        </w:numPr>
        <w:autoSpaceDE w:val="0"/>
        <w:autoSpaceDN w:val="0"/>
        <w:adjustRightInd w:val="0"/>
        <w:outlineLvl w:val="0"/>
        <w:rPr>
          <w:rFonts w:cstheme="minorHAnsi"/>
        </w:rPr>
      </w:pPr>
      <w:r w:rsidRPr="009E7848">
        <w:rPr>
          <w:rFonts w:cstheme="minorHAnsi"/>
        </w:rPr>
        <w:t xml:space="preserve">An estimated burden to fix initial problems with the DAHS software used to report in the 40 CFR part 75 formats was included in previous ICRs.  For the years covered by this ICR renewal, EPA estimates that for each non-ARP unit, one managerial and four technician hours will be required annually for occasional further debugging. </w:t>
      </w:r>
    </w:p>
    <w:p w:rsidR="00D07F4F" w:rsidRPr="009E7848" w:rsidP="009B5FBC" w14:paraId="22E3CCF8" w14:textId="77777777">
      <w:pPr>
        <w:pStyle w:val="ListParagraph"/>
        <w:numPr>
          <w:ilvl w:val="2"/>
          <w:numId w:val="16"/>
        </w:numPr>
        <w:autoSpaceDE w:val="0"/>
        <w:autoSpaceDN w:val="0"/>
        <w:adjustRightInd w:val="0"/>
        <w:outlineLvl w:val="0"/>
        <w:rPr>
          <w:rFonts w:cstheme="minorHAnsi"/>
        </w:rPr>
      </w:pPr>
      <w:r w:rsidRPr="009E7848">
        <w:rPr>
          <w:rFonts w:cstheme="minorHAnsi"/>
        </w:rPr>
        <w:t>Monitoring Plan</w:t>
      </w:r>
      <w:r w:rsidRPr="009E7848">
        <w:rPr>
          <w:rFonts w:cstheme="minorHAnsi"/>
        </w:rPr>
        <w:t>s</w:t>
      </w:r>
    </w:p>
    <w:p w:rsidR="00B92495" w:rsidRPr="009E7848" w:rsidP="009B5FBC" w14:paraId="3C04DA0F" w14:textId="6C75ED07">
      <w:pPr>
        <w:pStyle w:val="ListParagraph"/>
        <w:numPr>
          <w:ilvl w:val="3"/>
          <w:numId w:val="16"/>
        </w:numPr>
        <w:autoSpaceDE w:val="0"/>
        <w:autoSpaceDN w:val="0"/>
        <w:adjustRightInd w:val="0"/>
        <w:outlineLvl w:val="0"/>
        <w:rPr>
          <w:rFonts w:cstheme="minorHAnsi"/>
        </w:rPr>
      </w:pPr>
      <w:r w:rsidRPr="009E7848">
        <w:rPr>
          <w:rFonts w:cstheme="minorHAnsi"/>
        </w:rPr>
        <w:t>The regulations require submittal of monitoring plans.  Because most of the monitoring plan elements are now part of the reporting format, the effort involved in developing and maintaining the plans are incorporated into the overall reporting burden estimate.</w:t>
      </w:r>
    </w:p>
    <w:p w:rsidR="00D07F4F" w:rsidRPr="009E7848" w:rsidP="009B5FBC" w14:paraId="0E9B4404" w14:textId="77777777">
      <w:pPr>
        <w:pStyle w:val="ListParagraph"/>
        <w:keepNext/>
        <w:numPr>
          <w:ilvl w:val="2"/>
          <w:numId w:val="16"/>
        </w:numPr>
        <w:autoSpaceDE w:val="0"/>
        <w:autoSpaceDN w:val="0"/>
        <w:adjustRightInd w:val="0"/>
        <w:outlineLvl w:val="0"/>
        <w:rPr>
          <w:rFonts w:cstheme="minorHAnsi"/>
        </w:rPr>
      </w:pPr>
      <w:r w:rsidRPr="009E7848">
        <w:rPr>
          <w:rFonts w:cstheme="minorHAnsi"/>
        </w:rPr>
        <w:t>Monitor Certification/Recertification</w:t>
      </w:r>
    </w:p>
    <w:p w:rsidR="00B92495" w:rsidRPr="009E7848" w:rsidP="009B5FBC" w14:paraId="5CA7C806" w14:textId="60528BB0">
      <w:pPr>
        <w:pStyle w:val="ListParagraph"/>
        <w:keepNext/>
        <w:numPr>
          <w:ilvl w:val="3"/>
          <w:numId w:val="16"/>
        </w:numPr>
        <w:autoSpaceDE w:val="0"/>
        <w:autoSpaceDN w:val="0"/>
        <w:adjustRightInd w:val="0"/>
        <w:outlineLvl w:val="0"/>
        <w:rPr>
          <w:rFonts w:cstheme="minorHAnsi"/>
        </w:rPr>
      </w:pPr>
      <w:r w:rsidRPr="009E7848">
        <w:rPr>
          <w:rFonts w:cstheme="minorHAnsi"/>
        </w:rPr>
        <w:t>Sources occasionally experience burdens for recertification to the extent a change in a monitoring system requires recertification.  Based on the previous CSAPR ICR, EPA estimates that approximately ten percent of all non-ARP units will have to recertify each year following the year in which the initial certification occurs.  The ICR incorporates a labor burden estimate generally consistent with existing Agency models for the labor burdens associated with certification.  However, note that the ICR reduces the labor hours for this activity to avoid double counting hours that are already accounted for in the quality assurance activity area (see the following subsection).  The double counting would occur because a portion of the labor incurred for the certification or recertification event replaces the labor burden that is generally allocated to the annual relative accuracy test audit (RATA) in the year in which the certification event occurs.</w:t>
      </w:r>
    </w:p>
    <w:p w:rsidR="00D07F4F" w:rsidRPr="009E7848" w:rsidP="009B5FBC" w14:paraId="7FB1EB78" w14:textId="77777777">
      <w:pPr>
        <w:pStyle w:val="ListParagraph"/>
        <w:keepNext/>
        <w:numPr>
          <w:ilvl w:val="2"/>
          <w:numId w:val="16"/>
        </w:numPr>
        <w:autoSpaceDE w:val="0"/>
        <w:autoSpaceDN w:val="0"/>
        <w:adjustRightInd w:val="0"/>
        <w:outlineLvl w:val="0"/>
        <w:rPr>
          <w:rFonts w:cstheme="minorHAnsi"/>
        </w:rPr>
      </w:pPr>
      <w:r w:rsidRPr="009E7848">
        <w:rPr>
          <w:rFonts w:cstheme="minorHAnsi"/>
        </w:rPr>
        <w:t>Quality Assurance</w:t>
      </w:r>
    </w:p>
    <w:p w:rsidR="00B92495" w:rsidRPr="009E7848" w:rsidP="009B5FBC" w14:paraId="10D83F3E" w14:textId="3E570D17">
      <w:pPr>
        <w:pStyle w:val="ListParagraph"/>
        <w:keepNext/>
        <w:numPr>
          <w:ilvl w:val="3"/>
          <w:numId w:val="16"/>
        </w:numPr>
        <w:autoSpaceDE w:val="0"/>
        <w:autoSpaceDN w:val="0"/>
        <w:adjustRightInd w:val="0"/>
        <w:outlineLvl w:val="0"/>
        <w:rPr>
          <w:rFonts w:cstheme="minorHAnsi"/>
        </w:rPr>
      </w:pPr>
      <w:r w:rsidRPr="009E7848">
        <w:rPr>
          <w:rFonts w:cstheme="minorHAnsi"/>
        </w:rPr>
        <w:t>Quality assurance (QA) activities and other routine maintenance for monitoring systems is the largest burden item under the CSAPR and Texas trading programs.  These requirements generally include daily, quarterly, and annual QA requirements, depending on the monitoring 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009E7848">
        <w:rPr>
          <w:rFonts w:cstheme="minorHAnsi"/>
          <w:vertAlign w:val="subscript"/>
        </w:rPr>
        <w:t>X</w:t>
      </w:r>
      <w:r w:rsidRPr="009E7848">
        <w:rPr>
          <w:rFonts w:cstheme="minorHAnsi"/>
        </w:rPr>
        <w:t xml:space="preserve"> SIP Call.  For units that rely on alternative methodologies, reduced labor burden estimates apply because the quality assurance activities for the excepted methods are less than for a CEMS.  Consistent with the existing ARP ICR, the labor burden is expected to be almost entirely technician labor.</w:t>
      </w:r>
    </w:p>
    <w:p w:rsidR="00D07F4F" w:rsidRPr="009E7848" w:rsidP="009B5FBC" w14:paraId="533BBE27" w14:textId="77777777">
      <w:pPr>
        <w:pStyle w:val="ListParagraph"/>
        <w:numPr>
          <w:ilvl w:val="2"/>
          <w:numId w:val="16"/>
        </w:numPr>
        <w:autoSpaceDE w:val="0"/>
        <w:autoSpaceDN w:val="0"/>
        <w:adjustRightInd w:val="0"/>
        <w:outlineLvl w:val="0"/>
        <w:rPr>
          <w:rFonts w:cstheme="minorHAnsi"/>
        </w:rPr>
      </w:pPr>
      <w:r w:rsidRPr="009E7848">
        <w:rPr>
          <w:rFonts w:cstheme="minorHAnsi"/>
        </w:rPr>
        <w:t>Quarterly Reports</w:t>
      </w:r>
    </w:p>
    <w:p w:rsidR="00B92495" w:rsidRPr="009E7848" w:rsidP="009B5FBC" w14:paraId="30A8805F" w14:textId="3F58F855">
      <w:pPr>
        <w:pStyle w:val="ListParagraph"/>
        <w:numPr>
          <w:ilvl w:val="3"/>
          <w:numId w:val="16"/>
        </w:numPr>
        <w:autoSpaceDE w:val="0"/>
        <w:autoSpaceDN w:val="0"/>
        <w:adjustRightInd w:val="0"/>
        <w:outlineLvl w:val="0"/>
        <w:rPr>
          <w:rFonts w:cstheme="minorHAnsi"/>
        </w:rPr>
      </w:pPr>
      <w:r w:rsidRPr="009E7848">
        <w:rPr>
          <w:rFonts w:cstheme="minorHAnsi"/>
        </w:rPr>
        <w:t>Tasks performed by utilities in preparing quarterly reports include: (1) assuring the quality of the data, (2) preparing the quarterly report, (3) revising the monitoring plan, if necessary, (4) preparation of hard copy documentation accompanying the quarterly reports, and (5) managerial review.  The existing ARP ICR was used as the basis for these estimates.</w:t>
      </w:r>
    </w:p>
    <w:p w:rsidR="00B92495" w:rsidRPr="009E7848" w:rsidP="00B92495" w14:paraId="4B518D22" w14:textId="77777777">
      <w:pPr>
        <w:autoSpaceDE w:val="0"/>
        <w:autoSpaceDN w:val="0"/>
        <w:adjustRightInd w:val="0"/>
        <w:rPr>
          <w:rFonts w:cstheme="minorHAnsi"/>
          <w:i/>
          <w:iCs/>
        </w:rPr>
      </w:pPr>
    </w:p>
    <w:p w:rsidR="00EB00A3" w:rsidRPr="009E7848" w:rsidP="00EB00A3" w14:paraId="3BC8A5B1" w14:textId="77777777">
      <w:pPr>
        <w:pStyle w:val="ListParagraph"/>
        <w:numPr>
          <w:ilvl w:val="0"/>
          <w:numId w:val="14"/>
        </w:numPr>
        <w:autoSpaceDE w:val="0"/>
        <w:autoSpaceDN w:val="0"/>
        <w:adjustRightInd w:val="0"/>
        <w:outlineLvl w:val="0"/>
        <w:rPr>
          <w:rFonts w:cstheme="minorHAnsi"/>
        </w:rPr>
      </w:pPr>
      <w:r w:rsidRPr="009E7848">
        <w:rPr>
          <w:rFonts w:cstheme="minorHAnsi"/>
        </w:rPr>
        <w:t xml:space="preserve">Estimating Respondent </w:t>
      </w:r>
      <w:r w:rsidRPr="009E7848">
        <w:rPr>
          <w:rFonts w:cstheme="minorHAnsi"/>
        </w:rPr>
        <w:t xml:space="preserve">Labor </w:t>
      </w:r>
      <w:r w:rsidRPr="009E7848">
        <w:rPr>
          <w:rFonts w:cstheme="minorHAnsi"/>
        </w:rPr>
        <w:t>Costs</w:t>
      </w:r>
    </w:p>
    <w:p w:rsidR="00EB00A3" w:rsidRPr="009E7848" w:rsidP="00EB00A3" w14:paraId="15D04D5E" w14:textId="77777777">
      <w:pPr>
        <w:pStyle w:val="ListParagraph"/>
        <w:autoSpaceDE w:val="0"/>
        <w:autoSpaceDN w:val="0"/>
        <w:adjustRightInd w:val="0"/>
        <w:outlineLvl w:val="0"/>
        <w:rPr>
          <w:rFonts w:cstheme="minorHAnsi"/>
        </w:rPr>
      </w:pPr>
    </w:p>
    <w:p w:rsidR="00EB00A3" w:rsidRPr="009E7848" w:rsidP="00EB00A3" w14:paraId="4B6E2252" w14:textId="631A063D">
      <w:pPr>
        <w:pStyle w:val="ListParagraph"/>
        <w:autoSpaceDE w:val="0"/>
        <w:autoSpaceDN w:val="0"/>
        <w:adjustRightInd w:val="0"/>
        <w:outlineLvl w:val="0"/>
        <w:rPr>
          <w:rFonts w:cstheme="minorHAnsi"/>
        </w:rPr>
      </w:pPr>
      <w:r w:rsidRPr="009E7848">
        <w:rPr>
          <w:rFonts w:cstheme="minorHAnsi"/>
        </w:rPr>
        <w:t>In estimating labor costs for industry, EPA used the following amounts: $1</w:t>
      </w:r>
      <w:r w:rsidRPr="009E7848" w:rsidR="006F0ED7">
        <w:rPr>
          <w:rFonts w:cstheme="minorHAnsi"/>
        </w:rPr>
        <w:t>23.48</w:t>
      </w:r>
      <w:r w:rsidRPr="009E7848">
        <w:rPr>
          <w:rFonts w:cstheme="minorHAnsi"/>
        </w:rPr>
        <w:t xml:space="preserve"> per hour for managers and $</w:t>
      </w:r>
      <w:r w:rsidRPr="009E7848" w:rsidR="006F0ED7">
        <w:rPr>
          <w:rFonts w:cstheme="minorHAnsi"/>
        </w:rPr>
        <w:t>88.80</w:t>
      </w:r>
      <w:r w:rsidRPr="009E7848">
        <w:rPr>
          <w:rFonts w:cstheme="minorHAnsi"/>
        </w:rPr>
        <w:t xml:space="preserve"> per hour for technicians.  These rates are consistent with the Current Employment Cost Index year 202</w:t>
      </w:r>
      <w:r w:rsidRPr="009E7848" w:rsidR="006F0ED7">
        <w:rPr>
          <w:rFonts w:cstheme="minorHAnsi"/>
        </w:rPr>
        <w:t>4</w:t>
      </w:r>
      <w:r w:rsidRPr="009E7848">
        <w:rPr>
          <w:rFonts w:cstheme="minorHAnsi"/>
        </w:rPr>
        <w:t>.</w:t>
      </w:r>
    </w:p>
    <w:p w:rsidR="00EB00A3" w:rsidRPr="009E7848" w:rsidP="00EB00A3" w14:paraId="15AF33CB" w14:textId="77777777">
      <w:pPr>
        <w:pStyle w:val="ListParagraph"/>
        <w:autoSpaceDE w:val="0"/>
        <w:autoSpaceDN w:val="0"/>
        <w:adjustRightInd w:val="0"/>
        <w:outlineLvl w:val="0"/>
        <w:rPr>
          <w:rFonts w:cstheme="minorHAnsi"/>
        </w:rPr>
      </w:pPr>
    </w:p>
    <w:p w:rsidR="00B92495" w:rsidRPr="009E7848" w:rsidP="00EB00A3" w14:paraId="6EFD0725" w14:textId="6938CE86">
      <w:pPr>
        <w:pStyle w:val="ListParagraph"/>
        <w:autoSpaceDE w:val="0"/>
        <w:autoSpaceDN w:val="0"/>
        <w:adjustRightInd w:val="0"/>
        <w:outlineLvl w:val="0"/>
        <w:rPr>
          <w:rFonts w:cstheme="minorHAnsi"/>
        </w:rPr>
      </w:pPr>
      <w:r w:rsidRPr="009E7848">
        <w:rPr>
          <w:rFonts w:cstheme="minorHAnsi"/>
        </w:rPr>
        <w:t>The labor rate used for technical staff at state agencies is $</w:t>
      </w:r>
      <w:r w:rsidRPr="009E7848" w:rsidR="006F0ED7">
        <w:rPr>
          <w:rFonts w:cstheme="minorHAnsi"/>
        </w:rPr>
        <w:t>61.27</w:t>
      </w:r>
      <w:r w:rsidRPr="009E7848">
        <w:rPr>
          <w:rFonts w:cstheme="minorHAnsi"/>
        </w:rPr>
        <w:t xml:space="preserve"> per hour, and the labor rate for managerial employees at state agencies is $</w:t>
      </w:r>
      <w:r w:rsidRPr="009E7848" w:rsidR="006F0ED7">
        <w:rPr>
          <w:rFonts w:cstheme="minorHAnsi"/>
        </w:rPr>
        <w:t>72.72</w:t>
      </w:r>
      <w:r w:rsidRPr="009E7848">
        <w:rPr>
          <w:rFonts w:cstheme="minorHAnsi"/>
        </w:rPr>
        <w:t xml:space="preserve">.  </w:t>
      </w:r>
      <w:r w:rsidRPr="009E7848" w:rsidR="006F0ED7">
        <w:rPr>
          <w:rStyle w:val="normaltextrun"/>
          <w:rFonts w:ascii="Calibri" w:hAnsi="Calibri" w:cs="Calibri"/>
          <w:color w:val="000000"/>
          <w:shd w:val="clear" w:color="auto" w:fill="FFFFFF"/>
        </w:rPr>
        <w:t xml:space="preserve">These labor rates include benefits and overhead and are derived from data on the Bureau of Labor Statistics website at </w:t>
      </w:r>
      <w:hyperlink r:id="rId9" w:tgtFrame="_blank" w:history="1">
        <w:r w:rsidRPr="009E7848" w:rsidR="006F0ED7">
          <w:rPr>
            <w:rStyle w:val="normaltextrun"/>
            <w:rFonts w:ascii="Calibri" w:hAnsi="Calibri" w:cs="Calibri"/>
            <w:color w:val="0563C1"/>
            <w:u w:val="single"/>
            <w:shd w:val="clear" w:color="auto" w:fill="FFFFFF"/>
          </w:rPr>
          <w:t>http://stats.bls.gov/news.release/ecec.toc.htm</w:t>
        </w:r>
      </w:hyperlink>
      <w:r w:rsidRPr="009E7848" w:rsidR="006F0ED7">
        <w:rPr>
          <w:rStyle w:val="normaltextrun"/>
          <w:rFonts w:ascii="Calibri" w:hAnsi="Calibri" w:cs="Calibri"/>
          <w:color w:val="000000"/>
          <w:shd w:val="clear" w:color="auto" w:fill="FFFFFF"/>
        </w:rPr>
        <w:t>.  Wage and salary rates are shown at the link “Table 3:  State and local government, by major occupation and industry group (March 2024)."  The wage and salary rates from this table account for benefits provided to workers.  </w:t>
      </w:r>
      <w:r w:rsidRPr="009E7848">
        <w:rPr>
          <w:rFonts w:cstheme="minorHAnsi"/>
        </w:rPr>
        <w:t xml:space="preserve"> </w:t>
      </w:r>
    </w:p>
    <w:p w:rsidR="0070103A" w:rsidRPr="009E7848" w:rsidP="00E729D1" w14:paraId="1BE75263" w14:textId="05741D54">
      <w:pPr>
        <w:autoSpaceDE w:val="0"/>
        <w:autoSpaceDN w:val="0"/>
        <w:adjustRightInd w:val="0"/>
        <w:ind w:left="720"/>
        <w:rPr>
          <w:rFonts w:cstheme="minorHAnsi"/>
        </w:rPr>
      </w:pPr>
      <w:r w:rsidRPr="009E7848">
        <w:rPr>
          <w:rFonts w:cstheme="minorHAnsi"/>
        </w:rPr>
        <w:t xml:space="preserve">EPA estimates that there are approximately </w:t>
      </w:r>
      <w:r w:rsidRPr="009E7848" w:rsidR="000E2CF1">
        <w:rPr>
          <w:rFonts w:cstheme="minorHAnsi"/>
        </w:rPr>
        <w:t>914</w:t>
      </w:r>
      <w:r w:rsidRPr="009E7848">
        <w:rPr>
          <w:rFonts w:cstheme="minorHAnsi"/>
        </w:rPr>
        <w:t xml:space="preserve"> industry respondents potentially subject to one or more of the information collections covered by this ICR.  The industry respondents consist of </w:t>
      </w:r>
      <w:r w:rsidRPr="009E7848" w:rsidR="000E2CF1">
        <w:rPr>
          <w:rFonts w:cstheme="minorHAnsi"/>
        </w:rPr>
        <w:t>870</w:t>
      </w:r>
      <w:r w:rsidRPr="009E7848">
        <w:rPr>
          <w:rFonts w:cstheme="minorHAnsi"/>
        </w:rPr>
        <w:t xml:space="preserve"> source facilities with </w:t>
      </w:r>
      <w:r w:rsidRPr="009E7848" w:rsidR="000E2CF1">
        <w:rPr>
          <w:rFonts w:cstheme="minorHAnsi"/>
        </w:rPr>
        <w:t>2740</w:t>
      </w:r>
      <w:r w:rsidRPr="009E7848">
        <w:rPr>
          <w:rFonts w:cstheme="minorHAnsi"/>
        </w:rPr>
        <w:t xml:space="preserve"> units subject to at least one of the CSAPR or Texas </w:t>
      </w:r>
      <w:r w:rsidRPr="009E7848" w:rsidR="000E2CF1">
        <w:rPr>
          <w:rFonts w:cstheme="minorHAnsi"/>
        </w:rPr>
        <w:t>SO</w:t>
      </w:r>
      <w:r w:rsidRPr="009E7848" w:rsidR="000E2CF1">
        <w:rPr>
          <w:rFonts w:cstheme="minorHAnsi"/>
          <w:vertAlign w:val="subscript"/>
        </w:rPr>
        <w:t>2</w:t>
      </w:r>
      <w:r w:rsidRPr="009E7848" w:rsidR="000E2CF1">
        <w:rPr>
          <w:rFonts w:cstheme="minorHAnsi"/>
        </w:rPr>
        <w:t xml:space="preserve"> </w:t>
      </w:r>
      <w:r w:rsidRPr="009E7848">
        <w:rPr>
          <w:rFonts w:cstheme="minorHAnsi"/>
        </w:rPr>
        <w:t xml:space="preserve">trading programs, including sources and units that are also subject to the ARP, plus approximately </w:t>
      </w:r>
      <w:r w:rsidRPr="009E7848" w:rsidR="000E2CF1">
        <w:rPr>
          <w:rFonts w:cstheme="minorHAnsi"/>
        </w:rPr>
        <w:t>44</w:t>
      </w:r>
      <w:r w:rsidRPr="009E7848">
        <w:rPr>
          <w:rFonts w:cstheme="minorHAnsi"/>
        </w:rPr>
        <w:t xml:space="preserve"> non-source entities participating in allowance trading activities.  This ICR includes estimated allowance-related burden and costs for all industry respondents.  However, EPA believes that the emissions-related information collection burden and costs for sources and units also subject to the ARP are fully accounted for in the ARP ICR (OMB Control Number 2060-0258).  Accordingly, this ICR includes estimated emissions-related burden and costs only for sources that are not subject to the ARP.  EPA estimates that there are approximately </w:t>
      </w:r>
      <w:r w:rsidRPr="009E7848" w:rsidR="000E2CF1">
        <w:rPr>
          <w:rFonts w:cstheme="minorHAnsi"/>
        </w:rPr>
        <w:t>136</w:t>
      </w:r>
      <w:r w:rsidRPr="009E7848">
        <w:rPr>
          <w:rFonts w:cstheme="minorHAnsi"/>
        </w:rPr>
        <w:t xml:space="preserve"> sources with </w:t>
      </w:r>
      <w:r w:rsidRPr="009E7848" w:rsidR="00692A8D">
        <w:rPr>
          <w:rFonts w:cstheme="minorHAnsi"/>
        </w:rPr>
        <w:t>450</w:t>
      </w:r>
      <w:r w:rsidRPr="009E7848">
        <w:rPr>
          <w:rFonts w:cstheme="minorHAnsi"/>
        </w:rPr>
        <w:t xml:space="preserve"> non-ARP-affected units subject to emissions-related information collection requirements covered by this ICR.  Table 2 provides estimates of industry respondent burden and costs for registration-related, allowance-related, and emissions-related activities.  </w:t>
      </w:r>
    </w:p>
    <w:p w:rsidR="0070103A" w:rsidRPr="009E7848" w:rsidP="00E729D1" w14:paraId="69198229" w14:textId="6E2CB616">
      <w:pPr>
        <w:autoSpaceDE w:val="0"/>
        <w:autoSpaceDN w:val="0"/>
        <w:adjustRightInd w:val="0"/>
        <w:ind w:left="720"/>
        <w:rPr>
          <w:rFonts w:cstheme="minorHAnsi"/>
        </w:rPr>
      </w:pPr>
      <w:r w:rsidRPr="009E7848">
        <w:rPr>
          <w:rFonts w:cstheme="minorHAnsi"/>
        </w:rPr>
        <w:t xml:space="preserve">The CSAPR and Texas </w:t>
      </w:r>
      <w:r w:rsidRPr="009E7848" w:rsidR="00692A8D">
        <w:rPr>
          <w:rFonts w:cstheme="minorHAnsi"/>
        </w:rPr>
        <w:t>SO</w:t>
      </w:r>
      <w:r w:rsidRPr="009E7848" w:rsidR="00692A8D">
        <w:rPr>
          <w:rFonts w:cstheme="minorHAnsi"/>
          <w:vertAlign w:val="subscript"/>
        </w:rPr>
        <w:t>2</w:t>
      </w:r>
      <w:r w:rsidRPr="009E7848" w:rsidR="00692A8D">
        <w:rPr>
          <w:rFonts w:cstheme="minorHAnsi"/>
        </w:rPr>
        <w:t xml:space="preserve"> </w:t>
      </w:r>
      <w:r w:rsidRPr="009E7848">
        <w:rPr>
          <w:rFonts w:cstheme="minorHAnsi"/>
        </w:rPr>
        <w:t xml:space="preserve">trading programs apply to sources in 27 states.  States have no mandatory activities under these programs, but states have options to submit state-determined allowance allocations for their sources that are subject to the CSAPR programs.  To date, four states have revised their SIPs to provide for periodic submissions of CSAPR allowance allocation information.  Table </w:t>
      </w:r>
      <w:r w:rsidRPr="009E7848" w:rsidR="00DD21CA">
        <w:rPr>
          <w:rFonts w:cstheme="minorHAnsi"/>
        </w:rPr>
        <w:t>12.2</w:t>
      </w:r>
      <w:r w:rsidRPr="009E7848">
        <w:rPr>
          <w:rFonts w:cstheme="minorHAnsi"/>
        </w:rPr>
        <w:t xml:space="preserve"> provides estimates of state respondent burden and costs for this activity.</w:t>
      </w:r>
    </w:p>
    <w:p w:rsidR="0070103A" w:rsidRPr="009E7848" w:rsidP="0070103A" w14:paraId="39FB6D98" w14:textId="77777777">
      <w:pPr>
        <w:autoSpaceDE w:val="0"/>
        <w:autoSpaceDN w:val="0"/>
        <w:adjustRightInd w:val="0"/>
        <w:jc w:val="center"/>
        <w:rPr>
          <w:rFonts w:cstheme="minorHAnsi"/>
          <w:b/>
          <w:bCs/>
        </w:rPr>
        <w:sectPr w:rsidSect="00F07F3C">
          <w:headerReference w:type="default" r:id="rId10"/>
          <w:footerReference w:type="even" r:id="rId11"/>
          <w:footerReference w:type="default" r:id="rId12"/>
          <w:headerReference w:type="first" r:id="rId13"/>
          <w:type w:val="continuous"/>
          <w:pgSz w:w="12240" w:h="15840" w:code="1"/>
          <w:pgMar w:top="720" w:right="1440" w:bottom="1440" w:left="1440" w:header="720" w:footer="720" w:gutter="0"/>
          <w:cols w:space="720"/>
          <w:titlePg/>
          <w:docGrid w:linePitch="360"/>
        </w:sectPr>
      </w:pPr>
    </w:p>
    <w:p w:rsidR="0070103A" w:rsidRPr="009E7848" w:rsidP="00D16AFC" w14:paraId="3B68F05F" w14:textId="62D5CD40">
      <w:pPr>
        <w:autoSpaceDE w:val="0"/>
        <w:autoSpaceDN w:val="0"/>
        <w:adjustRightInd w:val="0"/>
        <w:jc w:val="center"/>
        <w:rPr>
          <w:color w:val="0F0F0F"/>
        </w:rPr>
      </w:pPr>
      <w:r w:rsidRPr="009E7848">
        <w:rPr>
          <w:rFonts w:cstheme="minorHAnsi"/>
          <w:bCs/>
          <w:color w:val="0F0F0F"/>
        </w:rPr>
        <w:t xml:space="preserve">Table </w:t>
      </w:r>
      <w:r w:rsidRPr="009E7848" w:rsidR="00F023C6">
        <w:rPr>
          <w:rFonts w:cstheme="minorHAnsi"/>
          <w:bCs/>
          <w:color w:val="0F0F0F"/>
        </w:rPr>
        <w:t>1</w:t>
      </w:r>
      <w:r w:rsidRPr="009E7848">
        <w:rPr>
          <w:rFonts w:cstheme="minorHAnsi"/>
          <w:bCs/>
          <w:color w:val="0F0F0F"/>
        </w:rPr>
        <w:t>2</w:t>
      </w:r>
      <w:r w:rsidRPr="009E7848" w:rsidR="00F023C6">
        <w:rPr>
          <w:rFonts w:cstheme="minorHAnsi"/>
          <w:bCs/>
          <w:color w:val="0F0F0F"/>
        </w:rPr>
        <w:t>.1</w:t>
      </w:r>
      <w:r w:rsidRPr="009E7848">
        <w:rPr>
          <w:rFonts w:cstheme="minorHAnsi"/>
          <w:bCs/>
          <w:color w:val="0F0F0F"/>
        </w:rPr>
        <w:t>:  Annual Industry Respondent Burden and Cost by Activity</w:t>
      </w:r>
    </w:p>
    <w:tbl>
      <w:tblPr>
        <w:tblW w:w="11444" w:type="dxa"/>
        <w:jc w:val="center"/>
        <w:tblLayout w:type="fixed"/>
        <w:tblCellMar>
          <w:top w:w="72" w:type="dxa"/>
          <w:left w:w="72" w:type="dxa"/>
          <w:bottom w:w="72" w:type="dxa"/>
          <w:right w:w="72" w:type="dxa"/>
        </w:tblCellMar>
        <w:tblLook w:val="04A0"/>
      </w:tblPr>
      <w:tblGrid>
        <w:gridCol w:w="4135"/>
        <w:gridCol w:w="980"/>
        <w:gridCol w:w="981"/>
        <w:gridCol w:w="980"/>
        <w:gridCol w:w="981"/>
        <w:gridCol w:w="1047"/>
        <w:gridCol w:w="810"/>
        <w:gridCol w:w="1530"/>
      </w:tblGrid>
      <w:tr w14:paraId="1A76F4A6" w14:textId="77777777" w:rsidTr="68E09386">
        <w:tblPrEx>
          <w:tblW w:w="11444" w:type="dxa"/>
          <w:jc w:val="center"/>
          <w:tblLayout w:type="fixed"/>
          <w:tblCellMar>
            <w:top w:w="72" w:type="dxa"/>
            <w:left w:w="72" w:type="dxa"/>
            <w:bottom w:w="72" w:type="dxa"/>
            <w:right w:w="72" w:type="dxa"/>
          </w:tblCellMar>
          <w:tblLook w:val="04A0"/>
        </w:tblPrEx>
        <w:trPr>
          <w:cantSplit/>
          <w:trHeight w:val="15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5C186C" w:rsidRPr="009E7848" w:rsidP="00D70129" w14:paraId="43DA2FDF" w14:textId="07C9E2C7">
            <w:pPr>
              <w:rPr>
                <w:rFonts w:cstheme="minorHAnsi"/>
                <w:b/>
                <w:bCs/>
                <w:sz w:val="21"/>
                <w:szCs w:val="21"/>
              </w:rPr>
            </w:pPr>
            <w:r w:rsidRPr="009E7848">
              <w:rPr>
                <w:rFonts w:cstheme="minorHAnsi"/>
                <w:b/>
                <w:bCs/>
                <w:sz w:val="21"/>
                <w:szCs w:val="21"/>
              </w:rPr>
              <w:t>108</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246B632B" w14:textId="64C333C3">
            <w:pPr>
              <w:ind w:left="113" w:right="113"/>
              <w:rPr>
                <w:rFonts w:cstheme="minorHAnsi"/>
                <w:b/>
                <w:bCs/>
                <w:sz w:val="21"/>
                <w:szCs w:val="21"/>
              </w:rPr>
            </w:pPr>
            <w:r w:rsidRPr="009E7848">
              <w:rPr>
                <w:rFonts w:cstheme="minorHAnsi"/>
                <w:b/>
                <w:bCs/>
                <w:sz w:val="21"/>
                <w:szCs w:val="21"/>
              </w:rPr>
              <w:t>Manager $123.48 per hour</w:t>
            </w:r>
          </w:p>
        </w:tc>
        <w:tc>
          <w:tcPr>
            <w:tcW w:w="981"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46C82457" w14:textId="7D48F03E">
            <w:pPr>
              <w:ind w:left="113" w:right="113"/>
              <w:rPr>
                <w:rFonts w:cstheme="minorHAnsi"/>
                <w:b/>
                <w:bCs/>
                <w:sz w:val="21"/>
                <w:szCs w:val="21"/>
              </w:rPr>
            </w:pPr>
            <w:r w:rsidRPr="009E7848">
              <w:rPr>
                <w:rFonts w:cstheme="minorHAnsi"/>
                <w:b/>
                <w:bCs/>
                <w:sz w:val="21"/>
                <w:szCs w:val="21"/>
              </w:rPr>
              <w:t>Technician   $88.80 per hour</w:t>
            </w:r>
          </w:p>
        </w:tc>
        <w:tc>
          <w:tcPr>
            <w:tcW w:w="980"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0726EE88" w14:textId="77777777">
            <w:pPr>
              <w:ind w:left="113" w:right="113"/>
              <w:rPr>
                <w:rFonts w:cstheme="minorHAnsi"/>
                <w:b/>
                <w:bCs/>
                <w:sz w:val="21"/>
                <w:szCs w:val="21"/>
              </w:rPr>
            </w:pPr>
            <w:r w:rsidRPr="009E7848">
              <w:rPr>
                <w:rFonts w:cstheme="minorHAnsi"/>
                <w:b/>
                <w:bCs/>
                <w:sz w:val="21"/>
                <w:szCs w:val="21"/>
              </w:rPr>
              <w:t>Respondent hours per year</w:t>
            </w:r>
          </w:p>
        </w:tc>
        <w:tc>
          <w:tcPr>
            <w:tcW w:w="981"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7B999179" w14:textId="4065876D">
            <w:pPr>
              <w:ind w:left="113" w:right="113"/>
              <w:rPr>
                <w:rFonts w:cstheme="minorHAnsi"/>
                <w:b/>
                <w:bCs/>
                <w:sz w:val="21"/>
                <w:szCs w:val="21"/>
              </w:rPr>
            </w:pPr>
            <w:r w:rsidRPr="009E7848">
              <w:rPr>
                <w:rFonts w:cstheme="minorHAnsi"/>
                <w:b/>
                <w:bCs/>
                <w:sz w:val="21"/>
                <w:szCs w:val="21"/>
              </w:rPr>
              <w:t>Respondent labor cost per year</w:t>
            </w:r>
          </w:p>
        </w:tc>
        <w:tc>
          <w:tcPr>
            <w:tcW w:w="1047"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6734D399" w14:textId="77777777">
            <w:pPr>
              <w:ind w:left="113" w:right="113"/>
              <w:rPr>
                <w:rFonts w:cstheme="minorHAnsi"/>
                <w:b/>
                <w:bCs/>
                <w:sz w:val="21"/>
                <w:szCs w:val="21"/>
              </w:rPr>
            </w:pPr>
            <w:r w:rsidRPr="009E7848">
              <w:rPr>
                <w:rFonts w:cstheme="minorHAnsi"/>
                <w:b/>
                <w:bCs/>
                <w:sz w:val="21"/>
                <w:szCs w:val="21"/>
              </w:rPr>
              <w:t>Number of respondents / transactions</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70A67B75" w14:textId="77777777">
            <w:pPr>
              <w:ind w:left="113" w:right="113"/>
              <w:rPr>
                <w:rFonts w:cstheme="minorHAnsi"/>
                <w:b/>
                <w:bCs/>
                <w:sz w:val="21"/>
                <w:szCs w:val="21"/>
              </w:rPr>
            </w:pPr>
            <w:r w:rsidRPr="009E7848">
              <w:rPr>
                <w:rFonts w:cstheme="minorHAnsi"/>
                <w:b/>
                <w:bCs/>
                <w:sz w:val="21"/>
                <w:szCs w:val="21"/>
              </w:rPr>
              <w:t>Total hours per year</w:t>
            </w:r>
          </w:p>
        </w:tc>
        <w:tc>
          <w:tcPr>
            <w:tcW w:w="1530" w:type="dxa"/>
            <w:tcBorders>
              <w:top w:val="single" w:sz="4" w:space="0" w:color="auto"/>
              <w:left w:val="nil"/>
              <w:bottom w:val="single" w:sz="4" w:space="0" w:color="auto"/>
              <w:right w:val="single" w:sz="4" w:space="0" w:color="auto"/>
            </w:tcBorders>
            <w:shd w:val="clear" w:color="auto" w:fill="auto"/>
            <w:textDirection w:val="btLr"/>
            <w:vAlign w:val="center"/>
          </w:tcPr>
          <w:p w:rsidR="005C186C" w:rsidRPr="009E7848" w:rsidP="00D70129" w14:paraId="3DDB2067" w14:textId="77777777">
            <w:pPr>
              <w:ind w:left="113" w:right="113"/>
              <w:rPr>
                <w:rFonts w:cstheme="minorHAnsi"/>
                <w:b/>
                <w:bCs/>
                <w:sz w:val="21"/>
                <w:szCs w:val="21"/>
              </w:rPr>
            </w:pPr>
            <w:r w:rsidRPr="009E7848">
              <w:rPr>
                <w:rFonts w:cstheme="minorHAnsi"/>
                <w:b/>
                <w:bCs/>
                <w:sz w:val="21"/>
                <w:szCs w:val="21"/>
              </w:rPr>
              <w:t>Total cost per year</w:t>
            </w:r>
          </w:p>
        </w:tc>
      </w:tr>
      <w:tr w14:paraId="1AE0AC41" w14:textId="77777777" w:rsidTr="68E09386">
        <w:tblPrEx>
          <w:tblW w:w="11444" w:type="dxa"/>
          <w:jc w:val="center"/>
          <w:tblLayout w:type="fixed"/>
          <w:tblCellMar>
            <w:top w:w="72" w:type="dxa"/>
            <w:left w:w="72" w:type="dxa"/>
            <w:bottom w:w="72" w:type="dxa"/>
            <w:right w:w="72" w:type="dxa"/>
          </w:tblCellMar>
          <w:tblLook w:val="04A0"/>
        </w:tblPrEx>
        <w:trPr>
          <w:cantSplit/>
          <w:trHeight w:val="287"/>
          <w:jc w:val="center"/>
        </w:trPr>
        <w:tc>
          <w:tcPr>
            <w:tcW w:w="114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186C" w:rsidRPr="009E7848" w:rsidP="00D70129" w14:paraId="02B2A7EC" w14:textId="1CD23E54">
            <w:pPr>
              <w:jc w:val="center"/>
              <w:rPr>
                <w:rFonts w:cstheme="minorHAnsi"/>
                <w:b/>
                <w:bCs/>
                <w:sz w:val="21"/>
                <w:szCs w:val="21"/>
              </w:rPr>
            </w:pPr>
            <w:r w:rsidRPr="009E7848">
              <w:rPr>
                <w:rFonts w:cstheme="minorHAnsi"/>
                <w:b/>
                <w:bCs/>
                <w:sz w:val="21"/>
                <w:szCs w:val="21"/>
              </w:rPr>
              <w:t>Registration-related burden and costs</w:t>
            </w:r>
          </w:p>
        </w:tc>
      </w:tr>
      <w:tr w14:paraId="1E5AEA14"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0F70F8B7" w14:textId="77777777">
            <w:pPr>
              <w:rPr>
                <w:rFonts w:cstheme="minorHAnsi"/>
                <w:sz w:val="21"/>
                <w:szCs w:val="21"/>
              </w:rPr>
            </w:pPr>
            <w:r w:rsidRPr="009E7848">
              <w:rPr>
                <w:rFonts w:cstheme="minorHAnsi"/>
                <w:sz w:val="21"/>
                <w:szCs w:val="21"/>
              </w:rPr>
              <w:t>Certificate of representation updates</w:t>
            </w:r>
            <w:r w:rsidRPr="009E7848">
              <w:rPr>
                <w:rFonts w:cstheme="minorHAnsi"/>
                <w:sz w:val="21"/>
                <w:szCs w:val="21"/>
                <w:vertAlign w:val="superscript"/>
              </w:rPr>
              <w:t>1</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7C022BAA" w14:textId="77777777">
            <w:pPr>
              <w:rPr>
                <w:rFonts w:eastAsia="Times New Roman" w:cstheme="minorHAnsi"/>
                <w:color w:val="000000"/>
                <w:sz w:val="21"/>
                <w:szCs w:val="21"/>
              </w:rPr>
            </w:pPr>
            <w:r w:rsidRPr="009E7848">
              <w:rPr>
                <w:rFonts w:eastAsia="Times New Roman" w:cstheme="minorHAnsi"/>
                <w:color w:val="000000"/>
                <w:sz w:val="21"/>
                <w:szCs w:val="21"/>
              </w:rPr>
              <w:t>0.50</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A5218E2" w14:textId="77777777">
            <w:pPr>
              <w:rPr>
                <w:rFonts w:eastAsia="Times New Roman" w:cstheme="minorHAnsi"/>
                <w:color w:val="000000"/>
                <w:sz w:val="21"/>
                <w:szCs w:val="21"/>
              </w:rPr>
            </w:pPr>
            <w:r w:rsidRPr="009E7848">
              <w:rPr>
                <w:rFonts w:eastAsia="Times New Roman" w:cstheme="minorHAnsi"/>
                <w:color w:val="000000"/>
                <w:sz w:val="21"/>
                <w:szCs w:val="21"/>
              </w:rPr>
              <w:t>0.50</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3A918752"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C0119F2" w14:textId="14D30184">
            <w:pPr>
              <w:rPr>
                <w:rFonts w:eastAsia="Times New Roman" w:cstheme="minorHAnsi"/>
                <w:color w:val="000000"/>
                <w:sz w:val="21"/>
                <w:szCs w:val="21"/>
              </w:rPr>
            </w:pPr>
            <w:r w:rsidRPr="009E7848">
              <w:rPr>
                <w:rFonts w:eastAsia="Times New Roman" w:cstheme="minorHAnsi"/>
                <w:color w:val="000000"/>
                <w:sz w:val="21"/>
                <w:szCs w:val="21"/>
              </w:rPr>
              <w:t>$106</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1B133486" w14:textId="1894D901">
            <w:pPr>
              <w:rPr>
                <w:rFonts w:eastAsia="Times New Roman" w:cstheme="minorHAnsi"/>
                <w:color w:val="000000"/>
                <w:sz w:val="21"/>
                <w:szCs w:val="21"/>
              </w:rPr>
            </w:pPr>
            <w:r w:rsidRPr="009E7848">
              <w:rPr>
                <w:rFonts w:eastAsia="Times New Roman" w:cstheme="minorHAnsi"/>
                <w:color w:val="000000"/>
                <w:sz w:val="21"/>
                <w:szCs w:val="21"/>
              </w:rPr>
              <w:t>45</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4AD2C914" w14:textId="130B9D71">
            <w:pPr>
              <w:rPr>
                <w:rFonts w:eastAsia="Times New Roman" w:cstheme="minorHAnsi"/>
                <w:color w:val="000000"/>
                <w:sz w:val="21"/>
                <w:szCs w:val="21"/>
              </w:rPr>
            </w:pPr>
            <w:r w:rsidRPr="009E7848">
              <w:rPr>
                <w:rFonts w:eastAsia="Times New Roman" w:cstheme="minorHAnsi"/>
                <w:color w:val="000000"/>
                <w:sz w:val="21"/>
                <w:szCs w:val="21"/>
              </w:rPr>
              <w:t>45</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1378DA49" w14:textId="3690D4E1">
            <w:pPr>
              <w:rPr>
                <w:rFonts w:eastAsia="Times New Roman" w:cstheme="minorHAnsi"/>
                <w:color w:val="000000"/>
                <w:sz w:val="21"/>
                <w:szCs w:val="21"/>
              </w:rPr>
            </w:pPr>
            <w:r w:rsidRPr="009E7848">
              <w:rPr>
                <w:rFonts w:eastAsia="Times New Roman" w:cstheme="minorHAnsi"/>
                <w:color w:val="000000"/>
                <w:sz w:val="21"/>
                <w:szCs w:val="21"/>
              </w:rPr>
              <w:t>$4,770</w:t>
            </w:r>
          </w:p>
        </w:tc>
      </w:tr>
      <w:tr w14:paraId="10659F0E"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20D2C6A7" w14:textId="77777777">
            <w:pPr>
              <w:rPr>
                <w:rFonts w:cstheme="minorHAnsi"/>
                <w:sz w:val="21"/>
                <w:szCs w:val="21"/>
              </w:rPr>
            </w:pPr>
            <w:r w:rsidRPr="009E7848">
              <w:rPr>
                <w:rFonts w:cstheme="minorHAnsi"/>
                <w:sz w:val="21"/>
                <w:szCs w:val="21"/>
              </w:rPr>
              <w:t>Retired unit exemption forms</w:t>
            </w:r>
            <w:r w:rsidRPr="009E7848">
              <w:rPr>
                <w:rFonts w:cstheme="minorHAnsi"/>
                <w:sz w:val="21"/>
                <w:szCs w:val="21"/>
                <w:vertAlign w:val="superscript"/>
              </w:rPr>
              <w:t>2</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511BAFC9"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E3397EC"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0C5813C7" w14:textId="77777777">
            <w:pPr>
              <w:rPr>
                <w:rFonts w:eastAsia="Times New Roman" w:cstheme="minorHAnsi"/>
                <w:color w:val="000000"/>
                <w:sz w:val="21"/>
                <w:szCs w:val="21"/>
              </w:rPr>
            </w:pPr>
            <w:r w:rsidRPr="009E7848">
              <w:rPr>
                <w:rFonts w:eastAsia="Times New Roman" w:cstheme="minorHAnsi"/>
                <w:color w:val="000000"/>
                <w:sz w:val="21"/>
                <w:szCs w:val="21"/>
              </w:rPr>
              <w:t>2</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9FB6102" w14:textId="4D302A4F">
            <w:pPr>
              <w:rPr>
                <w:rFonts w:eastAsia="Times New Roman" w:cstheme="minorHAnsi"/>
                <w:color w:val="000000"/>
                <w:sz w:val="21"/>
                <w:szCs w:val="21"/>
              </w:rPr>
            </w:pPr>
            <w:r w:rsidRPr="009E7848">
              <w:rPr>
                <w:rFonts w:eastAsia="Times New Roman" w:cstheme="minorHAnsi"/>
                <w:color w:val="000000"/>
                <w:sz w:val="21"/>
                <w:szCs w:val="21"/>
              </w:rPr>
              <w:t>$212</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71A2139C" w14:textId="1DCF2656">
            <w:pPr>
              <w:rPr>
                <w:rFonts w:eastAsia="Times New Roman" w:cstheme="minorHAnsi"/>
                <w:color w:val="000000"/>
                <w:sz w:val="21"/>
                <w:szCs w:val="21"/>
              </w:rPr>
            </w:pPr>
            <w:r w:rsidRPr="009E7848">
              <w:rPr>
                <w:rFonts w:eastAsia="Times New Roman" w:cstheme="minorHAnsi"/>
                <w:color w:val="000000"/>
                <w:sz w:val="21"/>
                <w:szCs w:val="21"/>
              </w:rPr>
              <w:t>14</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71D74998" w14:textId="03DCBDD2">
            <w:pPr>
              <w:rPr>
                <w:rFonts w:eastAsia="Times New Roman" w:cstheme="minorHAnsi"/>
                <w:color w:val="000000"/>
                <w:sz w:val="21"/>
                <w:szCs w:val="21"/>
              </w:rPr>
            </w:pPr>
            <w:r w:rsidRPr="009E7848">
              <w:rPr>
                <w:rFonts w:eastAsia="Times New Roman" w:cstheme="minorHAnsi"/>
                <w:color w:val="000000"/>
                <w:sz w:val="21"/>
                <w:szCs w:val="21"/>
              </w:rPr>
              <w:t>28</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6B2F4B38" w14:textId="495ED859">
            <w:pPr>
              <w:rPr>
                <w:rFonts w:eastAsia="Times New Roman" w:cstheme="minorHAnsi"/>
                <w:color w:val="000000"/>
                <w:sz w:val="21"/>
                <w:szCs w:val="21"/>
              </w:rPr>
            </w:pPr>
            <w:r w:rsidRPr="009E7848">
              <w:rPr>
                <w:rFonts w:eastAsia="Times New Roman" w:cstheme="minorHAnsi"/>
                <w:color w:val="000000"/>
                <w:sz w:val="21"/>
                <w:szCs w:val="21"/>
              </w:rPr>
              <w:t>$2,968</w:t>
            </w:r>
          </w:p>
        </w:tc>
      </w:tr>
      <w:tr w14:paraId="37571C1B"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11444"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rsidR="005C186C" w:rsidRPr="009E7848" w:rsidP="00D70129" w14:paraId="049A87C4" w14:textId="1A2AECB2">
            <w:pPr>
              <w:jc w:val="center"/>
              <w:rPr>
                <w:rFonts w:eastAsia="Times New Roman" w:cstheme="minorHAnsi"/>
                <w:b/>
                <w:bCs/>
                <w:color w:val="000000"/>
                <w:sz w:val="21"/>
                <w:szCs w:val="21"/>
              </w:rPr>
            </w:pPr>
            <w:r w:rsidRPr="009E7848">
              <w:rPr>
                <w:rFonts w:eastAsia="Times New Roman" w:cstheme="minorHAnsi"/>
                <w:b/>
                <w:bCs/>
                <w:color w:val="000000"/>
                <w:sz w:val="21"/>
                <w:szCs w:val="21"/>
              </w:rPr>
              <w:t>Allowance-related burden and costs</w:t>
            </w:r>
          </w:p>
        </w:tc>
      </w:tr>
      <w:tr w14:paraId="50D881E0"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14B66B10" w14:textId="77777777">
            <w:pPr>
              <w:rPr>
                <w:rFonts w:cstheme="minorHAnsi"/>
                <w:sz w:val="21"/>
                <w:szCs w:val="21"/>
              </w:rPr>
            </w:pPr>
            <w:r w:rsidRPr="009E7848">
              <w:rPr>
                <w:rFonts w:cstheme="minorHAnsi"/>
                <w:sz w:val="21"/>
                <w:szCs w:val="21"/>
              </w:rPr>
              <w:t>Allowance transfer form submissions</w:t>
            </w:r>
            <w:r w:rsidRPr="009E7848">
              <w:rPr>
                <w:rFonts w:cstheme="minorHAnsi"/>
                <w:sz w:val="21"/>
                <w:szCs w:val="21"/>
                <w:vertAlign w:val="superscript"/>
              </w:rPr>
              <w:t>3</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3535FE0F"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3605698"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51E6FA8E" w14:textId="77777777">
            <w:pPr>
              <w:rPr>
                <w:rFonts w:eastAsia="Times New Roman" w:cstheme="minorHAnsi"/>
                <w:color w:val="000000"/>
                <w:sz w:val="21"/>
                <w:szCs w:val="21"/>
              </w:rPr>
            </w:pPr>
            <w:r w:rsidRPr="009E7848">
              <w:rPr>
                <w:rFonts w:eastAsia="Times New Roman" w:cstheme="minorHAnsi"/>
                <w:color w:val="000000"/>
                <w:sz w:val="21"/>
                <w:szCs w:val="21"/>
              </w:rPr>
              <w:t>2</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52704CF" w14:textId="3410FC97">
            <w:pPr>
              <w:rPr>
                <w:rFonts w:eastAsia="Times New Roman" w:cstheme="minorHAnsi"/>
                <w:color w:val="000000"/>
                <w:sz w:val="21"/>
                <w:szCs w:val="21"/>
              </w:rPr>
            </w:pPr>
            <w:r w:rsidRPr="009E7848">
              <w:rPr>
                <w:rFonts w:eastAsia="Times New Roman" w:cstheme="minorHAnsi"/>
                <w:color w:val="000000"/>
                <w:sz w:val="21"/>
                <w:szCs w:val="21"/>
              </w:rPr>
              <w:t>$212</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68E09386" w14:paraId="3A1CD3C6" w14:textId="3E95C040">
            <w:pPr>
              <w:rPr>
                <w:rFonts w:eastAsia="Times New Roman"/>
                <w:color w:val="000000"/>
                <w:sz w:val="21"/>
                <w:szCs w:val="21"/>
              </w:rPr>
            </w:pPr>
            <w:r w:rsidRPr="009E7848">
              <w:rPr>
                <w:rFonts w:eastAsia="Times New Roman"/>
                <w:color w:val="000000" w:themeColor="text1"/>
                <w:sz w:val="21"/>
                <w:szCs w:val="21"/>
              </w:rPr>
              <w:t>1</w:t>
            </w:r>
            <w:r w:rsidRPr="009E7848" w:rsidR="7CED858F">
              <w:rPr>
                <w:rFonts w:eastAsia="Times New Roman"/>
                <w:color w:val="000000" w:themeColor="text1"/>
                <w:sz w:val="21"/>
                <w:szCs w:val="21"/>
              </w:rPr>
              <w:t>,</w:t>
            </w:r>
            <w:r w:rsidRPr="009E7848">
              <w:rPr>
                <w:rFonts w:eastAsia="Times New Roman"/>
                <w:color w:val="000000" w:themeColor="text1"/>
                <w:sz w:val="21"/>
                <w:szCs w:val="21"/>
              </w:rPr>
              <w:t>214</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7EF5134A" w14:textId="283A88A8">
            <w:pPr>
              <w:rPr>
                <w:rFonts w:eastAsia="Times New Roman" w:cstheme="minorHAnsi"/>
                <w:color w:val="000000"/>
                <w:sz w:val="21"/>
                <w:szCs w:val="21"/>
              </w:rPr>
            </w:pPr>
            <w:r w:rsidRPr="009E7848">
              <w:rPr>
                <w:rFonts w:eastAsia="Times New Roman" w:cstheme="minorHAnsi"/>
                <w:color w:val="000000"/>
                <w:sz w:val="21"/>
                <w:szCs w:val="21"/>
              </w:rPr>
              <w:t>2,428</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1AF1FF36" w14:textId="6E1B870F">
            <w:pPr>
              <w:rPr>
                <w:rFonts w:eastAsia="Times New Roman" w:cstheme="minorHAnsi"/>
                <w:color w:val="000000"/>
                <w:sz w:val="21"/>
                <w:szCs w:val="21"/>
              </w:rPr>
            </w:pPr>
            <w:r w:rsidRPr="009E7848">
              <w:rPr>
                <w:rFonts w:eastAsia="Times New Roman" w:cstheme="minorHAnsi"/>
                <w:color w:val="000000"/>
                <w:sz w:val="21"/>
                <w:szCs w:val="21"/>
              </w:rPr>
              <w:t>$257,368</w:t>
            </w:r>
          </w:p>
        </w:tc>
      </w:tr>
      <w:tr w14:paraId="193AE095"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1CFB3E40" w14:textId="77777777">
            <w:pPr>
              <w:rPr>
                <w:rFonts w:cstheme="minorHAnsi"/>
                <w:sz w:val="21"/>
                <w:szCs w:val="21"/>
              </w:rPr>
            </w:pPr>
            <w:r w:rsidRPr="009E7848">
              <w:rPr>
                <w:rFonts w:cstheme="minorHAnsi"/>
                <w:sz w:val="21"/>
                <w:szCs w:val="21"/>
              </w:rPr>
              <w:t>Allowance deduction form submissions</w:t>
            </w:r>
            <w:r w:rsidRPr="009E7848">
              <w:rPr>
                <w:rFonts w:cstheme="minorHAnsi"/>
                <w:sz w:val="21"/>
                <w:szCs w:val="21"/>
                <w:vertAlign w:val="superscript"/>
              </w:rPr>
              <w:t>4</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6D8FE8DA" w14:textId="77777777">
            <w:pPr>
              <w:rPr>
                <w:rFonts w:eastAsia="Times New Roman" w:cstheme="minorHAnsi"/>
                <w:color w:val="000000"/>
                <w:sz w:val="21"/>
                <w:szCs w:val="21"/>
              </w:rPr>
            </w:pPr>
            <w:r w:rsidRPr="009E7848">
              <w:rPr>
                <w:rFonts w:eastAsia="Times New Roman" w:cstheme="minorHAnsi"/>
                <w:color w:val="000000"/>
                <w:sz w:val="21"/>
                <w:szCs w:val="21"/>
              </w:rPr>
              <w:t>1</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44E4D799" w14:textId="77777777">
            <w:pPr>
              <w:rPr>
                <w:rFonts w:eastAsia="Times New Roman" w:cstheme="minorHAnsi"/>
                <w:color w:val="000000"/>
                <w:sz w:val="21"/>
                <w:szCs w:val="21"/>
              </w:rPr>
            </w:pPr>
            <w:r w:rsidRPr="009E7848">
              <w:rPr>
                <w:rFonts w:eastAsia="Times New Roman" w:cstheme="minorHAnsi"/>
                <w:color w:val="000000"/>
                <w:sz w:val="21"/>
                <w:szCs w:val="21"/>
              </w:rPr>
              <w:t>2</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1A2FF1B6" w14:textId="77777777">
            <w:pPr>
              <w:rPr>
                <w:rFonts w:eastAsia="Times New Roman" w:cstheme="minorHAnsi"/>
                <w:color w:val="000000"/>
                <w:sz w:val="21"/>
                <w:szCs w:val="21"/>
              </w:rPr>
            </w:pPr>
            <w:r w:rsidRPr="009E7848">
              <w:rPr>
                <w:rFonts w:eastAsia="Times New Roman" w:cstheme="minorHAnsi"/>
                <w:color w:val="000000"/>
                <w:sz w:val="21"/>
                <w:szCs w:val="21"/>
              </w:rPr>
              <w:t>3</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3C588086" w14:textId="31023551">
            <w:pPr>
              <w:rPr>
                <w:rFonts w:eastAsia="Times New Roman" w:cstheme="minorHAnsi"/>
                <w:color w:val="000000"/>
                <w:sz w:val="21"/>
                <w:szCs w:val="21"/>
              </w:rPr>
            </w:pPr>
            <w:r w:rsidRPr="009E7848">
              <w:rPr>
                <w:rFonts w:eastAsia="Times New Roman" w:cstheme="minorHAnsi"/>
                <w:color w:val="000000"/>
                <w:sz w:val="21"/>
                <w:szCs w:val="21"/>
              </w:rPr>
              <w:t>$301</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31313C25" w14:textId="1D4B0B49">
            <w:pPr>
              <w:rPr>
                <w:rFonts w:eastAsia="Times New Roman" w:cstheme="minorHAnsi"/>
                <w:color w:val="000000"/>
                <w:sz w:val="21"/>
                <w:szCs w:val="21"/>
              </w:rPr>
            </w:pPr>
            <w:r w:rsidRPr="009E7848">
              <w:rPr>
                <w:rFonts w:eastAsia="Times New Roman" w:cstheme="minorHAnsi"/>
                <w:color w:val="000000"/>
                <w:sz w:val="21"/>
                <w:szCs w:val="21"/>
              </w:rPr>
              <w:t>218</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48DD33E7" w14:textId="1A582E59">
            <w:pPr>
              <w:rPr>
                <w:rFonts w:eastAsia="Times New Roman" w:cstheme="minorHAnsi"/>
                <w:color w:val="000000"/>
                <w:sz w:val="21"/>
                <w:szCs w:val="21"/>
              </w:rPr>
            </w:pPr>
            <w:r w:rsidRPr="009E7848">
              <w:rPr>
                <w:rFonts w:eastAsia="Times New Roman" w:cstheme="minorHAnsi"/>
                <w:color w:val="000000"/>
                <w:sz w:val="21"/>
                <w:szCs w:val="21"/>
              </w:rPr>
              <w:t>654</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691D044D" w14:textId="37F417E9">
            <w:pPr>
              <w:rPr>
                <w:rFonts w:eastAsia="Times New Roman" w:cstheme="minorHAnsi"/>
                <w:color w:val="000000"/>
                <w:sz w:val="21"/>
                <w:szCs w:val="21"/>
              </w:rPr>
            </w:pPr>
            <w:r w:rsidRPr="009E7848">
              <w:rPr>
                <w:rFonts w:eastAsia="Times New Roman" w:cstheme="minorHAnsi"/>
                <w:color w:val="000000"/>
                <w:sz w:val="21"/>
                <w:szCs w:val="21"/>
              </w:rPr>
              <w:t>$65,618</w:t>
            </w:r>
          </w:p>
        </w:tc>
      </w:tr>
      <w:tr w14:paraId="3436C9B9"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11444"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rsidR="005C186C" w:rsidRPr="009E7848" w:rsidP="00D70129" w14:paraId="788F8038" w14:textId="721A6FD9">
            <w:pPr>
              <w:tabs>
                <w:tab w:val="left" w:pos="5055"/>
              </w:tabs>
              <w:jc w:val="center"/>
              <w:rPr>
                <w:rFonts w:eastAsia="Times New Roman" w:cstheme="minorHAnsi"/>
                <w:b/>
                <w:bCs/>
                <w:color w:val="000000"/>
                <w:sz w:val="21"/>
                <w:szCs w:val="21"/>
              </w:rPr>
            </w:pPr>
            <w:r w:rsidRPr="009E7848">
              <w:rPr>
                <w:rFonts w:eastAsia="Times New Roman" w:cstheme="minorHAnsi"/>
                <w:b/>
                <w:bCs/>
                <w:color w:val="000000"/>
                <w:sz w:val="21"/>
                <w:szCs w:val="21"/>
              </w:rPr>
              <w:t>Emissions-related burden and costs</w:t>
            </w:r>
          </w:p>
        </w:tc>
      </w:tr>
      <w:tr w14:paraId="02F4D3DE"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6F3E9A63" w14:textId="77777777">
            <w:pPr>
              <w:rPr>
                <w:rFonts w:cstheme="minorHAnsi"/>
                <w:sz w:val="21"/>
                <w:szCs w:val="21"/>
              </w:rPr>
            </w:pPr>
            <w:r w:rsidRPr="009E7848">
              <w:rPr>
                <w:rFonts w:cstheme="minorHAnsi"/>
                <w:sz w:val="21"/>
                <w:szCs w:val="21"/>
              </w:rPr>
              <w:t>Review of regulations</w:t>
            </w:r>
            <w:r w:rsidRPr="009E7848">
              <w:rPr>
                <w:rFonts w:cstheme="minorHAnsi"/>
                <w:sz w:val="21"/>
                <w:szCs w:val="21"/>
                <w:vertAlign w:val="superscript"/>
              </w:rPr>
              <w:t>5</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FB5B4AF" w14:textId="77777777">
            <w:pPr>
              <w:rPr>
                <w:rFonts w:eastAsia="Times New Roman" w:cstheme="minorHAnsi"/>
                <w:color w:val="000000"/>
                <w:sz w:val="21"/>
                <w:szCs w:val="21"/>
              </w:rPr>
            </w:pPr>
            <w:r w:rsidRPr="009E7848">
              <w:rPr>
                <w:rFonts w:eastAsia="Times New Roman" w:cstheme="minorHAnsi"/>
                <w:color w:val="000000"/>
                <w:sz w:val="21"/>
                <w:szCs w:val="21"/>
              </w:rPr>
              <w:t>4</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08E18CFF" w14:textId="77777777">
            <w:pPr>
              <w:rPr>
                <w:rFonts w:eastAsia="Times New Roman" w:cstheme="minorHAnsi"/>
                <w:color w:val="000000"/>
                <w:sz w:val="21"/>
                <w:szCs w:val="21"/>
              </w:rPr>
            </w:pPr>
            <w:r w:rsidRPr="009E7848">
              <w:rPr>
                <w:rFonts w:eastAsia="Times New Roman" w:cstheme="minorHAnsi"/>
                <w:color w:val="000000"/>
                <w:sz w:val="21"/>
                <w:szCs w:val="21"/>
              </w:rPr>
              <w:t>4</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FEAC9EF" w14:textId="77777777">
            <w:pPr>
              <w:rPr>
                <w:rFonts w:eastAsia="Times New Roman" w:cstheme="minorHAnsi"/>
                <w:color w:val="000000"/>
                <w:sz w:val="21"/>
                <w:szCs w:val="21"/>
              </w:rPr>
            </w:pPr>
            <w:r w:rsidRPr="009E7848">
              <w:rPr>
                <w:rFonts w:eastAsia="Times New Roman" w:cstheme="minorHAnsi"/>
                <w:color w:val="000000"/>
                <w:sz w:val="21"/>
                <w:szCs w:val="21"/>
              </w:rPr>
              <w:t>8</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D51B19C" w14:textId="7AEE9DF4">
            <w:pPr>
              <w:rPr>
                <w:rFonts w:eastAsia="Times New Roman" w:cstheme="minorHAnsi"/>
                <w:color w:val="000000"/>
                <w:sz w:val="21"/>
                <w:szCs w:val="21"/>
              </w:rPr>
            </w:pPr>
            <w:r w:rsidRPr="009E7848">
              <w:rPr>
                <w:rFonts w:eastAsia="Times New Roman" w:cstheme="minorHAnsi"/>
                <w:color w:val="000000"/>
                <w:sz w:val="21"/>
                <w:szCs w:val="21"/>
              </w:rPr>
              <w:t>$849</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30E09F32" w14:textId="4216CAC4">
            <w:pPr>
              <w:rPr>
                <w:rFonts w:eastAsia="Times New Roman" w:cstheme="minorHAnsi"/>
                <w:color w:val="000000"/>
                <w:sz w:val="21"/>
                <w:szCs w:val="21"/>
              </w:rPr>
            </w:pPr>
            <w:r w:rsidRPr="009E7848">
              <w:rPr>
                <w:rFonts w:eastAsia="Times New Roman" w:cstheme="minorHAnsi"/>
                <w:color w:val="000000"/>
                <w:sz w:val="21"/>
                <w:szCs w:val="21"/>
              </w:rPr>
              <w:t>136</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3447FE15" w14:textId="68BD6589">
            <w:pPr>
              <w:rPr>
                <w:rFonts w:eastAsia="Times New Roman" w:cstheme="minorHAnsi"/>
                <w:color w:val="000000"/>
                <w:sz w:val="21"/>
                <w:szCs w:val="21"/>
              </w:rPr>
            </w:pPr>
            <w:r w:rsidRPr="009E7848">
              <w:rPr>
                <w:rFonts w:eastAsia="Times New Roman" w:cstheme="minorHAnsi"/>
                <w:color w:val="000000"/>
                <w:sz w:val="21"/>
                <w:szCs w:val="21"/>
              </w:rPr>
              <w:t>1,088</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48EB38F4" w14:textId="6D8675C9">
            <w:pPr>
              <w:rPr>
                <w:rFonts w:eastAsia="Times New Roman" w:cstheme="minorHAnsi"/>
                <w:color w:val="000000"/>
                <w:sz w:val="21"/>
                <w:szCs w:val="21"/>
              </w:rPr>
            </w:pPr>
            <w:r w:rsidRPr="009E7848">
              <w:rPr>
                <w:rFonts w:eastAsia="Times New Roman" w:cstheme="minorHAnsi"/>
                <w:color w:val="000000"/>
                <w:sz w:val="21"/>
                <w:szCs w:val="21"/>
              </w:rPr>
              <w:t>$115,464</w:t>
            </w:r>
          </w:p>
        </w:tc>
      </w:tr>
      <w:tr w14:paraId="57AD07F7"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05709C5B" w14:textId="77777777">
            <w:pPr>
              <w:rPr>
                <w:rFonts w:cstheme="minorHAnsi"/>
                <w:sz w:val="21"/>
                <w:szCs w:val="21"/>
              </w:rPr>
            </w:pPr>
            <w:r w:rsidRPr="009E7848">
              <w:rPr>
                <w:rFonts w:cstheme="minorHAnsi"/>
                <w:sz w:val="21"/>
                <w:szCs w:val="21"/>
              </w:rPr>
              <w:t>Response to error messages</w:t>
            </w:r>
            <w:r w:rsidRPr="009E7848">
              <w:rPr>
                <w:rFonts w:cstheme="minorHAnsi"/>
                <w:sz w:val="21"/>
                <w:szCs w:val="21"/>
                <w:vertAlign w:val="superscript"/>
              </w:rPr>
              <w:t>6</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C2B0515" w14:textId="77777777">
            <w:pPr>
              <w:rPr>
                <w:rFonts w:eastAsia="Times New Roman" w:cstheme="minorHAnsi"/>
                <w:color w:val="000000"/>
                <w:sz w:val="21"/>
                <w:szCs w:val="21"/>
              </w:rPr>
            </w:pPr>
            <w:r w:rsidRPr="009E7848">
              <w:rPr>
                <w:rFonts w:eastAsia="Times New Roman" w:cstheme="minorHAnsi"/>
                <w:color w:val="000000"/>
                <w:sz w:val="21"/>
                <w:szCs w:val="21"/>
              </w:rPr>
              <w:t>6</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96EE60A" w14:textId="77777777">
            <w:pPr>
              <w:rPr>
                <w:rFonts w:eastAsia="Times New Roman" w:cstheme="minorHAnsi"/>
                <w:color w:val="000000"/>
                <w:sz w:val="21"/>
                <w:szCs w:val="21"/>
              </w:rPr>
            </w:pPr>
            <w:r w:rsidRPr="009E7848">
              <w:rPr>
                <w:rFonts w:eastAsia="Times New Roman" w:cstheme="minorHAnsi"/>
                <w:color w:val="000000"/>
                <w:sz w:val="21"/>
                <w:szCs w:val="21"/>
              </w:rPr>
              <w:t>18</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1E7BDC03" w14:textId="77777777">
            <w:pPr>
              <w:rPr>
                <w:rFonts w:eastAsia="Times New Roman" w:cstheme="minorHAnsi"/>
                <w:color w:val="000000"/>
                <w:sz w:val="21"/>
                <w:szCs w:val="21"/>
              </w:rPr>
            </w:pPr>
            <w:r w:rsidRPr="009E7848">
              <w:rPr>
                <w:rFonts w:eastAsia="Times New Roman" w:cstheme="minorHAnsi"/>
                <w:color w:val="000000"/>
                <w:sz w:val="21"/>
                <w:szCs w:val="21"/>
              </w:rPr>
              <w:t>24</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10B4126B" w14:textId="136A75FE">
            <w:pPr>
              <w:rPr>
                <w:rFonts w:eastAsia="Times New Roman" w:cstheme="minorHAnsi"/>
                <w:color w:val="000000"/>
                <w:sz w:val="21"/>
                <w:szCs w:val="21"/>
              </w:rPr>
            </w:pPr>
            <w:r w:rsidRPr="009E7848">
              <w:rPr>
                <w:rFonts w:eastAsia="Times New Roman" w:cstheme="minorHAnsi"/>
                <w:color w:val="000000"/>
                <w:sz w:val="21"/>
                <w:szCs w:val="21"/>
              </w:rPr>
              <w:t>$2,339</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6B1D4006" w14:textId="21DF887F">
            <w:pPr>
              <w:rPr>
                <w:rFonts w:eastAsia="Times New Roman" w:cstheme="minorHAnsi"/>
                <w:color w:val="000000"/>
                <w:sz w:val="21"/>
                <w:szCs w:val="21"/>
              </w:rPr>
            </w:pPr>
            <w:r w:rsidRPr="009E7848">
              <w:rPr>
                <w:rFonts w:eastAsia="Times New Roman" w:cstheme="minorHAnsi"/>
                <w:color w:val="000000"/>
                <w:sz w:val="21"/>
                <w:szCs w:val="21"/>
              </w:rPr>
              <w:t>450</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5C2E1F56" w14:textId="59FF96FA">
            <w:pPr>
              <w:rPr>
                <w:rFonts w:eastAsia="Times New Roman" w:cstheme="minorHAnsi"/>
                <w:color w:val="000000"/>
                <w:sz w:val="21"/>
                <w:szCs w:val="21"/>
              </w:rPr>
            </w:pPr>
            <w:r w:rsidRPr="009E7848">
              <w:rPr>
                <w:rFonts w:eastAsia="Times New Roman" w:cstheme="minorHAnsi"/>
                <w:color w:val="000000"/>
                <w:sz w:val="21"/>
                <w:szCs w:val="21"/>
              </w:rPr>
              <w:t>10,800</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70751B81" w14:textId="06BA43B4">
            <w:pPr>
              <w:rPr>
                <w:rFonts w:eastAsia="Times New Roman" w:cstheme="minorHAnsi"/>
                <w:color w:val="000000"/>
                <w:sz w:val="21"/>
                <w:szCs w:val="21"/>
              </w:rPr>
            </w:pPr>
            <w:r w:rsidRPr="009E7848">
              <w:rPr>
                <w:rFonts w:eastAsia="Times New Roman" w:cstheme="minorHAnsi"/>
                <w:color w:val="000000"/>
                <w:sz w:val="21"/>
                <w:szCs w:val="21"/>
              </w:rPr>
              <w:t>$1,052,550</w:t>
            </w:r>
          </w:p>
        </w:tc>
      </w:tr>
      <w:tr w14:paraId="5D72727A"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vAlign w:val="center"/>
          </w:tcPr>
          <w:p w:rsidR="005C186C" w:rsidRPr="009E7848" w:rsidP="00D70129" w14:paraId="24178259" w14:textId="77777777">
            <w:pPr>
              <w:rPr>
                <w:rFonts w:cstheme="minorHAnsi"/>
                <w:sz w:val="21"/>
                <w:szCs w:val="21"/>
              </w:rPr>
            </w:pPr>
            <w:r w:rsidRPr="009E7848">
              <w:rPr>
                <w:rFonts w:cstheme="minorHAnsi"/>
                <w:sz w:val="21"/>
                <w:szCs w:val="21"/>
              </w:rPr>
              <w:t>DAHS debugging</w:t>
            </w:r>
            <w:r w:rsidRPr="009E7848">
              <w:rPr>
                <w:rFonts w:cstheme="minorHAnsi"/>
                <w:sz w:val="21"/>
                <w:szCs w:val="21"/>
                <w:vertAlign w:val="superscript"/>
              </w:rPr>
              <w:t>6</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34F04E39" w14:textId="3628B8C1">
            <w:pPr>
              <w:rPr>
                <w:rFonts w:eastAsia="Times New Roman"/>
                <w:color w:val="000000"/>
                <w:sz w:val="21"/>
                <w:szCs w:val="21"/>
              </w:rPr>
            </w:pPr>
            <w:r w:rsidRPr="009E7848">
              <w:rPr>
                <w:rFonts w:eastAsia="Times New Roman"/>
                <w:color w:val="000000" w:themeColor="text1"/>
                <w:sz w:val="21"/>
                <w:szCs w:val="21"/>
              </w:rPr>
              <w:t>4</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01F5BBE6" w14:textId="5344A5E5">
            <w:pPr>
              <w:rPr>
                <w:rFonts w:eastAsia="Times New Roman"/>
                <w:color w:val="000000"/>
                <w:sz w:val="21"/>
                <w:szCs w:val="21"/>
              </w:rPr>
            </w:pPr>
            <w:r w:rsidRPr="009E7848">
              <w:rPr>
                <w:rFonts w:eastAsia="Times New Roman"/>
                <w:color w:val="000000" w:themeColor="text1"/>
                <w:sz w:val="21"/>
                <w:szCs w:val="21"/>
              </w:rPr>
              <w:t>12</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B361C34" w14:textId="0B9D1D9C">
            <w:pPr>
              <w:rPr>
                <w:rFonts w:eastAsia="Times New Roman"/>
                <w:color w:val="000000"/>
                <w:sz w:val="21"/>
                <w:szCs w:val="21"/>
              </w:rPr>
            </w:pPr>
            <w:r w:rsidRPr="009E7848">
              <w:rPr>
                <w:rFonts w:eastAsia="Times New Roman"/>
                <w:color w:val="000000" w:themeColor="text1"/>
                <w:sz w:val="21"/>
                <w:szCs w:val="21"/>
              </w:rPr>
              <w:t>16</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5E4D2D4" w14:textId="25858DDD">
            <w:pPr>
              <w:rPr>
                <w:rFonts w:eastAsia="Times New Roman"/>
                <w:color w:val="000000"/>
                <w:sz w:val="21"/>
                <w:szCs w:val="21"/>
              </w:rPr>
            </w:pPr>
            <w:r w:rsidRPr="009E7848">
              <w:rPr>
                <w:rFonts w:eastAsia="Times New Roman"/>
                <w:color w:val="000000" w:themeColor="text1"/>
                <w:sz w:val="21"/>
                <w:szCs w:val="21"/>
              </w:rPr>
              <w:t>$</w:t>
            </w:r>
            <w:r w:rsidRPr="009E7848" w:rsidR="38412A96">
              <w:rPr>
                <w:rFonts w:eastAsia="Times New Roman"/>
                <w:color w:val="000000" w:themeColor="text1"/>
                <w:sz w:val="21"/>
                <w:szCs w:val="21"/>
              </w:rPr>
              <w:t>1,560</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4FA5093C" w14:textId="315F5C3B">
            <w:pPr>
              <w:rPr>
                <w:rFonts w:eastAsia="Times New Roman" w:cstheme="minorHAnsi"/>
                <w:color w:val="000000"/>
                <w:sz w:val="21"/>
                <w:szCs w:val="21"/>
              </w:rPr>
            </w:pPr>
            <w:r w:rsidRPr="009E7848">
              <w:rPr>
                <w:rFonts w:eastAsia="Times New Roman" w:cstheme="minorHAnsi"/>
                <w:color w:val="000000"/>
                <w:sz w:val="21"/>
                <w:szCs w:val="21"/>
              </w:rPr>
              <w:t>450</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09601AD7" w14:textId="0FA026DD">
            <w:pPr>
              <w:rPr>
                <w:rFonts w:eastAsia="Times New Roman"/>
                <w:color w:val="000000"/>
                <w:sz w:val="21"/>
                <w:szCs w:val="21"/>
              </w:rPr>
            </w:pPr>
            <w:r w:rsidRPr="009E7848">
              <w:rPr>
                <w:rFonts w:eastAsia="Times New Roman"/>
                <w:color w:val="000000" w:themeColor="text1"/>
                <w:sz w:val="21"/>
                <w:szCs w:val="21"/>
              </w:rPr>
              <w:t>7,200</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46F26DFE" w14:textId="0DFF9C05">
            <w:pPr>
              <w:rPr>
                <w:rFonts w:eastAsia="Times New Roman"/>
                <w:color w:val="000000"/>
                <w:sz w:val="21"/>
                <w:szCs w:val="21"/>
              </w:rPr>
            </w:pPr>
            <w:r w:rsidRPr="009E7848">
              <w:rPr>
                <w:rFonts w:eastAsia="Times New Roman"/>
                <w:color w:val="000000" w:themeColor="text1"/>
                <w:sz w:val="21"/>
                <w:szCs w:val="21"/>
              </w:rPr>
              <w:t>$</w:t>
            </w:r>
            <w:r w:rsidRPr="009E7848" w:rsidR="501AFF33">
              <w:rPr>
                <w:rFonts w:eastAsia="Times New Roman"/>
                <w:color w:val="000000" w:themeColor="text1"/>
                <w:sz w:val="21"/>
                <w:szCs w:val="21"/>
              </w:rPr>
              <w:t>702,000</w:t>
            </w:r>
          </w:p>
        </w:tc>
      </w:tr>
      <w:tr w14:paraId="2954FB0A"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11444"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rsidR="005C186C" w:rsidRPr="009E7848" w:rsidP="00D70129" w14:paraId="782472CC" w14:textId="3A09CB7A">
            <w:pPr>
              <w:rPr>
                <w:rFonts w:eastAsia="Times New Roman" w:cstheme="minorHAnsi"/>
                <w:color w:val="000000"/>
                <w:sz w:val="21"/>
                <w:szCs w:val="21"/>
              </w:rPr>
            </w:pPr>
            <w:r w:rsidRPr="009E7848">
              <w:rPr>
                <w:rFonts w:eastAsia="Times New Roman" w:cstheme="minorHAnsi"/>
                <w:color w:val="000000"/>
              </w:rPr>
              <w:t>Recertification of monitors by monitoring approach</w:t>
            </w:r>
            <w:r w:rsidRPr="009E7848">
              <w:rPr>
                <w:rFonts w:eastAsia="Times New Roman" w:cstheme="minorHAnsi"/>
                <w:color w:val="000000"/>
                <w:sz w:val="21"/>
                <w:szCs w:val="21"/>
                <w:vertAlign w:val="superscript"/>
              </w:rPr>
              <w:t>7</w:t>
            </w:r>
          </w:p>
        </w:tc>
      </w:tr>
      <w:tr w14:paraId="213E2471"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3091E627" w14:textId="77777777">
            <w:pPr>
              <w:rPr>
                <w:rFonts w:cstheme="minorHAnsi"/>
                <w:sz w:val="21"/>
                <w:szCs w:val="21"/>
              </w:rPr>
            </w:pPr>
            <w:r w:rsidRPr="009E7848">
              <w:rPr>
                <w:rFonts w:cstheme="minorHAnsi"/>
                <w:sz w:val="21"/>
                <w:szCs w:val="21"/>
              </w:rPr>
              <w:t>Solid fuel units: SO</w:t>
            </w:r>
            <w:r w:rsidRPr="009E7848">
              <w:rPr>
                <w:rFonts w:cstheme="minorHAnsi"/>
                <w:sz w:val="21"/>
                <w:szCs w:val="21"/>
                <w:vertAlign w:val="subscript"/>
              </w:rPr>
              <w:t>2</w:t>
            </w:r>
            <w:r w:rsidRPr="009E7848">
              <w:rPr>
                <w:rFonts w:cstheme="minorHAnsi"/>
                <w:sz w:val="21"/>
                <w:szCs w:val="21"/>
              </w:rPr>
              <w:t xml:space="preserve"> CEMS (where needed), NO</w:t>
            </w:r>
            <w:r w:rsidRPr="009E7848">
              <w:rPr>
                <w:rFonts w:cstheme="minorHAnsi"/>
                <w:sz w:val="21"/>
                <w:szCs w:val="21"/>
                <w:vertAlign w:val="subscript"/>
              </w:rPr>
              <w:t>X</w:t>
            </w:r>
            <w:r w:rsidRPr="009E7848">
              <w:rPr>
                <w:rFonts w:cstheme="minorHAnsi"/>
                <w:sz w:val="21"/>
                <w:szCs w:val="21"/>
              </w:rPr>
              <w:t xml:space="preserve"> CEMS, and stack flow CEMS</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68374075" w14:textId="77777777">
            <w:pPr>
              <w:rPr>
                <w:rFonts w:eastAsia="Times New Roman" w:cstheme="minorHAnsi"/>
                <w:color w:val="000000"/>
                <w:sz w:val="21"/>
                <w:szCs w:val="21"/>
              </w:rPr>
            </w:pPr>
            <w:r w:rsidRPr="009E7848">
              <w:rPr>
                <w:rFonts w:eastAsia="Times New Roman" w:cstheme="minorHAnsi"/>
                <w:color w:val="000000"/>
                <w:sz w:val="21"/>
                <w:szCs w:val="21"/>
              </w:rPr>
              <w:t>15</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AB0B4A1" w14:textId="77777777">
            <w:pPr>
              <w:rPr>
                <w:rFonts w:eastAsia="Times New Roman" w:cstheme="minorHAnsi"/>
                <w:color w:val="000000"/>
                <w:sz w:val="21"/>
                <w:szCs w:val="21"/>
              </w:rPr>
            </w:pPr>
            <w:r w:rsidRPr="009E7848">
              <w:rPr>
                <w:rFonts w:eastAsia="Times New Roman" w:cstheme="minorHAnsi"/>
                <w:color w:val="000000"/>
                <w:sz w:val="21"/>
                <w:szCs w:val="21"/>
              </w:rPr>
              <w:t>48</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580E3C15" w14:textId="77777777">
            <w:pPr>
              <w:rPr>
                <w:rFonts w:eastAsia="Times New Roman" w:cstheme="minorHAnsi"/>
                <w:color w:val="000000"/>
                <w:sz w:val="21"/>
                <w:szCs w:val="21"/>
              </w:rPr>
            </w:pPr>
            <w:r w:rsidRPr="009E7848">
              <w:rPr>
                <w:rFonts w:eastAsia="Times New Roman" w:cstheme="minorHAnsi"/>
                <w:color w:val="000000"/>
                <w:sz w:val="21"/>
                <w:szCs w:val="21"/>
              </w:rPr>
              <w:t>63</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3523E94A" w14:textId="14A6CBFA">
            <w:pPr>
              <w:rPr>
                <w:rFonts w:eastAsia="Times New Roman" w:cstheme="minorHAnsi"/>
                <w:color w:val="000000"/>
                <w:sz w:val="21"/>
                <w:szCs w:val="21"/>
              </w:rPr>
            </w:pPr>
            <w:r w:rsidRPr="009E7848">
              <w:rPr>
                <w:rFonts w:eastAsia="Times New Roman" w:cstheme="minorHAnsi"/>
                <w:color w:val="000000"/>
                <w:sz w:val="21"/>
                <w:szCs w:val="21"/>
              </w:rPr>
              <w:t>$6,115</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4B62A5A5" w14:textId="281A027F">
            <w:pPr>
              <w:rPr>
                <w:rFonts w:eastAsia="Times New Roman" w:cstheme="minorHAnsi"/>
                <w:color w:val="000000"/>
                <w:sz w:val="21"/>
                <w:szCs w:val="21"/>
              </w:rPr>
            </w:pPr>
            <w:r w:rsidRPr="009E7848">
              <w:rPr>
                <w:rFonts w:eastAsia="Times New Roman" w:cstheme="minorHAnsi"/>
                <w:color w:val="000000"/>
                <w:sz w:val="21"/>
                <w:szCs w:val="21"/>
              </w:rPr>
              <w:t>1</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22798887" w14:textId="29E66912">
            <w:pPr>
              <w:rPr>
                <w:rFonts w:eastAsia="Times New Roman" w:cstheme="minorHAnsi"/>
                <w:color w:val="000000"/>
                <w:sz w:val="21"/>
                <w:szCs w:val="21"/>
              </w:rPr>
            </w:pPr>
            <w:r w:rsidRPr="009E7848">
              <w:rPr>
                <w:rFonts w:eastAsia="Times New Roman" w:cstheme="minorHAnsi"/>
                <w:color w:val="000000"/>
                <w:sz w:val="21"/>
                <w:szCs w:val="21"/>
              </w:rPr>
              <w:t>63</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2B7777DD" w14:textId="4D20220F">
            <w:pPr>
              <w:rPr>
                <w:rFonts w:eastAsia="Times New Roman" w:cstheme="minorHAnsi"/>
                <w:color w:val="000000"/>
                <w:sz w:val="21"/>
                <w:szCs w:val="21"/>
              </w:rPr>
            </w:pPr>
            <w:r w:rsidRPr="009E7848">
              <w:rPr>
                <w:rFonts w:eastAsia="Times New Roman" w:cstheme="minorHAnsi"/>
                <w:color w:val="000000"/>
                <w:sz w:val="21"/>
                <w:szCs w:val="21"/>
              </w:rPr>
              <w:t>$6,115</w:t>
            </w:r>
          </w:p>
        </w:tc>
      </w:tr>
      <w:tr w14:paraId="28F4BEAF"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6808BDA5" w14:textId="77777777">
            <w:pPr>
              <w:rPr>
                <w:rFonts w:cstheme="minorHAnsi"/>
                <w:sz w:val="21"/>
                <w:szCs w:val="21"/>
              </w:rPr>
            </w:pPr>
            <w:r w:rsidRPr="009E7848">
              <w:rPr>
                <w:rFonts w:cstheme="minorHAnsi"/>
                <w:sz w:val="21"/>
                <w:szCs w:val="21"/>
              </w:rPr>
              <w:t>Gas/oil units: NO</w:t>
            </w:r>
            <w:r w:rsidRPr="009E7848">
              <w:rPr>
                <w:rFonts w:cstheme="minorHAnsi"/>
                <w:sz w:val="21"/>
                <w:szCs w:val="21"/>
                <w:vertAlign w:val="subscript"/>
              </w:rPr>
              <w:t>X</w:t>
            </w:r>
            <w:r w:rsidRPr="009E7848">
              <w:rPr>
                <w:rFonts w:cstheme="minorHAnsi"/>
                <w:sz w:val="21"/>
                <w:szCs w:val="21"/>
              </w:rPr>
              <w:t xml:space="preserve"> CEMS and Appendix D fuel monitoring</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32603E6E" w14:textId="77777777">
            <w:pPr>
              <w:rPr>
                <w:rFonts w:eastAsia="Times New Roman" w:cstheme="minorHAnsi"/>
                <w:color w:val="000000"/>
                <w:sz w:val="21"/>
                <w:szCs w:val="21"/>
              </w:rPr>
            </w:pPr>
            <w:r w:rsidRPr="009E7848">
              <w:rPr>
                <w:rFonts w:eastAsia="Times New Roman" w:cstheme="minorHAnsi"/>
                <w:color w:val="000000"/>
                <w:sz w:val="21"/>
                <w:szCs w:val="21"/>
              </w:rPr>
              <w:t>10</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3147D37C" w14:textId="77777777">
            <w:pPr>
              <w:rPr>
                <w:rFonts w:eastAsia="Times New Roman" w:cstheme="minorHAnsi"/>
                <w:color w:val="000000"/>
                <w:sz w:val="21"/>
                <w:szCs w:val="21"/>
              </w:rPr>
            </w:pPr>
            <w:r w:rsidRPr="009E7848">
              <w:rPr>
                <w:rFonts w:eastAsia="Times New Roman" w:cstheme="minorHAnsi"/>
                <w:color w:val="000000"/>
                <w:sz w:val="21"/>
                <w:szCs w:val="21"/>
              </w:rPr>
              <w:t>32</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2B890780" w14:textId="77777777">
            <w:pPr>
              <w:rPr>
                <w:rFonts w:eastAsia="Times New Roman" w:cstheme="minorHAnsi"/>
                <w:color w:val="000000"/>
                <w:sz w:val="21"/>
                <w:szCs w:val="21"/>
              </w:rPr>
            </w:pPr>
            <w:r w:rsidRPr="009E7848">
              <w:rPr>
                <w:rFonts w:eastAsia="Times New Roman" w:cstheme="minorHAnsi"/>
                <w:color w:val="000000"/>
                <w:sz w:val="21"/>
                <w:szCs w:val="21"/>
              </w:rPr>
              <w:t>42</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42F18FF8" w14:textId="03BC9B8C">
            <w:pPr>
              <w:rPr>
                <w:rFonts w:eastAsia="Times New Roman" w:cstheme="minorHAnsi"/>
                <w:color w:val="000000"/>
                <w:sz w:val="21"/>
                <w:szCs w:val="21"/>
              </w:rPr>
            </w:pPr>
            <w:r w:rsidRPr="009E7848">
              <w:rPr>
                <w:rFonts w:eastAsia="Times New Roman" w:cstheme="minorHAnsi"/>
                <w:color w:val="000000"/>
                <w:sz w:val="21"/>
                <w:szCs w:val="21"/>
              </w:rPr>
              <w:t>$4,076</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504BFB2D" w14:textId="5888906D">
            <w:pPr>
              <w:rPr>
                <w:rFonts w:eastAsia="Times New Roman" w:cstheme="minorHAnsi"/>
                <w:color w:val="000000"/>
                <w:sz w:val="21"/>
                <w:szCs w:val="21"/>
              </w:rPr>
            </w:pPr>
            <w:r w:rsidRPr="009E7848">
              <w:rPr>
                <w:rFonts w:eastAsia="Times New Roman" w:cstheme="minorHAnsi"/>
                <w:color w:val="000000"/>
                <w:sz w:val="21"/>
                <w:szCs w:val="21"/>
              </w:rPr>
              <w:t>9</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0DEFBE33" w14:textId="5FF28A63">
            <w:pPr>
              <w:rPr>
                <w:rFonts w:eastAsia="Times New Roman" w:cstheme="minorHAnsi"/>
                <w:color w:val="000000"/>
                <w:sz w:val="21"/>
                <w:szCs w:val="21"/>
              </w:rPr>
            </w:pPr>
            <w:r w:rsidRPr="009E7848">
              <w:rPr>
                <w:rFonts w:eastAsia="Times New Roman" w:cstheme="minorHAnsi"/>
                <w:color w:val="000000"/>
                <w:sz w:val="21"/>
                <w:szCs w:val="21"/>
              </w:rPr>
              <w:t>378</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41605DA1" w14:textId="326E5AFA">
            <w:pPr>
              <w:rPr>
                <w:rFonts w:eastAsia="Times New Roman" w:cstheme="minorHAnsi"/>
                <w:color w:val="000000"/>
                <w:sz w:val="21"/>
                <w:szCs w:val="21"/>
              </w:rPr>
            </w:pPr>
            <w:r w:rsidRPr="009E7848">
              <w:rPr>
                <w:rFonts w:eastAsia="Times New Roman" w:cstheme="minorHAnsi"/>
                <w:color w:val="000000"/>
                <w:sz w:val="21"/>
                <w:szCs w:val="21"/>
              </w:rPr>
              <w:t>$36,684</w:t>
            </w:r>
          </w:p>
        </w:tc>
      </w:tr>
      <w:tr w14:paraId="0EF898FA"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50440734" w14:textId="77777777">
            <w:pPr>
              <w:rPr>
                <w:rFonts w:cstheme="minorHAnsi"/>
                <w:sz w:val="21"/>
                <w:szCs w:val="21"/>
              </w:rPr>
            </w:pPr>
            <w:r w:rsidRPr="009E7848">
              <w:rPr>
                <w:rFonts w:cstheme="minorHAnsi"/>
                <w:sz w:val="21"/>
                <w:szCs w:val="21"/>
              </w:rPr>
              <w:t>Gas/oil peaking units: Appendix D fuel monitoring, Appendix E, or LME methods</w:t>
            </w:r>
          </w:p>
        </w:tc>
        <w:tc>
          <w:tcPr>
            <w:tcW w:w="980"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5CD5489B" w14:textId="77777777">
            <w:pPr>
              <w:rPr>
                <w:rFonts w:eastAsia="Times New Roman" w:cstheme="minorHAnsi"/>
                <w:color w:val="000000"/>
                <w:sz w:val="21"/>
                <w:szCs w:val="21"/>
              </w:rPr>
            </w:pPr>
            <w:r w:rsidRPr="009E7848">
              <w:rPr>
                <w:rFonts w:eastAsia="Times New Roman" w:cstheme="minorHAnsi"/>
                <w:color w:val="000000"/>
                <w:sz w:val="21"/>
                <w:szCs w:val="21"/>
              </w:rPr>
              <w:t>8</w:t>
            </w:r>
          </w:p>
        </w:tc>
        <w:tc>
          <w:tcPr>
            <w:tcW w:w="981"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7D4F3FAA" w14:textId="77777777">
            <w:pPr>
              <w:rPr>
                <w:rFonts w:eastAsia="Times New Roman" w:cstheme="minorHAnsi"/>
                <w:color w:val="000000"/>
                <w:sz w:val="21"/>
                <w:szCs w:val="21"/>
              </w:rPr>
            </w:pPr>
            <w:r w:rsidRPr="009E7848">
              <w:rPr>
                <w:rFonts w:eastAsia="Times New Roman" w:cstheme="minorHAnsi"/>
                <w:color w:val="000000"/>
                <w:sz w:val="21"/>
                <w:szCs w:val="21"/>
              </w:rPr>
              <w:t>24</w:t>
            </w:r>
          </w:p>
        </w:tc>
        <w:tc>
          <w:tcPr>
            <w:tcW w:w="980"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644A6965" w14:textId="77777777">
            <w:pPr>
              <w:rPr>
                <w:rFonts w:eastAsia="Times New Roman" w:cstheme="minorHAnsi"/>
                <w:color w:val="000000"/>
                <w:sz w:val="21"/>
                <w:szCs w:val="21"/>
              </w:rPr>
            </w:pPr>
            <w:r w:rsidRPr="009E7848">
              <w:rPr>
                <w:rFonts w:eastAsia="Times New Roman" w:cstheme="minorHAnsi"/>
                <w:color w:val="000000"/>
                <w:sz w:val="21"/>
                <w:szCs w:val="21"/>
              </w:rPr>
              <w:t>32</w:t>
            </w:r>
          </w:p>
        </w:tc>
        <w:tc>
          <w:tcPr>
            <w:tcW w:w="981"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15BA45A6" w14:textId="25FF45F7">
            <w:pPr>
              <w:rPr>
                <w:rFonts w:eastAsia="Times New Roman" w:cstheme="minorHAnsi"/>
                <w:color w:val="000000"/>
                <w:sz w:val="21"/>
                <w:szCs w:val="21"/>
              </w:rPr>
            </w:pPr>
            <w:r w:rsidRPr="009E7848">
              <w:rPr>
                <w:rFonts w:eastAsia="Times New Roman" w:cstheme="minorHAnsi"/>
                <w:color w:val="000000"/>
                <w:sz w:val="21"/>
                <w:szCs w:val="21"/>
              </w:rPr>
              <w:t>$3,119</w:t>
            </w:r>
          </w:p>
        </w:tc>
        <w:tc>
          <w:tcPr>
            <w:tcW w:w="1047"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65C924FD" w14:textId="57CABC84">
            <w:pPr>
              <w:rPr>
                <w:rFonts w:eastAsia="Times New Roman" w:cstheme="minorHAnsi"/>
                <w:color w:val="000000"/>
                <w:sz w:val="21"/>
                <w:szCs w:val="21"/>
              </w:rPr>
            </w:pPr>
            <w:r w:rsidRPr="009E7848">
              <w:rPr>
                <w:rFonts w:eastAsia="Times New Roman" w:cstheme="minorHAnsi"/>
                <w:color w:val="000000"/>
                <w:sz w:val="21"/>
                <w:szCs w:val="21"/>
              </w:rPr>
              <w:t>33</w:t>
            </w:r>
          </w:p>
        </w:tc>
        <w:tc>
          <w:tcPr>
            <w:tcW w:w="810"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709CE695" w14:textId="100E4302">
            <w:pPr>
              <w:rPr>
                <w:rFonts w:eastAsia="Times New Roman" w:cstheme="minorHAnsi"/>
                <w:color w:val="000000"/>
                <w:sz w:val="21"/>
                <w:szCs w:val="21"/>
              </w:rPr>
            </w:pPr>
            <w:r w:rsidRPr="009E7848">
              <w:rPr>
                <w:rFonts w:eastAsia="Times New Roman" w:cstheme="minorHAnsi"/>
                <w:color w:val="000000"/>
                <w:sz w:val="21"/>
                <w:szCs w:val="21"/>
              </w:rPr>
              <w:t>1,056</w:t>
            </w:r>
          </w:p>
        </w:tc>
        <w:tc>
          <w:tcPr>
            <w:tcW w:w="1530" w:type="dxa"/>
            <w:tcBorders>
              <w:top w:val="single" w:sz="4" w:space="0" w:color="auto"/>
              <w:left w:val="nil"/>
              <w:bottom w:val="single" w:sz="4" w:space="0" w:color="auto"/>
              <w:right w:val="single" w:sz="4" w:space="0" w:color="auto"/>
            </w:tcBorders>
            <w:shd w:val="clear" w:color="auto" w:fill="auto"/>
            <w:vAlign w:val="center"/>
          </w:tcPr>
          <w:p w:rsidR="005C186C" w:rsidRPr="009E7848" w:rsidP="00D70129" w14:paraId="4E46D8D1" w14:textId="0A8634E6">
            <w:pPr>
              <w:rPr>
                <w:rFonts w:eastAsia="Times New Roman" w:cstheme="minorHAnsi"/>
                <w:color w:val="000000"/>
                <w:sz w:val="21"/>
                <w:szCs w:val="21"/>
              </w:rPr>
            </w:pPr>
            <w:r w:rsidRPr="009E7848">
              <w:rPr>
                <w:rFonts w:eastAsia="Times New Roman" w:cstheme="minorHAnsi"/>
                <w:color w:val="000000"/>
                <w:sz w:val="21"/>
                <w:szCs w:val="21"/>
              </w:rPr>
              <w:t>$102,927</w:t>
            </w:r>
          </w:p>
        </w:tc>
      </w:tr>
      <w:tr w14:paraId="2387E7FF"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1144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360" w:type="dxa"/>
              <w:bottom w:w="72" w:type="dxa"/>
            </w:tcMar>
            <w:vAlign w:val="center"/>
          </w:tcPr>
          <w:p w:rsidR="00D31A63" w:rsidRPr="009E7848" w:rsidP="00D70129" w14:paraId="7BFFE883" w14:textId="514C4FF4">
            <w:pPr>
              <w:ind w:hanging="270"/>
              <w:rPr>
                <w:rFonts w:eastAsia="Times New Roman" w:cstheme="minorHAnsi"/>
                <w:color w:val="000000"/>
                <w:sz w:val="21"/>
                <w:szCs w:val="21"/>
              </w:rPr>
            </w:pPr>
            <w:r w:rsidRPr="009E7848">
              <w:rPr>
                <w:rFonts w:eastAsia="Times New Roman" w:cstheme="minorHAnsi"/>
                <w:color w:val="000000"/>
              </w:rPr>
              <w:t>Start-up/capital costs, performance of QA testing and maintenance, by monitoring approach</w:t>
            </w:r>
            <w:r w:rsidRPr="009E7848">
              <w:rPr>
                <w:rFonts w:eastAsia="Times New Roman" w:cstheme="minorHAnsi"/>
                <w:color w:val="000000"/>
                <w:sz w:val="21"/>
                <w:szCs w:val="21"/>
                <w:vertAlign w:val="superscript"/>
              </w:rPr>
              <w:t>8</w:t>
            </w:r>
          </w:p>
        </w:tc>
      </w:tr>
      <w:tr w14:paraId="752DC75E"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681DCFEF" w14:textId="3E98F5B1">
            <w:pPr>
              <w:rPr>
                <w:rFonts w:cstheme="minorHAnsi"/>
                <w:sz w:val="21"/>
                <w:szCs w:val="21"/>
              </w:rPr>
            </w:pPr>
            <w:r w:rsidRPr="009E7848">
              <w:rPr>
                <w:rFonts w:cstheme="minorHAnsi"/>
                <w:sz w:val="21"/>
                <w:szCs w:val="21"/>
              </w:rPr>
              <w:t>Solid fuel units: SO</w:t>
            </w:r>
            <w:r w:rsidRPr="009E7848">
              <w:rPr>
                <w:rFonts w:cstheme="minorHAnsi"/>
                <w:sz w:val="21"/>
                <w:szCs w:val="21"/>
                <w:vertAlign w:val="subscript"/>
              </w:rPr>
              <w:t>2</w:t>
            </w:r>
            <w:r w:rsidRPr="009E7848">
              <w:rPr>
                <w:rFonts w:cstheme="minorHAnsi"/>
                <w:sz w:val="21"/>
                <w:szCs w:val="21"/>
              </w:rPr>
              <w:t xml:space="preserve"> CEMS (where needed), NO</w:t>
            </w:r>
            <w:r w:rsidRPr="009E7848">
              <w:rPr>
                <w:rFonts w:cstheme="minorHAnsi"/>
                <w:sz w:val="21"/>
                <w:szCs w:val="21"/>
                <w:vertAlign w:val="subscript"/>
              </w:rPr>
              <w:t>X</w:t>
            </w:r>
            <w:r w:rsidRPr="009E7848">
              <w:rPr>
                <w:rFonts w:cstheme="minorHAnsi"/>
                <w:sz w:val="21"/>
                <w:szCs w:val="21"/>
              </w:rPr>
              <w:t xml:space="preserve"> CEMS, and stack flow CEMS</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5ABF029A" w14:textId="0D1664BD">
            <w:pPr>
              <w:rPr>
                <w:rFonts w:eastAsia="Times New Roman" w:cstheme="minorHAnsi"/>
                <w:color w:val="000000"/>
                <w:sz w:val="21"/>
                <w:szCs w:val="21"/>
              </w:rPr>
            </w:pPr>
            <w:r w:rsidRPr="009E7848">
              <w:rPr>
                <w:rFonts w:eastAsia="Times New Roman" w:cstheme="minorHAnsi"/>
                <w:color w:val="000000"/>
                <w:sz w:val="21"/>
                <w:szCs w:val="21"/>
              </w:rPr>
              <w:t>50</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6CD3B4AB" w14:textId="2F236D8B">
            <w:pPr>
              <w:rPr>
                <w:rFonts w:eastAsia="Times New Roman" w:cstheme="minorHAnsi"/>
                <w:color w:val="000000"/>
                <w:sz w:val="21"/>
                <w:szCs w:val="21"/>
              </w:rPr>
            </w:pPr>
            <w:r w:rsidRPr="009E7848">
              <w:rPr>
                <w:rFonts w:eastAsia="Times New Roman" w:cstheme="minorHAnsi"/>
                <w:color w:val="000000"/>
                <w:sz w:val="21"/>
                <w:szCs w:val="21"/>
              </w:rPr>
              <w:t>480</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10C70573" w14:textId="7D2E40E3">
            <w:pPr>
              <w:rPr>
                <w:rFonts w:eastAsia="Times New Roman" w:cstheme="minorHAnsi"/>
                <w:color w:val="000000"/>
                <w:sz w:val="21"/>
                <w:szCs w:val="21"/>
              </w:rPr>
            </w:pPr>
            <w:r w:rsidRPr="009E7848">
              <w:rPr>
                <w:rFonts w:eastAsia="Times New Roman" w:cstheme="minorHAnsi"/>
                <w:color w:val="000000"/>
                <w:sz w:val="21"/>
                <w:szCs w:val="21"/>
              </w:rPr>
              <w:t>530</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3E28D409" w14:textId="3E1EFF2C">
            <w:pPr>
              <w:rPr>
                <w:rFonts w:eastAsia="Times New Roman" w:cstheme="minorHAnsi"/>
                <w:color w:val="000000"/>
                <w:sz w:val="21"/>
                <w:szCs w:val="21"/>
              </w:rPr>
            </w:pPr>
            <w:r w:rsidRPr="009E7848">
              <w:rPr>
                <w:rFonts w:eastAsia="Times New Roman" w:cstheme="minorHAnsi"/>
                <w:color w:val="000000"/>
                <w:sz w:val="21"/>
                <w:szCs w:val="21"/>
              </w:rPr>
              <w:t>$48,798</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4B717A66" w14:textId="2432FDAE">
            <w:pPr>
              <w:rPr>
                <w:rFonts w:eastAsia="Times New Roman" w:cstheme="minorHAnsi"/>
                <w:color w:val="000000"/>
                <w:sz w:val="21"/>
                <w:szCs w:val="21"/>
              </w:rPr>
            </w:pPr>
            <w:r w:rsidRPr="009E7848">
              <w:rPr>
                <w:rFonts w:eastAsia="Times New Roman" w:cstheme="minorHAnsi"/>
                <w:color w:val="000000"/>
                <w:sz w:val="21"/>
                <w:szCs w:val="21"/>
              </w:rPr>
              <w:t>17</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5B71842D" w14:textId="5BBB441A">
            <w:pPr>
              <w:rPr>
                <w:rFonts w:eastAsia="Times New Roman" w:cstheme="minorHAnsi"/>
                <w:color w:val="000000"/>
                <w:sz w:val="21"/>
                <w:szCs w:val="21"/>
              </w:rPr>
            </w:pPr>
            <w:r w:rsidRPr="009E7848">
              <w:rPr>
                <w:rFonts w:eastAsia="Times New Roman" w:cstheme="minorHAnsi"/>
                <w:color w:val="000000"/>
                <w:sz w:val="21"/>
                <w:szCs w:val="21"/>
              </w:rPr>
              <w:t>9,010</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2CE8AC7B" w14:textId="37248DA0">
            <w:pPr>
              <w:rPr>
                <w:rFonts w:eastAsia="Times New Roman" w:cstheme="minorHAnsi"/>
                <w:color w:val="000000"/>
                <w:sz w:val="21"/>
                <w:szCs w:val="21"/>
              </w:rPr>
            </w:pPr>
            <w:r w:rsidRPr="009E7848">
              <w:rPr>
                <w:rFonts w:eastAsia="Times New Roman" w:cstheme="minorHAnsi"/>
                <w:color w:val="000000"/>
                <w:sz w:val="21"/>
                <w:szCs w:val="21"/>
              </w:rPr>
              <w:t>$829,566</w:t>
            </w:r>
          </w:p>
        </w:tc>
      </w:tr>
      <w:tr w14:paraId="6A257722"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5464FEAA" w14:textId="271C5172">
            <w:pPr>
              <w:rPr>
                <w:rFonts w:cstheme="minorHAnsi"/>
                <w:sz w:val="21"/>
                <w:szCs w:val="21"/>
              </w:rPr>
            </w:pPr>
            <w:r w:rsidRPr="009E7848">
              <w:rPr>
                <w:rFonts w:cstheme="minorHAnsi"/>
                <w:sz w:val="21"/>
                <w:szCs w:val="21"/>
              </w:rPr>
              <w:t>Gas/oil units: NO</w:t>
            </w:r>
            <w:r w:rsidRPr="009E7848">
              <w:rPr>
                <w:rFonts w:cstheme="minorHAnsi"/>
                <w:sz w:val="21"/>
                <w:szCs w:val="21"/>
                <w:vertAlign w:val="subscript"/>
              </w:rPr>
              <w:t>X</w:t>
            </w:r>
            <w:r w:rsidRPr="009E7848">
              <w:rPr>
                <w:rFonts w:cstheme="minorHAnsi"/>
                <w:sz w:val="21"/>
                <w:szCs w:val="21"/>
              </w:rPr>
              <w:t xml:space="preserve"> CEMS and Appendix D fuel monitoring</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18AA5F6" w14:textId="046D41CF">
            <w:pPr>
              <w:rPr>
                <w:rFonts w:eastAsia="Times New Roman" w:cstheme="minorHAnsi"/>
                <w:color w:val="000000"/>
                <w:sz w:val="21"/>
                <w:szCs w:val="21"/>
              </w:rPr>
            </w:pPr>
            <w:r w:rsidRPr="009E7848">
              <w:rPr>
                <w:rFonts w:eastAsia="Times New Roman" w:cstheme="minorHAnsi"/>
                <w:color w:val="000000"/>
                <w:sz w:val="21"/>
                <w:szCs w:val="21"/>
              </w:rPr>
              <w:t>20</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7F0D9EE9" w14:textId="6E8248EF">
            <w:pPr>
              <w:rPr>
                <w:rFonts w:eastAsia="Times New Roman" w:cstheme="minorHAnsi"/>
                <w:color w:val="000000"/>
                <w:sz w:val="21"/>
                <w:szCs w:val="21"/>
              </w:rPr>
            </w:pPr>
            <w:r w:rsidRPr="009E7848">
              <w:rPr>
                <w:rFonts w:eastAsia="Times New Roman" w:cstheme="minorHAnsi"/>
                <w:color w:val="000000"/>
                <w:sz w:val="21"/>
                <w:szCs w:val="21"/>
              </w:rPr>
              <w:t>375</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48965AF6" w14:textId="1734F582">
            <w:pPr>
              <w:rPr>
                <w:rFonts w:eastAsia="Times New Roman" w:cstheme="minorHAnsi"/>
                <w:color w:val="000000"/>
                <w:sz w:val="21"/>
                <w:szCs w:val="21"/>
              </w:rPr>
            </w:pPr>
            <w:r w:rsidRPr="009E7848">
              <w:rPr>
                <w:rFonts w:eastAsia="Times New Roman" w:cstheme="minorHAnsi"/>
                <w:color w:val="000000"/>
                <w:sz w:val="21"/>
                <w:szCs w:val="21"/>
              </w:rPr>
              <w:t>395</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4B2C7532" w14:textId="1E079CB3">
            <w:pPr>
              <w:rPr>
                <w:rFonts w:eastAsia="Times New Roman" w:cstheme="minorHAnsi"/>
                <w:color w:val="000000"/>
                <w:sz w:val="21"/>
                <w:szCs w:val="21"/>
              </w:rPr>
            </w:pPr>
            <w:r w:rsidRPr="009E7848">
              <w:rPr>
                <w:rFonts w:eastAsia="Times New Roman" w:cstheme="minorHAnsi"/>
                <w:color w:val="000000"/>
                <w:sz w:val="21"/>
                <w:szCs w:val="21"/>
              </w:rPr>
              <w:t>$35,770</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429DD214" w14:textId="7A450DF0">
            <w:pPr>
              <w:rPr>
                <w:rFonts w:eastAsia="Times New Roman" w:cstheme="minorHAnsi"/>
                <w:color w:val="000000"/>
                <w:sz w:val="21"/>
                <w:szCs w:val="21"/>
              </w:rPr>
            </w:pPr>
            <w:r w:rsidRPr="009E7848">
              <w:rPr>
                <w:rFonts w:eastAsia="Times New Roman" w:cstheme="minorHAnsi"/>
                <w:color w:val="000000"/>
                <w:sz w:val="21"/>
                <w:szCs w:val="21"/>
              </w:rPr>
              <w:t>99</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3B912102" w14:textId="2630417E">
            <w:pPr>
              <w:rPr>
                <w:rFonts w:eastAsia="Times New Roman" w:cstheme="minorHAnsi"/>
                <w:color w:val="000000"/>
                <w:sz w:val="21"/>
                <w:szCs w:val="21"/>
              </w:rPr>
            </w:pPr>
            <w:r w:rsidRPr="009E7848">
              <w:rPr>
                <w:rFonts w:eastAsia="Times New Roman" w:cstheme="minorHAnsi"/>
                <w:color w:val="000000"/>
                <w:sz w:val="21"/>
                <w:szCs w:val="21"/>
              </w:rPr>
              <w:t>39,105</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49AC181A" w14:textId="73B8AE7A">
            <w:pPr>
              <w:rPr>
                <w:rFonts w:eastAsia="Times New Roman" w:cstheme="minorHAnsi"/>
                <w:color w:val="000000"/>
                <w:sz w:val="21"/>
                <w:szCs w:val="21"/>
              </w:rPr>
            </w:pPr>
            <w:r w:rsidRPr="009E7848">
              <w:rPr>
                <w:rFonts w:eastAsia="Times New Roman" w:cstheme="minorHAnsi"/>
                <w:color w:val="000000"/>
                <w:sz w:val="21"/>
                <w:szCs w:val="21"/>
              </w:rPr>
              <w:t>$3,541,230</w:t>
            </w:r>
          </w:p>
        </w:tc>
      </w:tr>
      <w:tr w14:paraId="052BFC1D"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nil"/>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5C186C" w:rsidRPr="009E7848" w:rsidP="00D70129" w14:paraId="1451C945" w14:textId="74C3E489">
            <w:pPr>
              <w:rPr>
                <w:rFonts w:cstheme="minorHAnsi"/>
                <w:sz w:val="21"/>
                <w:szCs w:val="21"/>
              </w:rPr>
            </w:pPr>
            <w:r w:rsidRPr="009E7848">
              <w:rPr>
                <w:rFonts w:cstheme="minorHAnsi"/>
                <w:sz w:val="21"/>
                <w:szCs w:val="21"/>
              </w:rPr>
              <w:t>Gas/oil peaking units: Appendix D fuel monitoring, Appendix E, or LME methods</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20A31C48" w14:textId="1A236318">
            <w:pPr>
              <w:rPr>
                <w:rFonts w:eastAsia="Times New Roman" w:cstheme="minorHAnsi"/>
                <w:color w:val="000000"/>
                <w:sz w:val="21"/>
                <w:szCs w:val="21"/>
              </w:rPr>
            </w:pPr>
            <w:r w:rsidRPr="009E7848">
              <w:rPr>
                <w:rFonts w:eastAsia="Times New Roman" w:cstheme="minorHAnsi"/>
                <w:color w:val="000000"/>
                <w:sz w:val="21"/>
                <w:szCs w:val="21"/>
              </w:rPr>
              <w:t>5</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2C80C32F" w14:textId="5A9D44FE">
            <w:pPr>
              <w:rPr>
                <w:rFonts w:eastAsia="Times New Roman" w:cstheme="minorHAnsi"/>
                <w:color w:val="000000"/>
                <w:sz w:val="21"/>
                <w:szCs w:val="21"/>
              </w:rPr>
            </w:pPr>
            <w:r w:rsidRPr="009E7848">
              <w:rPr>
                <w:rFonts w:eastAsia="Times New Roman" w:cstheme="minorHAnsi"/>
                <w:color w:val="000000"/>
                <w:sz w:val="21"/>
                <w:szCs w:val="21"/>
              </w:rPr>
              <w:t>30</w:t>
            </w:r>
          </w:p>
        </w:tc>
        <w:tc>
          <w:tcPr>
            <w:tcW w:w="980" w:type="dxa"/>
            <w:tcBorders>
              <w:top w:val="nil"/>
              <w:left w:val="nil"/>
              <w:bottom w:val="single" w:sz="4" w:space="0" w:color="auto"/>
              <w:right w:val="single" w:sz="4" w:space="0" w:color="auto"/>
            </w:tcBorders>
            <w:shd w:val="clear" w:color="auto" w:fill="auto"/>
            <w:vAlign w:val="center"/>
          </w:tcPr>
          <w:p w:rsidR="005C186C" w:rsidRPr="009E7848" w:rsidP="00D70129" w14:paraId="62CCB16C" w14:textId="5E6CA3BB">
            <w:pPr>
              <w:rPr>
                <w:rFonts w:eastAsia="Times New Roman" w:cstheme="minorHAnsi"/>
                <w:color w:val="000000"/>
                <w:sz w:val="21"/>
                <w:szCs w:val="21"/>
              </w:rPr>
            </w:pPr>
            <w:r w:rsidRPr="009E7848">
              <w:rPr>
                <w:rFonts w:eastAsia="Times New Roman" w:cstheme="minorHAnsi"/>
                <w:color w:val="000000"/>
                <w:sz w:val="21"/>
                <w:szCs w:val="21"/>
              </w:rPr>
              <w:t>35</w:t>
            </w:r>
          </w:p>
        </w:tc>
        <w:tc>
          <w:tcPr>
            <w:tcW w:w="981" w:type="dxa"/>
            <w:tcBorders>
              <w:top w:val="nil"/>
              <w:left w:val="nil"/>
              <w:bottom w:val="single" w:sz="4" w:space="0" w:color="auto"/>
              <w:right w:val="single" w:sz="4" w:space="0" w:color="auto"/>
            </w:tcBorders>
            <w:shd w:val="clear" w:color="auto" w:fill="auto"/>
            <w:vAlign w:val="center"/>
          </w:tcPr>
          <w:p w:rsidR="005C186C" w:rsidRPr="009E7848" w:rsidP="00D70129" w14:paraId="61BF63C9" w14:textId="156D6EA3">
            <w:pPr>
              <w:rPr>
                <w:rFonts w:eastAsia="Times New Roman" w:cstheme="minorHAnsi"/>
                <w:color w:val="000000"/>
                <w:sz w:val="21"/>
                <w:szCs w:val="21"/>
              </w:rPr>
            </w:pPr>
            <w:r w:rsidRPr="009E7848">
              <w:rPr>
                <w:rFonts w:eastAsia="Times New Roman" w:cstheme="minorHAnsi"/>
                <w:color w:val="000000"/>
                <w:sz w:val="21"/>
                <w:szCs w:val="21"/>
              </w:rPr>
              <w:t>$3,281</w:t>
            </w:r>
          </w:p>
        </w:tc>
        <w:tc>
          <w:tcPr>
            <w:tcW w:w="1047" w:type="dxa"/>
            <w:tcBorders>
              <w:top w:val="nil"/>
              <w:left w:val="nil"/>
              <w:bottom w:val="single" w:sz="4" w:space="0" w:color="auto"/>
              <w:right w:val="single" w:sz="4" w:space="0" w:color="auto"/>
            </w:tcBorders>
            <w:shd w:val="clear" w:color="auto" w:fill="auto"/>
            <w:vAlign w:val="center"/>
          </w:tcPr>
          <w:p w:rsidR="005C186C" w:rsidRPr="009E7848" w:rsidP="00D70129" w14:paraId="6B5F1713" w14:textId="1CF2D234">
            <w:pPr>
              <w:rPr>
                <w:rFonts w:eastAsia="Times New Roman" w:cstheme="minorHAnsi"/>
                <w:color w:val="000000"/>
                <w:sz w:val="21"/>
                <w:szCs w:val="21"/>
              </w:rPr>
            </w:pPr>
            <w:r w:rsidRPr="009E7848">
              <w:rPr>
                <w:rFonts w:eastAsia="Times New Roman" w:cstheme="minorHAnsi"/>
                <w:color w:val="000000"/>
                <w:sz w:val="21"/>
                <w:szCs w:val="21"/>
              </w:rPr>
              <w:t>334</w:t>
            </w:r>
          </w:p>
        </w:tc>
        <w:tc>
          <w:tcPr>
            <w:tcW w:w="810" w:type="dxa"/>
            <w:tcBorders>
              <w:top w:val="nil"/>
              <w:left w:val="nil"/>
              <w:bottom w:val="single" w:sz="4" w:space="0" w:color="auto"/>
              <w:right w:val="single" w:sz="4" w:space="0" w:color="auto"/>
            </w:tcBorders>
            <w:shd w:val="clear" w:color="auto" w:fill="auto"/>
            <w:vAlign w:val="center"/>
          </w:tcPr>
          <w:p w:rsidR="005C186C" w:rsidRPr="009E7848" w:rsidP="00D70129" w14:paraId="3A052DBD" w14:textId="3FEEDEE3">
            <w:pPr>
              <w:rPr>
                <w:rFonts w:eastAsia="Times New Roman" w:cstheme="minorHAnsi"/>
                <w:color w:val="000000"/>
                <w:sz w:val="21"/>
                <w:szCs w:val="21"/>
              </w:rPr>
            </w:pPr>
            <w:r w:rsidRPr="009E7848">
              <w:rPr>
                <w:rFonts w:eastAsia="Times New Roman" w:cstheme="minorHAnsi"/>
                <w:color w:val="000000"/>
                <w:sz w:val="21"/>
                <w:szCs w:val="21"/>
              </w:rPr>
              <w:t>11,690</w:t>
            </w:r>
          </w:p>
        </w:tc>
        <w:tc>
          <w:tcPr>
            <w:tcW w:w="1530" w:type="dxa"/>
            <w:tcBorders>
              <w:top w:val="nil"/>
              <w:left w:val="nil"/>
              <w:bottom w:val="single" w:sz="4" w:space="0" w:color="auto"/>
              <w:right w:val="single" w:sz="4" w:space="0" w:color="auto"/>
            </w:tcBorders>
            <w:shd w:val="clear" w:color="auto" w:fill="auto"/>
            <w:vAlign w:val="center"/>
          </w:tcPr>
          <w:p w:rsidR="005C186C" w:rsidRPr="009E7848" w:rsidP="00D70129" w14:paraId="73B86C9F" w14:textId="4F49EDF6">
            <w:pPr>
              <w:rPr>
                <w:rFonts w:eastAsia="Times New Roman" w:cstheme="minorHAnsi"/>
                <w:color w:val="000000"/>
                <w:sz w:val="21"/>
                <w:szCs w:val="21"/>
              </w:rPr>
            </w:pPr>
            <w:r w:rsidRPr="009E7848">
              <w:rPr>
                <w:rFonts w:eastAsia="Times New Roman" w:cstheme="minorHAnsi"/>
                <w:color w:val="000000"/>
                <w:sz w:val="21"/>
                <w:szCs w:val="21"/>
              </w:rPr>
              <w:t>$1,095,854</w:t>
            </w:r>
          </w:p>
        </w:tc>
      </w:tr>
      <w:tr w14:paraId="09852EF6"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11444" w:type="dxa"/>
            <w:gridSpan w:val="8"/>
            <w:tcBorders>
              <w:top w:val="nil"/>
              <w:left w:val="single" w:sz="4" w:space="0" w:color="auto"/>
              <w:bottom w:val="single" w:sz="4" w:space="0" w:color="auto"/>
              <w:right w:val="single" w:sz="4" w:space="0" w:color="auto"/>
            </w:tcBorders>
            <w:shd w:val="clear" w:color="auto" w:fill="F2F2F2" w:themeFill="background1" w:themeFillShade="F2"/>
            <w:tcMar>
              <w:top w:w="72" w:type="dxa"/>
              <w:left w:w="360" w:type="dxa"/>
              <w:bottom w:w="72" w:type="dxa"/>
            </w:tcMar>
            <w:vAlign w:val="center"/>
          </w:tcPr>
          <w:p w:rsidR="00D31A63" w:rsidRPr="009E7848" w:rsidP="00D70129" w14:paraId="1162773E" w14:textId="12FBEBB6">
            <w:pPr>
              <w:ind w:hanging="270"/>
              <w:rPr>
                <w:rFonts w:eastAsia="Times New Roman" w:cstheme="minorHAnsi"/>
                <w:color w:val="000000"/>
                <w:sz w:val="21"/>
                <w:szCs w:val="21"/>
              </w:rPr>
            </w:pPr>
            <w:r w:rsidRPr="009E7848">
              <w:rPr>
                <w:rFonts w:eastAsia="Times New Roman" w:cstheme="minorHAnsi"/>
                <w:color w:val="000000"/>
              </w:rPr>
              <w:t>Data Quality assurance and preparation and submittal of quarterly reports, by reporting frequency</w:t>
            </w:r>
            <w:r w:rsidRPr="009E7848">
              <w:rPr>
                <w:rFonts w:eastAsia="Times New Roman" w:cstheme="minorHAnsi"/>
                <w:color w:val="000000"/>
                <w:sz w:val="21"/>
                <w:szCs w:val="21"/>
                <w:vertAlign w:val="superscript"/>
              </w:rPr>
              <w:t>9</w:t>
            </w:r>
          </w:p>
        </w:tc>
      </w:tr>
      <w:tr w14:paraId="54263861"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D31A63" w:rsidRPr="009E7848" w:rsidP="00D70129" w14:paraId="38D7AD6A" w14:textId="072F8A44">
            <w:pPr>
              <w:rPr>
                <w:rFonts w:cstheme="minorHAnsi"/>
                <w:sz w:val="21"/>
                <w:szCs w:val="21"/>
              </w:rPr>
            </w:pPr>
            <w:r w:rsidRPr="009E7848">
              <w:rPr>
                <w:rFonts w:cstheme="minorHAnsi"/>
                <w:sz w:val="21"/>
                <w:szCs w:val="21"/>
              </w:rPr>
              <w:t>Annual reporters (four quarterly reports/year)</w:t>
            </w:r>
          </w:p>
        </w:tc>
        <w:tc>
          <w:tcPr>
            <w:tcW w:w="98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45248251" w14:textId="45D805F4">
            <w:pPr>
              <w:rPr>
                <w:rFonts w:eastAsia="Times New Roman" w:cstheme="minorHAnsi"/>
                <w:color w:val="000000"/>
                <w:sz w:val="21"/>
                <w:szCs w:val="21"/>
              </w:rPr>
            </w:pPr>
            <w:r w:rsidRPr="009E7848">
              <w:rPr>
                <w:rFonts w:eastAsia="Times New Roman" w:cstheme="minorHAnsi"/>
                <w:color w:val="000000"/>
                <w:sz w:val="21"/>
                <w:szCs w:val="21"/>
              </w:rPr>
              <w:t>16</w:t>
            </w:r>
          </w:p>
        </w:tc>
        <w:tc>
          <w:tcPr>
            <w:tcW w:w="981"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24A829DB" w14:textId="0B6944C6">
            <w:pPr>
              <w:rPr>
                <w:rFonts w:eastAsia="Times New Roman" w:cstheme="minorHAnsi"/>
                <w:color w:val="000000"/>
                <w:sz w:val="21"/>
                <w:szCs w:val="21"/>
              </w:rPr>
            </w:pPr>
            <w:r w:rsidRPr="009E7848">
              <w:rPr>
                <w:rFonts w:eastAsia="Times New Roman" w:cstheme="minorHAnsi"/>
                <w:color w:val="000000"/>
                <w:sz w:val="21"/>
                <w:szCs w:val="21"/>
              </w:rPr>
              <w:t>42</w:t>
            </w:r>
          </w:p>
        </w:tc>
        <w:tc>
          <w:tcPr>
            <w:tcW w:w="98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625A7486" w14:textId="60801F51">
            <w:pPr>
              <w:rPr>
                <w:rFonts w:eastAsia="Times New Roman" w:cstheme="minorHAnsi"/>
                <w:color w:val="000000"/>
                <w:sz w:val="21"/>
                <w:szCs w:val="21"/>
              </w:rPr>
            </w:pPr>
            <w:r w:rsidRPr="009E7848">
              <w:rPr>
                <w:rFonts w:eastAsia="Times New Roman" w:cstheme="minorHAnsi"/>
                <w:color w:val="000000"/>
                <w:sz w:val="21"/>
                <w:szCs w:val="21"/>
              </w:rPr>
              <w:t>58</w:t>
            </w:r>
          </w:p>
        </w:tc>
        <w:tc>
          <w:tcPr>
            <w:tcW w:w="981"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43351AD6" w14:textId="47655644">
            <w:pPr>
              <w:rPr>
                <w:rFonts w:eastAsia="Times New Roman" w:cstheme="minorHAnsi"/>
                <w:color w:val="000000"/>
                <w:sz w:val="21"/>
                <w:szCs w:val="21"/>
              </w:rPr>
            </w:pPr>
            <w:r w:rsidRPr="009E7848">
              <w:rPr>
                <w:rFonts w:eastAsia="Times New Roman" w:cstheme="minorHAnsi"/>
                <w:color w:val="000000"/>
                <w:sz w:val="21"/>
                <w:szCs w:val="21"/>
              </w:rPr>
              <w:t>$5,705</w:t>
            </w:r>
          </w:p>
        </w:tc>
        <w:tc>
          <w:tcPr>
            <w:tcW w:w="1047"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0A6446B5" w14:textId="53B95E81">
            <w:pPr>
              <w:rPr>
                <w:rFonts w:eastAsia="Times New Roman" w:cstheme="minorHAnsi"/>
                <w:color w:val="000000"/>
                <w:sz w:val="21"/>
                <w:szCs w:val="21"/>
              </w:rPr>
            </w:pPr>
            <w:r w:rsidRPr="009E7848">
              <w:rPr>
                <w:rFonts w:eastAsia="Times New Roman" w:cstheme="minorHAnsi"/>
                <w:color w:val="000000"/>
                <w:sz w:val="21"/>
                <w:szCs w:val="21"/>
              </w:rPr>
              <w:t>422</w:t>
            </w:r>
          </w:p>
        </w:tc>
        <w:tc>
          <w:tcPr>
            <w:tcW w:w="81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43F9523D" w14:textId="50A3ECC5">
            <w:pPr>
              <w:rPr>
                <w:rFonts w:eastAsia="Times New Roman" w:cstheme="minorHAnsi"/>
                <w:color w:val="000000"/>
                <w:sz w:val="21"/>
                <w:szCs w:val="21"/>
              </w:rPr>
            </w:pPr>
            <w:r w:rsidRPr="009E7848">
              <w:rPr>
                <w:rFonts w:eastAsia="Times New Roman" w:cstheme="minorHAnsi"/>
                <w:color w:val="000000"/>
                <w:sz w:val="21"/>
                <w:szCs w:val="21"/>
              </w:rPr>
              <w:t>24,476</w:t>
            </w:r>
          </w:p>
        </w:tc>
        <w:tc>
          <w:tcPr>
            <w:tcW w:w="153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4ED4C8BF" w14:textId="76E40578">
            <w:pPr>
              <w:rPr>
                <w:rFonts w:eastAsia="Times New Roman" w:cstheme="minorHAnsi"/>
                <w:color w:val="000000"/>
                <w:sz w:val="21"/>
                <w:szCs w:val="21"/>
              </w:rPr>
            </w:pPr>
            <w:r w:rsidRPr="009E7848">
              <w:rPr>
                <w:rFonts w:eastAsia="Times New Roman" w:cstheme="minorHAnsi"/>
                <w:color w:val="000000"/>
                <w:sz w:val="21"/>
                <w:szCs w:val="21"/>
              </w:rPr>
              <w:t>$2,407,510</w:t>
            </w:r>
          </w:p>
        </w:tc>
      </w:tr>
      <w:tr w14:paraId="5226B7DA"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Mar>
              <w:top w:w="72" w:type="dxa"/>
              <w:left w:w="360" w:type="dxa"/>
              <w:bottom w:w="72" w:type="dxa"/>
            </w:tcMar>
            <w:vAlign w:val="center"/>
          </w:tcPr>
          <w:p w:rsidR="00D31A63" w:rsidRPr="009E7848" w:rsidP="00D70129" w14:paraId="66B2D65C" w14:textId="32680DE6">
            <w:pPr>
              <w:rPr>
                <w:rFonts w:cstheme="minorHAnsi"/>
                <w:sz w:val="21"/>
                <w:szCs w:val="21"/>
              </w:rPr>
            </w:pPr>
            <w:r w:rsidRPr="009E7848">
              <w:rPr>
                <w:rFonts w:cstheme="minorHAnsi"/>
                <w:sz w:val="21"/>
                <w:szCs w:val="21"/>
              </w:rPr>
              <w:t>Ozone season-only reporters (two quarterly reports/year)</w:t>
            </w:r>
          </w:p>
        </w:tc>
        <w:tc>
          <w:tcPr>
            <w:tcW w:w="98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75D67B09" w14:textId="5CE9F304">
            <w:pPr>
              <w:rPr>
                <w:rFonts w:eastAsia="Times New Roman" w:cstheme="minorHAnsi"/>
                <w:color w:val="000000"/>
                <w:sz w:val="21"/>
                <w:szCs w:val="21"/>
              </w:rPr>
            </w:pPr>
            <w:r w:rsidRPr="009E7848">
              <w:rPr>
                <w:rFonts w:eastAsia="Times New Roman" w:cstheme="minorHAnsi"/>
                <w:color w:val="000000"/>
                <w:sz w:val="21"/>
                <w:szCs w:val="21"/>
              </w:rPr>
              <w:t>8</w:t>
            </w:r>
          </w:p>
        </w:tc>
        <w:tc>
          <w:tcPr>
            <w:tcW w:w="981"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403AEC86" w14:textId="161CBEB7">
            <w:pPr>
              <w:rPr>
                <w:rFonts w:eastAsia="Times New Roman" w:cstheme="minorHAnsi"/>
                <w:color w:val="000000"/>
                <w:sz w:val="21"/>
                <w:szCs w:val="21"/>
              </w:rPr>
            </w:pPr>
            <w:r w:rsidRPr="009E7848">
              <w:rPr>
                <w:rFonts w:eastAsia="Times New Roman" w:cstheme="minorHAnsi"/>
                <w:color w:val="000000"/>
                <w:sz w:val="21"/>
                <w:szCs w:val="21"/>
              </w:rPr>
              <w:t>21</w:t>
            </w:r>
          </w:p>
        </w:tc>
        <w:tc>
          <w:tcPr>
            <w:tcW w:w="98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2F90AC05" w14:textId="67CD3949">
            <w:pPr>
              <w:rPr>
                <w:rFonts w:eastAsia="Times New Roman" w:cstheme="minorHAnsi"/>
                <w:color w:val="000000"/>
                <w:sz w:val="21"/>
                <w:szCs w:val="21"/>
              </w:rPr>
            </w:pPr>
            <w:r w:rsidRPr="009E7848">
              <w:rPr>
                <w:rFonts w:eastAsia="Times New Roman" w:cstheme="minorHAnsi"/>
                <w:color w:val="000000"/>
                <w:sz w:val="21"/>
                <w:szCs w:val="21"/>
              </w:rPr>
              <w:t>29</w:t>
            </w:r>
          </w:p>
        </w:tc>
        <w:tc>
          <w:tcPr>
            <w:tcW w:w="981"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5C23FF66" w14:textId="0F51D132">
            <w:pPr>
              <w:rPr>
                <w:rFonts w:eastAsia="Times New Roman" w:cstheme="minorHAnsi"/>
                <w:color w:val="000000"/>
                <w:sz w:val="21"/>
                <w:szCs w:val="21"/>
              </w:rPr>
            </w:pPr>
            <w:r w:rsidRPr="009E7848">
              <w:rPr>
                <w:rFonts w:eastAsia="Times New Roman" w:cstheme="minorHAnsi"/>
                <w:color w:val="000000"/>
                <w:sz w:val="21"/>
                <w:szCs w:val="21"/>
              </w:rPr>
              <w:t>$2,853</w:t>
            </w:r>
          </w:p>
        </w:tc>
        <w:tc>
          <w:tcPr>
            <w:tcW w:w="1047"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39BBDBA9" w14:textId="08AEF308">
            <w:pPr>
              <w:rPr>
                <w:rFonts w:eastAsia="Times New Roman" w:cstheme="minorHAnsi"/>
                <w:color w:val="000000"/>
                <w:sz w:val="21"/>
                <w:szCs w:val="21"/>
              </w:rPr>
            </w:pPr>
            <w:r w:rsidRPr="009E7848">
              <w:rPr>
                <w:rFonts w:eastAsia="Times New Roman" w:cstheme="minorHAnsi"/>
                <w:color w:val="000000"/>
                <w:sz w:val="21"/>
                <w:szCs w:val="21"/>
              </w:rPr>
              <w:t>28</w:t>
            </w:r>
          </w:p>
        </w:tc>
        <w:tc>
          <w:tcPr>
            <w:tcW w:w="81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76E6B842" w14:textId="3AAE35B3">
            <w:pPr>
              <w:rPr>
                <w:rFonts w:eastAsia="Times New Roman" w:cstheme="minorHAnsi"/>
                <w:color w:val="000000"/>
                <w:sz w:val="21"/>
                <w:szCs w:val="21"/>
              </w:rPr>
            </w:pPr>
            <w:r w:rsidRPr="009E7848">
              <w:rPr>
                <w:rFonts w:eastAsia="Times New Roman" w:cstheme="minorHAnsi"/>
                <w:color w:val="000000"/>
                <w:sz w:val="21"/>
                <w:szCs w:val="21"/>
              </w:rPr>
              <w:t>812</w:t>
            </w:r>
          </w:p>
        </w:tc>
        <w:tc>
          <w:tcPr>
            <w:tcW w:w="1530" w:type="dxa"/>
            <w:tcBorders>
              <w:top w:val="single" w:sz="4" w:space="0" w:color="auto"/>
              <w:left w:val="nil"/>
              <w:bottom w:val="single" w:sz="4" w:space="0" w:color="auto"/>
              <w:right w:val="single" w:sz="4" w:space="0" w:color="auto"/>
            </w:tcBorders>
            <w:shd w:val="clear" w:color="auto" w:fill="auto"/>
            <w:vAlign w:val="center"/>
          </w:tcPr>
          <w:p w:rsidR="00D31A63" w:rsidRPr="009E7848" w:rsidP="00D70129" w14:paraId="0C37C254" w14:textId="63F1E341">
            <w:pPr>
              <w:rPr>
                <w:rFonts w:eastAsia="Times New Roman" w:cstheme="minorHAnsi"/>
                <w:color w:val="000000"/>
                <w:sz w:val="21"/>
                <w:szCs w:val="21"/>
              </w:rPr>
            </w:pPr>
            <w:r w:rsidRPr="009E7848">
              <w:rPr>
                <w:rFonts w:eastAsia="Times New Roman" w:cstheme="minorHAnsi"/>
                <w:color w:val="000000"/>
                <w:sz w:val="21"/>
                <w:szCs w:val="21"/>
              </w:rPr>
              <w:t>$79,884</w:t>
            </w:r>
          </w:p>
        </w:tc>
      </w:tr>
      <w:tr w14:paraId="2D170E4D" w14:textId="77777777" w:rsidTr="68E09386">
        <w:tblPrEx>
          <w:tblW w:w="11444" w:type="dxa"/>
          <w:jc w:val="center"/>
          <w:tblLayout w:type="fixed"/>
          <w:tblCellMar>
            <w:top w:w="72" w:type="dxa"/>
            <w:left w:w="72" w:type="dxa"/>
            <w:bottom w:w="72" w:type="dxa"/>
            <w:right w:w="72" w:type="dxa"/>
          </w:tblCellMar>
          <w:tblLook w:val="04A0"/>
        </w:tblPrEx>
        <w:trPr>
          <w:trHeight w:val="255"/>
          <w:jc w:val="center"/>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360" w:type="dxa"/>
              <w:bottom w:w="72" w:type="dxa"/>
            </w:tcMar>
            <w:vAlign w:val="center"/>
          </w:tcPr>
          <w:p w:rsidR="00D31A63" w:rsidRPr="009E7848" w:rsidP="00D70129" w14:paraId="66483D67" w14:textId="688C6761">
            <w:pPr>
              <w:rPr>
                <w:rFonts w:cstheme="minorHAnsi"/>
                <w:sz w:val="21"/>
                <w:szCs w:val="21"/>
              </w:rPr>
            </w:pPr>
            <w:r w:rsidRPr="009E7848">
              <w:rPr>
                <w:rFonts w:cstheme="minorHAnsi"/>
                <w:b/>
                <w:sz w:val="21"/>
                <w:szCs w:val="21"/>
              </w:rPr>
              <w:t>Totals</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7C687720" w14:textId="30FCCC77">
            <w:pPr>
              <w:rPr>
                <w:rFonts w:eastAsia="Times New Roman" w:cstheme="minorHAnsi"/>
                <w:color w:val="000000"/>
                <w:sz w:val="21"/>
                <w:szCs w:val="21"/>
              </w:rPr>
            </w:pPr>
          </w:p>
        </w:tc>
        <w:tc>
          <w:tcPr>
            <w:tcW w:w="9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4EAEF73E" w14:textId="307660E0">
            <w:pPr>
              <w:rPr>
                <w:rFonts w:eastAsia="Times New Roman" w:cstheme="minorHAnsi"/>
                <w:color w:val="000000"/>
                <w:sz w:val="21"/>
                <w:szCs w:val="21"/>
              </w:rPr>
            </w:pP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294FDFAA" w14:textId="77777777">
            <w:pPr>
              <w:rPr>
                <w:rFonts w:eastAsia="Times New Roman" w:cstheme="minorHAnsi"/>
                <w:color w:val="000000"/>
                <w:sz w:val="21"/>
                <w:szCs w:val="21"/>
              </w:rPr>
            </w:pPr>
          </w:p>
        </w:tc>
        <w:tc>
          <w:tcPr>
            <w:tcW w:w="9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784443F0" w14:textId="77777777">
            <w:pPr>
              <w:rPr>
                <w:rFonts w:eastAsia="Times New Roman" w:cstheme="minorHAnsi"/>
                <w:color w:val="000000"/>
                <w:sz w:val="21"/>
                <w:szCs w:val="21"/>
              </w:rPr>
            </w:pP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6A0E520B" w14:textId="77777777">
            <w:pPr>
              <w:rPr>
                <w:rFonts w:eastAsia="Times New Roman" w:cstheme="minorHAnsi"/>
                <w:color w:val="000000"/>
                <w:sz w:val="21"/>
                <w:szCs w:val="21"/>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426E5F7D" w14:textId="221113FB">
            <w:pPr>
              <w:rPr>
                <w:rFonts w:eastAsia="Times New Roman"/>
                <w:color w:val="000000"/>
                <w:sz w:val="21"/>
                <w:szCs w:val="21"/>
              </w:rPr>
            </w:pPr>
            <w:r w:rsidRPr="009E7848">
              <w:rPr>
                <w:rFonts w:eastAsia="Times New Roman"/>
                <w:color w:val="000000" w:themeColor="text1"/>
                <w:sz w:val="21"/>
                <w:szCs w:val="21"/>
              </w:rPr>
              <w:t>108,833</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31A63" w:rsidRPr="009E7848" w:rsidP="00D70129" w14:paraId="1F52230B" w14:textId="04384573">
            <w:pPr>
              <w:rPr>
                <w:rFonts w:eastAsia="Times New Roman"/>
                <w:color w:val="000000"/>
                <w:sz w:val="21"/>
                <w:szCs w:val="21"/>
              </w:rPr>
            </w:pPr>
            <w:r w:rsidRPr="009E7848">
              <w:rPr>
                <w:rFonts w:eastAsia="Times New Roman"/>
                <w:color w:val="000000" w:themeColor="text1"/>
                <w:sz w:val="21"/>
                <w:szCs w:val="21"/>
              </w:rPr>
              <w:t>$</w:t>
            </w:r>
            <w:r w:rsidRPr="009E7848" w:rsidR="45EEF81E">
              <w:rPr>
                <w:rFonts w:eastAsia="Times New Roman"/>
                <w:color w:val="000000" w:themeColor="text1"/>
                <w:sz w:val="21"/>
                <w:szCs w:val="21"/>
              </w:rPr>
              <w:t>10,300,508</w:t>
            </w:r>
          </w:p>
        </w:tc>
      </w:tr>
    </w:tbl>
    <w:p w:rsidR="0070103A" w:rsidRPr="009E7848" w:rsidP="0056368F" w14:paraId="633F9872" w14:textId="55C0147C">
      <w:pPr>
        <w:autoSpaceDE w:val="0"/>
        <w:autoSpaceDN w:val="0"/>
        <w:adjustRightInd w:val="0"/>
        <w:jc w:val="both"/>
        <w:outlineLvl w:val="0"/>
        <w:rPr>
          <w:rFonts w:cstheme="minorHAnsi"/>
          <w:color w:val="0F0F0F"/>
        </w:rPr>
      </w:pPr>
    </w:p>
    <w:p w:rsidR="0070103A" w:rsidRPr="009E7848" w:rsidP="0056368F" w14:paraId="2322402F"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1</w:t>
      </w:r>
      <w:r w:rsidRPr="009E7848">
        <w:rPr>
          <w:rFonts w:cstheme="minorHAnsi"/>
          <w:color w:val="0F0F0F"/>
          <w:sz w:val="18"/>
          <w:szCs w:val="18"/>
        </w:rPr>
        <w:t xml:space="preserve"> Assumes updated certificates of representation are required for 10% of non-ARP units each year.</w:t>
      </w:r>
    </w:p>
    <w:p w:rsidR="0070103A" w:rsidRPr="009E7848" w:rsidP="0056368F" w14:paraId="74051F4A"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2</w:t>
      </w:r>
      <w:r w:rsidRPr="009E7848">
        <w:rPr>
          <w:rFonts w:cstheme="minorHAnsi"/>
          <w:color w:val="0F0F0F"/>
          <w:sz w:val="18"/>
          <w:szCs w:val="18"/>
        </w:rPr>
        <w:t xml:space="preserve"> Assumes 3% of non-ARP units retire each year.</w:t>
      </w:r>
    </w:p>
    <w:p w:rsidR="0070103A" w:rsidRPr="009E7848" w:rsidP="0056368F" w14:paraId="038E6062" w14:textId="7DCD0844">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3</w:t>
      </w:r>
      <w:r w:rsidRPr="009E7848">
        <w:rPr>
          <w:rFonts w:cstheme="minorHAnsi"/>
          <w:color w:val="0F0F0F"/>
          <w:sz w:val="18"/>
          <w:szCs w:val="18"/>
        </w:rPr>
        <w:t xml:space="preserve"> Estimate reflects </w:t>
      </w:r>
      <w:r w:rsidRPr="009E7848" w:rsidR="00692A8D">
        <w:rPr>
          <w:rFonts w:cstheme="minorHAnsi"/>
          <w:color w:val="0F0F0F"/>
          <w:sz w:val="18"/>
          <w:szCs w:val="18"/>
        </w:rPr>
        <w:t>2022-2024</w:t>
      </w:r>
      <w:r w:rsidRPr="009E7848">
        <w:rPr>
          <w:rFonts w:cstheme="minorHAnsi"/>
          <w:color w:val="0F0F0F"/>
          <w:sz w:val="18"/>
          <w:szCs w:val="18"/>
        </w:rPr>
        <w:t xml:space="preserve"> annual average number of allowance transfers submitted for all CSAPR programs by both sources and non-source entities.</w:t>
      </w:r>
    </w:p>
    <w:p w:rsidR="0070103A" w:rsidRPr="009E7848" w:rsidP="0056368F" w14:paraId="081444E1" w14:textId="3DC32173">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4</w:t>
      </w:r>
      <w:r w:rsidRPr="009E7848">
        <w:rPr>
          <w:rFonts w:cstheme="minorHAnsi"/>
          <w:color w:val="0F0F0F"/>
          <w:sz w:val="18"/>
          <w:szCs w:val="18"/>
        </w:rPr>
        <w:t xml:space="preserve"> Assumes </w:t>
      </w:r>
      <w:r w:rsidRPr="009E7848" w:rsidR="004B1022">
        <w:rPr>
          <w:rFonts w:cstheme="minorHAnsi"/>
          <w:color w:val="0F0F0F"/>
          <w:sz w:val="18"/>
          <w:szCs w:val="18"/>
        </w:rPr>
        <w:t>25%</w:t>
      </w:r>
      <w:r w:rsidRPr="009E7848">
        <w:rPr>
          <w:rFonts w:cstheme="minorHAnsi"/>
          <w:color w:val="0F0F0F"/>
          <w:sz w:val="18"/>
          <w:szCs w:val="18"/>
        </w:rPr>
        <w:t xml:space="preserve"> of all affected sources under the CSAPR and Texas trading programs submit optional allowance deduction forms each year.</w:t>
      </w:r>
    </w:p>
    <w:p w:rsidR="0070103A" w:rsidRPr="009E7848" w:rsidP="0056368F" w14:paraId="0CA324D6"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5</w:t>
      </w:r>
      <w:r w:rsidRPr="009E7848">
        <w:rPr>
          <w:rFonts w:cstheme="minorHAnsi"/>
          <w:color w:val="0F0F0F"/>
          <w:sz w:val="18"/>
          <w:szCs w:val="18"/>
        </w:rPr>
        <w:t xml:space="preserve"> Applies to all non-ARP sources.</w:t>
      </w:r>
    </w:p>
    <w:p w:rsidR="0070103A" w:rsidRPr="009E7848" w:rsidP="0056368F" w14:paraId="69C8E8F3"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6</w:t>
      </w:r>
      <w:r w:rsidRPr="009E7848">
        <w:rPr>
          <w:rFonts w:cstheme="minorHAnsi"/>
          <w:color w:val="0F0F0F"/>
          <w:sz w:val="18"/>
          <w:szCs w:val="18"/>
        </w:rPr>
        <w:t xml:space="preserve"> Applies to all non-ARP units. </w:t>
      </w:r>
    </w:p>
    <w:p w:rsidR="0070103A" w:rsidRPr="009E7848" w:rsidP="0056368F" w14:paraId="5B9DAFDB"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7</w:t>
      </w:r>
      <w:r w:rsidRPr="009E7848">
        <w:rPr>
          <w:rFonts w:cstheme="minorHAnsi"/>
          <w:color w:val="0F0F0F"/>
          <w:sz w:val="18"/>
          <w:szCs w:val="18"/>
        </w:rPr>
        <w:t xml:space="preserve"> Assumes 10% of non-ARP units recertify monitoring systems each year.</w:t>
      </w:r>
    </w:p>
    <w:p w:rsidR="0070103A" w:rsidRPr="009E7848" w:rsidP="0056368F" w14:paraId="4B704EE2" w14:textId="77777777">
      <w:pPr>
        <w:autoSpaceDE w:val="0"/>
        <w:autoSpaceDN w:val="0"/>
        <w:adjustRightInd w:val="0"/>
        <w:spacing w:after="0" w:line="240" w:lineRule="auto"/>
        <w:ind w:left="1440"/>
        <w:outlineLvl w:val="0"/>
        <w:rPr>
          <w:rFonts w:cstheme="minorHAnsi"/>
          <w:color w:val="0F0F0F"/>
          <w:sz w:val="18"/>
          <w:szCs w:val="18"/>
        </w:rPr>
      </w:pPr>
      <w:r w:rsidRPr="009E7848">
        <w:rPr>
          <w:rFonts w:cstheme="minorHAnsi"/>
          <w:color w:val="0F0F0F"/>
          <w:sz w:val="18"/>
          <w:szCs w:val="18"/>
          <w:vertAlign w:val="superscript"/>
        </w:rPr>
        <w:t>8</w:t>
      </w:r>
      <w:r w:rsidRPr="009E7848">
        <w:rPr>
          <w:rFonts w:cstheme="minorHAnsi"/>
          <w:color w:val="0F0F0F"/>
          <w:sz w:val="18"/>
          <w:szCs w:val="18"/>
        </w:rPr>
        <w:t xml:space="preserve"> Applies to all non-ARP units.  Reflects annualized start-up/capital costs whether monitoring began under CSAPR, CAIR, or the NO</w:t>
      </w:r>
      <w:r w:rsidRPr="009E7848">
        <w:rPr>
          <w:rFonts w:cstheme="minorHAnsi"/>
          <w:color w:val="0F0F0F"/>
          <w:sz w:val="18"/>
          <w:szCs w:val="18"/>
          <w:vertAlign w:val="subscript"/>
        </w:rPr>
        <w:t>X</w:t>
      </w:r>
      <w:r w:rsidRPr="009E7848">
        <w:rPr>
          <w:rFonts w:cstheme="minorHAnsi"/>
          <w:color w:val="0F0F0F"/>
          <w:sz w:val="18"/>
          <w:szCs w:val="18"/>
        </w:rPr>
        <w:t xml:space="preserve"> SIP Call.</w:t>
      </w:r>
    </w:p>
    <w:p w:rsidR="0070103A" w:rsidRPr="009E7848" w:rsidP="0056368F" w14:paraId="2E8F0447" w14:textId="77777777">
      <w:pPr>
        <w:autoSpaceDE w:val="0"/>
        <w:autoSpaceDN w:val="0"/>
        <w:adjustRightInd w:val="0"/>
        <w:spacing w:after="0" w:line="240" w:lineRule="auto"/>
        <w:ind w:left="720" w:firstLine="720"/>
        <w:jc w:val="both"/>
        <w:outlineLvl w:val="0"/>
        <w:rPr>
          <w:rFonts w:cstheme="minorHAnsi"/>
          <w:color w:val="0F0F0F"/>
          <w:sz w:val="18"/>
          <w:szCs w:val="18"/>
        </w:rPr>
      </w:pPr>
      <w:r w:rsidRPr="009E7848">
        <w:rPr>
          <w:rFonts w:cstheme="minorHAnsi"/>
          <w:color w:val="0F0F0F"/>
          <w:sz w:val="18"/>
          <w:szCs w:val="18"/>
          <w:vertAlign w:val="superscript"/>
        </w:rPr>
        <w:t>9</w:t>
      </w:r>
      <w:r w:rsidRPr="009E7848">
        <w:rPr>
          <w:rFonts w:cstheme="minorHAnsi"/>
          <w:color w:val="0F0F0F"/>
          <w:sz w:val="18"/>
          <w:szCs w:val="18"/>
        </w:rPr>
        <w:t xml:space="preserve"> Applies to all non-ARP units.  Assumes 40% of non-ARP units eligible to report on an ozone season-only basis elect to do so. </w:t>
      </w:r>
    </w:p>
    <w:p w:rsidR="0070103A" w:rsidRPr="009E7848" w:rsidP="0070103A" w14:paraId="3FA3D8E8" w14:textId="77777777">
      <w:pPr>
        <w:autoSpaceDE w:val="0"/>
        <w:autoSpaceDN w:val="0"/>
        <w:adjustRightInd w:val="0"/>
        <w:ind w:left="1440"/>
        <w:outlineLvl w:val="0"/>
        <w:rPr>
          <w:rFonts w:cstheme="minorHAnsi"/>
          <w:b/>
          <w:color w:val="0F0F0F"/>
        </w:rPr>
      </w:pPr>
    </w:p>
    <w:p w:rsidR="0070103A" w:rsidRPr="009E7848" w:rsidP="0070103A" w14:paraId="0BC51034" w14:textId="77777777">
      <w:pPr>
        <w:jc w:val="right"/>
        <w:rPr>
          <w:rFonts w:cstheme="minorHAnsi"/>
        </w:rPr>
      </w:pPr>
    </w:p>
    <w:p w:rsidR="0070103A" w:rsidRPr="009E7848" w:rsidP="00DA0A55" w14:paraId="294E20DA" w14:textId="77777777">
      <w:pPr>
        <w:autoSpaceDE w:val="0"/>
        <w:autoSpaceDN w:val="0"/>
        <w:adjustRightInd w:val="0"/>
        <w:rPr>
          <w:rFonts w:cstheme="minorHAnsi"/>
          <w:b/>
          <w:bCs/>
        </w:rPr>
        <w:sectPr w:rsidSect="00F07F3C">
          <w:headerReference w:type="default" r:id="rId14"/>
          <w:headerReference w:type="first" r:id="rId15"/>
          <w:type w:val="continuous"/>
          <w:pgSz w:w="12240" w:h="15840"/>
          <w:pgMar w:top="720" w:right="720" w:bottom="720" w:left="720" w:header="576" w:footer="720" w:gutter="0"/>
          <w:cols w:space="720"/>
          <w:docGrid w:linePitch="360"/>
        </w:sectPr>
      </w:pPr>
    </w:p>
    <w:p w:rsidR="0070103A" w:rsidRPr="009E7848" w:rsidP="00DA0A55" w14:paraId="37DF60DB" w14:textId="583CD13B">
      <w:pPr>
        <w:autoSpaceDE w:val="0"/>
        <w:autoSpaceDN w:val="0"/>
        <w:adjustRightInd w:val="0"/>
        <w:jc w:val="center"/>
        <w:rPr>
          <w:rFonts w:cstheme="minorHAnsi"/>
        </w:rPr>
      </w:pPr>
      <w:r w:rsidRPr="009E7848">
        <w:rPr>
          <w:rFonts w:cstheme="minorHAnsi"/>
        </w:rPr>
        <w:t xml:space="preserve">Table </w:t>
      </w:r>
      <w:r w:rsidRPr="009E7848" w:rsidR="00DA0A55">
        <w:rPr>
          <w:rFonts w:cstheme="minorHAnsi"/>
        </w:rPr>
        <w:t>12.2</w:t>
      </w:r>
      <w:r w:rsidRPr="009E7848">
        <w:rPr>
          <w:rFonts w:cstheme="minorHAnsi"/>
        </w:rPr>
        <w:t>:  Annual State Respondent Burden and Cost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tblPr>
      <w:tblGrid>
        <w:gridCol w:w="1615"/>
        <w:gridCol w:w="1080"/>
        <w:gridCol w:w="1170"/>
        <w:gridCol w:w="1260"/>
        <w:gridCol w:w="1260"/>
        <w:gridCol w:w="1080"/>
        <w:gridCol w:w="990"/>
        <w:gridCol w:w="905"/>
      </w:tblGrid>
      <w:tr w14:paraId="74FCB02A" w14:textId="77777777" w:rsidTr="00915E40">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tblPrEx>
        <w:trPr>
          <w:trHeight w:val="270"/>
          <w:jc w:val="center"/>
        </w:trPr>
        <w:tc>
          <w:tcPr>
            <w:tcW w:w="1615" w:type="dxa"/>
            <w:shd w:val="pct10" w:color="auto" w:fill="auto"/>
            <w:vAlign w:val="bottom"/>
          </w:tcPr>
          <w:p w:rsidR="0070103A" w:rsidRPr="009E7848" w:rsidP="00915E40" w14:paraId="0F938E19" w14:textId="77777777">
            <w:pPr>
              <w:keepNext/>
              <w:jc w:val="center"/>
              <w:rPr>
                <w:rFonts w:eastAsia="Times New Roman" w:cstheme="minorHAnsi"/>
                <w:b/>
                <w:bCs/>
                <w:color w:val="000000"/>
              </w:rPr>
            </w:pPr>
          </w:p>
        </w:tc>
        <w:tc>
          <w:tcPr>
            <w:tcW w:w="1080" w:type="dxa"/>
            <w:shd w:val="pct10" w:color="auto" w:fill="auto"/>
            <w:vAlign w:val="bottom"/>
          </w:tcPr>
          <w:p w:rsidR="0070103A" w:rsidRPr="009E7848" w:rsidP="00915E40" w14:paraId="2ABF1513" w14:textId="01E6FF4A">
            <w:pPr>
              <w:keepNext/>
              <w:jc w:val="center"/>
              <w:rPr>
                <w:rFonts w:eastAsia="Times New Roman" w:cstheme="minorHAnsi"/>
                <w:b/>
                <w:bCs/>
                <w:color w:val="000000"/>
              </w:rPr>
            </w:pPr>
            <w:r w:rsidRPr="009E7848">
              <w:rPr>
                <w:rFonts w:eastAsia="Times New Roman" w:cstheme="minorHAnsi"/>
                <w:b/>
                <w:bCs/>
                <w:color w:val="000000"/>
              </w:rPr>
              <w:t>Manager $</w:t>
            </w:r>
            <w:r w:rsidRPr="009E7848" w:rsidR="005F2B64">
              <w:rPr>
                <w:rFonts w:eastAsia="Times New Roman" w:cstheme="minorHAnsi"/>
                <w:b/>
                <w:bCs/>
                <w:color w:val="000000"/>
              </w:rPr>
              <w:t>72.72</w:t>
            </w:r>
            <w:r w:rsidRPr="009E7848">
              <w:rPr>
                <w:rFonts w:eastAsia="Times New Roman" w:cstheme="minorHAnsi"/>
                <w:b/>
                <w:bCs/>
                <w:color w:val="000000"/>
              </w:rPr>
              <w:t>per hour</w:t>
            </w:r>
          </w:p>
        </w:tc>
        <w:tc>
          <w:tcPr>
            <w:tcW w:w="1170" w:type="dxa"/>
            <w:shd w:val="pct10" w:color="auto" w:fill="auto"/>
            <w:vAlign w:val="bottom"/>
          </w:tcPr>
          <w:p w:rsidR="0070103A" w:rsidRPr="009E7848" w:rsidP="00915E40" w14:paraId="7F983205" w14:textId="15DC6A70">
            <w:pPr>
              <w:keepNext/>
              <w:jc w:val="center"/>
              <w:rPr>
                <w:rFonts w:eastAsia="Times New Roman" w:cstheme="minorHAnsi"/>
                <w:b/>
                <w:bCs/>
                <w:color w:val="000000"/>
              </w:rPr>
            </w:pPr>
            <w:r w:rsidRPr="009E7848">
              <w:rPr>
                <w:rFonts w:eastAsia="Times New Roman" w:cstheme="minorHAnsi"/>
                <w:b/>
                <w:bCs/>
                <w:color w:val="000000"/>
              </w:rPr>
              <w:t>Technician $</w:t>
            </w:r>
            <w:r w:rsidRPr="009E7848" w:rsidR="005F2B64">
              <w:rPr>
                <w:rFonts w:eastAsia="Times New Roman" w:cstheme="minorHAnsi"/>
                <w:b/>
                <w:bCs/>
                <w:color w:val="000000"/>
              </w:rPr>
              <w:t>61.27</w:t>
            </w:r>
            <w:r w:rsidRPr="009E7848">
              <w:rPr>
                <w:rFonts w:eastAsia="Times New Roman" w:cstheme="minorHAnsi"/>
                <w:b/>
                <w:bCs/>
                <w:color w:val="000000"/>
              </w:rPr>
              <w:t xml:space="preserve"> per hour</w:t>
            </w:r>
          </w:p>
        </w:tc>
        <w:tc>
          <w:tcPr>
            <w:tcW w:w="1260" w:type="dxa"/>
            <w:shd w:val="pct10" w:color="auto" w:fill="auto"/>
            <w:vAlign w:val="bottom"/>
          </w:tcPr>
          <w:p w:rsidR="0070103A" w:rsidRPr="009E7848" w:rsidP="00915E40" w14:paraId="0CC3EBE5" w14:textId="77777777">
            <w:pPr>
              <w:keepNext/>
              <w:jc w:val="center"/>
              <w:rPr>
                <w:rFonts w:eastAsia="Times New Roman" w:cstheme="minorHAnsi"/>
                <w:b/>
                <w:bCs/>
                <w:color w:val="000000"/>
              </w:rPr>
            </w:pPr>
            <w:r w:rsidRPr="009E7848">
              <w:rPr>
                <w:rFonts w:eastAsia="Times New Roman" w:cstheme="minorHAnsi"/>
                <w:b/>
                <w:bCs/>
                <w:color w:val="000000"/>
              </w:rPr>
              <w:t>Respondent hours per year</w:t>
            </w:r>
          </w:p>
        </w:tc>
        <w:tc>
          <w:tcPr>
            <w:tcW w:w="1260" w:type="dxa"/>
            <w:shd w:val="pct10" w:color="auto" w:fill="auto"/>
            <w:vAlign w:val="bottom"/>
          </w:tcPr>
          <w:p w:rsidR="0070103A" w:rsidRPr="009E7848" w:rsidP="00915E40" w14:paraId="533D7041" w14:textId="77777777">
            <w:pPr>
              <w:keepNext/>
              <w:jc w:val="center"/>
              <w:rPr>
                <w:rFonts w:eastAsia="Times New Roman" w:cstheme="minorHAnsi"/>
                <w:b/>
                <w:bCs/>
                <w:color w:val="000000"/>
              </w:rPr>
            </w:pPr>
            <w:r w:rsidRPr="009E7848">
              <w:rPr>
                <w:rFonts w:eastAsia="Times New Roman" w:cstheme="minorHAnsi"/>
                <w:b/>
                <w:bCs/>
                <w:color w:val="000000"/>
              </w:rPr>
              <w:t>Respondent labor cost per year</w:t>
            </w:r>
          </w:p>
        </w:tc>
        <w:tc>
          <w:tcPr>
            <w:tcW w:w="1080" w:type="dxa"/>
            <w:shd w:val="pct10" w:color="auto" w:fill="auto"/>
            <w:vAlign w:val="bottom"/>
          </w:tcPr>
          <w:p w:rsidR="0070103A" w:rsidRPr="009E7848" w:rsidP="00915E40" w14:paraId="77085310" w14:textId="77777777">
            <w:pPr>
              <w:keepNext/>
              <w:jc w:val="center"/>
              <w:rPr>
                <w:rFonts w:eastAsia="Times New Roman" w:cstheme="minorHAnsi"/>
                <w:b/>
                <w:bCs/>
                <w:color w:val="000000"/>
              </w:rPr>
            </w:pPr>
            <w:r w:rsidRPr="009E7848">
              <w:rPr>
                <w:rFonts w:eastAsia="Times New Roman" w:cstheme="minorHAnsi"/>
                <w:b/>
                <w:bCs/>
                <w:color w:val="000000"/>
              </w:rPr>
              <w:t>Responses per year</w:t>
            </w:r>
          </w:p>
        </w:tc>
        <w:tc>
          <w:tcPr>
            <w:tcW w:w="990" w:type="dxa"/>
            <w:shd w:val="pct10" w:color="auto" w:fill="auto"/>
            <w:vAlign w:val="bottom"/>
          </w:tcPr>
          <w:p w:rsidR="0070103A" w:rsidRPr="009E7848" w:rsidP="00915E40" w14:paraId="15678AC5" w14:textId="77777777">
            <w:pPr>
              <w:keepNext/>
              <w:jc w:val="center"/>
              <w:rPr>
                <w:rFonts w:eastAsia="Times New Roman" w:cstheme="minorHAnsi"/>
                <w:b/>
                <w:bCs/>
                <w:color w:val="000000"/>
              </w:rPr>
            </w:pPr>
            <w:r w:rsidRPr="009E7848">
              <w:rPr>
                <w:rFonts w:eastAsia="Times New Roman" w:cstheme="minorHAnsi"/>
                <w:b/>
                <w:bCs/>
                <w:color w:val="000000"/>
              </w:rPr>
              <w:t>Total hours per year</w:t>
            </w:r>
          </w:p>
        </w:tc>
        <w:tc>
          <w:tcPr>
            <w:tcW w:w="905" w:type="dxa"/>
            <w:shd w:val="pct10" w:color="auto" w:fill="auto"/>
            <w:vAlign w:val="bottom"/>
          </w:tcPr>
          <w:p w:rsidR="0070103A" w:rsidRPr="009E7848" w:rsidP="00915E40" w14:paraId="40436814" w14:textId="77777777">
            <w:pPr>
              <w:keepNext/>
              <w:jc w:val="center"/>
              <w:rPr>
                <w:rFonts w:eastAsia="Times New Roman" w:cstheme="minorHAnsi"/>
                <w:b/>
                <w:bCs/>
                <w:color w:val="000000"/>
              </w:rPr>
            </w:pPr>
            <w:r w:rsidRPr="009E7848">
              <w:rPr>
                <w:rFonts w:eastAsia="Times New Roman" w:cstheme="minorHAnsi"/>
                <w:b/>
                <w:bCs/>
                <w:color w:val="000000"/>
              </w:rPr>
              <w:t>Total cost per year</w:t>
            </w:r>
          </w:p>
        </w:tc>
      </w:tr>
      <w:tr w14:paraId="760F859E" w14:textId="77777777" w:rsidTr="00D70129">
        <w:tblPrEx>
          <w:tblW w:w="9360" w:type="dxa"/>
          <w:jc w:val="center"/>
          <w:tblLayout w:type="fixed"/>
          <w:tblCellMar>
            <w:top w:w="72" w:type="dxa"/>
            <w:left w:w="72" w:type="dxa"/>
            <w:bottom w:w="72" w:type="dxa"/>
            <w:right w:w="72" w:type="dxa"/>
          </w:tblCellMar>
          <w:tblLook w:val="04A0"/>
        </w:tblPrEx>
        <w:trPr>
          <w:trHeight w:val="23"/>
          <w:jc w:val="center"/>
        </w:trPr>
        <w:tc>
          <w:tcPr>
            <w:tcW w:w="1615" w:type="dxa"/>
            <w:shd w:val="clear" w:color="auto" w:fill="auto"/>
          </w:tcPr>
          <w:p w:rsidR="0070103A" w:rsidRPr="009E7848" w:rsidP="00915E40" w14:paraId="1CFF207D" w14:textId="77777777">
            <w:pPr>
              <w:keepNext/>
              <w:rPr>
                <w:rFonts w:eastAsia="Times New Roman" w:cstheme="minorHAnsi"/>
                <w:color w:val="000000"/>
              </w:rPr>
            </w:pPr>
            <w:r w:rsidRPr="009E7848">
              <w:rPr>
                <w:rFonts w:eastAsia="Times New Roman" w:cstheme="minorHAnsi"/>
                <w:color w:val="000000"/>
              </w:rPr>
              <w:t>State allowance allocation</w:t>
            </w:r>
            <w:r w:rsidRPr="009E7848">
              <w:rPr>
                <w:rFonts w:eastAsia="Times New Roman" w:cstheme="minorHAnsi"/>
                <w:color w:val="000000"/>
                <w:vertAlign w:val="superscript"/>
              </w:rPr>
              <w:t>1</w:t>
            </w:r>
          </w:p>
        </w:tc>
        <w:tc>
          <w:tcPr>
            <w:tcW w:w="1080" w:type="dxa"/>
            <w:shd w:val="clear" w:color="auto" w:fill="auto"/>
            <w:noWrap/>
            <w:vAlign w:val="bottom"/>
          </w:tcPr>
          <w:p w:rsidR="0070103A" w:rsidRPr="009E7848" w:rsidP="00915E40" w14:paraId="028E1E2D" w14:textId="77777777">
            <w:pPr>
              <w:keepNext/>
              <w:jc w:val="right"/>
              <w:rPr>
                <w:rFonts w:eastAsia="Times New Roman" w:cstheme="minorHAnsi"/>
                <w:color w:val="000000"/>
              </w:rPr>
            </w:pPr>
            <w:r w:rsidRPr="009E7848">
              <w:rPr>
                <w:rFonts w:eastAsia="Times New Roman" w:cstheme="minorHAnsi"/>
                <w:color w:val="000000"/>
              </w:rPr>
              <w:t>25</w:t>
            </w:r>
          </w:p>
        </w:tc>
        <w:tc>
          <w:tcPr>
            <w:tcW w:w="1170" w:type="dxa"/>
            <w:shd w:val="clear" w:color="auto" w:fill="auto"/>
            <w:noWrap/>
            <w:vAlign w:val="bottom"/>
          </w:tcPr>
          <w:p w:rsidR="0070103A" w:rsidRPr="009E7848" w:rsidP="00915E40" w14:paraId="212851C2" w14:textId="77777777">
            <w:pPr>
              <w:keepNext/>
              <w:jc w:val="right"/>
              <w:rPr>
                <w:rFonts w:eastAsia="Times New Roman" w:cstheme="minorHAnsi"/>
                <w:color w:val="000000"/>
              </w:rPr>
            </w:pPr>
            <w:r w:rsidRPr="009E7848">
              <w:rPr>
                <w:rFonts w:eastAsia="Times New Roman" w:cstheme="minorHAnsi"/>
                <w:color w:val="000000"/>
              </w:rPr>
              <w:t>75</w:t>
            </w:r>
          </w:p>
        </w:tc>
        <w:tc>
          <w:tcPr>
            <w:tcW w:w="1260" w:type="dxa"/>
            <w:shd w:val="clear" w:color="auto" w:fill="auto"/>
            <w:noWrap/>
            <w:vAlign w:val="bottom"/>
          </w:tcPr>
          <w:p w:rsidR="0070103A" w:rsidRPr="009E7848" w:rsidP="00915E40" w14:paraId="22D535CE" w14:textId="77777777">
            <w:pPr>
              <w:keepNext/>
              <w:jc w:val="right"/>
              <w:rPr>
                <w:rFonts w:eastAsia="Times New Roman" w:cstheme="minorHAnsi"/>
                <w:color w:val="000000"/>
              </w:rPr>
            </w:pPr>
            <w:r w:rsidRPr="009E7848">
              <w:rPr>
                <w:rFonts w:eastAsia="Times New Roman" w:cstheme="minorHAnsi"/>
                <w:color w:val="000000"/>
              </w:rPr>
              <w:t>100</w:t>
            </w:r>
          </w:p>
        </w:tc>
        <w:tc>
          <w:tcPr>
            <w:tcW w:w="1260" w:type="dxa"/>
            <w:shd w:val="clear" w:color="auto" w:fill="auto"/>
            <w:noWrap/>
            <w:vAlign w:val="bottom"/>
          </w:tcPr>
          <w:p w:rsidR="0070103A" w:rsidRPr="009E7848" w:rsidP="00915E40" w14:paraId="687DDE66" w14:textId="43EC1924">
            <w:pPr>
              <w:jc w:val="right"/>
              <w:rPr>
                <w:rFonts w:eastAsia="Times New Roman" w:cstheme="minorHAnsi"/>
                <w:color w:val="000000"/>
              </w:rPr>
            </w:pPr>
            <w:r w:rsidRPr="009E7848">
              <w:rPr>
                <w:rFonts w:eastAsia="Times New Roman" w:cstheme="minorHAnsi"/>
                <w:color w:val="000000"/>
              </w:rPr>
              <w:t>$</w:t>
            </w:r>
            <w:r w:rsidRPr="009E7848" w:rsidR="005F2B64">
              <w:rPr>
                <w:rFonts w:eastAsia="Times New Roman" w:cstheme="minorHAnsi"/>
                <w:color w:val="000000"/>
              </w:rPr>
              <w:t>6,413</w:t>
            </w:r>
          </w:p>
        </w:tc>
        <w:tc>
          <w:tcPr>
            <w:tcW w:w="1080" w:type="dxa"/>
            <w:shd w:val="clear" w:color="auto" w:fill="auto"/>
            <w:noWrap/>
            <w:vAlign w:val="bottom"/>
          </w:tcPr>
          <w:p w:rsidR="0070103A" w:rsidRPr="009E7848" w:rsidP="00915E40" w14:paraId="3FC9E298" w14:textId="538D4B60">
            <w:pPr>
              <w:jc w:val="right"/>
              <w:rPr>
                <w:rFonts w:eastAsia="Times New Roman" w:cstheme="minorHAnsi"/>
                <w:color w:val="000000"/>
              </w:rPr>
            </w:pPr>
            <w:r w:rsidRPr="009E7848">
              <w:rPr>
                <w:rFonts w:eastAsia="Times New Roman" w:cstheme="minorHAnsi"/>
                <w:color w:val="000000"/>
              </w:rPr>
              <w:t>4</w:t>
            </w:r>
          </w:p>
        </w:tc>
        <w:tc>
          <w:tcPr>
            <w:tcW w:w="990" w:type="dxa"/>
            <w:shd w:val="clear" w:color="auto" w:fill="FFFFFF" w:themeFill="background1"/>
            <w:noWrap/>
            <w:vAlign w:val="bottom"/>
          </w:tcPr>
          <w:p w:rsidR="0070103A" w:rsidRPr="009E7848" w:rsidP="00915E40" w14:paraId="3F06BE81" w14:textId="6E917EC9">
            <w:pPr>
              <w:jc w:val="right"/>
              <w:rPr>
                <w:rFonts w:eastAsia="Times New Roman" w:cstheme="minorHAnsi"/>
                <w:color w:val="000000"/>
              </w:rPr>
            </w:pPr>
            <w:r w:rsidRPr="009E7848">
              <w:rPr>
                <w:rFonts w:eastAsia="Times New Roman" w:cstheme="minorHAnsi"/>
                <w:color w:val="000000"/>
              </w:rPr>
              <w:t>400</w:t>
            </w:r>
          </w:p>
        </w:tc>
        <w:tc>
          <w:tcPr>
            <w:tcW w:w="905" w:type="dxa"/>
            <w:shd w:val="clear" w:color="auto" w:fill="auto"/>
            <w:noWrap/>
            <w:vAlign w:val="bottom"/>
          </w:tcPr>
          <w:p w:rsidR="0070103A" w:rsidRPr="009E7848" w:rsidP="00915E40" w14:paraId="00C73A2D" w14:textId="5EB9C7D9">
            <w:pPr>
              <w:jc w:val="right"/>
              <w:rPr>
                <w:rFonts w:eastAsia="Times New Roman" w:cstheme="minorHAnsi"/>
                <w:color w:val="000000"/>
              </w:rPr>
            </w:pPr>
            <w:r w:rsidRPr="009E7848">
              <w:rPr>
                <w:rFonts w:eastAsia="Times New Roman" w:cstheme="minorHAnsi"/>
                <w:color w:val="000000"/>
              </w:rPr>
              <w:t>$</w:t>
            </w:r>
            <w:r w:rsidRPr="009E7848" w:rsidR="005F2B64">
              <w:rPr>
                <w:rFonts w:eastAsia="Times New Roman" w:cstheme="minorHAnsi"/>
                <w:color w:val="000000"/>
              </w:rPr>
              <w:t>25,652</w:t>
            </w:r>
          </w:p>
        </w:tc>
      </w:tr>
      <w:tr w14:paraId="6258B6FA" w14:textId="77777777" w:rsidTr="00915E40">
        <w:tblPrEx>
          <w:tblW w:w="9360" w:type="dxa"/>
          <w:jc w:val="center"/>
          <w:tblLayout w:type="fixed"/>
          <w:tblCellMar>
            <w:top w:w="72" w:type="dxa"/>
            <w:left w:w="72" w:type="dxa"/>
            <w:bottom w:w="72" w:type="dxa"/>
            <w:right w:w="72" w:type="dxa"/>
          </w:tblCellMar>
          <w:tblLook w:val="04A0"/>
        </w:tblPrEx>
        <w:trPr>
          <w:trHeight w:val="23"/>
          <w:jc w:val="center"/>
        </w:trPr>
        <w:tc>
          <w:tcPr>
            <w:tcW w:w="7465" w:type="dxa"/>
            <w:gridSpan w:val="6"/>
            <w:shd w:val="pct10" w:color="auto" w:fill="auto"/>
            <w:noWrap/>
          </w:tcPr>
          <w:p w:rsidR="0070103A" w:rsidRPr="009E7848" w:rsidP="00915E40" w14:paraId="4C860439" w14:textId="77777777">
            <w:pPr>
              <w:rPr>
                <w:rFonts w:eastAsia="Times New Roman" w:cstheme="minorHAnsi"/>
                <w:color w:val="000000"/>
              </w:rPr>
            </w:pPr>
            <w:r w:rsidRPr="009E7848">
              <w:rPr>
                <w:rFonts w:eastAsia="Times New Roman" w:cstheme="minorHAnsi"/>
                <w:b/>
                <w:bCs/>
                <w:color w:val="000000"/>
              </w:rPr>
              <w:t>Totals</w:t>
            </w:r>
          </w:p>
        </w:tc>
        <w:tc>
          <w:tcPr>
            <w:tcW w:w="990" w:type="dxa"/>
            <w:shd w:val="pct10" w:color="auto" w:fill="auto"/>
            <w:noWrap/>
            <w:vAlign w:val="bottom"/>
          </w:tcPr>
          <w:p w:rsidR="0070103A" w:rsidRPr="009E7848" w:rsidP="00915E40" w14:paraId="4C5CCD75" w14:textId="1834C027">
            <w:pPr>
              <w:jc w:val="right"/>
              <w:rPr>
                <w:rFonts w:eastAsia="Times New Roman" w:cstheme="minorHAnsi"/>
                <w:b/>
                <w:color w:val="000000"/>
              </w:rPr>
            </w:pPr>
            <w:r w:rsidRPr="009E7848">
              <w:rPr>
                <w:rFonts w:eastAsia="Times New Roman" w:cstheme="minorHAnsi"/>
                <w:b/>
                <w:color w:val="000000"/>
              </w:rPr>
              <w:t>400</w:t>
            </w:r>
          </w:p>
        </w:tc>
        <w:tc>
          <w:tcPr>
            <w:tcW w:w="905" w:type="dxa"/>
            <w:shd w:val="pct10" w:color="auto" w:fill="auto"/>
            <w:noWrap/>
            <w:vAlign w:val="bottom"/>
          </w:tcPr>
          <w:p w:rsidR="0070103A" w:rsidRPr="009E7848" w:rsidP="00915E40" w14:paraId="1F42D7AC" w14:textId="3ABC565C">
            <w:pPr>
              <w:jc w:val="right"/>
              <w:rPr>
                <w:rFonts w:eastAsia="Times New Roman" w:cstheme="minorHAnsi"/>
                <w:b/>
                <w:color w:val="000000"/>
              </w:rPr>
            </w:pPr>
            <w:r w:rsidRPr="009E7848">
              <w:rPr>
                <w:rFonts w:eastAsia="Times New Roman" w:cstheme="minorHAnsi"/>
                <w:b/>
                <w:color w:val="000000"/>
              </w:rPr>
              <w:t>$</w:t>
            </w:r>
            <w:r w:rsidRPr="009E7848" w:rsidR="005F2B64">
              <w:rPr>
                <w:rFonts w:eastAsia="Times New Roman" w:cstheme="minorHAnsi"/>
                <w:b/>
                <w:color w:val="000000"/>
              </w:rPr>
              <w:t>25,652</w:t>
            </w:r>
          </w:p>
        </w:tc>
      </w:tr>
    </w:tbl>
    <w:p w:rsidR="00ED57A4" w:rsidRPr="009E7848" w:rsidP="00854AAE" w14:paraId="68F435BE" w14:textId="6649D81E">
      <w:pPr>
        <w:spacing w:before="60"/>
        <w:rPr>
          <w:rFonts w:cstheme="minorHAnsi"/>
          <w:color w:val="000000"/>
          <w:sz w:val="18"/>
          <w:szCs w:val="18"/>
        </w:rPr>
      </w:pPr>
      <w:r w:rsidRPr="009E7848">
        <w:rPr>
          <w:rFonts w:cstheme="minorHAnsi"/>
          <w:sz w:val="18"/>
          <w:szCs w:val="18"/>
          <w:vertAlign w:val="superscript"/>
        </w:rPr>
        <w:t>1</w:t>
      </w:r>
      <w:r w:rsidRPr="009E7848">
        <w:rPr>
          <w:rFonts w:cstheme="minorHAnsi"/>
          <w:sz w:val="18"/>
          <w:szCs w:val="18"/>
        </w:rPr>
        <w:t xml:space="preserve"> Assumes </w:t>
      </w:r>
      <w:r w:rsidRPr="009E7848" w:rsidR="005F2B64">
        <w:rPr>
          <w:rFonts w:cstheme="minorHAnsi"/>
          <w:sz w:val="18"/>
          <w:szCs w:val="18"/>
        </w:rPr>
        <w:t>four</w:t>
      </w:r>
      <w:r w:rsidRPr="009E7848">
        <w:rPr>
          <w:rFonts w:cstheme="minorHAnsi"/>
          <w:sz w:val="18"/>
          <w:szCs w:val="18"/>
        </w:rPr>
        <w:t xml:space="preserve"> of 27 CSAPR-affected states submit optional state-determined allowance allocations.</w:t>
      </w:r>
    </w:p>
    <w:p w:rsidR="00446D6D" w:rsidRPr="009E7848" w:rsidP="00854AAE" w14:paraId="6A0C619C" w14:textId="77777777">
      <w:pPr>
        <w:spacing w:before="60"/>
        <w:rPr>
          <w:rFonts w:cstheme="minorHAnsi"/>
        </w:rPr>
      </w:pPr>
    </w:p>
    <w:p w:rsidR="00BB2B15" w:rsidRPr="009E7848" w:rsidP="00BF5317" w14:paraId="5D1B71A2" w14:textId="2ADBBFA0">
      <w:pPr>
        <w:pStyle w:val="ListParagraph"/>
        <w:numPr>
          <w:ilvl w:val="0"/>
          <w:numId w:val="2"/>
        </w:numPr>
        <w:spacing w:before="240" w:after="0"/>
        <w:rPr>
          <w:rFonts w:cstheme="minorHAnsi"/>
          <w:b/>
          <w:bCs/>
          <w:caps/>
        </w:rPr>
      </w:pPr>
      <w:bookmarkStart w:id="18" w:name="_Toc156593386"/>
      <w:r w:rsidRPr="009E7848">
        <w:rPr>
          <w:rFonts w:cstheme="minorHAnsi"/>
          <w:b/>
          <w:bCs/>
          <w:caps/>
        </w:rPr>
        <w:t>Respondent</w:t>
      </w:r>
      <w:r w:rsidRPr="009E7848" w:rsidR="009A09EC">
        <w:rPr>
          <w:rFonts w:cstheme="minorHAnsi"/>
          <w:b/>
          <w:bCs/>
          <w:caps/>
        </w:rPr>
        <w:t xml:space="preserve"> </w:t>
      </w:r>
      <w:r w:rsidRPr="009E7848" w:rsidR="00D17BB9">
        <w:rPr>
          <w:rFonts w:cstheme="minorHAnsi"/>
          <w:b/>
          <w:bCs/>
          <w:caps/>
        </w:rPr>
        <w:t xml:space="preserve">CAPITAL AND O&amp;m </w:t>
      </w:r>
      <w:r w:rsidRPr="009E7848" w:rsidR="004E3CB0">
        <w:rPr>
          <w:rFonts w:cstheme="minorHAnsi"/>
          <w:b/>
          <w:bCs/>
          <w:caps/>
        </w:rPr>
        <w:t>Cost</w:t>
      </w:r>
      <w:r w:rsidRPr="009E7848" w:rsidR="00D17BB9">
        <w:rPr>
          <w:rFonts w:cstheme="minorHAnsi"/>
          <w:b/>
          <w:bCs/>
          <w:caps/>
        </w:rPr>
        <w:t>S</w:t>
      </w:r>
      <w:bookmarkEnd w:id="18"/>
      <w:r w:rsidRPr="009E7848" w:rsidR="004E3CB0">
        <w:rPr>
          <w:rFonts w:cstheme="minorHAnsi"/>
          <w:b/>
          <w:bCs/>
          <w:caps/>
        </w:rPr>
        <w:t xml:space="preserve"> </w:t>
      </w:r>
    </w:p>
    <w:p w:rsidR="00F92596" w:rsidRPr="009E7848" w:rsidP="00F92596" w14:paraId="0925DF34" w14:textId="77777777">
      <w:pPr>
        <w:spacing w:after="0" w:line="240" w:lineRule="auto"/>
        <w:rPr>
          <w:rFonts w:cstheme="minorHAnsi"/>
          <w:i/>
          <w:iCs/>
        </w:rPr>
      </w:pPr>
      <w:r w:rsidRPr="009E7848">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9E7848" w:rsidP="00163C69" w14:paraId="026BDBA4" w14:textId="77777777">
      <w:pPr>
        <w:spacing w:before="120" w:after="0" w:line="240" w:lineRule="auto"/>
        <w:rPr>
          <w:rFonts w:cstheme="minorHAnsi"/>
          <w:i/>
          <w:iCs/>
        </w:rPr>
      </w:pPr>
      <w:r w:rsidRPr="009E7848">
        <w:rPr>
          <w:rFonts w:cstheme="minorHAnsi"/>
          <w:i/>
          <w:iCs/>
        </w:rPr>
        <w:t>The cost estimate should be split into two components: (a) a total capital and start-up cost</w:t>
      </w:r>
    </w:p>
    <w:p w:rsidR="00F92596" w:rsidRPr="009E7848" w:rsidP="00F92596" w14:paraId="7ED5E3E9" w14:textId="77777777">
      <w:pPr>
        <w:spacing w:after="0" w:line="240" w:lineRule="auto"/>
        <w:rPr>
          <w:rFonts w:cstheme="minorHAnsi"/>
          <w:i/>
          <w:iCs/>
        </w:rPr>
      </w:pPr>
      <w:r w:rsidRPr="009E7848">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9E7848" w:rsidP="00163C69" w14:paraId="761690A4" w14:textId="77777777">
      <w:pPr>
        <w:spacing w:line="240" w:lineRule="auto"/>
        <w:rPr>
          <w:rFonts w:cstheme="minorHAnsi"/>
          <w:i/>
          <w:iCs/>
        </w:rPr>
      </w:pPr>
      <w:r w:rsidRPr="009E7848">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9E7848" w:rsidP="00163C69" w14:paraId="577731C5" w14:textId="77777777">
      <w:pPr>
        <w:pBdr>
          <w:bottom w:val="single" w:sz="4" w:space="1" w:color="auto"/>
        </w:pBdr>
        <w:spacing w:line="240" w:lineRule="auto"/>
        <w:rPr>
          <w:rFonts w:cstheme="minorHAnsi"/>
          <w:i/>
          <w:iCs/>
        </w:rPr>
      </w:pPr>
      <w:r w:rsidRPr="009E7848">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D2EA0" w:rsidRPr="009E7848" w:rsidP="00356A74" w14:paraId="46EC3521" w14:textId="77777777">
      <w:pPr>
        <w:pStyle w:val="ListParagraph"/>
        <w:numPr>
          <w:ilvl w:val="0"/>
          <w:numId w:val="17"/>
        </w:num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Estimating Capital and Operations and Maintenance Costs</w:t>
      </w:r>
    </w:p>
    <w:p w:rsidR="00DD2EA0" w:rsidRPr="009E7848" w:rsidP="00DD2EA0" w14:paraId="30A70659"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p>
    <w:p w:rsidR="00DD2EA0" w:rsidRPr="009E7848" w:rsidP="00DD2EA0" w14:paraId="67B9C4CA"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r w:rsidRPr="009E7848">
        <w:rPr>
          <w:rFonts w:cstheme="minorHAnsi"/>
          <w:color w:val="000000"/>
        </w:rP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NOX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00DD2EA0" w:rsidRPr="009E7848" w:rsidP="00DD2EA0" w14:paraId="3649BC74"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p>
    <w:p w:rsidR="00DD2EA0" w:rsidRPr="009E7848" w:rsidP="00DD2EA0" w14:paraId="19E7CE50"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r w:rsidRPr="009E7848">
        <w:rPr>
          <w:rFonts w:cstheme="minorHAnsi"/>
          <w:color w:val="000000"/>
        </w:rPr>
        <w:t>Note that testing contractor costs for certification, recertification and annual relative accuracy test audits (RATAs) are presented as other direct costs and are not converted to equivalent source labor hours.  This approach is consistent with the common business practice of obtaining outside contractors to conduct certification/recertification tests and annual RATAs.  For initial certification, the certification test costs are commonly bundled with equipment purchase contracts, according to information provided by a range of CEMS equipment vendors.  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p>
    <w:p w:rsidR="00DD2EA0" w:rsidRPr="009E7848" w:rsidP="00DD2EA0" w14:paraId="49F6E64E"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p>
    <w:p w:rsidR="00356A74" w:rsidRPr="009E7848" w:rsidP="00DD2EA0" w14:paraId="3516925D" w14:textId="6CE28AE2">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r w:rsidRPr="009E7848">
        <w:rPr>
          <w:rFonts w:cstheme="minorHAnsi"/>
          <w:color w:val="000000"/>
        </w:rPr>
        <w:t xml:space="preserve">As noted above, for non-ARP units this ICR includes ongoing annualized start-up/capital costs as well as ongoing O&amp;M costs for any monitoring equipment needed by the unit to meet the applicable monitoring and reporting requirements of the CSAPR trading programs, whether the equipment was initially installed to address the requirements of the trading programs under CSAPR, CAIR, or the NOX SIP Call.  </w:t>
      </w:r>
    </w:p>
    <w:p w:rsidR="00356A74" w:rsidRPr="009E7848" w:rsidP="00356A74" w14:paraId="3DF9C7C9"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DD2EA0" w:rsidRPr="009E7848" w:rsidP="00356A74" w14:paraId="3C82813C" w14:textId="77777777">
      <w:pPr>
        <w:pStyle w:val="ListParagraph"/>
        <w:numPr>
          <w:ilvl w:val="0"/>
          <w:numId w:val="17"/>
        </w:numPr>
        <w:pBdr>
          <w:top w:val="single" w:sz="6" w:space="0" w:color="FFFFFF"/>
          <w:left w:val="single" w:sz="6" w:space="0" w:color="FFFFFF"/>
          <w:bottom w:val="single" w:sz="6" w:space="0" w:color="FFFFFF"/>
          <w:right w:val="single" w:sz="6" w:space="0" w:color="FFFFFF"/>
        </w:pBdr>
        <w:rPr>
          <w:rFonts w:cstheme="minorHAnsi"/>
          <w:color w:val="000000"/>
        </w:rPr>
      </w:pPr>
      <w:r w:rsidRPr="009E7848">
        <w:rPr>
          <w:rFonts w:cstheme="minorHAnsi"/>
          <w:color w:val="000000"/>
        </w:rPr>
        <w:t>Capital/Start-up vs. Operating and Maintenance (O&amp;M) Costs</w:t>
      </w:r>
    </w:p>
    <w:p w:rsidR="00DD2EA0" w:rsidRPr="009E7848" w:rsidP="00DD2EA0" w14:paraId="204E6B30"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p>
    <w:p w:rsidR="00356A74" w:rsidRPr="009E7848" w:rsidP="00DD2EA0" w14:paraId="1D29DDB1" w14:textId="0878E0A2">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r w:rsidRPr="009E7848">
        <w:rPr>
          <w:rFonts w:cstheme="minorHAnsi"/>
          <w:color w:val="000000"/>
        </w:rPr>
        <w:t>Capital costs reflect one-time costs for purchase of equipment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00DD21CA" w:rsidRPr="009E7848" w:rsidP="00DD2EA0" w14:paraId="2808DA31" w14:textId="77777777">
      <w:pPr>
        <w:pStyle w:val="ListParagraph"/>
        <w:pBdr>
          <w:top w:val="single" w:sz="6" w:space="0" w:color="FFFFFF"/>
          <w:left w:val="single" w:sz="6" w:space="0" w:color="FFFFFF"/>
          <w:bottom w:val="single" w:sz="6" w:space="0" w:color="FFFFFF"/>
          <w:right w:val="single" w:sz="6" w:space="0" w:color="FFFFFF"/>
        </w:pBdr>
        <w:ind w:left="360"/>
        <w:rPr>
          <w:rFonts w:cstheme="minorHAnsi"/>
          <w:color w:val="000000"/>
        </w:rPr>
      </w:pPr>
    </w:p>
    <w:p w:rsidR="00D20BEA" w:rsidRPr="009E7848" w:rsidP="00D20BEA" w14:paraId="085449DA" w14:textId="2986F32D">
      <w:pPr>
        <w:pStyle w:val="ListParagraph"/>
        <w:keepNext/>
        <w:numPr>
          <w:ilvl w:val="0"/>
          <w:numId w:val="17"/>
        </w:numPr>
        <w:autoSpaceDE w:val="0"/>
        <w:autoSpaceDN w:val="0"/>
        <w:adjustRightInd w:val="0"/>
        <w:outlineLvl w:val="0"/>
        <w:rPr>
          <w:rFonts w:cstheme="minorHAnsi"/>
        </w:rPr>
      </w:pPr>
      <w:r w:rsidRPr="009E7848">
        <w:rPr>
          <w:rFonts w:cstheme="minorHAnsi"/>
        </w:rPr>
        <w:t>Capital</w:t>
      </w:r>
      <w:r w:rsidRPr="009E7848" w:rsidR="00D31A63">
        <w:rPr>
          <w:rFonts w:cstheme="minorHAnsi"/>
        </w:rPr>
        <w:t xml:space="preserve"> and O&amp;M </w:t>
      </w:r>
      <w:r w:rsidRPr="009E7848">
        <w:rPr>
          <w:rFonts w:cstheme="minorHAnsi"/>
        </w:rPr>
        <w:t>C</w:t>
      </w:r>
      <w:r w:rsidRPr="009E7848">
        <w:rPr>
          <w:rFonts w:cstheme="minorHAnsi"/>
        </w:rPr>
        <w:t>ost Table</w:t>
      </w:r>
    </w:p>
    <w:p w:rsidR="00356A74" w:rsidRPr="009E7848" w:rsidP="00D70129" w14:paraId="67F2CA5B" w14:textId="7600323B">
      <w:pPr>
        <w:keepNext/>
        <w:autoSpaceDE w:val="0"/>
        <w:autoSpaceDN w:val="0"/>
        <w:adjustRightInd w:val="0"/>
        <w:jc w:val="center"/>
        <w:rPr>
          <w:rFonts w:eastAsia="Times New Roman" w:cstheme="minorHAnsi"/>
          <w:color w:val="000000"/>
        </w:rPr>
      </w:pPr>
      <w:r w:rsidRPr="009E7848">
        <w:rPr>
          <w:rFonts w:eastAsia="Times New Roman" w:cstheme="minorHAnsi"/>
          <w:color w:val="000000"/>
        </w:rPr>
        <w:t xml:space="preserve">Table </w:t>
      </w:r>
      <w:r w:rsidRPr="009E7848" w:rsidR="006C5D89">
        <w:rPr>
          <w:rFonts w:eastAsia="Times New Roman" w:cstheme="minorHAnsi"/>
          <w:color w:val="000000"/>
        </w:rPr>
        <w:t>13.1</w:t>
      </w:r>
      <w:r w:rsidRPr="009E7848">
        <w:rPr>
          <w:rFonts w:eastAsia="Times New Roman" w:cstheme="minorHAnsi"/>
          <w:color w:val="000000"/>
        </w:rPr>
        <w:t>:  Total Estimated Burden and Cost Summary</w:t>
      </w:r>
    </w:p>
    <w:tbl>
      <w:tblPr>
        <w:tblW w:w="8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1"/>
        <w:gridCol w:w="118"/>
        <w:gridCol w:w="1035"/>
        <w:gridCol w:w="118"/>
        <w:gridCol w:w="1034"/>
        <w:gridCol w:w="147"/>
        <w:gridCol w:w="1276"/>
        <w:gridCol w:w="166"/>
        <w:gridCol w:w="1260"/>
      </w:tblGrid>
      <w:tr w14:paraId="0825C97A" w14:textId="77777777" w:rsidTr="00D70129">
        <w:tblPrEx>
          <w:tblW w:w="8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51"/>
        </w:trPr>
        <w:tc>
          <w:tcPr>
            <w:tcW w:w="3661" w:type="dxa"/>
            <w:shd w:val="clear" w:color="auto" w:fill="D9D9D9" w:themeFill="background1" w:themeFillShade="D9"/>
            <w:vAlign w:val="center"/>
            <w:hideMark/>
          </w:tcPr>
          <w:p w:rsidR="00B51CBD" w:rsidRPr="009E7848" w:rsidP="00B51CBD" w14:paraId="25D10968" w14:textId="77777777">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theme="minorHAnsi"/>
                <w:b/>
                <w:bCs/>
                <w:color w:val="000000"/>
                <w:sz w:val="21"/>
                <w:szCs w:val="21"/>
              </w:rPr>
              <w:t> </w:t>
            </w:r>
          </w:p>
        </w:tc>
        <w:tc>
          <w:tcPr>
            <w:tcW w:w="1153" w:type="dxa"/>
            <w:gridSpan w:val="2"/>
            <w:shd w:val="clear" w:color="auto" w:fill="D9D9D9" w:themeFill="background1" w:themeFillShade="D9"/>
            <w:vAlign w:val="center"/>
            <w:hideMark/>
          </w:tcPr>
          <w:p w:rsidR="00B51CBD" w:rsidRPr="009E7848" w:rsidP="00B51CBD" w14:paraId="5F62B059" w14:textId="77777777">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Cont. O&amp;M cost per year</w:t>
            </w:r>
          </w:p>
        </w:tc>
        <w:tc>
          <w:tcPr>
            <w:tcW w:w="1152" w:type="dxa"/>
            <w:gridSpan w:val="2"/>
            <w:shd w:val="clear" w:color="auto" w:fill="D9D9D9" w:themeFill="background1" w:themeFillShade="D9"/>
            <w:vAlign w:val="center"/>
            <w:hideMark/>
          </w:tcPr>
          <w:p w:rsidR="00B51CBD" w:rsidRPr="009E7848" w:rsidP="00B51CBD" w14:paraId="681430CE" w14:textId="77777777">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Start-up / capital cost per year</w:t>
            </w:r>
          </w:p>
        </w:tc>
        <w:tc>
          <w:tcPr>
            <w:tcW w:w="1589" w:type="dxa"/>
            <w:gridSpan w:val="3"/>
            <w:shd w:val="clear" w:color="auto" w:fill="D9D9D9" w:themeFill="background1" w:themeFillShade="D9"/>
            <w:vAlign w:val="center"/>
            <w:hideMark/>
          </w:tcPr>
          <w:p w:rsidR="00B51CBD" w:rsidRPr="009E7848" w:rsidP="00B51CBD" w14:paraId="69A12CF2" w14:textId="77777777">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Number of respondents / transactions</w:t>
            </w:r>
          </w:p>
        </w:tc>
        <w:tc>
          <w:tcPr>
            <w:tcW w:w="1260" w:type="dxa"/>
            <w:shd w:val="clear" w:color="auto" w:fill="D9D9D9" w:themeFill="background1" w:themeFillShade="D9"/>
            <w:vAlign w:val="center"/>
            <w:hideMark/>
          </w:tcPr>
          <w:p w:rsidR="00B51CBD" w:rsidRPr="009E7848" w:rsidP="00B51CBD" w14:paraId="67461F25" w14:textId="77777777">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Total cost per year</w:t>
            </w:r>
          </w:p>
        </w:tc>
      </w:tr>
      <w:tr w14:paraId="523412F8" w14:textId="77777777" w:rsidTr="00D70129">
        <w:tblPrEx>
          <w:tblW w:w="8815" w:type="dxa"/>
          <w:tblInd w:w="-5" w:type="dxa"/>
          <w:tblLook w:val="04A0"/>
        </w:tblPrEx>
        <w:trPr>
          <w:trHeight w:val="300"/>
        </w:trPr>
        <w:tc>
          <w:tcPr>
            <w:tcW w:w="8815" w:type="dxa"/>
            <w:gridSpan w:val="9"/>
            <w:shd w:val="clear" w:color="000000" w:fill="D9D9D9"/>
            <w:vAlign w:val="center"/>
            <w:hideMark/>
          </w:tcPr>
          <w:p w:rsidR="00B51CBD" w:rsidRPr="009E7848" w:rsidP="00B51CBD" w14:paraId="2CAF0A8A" w14:textId="7AF63DD1">
            <w:pPr>
              <w:spacing w:after="0" w:line="240" w:lineRule="auto"/>
              <w:jc w:val="center"/>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 xml:space="preserve">  </w:t>
            </w:r>
            <w:r w:rsidRPr="009E7848">
              <w:rPr>
                <w:rFonts w:ascii="Calibri" w:eastAsia="Times New Roman" w:hAnsi="Calibri" w:cs="Calibri"/>
                <w:b/>
                <w:bCs/>
                <w:color w:val="000000"/>
                <w:sz w:val="21"/>
                <w:szCs w:val="21"/>
              </w:rPr>
              <w:t>Emissions-related burden and costs</w:t>
            </w:r>
          </w:p>
        </w:tc>
      </w:tr>
      <w:tr w14:paraId="531C59F1" w14:textId="77777777" w:rsidTr="00D70129">
        <w:tblPrEx>
          <w:tblW w:w="8815" w:type="dxa"/>
          <w:tblInd w:w="-5" w:type="dxa"/>
          <w:tblLook w:val="04A0"/>
        </w:tblPrEx>
        <w:trPr>
          <w:trHeight w:val="310"/>
        </w:trPr>
        <w:tc>
          <w:tcPr>
            <w:tcW w:w="8815" w:type="dxa"/>
            <w:gridSpan w:val="9"/>
            <w:shd w:val="clear" w:color="auto" w:fill="F2F2F2" w:themeFill="background1" w:themeFillShade="F2"/>
            <w:vAlign w:val="center"/>
            <w:hideMark/>
          </w:tcPr>
          <w:p w:rsidR="00B51CBD" w:rsidRPr="009E7848" w:rsidP="00B51CBD" w14:paraId="32C88ED5" w14:textId="0AE8192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Recertification of monitors, by monitoring approach:</w:t>
            </w:r>
            <w:r w:rsidRPr="009E7848" w:rsidR="008F5825">
              <w:rPr>
                <w:rFonts w:ascii="Calibri" w:eastAsia="Times New Roman" w:hAnsi="Calibri" w:cstheme="minorHAnsi"/>
                <w:color w:val="000000"/>
                <w:sz w:val="21"/>
                <w:szCs w:val="21"/>
              </w:rPr>
              <w:t xml:space="preserve"> </w:t>
            </w:r>
          </w:p>
        </w:tc>
      </w:tr>
      <w:tr w14:paraId="69DDAA85" w14:textId="77777777" w:rsidTr="00D70129">
        <w:tblPrEx>
          <w:tblW w:w="8815" w:type="dxa"/>
          <w:tblInd w:w="-5" w:type="dxa"/>
          <w:tblLook w:val="04A0"/>
        </w:tblPrEx>
        <w:trPr>
          <w:trHeight w:val="1042"/>
        </w:trPr>
        <w:tc>
          <w:tcPr>
            <w:tcW w:w="3779" w:type="dxa"/>
            <w:gridSpan w:val="2"/>
            <w:shd w:val="clear" w:color="auto" w:fill="auto"/>
            <w:vAlign w:val="center"/>
            <w:hideMark/>
          </w:tcPr>
          <w:p w:rsidR="00B51CBD" w:rsidRPr="009E7848" w:rsidP="00C4193B" w14:paraId="01B36738"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Solid fuel units: SO</w:t>
            </w:r>
            <w:r w:rsidRPr="009E7848">
              <w:rPr>
                <w:rFonts w:ascii="Calibri" w:eastAsia="Times New Roman" w:hAnsi="Calibri" w:cs="Calibri"/>
                <w:color w:val="000000"/>
                <w:sz w:val="21"/>
                <w:szCs w:val="21"/>
                <w:vertAlign w:val="subscript"/>
              </w:rPr>
              <w:t>2</w:t>
            </w:r>
            <w:r w:rsidRPr="009E7848">
              <w:rPr>
                <w:rFonts w:ascii="Calibri" w:eastAsia="Times New Roman" w:hAnsi="Calibri" w:cs="Calibri"/>
                <w:color w:val="000000"/>
                <w:sz w:val="21"/>
                <w:szCs w:val="21"/>
              </w:rPr>
              <w:t xml:space="preserve"> CEMS (where needed), NO</w:t>
            </w:r>
            <w:r w:rsidRPr="009E7848">
              <w:rPr>
                <w:rFonts w:ascii="Calibri" w:eastAsia="Times New Roman" w:hAnsi="Calibri" w:cs="Calibri"/>
                <w:color w:val="000000"/>
                <w:sz w:val="21"/>
                <w:szCs w:val="21"/>
                <w:vertAlign w:val="subscript"/>
              </w:rPr>
              <w:t>X</w:t>
            </w:r>
            <w:r w:rsidRPr="009E7848">
              <w:rPr>
                <w:rFonts w:ascii="Calibri" w:eastAsia="Times New Roman" w:hAnsi="Calibri" w:cs="Calibri"/>
                <w:color w:val="000000"/>
                <w:sz w:val="21"/>
                <w:szCs w:val="21"/>
              </w:rPr>
              <w:t xml:space="preserve"> CEMS, and stack flow CEMS</w:t>
            </w:r>
          </w:p>
        </w:tc>
        <w:tc>
          <w:tcPr>
            <w:tcW w:w="1153" w:type="dxa"/>
            <w:gridSpan w:val="2"/>
            <w:shd w:val="clear" w:color="auto" w:fill="auto"/>
            <w:vAlign w:val="center"/>
            <w:hideMark/>
          </w:tcPr>
          <w:p w:rsidR="00B51CBD" w:rsidRPr="009E7848" w:rsidP="00B51CBD" w14:paraId="5A8B7BB3"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$2,800 </w:t>
            </w:r>
          </w:p>
        </w:tc>
        <w:tc>
          <w:tcPr>
            <w:tcW w:w="1181" w:type="dxa"/>
            <w:gridSpan w:val="2"/>
            <w:shd w:val="clear" w:color="auto" w:fill="auto"/>
            <w:vAlign w:val="center"/>
            <w:hideMark/>
          </w:tcPr>
          <w:p w:rsidR="00B51CBD" w:rsidRPr="009E7848" w:rsidP="00B51CBD" w14:paraId="34157040"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276" w:type="dxa"/>
            <w:shd w:val="clear" w:color="auto" w:fill="auto"/>
            <w:vAlign w:val="center"/>
            <w:hideMark/>
          </w:tcPr>
          <w:p w:rsidR="00B51CBD" w:rsidRPr="009E7848" w:rsidP="00B51CBD" w14:paraId="35801926"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1</w:t>
            </w:r>
          </w:p>
        </w:tc>
        <w:tc>
          <w:tcPr>
            <w:tcW w:w="1426" w:type="dxa"/>
            <w:gridSpan w:val="2"/>
            <w:shd w:val="clear" w:color="auto" w:fill="auto"/>
            <w:vAlign w:val="center"/>
            <w:hideMark/>
          </w:tcPr>
          <w:p w:rsidR="00B51CBD" w:rsidRPr="009E7848" w:rsidP="00B51CBD" w14:paraId="0E518EBD"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$2,800 </w:t>
            </w:r>
          </w:p>
        </w:tc>
      </w:tr>
      <w:tr w14:paraId="54A58F69" w14:textId="77777777" w:rsidTr="00D70129">
        <w:tblPrEx>
          <w:tblW w:w="8815" w:type="dxa"/>
          <w:tblInd w:w="-5" w:type="dxa"/>
          <w:tblLook w:val="04A0"/>
        </w:tblPrEx>
        <w:trPr>
          <w:trHeight w:val="1060"/>
        </w:trPr>
        <w:tc>
          <w:tcPr>
            <w:tcW w:w="3779" w:type="dxa"/>
            <w:gridSpan w:val="2"/>
            <w:shd w:val="clear" w:color="auto" w:fill="auto"/>
            <w:vAlign w:val="center"/>
            <w:hideMark/>
          </w:tcPr>
          <w:p w:rsidR="00B51CBD" w:rsidRPr="009E7848" w:rsidP="00C4193B" w14:paraId="77E3A38E"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Gas/oil units: NO</w:t>
            </w:r>
            <w:r w:rsidRPr="009E7848">
              <w:rPr>
                <w:rFonts w:ascii="Calibri" w:eastAsia="Times New Roman" w:hAnsi="Calibri" w:cs="Calibri"/>
                <w:color w:val="000000"/>
                <w:sz w:val="21"/>
                <w:szCs w:val="21"/>
                <w:vertAlign w:val="subscript"/>
              </w:rPr>
              <w:t>X</w:t>
            </w:r>
            <w:r w:rsidRPr="009E7848">
              <w:rPr>
                <w:rFonts w:ascii="Calibri" w:eastAsia="Times New Roman" w:hAnsi="Calibri" w:cs="Calibri"/>
                <w:color w:val="000000"/>
                <w:sz w:val="21"/>
                <w:szCs w:val="21"/>
              </w:rPr>
              <w:t xml:space="preserve"> CEMS and Appendix D fuel monitoring</w:t>
            </w:r>
          </w:p>
        </w:tc>
        <w:tc>
          <w:tcPr>
            <w:tcW w:w="1153" w:type="dxa"/>
            <w:gridSpan w:val="2"/>
            <w:shd w:val="clear" w:color="auto" w:fill="auto"/>
            <w:vAlign w:val="center"/>
            <w:hideMark/>
          </w:tcPr>
          <w:p w:rsidR="00B51CBD" w:rsidRPr="009E7848" w:rsidP="00B51CBD" w14:paraId="7306665C"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$2,800 </w:t>
            </w:r>
          </w:p>
        </w:tc>
        <w:tc>
          <w:tcPr>
            <w:tcW w:w="1181" w:type="dxa"/>
            <w:gridSpan w:val="2"/>
            <w:shd w:val="clear" w:color="auto" w:fill="auto"/>
            <w:vAlign w:val="center"/>
            <w:hideMark/>
          </w:tcPr>
          <w:p w:rsidR="00B51CBD" w:rsidRPr="009E7848" w:rsidP="00B51CBD" w14:paraId="5791C74A"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276" w:type="dxa"/>
            <w:shd w:val="clear" w:color="auto" w:fill="auto"/>
            <w:vAlign w:val="center"/>
            <w:hideMark/>
          </w:tcPr>
          <w:p w:rsidR="00B51CBD" w:rsidRPr="009E7848" w:rsidP="00B51CBD" w14:paraId="0E974311" w14:textId="0C27DF3B">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9</w:t>
            </w:r>
          </w:p>
        </w:tc>
        <w:tc>
          <w:tcPr>
            <w:tcW w:w="1426" w:type="dxa"/>
            <w:gridSpan w:val="2"/>
            <w:shd w:val="clear" w:color="auto" w:fill="auto"/>
            <w:vAlign w:val="center"/>
            <w:hideMark/>
          </w:tcPr>
          <w:p w:rsidR="00B51CBD" w:rsidRPr="009E7848" w:rsidP="00B51CBD" w14:paraId="5BF4AD34"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$25,200 </w:t>
            </w:r>
          </w:p>
        </w:tc>
      </w:tr>
      <w:tr w14:paraId="36B8B42A" w14:textId="77777777" w:rsidTr="00D70129">
        <w:tblPrEx>
          <w:tblW w:w="8815" w:type="dxa"/>
          <w:tblInd w:w="-5" w:type="dxa"/>
          <w:tblLook w:val="04A0"/>
        </w:tblPrEx>
        <w:trPr>
          <w:trHeight w:val="1060"/>
        </w:trPr>
        <w:tc>
          <w:tcPr>
            <w:tcW w:w="3779" w:type="dxa"/>
            <w:gridSpan w:val="2"/>
            <w:shd w:val="clear" w:color="auto" w:fill="auto"/>
            <w:vAlign w:val="center"/>
            <w:hideMark/>
          </w:tcPr>
          <w:p w:rsidR="00B51CBD" w:rsidRPr="009E7848" w:rsidP="00C4193B" w14:paraId="6E7BA215"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Gas/oil peaking units: Appendix D fuel monitoring, Appendix E, or LME methods</w:t>
            </w:r>
          </w:p>
        </w:tc>
        <w:tc>
          <w:tcPr>
            <w:tcW w:w="1153" w:type="dxa"/>
            <w:gridSpan w:val="2"/>
            <w:shd w:val="clear" w:color="auto" w:fill="auto"/>
            <w:vAlign w:val="center"/>
            <w:hideMark/>
          </w:tcPr>
          <w:p w:rsidR="00B51CBD" w:rsidRPr="009E7848" w:rsidP="00B51CBD" w14:paraId="1805F1E6"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$10,000 </w:t>
            </w:r>
          </w:p>
        </w:tc>
        <w:tc>
          <w:tcPr>
            <w:tcW w:w="1181" w:type="dxa"/>
            <w:gridSpan w:val="2"/>
            <w:shd w:val="clear" w:color="auto" w:fill="auto"/>
            <w:vAlign w:val="center"/>
            <w:hideMark/>
          </w:tcPr>
          <w:p w:rsidR="00B51CBD" w:rsidRPr="009E7848" w:rsidP="00B51CBD" w14:paraId="371DB82E"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276" w:type="dxa"/>
            <w:shd w:val="clear" w:color="auto" w:fill="auto"/>
            <w:vAlign w:val="center"/>
            <w:hideMark/>
          </w:tcPr>
          <w:p w:rsidR="00B51CBD" w:rsidRPr="009E7848" w:rsidP="00B51CBD" w14:paraId="0A2F9C53"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33</w:t>
            </w:r>
          </w:p>
        </w:tc>
        <w:tc>
          <w:tcPr>
            <w:tcW w:w="1426" w:type="dxa"/>
            <w:gridSpan w:val="2"/>
            <w:shd w:val="clear" w:color="auto" w:fill="auto"/>
            <w:vAlign w:val="center"/>
            <w:hideMark/>
          </w:tcPr>
          <w:p w:rsidR="00B51CBD" w:rsidRPr="009E7848" w:rsidP="00B51CBD" w14:paraId="5F8CC6EF"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$330,000 </w:t>
            </w:r>
          </w:p>
        </w:tc>
      </w:tr>
      <w:tr w14:paraId="6541BA39" w14:textId="77777777" w:rsidTr="00D70129">
        <w:tblPrEx>
          <w:tblW w:w="8815" w:type="dxa"/>
          <w:tblInd w:w="-5" w:type="dxa"/>
          <w:tblLook w:val="04A0"/>
        </w:tblPrEx>
        <w:trPr>
          <w:trHeight w:val="300"/>
        </w:trPr>
        <w:tc>
          <w:tcPr>
            <w:tcW w:w="8815" w:type="dxa"/>
            <w:gridSpan w:val="9"/>
            <w:shd w:val="clear" w:color="auto" w:fill="F2F2F2" w:themeFill="background1" w:themeFillShade="F2"/>
            <w:vAlign w:val="center"/>
            <w:hideMark/>
          </w:tcPr>
          <w:p w:rsidR="00B51CBD" w:rsidRPr="009E7848" w:rsidP="00C4193B" w14:paraId="66E473F7" w14:textId="02AB1BB5">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Start-up/capital items and performance of QA testing and maintenance, by monitoring approach:</w:t>
            </w:r>
            <w:r w:rsidRPr="009E7848" w:rsidR="00410BBF">
              <w:rPr>
                <w:rFonts w:ascii="Calibri" w:eastAsia="Times New Roman" w:hAnsi="Calibri" w:cstheme="minorHAnsi"/>
                <w:color w:val="000000"/>
                <w:sz w:val="21"/>
                <w:szCs w:val="21"/>
              </w:rPr>
              <w:t xml:space="preserve"> </w:t>
            </w:r>
          </w:p>
        </w:tc>
      </w:tr>
      <w:tr w14:paraId="1D801109" w14:textId="77777777" w:rsidTr="00D70129">
        <w:tblPrEx>
          <w:tblW w:w="8815" w:type="dxa"/>
          <w:tblInd w:w="-5" w:type="dxa"/>
          <w:tblLook w:val="04A0"/>
        </w:tblPrEx>
        <w:trPr>
          <w:trHeight w:val="907"/>
        </w:trPr>
        <w:tc>
          <w:tcPr>
            <w:tcW w:w="3779" w:type="dxa"/>
            <w:gridSpan w:val="2"/>
            <w:shd w:val="clear" w:color="auto" w:fill="auto"/>
            <w:vAlign w:val="center"/>
            <w:hideMark/>
          </w:tcPr>
          <w:p w:rsidR="00B51CBD" w:rsidRPr="009E7848" w:rsidP="00C4193B" w14:paraId="25920156"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Solid fuel units: SO</w:t>
            </w:r>
            <w:r w:rsidRPr="009E7848">
              <w:rPr>
                <w:rFonts w:ascii="Calibri" w:eastAsia="Times New Roman" w:hAnsi="Calibri" w:cs="Calibri"/>
                <w:color w:val="000000"/>
                <w:sz w:val="21"/>
                <w:szCs w:val="21"/>
                <w:vertAlign w:val="subscript"/>
              </w:rPr>
              <w:t>2</w:t>
            </w:r>
            <w:r w:rsidRPr="009E7848">
              <w:rPr>
                <w:rFonts w:ascii="Calibri" w:eastAsia="Times New Roman" w:hAnsi="Calibri" w:cs="Calibri"/>
                <w:color w:val="000000"/>
                <w:sz w:val="21"/>
                <w:szCs w:val="21"/>
              </w:rPr>
              <w:t xml:space="preserve"> CEMS (where needed), NO</w:t>
            </w:r>
            <w:r w:rsidRPr="009E7848">
              <w:rPr>
                <w:rFonts w:ascii="Calibri" w:eastAsia="Times New Roman" w:hAnsi="Calibri" w:cs="Calibri"/>
                <w:color w:val="000000"/>
                <w:sz w:val="21"/>
                <w:szCs w:val="21"/>
                <w:vertAlign w:val="subscript"/>
              </w:rPr>
              <w:t>X</w:t>
            </w:r>
            <w:r w:rsidRPr="009E7848">
              <w:rPr>
                <w:rFonts w:ascii="Calibri" w:eastAsia="Times New Roman" w:hAnsi="Calibri" w:cs="Calibri"/>
                <w:color w:val="000000"/>
                <w:sz w:val="21"/>
                <w:szCs w:val="21"/>
              </w:rPr>
              <w:t xml:space="preserve"> CEMS, and stack flow CEMS</w:t>
            </w:r>
          </w:p>
        </w:tc>
        <w:tc>
          <w:tcPr>
            <w:tcW w:w="1153" w:type="dxa"/>
            <w:gridSpan w:val="2"/>
            <w:shd w:val="clear" w:color="auto" w:fill="auto"/>
            <w:vAlign w:val="center"/>
            <w:hideMark/>
          </w:tcPr>
          <w:p w:rsidR="00B51CBD" w:rsidRPr="009E7848" w:rsidP="00B51CBD" w14:paraId="6D4A17E8"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$31,949 </w:t>
            </w:r>
          </w:p>
        </w:tc>
        <w:tc>
          <w:tcPr>
            <w:tcW w:w="1181" w:type="dxa"/>
            <w:gridSpan w:val="2"/>
            <w:shd w:val="clear" w:color="auto" w:fill="auto"/>
            <w:vAlign w:val="center"/>
            <w:hideMark/>
          </w:tcPr>
          <w:p w:rsidR="00B51CBD" w:rsidRPr="009E7848" w:rsidP="00B51CBD" w14:paraId="4E840D0D"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$30,282 </w:t>
            </w:r>
          </w:p>
        </w:tc>
        <w:tc>
          <w:tcPr>
            <w:tcW w:w="1276" w:type="dxa"/>
            <w:shd w:val="clear" w:color="auto" w:fill="auto"/>
            <w:vAlign w:val="center"/>
            <w:hideMark/>
          </w:tcPr>
          <w:p w:rsidR="00B51CBD" w:rsidRPr="009E7848" w:rsidP="00B51CBD" w14:paraId="3AF5899C"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17</w:t>
            </w:r>
          </w:p>
        </w:tc>
        <w:tc>
          <w:tcPr>
            <w:tcW w:w="1426" w:type="dxa"/>
            <w:gridSpan w:val="2"/>
            <w:shd w:val="clear" w:color="auto" w:fill="auto"/>
            <w:vAlign w:val="center"/>
            <w:hideMark/>
          </w:tcPr>
          <w:p w:rsidR="00B51CBD" w:rsidRPr="009E7848" w:rsidP="00B51CBD" w14:paraId="78ACEFFF"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$1,057,927 </w:t>
            </w:r>
          </w:p>
        </w:tc>
      </w:tr>
      <w:tr w14:paraId="647A69DD" w14:textId="77777777" w:rsidTr="00D70129">
        <w:tblPrEx>
          <w:tblW w:w="8815" w:type="dxa"/>
          <w:tblInd w:w="-5" w:type="dxa"/>
          <w:tblLook w:val="04A0"/>
        </w:tblPrEx>
        <w:trPr>
          <w:trHeight w:val="970"/>
        </w:trPr>
        <w:tc>
          <w:tcPr>
            <w:tcW w:w="3779" w:type="dxa"/>
            <w:gridSpan w:val="2"/>
            <w:shd w:val="clear" w:color="auto" w:fill="auto"/>
            <w:vAlign w:val="center"/>
            <w:hideMark/>
          </w:tcPr>
          <w:p w:rsidR="00B51CBD" w:rsidRPr="009E7848" w:rsidP="00C4193B" w14:paraId="551A4270"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Gas/oil units: NO</w:t>
            </w:r>
            <w:r w:rsidRPr="009E7848">
              <w:rPr>
                <w:rFonts w:ascii="Calibri" w:eastAsia="Times New Roman" w:hAnsi="Calibri" w:cs="Calibri"/>
                <w:color w:val="000000"/>
                <w:sz w:val="21"/>
                <w:szCs w:val="21"/>
                <w:vertAlign w:val="subscript"/>
              </w:rPr>
              <w:t>X</w:t>
            </w:r>
            <w:r w:rsidRPr="009E7848">
              <w:rPr>
                <w:rFonts w:ascii="Calibri" w:eastAsia="Times New Roman" w:hAnsi="Calibri" w:cs="Calibri"/>
                <w:color w:val="000000"/>
                <w:sz w:val="21"/>
                <w:szCs w:val="21"/>
              </w:rPr>
              <w:t xml:space="preserve"> CEMS and Appendix D fuel monitoring</w:t>
            </w:r>
          </w:p>
        </w:tc>
        <w:tc>
          <w:tcPr>
            <w:tcW w:w="1153" w:type="dxa"/>
            <w:gridSpan w:val="2"/>
            <w:shd w:val="clear" w:color="auto" w:fill="auto"/>
            <w:vAlign w:val="center"/>
            <w:hideMark/>
          </w:tcPr>
          <w:p w:rsidR="00B51CBD" w:rsidRPr="009E7848" w:rsidP="00B51CBD" w14:paraId="6B73970E"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$17,818 </w:t>
            </w:r>
          </w:p>
        </w:tc>
        <w:tc>
          <w:tcPr>
            <w:tcW w:w="1181" w:type="dxa"/>
            <w:gridSpan w:val="2"/>
            <w:shd w:val="clear" w:color="auto" w:fill="auto"/>
            <w:vAlign w:val="center"/>
            <w:hideMark/>
          </w:tcPr>
          <w:p w:rsidR="00B51CBD" w:rsidRPr="009E7848" w:rsidP="00B51CBD" w14:paraId="4C76E228"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$19,661 </w:t>
            </w:r>
          </w:p>
        </w:tc>
        <w:tc>
          <w:tcPr>
            <w:tcW w:w="1276" w:type="dxa"/>
            <w:shd w:val="clear" w:color="auto" w:fill="auto"/>
            <w:vAlign w:val="center"/>
            <w:hideMark/>
          </w:tcPr>
          <w:p w:rsidR="00B51CBD" w:rsidRPr="009E7848" w:rsidP="00B51CBD" w14:paraId="07CEEBEE"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99</w:t>
            </w:r>
          </w:p>
        </w:tc>
        <w:tc>
          <w:tcPr>
            <w:tcW w:w="1426" w:type="dxa"/>
            <w:gridSpan w:val="2"/>
            <w:shd w:val="clear" w:color="auto" w:fill="auto"/>
            <w:vAlign w:val="center"/>
            <w:hideMark/>
          </w:tcPr>
          <w:p w:rsidR="00B51CBD" w:rsidRPr="009E7848" w:rsidP="00B51CBD" w14:paraId="283DC34F"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$3,710,421 </w:t>
            </w:r>
          </w:p>
        </w:tc>
      </w:tr>
      <w:tr w14:paraId="08832790" w14:textId="77777777" w:rsidTr="00D70129">
        <w:tblPrEx>
          <w:tblW w:w="8815" w:type="dxa"/>
          <w:tblInd w:w="-5" w:type="dxa"/>
          <w:tblLook w:val="04A0"/>
        </w:tblPrEx>
        <w:trPr>
          <w:trHeight w:val="970"/>
        </w:trPr>
        <w:tc>
          <w:tcPr>
            <w:tcW w:w="3779" w:type="dxa"/>
            <w:gridSpan w:val="2"/>
            <w:shd w:val="clear" w:color="auto" w:fill="auto"/>
            <w:vAlign w:val="center"/>
            <w:hideMark/>
          </w:tcPr>
          <w:p w:rsidR="00B51CBD" w:rsidRPr="009E7848" w:rsidP="00C4193B" w14:paraId="473C3E05" w14:textId="77777777">
            <w:pPr>
              <w:spacing w:after="0" w:line="240" w:lineRule="auto"/>
              <w:rPr>
                <w:rFonts w:ascii="Calibri" w:eastAsia="Times New Roman" w:hAnsi="Calibri" w:cs="Calibri"/>
                <w:color w:val="000000"/>
                <w:sz w:val="21"/>
                <w:szCs w:val="21"/>
              </w:rPr>
            </w:pPr>
            <w:r w:rsidRPr="009E7848">
              <w:rPr>
                <w:rFonts w:ascii="Calibri" w:eastAsia="Times New Roman" w:hAnsi="Calibri" w:cstheme="minorHAnsi"/>
                <w:color w:val="000000"/>
                <w:sz w:val="21"/>
                <w:szCs w:val="21"/>
              </w:rPr>
              <w:t>Gas/oil peaking units: Appendix D fuel monitoring, Appendix E, or LME methods</w:t>
            </w:r>
          </w:p>
        </w:tc>
        <w:tc>
          <w:tcPr>
            <w:tcW w:w="1153" w:type="dxa"/>
            <w:gridSpan w:val="2"/>
            <w:shd w:val="clear" w:color="auto" w:fill="auto"/>
            <w:vAlign w:val="center"/>
            <w:hideMark/>
          </w:tcPr>
          <w:p w:rsidR="00B51CBD" w:rsidRPr="009E7848" w:rsidP="00B51CBD" w14:paraId="6D240D85"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$1,843 </w:t>
            </w:r>
          </w:p>
        </w:tc>
        <w:tc>
          <w:tcPr>
            <w:tcW w:w="1181" w:type="dxa"/>
            <w:gridSpan w:val="2"/>
            <w:shd w:val="clear" w:color="auto" w:fill="auto"/>
            <w:vAlign w:val="center"/>
            <w:hideMark/>
          </w:tcPr>
          <w:p w:rsidR="00B51CBD" w:rsidRPr="009E7848" w:rsidP="00B51CBD" w14:paraId="1B27A101"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$2,359 </w:t>
            </w:r>
          </w:p>
        </w:tc>
        <w:tc>
          <w:tcPr>
            <w:tcW w:w="1276" w:type="dxa"/>
            <w:shd w:val="clear" w:color="auto" w:fill="auto"/>
            <w:vAlign w:val="center"/>
            <w:hideMark/>
          </w:tcPr>
          <w:p w:rsidR="00B51CBD" w:rsidRPr="009E7848" w:rsidP="00B51CBD" w14:paraId="5A58563D"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334</w:t>
            </w:r>
          </w:p>
        </w:tc>
        <w:tc>
          <w:tcPr>
            <w:tcW w:w="1426" w:type="dxa"/>
            <w:gridSpan w:val="2"/>
            <w:shd w:val="clear" w:color="auto" w:fill="auto"/>
            <w:vAlign w:val="center"/>
            <w:hideMark/>
          </w:tcPr>
          <w:p w:rsidR="00B51CBD" w:rsidRPr="009E7848" w:rsidP="00B51CBD" w14:paraId="09F148D1"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xml:space="preserve">$1,403,468 </w:t>
            </w:r>
          </w:p>
        </w:tc>
      </w:tr>
      <w:tr w14:paraId="3FB69B42" w14:textId="77777777" w:rsidTr="00D70129">
        <w:tblPrEx>
          <w:tblW w:w="8815" w:type="dxa"/>
          <w:tblInd w:w="-5" w:type="dxa"/>
          <w:tblLook w:val="04A0"/>
        </w:tblPrEx>
        <w:trPr>
          <w:trHeight w:val="300"/>
        </w:trPr>
        <w:tc>
          <w:tcPr>
            <w:tcW w:w="3779" w:type="dxa"/>
            <w:gridSpan w:val="2"/>
            <w:shd w:val="clear" w:color="000000" w:fill="D9D9D9"/>
            <w:vAlign w:val="center"/>
            <w:hideMark/>
          </w:tcPr>
          <w:p w:rsidR="00B51CBD" w:rsidRPr="009E7848" w:rsidP="00B51CBD" w14:paraId="2A91642E" w14:textId="77777777">
            <w:pPr>
              <w:spacing w:after="0" w:line="240" w:lineRule="auto"/>
              <w:ind w:firstLine="420" w:firstLineChars="200"/>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Totals</w:t>
            </w:r>
          </w:p>
        </w:tc>
        <w:tc>
          <w:tcPr>
            <w:tcW w:w="1153" w:type="dxa"/>
            <w:gridSpan w:val="2"/>
            <w:shd w:val="clear" w:color="000000" w:fill="D9D9D9"/>
            <w:vAlign w:val="center"/>
            <w:hideMark/>
          </w:tcPr>
          <w:p w:rsidR="00B51CBD" w:rsidRPr="009E7848" w:rsidP="00B51CBD" w14:paraId="26BCFA46"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181" w:type="dxa"/>
            <w:gridSpan w:val="2"/>
            <w:shd w:val="clear" w:color="000000" w:fill="D9D9D9"/>
            <w:vAlign w:val="center"/>
            <w:hideMark/>
          </w:tcPr>
          <w:p w:rsidR="00B51CBD" w:rsidRPr="009E7848" w:rsidP="00B51CBD" w14:paraId="3ADA26CC"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276" w:type="dxa"/>
            <w:shd w:val="clear" w:color="000000" w:fill="D9D9D9"/>
            <w:vAlign w:val="center"/>
            <w:hideMark/>
          </w:tcPr>
          <w:p w:rsidR="00B51CBD" w:rsidRPr="009E7848" w:rsidP="00B51CBD" w14:paraId="5E0F3201" w14:textId="77777777">
            <w:pPr>
              <w:spacing w:after="0" w:line="240" w:lineRule="auto"/>
              <w:jc w:val="right"/>
              <w:rPr>
                <w:rFonts w:ascii="Calibri" w:eastAsia="Times New Roman" w:hAnsi="Calibri" w:cs="Calibri"/>
                <w:color w:val="000000"/>
                <w:sz w:val="21"/>
                <w:szCs w:val="21"/>
              </w:rPr>
            </w:pPr>
            <w:r w:rsidRPr="009E7848">
              <w:rPr>
                <w:rFonts w:ascii="Calibri" w:eastAsia="Times New Roman" w:hAnsi="Calibri" w:cs="Calibri"/>
                <w:color w:val="000000"/>
                <w:sz w:val="21"/>
                <w:szCs w:val="21"/>
              </w:rPr>
              <w:t> </w:t>
            </w:r>
          </w:p>
        </w:tc>
        <w:tc>
          <w:tcPr>
            <w:tcW w:w="1426" w:type="dxa"/>
            <w:gridSpan w:val="2"/>
            <w:shd w:val="clear" w:color="000000" w:fill="D9D9D9"/>
            <w:vAlign w:val="center"/>
            <w:hideMark/>
          </w:tcPr>
          <w:p w:rsidR="00B51CBD" w:rsidRPr="009E7848" w:rsidP="00B51CBD" w14:paraId="07FE3EA9" w14:textId="6E5A5195">
            <w:pPr>
              <w:spacing w:after="0" w:line="240" w:lineRule="auto"/>
              <w:jc w:val="right"/>
              <w:rPr>
                <w:rFonts w:ascii="Calibri" w:eastAsia="Times New Roman" w:hAnsi="Calibri" w:cs="Calibri"/>
                <w:b/>
                <w:bCs/>
                <w:color w:val="000000"/>
                <w:sz w:val="21"/>
                <w:szCs w:val="21"/>
              </w:rPr>
            </w:pPr>
            <w:r w:rsidRPr="009E7848">
              <w:rPr>
                <w:rFonts w:ascii="Calibri" w:eastAsia="Times New Roman" w:hAnsi="Calibri" w:cs="Calibri"/>
                <w:b/>
                <w:bCs/>
                <w:color w:val="000000"/>
                <w:sz w:val="21"/>
                <w:szCs w:val="21"/>
              </w:rPr>
              <w:t>$6,529,816 </w:t>
            </w:r>
          </w:p>
        </w:tc>
      </w:tr>
    </w:tbl>
    <w:p w:rsidR="00B51CBD" w:rsidRPr="009E7848" w:rsidP="00356A74" w14:paraId="5DF218F3"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D20BEA" w:rsidRPr="009E7848" w:rsidP="00356A74" w14:paraId="5EF9DB1C"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9E7848" w:rsidP="00BF5317" w14:paraId="7D2BF7DE" w14:textId="77777777">
      <w:pPr>
        <w:pStyle w:val="ListParagraph"/>
        <w:numPr>
          <w:ilvl w:val="0"/>
          <w:numId w:val="2"/>
        </w:numPr>
        <w:pBdr>
          <w:bottom w:val="single" w:sz="4" w:space="1" w:color="auto"/>
        </w:pBdr>
        <w:spacing w:before="240" w:after="0"/>
        <w:rPr>
          <w:rFonts w:cstheme="minorHAnsi"/>
          <w:b/>
          <w:bCs/>
        </w:rPr>
      </w:pPr>
      <w:bookmarkStart w:id="19" w:name="_Toc156593387"/>
      <w:r w:rsidRPr="009E7848">
        <w:rPr>
          <w:rFonts w:cstheme="minorHAnsi"/>
          <w:b/>
          <w:bCs/>
        </w:rPr>
        <w:t xml:space="preserve">AGENCY </w:t>
      </w:r>
      <w:bookmarkStart w:id="20" w:name="_Toc156593388"/>
      <w:bookmarkEnd w:id="19"/>
      <w:r w:rsidRPr="009E7848" w:rsidR="00BB2B15">
        <w:rPr>
          <w:rFonts w:cstheme="minorHAnsi"/>
          <w:b/>
          <w:bCs/>
        </w:rPr>
        <w:t>COSTS</w:t>
      </w:r>
    </w:p>
    <w:p w:rsidR="001F0834" w:rsidRPr="009E7848" w:rsidP="00854AAE" w14:paraId="3D696CEA" w14:textId="77777777">
      <w:pPr>
        <w:pBdr>
          <w:bottom w:val="single" w:sz="4" w:space="1" w:color="auto"/>
        </w:pBdr>
        <w:rPr>
          <w:rFonts w:cstheme="minorHAnsi"/>
          <w:bCs/>
          <w:i/>
          <w:iCs/>
        </w:rPr>
      </w:pPr>
      <w:r w:rsidRPr="009E7848">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7983" w:rsidRPr="009E7848" w:rsidP="00C67983" w14:paraId="2EC46E06" w14:textId="77777777">
      <w:pPr>
        <w:spacing w:before="120" w:after="0"/>
        <w:rPr>
          <w:rFonts w:cstheme="minorHAnsi"/>
          <w:b/>
          <w:bCs/>
        </w:rPr>
      </w:pPr>
      <w:r w:rsidRPr="009E7848">
        <w:rPr>
          <w:rFonts w:eastAsiaTheme="majorEastAsia" w:cstheme="minorHAnsi"/>
          <w:b/>
          <w:bCs/>
        </w:rPr>
        <w:t xml:space="preserve">14a. </w:t>
      </w:r>
      <w:r w:rsidRPr="009E7848" w:rsidR="00BB2B15">
        <w:rPr>
          <w:rFonts w:eastAsiaTheme="majorEastAsia" w:cstheme="minorHAnsi"/>
          <w:b/>
          <w:bCs/>
        </w:rPr>
        <w:t>Agency Activities</w:t>
      </w:r>
    </w:p>
    <w:p w:rsidR="008147E5" w:rsidRPr="009E7848" w:rsidP="008147E5" w14:paraId="40E4A9C4" w14:textId="77777777">
      <w:pPr>
        <w:pStyle w:val="ListParagraph"/>
        <w:numPr>
          <w:ilvl w:val="0"/>
          <w:numId w:val="12"/>
        </w:numPr>
        <w:spacing w:before="120" w:after="0"/>
        <w:rPr>
          <w:rFonts w:cstheme="minorHAnsi"/>
        </w:rPr>
      </w:pPr>
      <w:r w:rsidRPr="009E7848">
        <w:rPr>
          <w:rFonts w:cstheme="minorHAnsi"/>
        </w:rPr>
        <w:t xml:space="preserve">Agency Activities </w:t>
      </w:r>
    </w:p>
    <w:p w:rsidR="00C67983" w:rsidRPr="009E7848" w:rsidP="008147E5" w14:paraId="6EA0C34E" w14:textId="0A141E8C">
      <w:pPr>
        <w:pStyle w:val="ListParagraph"/>
        <w:numPr>
          <w:ilvl w:val="1"/>
          <w:numId w:val="12"/>
        </w:numPr>
        <w:spacing w:before="120" w:after="0"/>
        <w:rPr>
          <w:rFonts w:cstheme="minorHAnsi"/>
        </w:rPr>
      </w:pPr>
      <w:r w:rsidRPr="009E7848">
        <w:rPr>
          <w:rFonts w:cstheme="minorHAnsi"/>
        </w:rPr>
        <w:t>EPA activities related to the CSAPR and Texas trading programs include:  (1) reviewing and processing certificates of representation and retired unit exemptions; (2) allocating allowances to affected units, or reviewing states’ allocations, and recording the allocations; (3) reviewing and recording allowance transfers and deductions; (4) reviewing monitoring plans and monitor certification applications; (5) processing, reviewing, and evaluating reports of quarterly emissions data from affected units, providing feedback, and storing the data; (6) calculating/reviewing annual emissions from affected sources, and aggregating such annual emissions for compliance assurance purposes; and (7) reviewing total annual emissions data submitted to track each state's progress toward meeting its budgets and creating a summary report of emissions.  EPA also answers respondents’ questions and conducts audits of data submissions.</w:t>
      </w:r>
    </w:p>
    <w:p w:rsidR="00B55CAA" w:rsidRPr="009E7848" w:rsidP="00B55CAA" w14:paraId="3DC39E34" w14:textId="77777777">
      <w:pPr>
        <w:pStyle w:val="ListParagraph"/>
        <w:spacing w:before="120" w:after="0"/>
        <w:ind w:left="1440"/>
        <w:rPr>
          <w:rFonts w:cstheme="minorHAnsi"/>
        </w:rPr>
      </w:pPr>
    </w:p>
    <w:p w:rsidR="00D651EA" w:rsidRPr="009E7848" w:rsidP="00D651EA" w14:paraId="45184BA8" w14:textId="77777777">
      <w:pPr>
        <w:pStyle w:val="ListParagraph"/>
        <w:numPr>
          <w:ilvl w:val="0"/>
          <w:numId w:val="12"/>
        </w:numPr>
        <w:spacing w:before="120" w:after="0"/>
        <w:rPr>
          <w:rFonts w:cstheme="minorHAnsi"/>
        </w:rPr>
      </w:pPr>
      <w:r w:rsidRPr="009E7848">
        <w:rPr>
          <w:rFonts w:cstheme="minorHAnsi"/>
        </w:rPr>
        <w:t xml:space="preserve">Collection Methodology and Management </w:t>
      </w:r>
    </w:p>
    <w:p w:rsidR="00D651EA" w:rsidRPr="009E7848" w:rsidP="00D651EA" w14:paraId="1760568F" w14:textId="77777777">
      <w:pPr>
        <w:pStyle w:val="ListParagraph"/>
        <w:numPr>
          <w:ilvl w:val="1"/>
          <w:numId w:val="12"/>
        </w:numPr>
        <w:spacing w:before="120" w:after="0"/>
        <w:rPr>
          <w:rFonts w:cstheme="minorHAnsi"/>
        </w:rPr>
      </w:pPr>
      <w:r w:rsidRPr="009E7848">
        <w:rPr>
          <w:rFonts w:cstheme="minorHAnsi"/>
        </w:rPr>
        <w:t>To ensure consistency across sources and to expedite data entry, EPA requires that standard formats used for reporting under 40 CFR part 75 be used to submit the information collected for the CSAPR and Texas trading programs.</w:t>
      </w:r>
    </w:p>
    <w:p w:rsidR="00594F62" w:rsidRPr="009E7848" w:rsidP="00D651EA" w14:paraId="5E14001D" w14:textId="79529A06">
      <w:pPr>
        <w:pStyle w:val="ListParagraph"/>
        <w:numPr>
          <w:ilvl w:val="1"/>
          <w:numId w:val="12"/>
        </w:numPr>
        <w:spacing w:before="120" w:after="0"/>
        <w:rPr>
          <w:rFonts w:cstheme="minorHAnsi"/>
        </w:rPr>
      </w:pPr>
      <w:r w:rsidRPr="009E7848">
        <w:rPr>
          <w:rFonts w:cstheme="minorHAnsi"/>
        </w:rPr>
        <w:t xml:space="preserve">Several computer systems and associated databases have been developed to (1) track allowance activity, (2) record quarterly emissions monitoring data, and (3) calculate the number of allowances to be deducted each year.  These systems and databases are designed to provide easy access to information for use by the Agency, states, the regulated community, and the general public.  EPA provides access to the data on emissions and allowance activity in both detailed and summary formats on the Clean Air </w:t>
      </w:r>
      <w:r w:rsidRPr="009E7848" w:rsidR="00B51CBD">
        <w:rPr>
          <w:rFonts w:cstheme="minorHAnsi"/>
        </w:rPr>
        <w:t>and Power</w:t>
      </w:r>
      <w:r w:rsidRPr="009E7848">
        <w:rPr>
          <w:rFonts w:cstheme="minorHAnsi"/>
        </w:rPr>
        <w:t xml:space="preserve"> Division website.</w:t>
      </w:r>
    </w:p>
    <w:p w:rsidR="00023EFE" w:rsidRPr="009E7848" w:rsidP="00854AAE" w14:paraId="30F74537" w14:textId="3975E491">
      <w:pPr>
        <w:spacing w:before="120" w:after="0"/>
        <w:rPr>
          <w:rFonts w:cstheme="minorHAnsi"/>
          <w:b/>
          <w:bCs/>
        </w:rPr>
      </w:pPr>
      <w:r w:rsidRPr="009E7848">
        <w:rPr>
          <w:rFonts w:eastAsiaTheme="majorEastAsia" w:cstheme="minorHAnsi"/>
          <w:b/>
          <w:bCs/>
        </w:rPr>
        <w:t xml:space="preserve">14b. </w:t>
      </w:r>
      <w:r w:rsidRPr="009E7848" w:rsidR="00BB2B15">
        <w:rPr>
          <w:rFonts w:eastAsiaTheme="majorEastAsia" w:cstheme="minorHAnsi"/>
          <w:b/>
          <w:bCs/>
        </w:rPr>
        <w:t>Agency Labor Cost</w:t>
      </w:r>
    </w:p>
    <w:p w:rsidR="008778B9" w:rsidRPr="009E7848" w:rsidP="004713ED" w14:paraId="43E099AA" w14:textId="77777777">
      <w:pPr>
        <w:pStyle w:val="ListParagraph"/>
        <w:numPr>
          <w:ilvl w:val="0"/>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Agency Burden Related to Certificates of Representation and Other One-Time Registration Forms</w:t>
      </w:r>
    </w:p>
    <w:p w:rsidR="008778B9" w:rsidRPr="009E7848" w:rsidP="004713ED" w14:paraId="4151D05C" w14:textId="77777777">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 xml:space="preserve">The Agency must review and process each updated certificate of representation and retired exemption form submitted by industry respondents.  EPA estimates that the time required is 0.5 hours per updated certificate of representation and 0.3 hours per retired unit exemption.  </w:t>
      </w:r>
    </w:p>
    <w:p w:rsidR="008778B9" w:rsidRPr="009E7848" w:rsidP="008778B9" w14:paraId="0A0BA183" w14:textId="77777777">
      <w:pPr>
        <w:pStyle w:val="ListParagraph"/>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p>
    <w:p w:rsidR="008778B9" w:rsidRPr="009E7848" w:rsidP="004713ED" w14:paraId="03A0E4DC" w14:textId="77777777">
      <w:pPr>
        <w:pStyle w:val="ListParagraph"/>
        <w:numPr>
          <w:ilvl w:val="0"/>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Agency Burden Related to Allowance Tracking</w:t>
      </w:r>
    </w:p>
    <w:p w:rsidR="008778B9" w:rsidRPr="009E7848" w:rsidP="004713ED" w14:paraId="75C227F5" w14:textId="77777777">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The Agency must review all state-determined allowance allocations submitted by states and record annual allocations to all existing units according to either the state-determined allocations or EPA’s default allocations.  In addition, the Agency must annually calculate allocations to new units according to procedures in the regulations and record those allocations.  EPA estimates that these activities will require 200 hours annually.</w:t>
      </w:r>
    </w:p>
    <w:p w:rsidR="008778B9" w:rsidRPr="009E7848" w:rsidP="004713ED" w14:paraId="71D5BDB9" w14:textId="77777777">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 xml:space="preserve">Most allowance transfer and deduction forms are submitted electronically using the CAMD Business System.  These transactions are verified and processed automatically at no incremental cost to the Agency.  EPA estimates that approximately 1% of the submissions each year will be submitted on paper, and that review and processing of paper submissions will require one hour per allowance transfer form and one half hour per allowance deduction form. </w:t>
      </w:r>
    </w:p>
    <w:p w:rsidR="004713ED" w:rsidRPr="009E7848" w:rsidP="004713ED" w14:paraId="1BD3F429" w14:textId="596DB33A">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The costs of the computer systems used by the Agency in allowance tracking activities are accounted for under the ARP ICR</w:t>
      </w:r>
      <w:r w:rsidRPr="009E7848" w:rsidR="008778B9">
        <w:rPr>
          <w:rFonts w:cstheme="minorHAnsi"/>
          <w:color w:val="000000"/>
        </w:rPr>
        <w:t>.</w:t>
      </w:r>
    </w:p>
    <w:p w:rsidR="008778B9" w:rsidRPr="009E7848" w:rsidP="008778B9" w14:paraId="6856CBD4" w14:textId="77777777">
      <w:pPr>
        <w:pStyle w:val="ListParagraph"/>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p>
    <w:p w:rsidR="008778B9" w:rsidRPr="009E7848" w:rsidP="004713ED" w14:paraId="6B366365" w14:textId="77777777">
      <w:pPr>
        <w:pStyle w:val="ListParagraph"/>
        <w:numPr>
          <w:ilvl w:val="0"/>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Agency Burden Related to Emissions Monitoring and Reporting</w:t>
      </w:r>
    </w:p>
    <w:p w:rsidR="008778B9" w:rsidRPr="009E7848" w:rsidP="004713ED" w14:paraId="4EDF8307" w14:textId="77777777">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 xml:space="preserve">Agency activities related to the monitoring and reporting of emissions data include reviewing monitoring plans and monitor certification applications; processing, reviewing, and evaluating reports of quarterly emissions data from affected units, providing feedback, and storing the data; calculating/reviewing annual emissions from affected sources, and aggregating such annual emissions for compliance assurance purposes; and reviewing total annual emissions data submitted to track each state's </w:t>
      </w:r>
      <w:r w:rsidRPr="009E7848">
        <w:rPr>
          <w:rFonts w:cstheme="minorHAnsi"/>
          <w:color w:val="000000"/>
        </w:rPr>
        <w:t>progress toward meeting its budgets and creating a summary report of emissions.  The Agency estimates that these activities will require one hour per quarterly report submitted.</w:t>
      </w:r>
    </w:p>
    <w:p w:rsidR="0093412A" w:rsidRPr="009E7848" w:rsidP="0093412A" w14:paraId="6F5E1E26" w14:textId="3700D646">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The costs of the computer systems used by the Agency in emissions-related activities are accounted for under the ARP ICR</w:t>
      </w:r>
      <w:r w:rsidRPr="009E7848">
        <w:rPr>
          <w:rFonts w:cstheme="minorHAnsi"/>
          <w:color w:val="000000"/>
        </w:rPr>
        <w:t>.</w:t>
      </w:r>
    </w:p>
    <w:p w:rsidR="0093412A" w:rsidRPr="009E7848" w:rsidP="0093412A" w14:paraId="5E4D6A54" w14:textId="77777777">
      <w:pPr>
        <w:pStyle w:val="ListParagraph"/>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p>
    <w:p w:rsidR="0093412A" w:rsidRPr="009E7848" w:rsidP="00202D30" w14:paraId="40E3363A" w14:textId="2B0F40EA">
      <w:pPr>
        <w:pStyle w:val="ListParagraph"/>
        <w:pBdr>
          <w:top w:val="single" w:sz="6" w:space="0" w:color="FFFFFF"/>
          <w:left w:val="single" w:sz="6" w:space="0" w:color="FFFFFF"/>
          <w:bottom w:val="single" w:sz="6" w:space="0" w:color="FFFFFF"/>
          <w:right w:val="single" w:sz="6" w:space="0" w:color="FFFFFF"/>
        </w:pBdr>
        <w:spacing w:before="60"/>
        <w:ind w:left="1440"/>
        <w:jc w:val="center"/>
        <w:rPr>
          <w:rFonts w:cstheme="minorHAnsi"/>
          <w:bCs/>
          <w:color w:val="000000"/>
        </w:rPr>
      </w:pPr>
      <w:r w:rsidRPr="009E7848">
        <w:rPr>
          <w:rFonts w:cstheme="minorHAnsi"/>
          <w:bCs/>
        </w:rPr>
        <w:t xml:space="preserve">Table </w:t>
      </w:r>
      <w:r w:rsidRPr="009E7848" w:rsidR="006C5D89">
        <w:rPr>
          <w:rFonts w:cstheme="minorHAnsi"/>
          <w:bCs/>
        </w:rPr>
        <w:t>1</w:t>
      </w:r>
      <w:r w:rsidRPr="009E7848">
        <w:rPr>
          <w:rFonts w:cstheme="minorHAnsi"/>
          <w:bCs/>
        </w:rPr>
        <w:t>4</w:t>
      </w:r>
      <w:r w:rsidRPr="009E7848" w:rsidR="006C5D89">
        <w:rPr>
          <w:rFonts w:cstheme="minorHAnsi"/>
          <w:bCs/>
        </w:rPr>
        <w:t>.1</w:t>
      </w:r>
      <w:r w:rsidRPr="009E7848">
        <w:rPr>
          <w:rFonts w:cstheme="minorHAnsi"/>
          <w:bCs/>
        </w:rPr>
        <w:t>:  Annual Agency Burden and Cost by Activity</w:t>
      </w:r>
    </w:p>
    <w:tbl>
      <w:tblPr>
        <w:tblW w:w="95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597"/>
        <w:gridCol w:w="1170"/>
        <w:gridCol w:w="1170"/>
        <w:gridCol w:w="1260"/>
        <w:gridCol w:w="1170"/>
        <w:gridCol w:w="1170"/>
      </w:tblGrid>
      <w:tr w14:paraId="100F7393" w14:textId="77777777" w:rsidTr="00E523D6">
        <w:tblPrEx>
          <w:tblW w:w="95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Ex>
        <w:trPr>
          <w:trHeight w:val="310"/>
          <w:jc w:val="center"/>
        </w:trPr>
        <w:tc>
          <w:tcPr>
            <w:tcW w:w="3597" w:type="dxa"/>
            <w:shd w:val="clear" w:color="auto" w:fill="D9D9D9"/>
            <w:noWrap/>
            <w:vAlign w:val="bottom"/>
          </w:tcPr>
          <w:p w:rsidR="0093412A" w:rsidRPr="009E7848" w:rsidP="00915E40" w14:paraId="67A436B2" w14:textId="77777777">
            <w:pPr>
              <w:jc w:val="center"/>
              <w:rPr>
                <w:rFonts w:eastAsia="Times New Roman" w:cstheme="minorHAnsi"/>
                <w:b/>
                <w:bCs/>
                <w:color w:val="000000"/>
              </w:rPr>
            </w:pPr>
          </w:p>
        </w:tc>
        <w:tc>
          <w:tcPr>
            <w:tcW w:w="1170" w:type="dxa"/>
            <w:shd w:val="clear" w:color="auto" w:fill="D9D9D9"/>
            <w:vAlign w:val="bottom"/>
          </w:tcPr>
          <w:p w:rsidR="0093412A" w:rsidRPr="009E7848" w:rsidP="00915E40" w14:paraId="21D32C86" w14:textId="77777777">
            <w:pPr>
              <w:jc w:val="center"/>
              <w:rPr>
                <w:rFonts w:eastAsia="Times New Roman" w:cstheme="minorHAnsi"/>
                <w:b/>
                <w:bCs/>
                <w:color w:val="000000"/>
              </w:rPr>
            </w:pPr>
            <w:r w:rsidRPr="009E7848">
              <w:rPr>
                <w:rFonts w:eastAsia="Times New Roman" w:cstheme="minorHAnsi"/>
                <w:b/>
                <w:bCs/>
                <w:color w:val="000000"/>
              </w:rPr>
              <w:t>Hours per occurrence</w:t>
            </w:r>
          </w:p>
        </w:tc>
        <w:tc>
          <w:tcPr>
            <w:tcW w:w="1170" w:type="dxa"/>
            <w:shd w:val="clear" w:color="auto" w:fill="D9D9D9"/>
            <w:vAlign w:val="bottom"/>
          </w:tcPr>
          <w:p w:rsidR="0093412A" w:rsidRPr="009E7848" w:rsidP="00915E40" w14:paraId="3D5FCCB3" w14:textId="77777777">
            <w:pPr>
              <w:jc w:val="center"/>
              <w:rPr>
                <w:rFonts w:eastAsia="Times New Roman" w:cstheme="minorHAnsi"/>
                <w:b/>
                <w:bCs/>
                <w:color w:val="000000"/>
              </w:rPr>
            </w:pPr>
            <w:r w:rsidRPr="009E7848">
              <w:rPr>
                <w:rFonts w:eastAsia="Times New Roman" w:cstheme="minorHAnsi"/>
                <w:b/>
                <w:bCs/>
                <w:color w:val="000000"/>
              </w:rPr>
              <w:t>Cost per occurrence</w:t>
            </w:r>
            <w:r w:rsidRPr="009E7848">
              <w:rPr>
                <w:rFonts w:eastAsia="Times New Roman" w:cstheme="minorHAnsi"/>
                <w:b/>
                <w:bCs/>
                <w:color w:val="000000"/>
                <w:vertAlign w:val="superscript"/>
              </w:rPr>
              <w:t xml:space="preserve"> </w:t>
            </w:r>
          </w:p>
        </w:tc>
        <w:tc>
          <w:tcPr>
            <w:tcW w:w="1260" w:type="dxa"/>
            <w:shd w:val="clear" w:color="auto" w:fill="D9D9D9"/>
            <w:vAlign w:val="bottom"/>
          </w:tcPr>
          <w:p w:rsidR="0093412A" w:rsidRPr="009E7848" w:rsidP="00915E40" w14:paraId="1F3CB576" w14:textId="77777777">
            <w:pPr>
              <w:jc w:val="center"/>
              <w:rPr>
                <w:rFonts w:eastAsia="Times New Roman" w:cstheme="minorHAnsi"/>
                <w:b/>
                <w:bCs/>
                <w:color w:val="000000"/>
              </w:rPr>
            </w:pPr>
            <w:r w:rsidRPr="009E7848">
              <w:rPr>
                <w:rFonts w:eastAsia="Times New Roman" w:cstheme="minorHAnsi"/>
                <w:b/>
                <w:bCs/>
                <w:color w:val="000000"/>
              </w:rPr>
              <w:t>Occurrences per year</w:t>
            </w:r>
          </w:p>
        </w:tc>
        <w:tc>
          <w:tcPr>
            <w:tcW w:w="1170" w:type="dxa"/>
            <w:shd w:val="clear" w:color="auto" w:fill="D9D9D9"/>
            <w:vAlign w:val="bottom"/>
          </w:tcPr>
          <w:p w:rsidR="0093412A" w:rsidRPr="009E7848" w:rsidP="00915E40" w14:paraId="770A3FD0" w14:textId="77777777">
            <w:pPr>
              <w:jc w:val="center"/>
              <w:rPr>
                <w:rFonts w:eastAsia="Times New Roman" w:cstheme="minorHAnsi"/>
                <w:b/>
                <w:bCs/>
                <w:color w:val="000000"/>
              </w:rPr>
            </w:pPr>
            <w:r w:rsidRPr="009E7848">
              <w:rPr>
                <w:rFonts w:eastAsia="Times New Roman" w:cstheme="minorHAnsi"/>
                <w:b/>
                <w:bCs/>
                <w:color w:val="000000"/>
              </w:rPr>
              <w:t>Total hours per year</w:t>
            </w:r>
          </w:p>
        </w:tc>
        <w:tc>
          <w:tcPr>
            <w:tcW w:w="1170" w:type="dxa"/>
            <w:shd w:val="clear" w:color="auto" w:fill="D9D9D9"/>
            <w:vAlign w:val="bottom"/>
          </w:tcPr>
          <w:p w:rsidR="0093412A" w:rsidRPr="009E7848" w:rsidP="00915E40" w14:paraId="5F3F077F" w14:textId="77777777">
            <w:pPr>
              <w:jc w:val="center"/>
              <w:rPr>
                <w:rFonts w:eastAsia="Times New Roman" w:cstheme="minorHAnsi"/>
                <w:b/>
                <w:bCs/>
                <w:color w:val="000000"/>
              </w:rPr>
            </w:pPr>
            <w:r w:rsidRPr="009E7848">
              <w:rPr>
                <w:rFonts w:eastAsia="Times New Roman" w:cstheme="minorHAnsi"/>
                <w:b/>
                <w:bCs/>
                <w:color w:val="000000"/>
              </w:rPr>
              <w:t>Total cost per year</w:t>
            </w:r>
          </w:p>
        </w:tc>
      </w:tr>
      <w:tr w14:paraId="4238B539" w14:textId="77777777" w:rsidTr="00E523D6">
        <w:tblPrEx>
          <w:tblW w:w="9537" w:type="dxa"/>
          <w:jc w:val="center"/>
          <w:tblLayout w:type="fixed"/>
          <w:tblCellMar>
            <w:top w:w="72" w:type="dxa"/>
            <w:left w:w="72" w:type="dxa"/>
            <w:bottom w:w="72" w:type="dxa"/>
            <w:right w:w="72" w:type="dxa"/>
          </w:tblCellMar>
          <w:tblLook w:val="04A0"/>
        </w:tblPrEx>
        <w:trPr>
          <w:trHeight w:val="313"/>
          <w:jc w:val="center"/>
        </w:trPr>
        <w:tc>
          <w:tcPr>
            <w:tcW w:w="3597" w:type="dxa"/>
            <w:shd w:val="clear" w:color="auto" w:fill="auto"/>
          </w:tcPr>
          <w:p w:rsidR="0093412A" w:rsidRPr="009E7848" w:rsidP="00915E40" w14:paraId="3BD1791D" w14:textId="77777777">
            <w:pPr>
              <w:rPr>
                <w:rFonts w:eastAsia="Times New Roman" w:cstheme="minorHAnsi"/>
                <w:color w:val="000000"/>
              </w:rPr>
            </w:pPr>
            <w:r w:rsidRPr="009E7848">
              <w:rPr>
                <w:rFonts w:eastAsia="Times New Roman" w:cstheme="minorHAnsi"/>
                <w:color w:val="000000"/>
              </w:rPr>
              <w:t>Review and processing of updated certificates of representation.</w:t>
            </w:r>
          </w:p>
        </w:tc>
        <w:tc>
          <w:tcPr>
            <w:tcW w:w="1170" w:type="dxa"/>
            <w:shd w:val="clear" w:color="auto" w:fill="auto"/>
            <w:vAlign w:val="bottom"/>
          </w:tcPr>
          <w:p w:rsidR="0093412A" w:rsidRPr="009E7848" w:rsidP="00915E40" w14:paraId="6E20158A" w14:textId="77777777">
            <w:pPr>
              <w:jc w:val="right"/>
              <w:rPr>
                <w:rFonts w:eastAsia="Times New Roman" w:cstheme="minorHAnsi"/>
                <w:color w:val="000000"/>
              </w:rPr>
            </w:pPr>
            <w:r w:rsidRPr="009E7848">
              <w:rPr>
                <w:rFonts w:cstheme="minorHAnsi"/>
                <w:color w:val="000000"/>
              </w:rPr>
              <w:t>0.5</w:t>
            </w:r>
          </w:p>
        </w:tc>
        <w:tc>
          <w:tcPr>
            <w:tcW w:w="1170" w:type="dxa"/>
            <w:shd w:val="clear" w:color="auto" w:fill="auto"/>
            <w:vAlign w:val="bottom"/>
          </w:tcPr>
          <w:p w:rsidR="0093412A" w:rsidRPr="009E7848" w:rsidP="00915E40" w14:paraId="5FE73E53" w14:textId="25918281">
            <w:pPr>
              <w:jc w:val="right"/>
              <w:rPr>
                <w:rFonts w:eastAsia="Times New Roman" w:cstheme="minorHAnsi"/>
                <w:color w:val="000000"/>
              </w:rPr>
            </w:pPr>
            <w:r w:rsidRPr="009E7848">
              <w:rPr>
                <w:rFonts w:cstheme="minorHAnsi"/>
                <w:color w:val="000000"/>
              </w:rPr>
              <w:t>$</w:t>
            </w:r>
            <w:r w:rsidRPr="009E7848" w:rsidR="002C6B46">
              <w:rPr>
                <w:rFonts w:cstheme="minorHAnsi"/>
                <w:color w:val="000000"/>
              </w:rPr>
              <w:t>47.25</w:t>
            </w:r>
            <w:r w:rsidRPr="009E7848">
              <w:rPr>
                <w:rFonts w:cstheme="minorHAnsi"/>
                <w:color w:val="000000"/>
              </w:rPr>
              <w:t xml:space="preserve"> </w:t>
            </w:r>
          </w:p>
        </w:tc>
        <w:tc>
          <w:tcPr>
            <w:tcW w:w="1260" w:type="dxa"/>
            <w:vAlign w:val="bottom"/>
          </w:tcPr>
          <w:p w:rsidR="0093412A" w:rsidRPr="009E7848" w:rsidP="00915E40" w14:paraId="454EE545" w14:textId="4BD14F65">
            <w:pPr>
              <w:jc w:val="right"/>
              <w:rPr>
                <w:rFonts w:cstheme="minorHAnsi"/>
                <w:color w:val="000000"/>
              </w:rPr>
            </w:pPr>
            <w:r w:rsidRPr="009E7848">
              <w:rPr>
                <w:rFonts w:cstheme="minorHAnsi"/>
                <w:color w:val="000000"/>
              </w:rPr>
              <w:t>45</w:t>
            </w:r>
          </w:p>
        </w:tc>
        <w:tc>
          <w:tcPr>
            <w:tcW w:w="1170" w:type="dxa"/>
            <w:shd w:val="clear" w:color="auto" w:fill="auto"/>
            <w:vAlign w:val="bottom"/>
          </w:tcPr>
          <w:p w:rsidR="0093412A" w:rsidRPr="009E7848" w:rsidP="00915E40" w14:paraId="7EBE7037" w14:textId="7985A956">
            <w:pPr>
              <w:jc w:val="right"/>
              <w:rPr>
                <w:rFonts w:eastAsia="Times New Roman" w:cstheme="minorHAnsi"/>
                <w:color w:val="000000"/>
              </w:rPr>
            </w:pPr>
            <w:r w:rsidRPr="009E7848">
              <w:rPr>
                <w:rFonts w:cstheme="minorHAnsi"/>
                <w:color w:val="000000"/>
              </w:rPr>
              <w:t>2</w:t>
            </w:r>
            <w:r w:rsidRPr="009E7848" w:rsidR="00F65DEC">
              <w:rPr>
                <w:rFonts w:cstheme="minorHAnsi"/>
                <w:color w:val="000000"/>
              </w:rPr>
              <w:t>2</w:t>
            </w:r>
            <w:r w:rsidRPr="009E7848">
              <w:rPr>
                <w:rFonts w:cstheme="minorHAnsi"/>
                <w:color w:val="000000"/>
              </w:rPr>
              <w:t>.5</w:t>
            </w:r>
          </w:p>
        </w:tc>
        <w:tc>
          <w:tcPr>
            <w:tcW w:w="1170" w:type="dxa"/>
            <w:shd w:val="clear" w:color="auto" w:fill="auto"/>
            <w:vAlign w:val="bottom"/>
          </w:tcPr>
          <w:p w:rsidR="0093412A" w:rsidRPr="009E7848" w:rsidP="00915E40" w14:paraId="6AE3DA40" w14:textId="71612117">
            <w:pPr>
              <w:jc w:val="right"/>
              <w:rPr>
                <w:rFonts w:eastAsia="Times New Roman" w:cstheme="minorHAnsi"/>
                <w:color w:val="000000"/>
              </w:rPr>
            </w:pPr>
            <w:r w:rsidRPr="009E7848">
              <w:rPr>
                <w:rFonts w:cstheme="minorHAnsi"/>
                <w:color w:val="000000"/>
              </w:rPr>
              <w:t>$</w:t>
            </w:r>
            <w:r w:rsidRPr="009E7848" w:rsidR="00F65DEC">
              <w:rPr>
                <w:rFonts w:cstheme="minorHAnsi"/>
                <w:color w:val="000000"/>
              </w:rPr>
              <w:t>2,126</w:t>
            </w:r>
          </w:p>
        </w:tc>
      </w:tr>
      <w:tr w14:paraId="49DCB2C5"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93412A" w:rsidRPr="009E7848" w:rsidP="00915E40" w14:paraId="148D1BCF" w14:textId="77777777">
            <w:pPr>
              <w:rPr>
                <w:rFonts w:eastAsia="Times New Roman" w:cstheme="minorHAnsi"/>
                <w:color w:val="000000"/>
              </w:rPr>
            </w:pPr>
            <w:r w:rsidRPr="009E7848">
              <w:rPr>
                <w:rFonts w:eastAsia="Times New Roman" w:cstheme="minorHAnsi"/>
                <w:color w:val="000000"/>
              </w:rPr>
              <w:t>Review and processing of retired unit exemptions.</w:t>
            </w:r>
          </w:p>
        </w:tc>
        <w:tc>
          <w:tcPr>
            <w:tcW w:w="1170" w:type="dxa"/>
            <w:shd w:val="clear" w:color="auto" w:fill="auto"/>
            <w:vAlign w:val="bottom"/>
          </w:tcPr>
          <w:p w:rsidR="0093412A" w:rsidRPr="009E7848" w:rsidP="00915E40" w14:paraId="04708E59" w14:textId="77777777">
            <w:pPr>
              <w:jc w:val="right"/>
              <w:rPr>
                <w:rFonts w:eastAsia="Times New Roman" w:cstheme="minorHAnsi"/>
                <w:color w:val="000000"/>
              </w:rPr>
            </w:pPr>
            <w:r w:rsidRPr="009E7848">
              <w:rPr>
                <w:rFonts w:cstheme="minorHAnsi"/>
                <w:color w:val="000000"/>
              </w:rPr>
              <w:t>0.3</w:t>
            </w:r>
          </w:p>
        </w:tc>
        <w:tc>
          <w:tcPr>
            <w:tcW w:w="1170" w:type="dxa"/>
            <w:shd w:val="clear" w:color="auto" w:fill="auto"/>
            <w:vAlign w:val="bottom"/>
          </w:tcPr>
          <w:p w:rsidR="0093412A" w:rsidRPr="009E7848" w:rsidP="00915E40" w14:paraId="6D119E02" w14:textId="0E18270F">
            <w:pPr>
              <w:jc w:val="right"/>
              <w:rPr>
                <w:rFonts w:eastAsia="Times New Roman" w:cstheme="minorHAnsi"/>
                <w:color w:val="000000"/>
              </w:rPr>
            </w:pPr>
            <w:r w:rsidRPr="009E7848">
              <w:rPr>
                <w:rFonts w:cstheme="minorHAnsi"/>
                <w:color w:val="000000"/>
              </w:rPr>
              <w:t>$2</w:t>
            </w:r>
            <w:r w:rsidRPr="009E7848" w:rsidR="007551E7">
              <w:rPr>
                <w:rFonts w:cstheme="minorHAnsi"/>
                <w:color w:val="000000"/>
              </w:rPr>
              <w:t>8.35</w:t>
            </w:r>
          </w:p>
        </w:tc>
        <w:tc>
          <w:tcPr>
            <w:tcW w:w="1260" w:type="dxa"/>
            <w:vAlign w:val="bottom"/>
          </w:tcPr>
          <w:p w:rsidR="0093412A" w:rsidRPr="009E7848" w:rsidP="00915E40" w14:paraId="57E79CF9" w14:textId="0A0C22AC">
            <w:pPr>
              <w:jc w:val="right"/>
              <w:rPr>
                <w:rFonts w:cstheme="minorHAnsi"/>
                <w:color w:val="000000"/>
              </w:rPr>
            </w:pPr>
            <w:r w:rsidRPr="009E7848">
              <w:rPr>
                <w:rFonts w:cstheme="minorHAnsi"/>
                <w:color w:val="000000"/>
              </w:rPr>
              <w:t>14</w:t>
            </w:r>
          </w:p>
        </w:tc>
        <w:tc>
          <w:tcPr>
            <w:tcW w:w="1170" w:type="dxa"/>
            <w:shd w:val="clear" w:color="auto" w:fill="auto"/>
            <w:vAlign w:val="bottom"/>
          </w:tcPr>
          <w:p w:rsidR="0093412A" w:rsidRPr="009E7848" w:rsidP="00915E40" w14:paraId="6B7DEC2C" w14:textId="2CE4EDF7">
            <w:pPr>
              <w:jc w:val="right"/>
              <w:rPr>
                <w:rFonts w:eastAsia="Times New Roman" w:cstheme="minorHAnsi"/>
                <w:color w:val="000000"/>
              </w:rPr>
            </w:pPr>
            <w:r w:rsidRPr="009E7848">
              <w:rPr>
                <w:rFonts w:cstheme="minorHAnsi"/>
                <w:color w:val="000000"/>
              </w:rPr>
              <w:t>4</w:t>
            </w:r>
          </w:p>
        </w:tc>
        <w:tc>
          <w:tcPr>
            <w:tcW w:w="1170" w:type="dxa"/>
            <w:shd w:val="clear" w:color="auto" w:fill="auto"/>
            <w:vAlign w:val="bottom"/>
          </w:tcPr>
          <w:p w:rsidR="0093412A" w:rsidRPr="009E7848" w:rsidP="00915E40" w14:paraId="58DA4D84" w14:textId="713B5637">
            <w:pPr>
              <w:jc w:val="right"/>
              <w:rPr>
                <w:rFonts w:eastAsia="Times New Roman" w:cstheme="minorHAnsi"/>
                <w:color w:val="000000"/>
              </w:rPr>
            </w:pPr>
            <w:r w:rsidRPr="009E7848">
              <w:rPr>
                <w:rFonts w:cstheme="minorHAnsi"/>
                <w:color w:val="000000"/>
              </w:rPr>
              <w:t>$</w:t>
            </w:r>
            <w:r w:rsidRPr="009E7848" w:rsidR="00571AAC">
              <w:rPr>
                <w:rFonts w:cstheme="minorHAnsi"/>
                <w:color w:val="000000"/>
              </w:rPr>
              <w:t>397</w:t>
            </w:r>
          </w:p>
        </w:tc>
      </w:tr>
      <w:tr w14:paraId="38E5AC74"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93412A" w:rsidRPr="009E7848" w:rsidP="00915E40" w14:paraId="32C30609" w14:textId="77777777">
            <w:pPr>
              <w:rPr>
                <w:rFonts w:eastAsia="Times New Roman" w:cstheme="minorHAnsi"/>
                <w:color w:val="000000"/>
              </w:rPr>
            </w:pPr>
            <w:r w:rsidRPr="009E7848">
              <w:rPr>
                <w:rFonts w:eastAsia="Times New Roman" w:cstheme="minorHAnsi"/>
                <w:color w:val="000000"/>
              </w:rPr>
              <w:t>Annual allocation and recordation of allowances.</w:t>
            </w:r>
          </w:p>
        </w:tc>
        <w:tc>
          <w:tcPr>
            <w:tcW w:w="1170" w:type="dxa"/>
            <w:shd w:val="clear" w:color="auto" w:fill="auto"/>
            <w:vAlign w:val="bottom"/>
          </w:tcPr>
          <w:p w:rsidR="0093412A" w:rsidRPr="009E7848" w:rsidP="00915E40" w14:paraId="7ECB5245" w14:textId="77777777">
            <w:pPr>
              <w:jc w:val="right"/>
              <w:rPr>
                <w:rFonts w:cstheme="minorHAnsi"/>
                <w:color w:val="000000"/>
              </w:rPr>
            </w:pPr>
            <w:r w:rsidRPr="009E7848">
              <w:rPr>
                <w:rFonts w:cstheme="minorHAnsi"/>
                <w:color w:val="000000"/>
              </w:rPr>
              <w:t>200</w:t>
            </w:r>
          </w:p>
        </w:tc>
        <w:tc>
          <w:tcPr>
            <w:tcW w:w="1170" w:type="dxa"/>
            <w:shd w:val="clear" w:color="auto" w:fill="auto"/>
            <w:vAlign w:val="bottom"/>
          </w:tcPr>
          <w:p w:rsidR="0093412A" w:rsidRPr="009E7848" w:rsidP="00915E40" w14:paraId="59201A73" w14:textId="2C1AE5E0">
            <w:pPr>
              <w:jc w:val="right"/>
              <w:rPr>
                <w:rFonts w:cstheme="minorHAnsi"/>
                <w:color w:val="000000"/>
              </w:rPr>
            </w:pPr>
            <w:r w:rsidRPr="009E7848">
              <w:rPr>
                <w:rFonts w:cstheme="minorHAnsi"/>
                <w:color w:val="000000"/>
              </w:rPr>
              <w:t>$</w:t>
            </w:r>
            <w:r w:rsidRPr="009E7848" w:rsidR="00DF1E7F">
              <w:rPr>
                <w:rFonts w:cstheme="minorHAnsi"/>
                <w:color w:val="000000"/>
              </w:rPr>
              <w:t>18,</w:t>
            </w:r>
            <w:r w:rsidRPr="009E7848" w:rsidR="00571AAC">
              <w:rPr>
                <w:rFonts w:cstheme="minorHAnsi"/>
                <w:color w:val="000000"/>
              </w:rPr>
              <w:t>898</w:t>
            </w:r>
          </w:p>
        </w:tc>
        <w:tc>
          <w:tcPr>
            <w:tcW w:w="1260" w:type="dxa"/>
            <w:vAlign w:val="bottom"/>
          </w:tcPr>
          <w:p w:rsidR="0093412A" w:rsidRPr="009E7848" w:rsidP="00915E40" w14:paraId="3FA39182" w14:textId="77777777">
            <w:pPr>
              <w:jc w:val="right"/>
              <w:rPr>
                <w:rFonts w:cstheme="minorHAnsi"/>
                <w:color w:val="000000"/>
              </w:rPr>
            </w:pPr>
            <w:r w:rsidRPr="009E7848">
              <w:rPr>
                <w:rFonts w:cstheme="minorHAnsi"/>
                <w:color w:val="000000"/>
              </w:rPr>
              <w:t>1</w:t>
            </w:r>
          </w:p>
        </w:tc>
        <w:tc>
          <w:tcPr>
            <w:tcW w:w="1170" w:type="dxa"/>
            <w:shd w:val="clear" w:color="auto" w:fill="auto"/>
            <w:vAlign w:val="bottom"/>
          </w:tcPr>
          <w:p w:rsidR="0093412A" w:rsidRPr="009E7848" w:rsidP="00915E40" w14:paraId="0111F901" w14:textId="77777777">
            <w:pPr>
              <w:jc w:val="right"/>
              <w:rPr>
                <w:rFonts w:cstheme="minorHAnsi"/>
                <w:color w:val="000000"/>
              </w:rPr>
            </w:pPr>
            <w:r w:rsidRPr="009E7848">
              <w:rPr>
                <w:rFonts w:cstheme="minorHAnsi"/>
                <w:color w:val="000000"/>
              </w:rPr>
              <w:t>200</w:t>
            </w:r>
          </w:p>
        </w:tc>
        <w:tc>
          <w:tcPr>
            <w:tcW w:w="1170" w:type="dxa"/>
            <w:shd w:val="clear" w:color="auto" w:fill="auto"/>
            <w:vAlign w:val="bottom"/>
          </w:tcPr>
          <w:p w:rsidR="0093412A" w:rsidRPr="009E7848" w:rsidP="00915E40" w14:paraId="298A477F" w14:textId="30A724D1">
            <w:pPr>
              <w:jc w:val="right"/>
              <w:rPr>
                <w:rFonts w:cstheme="minorHAnsi"/>
                <w:color w:val="000000"/>
              </w:rPr>
            </w:pPr>
            <w:r w:rsidRPr="009E7848">
              <w:rPr>
                <w:rFonts w:cstheme="minorHAnsi"/>
                <w:color w:val="000000"/>
              </w:rPr>
              <w:t>$</w:t>
            </w:r>
            <w:r w:rsidRPr="009E7848" w:rsidR="007312A8">
              <w:rPr>
                <w:rFonts w:cstheme="minorHAnsi"/>
                <w:color w:val="000000"/>
              </w:rPr>
              <w:t>18,</w:t>
            </w:r>
            <w:r w:rsidRPr="009E7848" w:rsidR="00571AAC">
              <w:rPr>
                <w:rFonts w:cstheme="minorHAnsi"/>
                <w:color w:val="000000"/>
              </w:rPr>
              <w:t>898</w:t>
            </w:r>
          </w:p>
        </w:tc>
      </w:tr>
      <w:tr w14:paraId="6F1910C4"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93412A" w:rsidRPr="009E7848" w:rsidP="00915E40" w14:paraId="5E15B0E6" w14:textId="77777777">
            <w:pPr>
              <w:rPr>
                <w:rFonts w:eastAsia="Times New Roman" w:cstheme="minorHAnsi"/>
                <w:color w:val="000000"/>
              </w:rPr>
            </w:pPr>
            <w:r w:rsidRPr="009E7848">
              <w:rPr>
                <w:rFonts w:eastAsia="Times New Roman" w:cstheme="minorHAnsi"/>
                <w:color w:val="000000"/>
              </w:rPr>
              <w:t>Review and recordation of allowance transfers and notification of transfer participants.</w:t>
            </w:r>
            <w:r w:rsidRPr="009E7848">
              <w:rPr>
                <w:rFonts w:eastAsia="Times New Roman" w:cstheme="minorHAnsi"/>
                <w:color w:val="000000"/>
                <w:vertAlign w:val="superscript"/>
              </w:rPr>
              <w:t>1</w:t>
            </w:r>
          </w:p>
        </w:tc>
        <w:tc>
          <w:tcPr>
            <w:tcW w:w="1170" w:type="dxa"/>
            <w:shd w:val="clear" w:color="auto" w:fill="auto"/>
            <w:vAlign w:val="bottom"/>
          </w:tcPr>
          <w:p w:rsidR="0093412A" w:rsidRPr="009E7848" w:rsidP="00915E40" w14:paraId="0130461E" w14:textId="77777777">
            <w:pPr>
              <w:jc w:val="right"/>
              <w:rPr>
                <w:rFonts w:cstheme="minorHAnsi"/>
                <w:color w:val="000000"/>
              </w:rPr>
            </w:pPr>
            <w:r w:rsidRPr="009E7848">
              <w:rPr>
                <w:rFonts w:cstheme="minorHAnsi"/>
                <w:color w:val="000000"/>
              </w:rPr>
              <w:t>1</w:t>
            </w:r>
          </w:p>
        </w:tc>
        <w:tc>
          <w:tcPr>
            <w:tcW w:w="1170" w:type="dxa"/>
            <w:shd w:val="clear" w:color="auto" w:fill="auto"/>
            <w:vAlign w:val="bottom"/>
          </w:tcPr>
          <w:p w:rsidR="0093412A" w:rsidRPr="009E7848" w:rsidP="00915E40" w14:paraId="33FEA937" w14:textId="7892F568">
            <w:pPr>
              <w:jc w:val="right"/>
              <w:rPr>
                <w:rFonts w:cstheme="minorHAnsi"/>
                <w:color w:val="000000"/>
              </w:rPr>
            </w:pPr>
            <w:r w:rsidRPr="009E7848">
              <w:rPr>
                <w:rFonts w:cstheme="minorHAnsi"/>
                <w:color w:val="000000"/>
              </w:rPr>
              <w:t>$</w:t>
            </w:r>
            <w:r w:rsidRPr="009E7848" w:rsidR="00DF1E7F">
              <w:rPr>
                <w:rFonts w:cstheme="minorHAnsi"/>
                <w:color w:val="000000"/>
              </w:rPr>
              <w:t>94.</w:t>
            </w:r>
            <w:r w:rsidRPr="009E7848" w:rsidR="00571AAC">
              <w:rPr>
                <w:rFonts w:cstheme="minorHAnsi"/>
                <w:color w:val="000000"/>
              </w:rPr>
              <w:t>49</w:t>
            </w:r>
          </w:p>
        </w:tc>
        <w:tc>
          <w:tcPr>
            <w:tcW w:w="1260" w:type="dxa"/>
            <w:vAlign w:val="bottom"/>
          </w:tcPr>
          <w:p w:rsidR="0093412A" w:rsidRPr="009E7848" w:rsidP="00915E40" w14:paraId="4BAE854A" w14:textId="412BE863">
            <w:pPr>
              <w:jc w:val="right"/>
              <w:rPr>
                <w:rFonts w:cstheme="minorHAnsi"/>
                <w:color w:val="000000"/>
              </w:rPr>
            </w:pPr>
            <w:r w:rsidRPr="009E7848">
              <w:rPr>
                <w:rFonts w:cstheme="minorHAnsi"/>
                <w:color w:val="000000"/>
              </w:rPr>
              <w:t>12</w:t>
            </w:r>
          </w:p>
        </w:tc>
        <w:tc>
          <w:tcPr>
            <w:tcW w:w="1170" w:type="dxa"/>
            <w:shd w:val="clear" w:color="auto" w:fill="auto"/>
            <w:vAlign w:val="bottom"/>
          </w:tcPr>
          <w:p w:rsidR="0093412A" w:rsidRPr="009E7848" w:rsidP="00915E40" w14:paraId="013C32DA" w14:textId="5C219CFF">
            <w:pPr>
              <w:jc w:val="right"/>
              <w:rPr>
                <w:rFonts w:cstheme="minorHAnsi"/>
                <w:color w:val="000000"/>
              </w:rPr>
            </w:pPr>
            <w:r w:rsidRPr="009E7848">
              <w:rPr>
                <w:rFonts w:cstheme="minorHAnsi"/>
                <w:color w:val="000000"/>
              </w:rPr>
              <w:t>12</w:t>
            </w:r>
          </w:p>
        </w:tc>
        <w:tc>
          <w:tcPr>
            <w:tcW w:w="1170" w:type="dxa"/>
            <w:shd w:val="clear" w:color="auto" w:fill="auto"/>
            <w:vAlign w:val="bottom"/>
          </w:tcPr>
          <w:p w:rsidR="0093412A" w:rsidRPr="009E7848" w:rsidP="00915E40" w14:paraId="7D779196" w14:textId="0F944B29">
            <w:pPr>
              <w:jc w:val="right"/>
              <w:rPr>
                <w:rFonts w:cstheme="minorHAnsi"/>
                <w:color w:val="000000"/>
              </w:rPr>
            </w:pPr>
            <w:r w:rsidRPr="009E7848">
              <w:rPr>
                <w:rFonts w:cstheme="minorHAnsi"/>
                <w:color w:val="000000"/>
              </w:rPr>
              <w:t>$</w:t>
            </w:r>
            <w:r w:rsidRPr="009E7848" w:rsidR="00571AAC">
              <w:rPr>
                <w:rFonts w:cstheme="minorHAnsi"/>
                <w:color w:val="000000"/>
              </w:rPr>
              <w:t>1,134</w:t>
            </w:r>
          </w:p>
        </w:tc>
      </w:tr>
      <w:tr w14:paraId="3118A588"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93412A" w:rsidRPr="009E7848" w:rsidP="00915E40" w14:paraId="2FA51C86" w14:textId="77777777">
            <w:pPr>
              <w:rPr>
                <w:rFonts w:eastAsia="Times New Roman" w:cstheme="minorHAnsi"/>
                <w:color w:val="000000"/>
              </w:rPr>
            </w:pPr>
            <w:r w:rsidRPr="009E7848">
              <w:rPr>
                <w:rFonts w:eastAsia="Times New Roman" w:cstheme="minorHAnsi"/>
                <w:color w:val="000000"/>
              </w:rPr>
              <w:t>Review and recordation of allowance deductions.</w:t>
            </w:r>
            <w:r w:rsidRPr="009E7848">
              <w:rPr>
                <w:rFonts w:eastAsia="Times New Roman" w:cstheme="minorHAnsi"/>
                <w:color w:val="000000"/>
                <w:vertAlign w:val="superscript"/>
              </w:rPr>
              <w:t>2</w:t>
            </w:r>
          </w:p>
        </w:tc>
        <w:tc>
          <w:tcPr>
            <w:tcW w:w="1170" w:type="dxa"/>
            <w:shd w:val="clear" w:color="auto" w:fill="auto"/>
            <w:vAlign w:val="bottom"/>
          </w:tcPr>
          <w:p w:rsidR="0093412A" w:rsidRPr="009E7848" w:rsidP="00915E40" w14:paraId="6C441B1E" w14:textId="77777777">
            <w:pPr>
              <w:jc w:val="right"/>
              <w:rPr>
                <w:rFonts w:cstheme="minorHAnsi"/>
                <w:color w:val="000000"/>
              </w:rPr>
            </w:pPr>
            <w:r w:rsidRPr="009E7848">
              <w:rPr>
                <w:rFonts w:cstheme="minorHAnsi"/>
                <w:color w:val="000000"/>
              </w:rPr>
              <w:t>0.5</w:t>
            </w:r>
          </w:p>
        </w:tc>
        <w:tc>
          <w:tcPr>
            <w:tcW w:w="1170" w:type="dxa"/>
            <w:shd w:val="clear" w:color="auto" w:fill="auto"/>
            <w:vAlign w:val="bottom"/>
          </w:tcPr>
          <w:p w:rsidR="0093412A" w:rsidRPr="009E7848" w:rsidP="00915E40" w14:paraId="0BD130F5" w14:textId="733605E9">
            <w:pPr>
              <w:jc w:val="right"/>
              <w:rPr>
                <w:rFonts w:cstheme="minorHAnsi"/>
                <w:color w:val="000000"/>
              </w:rPr>
            </w:pPr>
            <w:r w:rsidRPr="009E7848">
              <w:rPr>
                <w:rFonts w:cstheme="minorHAnsi"/>
                <w:color w:val="000000"/>
              </w:rPr>
              <w:t>$</w:t>
            </w:r>
            <w:r w:rsidRPr="009E7848" w:rsidR="00DF1E7F">
              <w:rPr>
                <w:rFonts w:cstheme="minorHAnsi"/>
                <w:color w:val="000000"/>
              </w:rPr>
              <w:t>47.25</w:t>
            </w:r>
          </w:p>
        </w:tc>
        <w:tc>
          <w:tcPr>
            <w:tcW w:w="1260" w:type="dxa"/>
            <w:vAlign w:val="bottom"/>
          </w:tcPr>
          <w:p w:rsidR="0093412A" w:rsidRPr="009E7848" w:rsidP="00915E40" w14:paraId="734FDF92" w14:textId="6047B49E">
            <w:pPr>
              <w:jc w:val="right"/>
              <w:rPr>
                <w:rFonts w:cstheme="minorHAnsi"/>
                <w:color w:val="000000"/>
              </w:rPr>
            </w:pPr>
            <w:r w:rsidRPr="009E7848">
              <w:rPr>
                <w:rFonts w:cstheme="minorHAnsi"/>
                <w:color w:val="000000"/>
              </w:rPr>
              <w:t>2</w:t>
            </w:r>
          </w:p>
        </w:tc>
        <w:tc>
          <w:tcPr>
            <w:tcW w:w="1170" w:type="dxa"/>
            <w:shd w:val="clear" w:color="auto" w:fill="auto"/>
            <w:vAlign w:val="bottom"/>
          </w:tcPr>
          <w:p w:rsidR="0093412A" w:rsidRPr="009E7848" w:rsidP="00915E40" w14:paraId="5A40E98F" w14:textId="53DE08F6">
            <w:pPr>
              <w:jc w:val="right"/>
              <w:rPr>
                <w:rFonts w:cstheme="minorHAnsi"/>
                <w:color w:val="000000"/>
              </w:rPr>
            </w:pPr>
            <w:r w:rsidRPr="009E7848">
              <w:rPr>
                <w:rFonts w:cstheme="minorHAnsi"/>
                <w:color w:val="000000"/>
              </w:rPr>
              <w:t>1</w:t>
            </w:r>
          </w:p>
        </w:tc>
        <w:tc>
          <w:tcPr>
            <w:tcW w:w="1170" w:type="dxa"/>
            <w:shd w:val="clear" w:color="auto" w:fill="auto"/>
            <w:vAlign w:val="bottom"/>
          </w:tcPr>
          <w:p w:rsidR="0093412A" w:rsidRPr="009E7848" w:rsidP="00915E40" w14:paraId="074D072B" w14:textId="1D93BFF4">
            <w:pPr>
              <w:jc w:val="right"/>
              <w:rPr>
                <w:rFonts w:cstheme="minorHAnsi"/>
                <w:color w:val="000000"/>
              </w:rPr>
            </w:pPr>
            <w:r w:rsidRPr="009E7848">
              <w:rPr>
                <w:rFonts w:cstheme="minorHAnsi"/>
                <w:color w:val="000000"/>
              </w:rPr>
              <w:t>$</w:t>
            </w:r>
            <w:r w:rsidRPr="009E7848" w:rsidR="00571AAC">
              <w:rPr>
                <w:rFonts w:cstheme="minorHAnsi"/>
                <w:color w:val="000000"/>
              </w:rPr>
              <w:t>9</w:t>
            </w:r>
            <w:r w:rsidRPr="009E7848" w:rsidR="007811A2">
              <w:rPr>
                <w:rFonts w:cstheme="minorHAnsi"/>
                <w:color w:val="000000"/>
              </w:rPr>
              <w:t>5</w:t>
            </w:r>
          </w:p>
        </w:tc>
      </w:tr>
      <w:tr w14:paraId="352C184D"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3597" w:type="dxa"/>
            <w:shd w:val="clear" w:color="auto" w:fill="auto"/>
          </w:tcPr>
          <w:p w:rsidR="0093412A" w:rsidRPr="009E7848" w:rsidP="00915E40" w14:paraId="199332FE" w14:textId="77777777">
            <w:pPr>
              <w:rPr>
                <w:rFonts w:eastAsia="Times New Roman" w:cstheme="minorHAnsi"/>
                <w:color w:val="000000"/>
              </w:rPr>
            </w:pPr>
            <w:r w:rsidRPr="009E7848">
              <w:rPr>
                <w:rFonts w:eastAsia="Times New Roman" w:cstheme="minorHAnsi"/>
                <w:color w:val="000000"/>
              </w:rPr>
              <w:t>Review and processing of quarterly reports and issuance of feedback letters.</w:t>
            </w:r>
            <w:r w:rsidRPr="009E7848">
              <w:rPr>
                <w:rFonts w:eastAsia="Times New Roman" w:cstheme="minorHAnsi"/>
                <w:color w:val="000000"/>
                <w:vertAlign w:val="superscript"/>
              </w:rPr>
              <w:t>3</w:t>
            </w:r>
          </w:p>
        </w:tc>
        <w:tc>
          <w:tcPr>
            <w:tcW w:w="1170" w:type="dxa"/>
            <w:shd w:val="clear" w:color="auto" w:fill="auto"/>
            <w:vAlign w:val="bottom"/>
          </w:tcPr>
          <w:p w:rsidR="0093412A" w:rsidRPr="009E7848" w:rsidP="00915E40" w14:paraId="3F17F2EB" w14:textId="77777777">
            <w:pPr>
              <w:jc w:val="right"/>
              <w:rPr>
                <w:rFonts w:cstheme="minorHAnsi"/>
                <w:color w:val="000000"/>
              </w:rPr>
            </w:pPr>
            <w:r w:rsidRPr="009E7848">
              <w:rPr>
                <w:rFonts w:cstheme="minorHAnsi"/>
                <w:color w:val="000000"/>
              </w:rPr>
              <w:t>1</w:t>
            </w:r>
          </w:p>
        </w:tc>
        <w:tc>
          <w:tcPr>
            <w:tcW w:w="1170" w:type="dxa"/>
            <w:shd w:val="clear" w:color="auto" w:fill="auto"/>
            <w:vAlign w:val="bottom"/>
          </w:tcPr>
          <w:p w:rsidR="0093412A" w:rsidRPr="009E7848" w:rsidP="00915E40" w14:paraId="14CF0780" w14:textId="77BD101B">
            <w:pPr>
              <w:jc w:val="right"/>
              <w:rPr>
                <w:rFonts w:cstheme="minorHAnsi"/>
                <w:color w:val="000000"/>
              </w:rPr>
            </w:pPr>
            <w:r w:rsidRPr="009E7848">
              <w:rPr>
                <w:rFonts w:cstheme="minorHAnsi"/>
                <w:color w:val="000000"/>
              </w:rPr>
              <w:t>$</w:t>
            </w:r>
            <w:r w:rsidRPr="009E7848" w:rsidR="00DF1E7F">
              <w:rPr>
                <w:rFonts w:cstheme="minorHAnsi"/>
                <w:color w:val="000000"/>
              </w:rPr>
              <w:t>94.</w:t>
            </w:r>
            <w:r w:rsidRPr="009E7848" w:rsidR="00571AAC">
              <w:rPr>
                <w:rFonts w:cstheme="minorHAnsi"/>
                <w:color w:val="000000"/>
              </w:rPr>
              <w:t>49</w:t>
            </w:r>
          </w:p>
        </w:tc>
        <w:tc>
          <w:tcPr>
            <w:tcW w:w="1260" w:type="dxa"/>
            <w:vAlign w:val="bottom"/>
          </w:tcPr>
          <w:p w:rsidR="0093412A" w:rsidRPr="009E7848" w:rsidP="00915E40" w14:paraId="655F8314" w14:textId="20A01D5E">
            <w:pPr>
              <w:jc w:val="right"/>
              <w:rPr>
                <w:rFonts w:cstheme="minorHAnsi"/>
                <w:color w:val="000000"/>
              </w:rPr>
            </w:pPr>
            <w:r w:rsidRPr="009E7848">
              <w:rPr>
                <w:rFonts w:cstheme="minorHAnsi"/>
                <w:color w:val="000000"/>
              </w:rPr>
              <w:t>1,744</w:t>
            </w:r>
          </w:p>
        </w:tc>
        <w:tc>
          <w:tcPr>
            <w:tcW w:w="1170" w:type="dxa"/>
            <w:shd w:val="clear" w:color="auto" w:fill="auto"/>
            <w:vAlign w:val="bottom"/>
          </w:tcPr>
          <w:p w:rsidR="0093412A" w:rsidRPr="009E7848" w:rsidP="00915E40" w14:paraId="1C347E58" w14:textId="108BA6B6">
            <w:pPr>
              <w:jc w:val="right"/>
              <w:rPr>
                <w:rFonts w:cstheme="minorHAnsi"/>
                <w:color w:val="000000"/>
              </w:rPr>
            </w:pPr>
            <w:r w:rsidRPr="009E7848">
              <w:rPr>
                <w:rFonts w:cstheme="minorHAnsi"/>
                <w:color w:val="000000"/>
              </w:rPr>
              <w:t>1,744</w:t>
            </w:r>
          </w:p>
        </w:tc>
        <w:tc>
          <w:tcPr>
            <w:tcW w:w="1170" w:type="dxa"/>
            <w:shd w:val="clear" w:color="auto" w:fill="auto"/>
            <w:vAlign w:val="bottom"/>
          </w:tcPr>
          <w:p w:rsidR="0093412A" w:rsidRPr="009E7848" w:rsidP="00915E40" w14:paraId="24DFB4E9" w14:textId="051B2136">
            <w:pPr>
              <w:jc w:val="right"/>
              <w:rPr>
                <w:rFonts w:cstheme="minorHAnsi"/>
                <w:color w:val="000000"/>
              </w:rPr>
            </w:pPr>
            <w:r w:rsidRPr="009E7848">
              <w:rPr>
                <w:rFonts w:cstheme="minorHAnsi"/>
                <w:color w:val="000000"/>
              </w:rPr>
              <w:t>$</w:t>
            </w:r>
            <w:r w:rsidRPr="009E7848" w:rsidR="00571AAC">
              <w:rPr>
                <w:rFonts w:cstheme="minorHAnsi"/>
                <w:color w:val="000000"/>
              </w:rPr>
              <w:t>164,791</w:t>
            </w:r>
          </w:p>
        </w:tc>
      </w:tr>
      <w:tr w14:paraId="2378681A" w14:textId="77777777" w:rsidTr="00E523D6">
        <w:tblPrEx>
          <w:tblW w:w="9537" w:type="dxa"/>
          <w:jc w:val="center"/>
          <w:tblLayout w:type="fixed"/>
          <w:tblCellMar>
            <w:top w:w="72" w:type="dxa"/>
            <w:left w:w="72" w:type="dxa"/>
            <w:bottom w:w="72" w:type="dxa"/>
            <w:right w:w="72" w:type="dxa"/>
          </w:tblCellMar>
          <w:tblLook w:val="04A0"/>
        </w:tblPrEx>
        <w:trPr>
          <w:trHeight w:val="18"/>
          <w:jc w:val="center"/>
        </w:trPr>
        <w:tc>
          <w:tcPr>
            <w:tcW w:w="7197" w:type="dxa"/>
            <w:gridSpan w:val="4"/>
            <w:shd w:val="pct10" w:color="auto" w:fill="auto"/>
          </w:tcPr>
          <w:p w:rsidR="0093412A" w:rsidRPr="009E7848" w:rsidP="00915E40" w14:paraId="77AD0AA6" w14:textId="77777777">
            <w:pPr>
              <w:rPr>
                <w:rFonts w:cstheme="minorHAnsi"/>
                <w:b/>
                <w:bCs/>
                <w:color w:val="000000"/>
              </w:rPr>
            </w:pPr>
            <w:r w:rsidRPr="009E7848">
              <w:rPr>
                <w:rFonts w:eastAsia="Times New Roman" w:cstheme="minorHAnsi"/>
                <w:b/>
                <w:bCs/>
                <w:color w:val="000000"/>
              </w:rPr>
              <w:t>Totals</w:t>
            </w:r>
          </w:p>
        </w:tc>
        <w:tc>
          <w:tcPr>
            <w:tcW w:w="1170" w:type="dxa"/>
            <w:shd w:val="pct10" w:color="auto" w:fill="auto"/>
          </w:tcPr>
          <w:p w:rsidR="0093412A" w:rsidRPr="009E7848" w:rsidP="00915E40" w14:paraId="447E89DA" w14:textId="63D52848">
            <w:pPr>
              <w:jc w:val="right"/>
              <w:rPr>
                <w:rFonts w:eastAsia="Times New Roman" w:cstheme="minorHAnsi"/>
                <w:b/>
                <w:bCs/>
                <w:color w:val="000000"/>
              </w:rPr>
            </w:pPr>
            <w:r w:rsidRPr="009E7848">
              <w:rPr>
                <w:rFonts w:cstheme="minorHAnsi"/>
                <w:b/>
                <w:bCs/>
                <w:color w:val="000000"/>
              </w:rPr>
              <w:t>1,983.5</w:t>
            </w:r>
          </w:p>
        </w:tc>
        <w:tc>
          <w:tcPr>
            <w:tcW w:w="1170" w:type="dxa"/>
            <w:shd w:val="pct10" w:color="auto" w:fill="auto"/>
          </w:tcPr>
          <w:p w:rsidR="0093412A" w:rsidRPr="009E7848" w:rsidP="00915E40" w14:paraId="457B3A4D" w14:textId="6E4DF913">
            <w:pPr>
              <w:jc w:val="right"/>
              <w:rPr>
                <w:rFonts w:eastAsia="Times New Roman" w:cstheme="minorHAnsi"/>
                <w:b/>
                <w:bCs/>
                <w:color w:val="000000"/>
              </w:rPr>
            </w:pPr>
            <w:r w:rsidRPr="009E7848">
              <w:rPr>
                <w:rFonts w:cstheme="minorHAnsi"/>
                <w:b/>
                <w:bCs/>
                <w:color w:val="000000"/>
              </w:rPr>
              <w:t>$</w:t>
            </w:r>
            <w:r w:rsidRPr="009E7848" w:rsidR="007811A2">
              <w:rPr>
                <w:rFonts w:cstheme="minorHAnsi"/>
                <w:b/>
                <w:bCs/>
                <w:color w:val="000000"/>
              </w:rPr>
              <w:t>187,441</w:t>
            </w:r>
          </w:p>
        </w:tc>
      </w:tr>
    </w:tbl>
    <w:p w:rsidR="0093412A" w:rsidRPr="009E7848" w:rsidP="0093412A" w14:paraId="5D3E75E6" w14:textId="5097A806">
      <w:pPr>
        <w:pStyle w:val="ListParagraph"/>
        <w:autoSpaceDE w:val="0"/>
        <w:autoSpaceDN w:val="0"/>
        <w:adjustRightInd w:val="0"/>
        <w:rPr>
          <w:sz w:val="18"/>
          <w:szCs w:val="18"/>
        </w:rPr>
      </w:pPr>
      <w:r w:rsidRPr="009E7848">
        <w:rPr>
          <w:sz w:val="18"/>
          <w:szCs w:val="18"/>
          <w:vertAlign w:val="superscript"/>
        </w:rPr>
        <w:t>1</w:t>
      </w:r>
      <w:r w:rsidRPr="009E7848">
        <w:rPr>
          <w:sz w:val="18"/>
          <w:szCs w:val="18"/>
        </w:rPr>
        <w:t>Assumes</w:t>
      </w:r>
      <w:r w:rsidRPr="009E7848">
        <w:rPr>
          <w:sz w:val="18"/>
          <w:szCs w:val="18"/>
        </w:rPr>
        <w:t xml:space="preserve"> 1% of all allowance transfers each year are submitted on paper rather than electronically.</w:t>
      </w:r>
    </w:p>
    <w:p w:rsidR="0093412A" w:rsidRPr="009E7848" w:rsidP="0093412A" w14:paraId="403DEB32" w14:textId="58118E1D">
      <w:pPr>
        <w:pStyle w:val="ListParagraph"/>
        <w:autoSpaceDE w:val="0"/>
        <w:autoSpaceDN w:val="0"/>
        <w:adjustRightInd w:val="0"/>
        <w:rPr>
          <w:sz w:val="18"/>
          <w:szCs w:val="18"/>
        </w:rPr>
      </w:pPr>
      <w:r w:rsidRPr="009E7848">
        <w:rPr>
          <w:sz w:val="18"/>
          <w:szCs w:val="18"/>
          <w:vertAlign w:val="superscript"/>
        </w:rPr>
        <w:t>2</w:t>
      </w:r>
      <w:r w:rsidRPr="009E7848">
        <w:rPr>
          <w:sz w:val="18"/>
          <w:szCs w:val="18"/>
        </w:rPr>
        <w:t>Assumes</w:t>
      </w:r>
      <w:r w:rsidRPr="009E7848">
        <w:rPr>
          <w:sz w:val="18"/>
          <w:szCs w:val="18"/>
        </w:rPr>
        <w:t xml:space="preserve"> 1% of all allowance deductions each year are submitted on paper rather than electronically.</w:t>
      </w:r>
    </w:p>
    <w:p w:rsidR="0093412A" w:rsidRPr="009E7848" w:rsidP="00F352A7" w14:paraId="61C3D9E6" w14:textId="2B3B3B5D">
      <w:pPr>
        <w:pStyle w:val="ListParagraph"/>
        <w:autoSpaceDE w:val="0"/>
        <w:autoSpaceDN w:val="0"/>
        <w:adjustRightInd w:val="0"/>
        <w:rPr>
          <w:sz w:val="18"/>
          <w:szCs w:val="18"/>
        </w:rPr>
      </w:pPr>
      <w:r w:rsidRPr="009E7848">
        <w:rPr>
          <w:sz w:val="18"/>
          <w:szCs w:val="18"/>
          <w:vertAlign w:val="superscript"/>
        </w:rPr>
        <w:t>3</w:t>
      </w:r>
      <w:r w:rsidRPr="009E7848">
        <w:rPr>
          <w:sz w:val="18"/>
          <w:szCs w:val="18"/>
        </w:rPr>
        <w:t>Assumes</w:t>
      </w:r>
      <w:r w:rsidRPr="009E7848">
        <w:rPr>
          <w:sz w:val="18"/>
          <w:szCs w:val="18"/>
        </w:rPr>
        <w:t xml:space="preserve"> 4</w:t>
      </w:r>
      <w:r w:rsidRPr="009E7848" w:rsidR="00571AAC">
        <w:rPr>
          <w:sz w:val="18"/>
          <w:szCs w:val="18"/>
        </w:rPr>
        <w:t>22</w:t>
      </w:r>
      <w:r w:rsidRPr="009E7848">
        <w:rPr>
          <w:sz w:val="18"/>
          <w:szCs w:val="18"/>
        </w:rPr>
        <w:t xml:space="preserve"> annual reporters (4 reports/year) and 28 ozone season-only reporters (2 reports/year).</w:t>
      </w:r>
    </w:p>
    <w:p w:rsidR="00F352A7" w:rsidRPr="009E7848" w:rsidP="00F352A7" w14:paraId="1C0023BE" w14:textId="77777777">
      <w:pPr>
        <w:pStyle w:val="ListParagraph"/>
        <w:autoSpaceDE w:val="0"/>
        <w:autoSpaceDN w:val="0"/>
        <w:adjustRightInd w:val="0"/>
        <w:rPr>
          <w:sz w:val="18"/>
          <w:szCs w:val="18"/>
        </w:rPr>
      </w:pPr>
    </w:p>
    <w:p w:rsidR="00F352A7" w:rsidRPr="009E7848" w:rsidP="00F352A7" w14:paraId="4B8EF4A4" w14:textId="77777777">
      <w:pPr>
        <w:pStyle w:val="ListParagraph"/>
        <w:autoSpaceDE w:val="0"/>
        <w:autoSpaceDN w:val="0"/>
        <w:adjustRightInd w:val="0"/>
        <w:rPr>
          <w:sz w:val="18"/>
          <w:szCs w:val="18"/>
        </w:rPr>
      </w:pPr>
    </w:p>
    <w:p w:rsidR="008778B9" w:rsidRPr="009E7848" w:rsidP="004713ED" w14:paraId="6B815E3D" w14:textId="77777777">
      <w:pPr>
        <w:pStyle w:val="ListParagraph"/>
        <w:numPr>
          <w:ilvl w:val="0"/>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Agency Labor Costs</w:t>
      </w:r>
    </w:p>
    <w:p w:rsidR="004713ED" w:rsidRPr="009E7848" w:rsidP="008778B9" w14:paraId="4FA6951E" w14:textId="4FAB722E">
      <w:pPr>
        <w:pStyle w:val="ListParagraph"/>
        <w:numPr>
          <w:ilvl w:val="1"/>
          <w:numId w:val="1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E7848">
        <w:rPr>
          <w:rFonts w:cstheme="minorHAnsi"/>
          <w:color w:val="000000"/>
        </w:rPr>
        <w:t>Federal Agency labor rates were assumed to be $</w:t>
      </w:r>
      <w:r w:rsidRPr="009E7848" w:rsidR="00B54FB7">
        <w:rPr>
          <w:rFonts w:cstheme="minorHAnsi"/>
          <w:color w:val="000000"/>
        </w:rPr>
        <w:t>94.</w:t>
      </w:r>
      <w:r w:rsidRPr="009E7848" w:rsidR="007811A2">
        <w:rPr>
          <w:rFonts w:cstheme="minorHAnsi"/>
          <w:color w:val="000000"/>
        </w:rPr>
        <w:t>49</w:t>
      </w:r>
      <w:r w:rsidRPr="009E7848">
        <w:rPr>
          <w:rFonts w:cstheme="minorHAnsi"/>
          <w:color w:val="000000"/>
        </w:rPr>
        <w:t xml:space="preserve"> per hour.  This labor rate was derived from the federal government's 202</w:t>
      </w:r>
      <w:r w:rsidRPr="009E7848" w:rsidR="00B54FB7">
        <w:rPr>
          <w:rFonts w:cstheme="minorHAnsi"/>
          <w:color w:val="000000"/>
        </w:rPr>
        <w:t>4</w:t>
      </w:r>
      <w:r w:rsidRPr="009E7848">
        <w:rPr>
          <w:rFonts w:cstheme="minorHAnsi"/>
          <w:color w:val="000000"/>
        </w:rPr>
        <w:t xml:space="preserve"> U.S. Office of Personnel Management General Schedule "Salary Table 202</w:t>
      </w:r>
      <w:r w:rsidRPr="009E7848" w:rsidR="00B54FB7">
        <w:rPr>
          <w:rFonts w:cstheme="minorHAnsi"/>
          <w:color w:val="000000"/>
        </w:rPr>
        <w:t>4</w:t>
      </w:r>
      <w:r w:rsidRPr="009E7848">
        <w:rPr>
          <w:rFonts w:cstheme="minorHAnsi"/>
          <w:color w:val="000000"/>
        </w:rPr>
        <w:t>-GS" (</w:t>
      </w:r>
      <w:hyperlink r:id="rId16" w:history="1">
        <w:r w:rsidRPr="009E7848" w:rsidR="00FF5998">
          <w:rPr>
            <w:rStyle w:val="Hyperlink"/>
            <w:rFonts w:cstheme="minorHAnsi"/>
          </w:rPr>
          <w:t>https://www.opm.gov/policy-data-</w:t>
        </w:r>
        <w:r w:rsidRPr="009E7848" w:rsidR="00FF5998">
          <w:rPr>
            <w:rStyle w:val="Hyperlink"/>
            <w:rFonts w:cstheme="minorHAnsi"/>
          </w:rPr>
          <w:t>oversight/pay-leave/salaries-wages/2024/general-schedule</w:t>
        </w:r>
      </w:hyperlink>
      <w:r w:rsidRPr="009E7848" w:rsidR="006C5D89">
        <w:rPr>
          <w:rFonts w:cstheme="minorHAnsi"/>
          <w:color w:val="000000"/>
        </w:rPr>
        <w:t>)</w:t>
      </w:r>
      <w:r w:rsidRPr="009E7848">
        <w:rPr>
          <w:rFonts w:cstheme="minorHAnsi"/>
          <w:color w:val="000000"/>
        </w:rPr>
        <w:t xml:space="preserve"> using the factors in Table 1</w:t>
      </w:r>
      <w:r w:rsidRPr="009E7848" w:rsidR="006C5D89">
        <w:rPr>
          <w:rFonts w:cstheme="minorHAnsi"/>
          <w:color w:val="000000"/>
        </w:rPr>
        <w:t>4.2</w:t>
      </w:r>
      <w:r w:rsidRPr="009E7848">
        <w:rPr>
          <w:rFonts w:cstheme="minorHAnsi"/>
          <w:color w:val="000000"/>
        </w:rPr>
        <w:t xml:space="preserve"> below.  </w:t>
      </w:r>
    </w:p>
    <w:p w:rsidR="009244E9" w:rsidRPr="009E7848" w:rsidP="009244E9" w14:paraId="2B74174F" w14:textId="274AF410">
      <w:pPr>
        <w:keepNext/>
        <w:autoSpaceDE w:val="0"/>
        <w:autoSpaceDN w:val="0"/>
        <w:adjustRightInd w:val="0"/>
        <w:jc w:val="center"/>
        <w:rPr>
          <w:rFonts w:eastAsia="Times New Roman" w:cstheme="minorHAnsi"/>
          <w:color w:val="000000"/>
        </w:rPr>
      </w:pPr>
      <w:r w:rsidRPr="009E7848">
        <w:rPr>
          <w:rFonts w:eastAsia="Times New Roman" w:cstheme="minorHAnsi"/>
          <w:color w:val="000000"/>
        </w:rPr>
        <w:t>Table 1</w:t>
      </w:r>
      <w:r w:rsidRPr="009E7848" w:rsidR="006C5D89">
        <w:rPr>
          <w:rFonts w:eastAsia="Times New Roman" w:cstheme="minorHAnsi"/>
          <w:color w:val="000000"/>
        </w:rPr>
        <w:t>4.2</w:t>
      </w:r>
      <w:r w:rsidRPr="009E7848">
        <w:rPr>
          <w:rFonts w:eastAsia="Times New Roman" w:cstheme="minorHAnsi"/>
          <w:color w:val="000000"/>
        </w:rPr>
        <w:t>:  Determination of Federal Wage Rates</w:t>
      </w:r>
    </w:p>
    <w:tbl>
      <w:tblPr>
        <w:tblW w:w="9350" w:type="dxa"/>
        <w:jc w:val="center"/>
        <w:tblLayout w:type="fixed"/>
        <w:tblCellMar>
          <w:top w:w="72" w:type="dxa"/>
          <w:left w:w="72" w:type="dxa"/>
          <w:bottom w:w="72" w:type="dxa"/>
          <w:right w:w="72" w:type="dxa"/>
        </w:tblCellMar>
        <w:tblLook w:val="04A0"/>
      </w:tblPr>
      <w:tblGrid>
        <w:gridCol w:w="6168"/>
        <w:gridCol w:w="1536"/>
        <w:gridCol w:w="1646"/>
      </w:tblGrid>
      <w:tr w14:paraId="02591B20"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9244E9" w:rsidRPr="009E7848" w:rsidP="00915E40" w14:paraId="1FAEFBF5" w14:textId="77777777">
            <w:pPr>
              <w:jc w:val="center"/>
              <w:rPr>
                <w:rFonts w:eastAsia="Times New Roman" w:cstheme="minorHAnsi"/>
                <w:b/>
                <w:bCs/>
                <w:color w:val="000000"/>
              </w:rPr>
            </w:pPr>
            <w:r w:rsidRPr="009E7848">
              <w:rPr>
                <w:rFonts w:eastAsia="Times New Roman" w:cstheme="minorHAnsi"/>
                <w:b/>
                <w:bCs/>
                <w:color w:val="000000"/>
              </w:rPr>
              <w:t xml:space="preserve">Labor category </w:t>
            </w:r>
          </w:p>
        </w:tc>
        <w:tc>
          <w:tcPr>
            <w:tcW w:w="1536" w:type="dxa"/>
            <w:tcBorders>
              <w:top w:val="single" w:sz="4" w:space="0" w:color="auto"/>
              <w:left w:val="nil"/>
              <w:bottom w:val="single" w:sz="4" w:space="0" w:color="auto"/>
              <w:right w:val="single" w:sz="4" w:space="0" w:color="auto"/>
            </w:tcBorders>
            <w:shd w:val="clear" w:color="auto" w:fill="D9D9D9"/>
            <w:noWrap/>
          </w:tcPr>
          <w:p w:rsidR="009244E9" w:rsidRPr="009E7848" w:rsidP="00915E40" w14:paraId="170499B5" w14:textId="77777777">
            <w:pPr>
              <w:keepNext/>
              <w:jc w:val="center"/>
              <w:rPr>
                <w:rFonts w:eastAsia="Times New Roman" w:cstheme="minorHAnsi"/>
                <w:b/>
                <w:bCs/>
                <w:color w:val="000000"/>
              </w:rPr>
            </w:pPr>
            <w:r w:rsidRPr="009E7848">
              <w:rPr>
                <w:rFonts w:eastAsia="Times New Roman" w:cstheme="minorHAnsi"/>
                <w:b/>
                <w:bCs/>
                <w:color w:val="000000"/>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9244E9" w:rsidRPr="009E7848" w:rsidP="00915E40" w14:paraId="268974F8" w14:textId="77777777">
            <w:pPr>
              <w:keepNext/>
              <w:jc w:val="center"/>
              <w:rPr>
                <w:rFonts w:eastAsia="Times New Roman" w:cstheme="minorHAnsi"/>
                <w:b/>
                <w:bCs/>
                <w:color w:val="000000"/>
              </w:rPr>
            </w:pPr>
            <w:r w:rsidRPr="009E7848">
              <w:rPr>
                <w:rFonts w:eastAsia="Times New Roman" w:cstheme="minorHAnsi"/>
                <w:b/>
                <w:bCs/>
                <w:color w:val="000000"/>
              </w:rPr>
              <w:t>Total</w:t>
            </w:r>
          </w:p>
        </w:tc>
      </w:tr>
      <w:tr w14:paraId="5D91AE04"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44E9" w:rsidRPr="009E7848" w:rsidP="00915E40" w14:paraId="2F72439D" w14:textId="77777777">
            <w:pPr>
              <w:keepNext/>
              <w:rPr>
                <w:rFonts w:eastAsia="Times New Roman" w:cstheme="minorHAnsi"/>
                <w:color w:val="000000"/>
              </w:rPr>
            </w:pPr>
            <w:r w:rsidRPr="009E7848">
              <w:rPr>
                <w:rFonts w:eastAsia="Times New Roman" w:cstheme="minorHAnsi"/>
                <w:color w:val="000000"/>
              </w:rPr>
              <w:t xml:space="preserve">Annual salary of technical staff, GS 13, Step 8 </w:t>
            </w:r>
          </w:p>
        </w:tc>
        <w:tc>
          <w:tcPr>
            <w:tcW w:w="1536" w:type="dxa"/>
            <w:tcBorders>
              <w:top w:val="single" w:sz="4" w:space="0" w:color="auto"/>
              <w:left w:val="nil"/>
              <w:bottom w:val="single" w:sz="4" w:space="0" w:color="auto"/>
              <w:right w:val="single" w:sz="4" w:space="0" w:color="auto"/>
            </w:tcBorders>
            <w:shd w:val="clear" w:color="auto" w:fill="auto"/>
            <w:noWrap/>
          </w:tcPr>
          <w:p w:rsidR="009244E9" w:rsidRPr="009E7848" w:rsidP="00915E40" w14:paraId="4D989F3A" w14:textId="77777777">
            <w:pPr>
              <w:keepNext/>
              <w:jc w:val="right"/>
              <w:rPr>
                <w:rFonts w:eastAsia="Times New Roman" w:cstheme="minorHAnsi"/>
                <w:color w:val="000000"/>
              </w:rPr>
            </w:pPr>
          </w:p>
        </w:tc>
        <w:tc>
          <w:tcPr>
            <w:tcW w:w="1646" w:type="dxa"/>
            <w:tcBorders>
              <w:top w:val="single" w:sz="4" w:space="0" w:color="auto"/>
              <w:left w:val="nil"/>
              <w:bottom w:val="single" w:sz="4" w:space="0" w:color="auto"/>
              <w:right w:val="single" w:sz="4" w:space="0" w:color="auto"/>
            </w:tcBorders>
            <w:shd w:val="clear" w:color="auto" w:fill="auto"/>
            <w:noWrap/>
          </w:tcPr>
          <w:p w:rsidR="009244E9" w:rsidRPr="009E7848" w:rsidP="00915E40" w14:paraId="73213F98" w14:textId="383DCEC6">
            <w:pPr>
              <w:keepNext/>
              <w:jc w:val="right"/>
              <w:rPr>
                <w:rFonts w:eastAsia="Times New Roman" w:cstheme="minorHAnsi"/>
                <w:color w:val="000000"/>
              </w:rPr>
            </w:pPr>
            <w:r w:rsidRPr="009E7848">
              <w:rPr>
                <w:rFonts w:eastAsia="Times New Roman" w:cstheme="minorHAnsi"/>
                <w:color w:val="000000"/>
              </w:rPr>
              <w:t>$</w:t>
            </w:r>
            <w:r w:rsidRPr="009E7848" w:rsidR="00387884">
              <w:rPr>
                <w:rFonts w:eastAsia="Times New Roman" w:cstheme="minorHAnsi"/>
                <w:color w:val="000000"/>
              </w:rPr>
              <w:t>109,177</w:t>
            </w:r>
          </w:p>
        </w:tc>
      </w:tr>
      <w:tr w14:paraId="04C696CA"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9244E9" w:rsidRPr="009E7848" w:rsidP="00915E40" w14:paraId="38CDBCC6" w14:textId="77777777">
            <w:pPr>
              <w:keepNext/>
              <w:rPr>
                <w:rFonts w:eastAsia="Times New Roman" w:cstheme="minorHAnsi"/>
                <w:color w:val="000000"/>
              </w:rPr>
            </w:pPr>
            <w:r w:rsidRPr="009E7848">
              <w:rPr>
                <w:rFonts w:eastAsia="Times New Roman" w:cstheme="minorHAnsi"/>
                <w:color w:val="000000"/>
              </w:rPr>
              <w:t xml:space="preserve">Annual cost of supervisory staff, GS 15, Step 8 </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47CFD24B" w14:textId="645D7DFA">
            <w:pPr>
              <w:keepNext/>
              <w:jc w:val="right"/>
              <w:rPr>
                <w:rFonts w:eastAsia="Times New Roman" w:cstheme="minorHAnsi"/>
                <w:color w:val="000000"/>
              </w:rPr>
            </w:pPr>
            <w:r w:rsidRPr="009E7848">
              <w:rPr>
                <w:rFonts w:eastAsia="Times New Roman" w:cstheme="minorHAnsi"/>
                <w:color w:val="000000"/>
              </w:rPr>
              <w:t>$</w:t>
            </w:r>
            <w:r w:rsidRPr="009E7848" w:rsidR="00387884">
              <w:rPr>
                <w:rFonts w:eastAsia="Times New Roman" w:cstheme="minorHAnsi"/>
                <w:color w:val="000000"/>
              </w:rPr>
              <w:t>151,748</w:t>
            </w:r>
          </w:p>
        </w:tc>
        <w:tc>
          <w:tcPr>
            <w:tcW w:w="1646" w:type="dxa"/>
            <w:tcBorders>
              <w:top w:val="nil"/>
              <w:left w:val="nil"/>
              <w:bottom w:val="single" w:sz="4" w:space="0" w:color="auto"/>
              <w:right w:val="single" w:sz="4" w:space="0" w:color="auto"/>
            </w:tcBorders>
            <w:shd w:val="clear" w:color="auto" w:fill="auto"/>
            <w:noWrap/>
          </w:tcPr>
          <w:p w:rsidR="009244E9" w:rsidRPr="009E7848" w:rsidP="00915E40" w14:paraId="0AC36356" w14:textId="77777777">
            <w:pPr>
              <w:keepNext/>
              <w:jc w:val="right"/>
              <w:rPr>
                <w:rFonts w:eastAsia="Times New Roman" w:cstheme="minorHAnsi"/>
                <w:color w:val="000000"/>
              </w:rPr>
            </w:pPr>
          </w:p>
        </w:tc>
      </w:tr>
      <w:tr w14:paraId="5E78D590"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9244E9" w:rsidRPr="009E7848" w:rsidP="00915E40" w14:paraId="51936DDE" w14:textId="77777777">
            <w:pPr>
              <w:rPr>
                <w:rFonts w:eastAsia="Times New Roman" w:cstheme="minorHAnsi"/>
                <w:color w:val="000000"/>
              </w:rPr>
            </w:pPr>
            <w:r w:rsidRPr="009E7848">
              <w:rPr>
                <w:rFonts w:eastAsia="Times New Roman" w:cstheme="minorHAnsi"/>
                <w:color w:val="000000"/>
              </w:rPr>
              <w:t>Factor (1/11) applied to cost of supervisory staff</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1FEAB71D" w14:textId="77777777">
            <w:pPr>
              <w:jc w:val="right"/>
              <w:rPr>
                <w:rFonts w:eastAsia="Times New Roman" w:cstheme="minorHAnsi"/>
                <w:color w:val="000000"/>
              </w:rPr>
            </w:pPr>
            <w:r w:rsidRPr="009E7848">
              <w:rPr>
                <w:rFonts w:eastAsia="Times New Roman" w:cstheme="minorHAnsi"/>
                <w:color w:val="000000"/>
              </w:rPr>
              <w:t>0.09</w:t>
            </w:r>
          </w:p>
        </w:tc>
        <w:tc>
          <w:tcPr>
            <w:tcW w:w="1646" w:type="dxa"/>
            <w:tcBorders>
              <w:top w:val="nil"/>
              <w:left w:val="nil"/>
              <w:bottom w:val="single" w:sz="4" w:space="0" w:color="auto"/>
              <w:right w:val="single" w:sz="4" w:space="0" w:color="auto"/>
            </w:tcBorders>
            <w:shd w:val="clear" w:color="auto" w:fill="auto"/>
            <w:noWrap/>
          </w:tcPr>
          <w:p w:rsidR="009244E9" w:rsidRPr="009E7848" w:rsidP="00915E40" w14:paraId="0A7FA8BB" w14:textId="77777777">
            <w:pPr>
              <w:jc w:val="right"/>
              <w:rPr>
                <w:rFonts w:eastAsia="Times New Roman" w:cstheme="minorHAnsi"/>
                <w:color w:val="000000"/>
              </w:rPr>
            </w:pPr>
          </w:p>
        </w:tc>
      </w:tr>
      <w:tr w14:paraId="075DC2AF"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9244E9" w:rsidRPr="009E7848" w:rsidP="00915E40" w14:paraId="5CA5E807" w14:textId="77777777">
            <w:pPr>
              <w:rPr>
                <w:rFonts w:eastAsia="Times New Roman" w:cstheme="minorHAnsi"/>
                <w:color w:val="000000"/>
              </w:rPr>
            </w:pPr>
            <w:r w:rsidRPr="009E7848">
              <w:rPr>
                <w:rFonts w:eastAsia="Times New Roman" w:cstheme="minorHAnsi"/>
                <w:color w:val="000000"/>
              </w:rPr>
              <w:t> </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63C331E7" w14:textId="77777777">
            <w:pPr>
              <w:jc w:val="right"/>
              <w:rPr>
                <w:rFonts w:eastAsia="Times New Roman" w:cstheme="minorHAnsi"/>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9244E9" w:rsidRPr="009E7848" w:rsidP="00915E40" w14:paraId="525E5132" w14:textId="7AB8DBA1">
            <w:pPr>
              <w:jc w:val="right"/>
              <w:rPr>
                <w:rFonts w:eastAsia="Times New Roman" w:cstheme="minorHAnsi"/>
                <w:color w:val="000000"/>
              </w:rPr>
            </w:pPr>
            <w:r w:rsidRPr="009E7848">
              <w:rPr>
                <w:rFonts w:eastAsia="Times New Roman" w:cstheme="minorHAnsi"/>
                <w:color w:val="000000"/>
              </w:rPr>
              <w:t>$</w:t>
            </w:r>
            <w:r w:rsidRPr="009E7848" w:rsidR="00387884">
              <w:rPr>
                <w:rFonts w:eastAsia="Times New Roman" w:cstheme="minorHAnsi"/>
                <w:color w:val="000000"/>
              </w:rPr>
              <w:t>13,657.32</w:t>
            </w:r>
            <w:r w:rsidRPr="009E7848">
              <w:rPr>
                <w:rFonts w:eastAsia="Times New Roman" w:cstheme="minorHAnsi"/>
                <w:color w:val="000000"/>
              </w:rPr>
              <w:t xml:space="preserve"> </w:t>
            </w:r>
          </w:p>
        </w:tc>
      </w:tr>
      <w:tr w14:paraId="494B7726"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9244E9" w:rsidRPr="009E7848" w:rsidP="00915E40" w14:paraId="33026D0C" w14:textId="77777777">
            <w:pPr>
              <w:rPr>
                <w:rFonts w:eastAsia="Times New Roman" w:cstheme="minorHAnsi"/>
                <w:color w:val="000000"/>
              </w:rPr>
            </w:pPr>
            <w:r w:rsidRPr="009E7848">
              <w:rPr>
                <w:rFonts w:eastAsia="Times New Roman" w:cstheme="minorHAnsi"/>
                <w:color w:val="000000"/>
              </w:rPr>
              <w:t>Benefits</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7F1E250B" w14:textId="77777777">
            <w:pPr>
              <w:jc w:val="right"/>
              <w:rPr>
                <w:rFonts w:eastAsia="Times New Roman" w:cstheme="minorHAnsi"/>
                <w:color w:val="000000"/>
              </w:rPr>
            </w:pPr>
            <w:r w:rsidRPr="009E7848">
              <w:rPr>
                <w:rFonts w:eastAsia="Times New Roman" w:cstheme="minorHAnsi"/>
                <w:color w:val="000000"/>
              </w:rPr>
              <w:t>1.6</w:t>
            </w:r>
          </w:p>
        </w:tc>
        <w:tc>
          <w:tcPr>
            <w:tcW w:w="1646" w:type="dxa"/>
            <w:tcBorders>
              <w:top w:val="nil"/>
              <w:left w:val="nil"/>
              <w:bottom w:val="single" w:sz="4" w:space="0" w:color="auto"/>
              <w:right w:val="single" w:sz="4" w:space="0" w:color="auto"/>
            </w:tcBorders>
            <w:shd w:val="clear" w:color="auto" w:fill="auto"/>
            <w:noWrap/>
            <w:vAlign w:val="bottom"/>
          </w:tcPr>
          <w:p w:rsidR="009244E9" w:rsidRPr="009E7848" w:rsidP="00915E40" w14:paraId="42802656" w14:textId="77777777">
            <w:pPr>
              <w:jc w:val="right"/>
              <w:rPr>
                <w:rFonts w:eastAsia="Times New Roman" w:cstheme="minorHAnsi"/>
                <w:color w:val="000000"/>
              </w:rPr>
            </w:pPr>
          </w:p>
        </w:tc>
      </w:tr>
      <w:tr w14:paraId="5DF9658F"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9244E9" w:rsidRPr="009E7848" w:rsidP="00915E40" w14:paraId="6F26D8B3" w14:textId="77777777">
            <w:pPr>
              <w:rPr>
                <w:rFonts w:eastAsia="Times New Roman" w:cstheme="minorHAnsi"/>
                <w:color w:val="000000"/>
              </w:rPr>
            </w:pPr>
            <w:r w:rsidRPr="009E7848">
              <w:rPr>
                <w:rFonts w:eastAsia="Times New Roman" w:cstheme="minorHAnsi"/>
                <w:color w:val="000000"/>
              </w:rPr>
              <w:t xml:space="preserve">Total cost per FTE </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40543A72" w14:textId="77777777">
            <w:pPr>
              <w:jc w:val="right"/>
              <w:rPr>
                <w:rFonts w:eastAsia="Times New Roman" w:cstheme="minorHAnsi"/>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9244E9" w:rsidRPr="009E7848" w:rsidP="00915E40" w14:paraId="7A530525" w14:textId="2CA2011E">
            <w:pPr>
              <w:jc w:val="right"/>
              <w:rPr>
                <w:rFonts w:eastAsia="Times New Roman" w:cstheme="minorHAnsi"/>
                <w:color w:val="000000"/>
              </w:rPr>
            </w:pPr>
            <w:r w:rsidRPr="009E7848">
              <w:rPr>
                <w:rFonts w:eastAsia="Times New Roman" w:cstheme="minorHAnsi"/>
                <w:color w:val="000000"/>
              </w:rPr>
              <w:t>$</w:t>
            </w:r>
            <w:r w:rsidRPr="009E7848" w:rsidR="00387884">
              <w:rPr>
                <w:rFonts w:eastAsia="Times New Roman" w:cstheme="minorHAnsi"/>
                <w:color w:val="000000"/>
              </w:rPr>
              <w:t>196,534.91</w:t>
            </w:r>
            <w:r w:rsidRPr="009E7848">
              <w:rPr>
                <w:rFonts w:eastAsia="Times New Roman" w:cstheme="minorHAnsi"/>
                <w:color w:val="000000"/>
              </w:rPr>
              <w:t xml:space="preserve"> </w:t>
            </w:r>
          </w:p>
        </w:tc>
      </w:tr>
      <w:tr w14:paraId="27AC11B9" w14:textId="77777777" w:rsidTr="00915E40">
        <w:tblPrEx>
          <w:tblW w:w="9350" w:type="dxa"/>
          <w:jc w:val="center"/>
          <w:tblLayout w:type="fixed"/>
          <w:tblCellMar>
            <w:top w:w="72" w:type="dxa"/>
            <w:left w:w="72" w:type="dxa"/>
            <w:bottom w:w="72" w:type="dxa"/>
            <w:right w:w="72" w:type="dxa"/>
          </w:tblCellMar>
          <w:tblLook w:val="04A0"/>
        </w:tblPrEx>
        <w:trPr>
          <w:trHeight w:val="23"/>
          <w:jc w:val="center"/>
        </w:trPr>
        <w:tc>
          <w:tcPr>
            <w:tcW w:w="6168" w:type="dxa"/>
            <w:tcBorders>
              <w:top w:val="nil"/>
              <w:left w:val="single" w:sz="4" w:space="0" w:color="auto"/>
              <w:bottom w:val="single" w:sz="4" w:space="0" w:color="auto"/>
              <w:right w:val="single" w:sz="4" w:space="0" w:color="auto"/>
            </w:tcBorders>
            <w:shd w:val="clear" w:color="auto" w:fill="auto"/>
            <w:vAlign w:val="bottom"/>
          </w:tcPr>
          <w:p w:rsidR="009244E9" w:rsidRPr="009E7848" w:rsidP="00915E40" w14:paraId="43BA0860" w14:textId="77777777">
            <w:pPr>
              <w:rPr>
                <w:rFonts w:eastAsia="Times New Roman" w:cstheme="minorHAnsi"/>
                <w:color w:val="000000"/>
              </w:rPr>
            </w:pPr>
            <w:r w:rsidRPr="009E7848">
              <w:rPr>
                <w:rFonts w:eastAsia="Times New Roman" w:cstheme="minorHAnsi"/>
                <w:color w:val="000000"/>
              </w:rPr>
              <w:t>Total hourly cost (total cost per FTE divided by 2,080 hours per year)</w:t>
            </w:r>
          </w:p>
        </w:tc>
        <w:tc>
          <w:tcPr>
            <w:tcW w:w="1536" w:type="dxa"/>
            <w:tcBorders>
              <w:top w:val="nil"/>
              <w:left w:val="nil"/>
              <w:bottom w:val="single" w:sz="4" w:space="0" w:color="auto"/>
              <w:right w:val="single" w:sz="4" w:space="0" w:color="auto"/>
            </w:tcBorders>
            <w:shd w:val="clear" w:color="auto" w:fill="auto"/>
            <w:noWrap/>
          </w:tcPr>
          <w:p w:rsidR="009244E9" w:rsidRPr="009E7848" w:rsidP="00915E40" w14:paraId="52E01427" w14:textId="77777777">
            <w:pPr>
              <w:jc w:val="right"/>
              <w:rPr>
                <w:rFonts w:eastAsia="Times New Roman" w:cstheme="minorHAnsi"/>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9244E9" w:rsidRPr="009E7848" w:rsidP="00915E40" w14:paraId="79720EBB" w14:textId="7EDB623A">
            <w:pPr>
              <w:jc w:val="right"/>
              <w:rPr>
                <w:rFonts w:eastAsia="Times New Roman" w:cstheme="minorHAnsi"/>
                <w:color w:val="000000"/>
              </w:rPr>
            </w:pPr>
            <w:r w:rsidRPr="009E7848">
              <w:rPr>
                <w:rFonts w:eastAsia="Times New Roman" w:cstheme="minorHAnsi"/>
                <w:color w:val="000000"/>
              </w:rPr>
              <w:t>$</w:t>
            </w:r>
            <w:r w:rsidRPr="009E7848" w:rsidR="00387884">
              <w:rPr>
                <w:rFonts w:eastAsia="Times New Roman" w:cstheme="minorHAnsi"/>
                <w:color w:val="000000"/>
              </w:rPr>
              <w:t>94.</w:t>
            </w:r>
            <w:r w:rsidRPr="009E7848" w:rsidR="007811A2">
              <w:rPr>
                <w:rFonts w:eastAsia="Times New Roman" w:cstheme="minorHAnsi"/>
                <w:color w:val="000000"/>
              </w:rPr>
              <w:t>49</w:t>
            </w:r>
            <w:r w:rsidRPr="009E7848">
              <w:rPr>
                <w:rFonts w:eastAsia="Times New Roman" w:cstheme="minorHAnsi"/>
                <w:color w:val="000000"/>
              </w:rPr>
              <w:t xml:space="preserve"> </w:t>
            </w:r>
          </w:p>
        </w:tc>
      </w:tr>
    </w:tbl>
    <w:p w:rsidR="0043539E" w:rsidRPr="009E7848" w:rsidP="00854AAE" w14:paraId="269BF683" w14:textId="77777777">
      <w:pPr>
        <w:spacing w:before="120" w:after="0"/>
        <w:rPr>
          <w:rFonts w:eastAsiaTheme="majorEastAsia" w:cstheme="minorHAnsi"/>
        </w:rPr>
      </w:pPr>
    </w:p>
    <w:p w:rsidR="00D17BB9" w:rsidRPr="009E7848" w:rsidP="00854AAE" w14:paraId="164B7E2B" w14:textId="677FA2F8">
      <w:pPr>
        <w:spacing w:before="120" w:after="0"/>
        <w:rPr>
          <w:rFonts w:cstheme="minorHAnsi"/>
          <w:b/>
          <w:bCs/>
        </w:rPr>
      </w:pPr>
      <w:r w:rsidRPr="009E7848">
        <w:rPr>
          <w:rFonts w:eastAsiaTheme="majorEastAsia" w:cstheme="minorHAnsi"/>
          <w:b/>
          <w:bCs/>
        </w:rPr>
        <w:t xml:space="preserve">14c. </w:t>
      </w:r>
      <w:r w:rsidRPr="009E7848">
        <w:rPr>
          <w:rFonts w:eastAsiaTheme="majorEastAsia" w:cstheme="minorHAnsi"/>
          <w:b/>
          <w:bCs/>
        </w:rPr>
        <w:t>Agency Non-Labor Costs</w:t>
      </w:r>
    </w:p>
    <w:p w:rsidR="0090218F" w:rsidRPr="009E7848" w:rsidP="0090218F" w14:paraId="7F7D99E5" w14:textId="6DDABD2B">
      <w:pPr>
        <w:spacing w:before="120" w:after="0" w:line="276" w:lineRule="auto"/>
        <w:rPr>
          <w:rFonts w:cstheme="minorHAnsi"/>
        </w:rPr>
      </w:pPr>
      <w:r w:rsidRPr="009E7848">
        <w:rPr>
          <w:rStyle w:val="normaltextrun"/>
          <w:rFonts w:ascii="Calibri" w:hAnsi="Calibri" w:cs="Calibri"/>
          <w:color w:val="000000"/>
          <w:shd w:val="clear" w:color="auto" w:fill="FFFFFF"/>
        </w:rPr>
        <w:t>The EPA operates and maintains a data system for the electronic submission of allowance transfers, certification of representation updates, emissions data, monitoring plans, auction bids, etc. EPA incurs annual operation and maintenance (O&amp;M) costs for running the system that consists of multiple applications and databases and requires regular maintenance and system enhancements. The system manages these tasks related to the Acid Rain, CSAPR, and Texas SO</w:t>
      </w:r>
      <w:r w:rsidRPr="009E7848">
        <w:rPr>
          <w:rStyle w:val="normaltextrun"/>
          <w:rFonts w:ascii="Calibri" w:hAnsi="Calibri" w:cs="Calibri"/>
          <w:color w:val="000000"/>
          <w:shd w:val="clear" w:color="auto" w:fill="FFFFFF"/>
          <w:vertAlign w:val="subscript"/>
        </w:rPr>
        <w:t>2</w:t>
      </w:r>
      <w:r w:rsidRPr="009E7848">
        <w:rPr>
          <w:rStyle w:val="normaltextrun"/>
          <w:rFonts w:ascii="Calibri" w:hAnsi="Calibri" w:cs="Calibri"/>
          <w:color w:val="000000"/>
          <w:shd w:val="clear" w:color="auto" w:fill="FFFFFF"/>
        </w:rPr>
        <w:t xml:space="preserve"> programs. The system O&amp;M costs are accounted for in the Acid Rain Program ICR and no further non-labor agency costs are relevant for this ICR. </w:t>
      </w:r>
      <w:r w:rsidRPr="009E7848">
        <w:rPr>
          <w:rFonts w:cstheme="minorHAnsi"/>
        </w:rPr>
        <w:t xml:space="preserve"> </w:t>
      </w:r>
    </w:p>
    <w:p w:rsidR="00BB3410" w:rsidRPr="009E7848" w:rsidP="0090218F" w14:paraId="7FCA1ABF" w14:textId="15C346BE">
      <w:pPr>
        <w:tabs>
          <w:tab w:val="left" w:pos="1142"/>
        </w:tabs>
        <w:spacing w:before="60"/>
        <w:rPr>
          <w:rFonts w:cstheme="minorHAnsi"/>
        </w:rPr>
      </w:pPr>
    </w:p>
    <w:p w:rsidR="004620CA" w:rsidRPr="009E7848" w:rsidP="00BF5317" w14:paraId="3144CC9D" w14:textId="72F4E703">
      <w:pPr>
        <w:pStyle w:val="ListParagraph"/>
        <w:numPr>
          <w:ilvl w:val="0"/>
          <w:numId w:val="3"/>
        </w:numPr>
        <w:spacing w:before="240" w:after="0"/>
        <w:rPr>
          <w:rFonts w:cstheme="minorHAnsi"/>
          <w:b/>
          <w:bCs/>
        </w:rPr>
      </w:pPr>
      <w:r w:rsidRPr="009E7848">
        <w:rPr>
          <w:rFonts w:cstheme="minorHAnsi"/>
          <w:b/>
          <w:bCs/>
        </w:rPr>
        <w:t xml:space="preserve">REASONS FOR </w:t>
      </w:r>
      <w:r w:rsidRPr="009E7848" w:rsidR="00AD46F7">
        <w:rPr>
          <w:rFonts w:cstheme="minorHAnsi"/>
          <w:b/>
          <w:bCs/>
        </w:rPr>
        <w:t>CHANGE IN BURDEN</w:t>
      </w:r>
      <w:bookmarkEnd w:id="20"/>
    </w:p>
    <w:p w:rsidR="001F0834" w:rsidRPr="009E7848" w:rsidP="00854AAE" w14:paraId="567B01FE" w14:textId="77777777">
      <w:pPr>
        <w:pBdr>
          <w:bottom w:val="single" w:sz="12" w:space="1" w:color="auto"/>
        </w:pBdr>
        <w:spacing w:before="60"/>
        <w:rPr>
          <w:rFonts w:cstheme="minorHAnsi"/>
          <w:bCs/>
          <w:i/>
          <w:iCs/>
        </w:rPr>
      </w:pPr>
      <w:r w:rsidRPr="009E7848">
        <w:rPr>
          <w:rFonts w:cstheme="minorHAnsi"/>
          <w:bCs/>
          <w:i/>
          <w:iCs/>
        </w:rPr>
        <w:t>Explain the reasons for any program changes or adjustments reported in the burden or capital/O&amp;M cost estimates.</w:t>
      </w:r>
    </w:p>
    <w:p w:rsidR="005D49F1" w:rsidRPr="009E7848" w:rsidP="62F4F56F" w14:paraId="49700EC1" w14:textId="02E11ACF">
      <w:pPr>
        <w:pBdr>
          <w:top w:val="single" w:sz="6" w:space="0" w:color="FFFFFF"/>
          <w:left w:val="single" w:sz="6" w:space="0" w:color="FFFFFF"/>
          <w:bottom w:val="single" w:sz="6" w:space="0" w:color="FFFFFF"/>
          <w:right w:val="single" w:sz="6" w:space="0" w:color="FFFFFF"/>
        </w:pBdr>
      </w:pPr>
      <w:r w:rsidRPr="009E7848">
        <w:t>There are minor differences in the burden and costs associated with the previous ICR for the CSAPR and Texas SO</w:t>
      </w:r>
      <w:r w:rsidRPr="009E7848">
        <w:rPr>
          <w:vertAlign w:val="subscript"/>
        </w:rPr>
        <w:t>2</w:t>
      </w:r>
      <w:r w:rsidRPr="009E7848">
        <w:t xml:space="preserve"> trading programs as overall burden hours decreased by </w:t>
      </w:r>
      <w:r w:rsidRPr="009E7848" w:rsidR="35B631D3">
        <w:t>4,279</w:t>
      </w:r>
      <w:r w:rsidRPr="009E7848">
        <w:t xml:space="preserve"> and costs </w:t>
      </w:r>
      <w:r w:rsidRPr="009E7848" w:rsidR="7AA5F222">
        <w:t>increased</w:t>
      </w:r>
      <w:r w:rsidRPr="009E7848">
        <w:t xml:space="preserve"> by $112,763. The main reason for the</w:t>
      </w:r>
      <w:r w:rsidRPr="009E7848" w:rsidR="16EF3470">
        <w:t xml:space="preserve"> burden</w:t>
      </w:r>
      <w:r w:rsidRPr="009E7848">
        <w:t xml:space="preserve"> decrease is due to fewer units subjected to the CSAPR and Texas SO</w:t>
      </w:r>
      <w:r w:rsidRPr="009E7848">
        <w:rPr>
          <w:vertAlign w:val="subscript"/>
        </w:rPr>
        <w:t>2</w:t>
      </w:r>
      <w:r w:rsidRPr="009E7848">
        <w:t xml:space="preserve"> trading programs </w:t>
      </w:r>
      <w:r w:rsidRPr="009E7848" w:rsidR="6FB37120">
        <w:t xml:space="preserve">due to retirements and a shift to less burdensome monitoring </w:t>
      </w:r>
      <w:r w:rsidRPr="009E7848" w:rsidR="00213723">
        <w:t>methodologies</w:t>
      </w:r>
      <w:r w:rsidRPr="009E7848" w:rsidR="6FB37120">
        <w:t xml:space="preserve">. </w:t>
      </w:r>
      <w:r w:rsidRPr="009E7848">
        <w:t>A</w:t>
      </w:r>
      <w:r w:rsidRPr="009E7848" w:rsidR="080AE643">
        <w:t>n</w:t>
      </w:r>
      <w:r w:rsidRPr="009E7848">
        <w:t xml:space="preserve"> </w:t>
      </w:r>
      <w:r w:rsidRPr="009E7848" w:rsidR="72310AB9">
        <w:t>increase i</w:t>
      </w:r>
      <w:r w:rsidRPr="009E7848">
        <w:t xml:space="preserve">n costs </w:t>
      </w:r>
      <w:r w:rsidRPr="009E7848" w:rsidR="1F756EBF">
        <w:t>is due</w:t>
      </w:r>
      <w:r w:rsidRPr="009E7848" w:rsidR="49F6E420">
        <w:t xml:space="preserve"> to </w:t>
      </w:r>
      <w:r w:rsidRPr="009E7848" w:rsidR="061FE78F">
        <w:t xml:space="preserve">the update of the hourly </w:t>
      </w:r>
      <w:r w:rsidRPr="009E7848" w:rsidR="560D6E30">
        <w:t>labor costs and the hourly burden associated with certain monitoring tasks</w:t>
      </w:r>
      <w:r w:rsidRPr="009E7848">
        <w:t xml:space="preserve">.  </w:t>
      </w:r>
    </w:p>
    <w:p w:rsidR="005D49F1" w:rsidRPr="009E7848" w:rsidP="00854AAE" w14:paraId="687D1950" w14:textId="77777777">
      <w:pPr>
        <w:pBdr>
          <w:top w:val="single" w:sz="6" w:space="0" w:color="FFFFFF"/>
          <w:left w:val="single" w:sz="6" w:space="0" w:color="FFFFFF"/>
          <w:bottom w:val="single" w:sz="6" w:space="0" w:color="FFFFFF"/>
          <w:right w:val="single" w:sz="6" w:space="0" w:color="FFFFFF"/>
        </w:pBdr>
        <w:rPr>
          <w:rFonts w:cstheme="minorHAnsi"/>
        </w:rPr>
      </w:pPr>
    </w:p>
    <w:p w:rsidR="005D140B" w:rsidRPr="009E7848" w:rsidP="00BF5317" w14:paraId="3604F417" w14:textId="5D0F3160">
      <w:pPr>
        <w:pStyle w:val="ListParagraph"/>
        <w:numPr>
          <w:ilvl w:val="0"/>
          <w:numId w:val="3"/>
        </w:numPr>
        <w:spacing w:before="240" w:after="0"/>
        <w:rPr>
          <w:rFonts w:cstheme="minorHAnsi"/>
          <w:b/>
          <w:bCs/>
        </w:rPr>
      </w:pPr>
      <w:bookmarkStart w:id="21" w:name="_Toc156593389"/>
      <w:r w:rsidRPr="009E7848">
        <w:rPr>
          <w:rFonts w:cstheme="minorHAnsi"/>
          <w:b/>
          <w:bCs/>
        </w:rPr>
        <w:t xml:space="preserve">PUBLICATION OF </w:t>
      </w:r>
      <w:bookmarkStart w:id="22" w:name="_Toc156593390"/>
      <w:bookmarkEnd w:id="21"/>
      <w:r w:rsidRPr="009E7848" w:rsidR="00E73E81">
        <w:rPr>
          <w:rFonts w:cstheme="minorHAnsi"/>
          <w:b/>
          <w:bCs/>
        </w:rPr>
        <w:t>DATA</w:t>
      </w:r>
    </w:p>
    <w:p w:rsidR="001F0834" w:rsidRPr="009E7848" w:rsidP="00854AAE" w14:paraId="21A4F990" w14:textId="77777777">
      <w:pPr>
        <w:pBdr>
          <w:bottom w:val="single" w:sz="12" w:space="1" w:color="auto"/>
        </w:pBdr>
        <w:spacing w:before="60"/>
        <w:rPr>
          <w:rFonts w:cstheme="minorHAnsi"/>
          <w:bCs/>
          <w:i/>
          <w:iCs/>
        </w:rPr>
      </w:pPr>
      <w:r w:rsidRPr="009E7848">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7983" w:rsidRPr="009E7848" w:rsidP="00854AAE" w14:paraId="4630EFB1" w14:textId="612E2360">
      <w:pPr>
        <w:pBdr>
          <w:top w:val="single" w:sz="6" w:space="0" w:color="FFFFFF"/>
          <w:left w:val="single" w:sz="6" w:space="0" w:color="FFFFFF"/>
          <w:bottom w:val="single" w:sz="6" w:space="0" w:color="FFFFFF"/>
          <w:right w:val="single" w:sz="6" w:space="0" w:color="FFFFFF"/>
        </w:pBdr>
        <w:rPr>
          <w:rFonts w:cstheme="minorHAnsi"/>
        </w:rPr>
      </w:pPr>
      <w:r w:rsidRPr="009E7848">
        <w:rPr>
          <w:rFonts w:cstheme="minorHAnsi"/>
        </w:rPr>
        <w:t>Data from sources regarding emissions, allowances, compliance, and facility information will be published on the Clean Air Markets Program Data (CAMPD) site. Data is published automatically to CAMPD. Allowance transfer data is published daily, emissions data is published quarterly, and compliance data is published yearly.</w:t>
      </w:r>
    </w:p>
    <w:p w:rsidR="000266CF" w:rsidRPr="009E7848" w:rsidP="00854AAE" w14:paraId="7A4606C4" w14:textId="77777777">
      <w:pPr>
        <w:pBdr>
          <w:top w:val="single" w:sz="6" w:space="0" w:color="FFFFFF"/>
          <w:left w:val="single" w:sz="6" w:space="0" w:color="FFFFFF"/>
          <w:bottom w:val="single" w:sz="6" w:space="0" w:color="FFFFFF"/>
          <w:right w:val="single" w:sz="6" w:space="0" w:color="FFFFFF"/>
        </w:pBdr>
        <w:rPr>
          <w:rFonts w:cstheme="minorHAnsi"/>
        </w:rPr>
      </w:pPr>
    </w:p>
    <w:p w:rsidR="00627768" w:rsidRPr="009E7848" w:rsidP="00BF5317" w14:paraId="54E9D2D0" w14:textId="67124984">
      <w:pPr>
        <w:pStyle w:val="ListParagraph"/>
        <w:numPr>
          <w:ilvl w:val="0"/>
          <w:numId w:val="3"/>
        </w:numPr>
        <w:spacing w:before="240" w:after="0"/>
        <w:rPr>
          <w:rFonts w:cstheme="minorHAnsi"/>
          <w:b/>
          <w:bCs/>
        </w:rPr>
      </w:pPr>
      <w:r w:rsidRPr="009E7848">
        <w:rPr>
          <w:rFonts w:cstheme="minorHAnsi"/>
          <w:b/>
          <w:bCs/>
        </w:rPr>
        <w:t xml:space="preserve">DISPLAY </w:t>
      </w:r>
      <w:r w:rsidRPr="009E7848" w:rsidR="00644EBE">
        <w:rPr>
          <w:rFonts w:cstheme="minorHAnsi"/>
          <w:b/>
          <w:bCs/>
        </w:rPr>
        <w:t xml:space="preserve">OF </w:t>
      </w:r>
      <w:r w:rsidRPr="009E7848" w:rsidR="000D5863">
        <w:rPr>
          <w:rFonts w:cstheme="minorHAnsi"/>
          <w:b/>
          <w:bCs/>
        </w:rPr>
        <w:t>EXPIRATION DATE</w:t>
      </w:r>
      <w:bookmarkEnd w:id="22"/>
      <w:r w:rsidRPr="009E7848" w:rsidR="00644EBE">
        <w:rPr>
          <w:rFonts w:cstheme="minorHAnsi"/>
          <w:b/>
          <w:bCs/>
        </w:rPr>
        <w:t xml:space="preserve"> </w:t>
      </w:r>
    </w:p>
    <w:p w:rsidR="001F0834" w:rsidRPr="009E7848" w:rsidP="00854AAE" w14:paraId="23256265" w14:textId="77777777">
      <w:pPr>
        <w:pBdr>
          <w:bottom w:val="single" w:sz="12" w:space="1" w:color="auto"/>
        </w:pBdr>
        <w:spacing w:before="60"/>
        <w:rPr>
          <w:rFonts w:cstheme="minorHAnsi"/>
          <w:i/>
          <w:iCs/>
        </w:rPr>
      </w:pPr>
      <w:r w:rsidRPr="009E7848">
        <w:rPr>
          <w:rFonts w:cstheme="minorHAnsi"/>
          <w:i/>
          <w:iCs/>
        </w:rPr>
        <w:t>If seeking approval to not display the expiration date for OMB approval of the information collection, explain the reasons that display would be inappropriate.</w:t>
      </w:r>
    </w:p>
    <w:p w:rsidR="00ED57A4" w:rsidRPr="009E7848" w:rsidP="00854AAE" w14:paraId="38543EA2" w14:textId="3B49F626">
      <w:pPr>
        <w:pBdr>
          <w:top w:val="single" w:sz="6" w:space="0" w:color="FFFFFF"/>
          <w:left w:val="single" w:sz="6" w:space="0" w:color="FFFFFF"/>
          <w:bottom w:val="single" w:sz="6" w:space="0" w:color="FFFFFF"/>
          <w:right w:val="single" w:sz="6" w:space="0" w:color="FFFFFF"/>
        </w:pBdr>
        <w:rPr>
          <w:rFonts w:cstheme="minorHAnsi"/>
        </w:rPr>
      </w:pPr>
      <w:r w:rsidRPr="009E7848">
        <w:rPr>
          <w:rFonts w:cstheme="minorHAnsi"/>
        </w:rPr>
        <w:t xml:space="preserve">N/A – Expiration date may be displayed. </w:t>
      </w:r>
    </w:p>
    <w:p w:rsidR="005D49F1" w:rsidRPr="009E7848" w:rsidP="00854AAE" w14:paraId="220AF941" w14:textId="77777777">
      <w:pPr>
        <w:pBdr>
          <w:top w:val="single" w:sz="6" w:space="0" w:color="FFFFFF"/>
          <w:left w:val="single" w:sz="6" w:space="0" w:color="FFFFFF"/>
          <w:bottom w:val="single" w:sz="6" w:space="0" w:color="FFFFFF"/>
          <w:right w:val="single" w:sz="6" w:space="0" w:color="FFFFFF"/>
        </w:pBdr>
        <w:rPr>
          <w:rFonts w:cstheme="minorHAnsi"/>
        </w:rPr>
      </w:pPr>
    </w:p>
    <w:p w:rsidR="00691828" w:rsidRPr="009E7848" w:rsidP="00BF5317" w14:paraId="7CCB26DD" w14:textId="4CB12282">
      <w:pPr>
        <w:pStyle w:val="ListParagraph"/>
        <w:numPr>
          <w:ilvl w:val="0"/>
          <w:numId w:val="3"/>
        </w:numPr>
        <w:spacing w:before="240" w:after="0"/>
        <w:rPr>
          <w:rFonts w:cstheme="minorHAnsi"/>
          <w:b/>
          <w:bCs/>
        </w:rPr>
      </w:pPr>
      <w:bookmarkStart w:id="23" w:name="_Toc156593391"/>
      <w:r w:rsidRPr="009E7848">
        <w:rPr>
          <w:rFonts w:cstheme="minorHAnsi"/>
          <w:b/>
          <w:bCs/>
        </w:rPr>
        <w:t>CERTIFICATION STATEMENT</w:t>
      </w:r>
      <w:bookmarkEnd w:id="23"/>
    </w:p>
    <w:p w:rsidR="001F0834" w:rsidRPr="009E7848" w:rsidP="00854AAE" w14:paraId="59893047" w14:textId="77777777">
      <w:pPr>
        <w:pBdr>
          <w:bottom w:val="single" w:sz="12" w:space="1" w:color="auto"/>
        </w:pBdr>
        <w:spacing w:before="60"/>
        <w:rPr>
          <w:rFonts w:cstheme="minorHAnsi"/>
          <w:i/>
          <w:iCs/>
        </w:rPr>
      </w:pPr>
      <w:r w:rsidRPr="009E7848">
        <w:rPr>
          <w:rFonts w:cstheme="minorHAnsi"/>
          <w:i/>
          <w:iCs/>
        </w:rPr>
        <w:t>Explain each exception to the topics of the certification statement identified in “Certification for Paperwork Reduction Act Submissions.”</w:t>
      </w:r>
    </w:p>
    <w:p w:rsidR="00BB3410" w:rsidRPr="00CF01E1" w:rsidP="00F07F3C" w14:paraId="02BFB1B4" w14:textId="69DE12B2">
      <w:pPr>
        <w:rPr>
          <w:rFonts w:cstheme="minorHAnsi"/>
        </w:rPr>
      </w:pPr>
      <w:r w:rsidRPr="009E7848">
        <w:rPr>
          <w:rFonts w:cstheme="minorHAnsi"/>
        </w:rPr>
        <w:t>This information collection complies with all provisions of the Certification for Paperwork Reduction Act Submissions</w:t>
      </w:r>
    </w:p>
    <w:sectPr w:rsidSect="00F07F3C">
      <w:footerReference w:type="default" r:id="rId1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P="00915E40" w14:paraId="4877ED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03A" w14:paraId="3BE6F9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RPr="00144993" w:rsidP="00915E40" w14:paraId="5CCCA0A0" w14:textId="77777777">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Pr>
        <w:rStyle w:val="PageNumber"/>
        <w:rFonts w:ascii="Times New Roman" w:hAnsi="Times New Roman"/>
        <w:noProof/>
      </w:rPr>
      <w:t>21</w:t>
    </w:r>
    <w:r w:rsidRPr="00144993">
      <w:rPr>
        <w:rStyle w:val="PageNumber"/>
        <w:rFonts w:ascii="Times New Roman" w:hAnsi="Times New Roman"/>
      </w:rPr>
      <w:fldChar w:fldCharType="end"/>
    </w:r>
  </w:p>
  <w:p w:rsidR="0070103A" w14:paraId="313B05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RPr="003740C6" w:rsidP="00915E40" w14:paraId="7992E298" w14:textId="77777777">
    <w:pPr>
      <w:pStyle w:val="Header"/>
      <w:ind w:left="7110"/>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RPr="00CD5C3C" w:rsidP="00915E40" w14:paraId="123AC3E2" w14:textId="77777777">
    <w:pPr>
      <w:pStyle w:val="Header"/>
      <w:jc w:val="right"/>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P="00E729D1" w14:paraId="129E8E75" w14:textId="2AD01B12">
    <w:pPr>
      <w:pStyle w:val="Header"/>
      <w:ind w:left="7110"/>
      <w:rPr>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03A" w:rsidRPr="00A56746" w:rsidP="00915E40" w14:paraId="11DE94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90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175025"/>
    <w:multiLevelType w:val="hybridMultilevel"/>
    <w:tmpl w:val="AAF4D3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DF360A"/>
    <w:multiLevelType w:val="hybridMultilevel"/>
    <w:tmpl w:val="C158CD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042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776C86"/>
    <w:multiLevelType w:val="hybridMultilevel"/>
    <w:tmpl w:val="C1044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AF1A7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B75741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6C0F09"/>
    <w:multiLevelType w:val="hybridMultilevel"/>
    <w:tmpl w:val="E31A1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213E5A"/>
    <w:multiLevelType w:val="hybridMultilevel"/>
    <w:tmpl w:val="6CF20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616C50"/>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6A993ECE"/>
    <w:multiLevelType w:val="hybridMultilevel"/>
    <w:tmpl w:val="63262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EB0BCA"/>
    <w:multiLevelType w:val="hybridMultilevel"/>
    <w:tmpl w:val="D108C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71B1AD5"/>
    <w:multiLevelType w:val="hybridMultilevel"/>
    <w:tmpl w:val="9CF00E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0B513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9490726">
    <w:abstractNumId w:val="5"/>
  </w:num>
  <w:num w:numId="2" w16cid:durableId="258569098">
    <w:abstractNumId w:val="7"/>
  </w:num>
  <w:num w:numId="3" w16cid:durableId="1015961391">
    <w:abstractNumId w:val="14"/>
  </w:num>
  <w:num w:numId="4" w16cid:durableId="1067455252">
    <w:abstractNumId w:val="2"/>
  </w:num>
  <w:num w:numId="5" w16cid:durableId="1458718847">
    <w:abstractNumId w:val="13"/>
  </w:num>
  <w:num w:numId="6" w16cid:durableId="608902021">
    <w:abstractNumId w:val="12"/>
  </w:num>
  <w:num w:numId="7" w16cid:durableId="1845902131">
    <w:abstractNumId w:val="10"/>
  </w:num>
  <w:num w:numId="8" w16cid:durableId="341250531">
    <w:abstractNumId w:val="9"/>
  </w:num>
  <w:num w:numId="9" w16cid:durableId="137698052">
    <w:abstractNumId w:val="3"/>
  </w:num>
  <w:num w:numId="10" w16cid:durableId="822165038">
    <w:abstractNumId w:val="6"/>
  </w:num>
  <w:num w:numId="11" w16cid:durableId="1686780808">
    <w:abstractNumId w:val="0"/>
  </w:num>
  <w:num w:numId="12" w16cid:durableId="801390965">
    <w:abstractNumId w:val="1"/>
  </w:num>
  <w:num w:numId="13" w16cid:durableId="1856532870">
    <w:abstractNumId w:val="4"/>
  </w:num>
  <w:num w:numId="14" w16cid:durableId="1037898794">
    <w:abstractNumId w:val="15"/>
  </w:num>
  <w:num w:numId="15" w16cid:durableId="1626504842">
    <w:abstractNumId w:val="11"/>
  </w:num>
  <w:num w:numId="16" w16cid:durableId="997995755">
    <w:abstractNumId w:val="8"/>
  </w:num>
  <w:num w:numId="17" w16cid:durableId="183225709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2D"/>
    <w:rsid w:val="00007FB5"/>
    <w:rsid w:val="00010EEE"/>
    <w:rsid w:val="000129E1"/>
    <w:rsid w:val="00013852"/>
    <w:rsid w:val="00013CE8"/>
    <w:rsid w:val="00014B10"/>
    <w:rsid w:val="00015FF6"/>
    <w:rsid w:val="0001637F"/>
    <w:rsid w:val="00017B90"/>
    <w:rsid w:val="00020791"/>
    <w:rsid w:val="00023EFE"/>
    <w:rsid w:val="0002573E"/>
    <w:rsid w:val="000266CF"/>
    <w:rsid w:val="000267E1"/>
    <w:rsid w:val="00030670"/>
    <w:rsid w:val="00030CE3"/>
    <w:rsid w:val="0003166C"/>
    <w:rsid w:val="00032552"/>
    <w:rsid w:val="00033219"/>
    <w:rsid w:val="00036CF2"/>
    <w:rsid w:val="00037107"/>
    <w:rsid w:val="00037D90"/>
    <w:rsid w:val="0004220A"/>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37A"/>
    <w:rsid w:val="00061A77"/>
    <w:rsid w:val="00061BCE"/>
    <w:rsid w:val="00063CA7"/>
    <w:rsid w:val="00065167"/>
    <w:rsid w:val="00065411"/>
    <w:rsid w:val="00066059"/>
    <w:rsid w:val="00067588"/>
    <w:rsid w:val="00070074"/>
    <w:rsid w:val="00071B97"/>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9B"/>
    <w:rsid w:val="000B7BBA"/>
    <w:rsid w:val="000C028B"/>
    <w:rsid w:val="000C0A5C"/>
    <w:rsid w:val="000C3734"/>
    <w:rsid w:val="000C41A7"/>
    <w:rsid w:val="000C43C8"/>
    <w:rsid w:val="000C608D"/>
    <w:rsid w:val="000D224E"/>
    <w:rsid w:val="000D251E"/>
    <w:rsid w:val="000D2D5D"/>
    <w:rsid w:val="000D3C22"/>
    <w:rsid w:val="000D45B2"/>
    <w:rsid w:val="000D516A"/>
    <w:rsid w:val="000D5863"/>
    <w:rsid w:val="000D6FA4"/>
    <w:rsid w:val="000E0EE9"/>
    <w:rsid w:val="000E1158"/>
    <w:rsid w:val="000E184B"/>
    <w:rsid w:val="000E19CB"/>
    <w:rsid w:val="000E1FE8"/>
    <w:rsid w:val="000E2CF1"/>
    <w:rsid w:val="000E2F75"/>
    <w:rsid w:val="000E3298"/>
    <w:rsid w:val="000E348B"/>
    <w:rsid w:val="000E5609"/>
    <w:rsid w:val="000E7DC1"/>
    <w:rsid w:val="000F0186"/>
    <w:rsid w:val="000F1E90"/>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6CF4"/>
    <w:rsid w:val="00107505"/>
    <w:rsid w:val="00111663"/>
    <w:rsid w:val="00112360"/>
    <w:rsid w:val="00112675"/>
    <w:rsid w:val="001141DA"/>
    <w:rsid w:val="00116064"/>
    <w:rsid w:val="001172FE"/>
    <w:rsid w:val="00117FE1"/>
    <w:rsid w:val="00123A8F"/>
    <w:rsid w:val="0013006A"/>
    <w:rsid w:val="00130CF9"/>
    <w:rsid w:val="001310E0"/>
    <w:rsid w:val="00132921"/>
    <w:rsid w:val="001329B3"/>
    <w:rsid w:val="00135EAD"/>
    <w:rsid w:val="00136237"/>
    <w:rsid w:val="00137EB8"/>
    <w:rsid w:val="00144993"/>
    <w:rsid w:val="00145DAE"/>
    <w:rsid w:val="00147B68"/>
    <w:rsid w:val="0015084F"/>
    <w:rsid w:val="00152A80"/>
    <w:rsid w:val="00153B88"/>
    <w:rsid w:val="00160461"/>
    <w:rsid w:val="00161846"/>
    <w:rsid w:val="001624D1"/>
    <w:rsid w:val="001636DA"/>
    <w:rsid w:val="00163C69"/>
    <w:rsid w:val="00164169"/>
    <w:rsid w:val="00166B27"/>
    <w:rsid w:val="00170329"/>
    <w:rsid w:val="00170689"/>
    <w:rsid w:val="00170EB8"/>
    <w:rsid w:val="00171DC0"/>
    <w:rsid w:val="00173422"/>
    <w:rsid w:val="00173E50"/>
    <w:rsid w:val="00176BA8"/>
    <w:rsid w:val="001770F7"/>
    <w:rsid w:val="001775F3"/>
    <w:rsid w:val="00180511"/>
    <w:rsid w:val="00184011"/>
    <w:rsid w:val="00185251"/>
    <w:rsid w:val="0019149E"/>
    <w:rsid w:val="0019182F"/>
    <w:rsid w:val="00191C72"/>
    <w:rsid w:val="001925B3"/>
    <w:rsid w:val="0019435B"/>
    <w:rsid w:val="0019580A"/>
    <w:rsid w:val="00195BEB"/>
    <w:rsid w:val="00197A23"/>
    <w:rsid w:val="001A20B0"/>
    <w:rsid w:val="001A21A7"/>
    <w:rsid w:val="001A3351"/>
    <w:rsid w:val="001A3E72"/>
    <w:rsid w:val="001A53A7"/>
    <w:rsid w:val="001A76B3"/>
    <w:rsid w:val="001A7DEF"/>
    <w:rsid w:val="001B1773"/>
    <w:rsid w:val="001B1962"/>
    <w:rsid w:val="001B29D7"/>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272"/>
    <w:rsid w:val="001F0834"/>
    <w:rsid w:val="001F0D3B"/>
    <w:rsid w:val="001F1A52"/>
    <w:rsid w:val="001F1F14"/>
    <w:rsid w:val="001F34A5"/>
    <w:rsid w:val="001F370A"/>
    <w:rsid w:val="001F5541"/>
    <w:rsid w:val="001F5B74"/>
    <w:rsid w:val="001F75D9"/>
    <w:rsid w:val="001F7B1A"/>
    <w:rsid w:val="001F7DF2"/>
    <w:rsid w:val="0020142E"/>
    <w:rsid w:val="00201886"/>
    <w:rsid w:val="00202D30"/>
    <w:rsid w:val="002064A4"/>
    <w:rsid w:val="00210F2E"/>
    <w:rsid w:val="00211627"/>
    <w:rsid w:val="0021345A"/>
    <w:rsid w:val="00213723"/>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4F8E"/>
    <w:rsid w:val="00245157"/>
    <w:rsid w:val="002455F0"/>
    <w:rsid w:val="0024599B"/>
    <w:rsid w:val="00246A7E"/>
    <w:rsid w:val="00247198"/>
    <w:rsid w:val="0025051F"/>
    <w:rsid w:val="00251151"/>
    <w:rsid w:val="00252A4E"/>
    <w:rsid w:val="0025319A"/>
    <w:rsid w:val="00253C93"/>
    <w:rsid w:val="0025617C"/>
    <w:rsid w:val="00257699"/>
    <w:rsid w:val="0026050F"/>
    <w:rsid w:val="00260FB7"/>
    <w:rsid w:val="002648CF"/>
    <w:rsid w:val="00265FE7"/>
    <w:rsid w:val="002663C2"/>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487D"/>
    <w:rsid w:val="002956B0"/>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B46"/>
    <w:rsid w:val="002C7DDE"/>
    <w:rsid w:val="002D20FC"/>
    <w:rsid w:val="002D3E1A"/>
    <w:rsid w:val="002E0316"/>
    <w:rsid w:val="002E0999"/>
    <w:rsid w:val="002E2569"/>
    <w:rsid w:val="002E5622"/>
    <w:rsid w:val="002E5BAD"/>
    <w:rsid w:val="002E6047"/>
    <w:rsid w:val="002E6D1D"/>
    <w:rsid w:val="002F0614"/>
    <w:rsid w:val="002F077A"/>
    <w:rsid w:val="002F10BE"/>
    <w:rsid w:val="002F13DA"/>
    <w:rsid w:val="002F15EB"/>
    <w:rsid w:val="002F3CE0"/>
    <w:rsid w:val="002F6A76"/>
    <w:rsid w:val="003005BB"/>
    <w:rsid w:val="003013E9"/>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A7"/>
    <w:rsid w:val="00323E74"/>
    <w:rsid w:val="00324F21"/>
    <w:rsid w:val="003256A4"/>
    <w:rsid w:val="00330B87"/>
    <w:rsid w:val="00331168"/>
    <w:rsid w:val="0033211D"/>
    <w:rsid w:val="00332BF7"/>
    <w:rsid w:val="00333489"/>
    <w:rsid w:val="00342DB5"/>
    <w:rsid w:val="00343CEF"/>
    <w:rsid w:val="00344CB0"/>
    <w:rsid w:val="003467C8"/>
    <w:rsid w:val="00347C3C"/>
    <w:rsid w:val="0035079F"/>
    <w:rsid w:val="003527C1"/>
    <w:rsid w:val="00352C25"/>
    <w:rsid w:val="003565B6"/>
    <w:rsid w:val="00356A66"/>
    <w:rsid w:val="00356A74"/>
    <w:rsid w:val="00357418"/>
    <w:rsid w:val="00360B75"/>
    <w:rsid w:val="00361737"/>
    <w:rsid w:val="003620B5"/>
    <w:rsid w:val="00363F41"/>
    <w:rsid w:val="00366D56"/>
    <w:rsid w:val="00367871"/>
    <w:rsid w:val="00367DAD"/>
    <w:rsid w:val="0037342A"/>
    <w:rsid w:val="00373CC8"/>
    <w:rsid w:val="003740C6"/>
    <w:rsid w:val="00374E24"/>
    <w:rsid w:val="00375E2A"/>
    <w:rsid w:val="00376609"/>
    <w:rsid w:val="0038330C"/>
    <w:rsid w:val="003856DC"/>
    <w:rsid w:val="00387884"/>
    <w:rsid w:val="003901B8"/>
    <w:rsid w:val="00394A78"/>
    <w:rsid w:val="003A1D0D"/>
    <w:rsid w:val="003A38FB"/>
    <w:rsid w:val="003A41A0"/>
    <w:rsid w:val="003A6BEF"/>
    <w:rsid w:val="003B04B9"/>
    <w:rsid w:val="003B0A8F"/>
    <w:rsid w:val="003B153D"/>
    <w:rsid w:val="003B2D6A"/>
    <w:rsid w:val="003B3FB4"/>
    <w:rsid w:val="003B4D4F"/>
    <w:rsid w:val="003C0DBC"/>
    <w:rsid w:val="003C2B04"/>
    <w:rsid w:val="003C321D"/>
    <w:rsid w:val="003C4C0C"/>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3F7D12"/>
    <w:rsid w:val="00401C79"/>
    <w:rsid w:val="00402C51"/>
    <w:rsid w:val="00403FAB"/>
    <w:rsid w:val="00404886"/>
    <w:rsid w:val="0040643E"/>
    <w:rsid w:val="004064AA"/>
    <w:rsid w:val="00410BBF"/>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539E"/>
    <w:rsid w:val="00436FD0"/>
    <w:rsid w:val="004379C1"/>
    <w:rsid w:val="00441783"/>
    <w:rsid w:val="004420DA"/>
    <w:rsid w:val="00444707"/>
    <w:rsid w:val="004455F6"/>
    <w:rsid w:val="00445751"/>
    <w:rsid w:val="004468C2"/>
    <w:rsid w:val="00446B8D"/>
    <w:rsid w:val="00446D6D"/>
    <w:rsid w:val="00450C44"/>
    <w:rsid w:val="004518C2"/>
    <w:rsid w:val="00456E33"/>
    <w:rsid w:val="004600ED"/>
    <w:rsid w:val="004620CA"/>
    <w:rsid w:val="00463285"/>
    <w:rsid w:val="00465846"/>
    <w:rsid w:val="00466349"/>
    <w:rsid w:val="00466B43"/>
    <w:rsid w:val="00470E22"/>
    <w:rsid w:val="004713ED"/>
    <w:rsid w:val="00472D33"/>
    <w:rsid w:val="00475BA6"/>
    <w:rsid w:val="00477D70"/>
    <w:rsid w:val="004831CC"/>
    <w:rsid w:val="00485567"/>
    <w:rsid w:val="004855BE"/>
    <w:rsid w:val="00486860"/>
    <w:rsid w:val="00491CC3"/>
    <w:rsid w:val="00491ED9"/>
    <w:rsid w:val="00492703"/>
    <w:rsid w:val="00492AB1"/>
    <w:rsid w:val="00495623"/>
    <w:rsid w:val="00496F19"/>
    <w:rsid w:val="0049718B"/>
    <w:rsid w:val="004A0C7A"/>
    <w:rsid w:val="004A2646"/>
    <w:rsid w:val="004A284B"/>
    <w:rsid w:val="004A2961"/>
    <w:rsid w:val="004A2CDE"/>
    <w:rsid w:val="004A3ABF"/>
    <w:rsid w:val="004A4B8D"/>
    <w:rsid w:val="004A5B46"/>
    <w:rsid w:val="004A6B13"/>
    <w:rsid w:val="004A7709"/>
    <w:rsid w:val="004B0167"/>
    <w:rsid w:val="004B1022"/>
    <w:rsid w:val="004B37CF"/>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CAA"/>
    <w:rsid w:val="00515993"/>
    <w:rsid w:val="0051647F"/>
    <w:rsid w:val="00517F46"/>
    <w:rsid w:val="00520209"/>
    <w:rsid w:val="0052076B"/>
    <w:rsid w:val="00524059"/>
    <w:rsid w:val="005263EC"/>
    <w:rsid w:val="00526DFC"/>
    <w:rsid w:val="00527EB0"/>
    <w:rsid w:val="005303CA"/>
    <w:rsid w:val="00530DF8"/>
    <w:rsid w:val="00531CA7"/>
    <w:rsid w:val="005324A6"/>
    <w:rsid w:val="005346D7"/>
    <w:rsid w:val="00535A94"/>
    <w:rsid w:val="00535D3D"/>
    <w:rsid w:val="0053646F"/>
    <w:rsid w:val="00536768"/>
    <w:rsid w:val="005372F7"/>
    <w:rsid w:val="00537322"/>
    <w:rsid w:val="00542227"/>
    <w:rsid w:val="005424B5"/>
    <w:rsid w:val="00542CEE"/>
    <w:rsid w:val="00546097"/>
    <w:rsid w:val="005466F1"/>
    <w:rsid w:val="00546B65"/>
    <w:rsid w:val="00546FB4"/>
    <w:rsid w:val="005519F6"/>
    <w:rsid w:val="00552A7B"/>
    <w:rsid w:val="00552BE0"/>
    <w:rsid w:val="005544CE"/>
    <w:rsid w:val="00554865"/>
    <w:rsid w:val="0055616B"/>
    <w:rsid w:val="00556D62"/>
    <w:rsid w:val="00557E8F"/>
    <w:rsid w:val="005609B4"/>
    <w:rsid w:val="00560A26"/>
    <w:rsid w:val="0056368F"/>
    <w:rsid w:val="005636FA"/>
    <w:rsid w:val="0056373A"/>
    <w:rsid w:val="005637BF"/>
    <w:rsid w:val="00564A1B"/>
    <w:rsid w:val="00564BF4"/>
    <w:rsid w:val="00565A5E"/>
    <w:rsid w:val="005667CA"/>
    <w:rsid w:val="00566F71"/>
    <w:rsid w:val="00571AAC"/>
    <w:rsid w:val="00571C92"/>
    <w:rsid w:val="00571D24"/>
    <w:rsid w:val="005723B9"/>
    <w:rsid w:val="005726BA"/>
    <w:rsid w:val="0057299B"/>
    <w:rsid w:val="00574C83"/>
    <w:rsid w:val="00576F50"/>
    <w:rsid w:val="00577EF2"/>
    <w:rsid w:val="005810DF"/>
    <w:rsid w:val="00583101"/>
    <w:rsid w:val="005836B3"/>
    <w:rsid w:val="00584D72"/>
    <w:rsid w:val="0058662D"/>
    <w:rsid w:val="005900C3"/>
    <w:rsid w:val="00590A21"/>
    <w:rsid w:val="005932EC"/>
    <w:rsid w:val="00594F62"/>
    <w:rsid w:val="00596285"/>
    <w:rsid w:val="005966D8"/>
    <w:rsid w:val="0059769C"/>
    <w:rsid w:val="005A0F75"/>
    <w:rsid w:val="005A129A"/>
    <w:rsid w:val="005A35B4"/>
    <w:rsid w:val="005A422E"/>
    <w:rsid w:val="005A7235"/>
    <w:rsid w:val="005A7BA6"/>
    <w:rsid w:val="005B499E"/>
    <w:rsid w:val="005B6A8D"/>
    <w:rsid w:val="005C186C"/>
    <w:rsid w:val="005C195D"/>
    <w:rsid w:val="005C2031"/>
    <w:rsid w:val="005D0ACB"/>
    <w:rsid w:val="005D140B"/>
    <w:rsid w:val="005D1C36"/>
    <w:rsid w:val="005D1F2E"/>
    <w:rsid w:val="005D2654"/>
    <w:rsid w:val="005D2E6F"/>
    <w:rsid w:val="005D49F1"/>
    <w:rsid w:val="005D5624"/>
    <w:rsid w:val="005D5865"/>
    <w:rsid w:val="005D5F1D"/>
    <w:rsid w:val="005E03A2"/>
    <w:rsid w:val="005E35C4"/>
    <w:rsid w:val="005E4A7B"/>
    <w:rsid w:val="005E588F"/>
    <w:rsid w:val="005E5BEC"/>
    <w:rsid w:val="005E5D2D"/>
    <w:rsid w:val="005E6FAB"/>
    <w:rsid w:val="005E77F3"/>
    <w:rsid w:val="005F1234"/>
    <w:rsid w:val="005F13AA"/>
    <w:rsid w:val="005F2B64"/>
    <w:rsid w:val="005F484B"/>
    <w:rsid w:val="005F79CB"/>
    <w:rsid w:val="00601323"/>
    <w:rsid w:val="00601B3B"/>
    <w:rsid w:val="00602636"/>
    <w:rsid w:val="0060265C"/>
    <w:rsid w:val="006036CD"/>
    <w:rsid w:val="00603CAA"/>
    <w:rsid w:val="00603CC1"/>
    <w:rsid w:val="0060451D"/>
    <w:rsid w:val="00604681"/>
    <w:rsid w:val="00604D35"/>
    <w:rsid w:val="0060549C"/>
    <w:rsid w:val="006071E2"/>
    <w:rsid w:val="0060750F"/>
    <w:rsid w:val="006079C2"/>
    <w:rsid w:val="00611426"/>
    <w:rsid w:val="00613362"/>
    <w:rsid w:val="006143EE"/>
    <w:rsid w:val="006150A3"/>
    <w:rsid w:val="006161DD"/>
    <w:rsid w:val="0061689C"/>
    <w:rsid w:val="006210DF"/>
    <w:rsid w:val="0062163B"/>
    <w:rsid w:val="00622434"/>
    <w:rsid w:val="00622500"/>
    <w:rsid w:val="00622738"/>
    <w:rsid w:val="00623817"/>
    <w:rsid w:val="00624119"/>
    <w:rsid w:val="00624BE7"/>
    <w:rsid w:val="00624EE1"/>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46933"/>
    <w:rsid w:val="00650367"/>
    <w:rsid w:val="00651357"/>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A8D"/>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4ED9"/>
    <w:rsid w:val="006C5D89"/>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4F7B"/>
    <w:rsid w:val="006E6819"/>
    <w:rsid w:val="006E6A2C"/>
    <w:rsid w:val="006E6C7E"/>
    <w:rsid w:val="006E721E"/>
    <w:rsid w:val="006E7C14"/>
    <w:rsid w:val="006E7D37"/>
    <w:rsid w:val="006F0BF7"/>
    <w:rsid w:val="006F0ED7"/>
    <w:rsid w:val="006F1F1D"/>
    <w:rsid w:val="006F3F41"/>
    <w:rsid w:val="006F4946"/>
    <w:rsid w:val="00700983"/>
    <w:rsid w:val="0070103A"/>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561C"/>
    <w:rsid w:val="007167A3"/>
    <w:rsid w:val="00716971"/>
    <w:rsid w:val="00716CE1"/>
    <w:rsid w:val="00716D1D"/>
    <w:rsid w:val="007219E6"/>
    <w:rsid w:val="00724442"/>
    <w:rsid w:val="00724815"/>
    <w:rsid w:val="0072667C"/>
    <w:rsid w:val="00726EFA"/>
    <w:rsid w:val="007279D9"/>
    <w:rsid w:val="007312A8"/>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1E7"/>
    <w:rsid w:val="007558ED"/>
    <w:rsid w:val="007560F1"/>
    <w:rsid w:val="007562C7"/>
    <w:rsid w:val="00760BE0"/>
    <w:rsid w:val="00762228"/>
    <w:rsid w:val="00763E34"/>
    <w:rsid w:val="00764EF9"/>
    <w:rsid w:val="00770A34"/>
    <w:rsid w:val="00770FC4"/>
    <w:rsid w:val="007711BC"/>
    <w:rsid w:val="007713C7"/>
    <w:rsid w:val="00772C87"/>
    <w:rsid w:val="00772D61"/>
    <w:rsid w:val="00775025"/>
    <w:rsid w:val="00776C0D"/>
    <w:rsid w:val="0077747C"/>
    <w:rsid w:val="00780787"/>
    <w:rsid w:val="007811A2"/>
    <w:rsid w:val="007837C6"/>
    <w:rsid w:val="007838DA"/>
    <w:rsid w:val="0078463B"/>
    <w:rsid w:val="00785207"/>
    <w:rsid w:val="007853D4"/>
    <w:rsid w:val="007860F8"/>
    <w:rsid w:val="00786880"/>
    <w:rsid w:val="00791DFE"/>
    <w:rsid w:val="007927B8"/>
    <w:rsid w:val="007937AD"/>
    <w:rsid w:val="00794978"/>
    <w:rsid w:val="00796BAE"/>
    <w:rsid w:val="00796ED4"/>
    <w:rsid w:val="007975D8"/>
    <w:rsid w:val="007A0115"/>
    <w:rsid w:val="007A2883"/>
    <w:rsid w:val="007A3403"/>
    <w:rsid w:val="007A3539"/>
    <w:rsid w:val="007A3C78"/>
    <w:rsid w:val="007A4ADE"/>
    <w:rsid w:val="007A50A5"/>
    <w:rsid w:val="007A50DF"/>
    <w:rsid w:val="007A5180"/>
    <w:rsid w:val="007A558D"/>
    <w:rsid w:val="007A5A6C"/>
    <w:rsid w:val="007A5EE5"/>
    <w:rsid w:val="007B00E3"/>
    <w:rsid w:val="007B14AA"/>
    <w:rsid w:val="007B22C1"/>
    <w:rsid w:val="007B2A30"/>
    <w:rsid w:val="007B3B82"/>
    <w:rsid w:val="007B41DD"/>
    <w:rsid w:val="007B5199"/>
    <w:rsid w:val="007B542A"/>
    <w:rsid w:val="007B74AA"/>
    <w:rsid w:val="007C285F"/>
    <w:rsid w:val="007C3A41"/>
    <w:rsid w:val="007C4298"/>
    <w:rsid w:val="007C7191"/>
    <w:rsid w:val="007C7392"/>
    <w:rsid w:val="007D1451"/>
    <w:rsid w:val="007D1B8B"/>
    <w:rsid w:val="007D2824"/>
    <w:rsid w:val="007D3C4B"/>
    <w:rsid w:val="007D4381"/>
    <w:rsid w:val="007D47D8"/>
    <w:rsid w:val="007D523B"/>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7E5"/>
    <w:rsid w:val="0081485B"/>
    <w:rsid w:val="00815A4C"/>
    <w:rsid w:val="00816010"/>
    <w:rsid w:val="008201BE"/>
    <w:rsid w:val="008202C9"/>
    <w:rsid w:val="008208CD"/>
    <w:rsid w:val="008219AA"/>
    <w:rsid w:val="008240E3"/>
    <w:rsid w:val="00824837"/>
    <w:rsid w:val="00824921"/>
    <w:rsid w:val="00824E59"/>
    <w:rsid w:val="008264BE"/>
    <w:rsid w:val="00827596"/>
    <w:rsid w:val="0082798D"/>
    <w:rsid w:val="00830F44"/>
    <w:rsid w:val="008310D5"/>
    <w:rsid w:val="008316D7"/>
    <w:rsid w:val="00831944"/>
    <w:rsid w:val="00831B47"/>
    <w:rsid w:val="0083250F"/>
    <w:rsid w:val="008343F1"/>
    <w:rsid w:val="008366EC"/>
    <w:rsid w:val="00840AE4"/>
    <w:rsid w:val="008416DF"/>
    <w:rsid w:val="008443B3"/>
    <w:rsid w:val="0084542D"/>
    <w:rsid w:val="00846433"/>
    <w:rsid w:val="0084668A"/>
    <w:rsid w:val="00850DF4"/>
    <w:rsid w:val="008510C7"/>
    <w:rsid w:val="0085150A"/>
    <w:rsid w:val="0085160F"/>
    <w:rsid w:val="0085327B"/>
    <w:rsid w:val="00853B1E"/>
    <w:rsid w:val="00854AAE"/>
    <w:rsid w:val="00855C65"/>
    <w:rsid w:val="00856CDB"/>
    <w:rsid w:val="00857DF0"/>
    <w:rsid w:val="00860243"/>
    <w:rsid w:val="00860629"/>
    <w:rsid w:val="0086163A"/>
    <w:rsid w:val="00862392"/>
    <w:rsid w:val="00862ACA"/>
    <w:rsid w:val="00863B5C"/>
    <w:rsid w:val="00863E35"/>
    <w:rsid w:val="0086480C"/>
    <w:rsid w:val="0086680C"/>
    <w:rsid w:val="00866941"/>
    <w:rsid w:val="00866A4F"/>
    <w:rsid w:val="00866F44"/>
    <w:rsid w:val="00870F86"/>
    <w:rsid w:val="00873EFF"/>
    <w:rsid w:val="008749E8"/>
    <w:rsid w:val="00876774"/>
    <w:rsid w:val="00876C6F"/>
    <w:rsid w:val="008778B9"/>
    <w:rsid w:val="008803DA"/>
    <w:rsid w:val="00881794"/>
    <w:rsid w:val="00881CAD"/>
    <w:rsid w:val="00883A58"/>
    <w:rsid w:val="0089326A"/>
    <w:rsid w:val="0089358E"/>
    <w:rsid w:val="00893F67"/>
    <w:rsid w:val="00895E6F"/>
    <w:rsid w:val="008A0297"/>
    <w:rsid w:val="008A034D"/>
    <w:rsid w:val="008A1004"/>
    <w:rsid w:val="008A15C2"/>
    <w:rsid w:val="008A1A15"/>
    <w:rsid w:val="008A1B40"/>
    <w:rsid w:val="008A2F96"/>
    <w:rsid w:val="008A34CB"/>
    <w:rsid w:val="008A474D"/>
    <w:rsid w:val="008A6835"/>
    <w:rsid w:val="008A761D"/>
    <w:rsid w:val="008B0300"/>
    <w:rsid w:val="008B170E"/>
    <w:rsid w:val="008B37A1"/>
    <w:rsid w:val="008B4625"/>
    <w:rsid w:val="008B467F"/>
    <w:rsid w:val="008B57B0"/>
    <w:rsid w:val="008C06CB"/>
    <w:rsid w:val="008C0C83"/>
    <w:rsid w:val="008C582D"/>
    <w:rsid w:val="008C5C1B"/>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825"/>
    <w:rsid w:val="008F5FAF"/>
    <w:rsid w:val="008F74C2"/>
    <w:rsid w:val="008F7CEE"/>
    <w:rsid w:val="00900E6F"/>
    <w:rsid w:val="00901C53"/>
    <w:rsid w:val="00901CF1"/>
    <w:rsid w:val="0090218F"/>
    <w:rsid w:val="00902767"/>
    <w:rsid w:val="00902BB7"/>
    <w:rsid w:val="009048BF"/>
    <w:rsid w:val="00906E32"/>
    <w:rsid w:val="00911E06"/>
    <w:rsid w:val="009124E7"/>
    <w:rsid w:val="00912F15"/>
    <w:rsid w:val="00915E40"/>
    <w:rsid w:val="00916658"/>
    <w:rsid w:val="00916674"/>
    <w:rsid w:val="00916D23"/>
    <w:rsid w:val="0091768B"/>
    <w:rsid w:val="00922AA7"/>
    <w:rsid w:val="00922C6F"/>
    <w:rsid w:val="00922D6B"/>
    <w:rsid w:val="00923155"/>
    <w:rsid w:val="009244E9"/>
    <w:rsid w:val="00925391"/>
    <w:rsid w:val="009254E0"/>
    <w:rsid w:val="00925CEA"/>
    <w:rsid w:val="00927A0F"/>
    <w:rsid w:val="00927A30"/>
    <w:rsid w:val="00927DC6"/>
    <w:rsid w:val="00931E9D"/>
    <w:rsid w:val="009328B3"/>
    <w:rsid w:val="0093412A"/>
    <w:rsid w:val="00936A54"/>
    <w:rsid w:val="00937543"/>
    <w:rsid w:val="00937AC9"/>
    <w:rsid w:val="00940B0E"/>
    <w:rsid w:val="00940F81"/>
    <w:rsid w:val="00941552"/>
    <w:rsid w:val="00942B82"/>
    <w:rsid w:val="00943C5A"/>
    <w:rsid w:val="00944273"/>
    <w:rsid w:val="00944C1D"/>
    <w:rsid w:val="00944E3C"/>
    <w:rsid w:val="00945D12"/>
    <w:rsid w:val="0095227C"/>
    <w:rsid w:val="009523A7"/>
    <w:rsid w:val="009523F2"/>
    <w:rsid w:val="00953FB7"/>
    <w:rsid w:val="009551C5"/>
    <w:rsid w:val="00956636"/>
    <w:rsid w:val="00961FE9"/>
    <w:rsid w:val="009620C0"/>
    <w:rsid w:val="009628DB"/>
    <w:rsid w:val="00963312"/>
    <w:rsid w:val="0096386A"/>
    <w:rsid w:val="0096508A"/>
    <w:rsid w:val="009652D4"/>
    <w:rsid w:val="00965ABF"/>
    <w:rsid w:val="0096609F"/>
    <w:rsid w:val="0096692B"/>
    <w:rsid w:val="00971A41"/>
    <w:rsid w:val="00975BE8"/>
    <w:rsid w:val="00976A58"/>
    <w:rsid w:val="009773B1"/>
    <w:rsid w:val="00977AA1"/>
    <w:rsid w:val="00980058"/>
    <w:rsid w:val="00982445"/>
    <w:rsid w:val="00982777"/>
    <w:rsid w:val="00982C40"/>
    <w:rsid w:val="0098375D"/>
    <w:rsid w:val="00986137"/>
    <w:rsid w:val="00986389"/>
    <w:rsid w:val="009872CD"/>
    <w:rsid w:val="00987A8B"/>
    <w:rsid w:val="00990A46"/>
    <w:rsid w:val="00990AB9"/>
    <w:rsid w:val="009912BB"/>
    <w:rsid w:val="00991A96"/>
    <w:rsid w:val="009920E2"/>
    <w:rsid w:val="00994217"/>
    <w:rsid w:val="00994618"/>
    <w:rsid w:val="00996CD5"/>
    <w:rsid w:val="00997E71"/>
    <w:rsid w:val="009A09EC"/>
    <w:rsid w:val="009A0E02"/>
    <w:rsid w:val="009A151F"/>
    <w:rsid w:val="009A1AD4"/>
    <w:rsid w:val="009A24BC"/>
    <w:rsid w:val="009A442C"/>
    <w:rsid w:val="009A5C07"/>
    <w:rsid w:val="009A6AF8"/>
    <w:rsid w:val="009A7EF0"/>
    <w:rsid w:val="009B2A92"/>
    <w:rsid w:val="009B2B97"/>
    <w:rsid w:val="009B3C05"/>
    <w:rsid w:val="009B46F6"/>
    <w:rsid w:val="009B5CB4"/>
    <w:rsid w:val="009B5E96"/>
    <w:rsid w:val="009B5FBC"/>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8ED"/>
    <w:rsid w:val="009E39DB"/>
    <w:rsid w:val="009E3F6A"/>
    <w:rsid w:val="009E40F8"/>
    <w:rsid w:val="009E5EDB"/>
    <w:rsid w:val="009E7848"/>
    <w:rsid w:val="009F06DE"/>
    <w:rsid w:val="009F1184"/>
    <w:rsid w:val="009F1E00"/>
    <w:rsid w:val="009F3011"/>
    <w:rsid w:val="009F45ED"/>
    <w:rsid w:val="00A02D1A"/>
    <w:rsid w:val="00A03078"/>
    <w:rsid w:val="00A0627A"/>
    <w:rsid w:val="00A10781"/>
    <w:rsid w:val="00A10C30"/>
    <w:rsid w:val="00A12BD8"/>
    <w:rsid w:val="00A15F64"/>
    <w:rsid w:val="00A22EC8"/>
    <w:rsid w:val="00A233E0"/>
    <w:rsid w:val="00A24F5B"/>
    <w:rsid w:val="00A26353"/>
    <w:rsid w:val="00A26E89"/>
    <w:rsid w:val="00A274B4"/>
    <w:rsid w:val="00A27E5C"/>
    <w:rsid w:val="00A306EB"/>
    <w:rsid w:val="00A31484"/>
    <w:rsid w:val="00A352DB"/>
    <w:rsid w:val="00A358CC"/>
    <w:rsid w:val="00A35BC3"/>
    <w:rsid w:val="00A35F5B"/>
    <w:rsid w:val="00A361CE"/>
    <w:rsid w:val="00A40761"/>
    <w:rsid w:val="00A434BC"/>
    <w:rsid w:val="00A45770"/>
    <w:rsid w:val="00A45865"/>
    <w:rsid w:val="00A5226D"/>
    <w:rsid w:val="00A53BD4"/>
    <w:rsid w:val="00A53C9A"/>
    <w:rsid w:val="00A55764"/>
    <w:rsid w:val="00A56746"/>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4C39"/>
    <w:rsid w:val="00A8542E"/>
    <w:rsid w:val="00A8593A"/>
    <w:rsid w:val="00A9188B"/>
    <w:rsid w:val="00A91EFC"/>
    <w:rsid w:val="00A955EC"/>
    <w:rsid w:val="00A9734E"/>
    <w:rsid w:val="00A975AC"/>
    <w:rsid w:val="00A97EE9"/>
    <w:rsid w:val="00AA26C8"/>
    <w:rsid w:val="00AA2AE3"/>
    <w:rsid w:val="00AA325C"/>
    <w:rsid w:val="00AA3857"/>
    <w:rsid w:val="00AA3F6A"/>
    <w:rsid w:val="00AA45AC"/>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6E51"/>
    <w:rsid w:val="00AD79CA"/>
    <w:rsid w:val="00AE026A"/>
    <w:rsid w:val="00AE1346"/>
    <w:rsid w:val="00AE2594"/>
    <w:rsid w:val="00AE274D"/>
    <w:rsid w:val="00AE2F3B"/>
    <w:rsid w:val="00AE3624"/>
    <w:rsid w:val="00AE3760"/>
    <w:rsid w:val="00AE3F7E"/>
    <w:rsid w:val="00AE6015"/>
    <w:rsid w:val="00AE63B1"/>
    <w:rsid w:val="00AE7BE7"/>
    <w:rsid w:val="00AE7FC5"/>
    <w:rsid w:val="00AF2486"/>
    <w:rsid w:val="00AF3D20"/>
    <w:rsid w:val="00AF4218"/>
    <w:rsid w:val="00AF6F5C"/>
    <w:rsid w:val="00B027C5"/>
    <w:rsid w:val="00B02874"/>
    <w:rsid w:val="00B04655"/>
    <w:rsid w:val="00B06750"/>
    <w:rsid w:val="00B07337"/>
    <w:rsid w:val="00B076C4"/>
    <w:rsid w:val="00B11B2A"/>
    <w:rsid w:val="00B13545"/>
    <w:rsid w:val="00B13DEC"/>
    <w:rsid w:val="00B15AEE"/>
    <w:rsid w:val="00B15B9E"/>
    <w:rsid w:val="00B17B6C"/>
    <w:rsid w:val="00B222EC"/>
    <w:rsid w:val="00B22810"/>
    <w:rsid w:val="00B22F84"/>
    <w:rsid w:val="00B2326A"/>
    <w:rsid w:val="00B23E0D"/>
    <w:rsid w:val="00B24852"/>
    <w:rsid w:val="00B2663E"/>
    <w:rsid w:val="00B26757"/>
    <w:rsid w:val="00B269EE"/>
    <w:rsid w:val="00B31C31"/>
    <w:rsid w:val="00B37C28"/>
    <w:rsid w:val="00B400AE"/>
    <w:rsid w:val="00B434D7"/>
    <w:rsid w:val="00B45BEF"/>
    <w:rsid w:val="00B47058"/>
    <w:rsid w:val="00B5068E"/>
    <w:rsid w:val="00B51024"/>
    <w:rsid w:val="00B51CBD"/>
    <w:rsid w:val="00B524A9"/>
    <w:rsid w:val="00B54FB7"/>
    <w:rsid w:val="00B55CAA"/>
    <w:rsid w:val="00B603E4"/>
    <w:rsid w:val="00B62988"/>
    <w:rsid w:val="00B63B97"/>
    <w:rsid w:val="00B65237"/>
    <w:rsid w:val="00B666CD"/>
    <w:rsid w:val="00B67894"/>
    <w:rsid w:val="00B72371"/>
    <w:rsid w:val="00B72EDD"/>
    <w:rsid w:val="00B737EF"/>
    <w:rsid w:val="00B74D25"/>
    <w:rsid w:val="00B7519D"/>
    <w:rsid w:val="00B77C81"/>
    <w:rsid w:val="00B80F76"/>
    <w:rsid w:val="00B8168A"/>
    <w:rsid w:val="00B818B8"/>
    <w:rsid w:val="00B81A2E"/>
    <w:rsid w:val="00B83587"/>
    <w:rsid w:val="00B8381A"/>
    <w:rsid w:val="00B8407F"/>
    <w:rsid w:val="00B8491D"/>
    <w:rsid w:val="00B85B34"/>
    <w:rsid w:val="00B8742C"/>
    <w:rsid w:val="00B90437"/>
    <w:rsid w:val="00B92284"/>
    <w:rsid w:val="00B92495"/>
    <w:rsid w:val="00B927C2"/>
    <w:rsid w:val="00B9379D"/>
    <w:rsid w:val="00B93F50"/>
    <w:rsid w:val="00B9424F"/>
    <w:rsid w:val="00B9504D"/>
    <w:rsid w:val="00B9526C"/>
    <w:rsid w:val="00B957FA"/>
    <w:rsid w:val="00B95BD0"/>
    <w:rsid w:val="00B9602F"/>
    <w:rsid w:val="00BA179A"/>
    <w:rsid w:val="00BA1A18"/>
    <w:rsid w:val="00BA45E6"/>
    <w:rsid w:val="00BA5E6F"/>
    <w:rsid w:val="00BA6A4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2950"/>
    <w:rsid w:val="00BE3D6F"/>
    <w:rsid w:val="00BE4548"/>
    <w:rsid w:val="00BE53BF"/>
    <w:rsid w:val="00BE63D7"/>
    <w:rsid w:val="00BE7044"/>
    <w:rsid w:val="00BF0CAD"/>
    <w:rsid w:val="00BF2700"/>
    <w:rsid w:val="00BF2A34"/>
    <w:rsid w:val="00BF2DF6"/>
    <w:rsid w:val="00BF5317"/>
    <w:rsid w:val="00BF5699"/>
    <w:rsid w:val="00BF6721"/>
    <w:rsid w:val="00C02D9A"/>
    <w:rsid w:val="00C033E9"/>
    <w:rsid w:val="00C0389F"/>
    <w:rsid w:val="00C04326"/>
    <w:rsid w:val="00C046AD"/>
    <w:rsid w:val="00C054E3"/>
    <w:rsid w:val="00C066B7"/>
    <w:rsid w:val="00C07AAE"/>
    <w:rsid w:val="00C07D74"/>
    <w:rsid w:val="00C107DD"/>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193B"/>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6E53"/>
    <w:rsid w:val="00C67983"/>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4DD4"/>
    <w:rsid w:val="00C9517E"/>
    <w:rsid w:val="00C95B3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426"/>
    <w:rsid w:val="00CD5A92"/>
    <w:rsid w:val="00CD5C3C"/>
    <w:rsid w:val="00CE0942"/>
    <w:rsid w:val="00CE1EF9"/>
    <w:rsid w:val="00CE2CB1"/>
    <w:rsid w:val="00CE3ACF"/>
    <w:rsid w:val="00CE4292"/>
    <w:rsid w:val="00CE4DEB"/>
    <w:rsid w:val="00CE4F47"/>
    <w:rsid w:val="00CE5752"/>
    <w:rsid w:val="00CE6F2D"/>
    <w:rsid w:val="00CF01E1"/>
    <w:rsid w:val="00CF23B4"/>
    <w:rsid w:val="00CF242E"/>
    <w:rsid w:val="00CF413A"/>
    <w:rsid w:val="00CF4631"/>
    <w:rsid w:val="00CF5A3C"/>
    <w:rsid w:val="00CF5EFF"/>
    <w:rsid w:val="00D00106"/>
    <w:rsid w:val="00D00D33"/>
    <w:rsid w:val="00D01A8F"/>
    <w:rsid w:val="00D04072"/>
    <w:rsid w:val="00D043F3"/>
    <w:rsid w:val="00D07F4F"/>
    <w:rsid w:val="00D10B82"/>
    <w:rsid w:val="00D12D20"/>
    <w:rsid w:val="00D14A68"/>
    <w:rsid w:val="00D163B0"/>
    <w:rsid w:val="00D16AFC"/>
    <w:rsid w:val="00D17BB9"/>
    <w:rsid w:val="00D2060F"/>
    <w:rsid w:val="00D20BEA"/>
    <w:rsid w:val="00D210DB"/>
    <w:rsid w:val="00D225E2"/>
    <w:rsid w:val="00D23065"/>
    <w:rsid w:val="00D234AD"/>
    <w:rsid w:val="00D24AC0"/>
    <w:rsid w:val="00D26124"/>
    <w:rsid w:val="00D31A63"/>
    <w:rsid w:val="00D31DCE"/>
    <w:rsid w:val="00D33817"/>
    <w:rsid w:val="00D36464"/>
    <w:rsid w:val="00D37D03"/>
    <w:rsid w:val="00D37D3F"/>
    <w:rsid w:val="00D414EB"/>
    <w:rsid w:val="00D4260C"/>
    <w:rsid w:val="00D43278"/>
    <w:rsid w:val="00D432B7"/>
    <w:rsid w:val="00D437E5"/>
    <w:rsid w:val="00D4483E"/>
    <w:rsid w:val="00D4591C"/>
    <w:rsid w:val="00D45C8A"/>
    <w:rsid w:val="00D4754F"/>
    <w:rsid w:val="00D47C16"/>
    <w:rsid w:val="00D47C2B"/>
    <w:rsid w:val="00D47CB3"/>
    <w:rsid w:val="00D50C3C"/>
    <w:rsid w:val="00D51356"/>
    <w:rsid w:val="00D517F0"/>
    <w:rsid w:val="00D5260D"/>
    <w:rsid w:val="00D54334"/>
    <w:rsid w:val="00D544EC"/>
    <w:rsid w:val="00D55926"/>
    <w:rsid w:val="00D55EB1"/>
    <w:rsid w:val="00D57716"/>
    <w:rsid w:val="00D61EDC"/>
    <w:rsid w:val="00D631BD"/>
    <w:rsid w:val="00D64254"/>
    <w:rsid w:val="00D651EA"/>
    <w:rsid w:val="00D70129"/>
    <w:rsid w:val="00D7133F"/>
    <w:rsid w:val="00D73509"/>
    <w:rsid w:val="00D73DBE"/>
    <w:rsid w:val="00D73E09"/>
    <w:rsid w:val="00D74290"/>
    <w:rsid w:val="00D76DB3"/>
    <w:rsid w:val="00D77C8D"/>
    <w:rsid w:val="00D87764"/>
    <w:rsid w:val="00D90653"/>
    <w:rsid w:val="00D92ED6"/>
    <w:rsid w:val="00D9599C"/>
    <w:rsid w:val="00DA0A55"/>
    <w:rsid w:val="00DA4019"/>
    <w:rsid w:val="00DA4E0C"/>
    <w:rsid w:val="00DA53F8"/>
    <w:rsid w:val="00DA7843"/>
    <w:rsid w:val="00DA7E80"/>
    <w:rsid w:val="00DB0E66"/>
    <w:rsid w:val="00DB13CB"/>
    <w:rsid w:val="00DB186F"/>
    <w:rsid w:val="00DB523F"/>
    <w:rsid w:val="00DB52E0"/>
    <w:rsid w:val="00DB5E95"/>
    <w:rsid w:val="00DB6062"/>
    <w:rsid w:val="00DB7775"/>
    <w:rsid w:val="00DB799B"/>
    <w:rsid w:val="00DC1889"/>
    <w:rsid w:val="00DC1EEC"/>
    <w:rsid w:val="00DC2D99"/>
    <w:rsid w:val="00DC4CDE"/>
    <w:rsid w:val="00DC57CD"/>
    <w:rsid w:val="00DC6593"/>
    <w:rsid w:val="00DD21CA"/>
    <w:rsid w:val="00DD2682"/>
    <w:rsid w:val="00DD2EA0"/>
    <w:rsid w:val="00DD35B0"/>
    <w:rsid w:val="00DD4E7A"/>
    <w:rsid w:val="00DD6533"/>
    <w:rsid w:val="00DD718B"/>
    <w:rsid w:val="00DE15D8"/>
    <w:rsid w:val="00DE26D9"/>
    <w:rsid w:val="00DE3DF8"/>
    <w:rsid w:val="00DE4E0C"/>
    <w:rsid w:val="00DE50FF"/>
    <w:rsid w:val="00DE60DC"/>
    <w:rsid w:val="00DE68CB"/>
    <w:rsid w:val="00DF0955"/>
    <w:rsid w:val="00DF1E7F"/>
    <w:rsid w:val="00DF3AA1"/>
    <w:rsid w:val="00DF4973"/>
    <w:rsid w:val="00DF6030"/>
    <w:rsid w:val="00DF7E5D"/>
    <w:rsid w:val="00E00589"/>
    <w:rsid w:val="00E01C4D"/>
    <w:rsid w:val="00E0220E"/>
    <w:rsid w:val="00E034D9"/>
    <w:rsid w:val="00E03FC8"/>
    <w:rsid w:val="00E04947"/>
    <w:rsid w:val="00E076DF"/>
    <w:rsid w:val="00E10927"/>
    <w:rsid w:val="00E128B1"/>
    <w:rsid w:val="00E14467"/>
    <w:rsid w:val="00E14BF3"/>
    <w:rsid w:val="00E16410"/>
    <w:rsid w:val="00E205A3"/>
    <w:rsid w:val="00E2389F"/>
    <w:rsid w:val="00E24DA3"/>
    <w:rsid w:val="00E24EA0"/>
    <w:rsid w:val="00E25157"/>
    <w:rsid w:val="00E27F78"/>
    <w:rsid w:val="00E30F8E"/>
    <w:rsid w:val="00E3122D"/>
    <w:rsid w:val="00E33FC1"/>
    <w:rsid w:val="00E3518D"/>
    <w:rsid w:val="00E35BF8"/>
    <w:rsid w:val="00E37A2B"/>
    <w:rsid w:val="00E40D81"/>
    <w:rsid w:val="00E42EA6"/>
    <w:rsid w:val="00E439D8"/>
    <w:rsid w:val="00E463E4"/>
    <w:rsid w:val="00E466C6"/>
    <w:rsid w:val="00E47562"/>
    <w:rsid w:val="00E50CD6"/>
    <w:rsid w:val="00E523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9D1"/>
    <w:rsid w:val="00E72DB0"/>
    <w:rsid w:val="00E73765"/>
    <w:rsid w:val="00E73E81"/>
    <w:rsid w:val="00E74511"/>
    <w:rsid w:val="00E75438"/>
    <w:rsid w:val="00E75DBD"/>
    <w:rsid w:val="00E76798"/>
    <w:rsid w:val="00E777B0"/>
    <w:rsid w:val="00E7796B"/>
    <w:rsid w:val="00E77E40"/>
    <w:rsid w:val="00E815E1"/>
    <w:rsid w:val="00E833F8"/>
    <w:rsid w:val="00E83D5C"/>
    <w:rsid w:val="00E85622"/>
    <w:rsid w:val="00E86880"/>
    <w:rsid w:val="00E87F99"/>
    <w:rsid w:val="00E87FCD"/>
    <w:rsid w:val="00E90D5A"/>
    <w:rsid w:val="00E91C6A"/>
    <w:rsid w:val="00E948EF"/>
    <w:rsid w:val="00E94E34"/>
    <w:rsid w:val="00E957A4"/>
    <w:rsid w:val="00E97093"/>
    <w:rsid w:val="00EA0CF2"/>
    <w:rsid w:val="00EA0D20"/>
    <w:rsid w:val="00EA3AE4"/>
    <w:rsid w:val="00EA4A33"/>
    <w:rsid w:val="00EA58E6"/>
    <w:rsid w:val="00EA5D83"/>
    <w:rsid w:val="00EA6184"/>
    <w:rsid w:val="00EA6BDC"/>
    <w:rsid w:val="00EB00A3"/>
    <w:rsid w:val="00EB0C83"/>
    <w:rsid w:val="00EB1912"/>
    <w:rsid w:val="00EB1C08"/>
    <w:rsid w:val="00EB2A3A"/>
    <w:rsid w:val="00EB34A6"/>
    <w:rsid w:val="00EB4234"/>
    <w:rsid w:val="00EB4C2F"/>
    <w:rsid w:val="00EB4F41"/>
    <w:rsid w:val="00EC04E3"/>
    <w:rsid w:val="00EC0D68"/>
    <w:rsid w:val="00EC1141"/>
    <w:rsid w:val="00EC11F9"/>
    <w:rsid w:val="00EC122D"/>
    <w:rsid w:val="00EC1979"/>
    <w:rsid w:val="00EC230D"/>
    <w:rsid w:val="00EC43EB"/>
    <w:rsid w:val="00EC6B27"/>
    <w:rsid w:val="00EC700B"/>
    <w:rsid w:val="00EC77C0"/>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6C2B"/>
    <w:rsid w:val="00EF71E8"/>
    <w:rsid w:val="00EF7A31"/>
    <w:rsid w:val="00EF7B2E"/>
    <w:rsid w:val="00F0015C"/>
    <w:rsid w:val="00F01606"/>
    <w:rsid w:val="00F02003"/>
    <w:rsid w:val="00F023C6"/>
    <w:rsid w:val="00F0705E"/>
    <w:rsid w:val="00F071BE"/>
    <w:rsid w:val="00F07F3C"/>
    <w:rsid w:val="00F10CF0"/>
    <w:rsid w:val="00F13918"/>
    <w:rsid w:val="00F15CFE"/>
    <w:rsid w:val="00F171C6"/>
    <w:rsid w:val="00F1773A"/>
    <w:rsid w:val="00F1789F"/>
    <w:rsid w:val="00F17E88"/>
    <w:rsid w:val="00F17F8C"/>
    <w:rsid w:val="00F229AC"/>
    <w:rsid w:val="00F22E25"/>
    <w:rsid w:val="00F252CD"/>
    <w:rsid w:val="00F2554C"/>
    <w:rsid w:val="00F27BD2"/>
    <w:rsid w:val="00F3030A"/>
    <w:rsid w:val="00F31DEE"/>
    <w:rsid w:val="00F32BF6"/>
    <w:rsid w:val="00F33388"/>
    <w:rsid w:val="00F33E4D"/>
    <w:rsid w:val="00F34178"/>
    <w:rsid w:val="00F34BCA"/>
    <w:rsid w:val="00F352A7"/>
    <w:rsid w:val="00F36723"/>
    <w:rsid w:val="00F37D13"/>
    <w:rsid w:val="00F405E9"/>
    <w:rsid w:val="00F410EA"/>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DEC"/>
    <w:rsid w:val="00F66728"/>
    <w:rsid w:val="00F67649"/>
    <w:rsid w:val="00F67BD4"/>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891"/>
    <w:rsid w:val="00F95973"/>
    <w:rsid w:val="00FA03DC"/>
    <w:rsid w:val="00FA0F0D"/>
    <w:rsid w:val="00FA1BE8"/>
    <w:rsid w:val="00FA243A"/>
    <w:rsid w:val="00FA401E"/>
    <w:rsid w:val="00FA4C93"/>
    <w:rsid w:val="00FA5A68"/>
    <w:rsid w:val="00FA5FC1"/>
    <w:rsid w:val="00FA7931"/>
    <w:rsid w:val="00FB012C"/>
    <w:rsid w:val="00FB2200"/>
    <w:rsid w:val="00FB2B38"/>
    <w:rsid w:val="00FB37E2"/>
    <w:rsid w:val="00FB38ED"/>
    <w:rsid w:val="00FB6E02"/>
    <w:rsid w:val="00FB72D9"/>
    <w:rsid w:val="00FB7E9F"/>
    <w:rsid w:val="00FC02BD"/>
    <w:rsid w:val="00FC0F42"/>
    <w:rsid w:val="00FC21A4"/>
    <w:rsid w:val="00FC2365"/>
    <w:rsid w:val="00FC4CC6"/>
    <w:rsid w:val="00FC4FBB"/>
    <w:rsid w:val="00FC53C7"/>
    <w:rsid w:val="00FC601F"/>
    <w:rsid w:val="00FC6545"/>
    <w:rsid w:val="00FC7E37"/>
    <w:rsid w:val="00FD0324"/>
    <w:rsid w:val="00FD071A"/>
    <w:rsid w:val="00FD3EF8"/>
    <w:rsid w:val="00FD4CCA"/>
    <w:rsid w:val="00FD54EB"/>
    <w:rsid w:val="00FD6694"/>
    <w:rsid w:val="00FD7196"/>
    <w:rsid w:val="00FE059C"/>
    <w:rsid w:val="00FE0BEA"/>
    <w:rsid w:val="00FE0D6A"/>
    <w:rsid w:val="00FE2C1F"/>
    <w:rsid w:val="00FE4665"/>
    <w:rsid w:val="00FE539F"/>
    <w:rsid w:val="00FF04B1"/>
    <w:rsid w:val="00FF0CC3"/>
    <w:rsid w:val="00FF0DE8"/>
    <w:rsid w:val="00FF11A9"/>
    <w:rsid w:val="00FF165F"/>
    <w:rsid w:val="00FF16DB"/>
    <w:rsid w:val="00FF3DDF"/>
    <w:rsid w:val="00FF5265"/>
    <w:rsid w:val="00FF55F1"/>
    <w:rsid w:val="00FF599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1FE78F"/>
    <w:rsid w:val="065BDB83"/>
    <w:rsid w:val="065EDDB5"/>
    <w:rsid w:val="067503E0"/>
    <w:rsid w:val="0688745E"/>
    <w:rsid w:val="06D233E7"/>
    <w:rsid w:val="0768A609"/>
    <w:rsid w:val="07DA50B0"/>
    <w:rsid w:val="080AE643"/>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8F52D5"/>
    <w:rsid w:val="11AB4B38"/>
    <w:rsid w:val="129B6C98"/>
    <w:rsid w:val="12BD9676"/>
    <w:rsid w:val="131FD8A5"/>
    <w:rsid w:val="13CB0A04"/>
    <w:rsid w:val="13F72327"/>
    <w:rsid w:val="14C791E6"/>
    <w:rsid w:val="1543CD3F"/>
    <w:rsid w:val="15BD4994"/>
    <w:rsid w:val="1655B9ED"/>
    <w:rsid w:val="166451EE"/>
    <w:rsid w:val="16971CCD"/>
    <w:rsid w:val="169AD330"/>
    <w:rsid w:val="16B4A4E5"/>
    <w:rsid w:val="16D612E6"/>
    <w:rsid w:val="16EF3470"/>
    <w:rsid w:val="173E4C25"/>
    <w:rsid w:val="176E1584"/>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56EBF"/>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CDB382E"/>
    <w:rsid w:val="2D40FCE6"/>
    <w:rsid w:val="2D7182CF"/>
    <w:rsid w:val="2D9223AC"/>
    <w:rsid w:val="2E4B5F0D"/>
    <w:rsid w:val="2E5E4AEF"/>
    <w:rsid w:val="2ED600DC"/>
    <w:rsid w:val="2EE5F300"/>
    <w:rsid w:val="2F01D88F"/>
    <w:rsid w:val="2F21E837"/>
    <w:rsid w:val="2F3FE089"/>
    <w:rsid w:val="2F89C750"/>
    <w:rsid w:val="2F97CE1F"/>
    <w:rsid w:val="2FA52CE0"/>
    <w:rsid w:val="2FD90668"/>
    <w:rsid w:val="3022F585"/>
    <w:rsid w:val="30313B04"/>
    <w:rsid w:val="304460DE"/>
    <w:rsid w:val="309F3366"/>
    <w:rsid w:val="31099FF3"/>
    <w:rsid w:val="3121CC31"/>
    <w:rsid w:val="320B6F4B"/>
    <w:rsid w:val="326B2CC6"/>
    <w:rsid w:val="329F570B"/>
    <w:rsid w:val="32AEEEE8"/>
    <w:rsid w:val="32E3142D"/>
    <w:rsid w:val="331FED17"/>
    <w:rsid w:val="3343CE0C"/>
    <w:rsid w:val="33446247"/>
    <w:rsid w:val="337291F6"/>
    <w:rsid w:val="3432FB36"/>
    <w:rsid w:val="3445CF38"/>
    <w:rsid w:val="34573AA0"/>
    <w:rsid w:val="34870877"/>
    <w:rsid w:val="35871221"/>
    <w:rsid w:val="35B631D3"/>
    <w:rsid w:val="35FD5EF2"/>
    <w:rsid w:val="366A66C8"/>
    <w:rsid w:val="36AD647E"/>
    <w:rsid w:val="374D12E5"/>
    <w:rsid w:val="37708A51"/>
    <w:rsid w:val="37DBF8F1"/>
    <w:rsid w:val="37F1FC62"/>
    <w:rsid w:val="3810C2BE"/>
    <w:rsid w:val="38269011"/>
    <w:rsid w:val="38412A96"/>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DB0ED6B"/>
    <w:rsid w:val="3E102B8C"/>
    <w:rsid w:val="3E256BBE"/>
    <w:rsid w:val="3E2DE675"/>
    <w:rsid w:val="3E41EFAC"/>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5EEF81E"/>
    <w:rsid w:val="4613F2F6"/>
    <w:rsid w:val="46201964"/>
    <w:rsid w:val="46681301"/>
    <w:rsid w:val="46985145"/>
    <w:rsid w:val="472ACC5B"/>
    <w:rsid w:val="477A0BC4"/>
    <w:rsid w:val="477FD07D"/>
    <w:rsid w:val="4804911A"/>
    <w:rsid w:val="4818FDB7"/>
    <w:rsid w:val="481F7EE4"/>
    <w:rsid w:val="4859D630"/>
    <w:rsid w:val="48CDBC3D"/>
    <w:rsid w:val="48D3DA8E"/>
    <w:rsid w:val="49133A93"/>
    <w:rsid w:val="49248A83"/>
    <w:rsid w:val="498764AB"/>
    <w:rsid w:val="49F6E420"/>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086135"/>
    <w:rsid w:val="4F344174"/>
    <w:rsid w:val="4F580799"/>
    <w:rsid w:val="4F90C958"/>
    <w:rsid w:val="4FDF4D6F"/>
    <w:rsid w:val="4FE7D2BE"/>
    <w:rsid w:val="501AFF33"/>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D06DB6"/>
    <w:rsid w:val="54EBB54E"/>
    <w:rsid w:val="54EF6163"/>
    <w:rsid w:val="54F09390"/>
    <w:rsid w:val="55C46F90"/>
    <w:rsid w:val="560D6E30"/>
    <w:rsid w:val="56271707"/>
    <w:rsid w:val="562AFBC0"/>
    <w:rsid w:val="568C91FA"/>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23E8FC"/>
    <w:rsid w:val="5D661202"/>
    <w:rsid w:val="5DAE2CE2"/>
    <w:rsid w:val="5DD1D3A6"/>
    <w:rsid w:val="5E0A2024"/>
    <w:rsid w:val="5EB44CFC"/>
    <w:rsid w:val="5EEEF07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2F4F56F"/>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5EF00DD"/>
    <w:rsid w:val="667B0BA5"/>
    <w:rsid w:val="66FC4F7A"/>
    <w:rsid w:val="67A12CA8"/>
    <w:rsid w:val="67B0064B"/>
    <w:rsid w:val="67EAAB8B"/>
    <w:rsid w:val="6840832B"/>
    <w:rsid w:val="68E09386"/>
    <w:rsid w:val="6919E450"/>
    <w:rsid w:val="693BCAC5"/>
    <w:rsid w:val="69734583"/>
    <w:rsid w:val="69C0983C"/>
    <w:rsid w:val="69C65CF5"/>
    <w:rsid w:val="6A27ADA6"/>
    <w:rsid w:val="6A3C75AE"/>
    <w:rsid w:val="6A6241CA"/>
    <w:rsid w:val="6A72FDEA"/>
    <w:rsid w:val="6A797A9F"/>
    <w:rsid w:val="6A84908E"/>
    <w:rsid w:val="6AA64786"/>
    <w:rsid w:val="6AA89EEA"/>
    <w:rsid w:val="6AA91BA3"/>
    <w:rsid w:val="6AD20ED4"/>
    <w:rsid w:val="6BAE07D7"/>
    <w:rsid w:val="6BD47994"/>
    <w:rsid w:val="6C06BB6F"/>
    <w:rsid w:val="6C1A47A6"/>
    <w:rsid w:val="6C662F01"/>
    <w:rsid w:val="6C967C05"/>
    <w:rsid w:val="6CAD4DC2"/>
    <w:rsid w:val="6CD068BD"/>
    <w:rsid w:val="6D31ABFA"/>
    <w:rsid w:val="6D72E780"/>
    <w:rsid w:val="6DACDCD5"/>
    <w:rsid w:val="6DAEF4CA"/>
    <w:rsid w:val="6DE0BC65"/>
    <w:rsid w:val="6E6D5E88"/>
    <w:rsid w:val="6EBC1B3C"/>
    <w:rsid w:val="6ECCAD88"/>
    <w:rsid w:val="6EFA4A49"/>
    <w:rsid w:val="6F4FE255"/>
    <w:rsid w:val="6F6C6E4E"/>
    <w:rsid w:val="6F7C8CC6"/>
    <w:rsid w:val="6F800330"/>
    <w:rsid w:val="6FB37120"/>
    <w:rsid w:val="70B9CADB"/>
    <w:rsid w:val="70C1EA7D"/>
    <w:rsid w:val="71016B6C"/>
    <w:rsid w:val="71083EAF"/>
    <w:rsid w:val="71B73D84"/>
    <w:rsid w:val="71C942A4"/>
    <w:rsid w:val="72100CD5"/>
    <w:rsid w:val="721A1AE9"/>
    <w:rsid w:val="72310AB9"/>
    <w:rsid w:val="723B9BBC"/>
    <w:rsid w:val="72874ADD"/>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2D726A"/>
    <w:rsid w:val="78674B66"/>
    <w:rsid w:val="78BF49DD"/>
    <w:rsid w:val="790B3138"/>
    <w:rsid w:val="799DA319"/>
    <w:rsid w:val="79A48D3C"/>
    <w:rsid w:val="79B20E76"/>
    <w:rsid w:val="79C64322"/>
    <w:rsid w:val="79D5BFE7"/>
    <w:rsid w:val="7AA5F222"/>
    <w:rsid w:val="7ABA6548"/>
    <w:rsid w:val="7B85C3CB"/>
    <w:rsid w:val="7BD2E15A"/>
    <w:rsid w:val="7C02D676"/>
    <w:rsid w:val="7C55E10E"/>
    <w:rsid w:val="7C6523A7"/>
    <w:rsid w:val="7CED858F"/>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7F4DC091-7CF9-46B5-9CB9-6830C657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rsid w:val="00B2663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PageNumber">
    <w:name w:val="page number"/>
    <w:basedOn w:val="DefaultParagraphFont"/>
    <w:rsid w:val="0070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yperlink" Target="https://www.opm.gov/policy-data-oversight/pay-leave/salaries-wages/2024/general-schedule" TargetMode="Externa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tats.bls.gov/news.release/ecec.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7d8dd676-26ca-4e08-b90f-b4e0026a58ac">
      <UserInfo>
        <DisplayName>Trombley, Michael</DisplayName>
        <AccountId>470</AccountId>
        <AccountType/>
      </UserInfo>
      <UserInfo>
        <DisplayName>McLaughlin, Julie</DisplayName>
        <AccountId>471</AccountId>
        <AccountType/>
      </UserInfo>
      <UserInfo>
        <DisplayName>Hawley, Alison (she/her/hers)</DisplayName>
        <AccountId>456</AccountId>
        <AccountType/>
      </UserInfo>
    </SharedWithUsers>
    <lcf76f155ced4ddcb4097134ff3c332f xmlns="905a4662-6dfc-440e-98fd-642ec5771328">
      <Terms xmlns="http://schemas.microsoft.com/office/infopath/2007/PartnerControls"/>
    </lcf76f155ced4ddcb4097134ff3c332f>
    <e3f09c3df709400db2417a7161762d62 xmlns="4ffa91fb-a0ff-4ac5-b2db-65c790d184a4">
      <Terms xmlns="http://schemas.microsoft.com/office/infopath/2007/PartnerControls"/>
    </e3f09c3df709400db2417a7161762d62>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F261F9C2EFB24ABA35C5C2B7BA91EB" ma:contentTypeVersion="23" ma:contentTypeDescription="Create a new document." ma:contentTypeScope="" ma:versionID="b61a4e8bf7c903e47f7678968a83b44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5a4662-6dfc-440e-98fd-642ec5771328" xmlns:ns6="7d8dd676-26ca-4e08-b90f-b4e0026a58ac" targetNamespace="http://schemas.microsoft.com/office/2006/metadata/properties" ma:root="true" ma:fieldsID="5f327b99cabe448bbdc3801b736f97f1" ns1:_="" ns2:_="" ns3:_="" ns4:_="" ns5:_="" ns6:_="">
    <xsd:import namespace="http://schemas.microsoft.com/sharepoint/v3"/>
    <xsd:import namespace="4ffa91fb-a0ff-4ac5-b2db-65c790d184a4"/>
    <xsd:import namespace="http://schemas.microsoft.com/sharepoint.v3"/>
    <xsd:import namespace="http://schemas.microsoft.com/sharepoint/v3/fields"/>
    <xsd:import namespace="905a4662-6dfc-440e-98fd-642ec577132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a4662-6dfc-440e-98fd-642ec577132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d8dd676-26ca-4e08-b90f-b4e0026a58ac"/>
    <ds:schemaRef ds:uri="905a4662-6dfc-440e-98fd-642ec5771328"/>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61D883BF-64DE-44F9-83BE-E3C9BB83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5a4662-6dfc-440e-98fd-642ec577132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8765</Words>
  <Characters>50199</Characters>
  <Application>Microsoft Office Word</Application>
  <DocSecurity>0</DocSecurity>
  <Lines>1091</Lines>
  <Paragraphs>545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2025-05-14T20:46:00Z</dcterms:created>
  <dcterms:modified xsi:type="dcterms:W3CDTF">2025-05-14T20:47:00Z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0x01010013F261F9C2EFB24ABA35C5C2B7BA91EB</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