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785207" w:rsidP="11AB4B38" w14:paraId="46692DEB" w14:textId="18E8CE09">
      <w:pPr>
        <w:spacing w:after="0"/>
        <w:jc w:val="center"/>
        <w:rPr>
          <w:rFonts w:cstheme="minorHAnsi"/>
          <w:sz w:val="32"/>
          <w:szCs w:val="32"/>
        </w:rPr>
      </w:pPr>
      <w:bookmarkStart w:id="0" w:name="_Toc49148152"/>
      <w:r w:rsidRPr="00785207">
        <w:rPr>
          <w:rFonts w:cstheme="minorHAnsi"/>
          <w:sz w:val="32"/>
          <w:szCs w:val="32"/>
        </w:rPr>
        <w:t>U.S. Environmental Protection Agency</w:t>
      </w:r>
    </w:p>
    <w:p w:rsidR="00DE4E0C" w:rsidRPr="00785207" w:rsidP="11AB4B38" w14:paraId="1A3CA841" w14:textId="4B14E2EE">
      <w:pPr>
        <w:jc w:val="center"/>
        <w:rPr>
          <w:rFonts w:cstheme="minorHAnsi"/>
          <w:sz w:val="32"/>
          <w:szCs w:val="32"/>
        </w:rPr>
      </w:pPr>
      <w:r w:rsidRPr="00785207">
        <w:rPr>
          <w:rFonts w:cstheme="minorHAnsi"/>
          <w:sz w:val="32"/>
          <w:szCs w:val="32"/>
        </w:rPr>
        <w:t>Information Collection Request</w:t>
      </w:r>
    </w:p>
    <w:p w:rsidR="00EA0D20" w:rsidRPr="00785207" w:rsidP="00BB432F" w14:paraId="77D1C27C" w14:textId="77777777">
      <w:pPr>
        <w:rPr>
          <w:rFonts w:cstheme="minorHAnsi"/>
          <w:b/>
          <w:bCs/>
        </w:rPr>
      </w:pPr>
    </w:p>
    <w:p w:rsidR="00BB432F" w:rsidRPr="00EB5D72" w:rsidP="004518C2" w14:paraId="7B82FD92" w14:textId="063DA2FB">
      <w:pPr>
        <w:spacing w:after="0" w:line="240" w:lineRule="auto"/>
        <w:textAlignment w:val="baseline"/>
        <w:rPr>
          <w:rFonts w:eastAsia="Times New Roman"/>
        </w:rPr>
      </w:pPr>
      <w:r w:rsidRPr="00785207">
        <w:rPr>
          <w:rFonts w:cstheme="minorHAnsi"/>
          <w:b/>
          <w:bCs/>
        </w:rPr>
        <w:t>Title:</w:t>
      </w:r>
      <w:r w:rsidRPr="00785207" w:rsidR="001F34A5">
        <w:rPr>
          <w:rFonts w:cstheme="minorHAnsi"/>
        </w:rPr>
        <w:t xml:space="preserve"> </w:t>
      </w:r>
      <w:r w:rsidR="00EB5D72">
        <w:rPr>
          <w:rFonts w:eastAsia="Times New Roman"/>
          <w:color w:val="444444"/>
          <w:shd w:val="clear" w:color="auto" w:fill="FFFFFF"/>
        </w:rPr>
        <w:t>NO</w:t>
      </w:r>
      <w:r w:rsidR="00D70CDB">
        <w:rPr>
          <w:rFonts w:eastAsia="Times New Roman"/>
          <w:color w:val="444444"/>
          <w:shd w:val="clear" w:color="auto" w:fill="FFFFFF"/>
          <w:vertAlign w:val="subscript"/>
        </w:rPr>
        <w:t>X</w:t>
      </w:r>
      <w:r w:rsidR="00EB5D72">
        <w:rPr>
          <w:rFonts w:eastAsia="Times New Roman"/>
          <w:color w:val="444444"/>
          <w:shd w:val="clear" w:color="auto" w:fill="FFFFFF"/>
          <w:vertAlign w:val="subscript"/>
        </w:rPr>
        <w:t xml:space="preserve"> </w:t>
      </w:r>
      <w:r w:rsidR="00EB5D72">
        <w:rPr>
          <w:rFonts w:eastAsia="Times New Roman"/>
          <w:color w:val="444444"/>
          <w:shd w:val="clear" w:color="auto" w:fill="FFFFFF"/>
        </w:rPr>
        <w:t>SIP Call (Renewal)</w:t>
      </w:r>
    </w:p>
    <w:p w:rsidR="004518C2" w:rsidRPr="004518C2" w:rsidP="004518C2" w14:paraId="77247E0A" w14:textId="77777777">
      <w:pPr>
        <w:spacing w:after="0" w:line="240" w:lineRule="auto"/>
        <w:textAlignment w:val="baseline"/>
        <w:rPr>
          <w:rFonts w:eastAsia="Times New Roman"/>
        </w:rPr>
      </w:pPr>
    </w:p>
    <w:p w:rsidR="00EE2403" w:rsidRPr="00785207" w:rsidP="7EFA74E6" w14:paraId="71D5121E" w14:textId="38AA30EB">
      <w:pPr>
        <w:spacing w:line="240" w:lineRule="auto"/>
      </w:pPr>
      <w:r w:rsidRPr="7EFA74E6">
        <w:rPr>
          <w:b/>
          <w:bCs/>
        </w:rPr>
        <w:t>OMB Control Number:</w:t>
      </w:r>
      <w:r w:rsidRPr="7EFA74E6" w:rsidR="00BB432F">
        <w:t xml:space="preserve"> </w:t>
      </w:r>
      <w:r w:rsidRPr="7EFA74E6" w:rsidR="00EC77C0">
        <w:t>2</w:t>
      </w:r>
      <w:r w:rsidRPr="7EFA74E6" w:rsidR="10BA8E44">
        <w:t>06</w:t>
      </w:r>
      <w:r w:rsidRPr="7EFA74E6" w:rsidR="00EC77C0">
        <w:t>0-0</w:t>
      </w:r>
      <w:r w:rsidRPr="7EFA74E6" w:rsidR="00EB5D72">
        <w:t>445</w:t>
      </w:r>
    </w:p>
    <w:p w:rsidR="00EE2403" w:rsidRPr="00785207" w:rsidP="00ED57A4" w14:paraId="4FB77BCA" w14:textId="277DAF53">
      <w:pPr>
        <w:spacing w:before="240" w:line="240" w:lineRule="auto"/>
        <w:rPr>
          <w:rFonts w:cstheme="minorHAnsi"/>
        </w:rPr>
      </w:pPr>
      <w:r w:rsidRPr="00785207">
        <w:rPr>
          <w:rFonts w:cstheme="minorHAnsi"/>
          <w:b/>
          <w:bCs/>
        </w:rPr>
        <w:t>EPA ICR Number:</w:t>
      </w:r>
      <w:r w:rsidRPr="00785207" w:rsidR="00B2663E">
        <w:rPr>
          <w:rFonts w:cstheme="minorHAnsi"/>
        </w:rPr>
        <w:t xml:space="preserve"> 1</w:t>
      </w:r>
      <w:r w:rsidR="00EB5D72">
        <w:rPr>
          <w:rFonts w:cstheme="minorHAnsi"/>
        </w:rPr>
        <w:t>857.1</w:t>
      </w:r>
      <w:r w:rsidR="00FB2D08">
        <w:rPr>
          <w:rFonts w:cstheme="minorHAnsi"/>
        </w:rPr>
        <w:t>3</w:t>
      </w:r>
    </w:p>
    <w:p w:rsidR="00BB432F" w:rsidRPr="00785207" w:rsidP="00B2663E" w14:paraId="6A3E928D" w14:textId="3842F213">
      <w:pPr>
        <w:tabs>
          <w:tab w:val="left" w:pos="1892"/>
        </w:tabs>
        <w:spacing w:before="240"/>
        <w:rPr>
          <w:rFonts w:cstheme="minorHAnsi"/>
        </w:rPr>
      </w:pPr>
      <w:r w:rsidRPr="00785207">
        <w:rPr>
          <w:rFonts w:cstheme="minorHAnsi"/>
          <w:b/>
          <w:bCs/>
        </w:rPr>
        <w:t>Abstract:</w:t>
      </w:r>
    </w:p>
    <w:p w:rsidR="00956115" w:rsidRPr="00C94CC1" w:rsidP="00956115" w14:paraId="554CEE89" w14:textId="062F80C1">
      <w:pPr>
        <w:rPr>
          <w:rFonts w:cstheme="minorHAnsi"/>
        </w:rPr>
      </w:pPr>
      <w:r w:rsidRPr="00C94CC1">
        <w:rPr>
          <w:rFonts w:cstheme="minorHAnsi"/>
        </w:rPr>
        <w:t>This is a renewal of the Environmental Protection Agency’s (EPA’s) information collection request (ICR) addressing the burden and costs of information collection activities indirectly required under the NO</w:t>
      </w:r>
      <w:r w:rsidRPr="00C94CC1">
        <w:rPr>
          <w:rFonts w:cstheme="minorHAnsi"/>
          <w:vertAlign w:val="subscript"/>
        </w:rPr>
        <w:t>X</w:t>
      </w:r>
      <w:r w:rsidRPr="00C94CC1">
        <w:rPr>
          <w:rFonts w:cstheme="minorHAnsi"/>
        </w:rPr>
        <w:t xml:space="preserve"> SIP Call (the Rule).  The Rule requires affected states to include certain provisions in their state implementation plans (SIPs) addressing emissions of nitrogen oxides (NO</w:t>
      </w:r>
      <w:r w:rsidRPr="00C94CC1">
        <w:rPr>
          <w:rFonts w:cstheme="minorHAnsi"/>
          <w:vertAlign w:val="subscript"/>
        </w:rPr>
        <w:t>X</w:t>
      </w:r>
      <w:r w:rsidRPr="00C94CC1">
        <w:rPr>
          <w:rFonts w:cstheme="minorHAnsi"/>
        </w:rPr>
        <w:t>) that adversely affect air quality in other states.  Previously, one of the Rule’s requirements applicable to all affected states was that the SIPs must include provisions requiring large electricity generating units (EGUs) and large non-EGU boilers and turbines to monitor and report their NO</w:t>
      </w:r>
      <w:r w:rsidRPr="00C94CC1">
        <w:rPr>
          <w:rFonts w:cstheme="minorHAnsi"/>
          <w:vertAlign w:val="subscript"/>
        </w:rPr>
        <w:t>X</w:t>
      </w:r>
      <w:r w:rsidRPr="00C94CC1">
        <w:rPr>
          <w:rFonts w:cstheme="minorHAnsi"/>
        </w:rPr>
        <w:t xml:space="preserve"> mass emissions during the May-September ozone season according to the provisions of 40 CFR part 75 (referred to here as Part 75 monitoring requirements).  In 2019, EPA amended the NOx SIP Call making the inclusion of Part 75 monitoring requirements in SIPs voluntary instead of mandatory, allowing states to submit SIP revisions to EPA requiring sources to perform other forms of monitoring.  Although the Rule does not impose any requirements directly on sources, the Part 75 monitoring requirements were added to SIPs because of the Rule, and EPA has therefore submitted and periodically renewed an ICR to account for the information collection burden and costs of the Part 75 monitoring requirements imposed indirectly on sources. This ICR includes estimates of burden and costs both for sources subject to Part 75 monitoring requirements and sources performing other forms of monitoring for NO</w:t>
      </w:r>
      <w:r w:rsidRPr="00C94CC1">
        <w:rPr>
          <w:rFonts w:cstheme="minorHAnsi"/>
          <w:vertAlign w:val="subscript"/>
        </w:rPr>
        <w:t>X</w:t>
      </w:r>
      <w:r w:rsidRPr="00C94CC1">
        <w:rPr>
          <w:rFonts w:cstheme="minorHAnsi"/>
        </w:rPr>
        <w:t xml:space="preserve"> SIP Call purposes under approved SIP revisions.   </w:t>
      </w:r>
    </w:p>
    <w:p w:rsidR="00956115" w:rsidRPr="00B92F62" w:rsidP="00B92F62" w14:paraId="412094D8" w14:textId="33A9A1DE">
      <w:r w:rsidRPr="7B2B048E">
        <w:t>Most large EGUs (and some large non-EGU boilers and turbines) affected under the NO</w:t>
      </w:r>
      <w:r w:rsidRPr="7B2B048E">
        <w:rPr>
          <w:vertAlign w:val="subscript"/>
        </w:rPr>
        <w:t>X</w:t>
      </w:r>
      <w:r w:rsidRPr="7B2B048E">
        <w:t xml:space="preserve"> SIP Call are also subject to comparable Part 75 monitoring requirements under the Acid Rain Program (ARP) and/or the Cross-State Air Pollution Rule (CSAPR) trading programs.  Both the ARP and CSAPR have approved ICRs </w:t>
      </w:r>
      <w:r w:rsidRPr="004E4765">
        <w:t>(</w:t>
      </w:r>
      <w:r w:rsidRPr="003E707C">
        <w:t>OMB Control Nos. 2060-0258 and 2060-0667</w:t>
      </w:r>
      <w:r w:rsidRPr="004E4765">
        <w:t>),</w:t>
      </w:r>
      <w:r w:rsidRPr="7B2B048E">
        <w:t xml:space="preserve"> and this ICR accounts for information collection burden and costs only for sources that are not required to perform Part 75 monitoring under the ARP or CSAPR programs and whose information collection burden and costs therefore are not accounted for in the ARP ICR or the CSAPR ICR.  This ICR also accounts for information collection burden and costs for additional sources – primarily smaller EGUs – that states voluntarily have made subject to Part 75 monitoring requirements under the SIPs they adopted for NO</w:t>
      </w:r>
      <w:r w:rsidRPr="7B2B048E">
        <w:rPr>
          <w:vertAlign w:val="subscript"/>
        </w:rPr>
        <w:t>X</w:t>
      </w:r>
      <w:r w:rsidRPr="7B2B048E">
        <w:t xml:space="preserve"> SIP Call compliance, going beyond the Rule’s existing requirements.  </w:t>
      </w:r>
    </w:p>
    <w:p w:rsidR="00956115" w:rsidRPr="00C94CC1" w:rsidP="00956115" w14:paraId="19FB04B4" w14:textId="77777777">
      <w:pPr>
        <w:numPr>
          <w:ilvl w:val="12"/>
          <w:numId w:val="0"/>
        </w:numPr>
        <w:rPr>
          <w:rFonts w:cstheme="minorHAnsi"/>
        </w:rPr>
      </w:pPr>
      <w:r w:rsidRPr="00C94CC1">
        <w:rPr>
          <w:rFonts w:cstheme="minorHAnsi"/>
        </w:rPr>
        <w:t>Under the NO</w:t>
      </w:r>
      <w:r w:rsidRPr="00C94CC1">
        <w:rPr>
          <w:rFonts w:cstheme="minorHAnsi"/>
          <w:vertAlign w:val="subscript"/>
        </w:rPr>
        <w:t>x</w:t>
      </w:r>
      <w:r w:rsidRPr="00C94CC1">
        <w:rPr>
          <w:rFonts w:cstheme="minorHAnsi"/>
        </w:rPr>
        <w:t xml:space="preserve"> SIP Call, states are required to report certain data regarding emissions of sources in the state to EPA on an annual or triennial basis.  The Air Emission Reporting Rule (AERR) for the national emission inventory includes very similar reporting requirements, and EPA believes that there is no material incremental information collection burden and cost associated with the required state </w:t>
      </w:r>
      <w:r w:rsidRPr="00C94CC1">
        <w:rPr>
          <w:rFonts w:cstheme="minorHAnsi"/>
        </w:rPr>
        <w:t>reporting for NO</w:t>
      </w:r>
      <w:r w:rsidRPr="00C94CC1">
        <w:rPr>
          <w:rFonts w:cstheme="minorHAnsi"/>
          <w:vertAlign w:val="subscript"/>
        </w:rPr>
        <w:t>X</w:t>
      </w:r>
      <w:r w:rsidRPr="00C94CC1">
        <w:rPr>
          <w:rFonts w:cstheme="minorHAnsi"/>
        </w:rPr>
        <w:t xml:space="preserve"> SIP Call purposes beyond the burden and cost estimates included in the AERR ICR (OMB Control Number 2060-0580).  Thus, the only information collection burden and costs addressed in this ICR relate to the monitoring and reporting requirements imposed on sources through the states’ SIPs for compliance with the NO</w:t>
      </w:r>
      <w:r w:rsidRPr="00C94CC1">
        <w:rPr>
          <w:rFonts w:cstheme="minorHAnsi"/>
          <w:vertAlign w:val="subscript"/>
        </w:rPr>
        <w:t>X</w:t>
      </w:r>
      <w:r w:rsidRPr="00C94CC1">
        <w:rPr>
          <w:rFonts w:cstheme="minorHAnsi"/>
        </w:rPr>
        <w:t xml:space="preserve"> SIP Call. </w:t>
      </w:r>
    </w:p>
    <w:p w:rsidR="00B2663E" w:rsidRPr="00785207" w:rsidP="00B2663E" w14:paraId="533FC3FA" w14:textId="77777777">
      <w:pPr>
        <w:pStyle w:val="ListParagraph"/>
        <w:autoSpaceDE w:val="0"/>
        <w:autoSpaceDN w:val="0"/>
        <w:adjustRightInd w:val="0"/>
        <w:spacing w:after="0" w:line="240" w:lineRule="auto"/>
        <w:rPr>
          <w:rFonts w:cstheme="minorHAnsi"/>
        </w:rPr>
      </w:pPr>
    </w:p>
    <w:p w:rsidR="00DE4E0C" w:rsidRPr="00785207" w:rsidP="4BDBF0A0" w14:paraId="12DA0580" w14:textId="3A9EBC77">
      <w:pPr>
        <w:rPr>
          <w:rFonts w:cstheme="minorHAnsi"/>
          <w:b/>
          <w:bCs/>
          <w:u w:val="single"/>
        </w:rPr>
      </w:pPr>
      <w:r w:rsidRPr="00785207">
        <w:rPr>
          <w:rFonts w:cstheme="minorHAnsi"/>
          <w:b/>
          <w:bCs/>
          <w:u w:val="single"/>
        </w:rPr>
        <w:t>Supporting Statement A</w:t>
      </w:r>
      <w:bookmarkEnd w:id="0"/>
    </w:p>
    <w:p w:rsidR="00D47CB3" w:rsidRPr="00785207" w:rsidP="003D667E" w14:paraId="73FF37C3" w14:textId="77C3FA07">
      <w:pPr>
        <w:pStyle w:val="ListParagraph"/>
        <w:numPr>
          <w:ilvl w:val="0"/>
          <w:numId w:val="2"/>
        </w:numPr>
        <w:pBdr>
          <w:bottom w:val="single" w:sz="4" w:space="1" w:color="auto"/>
        </w:pBdr>
        <w:spacing w:before="240" w:after="0"/>
        <w:rPr>
          <w:rFonts w:cstheme="minorHAnsi"/>
          <w:b/>
          <w:bCs/>
        </w:rPr>
      </w:pPr>
      <w:bookmarkStart w:id="1" w:name="_Toc156593368"/>
      <w:r w:rsidRPr="00785207">
        <w:rPr>
          <w:rFonts w:cstheme="minorHAnsi"/>
          <w:b/>
          <w:bCs/>
        </w:rPr>
        <w:t>NEED AND AUTHORITY FOR THE COLLECTION</w:t>
      </w:r>
      <w:bookmarkEnd w:id="1"/>
    </w:p>
    <w:p w:rsidR="00A27E5C" w:rsidRPr="00785207" w:rsidP="00854AAE" w14:paraId="0D31D853" w14:textId="354D5D40">
      <w:pPr>
        <w:pBdr>
          <w:bottom w:val="single" w:sz="4" w:space="1" w:color="auto"/>
        </w:pBdr>
        <w:spacing w:before="60"/>
        <w:rPr>
          <w:rFonts w:cstheme="minorHAnsi"/>
          <w:i/>
          <w:iCs/>
        </w:rPr>
      </w:pPr>
      <w:r w:rsidRPr="00785207">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D452F9" w:rsidRPr="00D452F9" w:rsidP="00D452F9" w14:paraId="7B61B9BB" w14:textId="53F14B3C">
      <w:pPr>
        <w:keepNext/>
      </w:pPr>
      <w:r w:rsidRPr="7B2B048E">
        <w:t>The state reporting requirements included in the NO</w:t>
      </w:r>
      <w:r w:rsidRPr="7B2B048E">
        <w:rPr>
          <w:vertAlign w:val="subscript"/>
        </w:rPr>
        <w:t>X</w:t>
      </w:r>
      <w:r w:rsidRPr="7B2B048E">
        <w:t xml:space="preserve"> SIP Call are necessary for EPA to carry out properly its evaluation of each state's compliance with its ozone season NO</w:t>
      </w:r>
      <w:r w:rsidRPr="7B2B048E">
        <w:rPr>
          <w:vertAlign w:val="subscript"/>
        </w:rPr>
        <w:t>X</w:t>
      </w:r>
      <w:r w:rsidRPr="7B2B048E">
        <w:t xml:space="preserve"> emissions budget.  The legal authority for the reporting requirements resides in Clean Air Act (CAA) sections 110(a) and 301(a).  Specifically, the requirement in section 110(a)(2)(D) that SIPs include "adequate provisions" to mitigate certain transport effects on other states implicitly authorizes emissions inventory reporting to EPA, as needed and appropriate to verify that a state is in fact meeting its NO</w:t>
      </w:r>
      <w:r w:rsidRPr="7B2B048E">
        <w:rPr>
          <w:vertAlign w:val="subscript"/>
        </w:rPr>
        <w:t>X</w:t>
      </w:r>
      <w:r w:rsidRPr="7B2B048E">
        <w:t xml:space="preserve"> budget.  Section 110(a)(2)(F) provides additional authority for requiring that SIP call submissions include provisions for emissions reporting by sources to a state, correlation of source information by the state, and steps by the state to make the correlated information available to the public.  Section 110(a)(2)(K), in turn, requires a state to submit to EPA as requested data related to modeling the effect of NO</w:t>
      </w:r>
      <w:r w:rsidRPr="7B2B048E">
        <w:rPr>
          <w:vertAlign w:val="subscript"/>
        </w:rPr>
        <w:t>X</w:t>
      </w:r>
      <w:r w:rsidRPr="7B2B048E">
        <w:t xml:space="preserve"> and other emissions on ambient air quality.  The reported emissions inventory data is used by EPA in air quality modeling to assess the effectiveness of the transport rulemaking's regional strategy.  Finally, CAA section 301(a) grants EPA broad authority to prescribe such regulations as are necessary to carry out its functions under the Clean Air Act.</w:t>
      </w:r>
    </w:p>
    <w:p w:rsidR="00D452F9" w:rsidRPr="00D452F9" w:rsidP="00D452F9" w14:paraId="6F1F3C08" w14:textId="6AE02B04">
      <w:pPr>
        <w:keepNext/>
      </w:pPr>
      <w:r w:rsidRPr="7B2B048E">
        <w:t>Under the 2019 amendments, the NO</w:t>
      </w:r>
      <w:r w:rsidRPr="7B2B048E">
        <w:rPr>
          <w:vertAlign w:val="subscript"/>
        </w:rPr>
        <w:t>X</w:t>
      </w:r>
      <w:r w:rsidRPr="7B2B048E">
        <w:t xml:space="preserve"> SIP Call regulations do not establish a mandatory form of monitoring that states have to include in their SIPs to obtain the data required to be reported to EPA. Rather, under 40 CFR 51.121(f)(1) and (i)(1), which repeat certain general requirements applicable to all SIPs under 40 CFR 51.111, 51.210, and 51.211, states simply have to ensure that monitoring is sufficient to allow the state to ensure that the control measures in the SIP are being complied with.  Any Part 75 monitoring requirements imposed on sources in SIPs are pursuant to state determinations rather than EPA requirements.</w:t>
      </w:r>
    </w:p>
    <w:p w:rsidR="00956115" w:rsidRPr="00785207" w:rsidP="00854AAE" w14:paraId="13CFF3B8" w14:textId="77777777">
      <w:pPr>
        <w:keepNext/>
        <w:rPr>
          <w:rFonts w:cstheme="minorHAnsi"/>
        </w:rPr>
      </w:pPr>
    </w:p>
    <w:p w:rsidR="00D47CB3" w:rsidRPr="00785207" w:rsidP="003D667E" w14:paraId="24F38A28" w14:textId="345BCCC4">
      <w:pPr>
        <w:pStyle w:val="ListParagraph"/>
        <w:numPr>
          <w:ilvl w:val="0"/>
          <w:numId w:val="2"/>
        </w:numPr>
        <w:spacing w:before="240" w:after="0"/>
        <w:rPr>
          <w:rFonts w:cstheme="minorHAnsi"/>
          <w:b/>
          <w:bCs/>
        </w:rPr>
      </w:pPr>
      <w:bookmarkStart w:id="2" w:name="_Toc156593369"/>
      <w:r w:rsidRPr="00785207">
        <w:rPr>
          <w:rFonts w:cstheme="minorHAnsi"/>
          <w:b/>
          <w:bCs/>
        </w:rPr>
        <w:t>PRACTICAL UTILITY/USERS OF THE DATA</w:t>
      </w:r>
      <w:bookmarkEnd w:id="2"/>
    </w:p>
    <w:p w:rsidR="00B2663E" w:rsidP="00EB5D72" w14:paraId="32DFC200" w14:textId="4DED7299">
      <w:pPr>
        <w:pBdr>
          <w:bottom w:val="single" w:sz="4" w:space="1" w:color="auto"/>
        </w:pBdr>
        <w:spacing w:before="60"/>
        <w:rPr>
          <w:rFonts w:cstheme="minorHAnsi"/>
          <w:i/>
          <w:iCs/>
          <w:color w:val="000000"/>
          <w:shd w:val="clear" w:color="auto" w:fill="FFFFFF"/>
        </w:rPr>
      </w:pPr>
      <w:r w:rsidRPr="00785207">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423DA9" w:rsidRPr="00423DA9" w:rsidP="00423DA9" w14:paraId="2431FD1A" w14:textId="4F6428BB">
      <w:pPr>
        <w:spacing w:before="60"/>
        <w:rPr>
          <w:rFonts w:cstheme="minorHAnsi"/>
          <w:color w:val="000000"/>
          <w:shd w:val="clear" w:color="auto" w:fill="FFFFFF"/>
        </w:rPr>
      </w:pPr>
      <w:r w:rsidRPr="00423DA9">
        <w:rPr>
          <w:rFonts w:cstheme="minorHAnsi"/>
          <w:color w:val="000000"/>
          <w:shd w:val="clear" w:color="auto" w:fill="FFFFFF"/>
        </w:rPr>
        <w:t xml:space="preserve">EPA believes it is essential that compliance with the regional control strategy be verified.  Tracking emissions is the principal mechanism to ensure compliance with the budget and to assure the downwind affected states and EPA that the ozone transport problem is being mitigated. The information collected by the industry sources subject to this ICR provides necessary input data to the state emissions inventory needed for tracking regional control strategy compliance. </w:t>
      </w:r>
    </w:p>
    <w:p w:rsidR="00EB5D72" w:rsidP="00423DA9" w14:paraId="5F657A1D" w14:textId="2C7C23BF">
      <w:pPr>
        <w:spacing w:before="60"/>
        <w:rPr>
          <w:color w:val="000000"/>
          <w:shd w:val="clear" w:color="auto" w:fill="FFFFFF"/>
        </w:rPr>
      </w:pPr>
      <w:r w:rsidRPr="7B2B048E">
        <w:rPr>
          <w:color w:val="000000"/>
          <w:shd w:val="clear" w:color="auto" w:fill="FFFFFF"/>
        </w:rPr>
        <w:t>Further, the emissions reductions attributable to the NO</w:t>
      </w:r>
      <w:r w:rsidRPr="7B2B048E">
        <w:rPr>
          <w:color w:val="000000"/>
          <w:shd w:val="clear" w:color="auto" w:fill="FFFFFF"/>
          <w:vertAlign w:val="subscript"/>
        </w:rPr>
        <w:t>X</w:t>
      </w:r>
      <w:r w:rsidRPr="7B2B048E">
        <w:rPr>
          <w:color w:val="000000"/>
          <w:shd w:val="clear" w:color="auto" w:fill="FFFFFF"/>
        </w:rPr>
        <w:t xml:space="preserve"> SIP Call have been relied on to support numerous final actions redesignating areas to attainment of national ambient air quality standards (NAAQS).  Under CAA section 107(d)(3)(E), emissions reductions that are relied on to support redesignation actions must be “permanent and enforceable.”  Continued collection of emissions data is necessary to ensure that the emissions reductions are permanent and enforceable and can therefore continue to be used to support other EPA actions.</w:t>
      </w:r>
    </w:p>
    <w:p w:rsidR="00423DA9" w:rsidRPr="00423DA9" w:rsidP="00423DA9" w14:paraId="4DD03C41" w14:textId="77777777">
      <w:pPr>
        <w:spacing w:before="60"/>
        <w:rPr>
          <w:rFonts w:cstheme="minorHAnsi"/>
          <w:color w:val="000000"/>
          <w:shd w:val="clear" w:color="auto" w:fill="FFFFFF"/>
        </w:rPr>
      </w:pPr>
    </w:p>
    <w:p w:rsidR="00074917" w:rsidRPr="00EB5D72" w:rsidP="003D667E" w14:paraId="1522D565" w14:textId="553E3A2D">
      <w:pPr>
        <w:pStyle w:val="ListParagraph"/>
        <w:numPr>
          <w:ilvl w:val="0"/>
          <w:numId w:val="2"/>
        </w:numPr>
        <w:spacing w:before="240" w:after="0"/>
        <w:rPr>
          <w:rFonts w:cstheme="minorHAnsi"/>
          <w:b/>
          <w:bCs/>
        </w:rPr>
      </w:pPr>
      <w:bookmarkStart w:id="3" w:name="_Toc156593370"/>
      <w:r w:rsidRPr="00EB5D72">
        <w:rPr>
          <w:rFonts w:cstheme="minorHAnsi"/>
          <w:b/>
          <w:bCs/>
        </w:rPr>
        <w:t>USE OF TECHNOLOGY</w:t>
      </w:r>
      <w:bookmarkEnd w:id="3"/>
    </w:p>
    <w:p w:rsidR="00D47CB3" w:rsidRPr="00785207" w:rsidP="00EB5D72" w14:paraId="50A4BA09" w14:textId="2FD9C2D1">
      <w:pPr>
        <w:pBdr>
          <w:bottom w:val="single" w:sz="4" w:space="1" w:color="auto"/>
        </w:pBdr>
        <w:spacing w:before="60"/>
        <w:rPr>
          <w:rFonts w:cstheme="minorHAnsi"/>
          <w:i/>
          <w:iCs/>
        </w:rPr>
      </w:pPr>
      <w:r w:rsidRPr="00785207">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3526B" w:rsidP="00854AAE" w14:paraId="777F3E2C" w14:textId="05E84F86">
      <w:pPr>
        <w:pBdr>
          <w:top w:val="single" w:sz="6" w:space="0" w:color="FFFFFF"/>
          <w:left w:val="single" w:sz="6" w:space="0" w:color="FFFFFF"/>
          <w:bottom w:val="single" w:sz="6" w:space="0" w:color="FFFFFF"/>
          <w:right w:val="single" w:sz="6" w:space="0" w:color="FFFFFF"/>
        </w:pBdr>
        <w:rPr>
          <w:color w:val="000000" w:themeColor="text1"/>
        </w:rPr>
      </w:pPr>
      <w:r w:rsidRPr="7B2B048E">
        <w:rPr>
          <w:color w:val="000000" w:themeColor="text1"/>
        </w:rPr>
        <w:t xml:space="preserve">Several computer systems and associated databases have been developed to record quarterly emissions monitoring data under Part 75. The systems and databases are designed to coordinate the information for easy access and use by the Agency, states, regulated community, and the public. </w:t>
      </w:r>
      <w:r w:rsidRPr="008E7D18" w:rsidR="008E7D18">
        <w:rPr>
          <w:color w:val="000000" w:themeColor="text1"/>
        </w:rPr>
        <w:t xml:space="preserve">The Emissions Collection and Monitoring Plan System (ECMPS) is where sources are able to submit required quarterly monitoring data. </w:t>
      </w:r>
      <w:r w:rsidRPr="7B2B048E">
        <w:rPr>
          <w:color w:val="000000" w:themeColor="text1"/>
        </w:rPr>
        <w:t xml:space="preserve">EPA provides access to the emissions data in both detailed and summary formats on the </w:t>
      </w:r>
      <w:r w:rsidRPr="008E7D18" w:rsidR="008E7D18">
        <w:rPr>
          <w:color w:val="000000" w:themeColor="text1"/>
        </w:rPr>
        <w:t xml:space="preserve">Clean Air Markets Program Data (CAMPD) website, which is accessible to sources and the public. The CAMD Business System (CBS) is used by sources and the Agency to appoint facility representatives and update facility information. </w:t>
      </w:r>
    </w:p>
    <w:p w:rsidR="008E7D18" w:rsidRPr="008E7D18" w:rsidP="00854AAE" w14:paraId="6C168BAC" w14:textId="77777777">
      <w:pPr>
        <w:pBdr>
          <w:top w:val="single" w:sz="6" w:space="0" w:color="FFFFFF"/>
          <w:left w:val="single" w:sz="6" w:space="0" w:color="FFFFFF"/>
          <w:bottom w:val="single" w:sz="6" w:space="0" w:color="FFFFFF"/>
          <w:right w:val="single" w:sz="6" w:space="0" w:color="FFFFFF"/>
        </w:pBdr>
        <w:rPr>
          <w:color w:val="000000" w:themeColor="text1"/>
        </w:rPr>
      </w:pPr>
    </w:p>
    <w:p w:rsidR="005263EC" w:rsidRPr="00785207" w:rsidP="003D667E" w14:paraId="2CB3B868" w14:textId="58CBB947">
      <w:pPr>
        <w:pStyle w:val="ListParagraph"/>
        <w:numPr>
          <w:ilvl w:val="0"/>
          <w:numId w:val="2"/>
        </w:numPr>
        <w:pBdr>
          <w:bottom w:val="single" w:sz="4" w:space="1" w:color="auto"/>
        </w:pBdr>
        <w:spacing w:before="240" w:after="0"/>
        <w:rPr>
          <w:rFonts w:cstheme="minorHAnsi"/>
          <w:b/>
          <w:bCs/>
        </w:rPr>
      </w:pPr>
      <w:bookmarkStart w:id="4" w:name="_Toc156593371"/>
      <w:r w:rsidRPr="00785207">
        <w:rPr>
          <w:rFonts w:cstheme="minorHAnsi"/>
          <w:b/>
          <w:bCs/>
        </w:rPr>
        <w:t>EFFORTS TO IDENTIFY DUPLICATION</w:t>
      </w:r>
      <w:bookmarkEnd w:id="4"/>
    </w:p>
    <w:p w:rsidR="00D47CB3" w:rsidRPr="00785207" w:rsidP="00854AAE" w14:paraId="15DFF081" w14:textId="57054C58">
      <w:pPr>
        <w:pBdr>
          <w:bottom w:val="single" w:sz="4" w:space="1" w:color="auto"/>
        </w:pBdr>
        <w:spacing w:before="60"/>
        <w:rPr>
          <w:rFonts w:cstheme="minorHAnsi"/>
          <w:i/>
          <w:iCs/>
        </w:rPr>
      </w:pPr>
      <w:r w:rsidRPr="00785207">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473877" w:rsidRPr="00473877" w:rsidP="7B2B048E" w14:paraId="6A0B0383" w14:textId="1C2598F9">
      <w:bookmarkStart w:id="5" w:name="_Toc156593372"/>
      <w:r w:rsidRPr="7B2B048E">
        <w:t>To minimize the reporting burden on state agencies, the state reporting requirements under the NO</w:t>
      </w:r>
      <w:r w:rsidRPr="003E707C">
        <w:rPr>
          <w:vertAlign w:val="subscript"/>
        </w:rPr>
        <w:t>X</w:t>
      </w:r>
      <w:r w:rsidRPr="7B2B048E">
        <w:t xml:space="preserve"> SIP Call are integrated with the annual and periodic emission inventory reporting requirements under the Air Emissions Reporting Rule.  </w:t>
      </w:r>
    </w:p>
    <w:p w:rsidR="003E707C" w:rsidP="003D667E" w14:paraId="0F6F0C71" w14:textId="3B73A0E3">
      <w:pPr>
        <w:numPr>
          <w:ilvl w:val="12"/>
          <w:numId w:val="0"/>
        </w:numPr>
        <w:rPr>
          <w:rFonts w:cstheme="minorHAnsi"/>
        </w:rPr>
      </w:pPr>
      <w:r w:rsidRPr="00473877">
        <w:rPr>
          <w:rFonts w:cstheme="minorHAnsi"/>
        </w:rPr>
        <w:t>Almost all information collected from emissions sources under this ICR renewal is not otherwise available.  All reporting formats for affected sources required to monitor under Part 75 for any program, such as the Acid Rain Program or CSAPR, are fully integrated across programs.  For a unit subject to more than one of these programs, a single quarterly submission is used to satisfy the quarterly reporting requirements for all programs. Where a source monitors under Part 75, the Part 75 monitoring generally also satisfies the monitoring requirements that apply under other federal programs that do not themselves require Part 75 monitoring, such as new source performance standards.</w:t>
      </w:r>
    </w:p>
    <w:p w:rsidR="00F3526B" w:rsidRPr="00F3526B" w:rsidP="003D667E" w14:paraId="06A798BF" w14:textId="77777777">
      <w:pPr>
        <w:numPr>
          <w:ilvl w:val="12"/>
          <w:numId w:val="0"/>
        </w:numPr>
        <w:rPr>
          <w:rFonts w:cstheme="minorHAnsi"/>
        </w:rPr>
      </w:pPr>
    </w:p>
    <w:p w:rsidR="00251151" w:rsidRPr="00785207" w:rsidP="003D667E" w14:paraId="79D36B3F" w14:textId="440DD77F">
      <w:pPr>
        <w:pStyle w:val="ListParagraph"/>
        <w:numPr>
          <w:ilvl w:val="0"/>
          <w:numId w:val="2"/>
        </w:numPr>
        <w:pBdr>
          <w:bottom w:val="single" w:sz="4" w:space="1" w:color="auto"/>
        </w:pBdr>
        <w:spacing w:before="240" w:after="0"/>
        <w:rPr>
          <w:rFonts w:cstheme="minorHAnsi"/>
          <w:b/>
          <w:bCs/>
        </w:rPr>
      </w:pPr>
      <w:r w:rsidRPr="00785207">
        <w:rPr>
          <w:rFonts w:cstheme="minorHAnsi"/>
          <w:b/>
          <w:bCs/>
        </w:rPr>
        <w:t xml:space="preserve">MINIMIZING BURDEN ON SMALL </w:t>
      </w:r>
      <w:r w:rsidRPr="00785207" w:rsidR="0F43C128">
        <w:rPr>
          <w:rFonts w:cstheme="minorHAnsi"/>
          <w:b/>
          <w:bCs/>
        </w:rPr>
        <w:t xml:space="preserve">BUSINESSES AND SMALL </w:t>
      </w:r>
      <w:r w:rsidRPr="00785207">
        <w:rPr>
          <w:rFonts w:cstheme="minorHAnsi"/>
          <w:b/>
          <w:bCs/>
        </w:rPr>
        <w:t>ENTITIES</w:t>
      </w:r>
      <w:bookmarkEnd w:id="5"/>
    </w:p>
    <w:p w:rsidR="00D47CB3" w:rsidRPr="00785207" w:rsidP="00854AAE" w14:paraId="3D612A53" w14:textId="12EBD254">
      <w:pPr>
        <w:pBdr>
          <w:bottom w:val="single" w:sz="4" w:space="1" w:color="auto"/>
        </w:pBdr>
        <w:spacing w:before="60"/>
        <w:rPr>
          <w:rFonts w:cstheme="minorHAnsi"/>
          <w:i/>
          <w:iCs/>
        </w:rPr>
      </w:pPr>
      <w:r w:rsidRPr="00785207">
        <w:rPr>
          <w:rFonts w:cstheme="minorHAnsi"/>
          <w:i/>
          <w:iCs/>
          <w:color w:val="000000"/>
          <w:shd w:val="clear" w:color="auto" w:fill="FFFFFF"/>
        </w:rPr>
        <w:t>If the collection of information impacts small businesses or other small entities, describe any methods used to minimize burden.</w:t>
      </w:r>
    </w:p>
    <w:p w:rsidR="00B14B1A" w:rsidRPr="00B14B1A" w:rsidP="00B14B1A" w14:paraId="4748A024" w14:textId="2240DB5A">
      <w:r w:rsidRPr="7B2B048E">
        <w:t>In the NO</w:t>
      </w:r>
      <w:r w:rsidRPr="003E707C">
        <w:rPr>
          <w:vertAlign w:val="subscript"/>
        </w:rPr>
        <w:t>X</w:t>
      </w:r>
      <w:r w:rsidRPr="7B2B048E">
        <w:t xml:space="preserve"> SIP Call rulemaking, 63 FR 57356 (October 27, 1998), the Administrator certified that the rule will not have a significant economic impact on a substantial number of small entities.</w:t>
      </w:r>
    </w:p>
    <w:p w:rsidR="00B14B1A" w:rsidRPr="00B14B1A" w:rsidP="00B14B1A" w14:paraId="19B1CB7F" w14:textId="7D7347B5">
      <w:pPr>
        <w:rPr>
          <w:rFonts w:cstheme="minorHAnsi"/>
        </w:rPr>
      </w:pPr>
      <w:r w:rsidRPr="00B14B1A">
        <w:rPr>
          <w:rFonts w:cstheme="minorHAnsi"/>
        </w:rPr>
        <w:t>The low mass emissions provisions under 40 CFR 75.19 provide for optional reduced monitoring, quality assurance, and reporting requirements for certain units that combust natural gas and/or fuel oil.  Such units must emit no more than 100 tons of NO</w:t>
      </w:r>
      <w:r w:rsidRPr="005632BB">
        <w:rPr>
          <w:rFonts w:cstheme="minorHAnsi"/>
          <w:vertAlign w:val="subscript"/>
        </w:rPr>
        <w:t>X</w:t>
      </w:r>
      <w:r w:rsidRPr="00B14B1A">
        <w:rPr>
          <w:rFonts w:cstheme="minorHAnsi"/>
        </w:rPr>
        <w:t xml:space="preserve"> annually, 50 tons of NO</w:t>
      </w:r>
      <w:r w:rsidRPr="005632BB">
        <w:rPr>
          <w:rFonts w:cstheme="minorHAnsi"/>
          <w:vertAlign w:val="subscript"/>
        </w:rPr>
        <w:t xml:space="preserve">X </w:t>
      </w:r>
      <w:r w:rsidRPr="00B14B1A">
        <w:rPr>
          <w:rFonts w:cstheme="minorHAnsi"/>
        </w:rPr>
        <w:t>during the May-September ozone season, and 25 tons of SO</w:t>
      </w:r>
      <w:r w:rsidRPr="005632BB">
        <w:rPr>
          <w:rFonts w:cstheme="minorHAnsi"/>
          <w:vertAlign w:val="subscript"/>
        </w:rPr>
        <w:t>2</w:t>
      </w:r>
      <w:r w:rsidRPr="00B14B1A">
        <w:rPr>
          <w:rFonts w:cstheme="minorHAnsi"/>
        </w:rPr>
        <w:t xml:space="preserve"> annually, and must calculate no more than these same amounts based on specified procedures for calculating and reporting emissions.  Units that qualify are exempted from certain requirements to install and operate monitoring equipment, conduct fuel sampling, and perform quality assurance or quality control tests.  Moreover, emissions reporting requirements are significantly simplified for these units</w:t>
      </w:r>
      <w:r>
        <w:rPr>
          <w:rFonts w:cstheme="minorHAnsi"/>
        </w:rPr>
        <w:t>.</w:t>
      </w:r>
    </w:p>
    <w:p w:rsidR="00473877" w:rsidP="00B14B1A" w14:paraId="6A327CFD" w14:textId="54D89270">
      <w:pPr>
        <w:rPr>
          <w:rFonts w:cstheme="minorHAnsi"/>
        </w:rPr>
      </w:pPr>
      <w:r w:rsidRPr="00B14B1A">
        <w:rPr>
          <w:rFonts w:cstheme="minorHAnsi"/>
        </w:rPr>
        <w:t>Gas- or oil-fired units that do not qualify for the low mass emissions unit provisions under 40 CFR part 75 may still meet criteria that allow for the use of alternative methods to measure emissions.  As discussed in the Regulatory Impact Analysis of the final ARP regulations (October 19, 1992), smaller utilities are more likely to be dependent on these oil- and gas-fired units, especially very small utilities.</w:t>
      </w:r>
    </w:p>
    <w:p w:rsidR="005632BB" w:rsidRPr="00D10CDB" w:rsidP="00B14B1A" w14:paraId="21CC3BB7" w14:textId="4827CF2D">
      <w:pPr>
        <w:rPr>
          <w:rFonts w:cstheme="minorHAnsi"/>
        </w:rPr>
      </w:pPr>
      <w:r>
        <w:rPr>
          <w:rFonts w:cstheme="minorHAnsi"/>
        </w:rPr>
        <w:t>A</w:t>
      </w:r>
      <w:r w:rsidR="00D10CDB">
        <w:rPr>
          <w:rFonts w:cstheme="minorHAnsi"/>
        </w:rPr>
        <w:t>s noted, in 2019 the NO</w:t>
      </w:r>
      <w:r w:rsidRPr="00D10CDB" w:rsidR="00D10CDB">
        <w:rPr>
          <w:rFonts w:cstheme="minorHAnsi"/>
          <w:vertAlign w:val="subscript"/>
        </w:rPr>
        <w:t>X</w:t>
      </w:r>
      <w:r w:rsidR="00D10CDB">
        <w:rPr>
          <w:rFonts w:cstheme="minorHAnsi"/>
          <w:vertAlign w:val="subscript"/>
        </w:rPr>
        <w:t xml:space="preserve"> </w:t>
      </w:r>
      <w:r w:rsidR="00D10CDB">
        <w:rPr>
          <w:rFonts w:cstheme="minorHAnsi"/>
        </w:rPr>
        <w:t>SIP Call was amended</w:t>
      </w:r>
      <w:r w:rsidR="008C7BB1">
        <w:rPr>
          <w:rFonts w:cstheme="minorHAnsi"/>
        </w:rPr>
        <w:t xml:space="preserve"> to allow states the option of making the Part 75 monitoring and reporting requirements optional for affected sources. </w:t>
      </w:r>
      <w:r w:rsidR="00F039ED">
        <w:rPr>
          <w:rFonts w:cstheme="minorHAnsi"/>
        </w:rPr>
        <w:t>This provides sources</w:t>
      </w:r>
      <w:r w:rsidR="00CE2C31">
        <w:rPr>
          <w:rFonts w:cstheme="minorHAnsi"/>
        </w:rPr>
        <w:t xml:space="preserve"> in states that elect to </w:t>
      </w:r>
      <w:r w:rsidR="0041055D">
        <w:rPr>
          <w:rFonts w:cstheme="minorHAnsi"/>
        </w:rPr>
        <w:t>implement the revision</w:t>
      </w:r>
      <w:r w:rsidR="00F039ED">
        <w:rPr>
          <w:rFonts w:cstheme="minorHAnsi"/>
        </w:rPr>
        <w:t xml:space="preserve">, </w:t>
      </w:r>
      <w:r w:rsidR="00F825EF">
        <w:rPr>
          <w:rFonts w:cstheme="minorHAnsi"/>
        </w:rPr>
        <w:t xml:space="preserve">an option to follow a potentially less burdensome </w:t>
      </w:r>
      <w:r w:rsidR="00451810">
        <w:rPr>
          <w:rFonts w:cstheme="minorHAnsi"/>
        </w:rPr>
        <w:t xml:space="preserve">monitoring and reporting strategy. </w:t>
      </w:r>
      <w:r w:rsidR="00CE2C31">
        <w:rPr>
          <w:rFonts w:cstheme="minorHAnsi"/>
        </w:rPr>
        <w:t xml:space="preserve"> </w:t>
      </w:r>
    </w:p>
    <w:p w:rsidR="00B14B1A" w:rsidRPr="00785207" w:rsidP="00B14B1A" w14:paraId="7EC2E7FA" w14:textId="77777777">
      <w:pPr>
        <w:rPr>
          <w:rFonts w:cstheme="minorHAnsi"/>
        </w:rPr>
      </w:pPr>
    </w:p>
    <w:p w:rsidR="004252C1" w:rsidRPr="00785207" w:rsidP="003D667E" w14:paraId="1FF5A778" w14:textId="02F91DFF">
      <w:pPr>
        <w:pStyle w:val="ListParagraph"/>
        <w:numPr>
          <w:ilvl w:val="0"/>
          <w:numId w:val="2"/>
        </w:numPr>
        <w:pBdr>
          <w:bottom w:val="single" w:sz="4" w:space="1" w:color="auto"/>
        </w:pBdr>
        <w:spacing w:before="240" w:after="0"/>
        <w:rPr>
          <w:rFonts w:cstheme="minorHAnsi"/>
          <w:b/>
          <w:bCs/>
        </w:rPr>
      </w:pPr>
      <w:bookmarkStart w:id="6" w:name="_Toc156593373"/>
      <w:r w:rsidRPr="00785207">
        <w:rPr>
          <w:rFonts w:cstheme="minorHAnsi"/>
          <w:b/>
          <w:bCs/>
        </w:rPr>
        <w:t>CONSEQUENCES</w:t>
      </w:r>
      <w:r w:rsidRPr="00785207" w:rsidR="00061A77">
        <w:rPr>
          <w:rFonts w:cstheme="minorHAnsi"/>
          <w:b/>
          <w:bCs/>
        </w:rPr>
        <w:t xml:space="preserve"> OF LESS FREQUENT COLLECTION</w:t>
      </w:r>
      <w:bookmarkEnd w:id="6"/>
    </w:p>
    <w:p w:rsidR="00D47CB3" w:rsidRPr="00785207" w:rsidP="00854AAE" w14:paraId="00E27992" w14:textId="51FE3814">
      <w:pPr>
        <w:pBdr>
          <w:bottom w:val="single" w:sz="4" w:space="1" w:color="auto"/>
        </w:pBdr>
        <w:tabs>
          <w:tab w:val="left" w:pos="921"/>
        </w:tabs>
        <w:spacing w:before="60"/>
        <w:rPr>
          <w:rFonts w:cstheme="minorHAnsi"/>
          <w:i/>
          <w:iCs/>
        </w:rPr>
      </w:pPr>
      <w:r w:rsidRPr="00785207">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473877" w:rsidP="00771E7F" w14:paraId="35BDD0BE" w14:textId="39A1B0AD">
      <w:pPr>
        <w:keepNext/>
        <w:numPr>
          <w:ilvl w:val="12"/>
          <w:numId w:val="0"/>
        </w:numPr>
        <w:rPr>
          <w:rFonts w:cstheme="minorHAnsi"/>
        </w:rPr>
      </w:pPr>
      <w:r w:rsidRPr="00771E7F">
        <w:rPr>
          <w:rFonts w:cstheme="minorHAnsi"/>
        </w:rPr>
        <w:t>Quarterly collection of emissions data for the affected units allows the opportunity to check data for errors and provide rapid feedback on needed adjustments to data collection systems, and thereby promoted accurate and reliable emissions data.  For this same reason, existing federal and state emission monitoring programs often require quarterly reporting, or in some cases, monthly.  Less frequent collection, such as semi-annually or annually, would increase the amount of preparation and review time at the end of the reporting period both for regulated sources and for EPA.  This would slow down the process for the verification of compliance.</w:t>
      </w:r>
    </w:p>
    <w:p w:rsidR="00771E7F" w:rsidRPr="00785207" w:rsidP="00771E7F" w14:paraId="60F6CF6A" w14:textId="77777777">
      <w:pPr>
        <w:keepNext/>
        <w:numPr>
          <w:ilvl w:val="12"/>
          <w:numId w:val="0"/>
        </w:numPr>
        <w:rPr>
          <w:rFonts w:cstheme="minorHAnsi"/>
        </w:rPr>
      </w:pPr>
    </w:p>
    <w:p w:rsidR="00A233E0" w:rsidRPr="00785207" w:rsidP="003D667E" w14:paraId="27596CC0" w14:textId="77777777">
      <w:pPr>
        <w:pStyle w:val="ListParagraph"/>
        <w:numPr>
          <w:ilvl w:val="0"/>
          <w:numId w:val="2"/>
        </w:numPr>
        <w:pBdr>
          <w:bottom w:val="single" w:sz="4" w:space="1" w:color="auto"/>
        </w:pBdr>
        <w:spacing w:before="240" w:after="0"/>
        <w:rPr>
          <w:rFonts w:cstheme="minorHAnsi"/>
          <w:b/>
          <w:bCs/>
        </w:rPr>
      </w:pPr>
      <w:bookmarkStart w:id="7" w:name="_Toc156593374"/>
      <w:r w:rsidRPr="00785207">
        <w:rPr>
          <w:rFonts w:cstheme="minorHAnsi"/>
          <w:b/>
          <w:bCs/>
        </w:rPr>
        <w:t>GENERAL GUIDELINES</w:t>
      </w:r>
      <w:bookmarkEnd w:id="7"/>
    </w:p>
    <w:p w:rsidR="0051647F" w:rsidRPr="00473877" w:rsidP="0051647F" w14:paraId="2439B1D9" w14:textId="4600C628">
      <w:pPr>
        <w:pBdr>
          <w:bottom w:val="single" w:sz="4" w:space="1" w:color="auto"/>
        </w:pBdr>
        <w:spacing w:before="60"/>
        <w:rPr>
          <w:rFonts w:cstheme="minorHAnsi"/>
          <w:i/>
          <w:iCs/>
        </w:rPr>
      </w:pPr>
      <w:r w:rsidRPr="00785207">
        <w:rPr>
          <w:rFonts w:cstheme="minorHAnsi"/>
          <w:i/>
          <w:iCs/>
        </w:rPr>
        <w:t>Explain any special circumstances that require the collection to be conducted in a manner inconsistent with OMB guidelines.</w:t>
      </w:r>
    </w:p>
    <w:p w:rsidR="00473877" w:rsidP="0051647F" w14:paraId="7F06A51B" w14:textId="21BC5995">
      <w:pPr>
        <w:numPr>
          <w:ilvl w:val="12"/>
          <w:numId w:val="0"/>
        </w:numPr>
        <w:rPr>
          <w:rFonts w:cstheme="minorHAnsi"/>
        </w:rPr>
      </w:pPr>
      <w:r w:rsidRPr="00A16F73">
        <w:rPr>
          <w:rFonts w:cstheme="minorHAnsi"/>
        </w:rPr>
        <w:t xml:space="preserve">This ICR does not violate any of OMB's guidelines for information collections.  </w:t>
      </w:r>
    </w:p>
    <w:p w:rsidR="00A16F73" w:rsidRPr="00785207" w:rsidP="0051647F" w14:paraId="3388AB34" w14:textId="77777777">
      <w:pPr>
        <w:numPr>
          <w:ilvl w:val="12"/>
          <w:numId w:val="0"/>
        </w:numPr>
        <w:rPr>
          <w:rFonts w:cstheme="minorHAnsi"/>
        </w:rPr>
      </w:pPr>
    </w:p>
    <w:p w:rsidR="006036CD" w:rsidRPr="00785207" w:rsidP="003D667E" w14:paraId="02EE9B8D" w14:textId="77777777">
      <w:pPr>
        <w:pStyle w:val="ListParagraph"/>
        <w:numPr>
          <w:ilvl w:val="0"/>
          <w:numId w:val="2"/>
        </w:numPr>
        <w:pBdr>
          <w:bottom w:val="single" w:sz="4" w:space="1" w:color="auto"/>
        </w:pBdr>
        <w:spacing w:before="240" w:after="0"/>
        <w:rPr>
          <w:rFonts w:cstheme="minorHAnsi"/>
          <w:b/>
          <w:bCs/>
        </w:rPr>
      </w:pPr>
      <w:bookmarkStart w:id="8" w:name="_Toc156593375"/>
      <w:r w:rsidRPr="00785207">
        <w:rPr>
          <w:rFonts w:cstheme="minorHAnsi"/>
          <w:b/>
          <w:bCs/>
        </w:rPr>
        <w:t>PUBLIC COMMENT AND CONSULTATIONS</w:t>
      </w:r>
      <w:bookmarkStart w:id="9" w:name="_Toc156593376"/>
      <w:bookmarkEnd w:id="8"/>
    </w:p>
    <w:p w:rsidR="00DD2682" w:rsidRPr="00785207" w:rsidP="00854AAE" w14:paraId="4922639E" w14:textId="016E742A">
      <w:pPr>
        <w:spacing w:before="120" w:after="0"/>
        <w:rPr>
          <w:rFonts w:cstheme="minorHAnsi"/>
          <w:b/>
          <w:bCs/>
        </w:rPr>
      </w:pPr>
      <w:r w:rsidRPr="00785207">
        <w:rPr>
          <w:rFonts w:cstheme="minorHAnsi"/>
          <w:b/>
          <w:bCs/>
        </w:rPr>
        <w:t xml:space="preserve">8a. </w:t>
      </w:r>
      <w:r w:rsidRPr="00785207" w:rsidR="00A82647">
        <w:rPr>
          <w:rFonts w:cstheme="minorHAnsi"/>
          <w:b/>
          <w:bCs/>
        </w:rPr>
        <w:t>Public Comment</w:t>
      </w:r>
      <w:bookmarkStart w:id="10" w:name="_Toc156593377"/>
      <w:bookmarkEnd w:id="9"/>
    </w:p>
    <w:p w:rsidR="00A233E0" w:rsidP="0A5F1FEF" w14:paraId="7D73FF3F" w14:textId="098A626B">
      <w:pPr>
        <w:spacing w:line="240" w:lineRule="auto"/>
        <w:rPr>
          <w:i/>
          <w:iCs/>
        </w:rPr>
      </w:pPr>
      <w:r w:rsidRPr="0A5F1FEF">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A5F1FEF" w:rsidR="4998CD04">
        <w:rPr>
          <w:i/>
          <w:iCs/>
        </w:rPr>
        <w:t>.</w:t>
      </w:r>
    </w:p>
    <w:p w:rsidR="4998CD04" w:rsidP="74E9CCE8" w14:paraId="1574A8DB" w14:textId="2CF4483B">
      <w:pPr>
        <w:spacing w:line="240" w:lineRule="auto"/>
        <w:rPr>
          <w:i/>
          <w:iCs/>
        </w:rPr>
      </w:pPr>
      <w:r>
        <w:t>The EPA published the proposed ICR in the Federal Register on 9/5/2024 (FRL-12191-01-OAR). The EPA did not receive any comments</w:t>
      </w:r>
      <w:r w:rsidR="000539EB">
        <w:t xml:space="preserve">. </w:t>
      </w:r>
    </w:p>
    <w:p w:rsidR="00E55E45" w:rsidRPr="00EB5D72" w:rsidP="00854AAE" w14:paraId="70D31A4F" w14:textId="77777777">
      <w:pPr>
        <w:spacing w:line="240" w:lineRule="auto"/>
        <w:rPr>
          <w:rFonts w:cstheme="minorHAnsi"/>
        </w:rPr>
      </w:pPr>
    </w:p>
    <w:p w:rsidR="00DB7775" w:rsidRPr="00785207" w:rsidP="00854AAE" w14:paraId="71A9B3CC" w14:textId="77087A05">
      <w:pPr>
        <w:spacing w:before="120" w:after="0"/>
        <w:rPr>
          <w:rFonts w:cstheme="minorHAnsi"/>
          <w:b/>
          <w:bCs/>
        </w:rPr>
      </w:pPr>
      <w:r w:rsidRPr="00785207">
        <w:rPr>
          <w:rFonts w:cstheme="minorHAnsi"/>
          <w:b/>
          <w:bCs/>
        </w:rPr>
        <w:t xml:space="preserve">8b. </w:t>
      </w:r>
      <w:r w:rsidRPr="00785207" w:rsidR="0061689C">
        <w:rPr>
          <w:rFonts w:cstheme="minorHAnsi"/>
          <w:b/>
          <w:bCs/>
        </w:rPr>
        <w:t>C</w:t>
      </w:r>
      <w:bookmarkEnd w:id="10"/>
      <w:r w:rsidRPr="00785207" w:rsidR="005D140B">
        <w:rPr>
          <w:rFonts w:cstheme="minorHAnsi"/>
          <w:b/>
          <w:bCs/>
        </w:rPr>
        <w:t>onsultations</w:t>
      </w:r>
    </w:p>
    <w:p w:rsidR="00A233E0" w:rsidRPr="00785207" w:rsidP="00854AAE" w14:paraId="04F99483" w14:textId="77777777">
      <w:pPr>
        <w:rPr>
          <w:rFonts w:cstheme="minorHAnsi"/>
          <w:i/>
          <w:iCs/>
        </w:rPr>
      </w:pPr>
      <w:r w:rsidRPr="00785207">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6C8D" w:rsidRPr="00BA6C8D" w:rsidP="00BA6C8D" w14:paraId="0803FAC9" w14:textId="77777777">
      <w:r w:rsidRPr="00BA6C8D">
        <w:t>EPA has held numerous consultations on Part 75 monitoring requirements during the development of the ARP, the NO</w:t>
      </w:r>
      <w:r w:rsidRPr="00BA6C8D">
        <w:rPr>
          <w:vertAlign w:val="subscript"/>
        </w:rPr>
        <w:t xml:space="preserve">X </w:t>
      </w:r>
      <w:r w:rsidRPr="00BA6C8D">
        <w:t xml:space="preserve">SIP Call, the Clean Air Interstate Rule, and CSAPR.  </w:t>
      </w:r>
    </w:p>
    <w:p w:rsidR="00BA6C8D" w:rsidRPr="00BA6C8D" w:rsidP="00BA6C8D" w14:paraId="1BB8A805" w14:textId="77777777">
      <w:r w:rsidRPr="00BA6C8D">
        <w:t>For the initial development of the NO</w:t>
      </w:r>
      <w:r w:rsidRPr="00BA6C8D">
        <w:rPr>
          <w:vertAlign w:val="subscript"/>
        </w:rPr>
        <w:t>X</w:t>
      </w:r>
      <w:r w:rsidRPr="00BA6C8D">
        <w:t xml:space="preserve"> SIP Call, on January 13, 1998, EPA held a one-day pre-proposal workshop with the states to discuss tracking issues.  The objective of the workshop was to determine what type and frequency of inventory reporting is feasible for the different source sectors (power generating sources, other point sources, area sources, non-road mobile, and highway mobile sources), to identify key reporting issues related to each sector, and to develop recommendations on reporting requirements to ensure compliance with the NOX budgets.  The goal was to share information and ideas rather than to reach consensus.  A summary of the meeting is contained in the docket (docket no. A-96-56, item V-B-18) for the NOX SIP Call rulemaking.  The reporting requirements included in 40 CFR 51.122 are based, in part, on the suggestions of participants in the workshop.</w:t>
      </w:r>
    </w:p>
    <w:p w:rsidR="00BA6C8D" w:rsidRPr="00BA6C8D" w:rsidP="00BA6C8D" w14:paraId="161287BC" w14:textId="77777777">
      <w:r w:rsidRPr="00BA6C8D">
        <w:t>The state recordkeeping and reporting requirements under the NOX SIP Call were included in the supplemental proposal (63 FR 25902, May 11, 1998) on which public comments were solicited.  Comments received were reviewed and where appropriate were incorporated into the rule requirements.</w:t>
      </w:r>
    </w:p>
    <w:p w:rsidR="00BA6C8D" w:rsidRPr="00BA6C8D" w:rsidP="00BA6C8D" w14:paraId="5FEDE873" w14:textId="77777777">
      <w:r w:rsidRPr="00BA6C8D">
        <w:t xml:space="preserve">Finally, as part of updating the ICRs for the Acid Rain Program, CSAPR Update, and NOx SIP, EPA reached out in July of 2024 to a representative sample of affected sources who are subject to the Acid Rain Program’s requirements. The sources were asked for their voluntary input regarding estimated labor hours and costs associated with various tasks related to emissions monitoring and data submissions under the Acid Rain Program, which encompasses the CSAPR Update and NOx SIP program requirements. After receiving responses, the EPA re-evaluated the burden hours for specific tasks and </w:t>
      </w:r>
      <w:r w:rsidRPr="00BA6C8D">
        <w:t xml:space="preserve">capital and O&amp;M costs incurred under the program. The responses received were in line with the data in the previous ICRs and thus the data remained largely the same as the data previously collected. </w:t>
      </w:r>
    </w:p>
    <w:p w:rsidR="00CA451B" w:rsidRPr="00785207" w:rsidP="00CA451B" w14:paraId="1458D6FB" w14:textId="77777777">
      <w:pPr>
        <w:rPr>
          <w:rFonts w:cstheme="minorHAnsi"/>
        </w:rPr>
      </w:pPr>
    </w:p>
    <w:p w:rsidR="00A233E0" w:rsidRPr="00785207" w:rsidP="003D667E" w14:paraId="191560B2" w14:textId="77777777">
      <w:pPr>
        <w:pStyle w:val="ListParagraph"/>
        <w:numPr>
          <w:ilvl w:val="0"/>
          <w:numId w:val="2"/>
        </w:numPr>
        <w:pBdr>
          <w:bottom w:val="single" w:sz="4" w:space="1" w:color="auto"/>
        </w:pBdr>
        <w:spacing w:before="240" w:after="0"/>
        <w:rPr>
          <w:rFonts w:cstheme="minorHAnsi"/>
          <w:b/>
          <w:bCs/>
        </w:rPr>
      </w:pPr>
      <w:bookmarkStart w:id="11" w:name="_Toc156593378"/>
      <w:r w:rsidRPr="00785207">
        <w:rPr>
          <w:rFonts w:cstheme="minorHAnsi"/>
          <w:b/>
          <w:bCs/>
        </w:rPr>
        <w:t>PAYMENTS OR GIFTS TO RESPONDENTS</w:t>
      </w:r>
      <w:bookmarkEnd w:id="11"/>
    </w:p>
    <w:p w:rsidR="00D47CB3" w:rsidRPr="00785207" w:rsidP="00854AAE" w14:paraId="5B1B6C7F" w14:textId="1A951D95">
      <w:pPr>
        <w:pBdr>
          <w:bottom w:val="single" w:sz="4" w:space="1" w:color="auto"/>
        </w:pBdr>
        <w:spacing w:before="60"/>
        <w:rPr>
          <w:rFonts w:cstheme="minorHAnsi"/>
        </w:rPr>
      </w:pPr>
      <w:r w:rsidRPr="00785207">
        <w:rPr>
          <w:rFonts w:cstheme="minorHAnsi"/>
          <w:i/>
          <w:iCs/>
        </w:rPr>
        <w:t>Explain any decisions to provide payments or gifts to respondents, other than remuneration of contractors or grantees.</w:t>
      </w:r>
    </w:p>
    <w:p w:rsidR="00ED57A4" w:rsidRPr="00785207" w:rsidP="00854AAE" w14:paraId="0D75D3D3" w14:textId="5FC65F0D">
      <w:pPr>
        <w:rPr>
          <w:rStyle w:val="normaltextrun"/>
          <w:rFonts w:cstheme="minorHAnsi"/>
          <w:color w:val="000000"/>
          <w:bdr w:val="none" w:sz="0" w:space="0" w:color="auto" w:frame="1"/>
        </w:rPr>
      </w:pPr>
      <w:r w:rsidRPr="00785207">
        <w:rPr>
          <w:rStyle w:val="normaltextrun"/>
          <w:rFonts w:cstheme="minorHAnsi"/>
          <w:color w:val="000000"/>
          <w:bdr w:val="none" w:sz="0" w:space="0" w:color="auto" w:frame="1"/>
        </w:rPr>
        <w:t>Respon</w:t>
      </w:r>
      <w:r w:rsidRPr="00785207" w:rsidR="003C4C0C">
        <w:rPr>
          <w:rStyle w:val="normaltextrun"/>
          <w:rFonts w:cstheme="minorHAnsi"/>
          <w:color w:val="000000"/>
          <w:bdr w:val="none" w:sz="0" w:space="0" w:color="auto" w:frame="1"/>
        </w:rPr>
        <w:t xml:space="preserve">dents will not receive payments or gifts. </w:t>
      </w:r>
    </w:p>
    <w:p w:rsidR="003C4C0C" w:rsidRPr="00785207" w:rsidP="00854AAE" w14:paraId="2A3812C7" w14:textId="77777777">
      <w:pPr>
        <w:rPr>
          <w:rFonts w:cstheme="minorHAnsi"/>
        </w:rPr>
      </w:pPr>
    </w:p>
    <w:p w:rsidR="4C04BBF2" w:rsidRPr="00785207" w:rsidP="003D667E" w14:paraId="333FE36D" w14:textId="45DEA41F">
      <w:pPr>
        <w:pStyle w:val="ListParagraph"/>
        <w:numPr>
          <w:ilvl w:val="0"/>
          <w:numId w:val="2"/>
        </w:numPr>
        <w:pBdr>
          <w:bottom w:val="single" w:sz="4" w:space="1" w:color="auto"/>
        </w:pBdr>
        <w:spacing w:before="240" w:after="0"/>
        <w:rPr>
          <w:rFonts w:cstheme="minorHAnsi"/>
          <w:b/>
          <w:bCs/>
        </w:rPr>
      </w:pPr>
      <w:r w:rsidRPr="00785207">
        <w:rPr>
          <w:rFonts w:cstheme="minorHAnsi"/>
          <w:b/>
          <w:bCs/>
        </w:rPr>
        <w:t>ASSURANCE OF CONFIDENTIALITY</w:t>
      </w:r>
    </w:p>
    <w:p w:rsidR="00E86880" w:rsidRPr="00785207" w:rsidP="00E86880" w14:paraId="654CE296" w14:textId="785FF437">
      <w:pPr>
        <w:pBdr>
          <w:bottom w:val="single" w:sz="4" w:space="1" w:color="auto"/>
        </w:pBdr>
        <w:spacing w:before="60"/>
        <w:rPr>
          <w:rFonts w:cstheme="minorHAnsi"/>
        </w:rPr>
      </w:pPr>
      <w:r w:rsidRPr="00785207">
        <w:rPr>
          <w:rFonts w:cstheme="minorHAnsi"/>
          <w:i/>
          <w:iCs/>
        </w:rPr>
        <w:t xml:space="preserve">Describe any assurance of confidentiality provided to respondents and the basis for the assurance in statute, regulation, or Agency policy. If the collection requires a </w:t>
      </w:r>
      <w:r w:rsidRPr="00785207" w:rsidR="00AF4DEF">
        <w:rPr>
          <w:rFonts w:cstheme="minorHAnsi"/>
          <w:i/>
          <w:iCs/>
        </w:rPr>
        <w:t>system of records notice (SORN)</w:t>
      </w:r>
      <w:r w:rsidRPr="00785207">
        <w:rPr>
          <w:rFonts w:cstheme="minorHAnsi"/>
          <w:i/>
          <w:iCs/>
        </w:rPr>
        <w:t xml:space="preserve"> or privacy impact assessment (PIA), those should be cited and described here.</w:t>
      </w:r>
    </w:p>
    <w:p w:rsidR="00135FB5" w:rsidRPr="00135FB5" w:rsidP="00135FB5" w14:paraId="3BF12419" w14:textId="77777777">
      <w:pPr>
        <w:rPr>
          <w:rFonts w:cstheme="minorHAnsi"/>
        </w:rPr>
      </w:pPr>
      <w:r w:rsidRPr="00135FB5">
        <w:rPr>
          <w:rFonts w:cstheme="minorHAnsi"/>
        </w:rPr>
        <w:t>As required by CAA section 114, estimates or measurements of emissions must be treated as non-confidential.  Under Agency procedures, data items relating to the computation of emissions may be identified as sensitive by a state and are then treated as "state-sensitive" by EPA.  The potentially state-sensitive items include the process rate, boiler design capacity, emission estimation codes, percent space heat, operating rate, and maximum operation rate/hour.  Where federal and state requirements are inconsistent, the appropriate EPA Regional Office should be consulted.</w:t>
      </w:r>
    </w:p>
    <w:p w:rsidR="00A15184" w:rsidRPr="00EB5D72" w:rsidP="00EB5D72" w14:paraId="1CE1A403" w14:textId="77777777">
      <w:pPr>
        <w:numPr>
          <w:ilvl w:val="12"/>
          <w:numId w:val="0"/>
        </w:numPr>
        <w:rPr>
          <w:rFonts w:cstheme="minorHAnsi"/>
        </w:rPr>
      </w:pPr>
    </w:p>
    <w:p w:rsidR="00A233E0" w:rsidRPr="00785207" w:rsidP="003D667E" w14:paraId="36FBAEFB" w14:textId="77777777">
      <w:pPr>
        <w:pStyle w:val="ListParagraph"/>
        <w:numPr>
          <w:ilvl w:val="0"/>
          <w:numId w:val="2"/>
        </w:numPr>
        <w:pBdr>
          <w:bottom w:val="single" w:sz="4" w:space="1" w:color="auto"/>
        </w:pBdr>
        <w:spacing w:before="240" w:after="0"/>
        <w:rPr>
          <w:rFonts w:cstheme="minorHAnsi"/>
          <w:b/>
          <w:bCs/>
        </w:rPr>
      </w:pPr>
      <w:bookmarkStart w:id="12" w:name="_Toc156593380"/>
      <w:r w:rsidRPr="00785207">
        <w:rPr>
          <w:rFonts w:cstheme="minorHAnsi"/>
          <w:b/>
          <w:bCs/>
        </w:rPr>
        <w:t>JUSTIFICATION FOR SENSITIVE QUESTIONS</w:t>
      </w:r>
      <w:bookmarkEnd w:id="12"/>
    </w:p>
    <w:p w:rsidR="00A233E0" w:rsidRPr="00785207" w:rsidP="00854AAE" w14:paraId="6E3B78D8" w14:textId="5C334C1C">
      <w:pPr>
        <w:pBdr>
          <w:bottom w:val="single" w:sz="4" w:space="1" w:color="auto"/>
        </w:pBdr>
        <w:spacing w:before="60"/>
        <w:rPr>
          <w:rFonts w:cstheme="minorHAnsi"/>
        </w:rPr>
      </w:pPr>
      <w:r w:rsidRPr="00785207">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5A4A" w:rsidP="00EB5D72" w14:paraId="709CE5B1" w14:textId="3B4D7235">
      <w:pPr>
        <w:numPr>
          <w:ilvl w:val="12"/>
          <w:numId w:val="0"/>
        </w:numPr>
        <w:rPr>
          <w:rFonts w:cstheme="minorHAnsi"/>
        </w:rPr>
      </w:pPr>
      <w:r w:rsidRPr="000E38E9">
        <w:rPr>
          <w:rFonts w:cstheme="minorHAnsi"/>
        </w:rPr>
        <w:t xml:space="preserve">This information collection does not ask any questions concerning sexual behavior or attitudes, religious beliefs, or other matters usually considered private.  </w:t>
      </w:r>
    </w:p>
    <w:p w:rsidR="000E38E9" w:rsidRPr="00EB5D72" w:rsidP="00EB5D72" w14:paraId="519C1831" w14:textId="77777777">
      <w:pPr>
        <w:numPr>
          <w:ilvl w:val="12"/>
          <w:numId w:val="0"/>
        </w:numPr>
        <w:rPr>
          <w:rFonts w:cstheme="minorHAnsi"/>
        </w:rPr>
      </w:pPr>
    </w:p>
    <w:p w:rsidR="001172FE" w:rsidRPr="00785207" w:rsidP="003D667E" w14:paraId="637A8E82" w14:textId="77777777">
      <w:pPr>
        <w:pStyle w:val="ListParagraph"/>
        <w:numPr>
          <w:ilvl w:val="0"/>
          <w:numId w:val="2"/>
        </w:numPr>
        <w:spacing w:before="240" w:after="0"/>
        <w:rPr>
          <w:rFonts w:cstheme="minorHAnsi"/>
          <w:b/>
          <w:bCs/>
        </w:rPr>
      </w:pPr>
      <w:bookmarkStart w:id="13" w:name="_Toc156593381"/>
      <w:r w:rsidRPr="00785207">
        <w:rPr>
          <w:rFonts w:cstheme="minorHAnsi"/>
          <w:b/>
          <w:bCs/>
        </w:rPr>
        <w:t>RESPONDENT BURDEN HOURS</w:t>
      </w:r>
      <w:r w:rsidRPr="00785207" w:rsidR="00DB799B">
        <w:rPr>
          <w:rFonts w:cstheme="minorHAnsi"/>
          <w:b/>
          <w:bCs/>
        </w:rPr>
        <w:t xml:space="preserve"> &amp; LABOR COSTS</w:t>
      </w:r>
      <w:bookmarkStart w:id="14" w:name="_Toc156593382"/>
      <w:bookmarkEnd w:id="13"/>
    </w:p>
    <w:p w:rsidR="00A233E0" w:rsidRPr="00785207" w:rsidP="00163C69" w14:paraId="71F2FC12" w14:textId="77777777">
      <w:pPr>
        <w:pStyle w:val="ListParagraph"/>
        <w:ind w:left="0"/>
        <w:rPr>
          <w:rFonts w:cstheme="minorHAnsi"/>
          <w:i/>
          <w:iCs/>
        </w:rPr>
      </w:pPr>
      <w:r w:rsidRPr="00785207">
        <w:rPr>
          <w:rFonts w:cstheme="minorHAnsi"/>
          <w:i/>
          <w:iCs/>
        </w:rPr>
        <w:t>Provide estimates of the hour burden of the collection of information. The statement should:</w:t>
      </w:r>
    </w:p>
    <w:p w:rsidR="00A233E0" w:rsidRPr="00785207" w:rsidP="003D667E" w14:paraId="11BD2D70" w14:textId="77777777">
      <w:pPr>
        <w:pStyle w:val="ListParagraph"/>
        <w:numPr>
          <w:ilvl w:val="0"/>
          <w:numId w:val="1"/>
        </w:numPr>
        <w:ind w:left="446"/>
        <w:rPr>
          <w:rFonts w:cstheme="minorHAnsi"/>
          <w:i/>
          <w:iCs/>
        </w:rPr>
      </w:pPr>
      <w:r w:rsidRPr="00785207">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785207" w:rsidP="003D667E" w14:paraId="2184CE92" w14:textId="77777777">
      <w:pPr>
        <w:pStyle w:val="ListParagraph"/>
        <w:numPr>
          <w:ilvl w:val="0"/>
          <w:numId w:val="1"/>
        </w:numPr>
        <w:ind w:left="450"/>
        <w:rPr>
          <w:rFonts w:cstheme="minorHAnsi"/>
          <w:i/>
          <w:iCs/>
        </w:rPr>
      </w:pPr>
      <w:r w:rsidRPr="00785207">
        <w:rPr>
          <w:rFonts w:cstheme="minorHAnsi"/>
          <w:i/>
          <w:iCs/>
        </w:rPr>
        <w:t>If this request for approval covers more than one form, provide separate hour burden estimates for each form and the aggregate the hour burdens.</w:t>
      </w:r>
    </w:p>
    <w:p w:rsidR="00A233E0" w:rsidRPr="00785207" w:rsidP="003D667E" w14:paraId="7EF5894F" w14:textId="5EEBA470">
      <w:pPr>
        <w:pStyle w:val="ListParagraph"/>
        <w:numPr>
          <w:ilvl w:val="0"/>
          <w:numId w:val="1"/>
        </w:numPr>
        <w:pBdr>
          <w:bottom w:val="single" w:sz="4" w:space="1" w:color="auto"/>
        </w:pBdr>
        <w:ind w:left="446"/>
        <w:rPr>
          <w:rFonts w:cstheme="minorHAnsi"/>
          <w:i/>
          <w:iCs/>
        </w:rPr>
      </w:pPr>
      <w:r w:rsidRPr="00785207">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785207" w:rsidR="001F0834">
        <w:rPr>
          <w:rFonts w:cstheme="minorHAnsi"/>
          <w:i/>
          <w:iCs/>
        </w:rPr>
        <w:t>.</w:t>
      </w:r>
    </w:p>
    <w:p w:rsidR="001172FE" w:rsidRPr="00785207" w:rsidP="00854AAE" w14:paraId="571186E5" w14:textId="2917827F">
      <w:pPr>
        <w:spacing w:before="120" w:after="0"/>
        <w:rPr>
          <w:rFonts w:cstheme="minorHAnsi"/>
          <w:b/>
          <w:bCs/>
        </w:rPr>
      </w:pPr>
      <w:r w:rsidRPr="00785207">
        <w:rPr>
          <w:rFonts w:cstheme="minorHAnsi"/>
          <w:b/>
          <w:bCs/>
        </w:rPr>
        <w:t xml:space="preserve">12a. </w:t>
      </w:r>
      <w:r w:rsidRPr="00785207" w:rsidR="00557E8F">
        <w:rPr>
          <w:rFonts w:cstheme="minorHAnsi"/>
          <w:b/>
          <w:bCs/>
        </w:rPr>
        <w:t>Respondents/NAICS Codes</w:t>
      </w:r>
      <w:bookmarkStart w:id="15" w:name="_Toc156593383"/>
      <w:bookmarkEnd w:id="14"/>
    </w:p>
    <w:p w:rsidR="00B26619" w:rsidRPr="00B26619" w:rsidP="00B26619" w14:paraId="3F61AF08" w14:textId="0B5F8AD9">
      <w:pPr>
        <w:pBdr>
          <w:top w:val="single" w:sz="6" w:space="0" w:color="FFFFFF"/>
          <w:left w:val="single" w:sz="6" w:space="0" w:color="FFFFFF"/>
          <w:bottom w:val="single" w:sz="6" w:space="0" w:color="FFFFFF"/>
          <w:right w:val="single" w:sz="6" w:space="0" w:color="FFFFFF"/>
        </w:pBdr>
        <w:spacing w:before="60"/>
        <w:rPr>
          <w:color w:val="000000"/>
        </w:rPr>
      </w:pPr>
      <w:r w:rsidRPr="7B2B048E">
        <w:rPr>
          <w:color w:val="000000" w:themeColor="text1"/>
        </w:rPr>
        <w:t>This ICR estimates the burden for sources affected under the NO</w:t>
      </w:r>
      <w:r w:rsidRPr="003E707C">
        <w:rPr>
          <w:color w:val="000000" w:themeColor="text1"/>
          <w:vertAlign w:val="subscript"/>
        </w:rPr>
        <w:t>X</w:t>
      </w:r>
      <w:r w:rsidRPr="7B2B048E">
        <w:rPr>
          <w:color w:val="000000" w:themeColor="text1"/>
        </w:rPr>
        <w:t xml:space="preserve"> SIP Call that are not subject to Part 75 monitoring requirements under another program (i.e., the Acid Rain Program or a CSAPR trading program) to monitor NO</w:t>
      </w:r>
      <w:r w:rsidRPr="003E707C">
        <w:rPr>
          <w:color w:val="000000" w:themeColor="text1"/>
          <w:vertAlign w:val="subscript"/>
        </w:rPr>
        <w:t>X</w:t>
      </w:r>
      <w:r w:rsidRPr="7B2B048E">
        <w:rPr>
          <w:color w:val="000000" w:themeColor="text1"/>
        </w:rPr>
        <w:t xml:space="preserve"> mass emissions so that states and EPA can track compliance with state emission budgets and NO</w:t>
      </w:r>
      <w:r w:rsidRPr="003E707C">
        <w:rPr>
          <w:color w:val="000000" w:themeColor="text1"/>
          <w:vertAlign w:val="subscript"/>
        </w:rPr>
        <w:t xml:space="preserve">X </w:t>
      </w:r>
      <w:r w:rsidRPr="7B2B048E">
        <w:rPr>
          <w:color w:val="000000" w:themeColor="text1"/>
        </w:rPr>
        <w:t>control measures for NO</w:t>
      </w:r>
      <w:r w:rsidRPr="003E707C">
        <w:rPr>
          <w:color w:val="000000" w:themeColor="text1"/>
          <w:vertAlign w:val="subscript"/>
        </w:rPr>
        <w:t xml:space="preserve">X </w:t>
      </w:r>
      <w:r w:rsidRPr="7B2B048E">
        <w:rPr>
          <w:color w:val="000000" w:themeColor="text1"/>
        </w:rPr>
        <w:t>SIP Call purposes.  The affected sources are generally fossil fuel-fired boilers and stationary combustion turbines that have heat input capacities greater than 250 million BTU per hour or that serve electricity generators with nameplate capacities greater than 25 megawatts.  Sources meeting these criteria operate in a variety of industries, including:</w:t>
      </w:r>
    </w:p>
    <w:p w:rsidR="00B26619" w:rsidRPr="00B26619" w:rsidP="003D667E" w14:paraId="21849170" w14:textId="3C5B2A2A">
      <w:pPr>
        <w:pStyle w:val="ListParagraph"/>
        <w:numPr>
          <w:ilvl w:val="0"/>
          <w:numId w:val="4"/>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26619">
        <w:rPr>
          <w:rFonts w:cstheme="minorHAnsi"/>
          <w:color w:val="000000"/>
        </w:rPr>
        <w:t xml:space="preserve">Fossil fuel-fired electric power generation, North American Industry Classification System (NAICS) 221112. </w:t>
      </w:r>
    </w:p>
    <w:p w:rsidR="00B26619" w:rsidRPr="00B26619" w:rsidP="003D667E" w14:paraId="75CC3839" w14:textId="12F7866A">
      <w:pPr>
        <w:pStyle w:val="ListParagraph"/>
        <w:numPr>
          <w:ilvl w:val="0"/>
          <w:numId w:val="4"/>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26619">
        <w:rPr>
          <w:rFonts w:cstheme="minorHAnsi"/>
          <w:color w:val="000000"/>
        </w:rPr>
        <w:t>Grain and oilseed milling, NAICS 3112.</w:t>
      </w:r>
    </w:p>
    <w:p w:rsidR="00B26619" w:rsidRPr="00B26619" w:rsidP="003D667E" w14:paraId="3695C7F0" w14:textId="1B8FA8E5">
      <w:pPr>
        <w:pStyle w:val="ListParagraph"/>
        <w:numPr>
          <w:ilvl w:val="0"/>
          <w:numId w:val="4"/>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26619">
        <w:rPr>
          <w:rFonts w:cstheme="minorHAnsi"/>
          <w:color w:val="000000"/>
        </w:rPr>
        <w:t>Pulp, paper, and paperboard mills, NAICS 3221.</w:t>
      </w:r>
    </w:p>
    <w:p w:rsidR="00B26619" w:rsidRPr="00B26619" w:rsidP="003D667E" w14:paraId="2B2404F3" w14:textId="57A22D1B">
      <w:pPr>
        <w:pStyle w:val="ListParagraph"/>
        <w:numPr>
          <w:ilvl w:val="0"/>
          <w:numId w:val="4"/>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26619">
        <w:rPr>
          <w:rFonts w:cstheme="minorHAnsi"/>
          <w:color w:val="000000"/>
        </w:rPr>
        <w:t>Petroleum and coal products manufacturing, NAICS 3421.</w:t>
      </w:r>
    </w:p>
    <w:p w:rsidR="00B26619" w:rsidRPr="00B26619" w:rsidP="003D667E" w14:paraId="1FDEB20D" w14:textId="6A21B054">
      <w:pPr>
        <w:pStyle w:val="ListParagraph"/>
        <w:numPr>
          <w:ilvl w:val="0"/>
          <w:numId w:val="4"/>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26619">
        <w:rPr>
          <w:rFonts w:cstheme="minorHAnsi"/>
          <w:color w:val="000000"/>
        </w:rPr>
        <w:t>Basic chemical manufacturing, NAICS 3251.</w:t>
      </w:r>
    </w:p>
    <w:p w:rsidR="00B26619" w:rsidRPr="00B26619" w:rsidP="003D667E" w14:paraId="3D61530C" w14:textId="4D0BEB3B">
      <w:pPr>
        <w:pStyle w:val="ListParagraph"/>
        <w:numPr>
          <w:ilvl w:val="0"/>
          <w:numId w:val="4"/>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26619">
        <w:rPr>
          <w:rFonts w:cstheme="minorHAnsi"/>
          <w:color w:val="000000"/>
        </w:rPr>
        <w:t>Iron and steel mills and ferroalloy manufacturing, NAICS 3311.</w:t>
      </w:r>
    </w:p>
    <w:p w:rsidR="00B26619" w:rsidRPr="00B26619" w:rsidP="003D667E" w14:paraId="12F2E3C4" w14:textId="753ED018">
      <w:pPr>
        <w:pStyle w:val="ListParagraph"/>
        <w:numPr>
          <w:ilvl w:val="0"/>
          <w:numId w:val="4"/>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26619">
        <w:rPr>
          <w:rFonts w:cstheme="minorHAnsi"/>
          <w:color w:val="000000"/>
        </w:rPr>
        <w:t xml:space="preserve">Colleges, </w:t>
      </w:r>
      <w:r w:rsidRPr="00B26619" w:rsidR="00F3526B">
        <w:rPr>
          <w:rFonts w:cstheme="minorHAnsi"/>
          <w:color w:val="000000"/>
        </w:rPr>
        <w:t>universities,</w:t>
      </w:r>
      <w:r w:rsidRPr="00B26619">
        <w:rPr>
          <w:rFonts w:cstheme="minorHAnsi"/>
          <w:color w:val="000000"/>
        </w:rPr>
        <w:t xml:space="preserve"> and professional schools, NAICS 6113.</w:t>
      </w:r>
    </w:p>
    <w:p w:rsidR="00637CD8" w:rsidP="00B26619" w14:paraId="39F2B033" w14:textId="0B188C4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26619">
        <w:rPr>
          <w:rFonts w:cstheme="minorHAnsi"/>
          <w:color w:val="000000"/>
        </w:rPr>
        <w:t>Some states have also adopted SIP provisions making additional units subject to Part 75 requirements for NO</w:t>
      </w:r>
      <w:r w:rsidRPr="00B5769C">
        <w:rPr>
          <w:rFonts w:cstheme="minorHAnsi"/>
          <w:color w:val="000000"/>
          <w:vertAlign w:val="subscript"/>
        </w:rPr>
        <w:t xml:space="preserve">X </w:t>
      </w:r>
      <w:r w:rsidRPr="00B26619">
        <w:rPr>
          <w:rFonts w:cstheme="minorHAnsi"/>
          <w:color w:val="000000"/>
        </w:rPr>
        <w:t>SIP Call purposes although not required to do so.  Most of these sources are combustion turbines serving electricity generators with nameplate capacities between 15 and 25 megawatts.</w:t>
      </w:r>
    </w:p>
    <w:p w:rsidR="00B26619" w:rsidRPr="00785207" w:rsidP="00B26619" w14:paraId="71AE5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96BAE" w:rsidRPr="00CF01E1" w:rsidP="00CF01E1" w14:paraId="42FB97EA" w14:textId="5D59C69D">
      <w:pPr>
        <w:spacing w:before="120" w:after="0"/>
        <w:rPr>
          <w:rFonts w:cstheme="minorHAnsi"/>
          <w:b/>
          <w:bCs/>
        </w:rPr>
      </w:pPr>
      <w:r w:rsidRPr="00785207">
        <w:rPr>
          <w:rFonts w:cstheme="minorHAnsi"/>
          <w:b/>
          <w:bCs/>
        </w:rPr>
        <w:t xml:space="preserve">12b. </w:t>
      </w:r>
      <w:r w:rsidRPr="00785207" w:rsidR="00BB7DA0">
        <w:rPr>
          <w:rFonts w:cstheme="minorHAnsi"/>
          <w:b/>
          <w:bCs/>
        </w:rPr>
        <w:t>Information Requested</w:t>
      </w:r>
      <w:bookmarkStart w:id="16" w:name="_Toc156593384"/>
      <w:bookmarkEnd w:id="15"/>
    </w:p>
    <w:p w:rsidR="00FB7984" w:rsidRPr="00FB7984" w:rsidP="7B2B048E" w14:paraId="112ECE74" w14:textId="5EAC8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7B2B048E">
        <w:rPr>
          <w:rFonts w:eastAsia="Times New Roman"/>
        </w:rPr>
        <w:t>This section describes the industry reporting requirements needed to enable state agencies to meet their reporting and recordkeeping requirements under the NO</w:t>
      </w:r>
      <w:r w:rsidRPr="003E707C">
        <w:rPr>
          <w:rFonts w:eastAsia="Times New Roman"/>
          <w:vertAlign w:val="subscript"/>
        </w:rPr>
        <w:t>X</w:t>
      </w:r>
      <w:r w:rsidRPr="7B2B048E">
        <w:rPr>
          <w:rFonts w:eastAsia="Times New Roman"/>
        </w:rPr>
        <w:t xml:space="preserve"> SIP Call in cases where the states choose to require that the information be monitored and reported directly to EPA in accordance with Part 75. </w:t>
      </w:r>
    </w:p>
    <w:p w:rsidR="008C18D0" w:rsidP="003D667E" w14:paraId="75B05FB2"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rPr>
      </w:pPr>
      <w:r>
        <w:rPr>
          <w:rFonts w:eastAsia="Times New Roman" w:cstheme="minorHAnsi"/>
        </w:rPr>
        <w:t xml:space="preserve">Information Requested </w:t>
      </w:r>
    </w:p>
    <w:p w:rsidR="008C18D0" w:rsidP="003D667E" w14:paraId="17D3ADB2" w14:textId="662006C3">
      <w:pPr>
        <w:pStyle w:val="ListParagraph"/>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rPr>
      </w:pPr>
      <w:r w:rsidRPr="008C18D0">
        <w:rPr>
          <w:rFonts w:eastAsia="Times New Roman" w:cstheme="minorHAnsi"/>
        </w:rPr>
        <w:t>Data Items, Including Recordkeeping Requirements</w:t>
      </w:r>
      <w:r w:rsidRPr="008C18D0">
        <w:rPr>
          <w:rFonts w:eastAsia="Times New Roman" w:cstheme="minorHAnsi"/>
        </w:rPr>
        <w:tab/>
      </w:r>
    </w:p>
    <w:p w:rsidR="008C18D0" w:rsidP="7B2B048E" w14:paraId="6F951988" w14:textId="77777777">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7B2B048E">
        <w:rPr>
          <w:rFonts w:eastAsia="Times New Roman"/>
        </w:rPr>
        <w:t>The affected units must monitor NO</w:t>
      </w:r>
      <w:r w:rsidRPr="003E707C">
        <w:rPr>
          <w:rFonts w:eastAsia="Times New Roman"/>
          <w:vertAlign w:val="subscript"/>
        </w:rPr>
        <w:t>X</w:t>
      </w:r>
      <w:r w:rsidRPr="7B2B048E">
        <w:rPr>
          <w:rFonts w:eastAsia="Times New Roman"/>
        </w:rPr>
        <w:t xml:space="preserve"> mass emissions and record and report emissions data using the requirements of 40 CFR Part 75.  In general, the emissions monitoring requirements specify that affected sources must: (1) submit a monitoring plan for each affected unit at a source; (2) submit data for certification of each monitor; (3) record hourly operational, pollutant monitor, and flow monitor data for each affected unit and (4) submit quarterly reports of their emissions data to EPA.  The Acid Rain Program ICR (OMB Control Number 2060-0258) contains links to a list of the data items required by the recordkeeping and reporting provisions of Part 75</w:t>
      </w:r>
      <w:r w:rsidRPr="7B2B048E">
        <w:rPr>
          <w:rFonts w:eastAsia="Times New Roman"/>
        </w:rPr>
        <w:t>.</w:t>
      </w:r>
    </w:p>
    <w:p w:rsidR="008C18D0" w:rsidP="003D667E" w14:paraId="78B2EECE" w14:textId="77777777">
      <w:pPr>
        <w:pStyle w:val="ListParagraph"/>
        <w:numPr>
          <w:ilvl w:val="2"/>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rPr>
      </w:pPr>
      <w:r w:rsidRPr="008C18D0">
        <w:rPr>
          <w:rFonts w:eastAsia="Times New Roman" w:cstheme="minorHAnsi"/>
        </w:rPr>
        <w:t xml:space="preserve">Respondents are required by 40 CFR 75.64 to submit the quarterly NOX mass emissions data to EPA electronically and must include a certification statement by the designated </w:t>
      </w:r>
      <w:r w:rsidRPr="008C18D0">
        <w:rPr>
          <w:rFonts w:eastAsia="Times New Roman" w:cstheme="minorHAnsi"/>
        </w:rPr>
        <w:t xml:space="preserve">representative of the unit.  All monitoring records are to be kept for three years, with one possible exception under a voluntary option for fuel flowmeter calibration testing. </w:t>
      </w:r>
    </w:p>
    <w:p w:rsidR="004F7E15" w:rsidP="004F7E15" w14:paraId="740A14E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eastAsia="Times New Roman" w:cstheme="minorHAnsi"/>
        </w:rPr>
      </w:pPr>
    </w:p>
    <w:p w:rsidR="004F7E15" w:rsidP="003D667E" w14:paraId="1DCC7DA8" w14:textId="580EA450">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rPr>
      </w:pPr>
      <w:r>
        <w:rPr>
          <w:rFonts w:eastAsia="Times New Roman" w:cstheme="minorHAnsi"/>
        </w:rPr>
        <w:t xml:space="preserve">Collection Schedule </w:t>
      </w:r>
    </w:p>
    <w:p w:rsidR="008C18D0" w:rsidRPr="008C18D0" w:rsidP="003D667E" w14:paraId="1119A88C" w14:textId="3634AC8D">
      <w:pPr>
        <w:pStyle w:val="ListParagraph"/>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rPr>
      </w:pPr>
      <w:r w:rsidRPr="008C18D0">
        <w:rPr>
          <w:rFonts w:cstheme="minorHAnsi"/>
        </w:rPr>
        <w:t xml:space="preserve">Affected units conduct ongoing monitoring, with quarterly reporting.  </w:t>
      </w:r>
    </w:p>
    <w:p w:rsidR="008C18D0" w:rsidRPr="00CF01E1" w:rsidP="00FB7984" w14:paraId="2EEBF52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72FE" w:rsidRPr="00CF01E1" w:rsidP="00854AAE" w14:paraId="7B8A0ACD" w14:textId="27119692">
      <w:pPr>
        <w:spacing w:before="120" w:after="0"/>
        <w:rPr>
          <w:rFonts w:cstheme="minorHAnsi"/>
          <w:b/>
          <w:bCs/>
        </w:rPr>
      </w:pPr>
      <w:r w:rsidRPr="00CF01E1">
        <w:rPr>
          <w:rFonts w:cstheme="minorHAnsi"/>
          <w:b/>
          <w:bCs/>
        </w:rPr>
        <w:t xml:space="preserve">12c. </w:t>
      </w:r>
      <w:r w:rsidRPr="00CF01E1" w:rsidR="00DD718B">
        <w:rPr>
          <w:rFonts w:cstheme="minorHAnsi"/>
          <w:b/>
          <w:bCs/>
        </w:rPr>
        <w:t>Respondent Activities</w:t>
      </w:r>
      <w:bookmarkStart w:id="17" w:name="_Toc156593385"/>
      <w:bookmarkEnd w:id="16"/>
    </w:p>
    <w:p w:rsidR="00881A41" w:rsidP="00854AAE" w14:paraId="6528F282" w14:textId="050AB944">
      <w:pPr>
        <w:spacing w:before="60"/>
        <w:rPr>
          <w:rFonts w:cstheme="minorHAnsi"/>
        </w:rPr>
      </w:pPr>
      <w:r w:rsidRPr="00881A41">
        <w:rPr>
          <w:rFonts w:cstheme="minorHAnsi"/>
        </w:rPr>
        <w:t xml:space="preserve"> The affected units must (1) complete and submit appropriate monitoring plan forms for each affected source and each affected unit at a source; (2) conduct tests to certify the operation of monitors and submit test results to EPA; (3) record hourly emissions data (this activity generally is performed electronically); (4) conduct operation and maintenance activities associated with the monitoring, including quality assurance activities; (5) assure data quality, prepare quarterly reports of emissions data and submit these reports to EPA; and (6) respond to error messages generated by EPA.  In addition, respondents must purchase the necessary monitoring hardware and electronic data reporting software (or software upgrades).</w:t>
      </w:r>
    </w:p>
    <w:p w:rsidR="00881A41" w:rsidRPr="00CF01E1" w:rsidP="00854AAE" w14:paraId="3C8DCA4B" w14:textId="77777777">
      <w:pPr>
        <w:spacing w:before="60"/>
        <w:rPr>
          <w:rFonts w:cstheme="minorHAnsi"/>
        </w:rPr>
      </w:pPr>
    </w:p>
    <w:p w:rsidR="00D92ED6" w:rsidRPr="00CF01E1" w:rsidP="00854AAE" w14:paraId="0B6BE1C2" w14:textId="3F49A8F0">
      <w:pPr>
        <w:spacing w:before="120" w:after="0"/>
        <w:rPr>
          <w:rFonts w:cstheme="minorHAnsi"/>
          <w:b/>
          <w:bCs/>
        </w:rPr>
      </w:pPr>
      <w:r w:rsidRPr="00AE1715">
        <w:rPr>
          <w:rFonts w:cstheme="minorHAnsi"/>
          <w:b/>
          <w:bCs/>
        </w:rPr>
        <w:t xml:space="preserve">12d. </w:t>
      </w:r>
      <w:r w:rsidRPr="00AE1715">
        <w:rPr>
          <w:rFonts w:cstheme="minorHAnsi"/>
          <w:b/>
          <w:bCs/>
        </w:rPr>
        <w:t xml:space="preserve">Respondent </w:t>
      </w:r>
      <w:r w:rsidRPr="00AE1715" w:rsidR="00BB2B15">
        <w:rPr>
          <w:rFonts w:cstheme="minorHAnsi"/>
          <w:b/>
          <w:bCs/>
        </w:rPr>
        <w:t xml:space="preserve">Burden </w:t>
      </w:r>
      <w:r w:rsidRPr="00AE1715" w:rsidR="00B666CD">
        <w:rPr>
          <w:rFonts w:cstheme="minorHAnsi"/>
          <w:b/>
          <w:bCs/>
        </w:rPr>
        <w:t>Hour</w:t>
      </w:r>
      <w:r w:rsidRPr="00AE1715" w:rsidR="00BB2B15">
        <w:rPr>
          <w:rFonts w:cstheme="minorHAnsi"/>
          <w:b/>
          <w:bCs/>
        </w:rPr>
        <w:t>s</w:t>
      </w:r>
      <w:r w:rsidRPr="00AE1715" w:rsidR="00B666CD">
        <w:rPr>
          <w:rFonts w:cstheme="minorHAnsi"/>
          <w:b/>
          <w:bCs/>
        </w:rPr>
        <w:t xml:space="preserve"> and Labor </w:t>
      </w:r>
      <w:bookmarkEnd w:id="17"/>
      <w:r w:rsidRPr="00AE1715" w:rsidR="00BB2B15">
        <w:rPr>
          <w:rFonts w:cstheme="minorHAnsi"/>
          <w:b/>
          <w:bCs/>
        </w:rPr>
        <w:t>Costs</w:t>
      </w:r>
    </w:p>
    <w:p w:rsidR="00BA56E5" w:rsidP="006F5B0B" w14:paraId="6C79B656" w14:textId="16FF3D7C">
      <w:pPr>
        <w:pStyle w:val="ListParagraph"/>
        <w:numPr>
          <w:ilvl w:val="0"/>
          <w:numId w:val="7"/>
        </w:numPr>
        <w:spacing w:before="60"/>
        <w:rPr>
          <w:rFonts w:cstheme="minorHAnsi"/>
          <w:color w:val="000000"/>
        </w:rPr>
      </w:pPr>
      <w:r w:rsidRPr="008C4084">
        <w:rPr>
          <w:rFonts w:cstheme="minorHAnsi"/>
          <w:color w:val="000000"/>
        </w:rPr>
        <w:t>Estimating Respondent Burden</w:t>
      </w:r>
    </w:p>
    <w:p w:rsidR="006F5B0B" w:rsidRPr="006F5B0B" w:rsidP="006F5B0B" w14:paraId="1BF14F9B" w14:textId="77777777">
      <w:pPr>
        <w:pStyle w:val="ListParagraph"/>
        <w:spacing w:before="60"/>
        <w:rPr>
          <w:rFonts w:cstheme="minorHAnsi"/>
          <w:color w:val="000000"/>
        </w:rPr>
      </w:pPr>
    </w:p>
    <w:p w:rsidR="00741AFB" w:rsidP="008C4084" w14:paraId="4ECABA84" w14:textId="6564F0E0">
      <w:pPr>
        <w:pStyle w:val="ListParagraph"/>
        <w:spacing w:before="60"/>
        <w:rPr>
          <w:rFonts w:cstheme="minorHAnsi"/>
          <w:color w:val="000000"/>
        </w:rPr>
      </w:pPr>
      <w:r w:rsidRPr="00741AFB">
        <w:rPr>
          <w:rFonts w:cstheme="minorHAnsi"/>
          <w:color w:val="000000"/>
        </w:rPr>
        <w:t xml:space="preserve">The primary tasks performed by owners and operators of affected units are:  (1) reviewing the regulations, forms and instructions; (2) responding to EPA generated error messages and audits; (3) programming a data acquisition and handling system (DAHS) and debugging the software; (4) completing and submitting monitoring plans for each unit at the source; (5) performing appropriate tests and providing test results to certify each monitor; (6) performing quality assurance testing and maintenance upon monitors; and (7) assuring the quality of emissions data, preparing quarterly reports of emissions data, and submitting reports to EPA. </w:t>
      </w:r>
    </w:p>
    <w:p w:rsidR="00BA56E5" w:rsidP="008C4084" w14:paraId="1981C27B" w14:textId="77777777">
      <w:pPr>
        <w:pStyle w:val="ListParagraph"/>
        <w:spacing w:before="60"/>
        <w:rPr>
          <w:rFonts w:cstheme="minorHAnsi"/>
          <w:color w:val="000000"/>
        </w:rPr>
      </w:pPr>
    </w:p>
    <w:p w:rsidR="00741AFB" w:rsidP="00AE1715" w14:paraId="1F109085" w14:textId="744EEED1">
      <w:pPr>
        <w:pStyle w:val="ListParagraph"/>
        <w:numPr>
          <w:ilvl w:val="1"/>
          <w:numId w:val="7"/>
        </w:numPr>
        <w:spacing w:before="60"/>
        <w:rPr>
          <w:rFonts w:cstheme="minorHAnsi"/>
          <w:color w:val="000000"/>
        </w:rPr>
      </w:pPr>
      <w:r w:rsidRPr="00741AFB">
        <w:rPr>
          <w:rFonts w:cstheme="minorHAnsi"/>
          <w:color w:val="000000"/>
        </w:rPr>
        <w:t>Regulatory Review</w:t>
      </w:r>
    </w:p>
    <w:p w:rsidR="00741AFB" w:rsidP="00AE1715" w14:paraId="26645AE0" w14:textId="77777777">
      <w:pPr>
        <w:pStyle w:val="ListParagraph"/>
        <w:numPr>
          <w:ilvl w:val="2"/>
          <w:numId w:val="7"/>
        </w:numPr>
        <w:spacing w:before="60"/>
        <w:rPr>
          <w:rFonts w:cstheme="minorHAnsi"/>
          <w:color w:val="000000"/>
        </w:rPr>
      </w:pPr>
      <w:r w:rsidRPr="00741AFB">
        <w:rPr>
          <w:rFonts w:cstheme="minorHAnsi"/>
          <w:color w:val="000000"/>
        </w:rPr>
        <w:t xml:space="preserve">The estimate for time to review instructions and requirements remains consistent with the labor estimates used in previous ICRs (four manager hours and four technician hours each year) where no substantial changes have been made to the Rule </w:t>
      </w:r>
    </w:p>
    <w:p w:rsidR="00741AFB" w:rsidP="00AE1715" w14:paraId="190B2C00" w14:textId="132CB7CC">
      <w:pPr>
        <w:pStyle w:val="ListParagraph"/>
        <w:numPr>
          <w:ilvl w:val="1"/>
          <w:numId w:val="7"/>
        </w:numPr>
        <w:spacing w:before="60"/>
        <w:rPr>
          <w:rFonts w:cstheme="minorHAnsi"/>
          <w:color w:val="000000"/>
        </w:rPr>
      </w:pPr>
      <w:r w:rsidRPr="00741AFB">
        <w:rPr>
          <w:rFonts w:cstheme="minorHAnsi"/>
          <w:color w:val="000000"/>
        </w:rPr>
        <w:t>Response to Error Messages/Audits</w:t>
      </w:r>
    </w:p>
    <w:p w:rsidR="00AE1715" w:rsidRPr="00F3526B" w:rsidP="00AE1715" w14:paraId="482B74B8" w14:textId="3A0C65DB">
      <w:pPr>
        <w:pStyle w:val="ListParagraph"/>
        <w:numPr>
          <w:ilvl w:val="2"/>
          <w:numId w:val="7"/>
        </w:numPr>
        <w:spacing w:before="60"/>
        <w:rPr>
          <w:rFonts w:cstheme="minorHAnsi"/>
          <w:color w:val="000000"/>
        </w:rPr>
      </w:pPr>
      <w:r w:rsidRPr="00741AFB">
        <w:rPr>
          <w:rFonts w:cstheme="minorHAnsi"/>
          <w:color w:val="000000"/>
        </w:rPr>
        <w:t xml:space="preserve">EPA provides feedback to sources so that suspected errors in submissions by sources are noted and corrected.  The Agency estimates that for each unit, an owner or operator will spend approximately six hours of managerial time and eighteen hours of technician time responding to these error messages each year. </w:t>
      </w:r>
    </w:p>
    <w:p w:rsidR="00FC06DD" w:rsidP="00AE1715" w14:paraId="3B875E5C" w14:textId="3593C7EE">
      <w:pPr>
        <w:pStyle w:val="ListParagraph"/>
        <w:numPr>
          <w:ilvl w:val="1"/>
          <w:numId w:val="7"/>
        </w:numPr>
        <w:spacing w:before="60"/>
        <w:rPr>
          <w:rFonts w:cstheme="minorHAnsi"/>
          <w:color w:val="000000"/>
        </w:rPr>
      </w:pPr>
      <w:r w:rsidRPr="00FC06DD">
        <w:rPr>
          <w:rFonts w:cstheme="minorHAnsi"/>
          <w:color w:val="000000"/>
        </w:rPr>
        <w:t>DAHS Debugging</w:t>
      </w:r>
    </w:p>
    <w:p w:rsidR="00AE1715" w:rsidRPr="00FC06DD" w:rsidP="00FC06DD" w14:paraId="463623B1" w14:textId="32171B84">
      <w:pPr>
        <w:pStyle w:val="ListParagraph"/>
        <w:numPr>
          <w:ilvl w:val="2"/>
          <w:numId w:val="7"/>
        </w:numPr>
        <w:spacing w:before="60"/>
        <w:rPr>
          <w:rFonts w:cstheme="minorHAnsi"/>
          <w:color w:val="000000"/>
        </w:rPr>
      </w:pPr>
      <w:r w:rsidRPr="00FC06DD">
        <w:rPr>
          <w:rFonts w:cstheme="minorHAnsi"/>
          <w:color w:val="000000"/>
        </w:rPr>
        <w:t xml:space="preserve">Each source must purchase (or create) and install computer software designed to implement the electronic data reporting formats required under Part 75.  For the years covered by this ICR renewal, EPA estimates that for each unit, four </w:t>
      </w:r>
      <w:r w:rsidRPr="00FC06DD">
        <w:rPr>
          <w:rFonts w:cstheme="minorHAnsi"/>
          <w:color w:val="000000"/>
        </w:rPr>
        <w:t xml:space="preserve">managerial and 12 technician hours will be required annually for occasional further debugging. </w:t>
      </w:r>
    </w:p>
    <w:p w:rsidR="00FC06DD" w:rsidP="00AE1715" w14:paraId="6EEAE243" w14:textId="50E409EE">
      <w:pPr>
        <w:pStyle w:val="ListParagraph"/>
        <w:numPr>
          <w:ilvl w:val="1"/>
          <w:numId w:val="7"/>
        </w:numPr>
        <w:spacing w:before="60"/>
        <w:rPr>
          <w:rFonts w:cstheme="minorHAnsi"/>
          <w:color w:val="000000"/>
        </w:rPr>
      </w:pPr>
      <w:r w:rsidRPr="00FC06DD">
        <w:rPr>
          <w:rFonts w:cstheme="minorHAnsi"/>
          <w:color w:val="000000"/>
        </w:rPr>
        <w:t>Monitoring Plans</w:t>
      </w:r>
    </w:p>
    <w:p w:rsidR="00FC06DD" w:rsidP="00AE1715" w14:paraId="190268E8" w14:textId="77777777">
      <w:pPr>
        <w:pStyle w:val="ListParagraph"/>
        <w:numPr>
          <w:ilvl w:val="2"/>
          <w:numId w:val="7"/>
        </w:numPr>
        <w:spacing w:before="60"/>
        <w:rPr>
          <w:rFonts w:cstheme="minorHAnsi"/>
          <w:color w:val="000000"/>
        </w:rPr>
      </w:pPr>
      <w:r w:rsidRPr="00FC06DD">
        <w:rPr>
          <w:rFonts w:cstheme="minorHAnsi"/>
          <w:color w:val="000000"/>
        </w:rPr>
        <w:t xml:space="preserve">Consistent with the existing ICR, completing and submitting initial monitoring plans is estimated to require an average of about 20 hours per unit. EPA shows a separate line item for initial monitoring plan preparation for new units, estimated as 10% of the number of existing units. (EPA assumes that any new units would be offset by an equal number of retirements.) </w:t>
      </w:r>
    </w:p>
    <w:p w:rsidR="00AE1715" w:rsidRPr="00FC06DD" w:rsidP="00AE1715" w14:paraId="1705891E" w14:textId="7466D0AA">
      <w:pPr>
        <w:pStyle w:val="ListParagraph"/>
        <w:numPr>
          <w:ilvl w:val="2"/>
          <w:numId w:val="7"/>
        </w:numPr>
        <w:spacing w:before="60"/>
        <w:rPr>
          <w:rFonts w:cstheme="minorHAnsi"/>
          <w:color w:val="000000"/>
        </w:rPr>
      </w:pPr>
      <w:r w:rsidRPr="00FC06DD">
        <w:rPr>
          <w:rFonts w:cstheme="minorHAnsi"/>
          <w:color w:val="000000"/>
        </w:rPr>
        <w:t>For existing units, the burden associated with revising the monitoring plan is included in the time for preparing and submitting each quarterly emissions report.</w:t>
      </w:r>
    </w:p>
    <w:p w:rsidR="00FC06DD" w:rsidP="00AE1715" w14:paraId="7387BB1B" w14:textId="47C360C9">
      <w:pPr>
        <w:pStyle w:val="ListParagraph"/>
        <w:numPr>
          <w:ilvl w:val="1"/>
          <w:numId w:val="7"/>
        </w:numPr>
        <w:spacing w:before="60"/>
        <w:rPr>
          <w:rFonts w:cstheme="minorHAnsi"/>
          <w:color w:val="000000"/>
        </w:rPr>
      </w:pPr>
      <w:r w:rsidRPr="00FC06DD">
        <w:rPr>
          <w:rFonts w:cstheme="minorHAnsi"/>
          <w:color w:val="000000"/>
        </w:rPr>
        <w:t>Monitor Certification</w:t>
      </w:r>
    </w:p>
    <w:p w:rsidR="00AE1715" w:rsidRPr="0086665F" w:rsidP="00AE1715" w14:paraId="7FA6595B" w14:textId="11BEEB10">
      <w:pPr>
        <w:pStyle w:val="ListParagraph"/>
        <w:numPr>
          <w:ilvl w:val="2"/>
          <w:numId w:val="7"/>
        </w:numPr>
        <w:spacing w:before="60"/>
        <w:rPr>
          <w:rFonts w:cstheme="minorHAnsi"/>
          <w:color w:val="000000"/>
        </w:rPr>
      </w:pPr>
      <w:r w:rsidRPr="00FC06DD">
        <w:rPr>
          <w:rFonts w:cstheme="minorHAnsi"/>
          <w:color w:val="000000"/>
        </w:rPr>
        <w:t>Initial certification burdens and costs for new monitoring equipment are considered part of start-up activities since these costs are often part of the overall purchase expense for the equipment.  Sources occasionally experience burdens for recertification to the extent a change in a monitoring system requires recertification.  Based on the previous ICRs, EPA estimates that approximately ten percent of units will have to recertify each year following the year in which the initial certification occurs.  The ICR incorporates a labor burden estimate generally consistent with existing Agency models for the labor burdens associated with certification.  However, note that the ICR reduces the labor hours for this activity to avoid double-counting hours that are already accounted for in the quality assurance activity area (see the following subsection).  The double-counting would occur because a portion of the labor incurred for the certification or recertification event replaces the labor burden that is generally allocated to the annual relative accuracy test audit (RATA) in the year in which the certification event occurs.</w:t>
      </w:r>
    </w:p>
    <w:p w:rsidR="0086665F" w:rsidP="00AE1715" w14:paraId="4A379349" w14:textId="0FAF8F4E">
      <w:pPr>
        <w:pStyle w:val="ListParagraph"/>
        <w:numPr>
          <w:ilvl w:val="1"/>
          <w:numId w:val="7"/>
        </w:numPr>
        <w:spacing w:before="60"/>
        <w:rPr>
          <w:rFonts w:cstheme="minorHAnsi"/>
          <w:color w:val="000000"/>
        </w:rPr>
      </w:pPr>
      <w:r w:rsidRPr="0086665F">
        <w:rPr>
          <w:rFonts w:cstheme="minorHAnsi"/>
          <w:color w:val="000000"/>
        </w:rPr>
        <w:t>Quality Assurance</w:t>
      </w:r>
    </w:p>
    <w:p w:rsidR="00AE1715" w:rsidRPr="00F3526B" w:rsidP="00AE1715" w14:paraId="394380F0" w14:textId="77631D01">
      <w:pPr>
        <w:pStyle w:val="ListParagraph"/>
        <w:numPr>
          <w:ilvl w:val="2"/>
          <w:numId w:val="7"/>
        </w:numPr>
        <w:spacing w:before="60"/>
        <w:rPr>
          <w:rFonts w:cstheme="minorHAnsi"/>
          <w:color w:val="000000"/>
        </w:rPr>
      </w:pPr>
      <w:r w:rsidRPr="0086665F">
        <w:rPr>
          <w:rFonts w:cstheme="minorHAnsi"/>
          <w:color w:val="000000"/>
        </w:rPr>
        <w:t>Quality assurance (QA) activities and other routine maintenance for monitoring systems is the largest burden item under the CSAPR and Texas trading programs.  These requirements generally include daily, quarterly, and annual QA requirements, depending on the monitoring approach being used.  For reporting units that use a CEMS, the Agency has assumed a per unit labor burden based on a variety of sources, including the existing ARP ICR, information provided by sources, a CEM cost model developed by EPA, and comments submitted in response to the NO</w:t>
      </w:r>
      <w:r w:rsidRPr="00B5769C">
        <w:rPr>
          <w:rFonts w:cstheme="minorHAnsi"/>
          <w:color w:val="000000"/>
          <w:vertAlign w:val="subscript"/>
        </w:rPr>
        <w:t>X</w:t>
      </w:r>
      <w:r w:rsidRPr="0086665F">
        <w:rPr>
          <w:rFonts w:cstheme="minorHAnsi"/>
          <w:color w:val="000000"/>
        </w:rPr>
        <w:t xml:space="preserve"> SIP Call.  For units that rely on alternative methodologies, reduced labor burden estimates apply because the quality assurance activities for the excepted methods are less than for a CEMS.  Consistent with the existing ARP ICR, the labor burden is expected to be almost entirely technician labor.</w:t>
      </w:r>
    </w:p>
    <w:p w:rsidR="0086665F" w:rsidP="00AE1715" w14:paraId="33998620" w14:textId="77777777">
      <w:pPr>
        <w:pStyle w:val="ListParagraph"/>
        <w:numPr>
          <w:ilvl w:val="1"/>
          <w:numId w:val="7"/>
        </w:numPr>
        <w:spacing w:before="60"/>
        <w:rPr>
          <w:rFonts w:cstheme="minorHAnsi"/>
          <w:color w:val="000000"/>
        </w:rPr>
      </w:pPr>
      <w:r w:rsidRPr="0086665F">
        <w:rPr>
          <w:rFonts w:cstheme="minorHAnsi"/>
          <w:color w:val="000000"/>
        </w:rPr>
        <w:t>Quarterly Reports</w:t>
      </w:r>
    </w:p>
    <w:p w:rsidR="00AE1715" w:rsidRPr="0086665F" w:rsidP="0086665F" w14:paraId="4C72817E" w14:textId="3512F6F9">
      <w:pPr>
        <w:pStyle w:val="ListParagraph"/>
        <w:numPr>
          <w:ilvl w:val="2"/>
          <w:numId w:val="7"/>
        </w:numPr>
        <w:spacing w:before="60"/>
        <w:rPr>
          <w:rFonts w:cstheme="minorHAnsi"/>
          <w:color w:val="000000"/>
        </w:rPr>
      </w:pPr>
      <w:r w:rsidRPr="0086665F">
        <w:rPr>
          <w:rFonts w:cstheme="minorHAnsi"/>
          <w:color w:val="000000"/>
        </w:rPr>
        <w:t xml:space="preserve">Tasks performed by utilities in preparing quarterly reports include: (1) assuring the quality of the data; (2) preparing the quarterly report; (3) revising the monitoring plan, if necessary; (4) preparation of hard copy documentation </w:t>
      </w:r>
      <w:r w:rsidRPr="0086665F">
        <w:rPr>
          <w:rFonts w:cstheme="minorHAnsi"/>
          <w:color w:val="000000"/>
        </w:rPr>
        <w:t xml:space="preserve">accompanying the quarterly reports; and (5) managerial review.  The existing ARP ICR was used as the basis for these estimates. </w:t>
      </w:r>
    </w:p>
    <w:p w:rsidR="00AE1715" w:rsidRPr="00AE1715" w:rsidP="00AE1715" w14:paraId="5FDE9E15" w14:textId="77777777">
      <w:pPr>
        <w:spacing w:before="60"/>
        <w:rPr>
          <w:rFonts w:cstheme="minorHAnsi"/>
          <w:color w:val="000000"/>
        </w:rPr>
      </w:pPr>
    </w:p>
    <w:p w:rsidR="00BA56E5" w:rsidP="00AE1715" w14:paraId="63958AB2" w14:textId="77777777">
      <w:pPr>
        <w:pStyle w:val="ListParagraph"/>
        <w:numPr>
          <w:ilvl w:val="0"/>
          <w:numId w:val="7"/>
        </w:numPr>
        <w:spacing w:before="60"/>
        <w:rPr>
          <w:rFonts w:cstheme="minorHAnsi"/>
          <w:color w:val="000000"/>
        </w:rPr>
      </w:pPr>
      <w:r w:rsidRPr="008C4084">
        <w:rPr>
          <w:rFonts w:cstheme="minorHAnsi"/>
          <w:color w:val="000000"/>
        </w:rPr>
        <w:t xml:space="preserve">Estimating Respondent </w:t>
      </w:r>
      <w:r w:rsidR="008C4084">
        <w:rPr>
          <w:rFonts w:cstheme="minorHAnsi"/>
          <w:color w:val="000000"/>
        </w:rPr>
        <w:t xml:space="preserve">Labor </w:t>
      </w:r>
      <w:r w:rsidRPr="008C4084">
        <w:rPr>
          <w:rFonts w:cstheme="minorHAnsi"/>
          <w:color w:val="000000"/>
        </w:rPr>
        <w:t>Costs</w:t>
      </w:r>
    </w:p>
    <w:p w:rsidR="00BA56E5" w:rsidP="00BA56E5" w14:paraId="6B1A275C" w14:textId="77777777">
      <w:pPr>
        <w:pStyle w:val="ListParagraph"/>
        <w:spacing w:before="60"/>
        <w:rPr>
          <w:rFonts w:cstheme="minorHAnsi"/>
          <w:color w:val="000000"/>
        </w:rPr>
      </w:pPr>
    </w:p>
    <w:p w:rsidR="00393C5B" w:rsidRPr="00BA56E5" w:rsidP="00BA56E5" w14:paraId="0AEBAAFD" w14:textId="73F7C7D8">
      <w:pPr>
        <w:pStyle w:val="ListParagraph"/>
        <w:spacing w:before="60"/>
        <w:rPr>
          <w:color w:val="000000"/>
        </w:rPr>
      </w:pPr>
      <w:r w:rsidRPr="7B2B048E">
        <w:rPr>
          <w:color w:val="000000" w:themeColor="text1"/>
        </w:rPr>
        <w:t>In estimating labor costs for industry, EPA used the following amounts: $</w:t>
      </w:r>
      <w:r w:rsidRPr="7B2B048E" w:rsidR="00F112D7">
        <w:rPr>
          <w:color w:val="000000" w:themeColor="text1"/>
        </w:rPr>
        <w:t>123.48</w:t>
      </w:r>
      <w:r w:rsidRPr="7B2B048E">
        <w:rPr>
          <w:color w:val="000000" w:themeColor="text1"/>
        </w:rPr>
        <w:t xml:space="preserve"> per hour for managers and $</w:t>
      </w:r>
      <w:r w:rsidRPr="7B2B048E" w:rsidR="00F112D7">
        <w:rPr>
          <w:color w:val="000000" w:themeColor="text1"/>
        </w:rPr>
        <w:t>88.80</w:t>
      </w:r>
      <w:r w:rsidRPr="7B2B048E">
        <w:rPr>
          <w:color w:val="000000" w:themeColor="text1"/>
        </w:rPr>
        <w:t xml:space="preserve"> per hour for technicians.  These rates were updated in coordination with the rates identified for the Acid Rain ICR </w:t>
      </w:r>
      <w:r w:rsidRPr="003E707C">
        <w:rPr>
          <w:color w:val="000000" w:themeColor="text1"/>
        </w:rPr>
        <w:t>(OMB Control No. 2060-0258)</w:t>
      </w:r>
      <w:r w:rsidRPr="7B2B048E">
        <w:rPr>
          <w:color w:val="000000" w:themeColor="text1"/>
        </w:rPr>
        <w:t xml:space="preserve"> and are based on the Current Employment Cost Index, </w:t>
      </w:r>
      <w:r w:rsidRPr="7B2B048E" w:rsidR="00F314E2">
        <w:rPr>
          <w:color w:val="000000" w:themeColor="text1"/>
        </w:rPr>
        <w:t xml:space="preserve">2024. </w:t>
      </w:r>
    </w:p>
    <w:p w:rsidR="00AE1715" w:rsidP="00AE1715" w14:paraId="189C2795" w14:textId="77777777">
      <w:pPr>
        <w:spacing w:before="60"/>
        <w:rPr>
          <w:rFonts w:cstheme="minorHAnsi"/>
          <w:color w:val="000000"/>
        </w:rPr>
      </w:pPr>
    </w:p>
    <w:p w:rsidR="00BA56E5" w:rsidRPr="00647532" w:rsidP="00BA56E5" w14:paraId="7C6124AE" w14:textId="77777777">
      <w:pPr>
        <w:pStyle w:val="NormalWeb"/>
        <w:numPr>
          <w:ilvl w:val="0"/>
          <w:numId w:val="7"/>
        </w:numPr>
        <w:rPr>
          <w:rStyle w:val="Strong"/>
          <w:rFonts w:asciiTheme="minorHAnsi" w:hAnsiTheme="minorHAnsi" w:cstheme="minorHAnsi"/>
          <w:b w:val="0"/>
          <w:bCs w:val="0"/>
        </w:rPr>
      </w:pPr>
      <w:r w:rsidRPr="00BA56E5">
        <w:rPr>
          <w:rStyle w:val="Strong"/>
          <w:rFonts w:asciiTheme="minorHAnsi" w:hAnsiTheme="minorHAnsi" w:cstheme="minorHAnsi"/>
          <w:b w:val="0"/>
          <w:bCs w:val="0"/>
        </w:rPr>
        <w:t xml:space="preserve">Estimating the Respondent Universe and Total Burden and Costs for </w:t>
      </w:r>
      <w:r w:rsidRPr="00647532">
        <w:rPr>
          <w:rStyle w:val="Strong"/>
          <w:rFonts w:asciiTheme="minorHAnsi" w:hAnsiTheme="minorHAnsi" w:cstheme="minorHAnsi"/>
          <w:b w:val="0"/>
          <w:bCs w:val="0"/>
        </w:rPr>
        <w:t>Affected Units</w:t>
      </w:r>
    </w:p>
    <w:p w:rsidR="00BA56E5" w:rsidRPr="00647532" w:rsidP="00BA56E5" w14:paraId="0158BAEB" w14:textId="77777777">
      <w:pPr>
        <w:pStyle w:val="NormalWeb"/>
        <w:ind w:left="720"/>
        <w:rPr>
          <w:rStyle w:val="Strong"/>
          <w:rFonts w:asciiTheme="minorHAnsi" w:hAnsiTheme="minorHAnsi" w:cstheme="minorHAnsi"/>
          <w:b w:val="0"/>
          <w:bCs w:val="0"/>
        </w:rPr>
      </w:pPr>
    </w:p>
    <w:p w:rsidR="008A757A" w:rsidRPr="00F112D7" w:rsidP="00BA56E5" w14:paraId="7099E513" w14:textId="74F3984E">
      <w:pPr>
        <w:pStyle w:val="NormalWeb"/>
        <w:ind w:left="720"/>
        <w:rPr>
          <w:rFonts w:asciiTheme="minorHAnsi" w:hAnsiTheme="minorHAnsi" w:cstheme="minorBidi"/>
        </w:rPr>
      </w:pPr>
      <w:r w:rsidRPr="00647532">
        <w:rPr>
          <w:rFonts w:asciiTheme="minorHAnsi" w:hAnsiTheme="minorHAnsi" w:cstheme="minorBidi"/>
        </w:rPr>
        <w:t xml:space="preserve">Based on the most recent reporting period, EPA estimates there will be </w:t>
      </w:r>
      <w:r w:rsidRPr="005A6A52" w:rsidR="59B57216">
        <w:rPr>
          <w:rFonts w:asciiTheme="minorHAnsi" w:hAnsiTheme="minorHAnsi" w:cstheme="minorBidi"/>
        </w:rPr>
        <w:t>376</w:t>
      </w:r>
      <w:r w:rsidRPr="003E707C">
        <w:rPr>
          <w:rFonts w:asciiTheme="minorHAnsi" w:hAnsiTheme="minorHAnsi" w:cstheme="minorBidi"/>
        </w:rPr>
        <w:t xml:space="preserve"> affected units</w:t>
      </w:r>
      <w:r w:rsidRPr="00647532">
        <w:rPr>
          <w:rFonts w:asciiTheme="minorHAnsi" w:hAnsiTheme="minorHAnsi" w:cstheme="minorBidi"/>
        </w:rPr>
        <w:t xml:space="preserve"> that will continue to conduct monitoring in accordance with Part 75 solely under the NO</w:t>
      </w:r>
      <w:r w:rsidRPr="00647532">
        <w:rPr>
          <w:rFonts w:asciiTheme="minorHAnsi" w:hAnsiTheme="minorHAnsi" w:cstheme="minorBidi"/>
          <w:vertAlign w:val="subscript"/>
        </w:rPr>
        <w:t>X</w:t>
      </w:r>
      <w:r w:rsidRPr="00647532">
        <w:rPr>
          <w:rFonts w:asciiTheme="minorHAnsi" w:hAnsiTheme="minorHAnsi" w:cstheme="minorBidi"/>
        </w:rPr>
        <w:t xml:space="preserve"> SIP Call during the </w:t>
      </w:r>
      <w:r w:rsidRPr="00647532" w:rsidR="00F112D7">
        <w:rPr>
          <w:rFonts w:asciiTheme="minorHAnsi" w:hAnsiTheme="minorHAnsi" w:cstheme="minorBidi"/>
        </w:rPr>
        <w:t>time</w:t>
      </w:r>
      <w:r w:rsidRPr="00647532">
        <w:rPr>
          <w:rFonts w:asciiTheme="minorHAnsi" w:hAnsiTheme="minorHAnsi" w:cstheme="minorBidi"/>
        </w:rPr>
        <w:t xml:space="preserve"> period covered by this ICR renewal. Additionally, EPA estimates that </w:t>
      </w:r>
      <w:r w:rsidRPr="003E707C">
        <w:rPr>
          <w:rFonts w:asciiTheme="minorHAnsi" w:hAnsiTheme="minorHAnsi" w:cstheme="minorBidi"/>
        </w:rPr>
        <w:t>5 affected units</w:t>
      </w:r>
      <w:r w:rsidRPr="00647532">
        <w:rPr>
          <w:rFonts w:asciiTheme="minorHAnsi" w:hAnsiTheme="minorHAnsi" w:cstheme="minorBidi"/>
        </w:rPr>
        <w:t xml:space="preserve"> will use other forms of monitoring under the NO</w:t>
      </w:r>
      <w:r w:rsidRPr="00B5769C" w:rsidR="00B5769C">
        <w:rPr>
          <w:rFonts w:asciiTheme="minorHAnsi" w:hAnsiTheme="minorHAnsi" w:cstheme="minorBidi"/>
          <w:vertAlign w:val="subscript"/>
        </w:rPr>
        <w:t>X</w:t>
      </w:r>
      <w:r w:rsidRPr="00647532">
        <w:rPr>
          <w:rFonts w:asciiTheme="minorHAnsi" w:hAnsiTheme="minorHAnsi" w:cstheme="minorBidi"/>
        </w:rPr>
        <w:t xml:space="preserve"> SIP Call. For the purposes of estimating the information collection burden and costs for the non-part 75 units, EPA has assumed that the alternative monitoring methodologies used by non-part 75 units have similar burden and costs as the low mass emissions (LME) monitoring method under </w:t>
      </w:r>
      <w:r w:rsidRPr="00647532">
        <w:rPr>
          <w:rFonts w:asciiTheme="minorHAnsi" w:hAnsiTheme="minorHAnsi" w:cstheme="minorBidi"/>
        </w:rPr>
        <w:t>part</w:t>
      </w:r>
      <w:r w:rsidRPr="00647532">
        <w:rPr>
          <w:rFonts w:asciiTheme="minorHAnsi" w:hAnsiTheme="minorHAnsi" w:cstheme="minorBidi"/>
        </w:rPr>
        <w:t xml:space="preserve"> 75.</w:t>
      </w:r>
      <w:r w:rsidRPr="7B2B048E">
        <w:rPr>
          <w:rFonts w:asciiTheme="minorHAnsi" w:hAnsiTheme="minorHAnsi" w:cstheme="minorBidi"/>
        </w:rPr>
        <w:t xml:space="preserve">   </w:t>
      </w:r>
    </w:p>
    <w:p w:rsidR="008A757A" w:rsidRPr="002A27A1" w:rsidP="008A757A" w14:paraId="5AF60B27" w14:textId="77777777">
      <w:pPr>
        <w:pStyle w:val="NormalWeb"/>
        <w:ind w:firstLine="720"/>
        <w:rPr>
          <w:rFonts w:asciiTheme="minorHAnsi" w:hAnsiTheme="minorHAnsi" w:cstheme="minorHAnsi"/>
          <w:highlight w:val="yellow"/>
        </w:rPr>
      </w:pPr>
    </w:p>
    <w:p w:rsidR="007B4DB2" w:rsidRPr="00F3526B" w:rsidP="00F3526B" w14:paraId="1085F369" w14:textId="5DE7AC04">
      <w:pPr>
        <w:pStyle w:val="NormalWeb"/>
        <w:ind w:left="720"/>
        <w:rPr>
          <w:rFonts w:asciiTheme="minorHAnsi" w:hAnsiTheme="minorHAnsi" w:cstheme="minorHAnsi"/>
        </w:rPr>
        <w:sectPr>
          <w:footerReference w:type="default" r:id="rId9"/>
          <w:pgSz w:w="12240" w:h="15840"/>
          <w:pgMar w:top="1440" w:right="1440" w:bottom="1440" w:left="1440" w:header="720" w:footer="720" w:gutter="0"/>
          <w:cols w:space="720"/>
          <w:docGrid w:linePitch="360"/>
        </w:sectPr>
      </w:pPr>
      <w:r w:rsidRPr="00787384">
        <w:rPr>
          <w:rFonts w:asciiTheme="minorHAnsi" w:hAnsiTheme="minorHAnsi" w:cstheme="minorHAnsi"/>
        </w:rPr>
        <w:t xml:space="preserve">Table </w:t>
      </w:r>
      <w:r w:rsidRPr="00787384" w:rsidR="00BA56E5">
        <w:rPr>
          <w:rFonts w:asciiTheme="minorHAnsi" w:hAnsiTheme="minorHAnsi" w:cstheme="minorHAnsi"/>
        </w:rPr>
        <w:t>12.1</w:t>
      </w:r>
      <w:r w:rsidRPr="00787384">
        <w:rPr>
          <w:rFonts w:asciiTheme="minorHAnsi" w:hAnsiTheme="minorHAnsi" w:cstheme="minorHAnsi"/>
        </w:rPr>
        <w:t xml:space="preserve"> shows the total burden and total cost for this respondent universe.</w:t>
      </w:r>
    </w:p>
    <w:p w:rsidR="00713CA9" w:rsidRPr="003E707C" w:rsidP="00832AB3" w14:paraId="45E0143D" w14:textId="3E7471BE">
      <w:pPr>
        <w:pStyle w:val="NormalWeb"/>
        <w:jc w:val="center"/>
        <w:rPr>
          <w:rFonts w:asciiTheme="minorHAnsi" w:hAnsiTheme="minorHAnsi" w:cstheme="minorHAnsi"/>
          <w:bCs/>
        </w:rPr>
      </w:pPr>
      <w:r w:rsidRPr="003E707C">
        <w:rPr>
          <w:rFonts w:asciiTheme="minorHAnsi" w:hAnsiTheme="minorHAnsi" w:cstheme="minorHAnsi"/>
          <w:bCs/>
        </w:rPr>
        <w:t xml:space="preserve">Table </w:t>
      </w:r>
      <w:r w:rsidRPr="003E707C" w:rsidR="006B71E5">
        <w:rPr>
          <w:rFonts w:asciiTheme="minorHAnsi" w:hAnsiTheme="minorHAnsi" w:cstheme="minorHAnsi"/>
          <w:bCs/>
        </w:rPr>
        <w:t>12.1</w:t>
      </w:r>
      <w:r w:rsidRPr="003E707C">
        <w:rPr>
          <w:rFonts w:asciiTheme="minorHAnsi" w:hAnsiTheme="minorHAnsi" w:cstheme="minorHAnsi"/>
          <w:bCs/>
        </w:rPr>
        <w:t>:  Annual Respondent Burden/Cost Estimates for Affected Units</w:t>
      </w:r>
    </w:p>
    <w:tbl>
      <w:tblPr>
        <w:tblW w:w="10995" w:type="dxa"/>
        <w:jc w:val="center"/>
        <w:tblLayout w:type="fixed"/>
        <w:tblCellMar>
          <w:top w:w="72" w:type="dxa"/>
          <w:left w:w="72" w:type="dxa"/>
          <w:bottom w:w="72" w:type="dxa"/>
          <w:right w:w="72" w:type="dxa"/>
        </w:tblCellMar>
        <w:tblLook w:val="04A0"/>
      </w:tblPr>
      <w:tblGrid>
        <w:gridCol w:w="2694"/>
        <w:gridCol w:w="991"/>
        <w:gridCol w:w="925"/>
        <w:gridCol w:w="1294"/>
        <w:gridCol w:w="1141"/>
        <w:gridCol w:w="1430"/>
        <w:gridCol w:w="1239"/>
        <w:gridCol w:w="1281"/>
      </w:tblGrid>
      <w:tr w14:paraId="6B016365" w14:textId="77777777" w:rsidTr="009B5A95">
        <w:tblPrEx>
          <w:tblW w:w="10995" w:type="dxa"/>
          <w:jc w:val="center"/>
          <w:tblLayout w:type="fixed"/>
          <w:tblCellMar>
            <w:top w:w="72" w:type="dxa"/>
            <w:left w:w="72" w:type="dxa"/>
            <w:bottom w:w="72" w:type="dxa"/>
            <w:right w:w="72" w:type="dxa"/>
          </w:tblCellMar>
          <w:tblLook w:val="04A0"/>
        </w:tblPrEx>
        <w:trPr>
          <w:trHeight w:val="780"/>
          <w:jc w:val="center"/>
        </w:trPr>
        <w:tc>
          <w:tcPr>
            <w:tcW w:w="2694"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rsidR="00713CA9" w:rsidRPr="00F3526B" w:rsidP="009B5A95" w14:paraId="40753ABB" w14:textId="77777777">
            <w:pPr>
              <w:jc w:val="center"/>
              <w:rPr>
                <w:rFonts w:cstheme="minorHAnsi"/>
                <w:b/>
                <w:bCs/>
                <w:color w:val="000000"/>
              </w:rPr>
            </w:pPr>
            <w:r w:rsidRPr="00F3526B">
              <w:rPr>
                <w:rFonts w:cstheme="minorHAnsi"/>
                <w:b/>
                <w:bCs/>
                <w:color w:val="000000"/>
              </w:rPr>
              <w:t>Information collection activity</w:t>
            </w:r>
          </w:p>
        </w:tc>
        <w:tc>
          <w:tcPr>
            <w:tcW w:w="991" w:type="dxa"/>
            <w:tcBorders>
              <w:top w:val="single" w:sz="4" w:space="0" w:color="000000" w:themeColor="text1"/>
              <w:left w:val="nil"/>
              <w:bottom w:val="nil"/>
              <w:right w:val="single" w:sz="4" w:space="0" w:color="000000" w:themeColor="text1"/>
            </w:tcBorders>
            <w:shd w:val="clear" w:color="auto" w:fill="D9D9D9" w:themeFill="background1" w:themeFillShade="D9"/>
            <w:vAlign w:val="center"/>
          </w:tcPr>
          <w:p w:rsidR="00713CA9" w:rsidRPr="00F3526B" w:rsidP="009B5A95" w14:paraId="6C5AF837" w14:textId="24FB499C">
            <w:pPr>
              <w:jc w:val="center"/>
              <w:rPr>
                <w:rFonts w:cstheme="minorHAnsi"/>
                <w:b/>
                <w:color w:val="000000"/>
              </w:rPr>
            </w:pPr>
            <w:r w:rsidRPr="00F3526B">
              <w:rPr>
                <w:rFonts w:cstheme="minorHAnsi"/>
                <w:b/>
                <w:color w:val="000000" w:themeColor="text1"/>
              </w:rPr>
              <w:t xml:space="preserve">Mgr. </w:t>
            </w:r>
            <w:r w:rsidRPr="00F3526B">
              <w:rPr>
                <w:rFonts w:cstheme="minorHAnsi"/>
                <w:b/>
                <w:bCs/>
                <w:color w:val="000000" w:themeColor="text1"/>
              </w:rPr>
              <w:t>$1</w:t>
            </w:r>
            <w:r w:rsidRPr="00F3526B" w:rsidR="2DEB6D2E">
              <w:rPr>
                <w:rFonts w:cstheme="minorHAnsi"/>
                <w:b/>
                <w:bCs/>
                <w:color w:val="000000" w:themeColor="text1"/>
              </w:rPr>
              <w:t>23.48</w:t>
            </w:r>
            <w:r w:rsidRPr="00F3526B">
              <w:rPr>
                <w:rFonts w:cstheme="minorHAnsi"/>
                <w:b/>
                <w:color w:val="000000" w:themeColor="text1"/>
              </w:rPr>
              <w:t>/ hour</w:t>
            </w:r>
          </w:p>
        </w:tc>
        <w:tc>
          <w:tcPr>
            <w:tcW w:w="925" w:type="dxa"/>
            <w:tcBorders>
              <w:top w:val="single" w:sz="4" w:space="0" w:color="000000" w:themeColor="text1"/>
              <w:left w:val="nil"/>
              <w:bottom w:val="nil"/>
              <w:right w:val="single" w:sz="4" w:space="0" w:color="000000" w:themeColor="text1"/>
            </w:tcBorders>
            <w:shd w:val="clear" w:color="auto" w:fill="D9D9D9" w:themeFill="background1" w:themeFillShade="D9"/>
            <w:vAlign w:val="center"/>
          </w:tcPr>
          <w:p w:rsidR="00713CA9" w:rsidRPr="00F3526B" w:rsidP="009B5A95" w14:paraId="78F13F7A" w14:textId="7AEFE40C">
            <w:pPr>
              <w:jc w:val="center"/>
              <w:rPr>
                <w:rFonts w:cstheme="minorHAnsi"/>
                <w:b/>
                <w:color w:val="000000"/>
              </w:rPr>
            </w:pPr>
            <w:r w:rsidRPr="00F3526B">
              <w:rPr>
                <w:rFonts w:cstheme="minorHAnsi"/>
                <w:b/>
                <w:color w:val="000000" w:themeColor="text1"/>
              </w:rPr>
              <w:t xml:space="preserve">Tech. </w:t>
            </w:r>
            <w:r w:rsidRPr="00F3526B">
              <w:rPr>
                <w:rFonts w:cstheme="minorHAnsi"/>
                <w:b/>
                <w:bCs/>
                <w:color w:val="000000" w:themeColor="text1"/>
              </w:rPr>
              <w:t>$</w:t>
            </w:r>
            <w:r w:rsidRPr="00F3526B" w:rsidR="3D3036EF">
              <w:rPr>
                <w:rFonts w:cstheme="minorHAnsi"/>
                <w:b/>
                <w:bCs/>
                <w:color w:val="000000" w:themeColor="text1"/>
              </w:rPr>
              <w:t>88.80</w:t>
            </w:r>
            <w:r w:rsidRPr="00F3526B">
              <w:rPr>
                <w:rFonts w:cstheme="minorHAnsi"/>
                <w:b/>
                <w:color w:val="000000" w:themeColor="text1"/>
              </w:rPr>
              <w:t>/ hour</w:t>
            </w:r>
          </w:p>
        </w:tc>
        <w:tc>
          <w:tcPr>
            <w:tcW w:w="1294" w:type="dxa"/>
            <w:tcBorders>
              <w:top w:val="single" w:sz="4" w:space="0" w:color="000000" w:themeColor="text1"/>
              <w:left w:val="nil"/>
              <w:bottom w:val="nil"/>
              <w:right w:val="single" w:sz="4" w:space="0" w:color="000000" w:themeColor="text1"/>
            </w:tcBorders>
            <w:shd w:val="clear" w:color="auto" w:fill="D9D9D9" w:themeFill="background1" w:themeFillShade="D9"/>
            <w:vAlign w:val="center"/>
          </w:tcPr>
          <w:p w:rsidR="00713CA9" w:rsidRPr="00F3526B" w:rsidP="009B5A95" w14:paraId="5A1D21EE" w14:textId="77777777">
            <w:pPr>
              <w:jc w:val="center"/>
              <w:rPr>
                <w:rFonts w:cstheme="minorHAnsi"/>
                <w:b/>
                <w:bCs/>
                <w:color w:val="000000"/>
              </w:rPr>
            </w:pPr>
            <w:r w:rsidRPr="00F3526B">
              <w:rPr>
                <w:rFonts w:cstheme="minorHAnsi"/>
                <w:b/>
                <w:bCs/>
                <w:color w:val="000000"/>
              </w:rPr>
              <w:t>Respondent hours/year</w:t>
            </w:r>
          </w:p>
        </w:tc>
        <w:tc>
          <w:tcPr>
            <w:tcW w:w="1141" w:type="dxa"/>
            <w:tcBorders>
              <w:top w:val="single" w:sz="4" w:space="0" w:color="000000" w:themeColor="text1"/>
              <w:left w:val="nil"/>
              <w:bottom w:val="nil"/>
              <w:right w:val="single" w:sz="4" w:space="0" w:color="000000" w:themeColor="text1"/>
            </w:tcBorders>
            <w:shd w:val="clear" w:color="auto" w:fill="D9D9D9" w:themeFill="background1" w:themeFillShade="D9"/>
            <w:vAlign w:val="center"/>
          </w:tcPr>
          <w:p w:rsidR="00713CA9" w:rsidRPr="00F3526B" w:rsidP="009B5A95" w14:paraId="2AAB95FB" w14:textId="77777777">
            <w:pPr>
              <w:jc w:val="center"/>
              <w:rPr>
                <w:rFonts w:cstheme="minorHAnsi"/>
                <w:b/>
                <w:bCs/>
                <w:color w:val="000000"/>
              </w:rPr>
            </w:pPr>
            <w:r w:rsidRPr="00F3526B">
              <w:rPr>
                <w:rFonts w:cstheme="minorHAnsi"/>
                <w:b/>
                <w:bCs/>
                <w:color w:val="000000"/>
              </w:rPr>
              <w:t>Labor cost/year</w:t>
            </w:r>
          </w:p>
        </w:tc>
        <w:tc>
          <w:tcPr>
            <w:tcW w:w="1430" w:type="dxa"/>
            <w:tcBorders>
              <w:top w:val="single" w:sz="4" w:space="0" w:color="000000" w:themeColor="text1"/>
              <w:left w:val="nil"/>
              <w:bottom w:val="nil"/>
              <w:right w:val="single" w:sz="4" w:space="0" w:color="000000" w:themeColor="text1"/>
            </w:tcBorders>
            <w:shd w:val="clear" w:color="auto" w:fill="D9D9D9" w:themeFill="background1" w:themeFillShade="D9"/>
            <w:vAlign w:val="center"/>
          </w:tcPr>
          <w:p w:rsidR="00713CA9" w:rsidRPr="00F3526B" w:rsidP="009B5A95" w14:paraId="65486211" w14:textId="736EDFB7">
            <w:pPr>
              <w:jc w:val="center"/>
              <w:rPr>
                <w:rFonts w:cstheme="minorHAnsi"/>
                <w:b/>
                <w:color w:val="000000"/>
              </w:rPr>
            </w:pPr>
            <w:r w:rsidRPr="00F3526B">
              <w:rPr>
                <w:rFonts w:cstheme="minorHAnsi"/>
                <w:b/>
                <w:bCs/>
                <w:color w:val="000000" w:themeColor="text1"/>
              </w:rPr>
              <w:t>Number</w:t>
            </w:r>
            <w:r w:rsidRPr="00F3526B">
              <w:rPr>
                <w:rFonts w:cstheme="minorHAnsi"/>
                <w:b/>
                <w:color w:val="000000" w:themeColor="text1"/>
              </w:rPr>
              <w:t xml:space="preserve"> of respondents</w:t>
            </w:r>
          </w:p>
        </w:tc>
        <w:tc>
          <w:tcPr>
            <w:tcW w:w="1239" w:type="dxa"/>
            <w:tcBorders>
              <w:top w:val="single" w:sz="4" w:space="0" w:color="000000" w:themeColor="text1"/>
              <w:left w:val="nil"/>
              <w:bottom w:val="nil"/>
              <w:right w:val="single" w:sz="4" w:space="0" w:color="000000" w:themeColor="text1"/>
            </w:tcBorders>
            <w:shd w:val="clear" w:color="auto" w:fill="D9D9D9" w:themeFill="background1" w:themeFillShade="D9"/>
            <w:vAlign w:val="center"/>
          </w:tcPr>
          <w:p w:rsidR="00713CA9" w:rsidRPr="00F3526B" w:rsidP="009B5A95" w14:paraId="24E70B68" w14:textId="77777777">
            <w:pPr>
              <w:jc w:val="center"/>
              <w:rPr>
                <w:rFonts w:cstheme="minorHAnsi"/>
                <w:b/>
                <w:bCs/>
                <w:color w:val="000000"/>
              </w:rPr>
            </w:pPr>
            <w:r w:rsidRPr="00F3526B">
              <w:rPr>
                <w:rFonts w:cstheme="minorHAnsi"/>
                <w:b/>
                <w:bCs/>
                <w:color w:val="000000"/>
              </w:rPr>
              <w:t>Total hours/</w:t>
            </w:r>
            <w:r w:rsidRPr="00F3526B">
              <w:rPr>
                <w:rFonts w:cstheme="minorHAnsi"/>
                <w:b/>
                <w:bCs/>
                <w:color w:val="000000"/>
              </w:rPr>
              <w:br/>
              <w:t>year</w:t>
            </w:r>
          </w:p>
        </w:tc>
        <w:tc>
          <w:tcPr>
            <w:tcW w:w="1281" w:type="dxa"/>
            <w:tcBorders>
              <w:top w:val="single" w:sz="4" w:space="0" w:color="000000" w:themeColor="text1"/>
              <w:left w:val="nil"/>
              <w:bottom w:val="nil"/>
              <w:right w:val="single" w:sz="4" w:space="0" w:color="000000" w:themeColor="text1"/>
            </w:tcBorders>
            <w:shd w:val="clear" w:color="auto" w:fill="D9D9D9" w:themeFill="background1" w:themeFillShade="D9"/>
            <w:vAlign w:val="center"/>
          </w:tcPr>
          <w:p w:rsidR="00713CA9" w:rsidRPr="00F3526B" w:rsidP="009B5A95" w14:paraId="4EAD5778" w14:textId="77777777">
            <w:pPr>
              <w:jc w:val="center"/>
              <w:rPr>
                <w:rFonts w:cstheme="minorHAnsi"/>
                <w:b/>
                <w:bCs/>
                <w:color w:val="000000"/>
              </w:rPr>
            </w:pPr>
            <w:r w:rsidRPr="00F3526B">
              <w:rPr>
                <w:rFonts w:cstheme="minorHAnsi"/>
                <w:b/>
                <w:bCs/>
                <w:color w:val="000000"/>
              </w:rPr>
              <w:t>Total cost/year</w:t>
            </w:r>
          </w:p>
        </w:tc>
      </w:tr>
      <w:tr w14:paraId="4A2F3B98" w14:textId="77777777" w:rsidTr="00806177">
        <w:tblPrEx>
          <w:tblW w:w="10995" w:type="dxa"/>
          <w:jc w:val="center"/>
          <w:tblLayout w:type="fixed"/>
          <w:tblCellMar>
            <w:top w:w="72" w:type="dxa"/>
            <w:left w:w="72" w:type="dxa"/>
            <w:bottom w:w="72" w:type="dxa"/>
            <w:right w:w="72" w:type="dxa"/>
          </w:tblCellMar>
          <w:tblLook w:val="04A0"/>
        </w:tblPrEx>
        <w:trPr>
          <w:trHeight w:val="510"/>
          <w:jc w:val="center"/>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713CA9" w:rsidRPr="00F3526B" w:rsidP="009B5A95" w14:paraId="2F4EFA80" w14:textId="77777777">
            <w:pPr>
              <w:ind w:left="288" w:hanging="288"/>
              <w:rPr>
                <w:rFonts w:cstheme="minorHAnsi"/>
                <w:color w:val="000000"/>
              </w:rPr>
            </w:pPr>
            <w:r w:rsidRPr="00F3526B">
              <w:rPr>
                <w:rFonts w:cstheme="minorHAnsi"/>
                <w:color w:val="000000"/>
              </w:rPr>
              <w:t>1.  Review instructions and requirements</w:t>
            </w:r>
          </w:p>
        </w:tc>
        <w:tc>
          <w:tcPr>
            <w:tcW w:w="991"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03ECCE0E" w14:textId="77777777">
            <w:pPr>
              <w:jc w:val="right"/>
              <w:rPr>
                <w:rFonts w:cstheme="minorHAnsi"/>
                <w:color w:val="000000"/>
              </w:rPr>
            </w:pPr>
            <w:r w:rsidRPr="00F3526B">
              <w:rPr>
                <w:rFonts w:cstheme="minorHAnsi"/>
                <w:color w:val="000000"/>
              </w:rPr>
              <w:t>4</w:t>
            </w:r>
          </w:p>
        </w:tc>
        <w:tc>
          <w:tcPr>
            <w:tcW w:w="925"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2EA9A27D" w14:textId="77777777">
            <w:pPr>
              <w:jc w:val="right"/>
              <w:rPr>
                <w:rFonts w:cstheme="minorHAnsi"/>
                <w:color w:val="000000"/>
              </w:rPr>
            </w:pPr>
            <w:r w:rsidRPr="00F3526B">
              <w:rPr>
                <w:rFonts w:cstheme="minorHAnsi"/>
                <w:color w:val="000000"/>
              </w:rPr>
              <w:t>4</w:t>
            </w:r>
          </w:p>
        </w:tc>
        <w:tc>
          <w:tcPr>
            <w:tcW w:w="1294"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3CCB601D" w14:textId="77777777">
            <w:pPr>
              <w:jc w:val="right"/>
              <w:rPr>
                <w:rFonts w:cstheme="minorHAnsi"/>
                <w:color w:val="000000"/>
              </w:rPr>
            </w:pPr>
            <w:r w:rsidRPr="00F3526B">
              <w:rPr>
                <w:rFonts w:cstheme="minorHAnsi"/>
                <w:color w:val="000000"/>
              </w:rPr>
              <w:t>8</w:t>
            </w:r>
          </w:p>
        </w:tc>
        <w:tc>
          <w:tcPr>
            <w:tcW w:w="1141"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6133160B" w14:textId="08427C1E">
            <w:pPr>
              <w:jc w:val="right"/>
              <w:rPr>
                <w:rFonts w:cstheme="minorHAnsi"/>
                <w:color w:val="000000"/>
              </w:rPr>
            </w:pPr>
            <w:r w:rsidRPr="00F3526B">
              <w:rPr>
                <w:rFonts w:cstheme="minorHAnsi"/>
                <w:color w:val="000000" w:themeColor="text1"/>
              </w:rPr>
              <w:t>$</w:t>
            </w:r>
            <w:r w:rsidRPr="00F3526B" w:rsidR="736D4749">
              <w:rPr>
                <w:rFonts w:cstheme="minorHAnsi"/>
                <w:color w:val="000000" w:themeColor="text1"/>
              </w:rPr>
              <w:t>849</w:t>
            </w:r>
          </w:p>
        </w:tc>
        <w:tc>
          <w:tcPr>
            <w:tcW w:w="1430"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6942F18F" w14:textId="69E24008">
            <w:pPr>
              <w:jc w:val="right"/>
              <w:rPr>
                <w:rFonts w:cstheme="minorHAnsi"/>
                <w:color w:val="000000"/>
              </w:rPr>
            </w:pPr>
            <w:r w:rsidRPr="00F3526B">
              <w:rPr>
                <w:rFonts w:cstheme="minorHAnsi"/>
                <w:color w:val="000000" w:themeColor="text1"/>
              </w:rPr>
              <w:t>136</w:t>
            </w:r>
          </w:p>
        </w:tc>
        <w:tc>
          <w:tcPr>
            <w:tcW w:w="1239"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4839E7E5" w14:textId="2B785573">
            <w:pPr>
              <w:jc w:val="right"/>
              <w:rPr>
                <w:rFonts w:cstheme="minorHAnsi"/>
                <w:color w:val="000000"/>
              </w:rPr>
            </w:pPr>
            <w:r w:rsidRPr="00F3526B">
              <w:rPr>
                <w:rFonts w:cstheme="minorHAnsi"/>
                <w:color w:val="000000" w:themeColor="text1"/>
              </w:rPr>
              <w:t>1,</w:t>
            </w:r>
            <w:r w:rsidRPr="00F3526B" w:rsidR="1782EA8D">
              <w:rPr>
                <w:rFonts w:cstheme="minorHAnsi"/>
                <w:color w:val="000000" w:themeColor="text1"/>
              </w:rPr>
              <w:t>088</w:t>
            </w:r>
          </w:p>
        </w:tc>
        <w:tc>
          <w:tcPr>
            <w:tcW w:w="1281"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70821A13" w14:textId="2CF7A4C2">
            <w:pPr>
              <w:jc w:val="right"/>
              <w:rPr>
                <w:rFonts w:cstheme="minorHAnsi"/>
                <w:color w:val="000000"/>
              </w:rPr>
            </w:pPr>
            <w:r w:rsidRPr="00F3526B">
              <w:rPr>
                <w:rFonts w:cstheme="minorHAnsi"/>
                <w:color w:val="000000" w:themeColor="text1"/>
              </w:rPr>
              <w:t>$</w:t>
            </w:r>
            <w:r w:rsidRPr="00F3526B" w:rsidR="75DD32BF">
              <w:rPr>
                <w:rFonts w:cstheme="minorHAnsi"/>
                <w:color w:val="000000" w:themeColor="text1"/>
              </w:rPr>
              <w:t>115,464</w:t>
            </w:r>
          </w:p>
        </w:tc>
      </w:tr>
      <w:tr w14:paraId="29CF7E95" w14:textId="77777777" w:rsidTr="00806177">
        <w:tblPrEx>
          <w:tblW w:w="10995" w:type="dxa"/>
          <w:jc w:val="center"/>
          <w:tblLayout w:type="fixed"/>
          <w:tblCellMar>
            <w:top w:w="72" w:type="dxa"/>
            <w:left w:w="72" w:type="dxa"/>
            <w:bottom w:w="72" w:type="dxa"/>
            <w:right w:w="72" w:type="dxa"/>
          </w:tblCellMar>
          <w:tblLook w:val="04A0"/>
        </w:tblPrEx>
        <w:trPr>
          <w:trHeight w:val="510"/>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110E1741" w14:textId="77777777">
            <w:pPr>
              <w:ind w:left="288" w:hanging="288"/>
              <w:rPr>
                <w:rFonts w:cstheme="minorHAnsi"/>
                <w:color w:val="000000"/>
              </w:rPr>
            </w:pPr>
            <w:r w:rsidRPr="00F3526B">
              <w:rPr>
                <w:rFonts w:cstheme="minorHAnsi"/>
                <w:color w:val="000000"/>
              </w:rPr>
              <w:t>2.  Respond to EPA-generated error messages, field audits</w:t>
            </w:r>
          </w:p>
        </w:tc>
        <w:tc>
          <w:tcPr>
            <w:tcW w:w="991" w:type="dxa"/>
            <w:tcBorders>
              <w:top w:val="nil"/>
              <w:left w:val="nil"/>
              <w:bottom w:val="single" w:sz="4" w:space="0" w:color="auto"/>
              <w:right w:val="single" w:sz="4" w:space="0" w:color="auto"/>
            </w:tcBorders>
            <w:shd w:val="clear" w:color="auto" w:fill="auto"/>
            <w:vAlign w:val="center"/>
          </w:tcPr>
          <w:p w:rsidR="00713CA9" w:rsidRPr="00F3526B" w:rsidP="00806177" w14:paraId="649ED4B4" w14:textId="77777777">
            <w:pPr>
              <w:jc w:val="right"/>
              <w:rPr>
                <w:rFonts w:cstheme="minorHAnsi"/>
                <w:color w:val="000000"/>
              </w:rPr>
            </w:pPr>
            <w:r w:rsidRPr="00F3526B">
              <w:rPr>
                <w:rFonts w:cstheme="minorHAnsi"/>
                <w:color w:val="000000"/>
              </w:rPr>
              <w:t>6</w:t>
            </w:r>
          </w:p>
        </w:tc>
        <w:tc>
          <w:tcPr>
            <w:tcW w:w="925" w:type="dxa"/>
            <w:tcBorders>
              <w:top w:val="nil"/>
              <w:left w:val="nil"/>
              <w:bottom w:val="single" w:sz="4" w:space="0" w:color="auto"/>
              <w:right w:val="single" w:sz="4" w:space="0" w:color="auto"/>
            </w:tcBorders>
            <w:shd w:val="clear" w:color="auto" w:fill="auto"/>
            <w:vAlign w:val="center"/>
          </w:tcPr>
          <w:p w:rsidR="00713CA9" w:rsidRPr="00F3526B" w:rsidP="00806177" w14:paraId="3C52F128" w14:textId="77777777">
            <w:pPr>
              <w:jc w:val="right"/>
              <w:rPr>
                <w:rFonts w:cstheme="minorHAnsi"/>
                <w:color w:val="000000"/>
              </w:rPr>
            </w:pPr>
            <w:r w:rsidRPr="00F3526B">
              <w:rPr>
                <w:rFonts w:cstheme="minorHAnsi"/>
                <w:color w:val="000000"/>
              </w:rPr>
              <w:t>18</w:t>
            </w:r>
          </w:p>
        </w:tc>
        <w:tc>
          <w:tcPr>
            <w:tcW w:w="1294" w:type="dxa"/>
            <w:tcBorders>
              <w:top w:val="nil"/>
              <w:left w:val="nil"/>
              <w:bottom w:val="single" w:sz="4" w:space="0" w:color="auto"/>
              <w:right w:val="single" w:sz="4" w:space="0" w:color="auto"/>
            </w:tcBorders>
            <w:shd w:val="clear" w:color="auto" w:fill="auto"/>
            <w:vAlign w:val="center"/>
          </w:tcPr>
          <w:p w:rsidR="00713CA9" w:rsidRPr="00F3526B" w:rsidP="00806177" w14:paraId="54FA575C" w14:textId="77777777">
            <w:pPr>
              <w:jc w:val="right"/>
              <w:rPr>
                <w:rFonts w:cstheme="minorHAnsi"/>
                <w:color w:val="000000"/>
              </w:rPr>
            </w:pPr>
            <w:r w:rsidRPr="00F3526B">
              <w:rPr>
                <w:rFonts w:cstheme="minorHAnsi"/>
                <w:color w:val="000000"/>
              </w:rPr>
              <w:t>24</w:t>
            </w:r>
          </w:p>
        </w:tc>
        <w:tc>
          <w:tcPr>
            <w:tcW w:w="1141" w:type="dxa"/>
            <w:tcBorders>
              <w:top w:val="nil"/>
              <w:left w:val="nil"/>
              <w:bottom w:val="single" w:sz="4" w:space="0" w:color="auto"/>
              <w:right w:val="single" w:sz="4" w:space="0" w:color="auto"/>
            </w:tcBorders>
            <w:shd w:val="clear" w:color="auto" w:fill="auto"/>
            <w:vAlign w:val="center"/>
          </w:tcPr>
          <w:p w:rsidR="00713CA9" w:rsidRPr="00F3526B" w:rsidP="00806177" w14:paraId="22F6375F" w14:textId="6156E35A">
            <w:pPr>
              <w:jc w:val="right"/>
              <w:rPr>
                <w:rFonts w:cstheme="minorHAnsi"/>
                <w:color w:val="000000"/>
              </w:rPr>
            </w:pPr>
            <w:r w:rsidRPr="00F3526B">
              <w:rPr>
                <w:rFonts w:cstheme="minorHAnsi"/>
                <w:color w:val="000000" w:themeColor="text1"/>
              </w:rPr>
              <w:t>$2,</w:t>
            </w:r>
            <w:r w:rsidRPr="00F3526B" w:rsidR="1EB407EE">
              <w:rPr>
                <w:rFonts w:cstheme="minorHAnsi"/>
                <w:color w:val="000000" w:themeColor="text1"/>
              </w:rPr>
              <w:t>339</w:t>
            </w:r>
          </w:p>
        </w:tc>
        <w:tc>
          <w:tcPr>
            <w:tcW w:w="1430" w:type="dxa"/>
            <w:tcBorders>
              <w:top w:val="nil"/>
              <w:left w:val="nil"/>
              <w:bottom w:val="single" w:sz="4" w:space="0" w:color="auto"/>
              <w:right w:val="single" w:sz="4" w:space="0" w:color="auto"/>
            </w:tcBorders>
            <w:shd w:val="clear" w:color="auto" w:fill="auto"/>
            <w:vAlign w:val="center"/>
          </w:tcPr>
          <w:p w:rsidR="00713CA9" w:rsidRPr="00F3526B" w:rsidP="00806177" w14:paraId="2B6CF841" w14:textId="36716491">
            <w:pPr>
              <w:jc w:val="right"/>
              <w:rPr>
                <w:rFonts w:cstheme="minorHAnsi"/>
                <w:color w:val="000000"/>
              </w:rPr>
            </w:pPr>
            <w:r w:rsidRPr="00F3526B">
              <w:rPr>
                <w:rFonts w:cstheme="minorHAnsi"/>
                <w:color w:val="000000" w:themeColor="text1"/>
              </w:rPr>
              <w:t>376</w:t>
            </w: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0E7CB274" w14:textId="74093D76">
            <w:pPr>
              <w:jc w:val="right"/>
              <w:rPr>
                <w:rFonts w:cstheme="minorHAnsi"/>
                <w:color w:val="000000"/>
              </w:rPr>
            </w:pPr>
            <w:r w:rsidRPr="00F3526B">
              <w:rPr>
                <w:rFonts w:cstheme="minorHAnsi"/>
                <w:color w:val="000000" w:themeColor="text1"/>
              </w:rPr>
              <w:t>9,024</w:t>
            </w: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60D6C1A3" w14:textId="79A047E3">
            <w:pPr>
              <w:jc w:val="right"/>
              <w:rPr>
                <w:rFonts w:cstheme="minorHAnsi"/>
                <w:color w:val="000000"/>
              </w:rPr>
            </w:pPr>
            <w:r w:rsidRPr="00F3526B">
              <w:rPr>
                <w:rFonts w:cstheme="minorHAnsi"/>
                <w:color w:val="000000" w:themeColor="text1"/>
              </w:rPr>
              <w:t>$</w:t>
            </w:r>
            <w:r w:rsidRPr="00F3526B" w:rsidR="0572829A">
              <w:rPr>
                <w:rFonts w:cstheme="minorHAnsi"/>
                <w:color w:val="000000" w:themeColor="text1"/>
              </w:rPr>
              <w:t>879,464</w:t>
            </w:r>
          </w:p>
        </w:tc>
      </w:tr>
      <w:tr w14:paraId="08BF65B1" w14:textId="77777777" w:rsidTr="00806177">
        <w:tblPrEx>
          <w:tblW w:w="10995" w:type="dxa"/>
          <w:jc w:val="center"/>
          <w:tblLayout w:type="fixed"/>
          <w:tblCellMar>
            <w:top w:w="72" w:type="dxa"/>
            <w:left w:w="72" w:type="dxa"/>
            <w:bottom w:w="72" w:type="dxa"/>
            <w:right w:w="72" w:type="dxa"/>
          </w:tblCellMar>
          <w:tblLook w:val="04A0"/>
        </w:tblPrEx>
        <w:trPr>
          <w:trHeight w:val="300"/>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1837D0FB" w14:textId="77777777">
            <w:pPr>
              <w:rPr>
                <w:rFonts w:cstheme="minorHAnsi"/>
                <w:color w:val="000000"/>
              </w:rPr>
            </w:pPr>
            <w:r w:rsidRPr="00F3526B">
              <w:rPr>
                <w:rFonts w:cstheme="minorHAnsi"/>
                <w:color w:val="000000"/>
              </w:rPr>
              <w:t>3.  DAHS debugging</w:t>
            </w:r>
          </w:p>
        </w:tc>
        <w:tc>
          <w:tcPr>
            <w:tcW w:w="991" w:type="dxa"/>
            <w:tcBorders>
              <w:top w:val="nil"/>
              <w:left w:val="nil"/>
              <w:bottom w:val="single" w:sz="4" w:space="0" w:color="auto"/>
              <w:right w:val="single" w:sz="4" w:space="0" w:color="auto"/>
            </w:tcBorders>
            <w:shd w:val="clear" w:color="auto" w:fill="auto"/>
            <w:vAlign w:val="center"/>
          </w:tcPr>
          <w:p w:rsidR="00713CA9" w:rsidRPr="00F3526B" w:rsidP="00806177" w14:paraId="3058DF29" w14:textId="77777777">
            <w:pPr>
              <w:jc w:val="right"/>
              <w:rPr>
                <w:rFonts w:cstheme="minorHAnsi"/>
                <w:color w:val="000000"/>
              </w:rPr>
            </w:pPr>
            <w:r w:rsidRPr="00F3526B">
              <w:rPr>
                <w:rFonts w:cstheme="minorHAnsi"/>
                <w:color w:val="000000"/>
              </w:rPr>
              <w:t>4</w:t>
            </w:r>
          </w:p>
        </w:tc>
        <w:tc>
          <w:tcPr>
            <w:tcW w:w="925" w:type="dxa"/>
            <w:tcBorders>
              <w:top w:val="nil"/>
              <w:left w:val="nil"/>
              <w:bottom w:val="single" w:sz="4" w:space="0" w:color="auto"/>
              <w:right w:val="single" w:sz="4" w:space="0" w:color="auto"/>
            </w:tcBorders>
            <w:shd w:val="clear" w:color="auto" w:fill="auto"/>
            <w:vAlign w:val="center"/>
          </w:tcPr>
          <w:p w:rsidR="00713CA9" w:rsidRPr="00F3526B" w:rsidP="00806177" w14:paraId="5C7607A7" w14:textId="77777777">
            <w:pPr>
              <w:jc w:val="right"/>
              <w:rPr>
                <w:rFonts w:cstheme="minorHAnsi"/>
                <w:color w:val="000000"/>
              </w:rPr>
            </w:pPr>
            <w:r w:rsidRPr="00F3526B">
              <w:rPr>
                <w:rFonts w:cstheme="minorHAnsi"/>
                <w:color w:val="000000"/>
              </w:rPr>
              <w:t>12</w:t>
            </w:r>
          </w:p>
        </w:tc>
        <w:tc>
          <w:tcPr>
            <w:tcW w:w="1294" w:type="dxa"/>
            <w:tcBorders>
              <w:top w:val="nil"/>
              <w:left w:val="nil"/>
              <w:bottom w:val="single" w:sz="4" w:space="0" w:color="auto"/>
              <w:right w:val="single" w:sz="4" w:space="0" w:color="auto"/>
            </w:tcBorders>
            <w:shd w:val="clear" w:color="auto" w:fill="auto"/>
            <w:vAlign w:val="center"/>
          </w:tcPr>
          <w:p w:rsidR="00713CA9" w:rsidRPr="00F3526B" w:rsidP="00806177" w14:paraId="371070C1" w14:textId="77777777">
            <w:pPr>
              <w:jc w:val="right"/>
              <w:rPr>
                <w:rFonts w:cstheme="minorHAnsi"/>
                <w:color w:val="000000"/>
              </w:rPr>
            </w:pPr>
            <w:r w:rsidRPr="00F3526B">
              <w:rPr>
                <w:rFonts w:cstheme="minorHAnsi"/>
                <w:color w:val="000000"/>
              </w:rPr>
              <w:t>16</w:t>
            </w:r>
          </w:p>
        </w:tc>
        <w:tc>
          <w:tcPr>
            <w:tcW w:w="1141" w:type="dxa"/>
            <w:tcBorders>
              <w:top w:val="nil"/>
              <w:left w:val="nil"/>
              <w:bottom w:val="single" w:sz="4" w:space="0" w:color="auto"/>
              <w:right w:val="single" w:sz="4" w:space="0" w:color="auto"/>
            </w:tcBorders>
            <w:shd w:val="clear" w:color="auto" w:fill="auto"/>
            <w:vAlign w:val="center"/>
          </w:tcPr>
          <w:p w:rsidR="00713CA9" w:rsidRPr="00F3526B" w:rsidP="00806177" w14:paraId="0CC262D9" w14:textId="14F2CA20">
            <w:pPr>
              <w:jc w:val="right"/>
              <w:rPr>
                <w:rFonts w:cstheme="minorHAnsi"/>
                <w:color w:val="000000"/>
              </w:rPr>
            </w:pPr>
            <w:r w:rsidRPr="00F3526B">
              <w:rPr>
                <w:rFonts w:cstheme="minorHAnsi"/>
                <w:color w:val="000000" w:themeColor="text1"/>
              </w:rPr>
              <w:t>$</w:t>
            </w:r>
            <w:r w:rsidRPr="00F3526B" w:rsidR="101E9E10">
              <w:rPr>
                <w:rFonts w:cstheme="minorHAnsi"/>
                <w:color w:val="000000" w:themeColor="text1"/>
              </w:rPr>
              <w:t>1,560</w:t>
            </w:r>
          </w:p>
        </w:tc>
        <w:tc>
          <w:tcPr>
            <w:tcW w:w="1430" w:type="dxa"/>
            <w:tcBorders>
              <w:top w:val="nil"/>
              <w:left w:val="nil"/>
              <w:bottom w:val="single" w:sz="4" w:space="0" w:color="auto"/>
              <w:right w:val="single" w:sz="4" w:space="0" w:color="auto"/>
            </w:tcBorders>
            <w:shd w:val="clear" w:color="auto" w:fill="auto"/>
            <w:vAlign w:val="center"/>
          </w:tcPr>
          <w:p w:rsidR="00713CA9" w:rsidRPr="00F3526B" w:rsidP="00806177" w14:paraId="613845A9" w14:textId="0C788CB6">
            <w:pPr>
              <w:jc w:val="right"/>
              <w:rPr>
                <w:rFonts w:cstheme="minorHAnsi"/>
                <w:color w:val="000000"/>
              </w:rPr>
            </w:pPr>
            <w:r w:rsidRPr="00F3526B">
              <w:rPr>
                <w:rFonts w:cstheme="minorHAnsi"/>
                <w:color w:val="000000" w:themeColor="text1"/>
              </w:rPr>
              <w:t>376</w:t>
            </w: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46D53FCF" w14:textId="1FC6647D">
            <w:pPr>
              <w:jc w:val="right"/>
              <w:rPr>
                <w:rFonts w:cstheme="minorHAnsi"/>
                <w:color w:val="000000"/>
              </w:rPr>
            </w:pPr>
            <w:r w:rsidRPr="00F3526B">
              <w:rPr>
                <w:rFonts w:cstheme="minorHAnsi"/>
                <w:color w:val="000000" w:themeColor="text1"/>
              </w:rPr>
              <w:t>6,016</w:t>
            </w: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7DFDB2C0" w14:textId="4140EE70">
            <w:pPr>
              <w:jc w:val="right"/>
              <w:rPr>
                <w:rFonts w:cstheme="minorHAnsi"/>
                <w:color w:val="000000"/>
              </w:rPr>
            </w:pPr>
            <w:r w:rsidRPr="00F3526B">
              <w:rPr>
                <w:rFonts w:cstheme="minorHAnsi"/>
                <w:color w:val="000000" w:themeColor="text1"/>
              </w:rPr>
              <w:t>$</w:t>
            </w:r>
            <w:r w:rsidRPr="00F3526B" w:rsidR="618E9F98">
              <w:rPr>
                <w:rFonts w:cstheme="minorHAnsi"/>
                <w:color w:val="000000" w:themeColor="text1"/>
              </w:rPr>
              <w:t>586,560</w:t>
            </w:r>
          </w:p>
        </w:tc>
      </w:tr>
      <w:tr w14:paraId="2CF4AB09" w14:textId="77777777" w:rsidTr="00806177">
        <w:tblPrEx>
          <w:tblW w:w="10995" w:type="dxa"/>
          <w:jc w:val="center"/>
          <w:tblLayout w:type="fixed"/>
          <w:tblCellMar>
            <w:top w:w="72" w:type="dxa"/>
            <w:left w:w="72" w:type="dxa"/>
            <w:bottom w:w="72" w:type="dxa"/>
            <w:right w:w="72" w:type="dxa"/>
          </w:tblCellMar>
          <w:tblLook w:val="04A0"/>
        </w:tblPrEx>
        <w:trPr>
          <w:trHeight w:val="300"/>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31ACE72E" w14:textId="7F525709">
            <w:pPr>
              <w:rPr>
                <w:rFonts w:cstheme="minorHAnsi"/>
                <w:color w:val="000000"/>
              </w:rPr>
            </w:pPr>
            <w:r w:rsidRPr="00F3526B">
              <w:rPr>
                <w:rFonts w:cstheme="minorHAnsi"/>
                <w:color w:val="000000"/>
              </w:rPr>
              <w:t>4.  New unit monitoring</w:t>
            </w:r>
            <w:r w:rsidR="00806177">
              <w:rPr>
                <w:rFonts w:cstheme="minorHAnsi"/>
                <w:color w:val="000000"/>
              </w:rPr>
              <w:t xml:space="preserve"> </w:t>
            </w:r>
            <w:r w:rsidRPr="00F3526B">
              <w:rPr>
                <w:rFonts w:cstheme="minorHAnsi"/>
                <w:color w:val="000000"/>
              </w:rPr>
              <w:t>plans</w:t>
            </w:r>
          </w:p>
        </w:tc>
        <w:tc>
          <w:tcPr>
            <w:tcW w:w="991" w:type="dxa"/>
            <w:tcBorders>
              <w:top w:val="nil"/>
              <w:left w:val="nil"/>
              <w:bottom w:val="single" w:sz="4" w:space="0" w:color="auto"/>
              <w:right w:val="single" w:sz="4" w:space="0" w:color="auto"/>
            </w:tcBorders>
            <w:shd w:val="clear" w:color="auto" w:fill="auto"/>
            <w:vAlign w:val="center"/>
          </w:tcPr>
          <w:p w:rsidR="00713CA9" w:rsidRPr="00F3526B" w:rsidP="00806177" w14:paraId="512DAC2C" w14:textId="77777777">
            <w:pPr>
              <w:jc w:val="right"/>
              <w:rPr>
                <w:rFonts w:cstheme="minorHAnsi"/>
                <w:color w:val="000000"/>
              </w:rPr>
            </w:pPr>
            <w:r w:rsidRPr="00F3526B">
              <w:rPr>
                <w:rFonts w:cstheme="minorHAnsi"/>
                <w:color w:val="000000"/>
              </w:rPr>
              <w:t>10</w:t>
            </w:r>
          </w:p>
        </w:tc>
        <w:tc>
          <w:tcPr>
            <w:tcW w:w="925" w:type="dxa"/>
            <w:tcBorders>
              <w:top w:val="nil"/>
              <w:left w:val="nil"/>
              <w:bottom w:val="single" w:sz="4" w:space="0" w:color="auto"/>
              <w:right w:val="single" w:sz="4" w:space="0" w:color="auto"/>
            </w:tcBorders>
            <w:shd w:val="clear" w:color="auto" w:fill="auto"/>
            <w:vAlign w:val="center"/>
          </w:tcPr>
          <w:p w:rsidR="00713CA9" w:rsidRPr="00F3526B" w:rsidP="00806177" w14:paraId="6032F35E" w14:textId="77777777">
            <w:pPr>
              <w:jc w:val="right"/>
              <w:rPr>
                <w:rFonts w:cstheme="minorHAnsi"/>
                <w:color w:val="000000"/>
              </w:rPr>
            </w:pPr>
            <w:r w:rsidRPr="00F3526B">
              <w:rPr>
                <w:rFonts w:cstheme="minorHAnsi"/>
                <w:color w:val="000000"/>
              </w:rPr>
              <w:t>10</w:t>
            </w:r>
          </w:p>
        </w:tc>
        <w:tc>
          <w:tcPr>
            <w:tcW w:w="1294" w:type="dxa"/>
            <w:tcBorders>
              <w:top w:val="nil"/>
              <w:left w:val="nil"/>
              <w:bottom w:val="single" w:sz="4" w:space="0" w:color="auto"/>
              <w:right w:val="single" w:sz="4" w:space="0" w:color="auto"/>
            </w:tcBorders>
            <w:shd w:val="clear" w:color="auto" w:fill="auto"/>
            <w:vAlign w:val="center"/>
          </w:tcPr>
          <w:p w:rsidR="00713CA9" w:rsidRPr="00F3526B" w:rsidP="00806177" w14:paraId="1DAF3FC2" w14:textId="77777777">
            <w:pPr>
              <w:jc w:val="right"/>
              <w:rPr>
                <w:rFonts w:cstheme="minorHAnsi"/>
                <w:color w:val="000000"/>
              </w:rPr>
            </w:pPr>
            <w:r w:rsidRPr="00F3526B">
              <w:rPr>
                <w:rFonts w:cstheme="minorHAnsi"/>
                <w:color w:val="000000"/>
              </w:rPr>
              <w:t>20</w:t>
            </w:r>
          </w:p>
        </w:tc>
        <w:tc>
          <w:tcPr>
            <w:tcW w:w="1141" w:type="dxa"/>
            <w:tcBorders>
              <w:top w:val="nil"/>
              <w:left w:val="nil"/>
              <w:bottom w:val="single" w:sz="4" w:space="0" w:color="auto"/>
              <w:right w:val="single" w:sz="4" w:space="0" w:color="auto"/>
            </w:tcBorders>
            <w:shd w:val="clear" w:color="auto" w:fill="auto"/>
            <w:vAlign w:val="center"/>
          </w:tcPr>
          <w:p w:rsidR="00713CA9" w:rsidRPr="00F3526B" w:rsidP="00806177" w14:paraId="672DAA73" w14:textId="73081D18">
            <w:pPr>
              <w:jc w:val="right"/>
              <w:rPr>
                <w:rFonts w:cstheme="minorHAnsi"/>
                <w:color w:val="000000"/>
              </w:rPr>
            </w:pPr>
            <w:r w:rsidRPr="00F3526B">
              <w:rPr>
                <w:rFonts w:cstheme="minorHAnsi"/>
                <w:color w:val="000000" w:themeColor="text1"/>
              </w:rPr>
              <w:t>$</w:t>
            </w:r>
            <w:r w:rsidRPr="00F3526B" w:rsidR="157CC8AA">
              <w:rPr>
                <w:rFonts w:cstheme="minorHAnsi"/>
                <w:color w:val="000000" w:themeColor="text1"/>
              </w:rPr>
              <w:t>2,123</w:t>
            </w:r>
          </w:p>
        </w:tc>
        <w:tc>
          <w:tcPr>
            <w:tcW w:w="1430" w:type="dxa"/>
            <w:tcBorders>
              <w:top w:val="nil"/>
              <w:left w:val="nil"/>
              <w:bottom w:val="single" w:sz="4" w:space="0" w:color="auto"/>
              <w:right w:val="single" w:sz="4" w:space="0" w:color="auto"/>
            </w:tcBorders>
            <w:shd w:val="clear" w:color="auto" w:fill="auto"/>
            <w:vAlign w:val="center"/>
          </w:tcPr>
          <w:p w:rsidR="00713CA9" w:rsidRPr="00F3526B" w:rsidP="00806177" w14:paraId="79226C6B" w14:textId="581DE31C">
            <w:pPr>
              <w:jc w:val="right"/>
              <w:rPr>
                <w:rFonts w:cstheme="minorHAnsi"/>
                <w:color w:val="000000"/>
              </w:rPr>
            </w:pPr>
            <w:r w:rsidRPr="00F3526B">
              <w:rPr>
                <w:rFonts w:cstheme="minorHAnsi"/>
                <w:color w:val="000000" w:themeColor="text1"/>
              </w:rPr>
              <w:t>4</w:t>
            </w: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38A63D48" w14:textId="4E77565A">
            <w:pPr>
              <w:jc w:val="right"/>
              <w:rPr>
                <w:rFonts w:cstheme="minorHAnsi"/>
                <w:color w:val="000000"/>
              </w:rPr>
            </w:pPr>
            <w:r w:rsidRPr="00F3526B">
              <w:rPr>
                <w:rFonts w:cstheme="minorHAnsi"/>
                <w:color w:val="000000" w:themeColor="text1"/>
              </w:rPr>
              <w:t>80</w:t>
            </w: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5C89C919" w14:textId="6D32458D">
            <w:pPr>
              <w:jc w:val="right"/>
              <w:rPr>
                <w:rFonts w:cstheme="minorHAnsi"/>
                <w:color w:val="000000"/>
              </w:rPr>
            </w:pPr>
            <w:r w:rsidRPr="00F3526B">
              <w:rPr>
                <w:rFonts w:cstheme="minorHAnsi"/>
                <w:color w:val="000000" w:themeColor="text1"/>
              </w:rPr>
              <w:t>$</w:t>
            </w:r>
            <w:r w:rsidRPr="00F3526B" w:rsidR="7BD77131">
              <w:rPr>
                <w:rFonts w:cstheme="minorHAnsi"/>
                <w:color w:val="000000" w:themeColor="text1"/>
              </w:rPr>
              <w:t>8,492</w:t>
            </w:r>
          </w:p>
        </w:tc>
      </w:tr>
      <w:tr w14:paraId="2E3DC0FC" w14:textId="77777777" w:rsidTr="00806177">
        <w:tblPrEx>
          <w:tblW w:w="10995" w:type="dxa"/>
          <w:jc w:val="center"/>
          <w:tblLayout w:type="fixed"/>
          <w:tblCellMar>
            <w:top w:w="72" w:type="dxa"/>
            <w:left w:w="72" w:type="dxa"/>
            <w:bottom w:w="72" w:type="dxa"/>
            <w:right w:w="72" w:type="dxa"/>
          </w:tblCellMar>
          <w:tblLook w:val="04A0"/>
        </w:tblPrEx>
        <w:trPr>
          <w:trHeight w:val="300"/>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415241C6" w14:textId="77777777">
            <w:pPr>
              <w:rPr>
                <w:rFonts w:cstheme="minorHAnsi"/>
                <w:color w:val="000000"/>
              </w:rPr>
            </w:pPr>
            <w:r w:rsidRPr="00F3526B">
              <w:rPr>
                <w:rFonts w:cstheme="minorHAnsi"/>
                <w:color w:val="000000"/>
              </w:rPr>
              <w:t>5.  Recertify monitors</w:t>
            </w:r>
          </w:p>
        </w:tc>
        <w:tc>
          <w:tcPr>
            <w:tcW w:w="991" w:type="dxa"/>
            <w:tcBorders>
              <w:top w:val="nil"/>
              <w:left w:val="nil"/>
              <w:bottom w:val="single" w:sz="4" w:space="0" w:color="auto"/>
              <w:right w:val="single" w:sz="4" w:space="0" w:color="auto"/>
            </w:tcBorders>
            <w:shd w:val="clear" w:color="auto" w:fill="auto"/>
            <w:vAlign w:val="center"/>
          </w:tcPr>
          <w:p w:rsidR="00713CA9" w:rsidRPr="00F3526B" w:rsidP="00806177" w14:paraId="0BB22A0A" w14:textId="77777777">
            <w:pPr>
              <w:jc w:val="right"/>
              <w:rPr>
                <w:rFonts w:cstheme="minorHAnsi"/>
                <w:color w:val="000000"/>
              </w:rPr>
            </w:pPr>
            <w:r w:rsidRPr="00F3526B">
              <w:rPr>
                <w:rFonts w:cstheme="minorHAnsi"/>
                <w:color w:val="000000"/>
              </w:rPr>
              <w:t>38</w:t>
            </w:r>
          </w:p>
        </w:tc>
        <w:tc>
          <w:tcPr>
            <w:tcW w:w="925" w:type="dxa"/>
            <w:tcBorders>
              <w:top w:val="nil"/>
              <w:left w:val="nil"/>
              <w:bottom w:val="single" w:sz="4" w:space="0" w:color="auto"/>
              <w:right w:val="single" w:sz="4" w:space="0" w:color="auto"/>
            </w:tcBorders>
            <w:shd w:val="clear" w:color="auto" w:fill="auto"/>
            <w:vAlign w:val="center"/>
          </w:tcPr>
          <w:p w:rsidR="00713CA9" w:rsidRPr="00F3526B" w:rsidP="00806177" w14:paraId="4D0384B1" w14:textId="77777777">
            <w:pPr>
              <w:jc w:val="right"/>
              <w:rPr>
                <w:rFonts w:cstheme="minorHAnsi"/>
                <w:color w:val="000000"/>
              </w:rPr>
            </w:pPr>
            <w:r w:rsidRPr="00F3526B">
              <w:rPr>
                <w:rFonts w:cstheme="minorHAnsi"/>
                <w:color w:val="000000"/>
              </w:rPr>
              <w:t>12</w:t>
            </w:r>
          </w:p>
        </w:tc>
        <w:tc>
          <w:tcPr>
            <w:tcW w:w="1294" w:type="dxa"/>
            <w:tcBorders>
              <w:top w:val="nil"/>
              <w:left w:val="nil"/>
              <w:bottom w:val="single" w:sz="4" w:space="0" w:color="auto"/>
              <w:right w:val="single" w:sz="4" w:space="0" w:color="auto"/>
            </w:tcBorders>
            <w:shd w:val="clear" w:color="auto" w:fill="auto"/>
            <w:vAlign w:val="center"/>
          </w:tcPr>
          <w:p w:rsidR="00713CA9" w:rsidRPr="00F3526B" w:rsidP="00806177" w14:paraId="1B0669F2" w14:textId="77777777">
            <w:pPr>
              <w:jc w:val="right"/>
              <w:rPr>
                <w:rFonts w:cstheme="minorHAnsi"/>
                <w:color w:val="000000"/>
              </w:rPr>
            </w:pPr>
            <w:r w:rsidRPr="00F3526B">
              <w:rPr>
                <w:rFonts w:cstheme="minorHAnsi"/>
                <w:color w:val="000000"/>
              </w:rPr>
              <w:t>50</w:t>
            </w:r>
          </w:p>
        </w:tc>
        <w:tc>
          <w:tcPr>
            <w:tcW w:w="1141" w:type="dxa"/>
            <w:tcBorders>
              <w:top w:val="nil"/>
              <w:left w:val="nil"/>
              <w:bottom w:val="single" w:sz="4" w:space="0" w:color="auto"/>
              <w:right w:val="single" w:sz="4" w:space="0" w:color="auto"/>
            </w:tcBorders>
            <w:shd w:val="clear" w:color="auto" w:fill="auto"/>
            <w:vAlign w:val="center"/>
          </w:tcPr>
          <w:p w:rsidR="00713CA9" w:rsidRPr="00F3526B" w:rsidP="00806177" w14:paraId="601B351D" w14:textId="19511CD4">
            <w:pPr>
              <w:jc w:val="right"/>
              <w:rPr>
                <w:rFonts w:cstheme="minorHAnsi"/>
                <w:color w:val="000000"/>
              </w:rPr>
            </w:pPr>
            <w:r w:rsidRPr="00F3526B">
              <w:rPr>
                <w:rFonts w:cstheme="minorHAnsi"/>
                <w:color w:val="000000" w:themeColor="text1"/>
              </w:rPr>
              <w:t>$5,</w:t>
            </w:r>
            <w:r w:rsidRPr="00F3526B" w:rsidR="00DB173F">
              <w:rPr>
                <w:rFonts w:cstheme="minorHAnsi"/>
                <w:color w:val="000000" w:themeColor="text1"/>
              </w:rPr>
              <w:t>758</w:t>
            </w:r>
          </w:p>
        </w:tc>
        <w:tc>
          <w:tcPr>
            <w:tcW w:w="1430" w:type="dxa"/>
            <w:tcBorders>
              <w:top w:val="nil"/>
              <w:left w:val="nil"/>
              <w:bottom w:val="single" w:sz="4" w:space="0" w:color="auto"/>
              <w:right w:val="single" w:sz="4" w:space="0" w:color="auto"/>
            </w:tcBorders>
            <w:shd w:val="clear" w:color="auto" w:fill="auto"/>
            <w:vAlign w:val="center"/>
          </w:tcPr>
          <w:p w:rsidR="00713CA9" w:rsidRPr="00F3526B" w:rsidP="00806177" w14:paraId="3BAE4C77" w14:textId="531513A5">
            <w:pPr>
              <w:jc w:val="right"/>
              <w:rPr>
                <w:rFonts w:cstheme="minorHAnsi"/>
                <w:color w:val="000000"/>
              </w:rPr>
            </w:pPr>
            <w:r w:rsidRPr="00F3526B">
              <w:rPr>
                <w:rFonts w:cstheme="minorHAnsi"/>
                <w:color w:val="000000" w:themeColor="text1"/>
              </w:rPr>
              <w:t>76</w:t>
            </w: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28B8581C" w14:textId="3EC57476">
            <w:pPr>
              <w:jc w:val="right"/>
              <w:rPr>
                <w:rFonts w:cstheme="minorHAnsi"/>
                <w:color w:val="000000"/>
              </w:rPr>
            </w:pPr>
            <w:r w:rsidRPr="00F3526B">
              <w:rPr>
                <w:rFonts w:cstheme="minorHAnsi"/>
                <w:color w:val="000000" w:themeColor="text1"/>
              </w:rPr>
              <w:t>3,800</w:t>
            </w: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4318ECB5" w14:textId="57CBB546">
            <w:pPr>
              <w:jc w:val="right"/>
              <w:rPr>
                <w:rFonts w:cstheme="minorHAnsi"/>
                <w:color w:val="000000"/>
              </w:rPr>
            </w:pPr>
            <w:r w:rsidRPr="00F3526B">
              <w:rPr>
                <w:rFonts w:cstheme="minorHAnsi"/>
                <w:color w:val="000000" w:themeColor="text1"/>
              </w:rPr>
              <w:t>$</w:t>
            </w:r>
            <w:r w:rsidRPr="00F3526B" w:rsidR="6F5B9C0C">
              <w:rPr>
                <w:rFonts w:cstheme="minorHAnsi"/>
                <w:color w:val="000000" w:themeColor="text1"/>
              </w:rPr>
              <w:t>437,608</w:t>
            </w:r>
          </w:p>
        </w:tc>
      </w:tr>
      <w:tr w14:paraId="6565FA10" w14:textId="77777777" w:rsidTr="00806177">
        <w:tblPrEx>
          <w:tblW w:w="10995" w:type="dxa"/>
          <w:jc w:val="center"/>
          <w:tblLayout w:type="fixed"/>
          <w:tblCellMar>
            <w:top w:w="72" w:type="dxa"/>
            <w:left w:w="72" w:type="dxa"/>
            <w:bottom w:w="72" w:type="dxa"/>
            <w:right w:w="72" w:type="dxa"/>
          </w:tblCellMar>
          <w:tblLook w:val="04A0"/>
        </w:tblPrEx>
        <w:trPr>
          <w:trHeight w:val="300"/>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1221463C" w14:textId="77777777">
            <w:pPr>
              <w:ind w:left="288" w:hanging="288"/>
              <w:rPr>
                <w:rFonts w:cstheme="minorHAnsi"/>
                <w:color w:val="000000"/>
              </w:rPr>
            </w:pPr>
            <w:r w:rsidRPr="00F3526B">
              <w:rPr>
                <w:rFonts w:cstheme="minorHAnsi"/>
                <w:color w:val="000000"/>
              </w:rPr>
              <w:t>6.  Startup/capital items and perform QA testing and maintenance</w:t>
            </w:r>
          </w:p>
        </w:tc>
        <w:tc>
          <w:tcPr>
            <w:tcW w:w="991" w:type="dxa"/>
            <w:tcBorders>
              <w:top w:val="nil"/>
              <w:left w:val="nil"/>
              <w:bottom w:val="single" w:sz="4" w:space="0" w:color="auto"/>
              <w:right w:val="single" w:sz="4" w:space="0" w:color="auto"/>
            </w:tcBorders>
            <w:shd w:val="clear" w:color="auto" w:fill="auto"/>
            <w:vAlign w:val="center"/>
          </w:tcPr>
          <w:p w:rsidR="00713CA9" w:rsidRPr="00F3526B" w:rsidP="00806177" w14:paraId="2190389A" w14:textId="3CF62A7A">
            <w:pPr>
              <w:jc w:val="right"/>
              <w:rPr>
                <w:rFonts w:cstheme="minorHAnsi"/>
                <w:color w:val="000000"/>
              </w:rPr>
            </w:pPr>
          </w:p>
        </w:tc>
        <w:tc>
          <w:tcPr>
            <w:tcW w:w="925" w:type="dxa"/>
            <w:tcBorders>
              <w:top w:val="nil"/>
              <w:left w:val="nil"/>
              <w:bottom w:val="single" w:sz="4" w:space="0" w:color="auto"/>
              <w:right w:val="single" w:sz="4" w:space="0" w:color="auto"/>
            </w:tcBorders>
            <w:shd w:val="clear" w:color="auto" w:fill="auto"/>
            <w:vAlign w:val="center"/>
          </w:tcPr>
          <w:p w:rsidR="00713CA9" w:rsidRPr="00F3526B" w:rsidP="00806177" w14:paraId="34D82664" w14:textId="4AC86150">
            <w:pPr>
              <w:jc w:val="right"/>
              <w:rPr>
                <w:rFonts w:cstheme="minorHAnsi"/>
                <w:color w:val="000000"/>
              </w:rPr>
            </w:pPr>
          </w:p>
        </w:tc>
        <w:tc>
          <w:tcPr>
            <w:tcW w:w="1294" w:type="dxa"/>
            <w:tcBorders>
              <w:top w:val="nil"/>
              <w:left w:val="nil"/>
              <w:bottom w:val="single" w:sz="4" w:space="0" w:color="auto"/>
              <w:right w:val="single" w:sz="4" w:space="0" w:color="auto"/>
            </w:tcBorders>
            <w:shd w:val="clear" w:color="auto" w:fill="auto"/>
            <w:vAlign w:val="center"/>
          </w:tcPr>
          <w:p w:rsidR="00713CA9" w:rsidRPr="00F3526B" w:rsidP="00806177" w14:paraId="634597E1" w14:textId="044A0F7C">
            <w:pPr>
              <w:jc w:val="right"/>
              <w:rPr>
                <w:rFonts w:cstheme="minorHAnsi"/>
                <w:color w:val="000000"/>
              </w:rPr>
            </w:pPr>
          </w:p>
        </w:tc>
        <w:tc>
          <w:tcPr>
            <w:tcW w:w="1141" w:type="dxa"/>
            <w:tcBorders>
              <w:top w:val="nil"/>
              <w:left w:val="nil"/>
              <w:bottom w:val="single" w:sz="4" w:space="0" w:color="auto"/>
              <w:right w:val="single" w:sz="4" w:space="0" w:color="auto"/>
            </w:tcBorders>
            <w:shd w:val="clear" w:color="auto" w:fill="auto"/>
            <w:vAlign w:val="center"/>
          </w:tcPr>
          <w:p w:rsidR="00713CA9" w:rsidRPr="00F3526B" w:rsidP="00806177" w14:paraId="7FE06C80" w14:textId="2840BE39">
            <w:pPr>
              <w:jc w:val="right"/>
              <w:rPr>
                <w:rFonts w:cstheme="minorHAnsi"/>
                <w:color w:val="000000"/>
              </w:rPr>
            </w:pPr>
          </w:p>
        </w:tc>
        <w:tc>
          <w:tcPr>
            <w:tcW w:w="1430" w:type="dxa"/>
            <w:tcBorders>
              <w:top w:val="nil"/>
              <w:left w:val="nil"/>
              <w:bottom w:val="single" w:sz="4" w:space="0" w:color="auto"/>
              <w:right w:val="single" w:sz="4" w:space="0" w:color="auto"/>
            </w:tcBorders>
            <w:shd w:val="clear" w:color="auto" w:fill="auto"/>
            <w:vAlign w:val="center"/>
          </w:tcPr>
          <w:p w:rsidR="00713CA9" w:rsidRPr="00F3526B" w:rsidP="00806177" w14:paraId="15158A29" w14:textId="56CE50B2">
            <w:pPr>
              <w:jc w:val="right"/>
              <w:rPr>
                <w:rFonts w:cstheme="minorHAnsi"/>
                <w:color w:val="000000"/>
              </w:rPr>
            </w:pP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7662120B" w14:textId="43FA9B26">
            <w:pPr>
              <w:jc w:val="right"/>
              <w:rPr>
                <w:rFonts w:cstheme="minorHAnsi"/>
                <w:color w:val="000000"/>
              </w:rPr>
            </w:pP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2B5B3751" w14:textId="001EDC85">
            <w:pPr>
              <w:jc w:val="right"/>
              <w:rPr>
                <w:rFonts w:cstheme="minorHAnsi"/>
                <w:color w:val="000000"/>
              </w:rPr>
            </w:pPr>
          </w:p>
        </w:tc>
      </w:tr>
      <w:tr w14:paraId="4BCEF829" w14:textId="77777777" w:rsidTr="00806177">
        <w:tblPrEx>
          <w:tblW w:w="10995" w:type="dxa"/>
          <w:jc w:val="center"/>
          <w:tblLayout w:type="fixed"/>
          <w:tblCellMar>
            <w:top w:w="72" w:type="dxa"/>
            <w:left w:w="72" w:type="dxa"/>
            <w:bottom w:w="72" w:type="dxa"/>
            <w:right w:w="72" w:type="dxa"/>
          </w:tblCellMar>
          <w:tblLook w:val="04A0"/>
        </w:tblPrEx>
        <w:trPr>
          <w:trHeight w:val="300"/>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14371746" w14:textId="77777777">
            <w:pPr>
              <w:ind w:left="558" w:hanging="270"/>
              <w:rPr>
                <w:rFonts w:cstheme="minorHAnsi"/>
                <w:color w:val="000000"/>
              </w:rPr>
            </w:pPr>
            <w:r w:rsidRPr="00F3526B">
              <w:rPr>
                <w:rFonts w:cstheme="minorHAnsi"/>
                <w:color w:val="000000"/>
              </w:rPr>
              <w:t>(a)  NO</w:t>
            </w:r>
            <w:r w:rsidRPr="00F3526B">
              <w:rPr>
                <w:rFonts w:cstheme="minorHAnsi"/>
                <w:color w:val="000000"/>
                <w:vertAlign w:val="subscript"/>
              </w:rPr>
              <w:t>X</w:t>
            </w:r>
            <w:r w:rsidRPr="00F3526B">
              <w:rPr>
                <w:rFonts w:cstheme="minorHAnsi"/>
                <w:color w:val="000000"/>
              </w:rPr>
              <w:t xml:space="preserve"> and flow CEMS</w:t>
            </w:r>
          </w:p>
        </w:tc>
        <w:tc>
          <w:tcPr>
            <w:tcW w:w="991" w:type="dxa"/>
            <w:tcBorders>
              <w:top w:val="nil"/>
              <w:left w:val="nil"/>
              <w:bottom w:val="single" w:sz="4" w:space="0" w:color="auto"/>
              <w:right w:val="single" w:sz="4" w:space="0" w:color="auto"/>
            </w:tcBorders>
            <w:shd w:val="clear" w:color="auto" w:fill="auto"/>
            <w:vAlign w:val="center"/>
          </w:tcPr>
          <w:p w:rsidR="00713CA9" w:rsidRPr="00F3526B" w:rsidP="00806177" w14:paraId="20849BA5" w14:textId="77777777">
            <w:pPr>
              <w:jc w:val="right"/>
              <w:rPr>
                <w:rFonts w:cstheme="minorHAnsi"/>
                <w:color w:val="000000"/>
              </w:rPr>
            </w:pPr>
            <w:r w:rsidRPr="00F3526B">
              <w:rPr>
                <w:rFonts w:cstheme="minorHAnsi"/>
                <w:color w:val="000000"/>
              </w:rPr>
              <w:t>50</w:t>
            </w:r>
          </w:p>
        </w:tc>
        <w:tc>
          <w:tcPr>
            <w:tcW w:w="925" w:type="dxa"/>
            <w:tcBorders>
              <w:top w:val="nil"/>
              <w:left w:val="nil"/>
              <w:bottom w:val="single" w:sz="4" w:space="0" w:color="auto"/>
              <w:right w:val="single" w:sz="4" w:space="0" w:color="auto"/>
            </w:tcBorders>
            <w:shd w:val="clear" w:color="auto" w:fill="auto"/>
            <w:vAlign w:val="center"/>
          </w:tcPr>
          <w:p w:rsidR="00713CA9" w:rsidRPr="00F3526B" w:rsidP="00806177" w14:paraId="1A53B9CC" w14:textId="77777777">
            <w:pPr>
              <w:jc w:val="right"/>
              <w:rPr>
                <w:rFonts w:cstheme="minorHAnsi"/>
                <w:color w:val="000000"/>
              </w:rPr>
            </w:pPr>
            <w:r w:rsidRPr="00F3526B">
              <w:rPr>
                <w:rFonts w:cstheme="minorHAnsi"/>
                <w:color w:val="000000"/>
              </w:rPr>
              <w:t>480</w:t>
            </w:r>
          </w:p>
        </w:tc>
        <w:tc>
          <w:tcPr>
            <w:tcW w:w="1294" w:type="dxa"/>
            <w:tcBorders>
              <w:top w:val="nil"/>
              <w:left w:val="nil"/>
              <w:bottom w:val="single" w:sz="4" w:space="0" w:color="auto"/>
              <w:right w:val="single" w:sz="4" w:space="0" w:color="auto"/>
            </w:tcBorders>
            <w:shd w:val="clear" w:color="auto" w:fill="auto"/>
            <w:vAlign w:val="center"/>
          </w:tcPr>
          <w:p w:rsidR="00713CA9" w:rsidRPr="00F3526B" w:rsidP="00806177" w14:paraId="190B8B12" w14:textId="77777777">
            <w:pPr>
              <w:jc w:val="right"/>
              <w:rPr>
                <w:rFonts w:cstheme="minorHAnsi"/>
                <w:color w:val="000000"/>
              </w:rPr>
            </w:pPr>
            <w:r w:rsidRPr="00F3526B">
              <w:rPr>
                <w:rFonts w:cstheme="minorHAnsi"/>
                <w:color w:val="000000"/>
              </w:rPr>
              <w:t>530</w:t>
            </w:r>
          </w:p>
        </w:tc>
        <w:tc>
          <w:tcPr>
            <w:tcW w:w="1141" w:type="dxa"/>
            <w:tcBorders>
              <w:top w:val="nil"/>
              <w:left w:val="nil"/>
              <w:bottom w:val="single" w:sz="4" w:space="0" w:color="auto"/>
              <w:right w:val="single" w:sz="4" w:space="0" w:color="auto"/>
            </w:tcBorders>
            <w:shd w:val="clear" w:color="auto" w:fill="auto"/>
            <w:vAlign w:val="center"/>
          </w:tcPr>
          <w:p w:rsidR="00713CA9" w:rsidRPr="00F3526B" w:rsidP="00806177" w14:paraId="6AE301B6" w14:textId="3AFE9A61">
            <w:pPr>
              <w:jc w:val="right"/>
              <w:rPr>
                <w:rFonts w:cstheme="minorHAnsi"/>
                <w:color w:val="000000"/>
              </w:rPr>
            </w:pPr>
            <w:r w:rsidRPr="00F3526B">
              <w:rPr>
                <w:rFonts w:cstheme="minorHAnsi"/>
                <w:color w:val="000000" w:themeColor="text1"/>
              </w:rPr>
              <w:t>$</w:t>
            </w:r>
            <w:r w:rsidRPr="00F3526B" w:rsidR="41A40A06">
              <w:rPr>
                <w:rFonts w:cstheme="minorHAnsi"/>
                <w:color w:val="000000" w:themeColor="text1"/>
              </w:rPr>
              <w:t>48,798</w:t>
            </w:r>
          </w:p>
        </w:tc>
        <w:tc>
          <w:tcPr>
            <w:tcW w:w="1430" w:type="dxa"/>
            <w:tcBorders>
              <w:top w:val="nil"/>
              <w:left w:val="nil"/>
              <w:bottom w:val="single" w:sz="4" w:space="0" w:color="auto"/>
              <w:right w:val="single" w:sz="4" w:space="0" w:color="auto"/>
            </w:tcBorders>
            <w:shd w:val="clear" w:color="auto" w:fill="auto"/>
            <w:vAlign w:val="center"/>
          </w:tcPr>
          <w:p w:rsidR="00713CA9" w:rsidRPr="00F3526B" w:rsidP="00806177" w14:paraId="1101B236" w14:textId="6965AAD4">
            <w:pPr>
              <w:jc w:val="right"/>
              <w:rPr>
                <w:rFonts w:cstheme="minorHAnsi"/>
                <w:color w:val="000000"/>
              </w:rPr>
            </w:pPr>
            <w:r w:rsidRPr="00F3526B">
              <w:rPr>
                <w:rFonts w:cstheme="minorHAnsi"/>
                <w:color w:val="000000" w:themeColor="text1"/>
              </w:rPr>
              <w:t>61</w:t>
            </w: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091E832F" w14:textId="12426622">
            <w:pPr>
              <w:jc w:val="right"/>
              <w:rPr>
                <w:rFonts w:cstheme="minorHAnsi"/>
                <w:color w:val="000000"/>
              </w:rPr>
            </w:pPr>
            <w:r w:rsidRPr="00F3526B">
              <w:rPr>
                <w:rFonts w:cstheme="minorHAnsi"/>
                <w:color w:val="000000" w:themeColor="text1"/>
              </w:rPr>
              <w:t>32,330</w:t>
            </w: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729B5313" w14:textId="547560B1">
            <w:pPr>
              <w:jc w:val="right"/>
              <w:rPr>
                <w:rFonts w:cstheme="minorHAnsi"/>
                <w:color w:val="000000"/>
              </w:rPr>
            </w:pPr>
            <w:r w:rsidRPr="00F3526B">
              <w:rPr>
                <w:rFonts w:cstheme="minorHAnsi"/>
                <w:color w:val="000000" w:themeColor="text1"/>
              </w:rPr>
              <w:t>$</w:t>
            </w:r>
            <w:r w:rsidRPr="00F3526B" w:rsidR="22480C31">
              <w:rPr>
                <w:rFonts w:cstheme="minorHAnsi"/>
                <w:color w:val="000000" w:themeColor="text1"/>
              </w:rPr>
              <w:t>2,976,678</w:t>
            </w:r>
          </w:p>
        </w:tc>
      </w:tr>
      <w:tr w14:paraId="5FCAD616" w14:textId="77777777" w:rsidTr="00806177">
        <w:tblPrEx>
          <w:tblW w:w="10995" w:type="dxa"/>
          <w:jc w:val="center"/>
          <w:tblLayout w:type="fixed"/>
          <w:tblCellMar>
            <w:top w:w="72" w:type="dxa"/>
            <w:left w:w="72" w:type="dxa"/>
            <w:bottom w:w="72" w:type="dxa"/>
            <w:right w:w="72" w:type="dxa"/>
          </w:tblCellMar>
          <w:tblLook w:val="04A0"/>
        </w:tblPrEx>
        <w:trPr>
          <w:trHeight w:val="300"/>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5E132B43" w14:textId="77777777">
            <w:pPr>
              <w:ind w:left="558" w:hanging="270"/>
              <w:rPr>
                <w:rFonts w:cstheme="minorHAnsi"/>
                <w:color w:val="000000"/>
              </w:rPr>
            </w:pPr>
            <w:r w:rsidRPr="00F3526B">
              <w:rPr>
                <w:rFonts w:cstheme="minorHAnsi"/>
                <w:color w:val="000000"/>
              </w:rPr>
              <w:t>(b)  NO</w:t>
            </w:r>
            <w:r w:rsidRPr="00F3526B">
              <w:rPr>
                <w:rFonts w:cstheme="minorHAnsi"/>
                <w:color w:val="000000"/>
                <w:vertAlign w:val="subscript"/>
              </w:rPr>
              <w:t>X</w:t>
            </w:r>
            <w:r w:rsidRPr="00F3526B">
              <w:rPr>
                <w:rFonts w:cstheme="minorHAnsi"/>
                <w:color w:val="000000"/>
              </w:rPr>
              <w:t xml:space="preserve"> CEM and fuel flowmeter</w:t>
            </w:r>
          </w:p>
        </w:tc>
        <w:tc>
          <w:tcPr>
            <w:tcW w:w="991" w:type="dxa"/>
            <w:tcBorders>
              <w:top w:val="nil"/>
              <w:left w:val="nil"/>
              <w:bottom w:val="single" w:sz="4" w:space="0" w:color="auto"/>
              <w:right w:val="single" w:sz="4" w:space="0" w:color="auto"/>
            </w:tcBorders>
            <w:shd w:val="clear" w:color="auto" w:fill="auto"/>
            <w:vAlign w:val="center"/>
          </w:tcPr>
          <w:p w:rsidR="00713CA9" w:rsidRPr="00F3526B" w:rsidP="00806177" w14:paraId="206F9889" w14:textId="77777777">
            <w:pPr>
              <w:jc w:val="right"/>
              <w:rPr>
                <w:rFonts w:cstheme="minorHAnsi"/>
                <w:color w:val="000000"/>
              </w:rPr>
            </w:pPr>
            <w:r w:rsidRPr="00F3526B">
              <w:rPr>
                <w:rFonts w:cstheme="minorHAnsi"/>
                <w:color w:val="000000"/>
              </w:rPr>
              <w:t>20</w:t>
            </w:r>
          </w:p>
        </w:tc>
        <w:tc>
          <w:tcPr>
            <w:tcW w:w="925" w:type="dxa"/>
            <w:tcBorders>
              <w:top w:val="nil"/>
              <w:left w:val="nil"/>
              <w:bottom w:val="single" w:sz="4" w:space="0" w:color="auto"/>
              <w:right w:val="single" w:sz="4" w:space="0" w:color="auto"/>
            </w:tcBorders>
            <w:shd w:val="clear" w:color="auto" w:fill="auto"/>
            <w:vAlign w:val="center"/>
          </w:tcPr>
          <w:p w:rsidR="00713CA9" w:rsidRPr="00F3526B" w:rsidP="00806177" w14:paraId="743B8886" w14:textId="77777777">
            <w:pPr>
              <w:jc w:val="right"/>
              <w:rPr>
                <w:rFonts w:cstheme="minorHAnsi"/>
                <w:color w:val="000000"/>
              </w:rPr>
            </w:pPr>
            <w:r w:rsidRPr="00F3526B">
              <w:rPr>
                <w:rFonts w:cstheme="minorHAnsi"/>
                <w:color w:val="000000"/>
              </w:rPr>
              <w:t>375</w:t>
            </w:r>
          </w:p>
        </w:tc>
        <w:tc>
          <w:tcPr>
            <w:tcW w:w="1294" w:type="dxa"/>
            <w:tcBorders>
              <w:top w:val="nil"/>
              <w:left w:val="nil"/>
              <w:bottom w:val="single" w:sz="4" w:space="0" w:color="auto"/>
              <w:right w:val="single" w:sz="4" w:space="0" w:color="auto"/>
            </w:tcBorders>
            <w:shd w:val="clear" w:color="auto" w:fill="auto"/>
            <w:vAlign w:val="center"/>
          </w:tcPr>
          <w:p w:rsidR="00713CA9" w:rsidRPr="00F3526B" w:rsidP="00806177" w14:paraId="2AF164D5" w14:textId="77777777">
            <w:pPr>
              <w:jc w:val="right"/>
              <w:rPr>
                <w:rFonts w:cstheme="minorHAnsi"/>
                <w:color w:val="000000"/>
              </w:rPr>
            </w:pPr>
            <w:r w:rsidRPr="00F3526B">
              <w:rPr>
                <w:rFonts w:cstheme="minorHAnsi"/>
                <w:color w:val="000000"/>
              </w:rPr>
              <w:t>395</w:t>
            </w:r>
          </w:p>
        </w:tc>
        <w:tc>
          <w:tcPr>
            <w:tcW w:w="1141" w:type="dxa"/>
            <w:tcBorders>
              <w:top w:val="nil"/>
              <w:left w:val="nil"/>
              <w:bottom w:val="single" w:sz="4" w:space="0" w:color="auto"/>
              <w:right w:val="single" w:sz="4" w:space="0" w:color="auto"/>
            </w:tcBorders>
            <w:shd w:val="clear" w:color="auto" w:fill="auto"/>
            <w:vAlign w:val="center"/>
          </w:tcPr>
          <w:p w:rsidR="00713CA9" w:rsidRPr="00F3526B" w:rsidP="00806177" w14:paraId="09B60571" w14:textId="360B4C47">
            <w:pPr>
              <w:jc w:val="right"/>
              <w:rPr>
                <w:rFonts w:cstheme="minorHAnsi"/>
                <w:color w:val="000000"/>
              </w:rPr>
            </w:pPr>
            <w:r w:rsidRPr="00F3526B">
              <w:rPr>
                <w:rFonts w:cstheme="minorHAnsi"/>
                <w:color w:val="000000" w:themeColor="text1"/>
              </w:rPr>
              <w:t>$</w:t>
            </w:r>
            <w:r w:rsidRPr="00F3526B" w:rsidR="766B1E7B">
              <w:rPr>
                <w:rFonts w:cstheme="minorHAnsi"/>
                <w:color w:val="000000" w:themeColor="text1"/>
              </w:rPr>
              <w:t>35,770</w:t>
            </w:r>
          </w:p>
        </w:tc>
        <w:tc>
          <w:tcPr>
            <w:tcW w:w="1430" w:type="dxa"/>
            <w:tcBorders>
              <w:top w:val="nil"/>
              <w:left w:val="nil"/>
              <w:bottom w:val="single" w:sz="4" w:space="0" w:color="auto"/>
              <w:right w:val="single" w:sz="4" w:space="0" w:color="auto"/>
            </w:tcBorders>
            <w:shd w:val="clear" w:color="auto" w:fill="auto"/>
            <w:vAlign w:val="center"/>
          </w:tcPr>
          <w:p w:rsidR="00713CA9" w:rsidRPr="00F3526B" w:rsidP="00806177" w14:paraId="4CE4C42A" w14:textId="629D8D5B">
            <w:pPr>
              <w:jc w:val="right"/>
              <w:rPr>
                <w:rFonts w:cstheme="minorHAnsi"/>
                <w:color w:val="000000"/>
              </w:rPr>
            </w:pPr>
            <w:r w:rsidRPr="00F3526B">
              <w:rPr>
                <w:rFonts w:cstheme="minorHAnsi"/>
                <w:color w:val="000000" w:themeColor="text1"/>
              </w:rPr>
              <w:t>1</w:t>
            </w:r>
            <w:r w:rsidRPr="00F3526B" w:rsidR="0A54C792">
              <w:rPr>
                <w:rFonts w:cstheme="minorHAnsi"/>
                <w:color w:val="000000" w:themeColor="text1"/>
              </w:rPr>
              <w:t>60</w:t>
            </w: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7F465400" w14:textId="4331BFED">
            <w:pPr>
              <w:jc w:val="right"/>
              <w:rPr>
                <w:rFonts w:cstheme="minorHAnsi"/>
                <w:color w:val="000000"/>
              </w:rPr>
            </w:pPr>
            <w:r w:rsidRPr="00F3526B">
              <w:rPr>
                <w:rFonts w:cstheme="minorHAnsi"/>
                <w:color w:val="000000" w:themeColor="text1"/>
              </w:rPr>
              <w:t>63,200</w:t>
            </w: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48116E8C" w14:textId="6A30EFE0">
            <w:pPr>
              <w:jc w:val="right"/>
              <w:rPr>
                <w:rFonts w:cstheme="minorHAnsi"/>
                <w:color w:val="000000"/>
              </w:rPr>
            </w:pPr>
            <w:r w:rsidRPr="00F3526B">
              <w:rPr>
                <w:rFonts w:cstheme="minorHAnsi"/>
                <w:color w:val="000000" w:themeColor="text1"/>
              </w:rPr>
              <w:t>$</w:t>
            </w:r>
            <w:r w:rsidRPr="00F3526B" w:rsidR="3C2D9484">
              <w:rPr>
                <w:rFonts w:cstheme="minorHAnsi"/>
                <w:color w:val="000000" w:themeColor="text1"/>
              </w:rPr>
              <w:t>5,723,200</w:t>
            </w:r>
          </w:p>
        </w:tc>
      </w:tr>
      <w:tr w14:paraId="1E2E8073" w14:textId="77777777" w:rsidTr="00806177">
        <w:tblPrEx>
          <w:tblW w:w="10995" w:type="dxa"/>
          <w:jc w:val="center"/>
          <w:tblLayout w:type="fixed"/>
          <w:tblCellMar>
            <w:top w:w="72" w:type="dxa"/>
            <w:left w:w="72" w:type="dxa"/>
            <w:bottom w:w="72" w:type="dxa"/>
            <w:right w:w="72" w:type="dxa"/>
          </w:tblCellMar>
          <w:tblLook w:val="04A0"/>
        </w:tblPrEx>
        <w:trPr>
          <w:trHeight w:val="300"/>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0383F30C" w14:textId="77777777">
            <w:pPr>
              <w:ind w:left="558" w:hanging="270"/>
              <w:rPr>
                <w:rFonts w:cstheme="minorHAnsi"/>
                <w:color w:val="000000"/>
              </w:rPr>
            </w:pPr>
            <w:r w:rsidRPr="00F3526B">
              <w:rPr>
                <w:rFonts w:cstheme="minorHAnsi"/>
                <w:color w:val="000000"/>
              </w:rPr>
              <w:t>(c)  App. E and fuel flowmeter</w:t>
            </w:r>
          </w:p>
        </w:tc>
        <w:tc>
          <w:tcPr>
            <w:tcW w:w="991" w:type="dxa"/>
            <w:tcBorders>
              <w:top w:val="nil"/>
              <w:left w:val="nil"/>
              <w:bottom w:val="single" w:sz="4" w:space="0" w:color="auto"/>
              <w:right w:val="single" w:sz="4" w:space="0" w:color="auto"/>
            </w:tcBorders>
            <w:shd w:val="clear" w:color="auto" w:fill="auto"/>
            <w:vAlign w:val="center"/>
          </w:tcPr>
          <w:p w:rsidR="00713CA9" w:rsidRPr="00F3526B" w:rsidP="00806177" w14:paraId="780FB9CB" w14:textId="77777777">
            <w:pPr>
              <w:jc w:val="right"/>
              <w:rPr>
                <w:rFonts w:cstheme="minorHAnsi"/>
                <w:color w:val="000000"/>
              </w:rPr>
            </w:pPr>
            <w:r w:rsidRPr="00F3526B">
              <w:rPr>
                <w:rFonts w:cstheme="minorHAnsi"/>
                <w:color w:val="000000"/>
              </w:rPr>
              <w:t>5</w:t>
            </w:r>
          </w:p>
        </w:tc>
        <w:tc>
          <w:tcPr>
            <w:tcW w:w="925" w:type="dxa"/>
            <w:tcBorders>
              <w:top w:val="nil"/>
              <w:left w:val="nil"/>
              <w:bottom w:val="single" w:sz="4" w:space="0" w:color="auto"/>
              <w:right w:val="single" w:sz="4" w:space="0" w:color="auto"/>
            </w:tcBorders>
            <w:shd w:val="clear" w:color="auto" w:fill="auto"/>
            <w:vAlign w:val="center"/>
          </w:tcPr>
          <w:p w:rsidR="00713CA9" w:rsidRPr="00F3526B" w:rsidP="00806177" w14:paraId="0E57A7EC" w14:textId="77777777">
            <w:pPr>
              <w:jc w:val="right"/>
              <w:rPr>
                <w:rFonts w:cstheme="minorHAnsi"/>
                <w:color w:val="000000"/>
              </w:rPr>
            </w:pPr>
            <w:r w:rsidRPr="00F3526B">
              <w:rPr>
                <w:rFonts w:cstheme="minorHAnsi"/>
                <w:color w:val="000000"/>
              </w:rPr>
              <w:t>30</w:t>
            </w:r>
          </w:p>
        </w:tc>
        <w:tc>
          <w:tcPr>
            <w:tcW w:w="1294" w:type="dxa"/>
            <w:tcBorders>
              <w:top w:val="nil"/>
              <w:left w:val="nil"/>
              <w:bottom w:val="single" w:sz="4" w:space="0" w:color="auto"/>
              <w:right w:val="single" w:sz="4" w:space="0" w:color="auto"/>
            </w:tcBorders>
            <w:shd w:val="clear" w:color="auto" w:fill="auto"/>
            <w:vAlign w:val="center"/>
          </w:tcPr>
          <w:p w:rsidR="00713CA9" w:rsidRPr="00F3526B" w:rsidP="00806177" w14:paraId="53D1AFEC" w14:textId="77777777">
            <w:pPr>
              <w:jc w:val="right"/>
              <w:rPr>
                <w:rFonts w:cstheme="minorHAnsi"/>
                <w:color w:val="000000"/>
              </w:rPr>
            </w:pPr>
            <w:r w:rsidRPr="00F3526B">
              <w:rPr>
                <w:rFonts w:cstheme="minorHAnsi"/>
                <w:color w:val="000000"/>
              </w:rPr>
              <w:t>35</w:t>
            </w:r>
          </w:p>
        </w:tc>
        <w:tc>
          <w:tcPr>
            <w:tcW w:w="1141" w:type="dxa"/>
            <w:tcBorders>
              <w:top w:val="nil"/>
              <w:left w:val="nil"/>
              <w:bottom w:val="single" w:sz="4" w:space="0" w:color="auto"/>
              <w:right w:val="single" w:sz="4" w:space="0" w:color="auto"/>
            </w:tcBorders>
            <w:shd w:val="clear" w:color="auto" w:fill="auto"/>
            <w:vAlign w:val="center"/>
          </w:tcPr>
          <w:p w:rsidR="00713CA9" w:rsidRPr="00F3526B" w:rsidP="00806177" w14:paraId="2E56CA80" w14:textId="6A7A21CC">
            <w:pPr>
              <w:jc w:val="right"/>
              <w:rPr>
                <w:rFonts w:cstheme="minorHAnsi"/>
                <w:color w:val="000000"/>
              </w:rPr>
            </w:pPr>
            <w:r w:rsidRPr="00F3526B">
              <w:rPr>
                <w:rFonts w:cstheme="minorHAnsi"/>
                <w:color w:val="000000" w:themeColor="text1"/>
              </w:rPr>
              <w:t>$</w:t>
            </w:r>
            <w:r w:rsidRPr="00F3526B" w:rsidR="5035E82E">
              <w:rPr>
                <w:rFonts w:cstheme="minorHAnsi"/>
                <w:color w:val="000000" w:themeColor="text1"/>
              </w:rPr>
              <w:t>3,281</w:t>
            </w:r>
          </w:p>
        </w:tc>
        <w:tc>
          <w:tcPr>
            <w:tcW w:w="1430" w:type="dxa"/>
            <w:tcBorders>
              <w:top w:val="nil"/>
              <w:left w:val="nil"/>
              <w:bottom w:val="single" w:sz="4" w:space="0" w:color="auto"/>
              <w:right w:val="single" w:sz="4" w:space="0" w:color="auto"/>
            </w:tcBorders>
            <w:shd w:val="clear" w:color="auto" w:fill="auto"/>
            <w:vAlign w:val="center"/>
          </w:tcPr>
          <w:p w:rsidR="00713CA9" w:rsidRPr="00F3526B" w:rsidP="00806177" w14:paraId="63FEB844" w14:textId="6FF3F411">
            <w:pPr>
              <w:jc w:val="right"/>
              <w:rPr>
                <w:rFonts w:cstheme="minorHAnsi"/>
                <w:color w:val="000000"/>
              </w:rPr>
            </w:pPr>
            <w:r w:rsidRPr="00F3526B">
              <w:rPr>
                <w:rFonts w:cstheme="minorHAnsi"/>
                <w:color w:val="000000" w:themeColor="text1"/>
              </w:rPr>
              <w:t>10</w:t>
            </w: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3DEFFE57" w14:textId="1A4F2E41">
            <w:pPr>
              <w:jc w:val="right"/>
              <w:rPr>
                <w:rFonts w:cstheme="minorHAnsi"/>
                <w:color w:val="000000"/>
              </w:rPr>
            </w:pPr>
            <w:r w:rsidRPr="00F3526B">
              <w:rPr>
                <w:rFonts w:cstheme="minorHAnsi"/>
                <w:color w:val="000000" w:themeColor="text1"/>
              </w:rPr>
              <w:t>350</w:t>
            </w: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3AFD3030" w14:textId="70679C58">
            <w:pPr>
              <w:jc w:val="right"/>
              <w:rPr>
                <w:rFonts w:cstheme="minorHAnsi"/>
                <w:color w:val="000000"/>
              </w:rPr>
            </w:pPr>
            <w:r w:rsidRPr="00F3526B">
              <w:rPr>
                <w:rFonts w:cstheme="minorHAnsi"/>
                <w:color w:val="000000" w:themeColor="text1"/>
              </w:rPr>
              <w:t>$</w:t>
            </w:r>
            <w:r w:rsidRPr="00F3526B" w:rsidR="63CF3CEE">
              <w:rPr>
                <w:rFonts w:cstheme="minorHAnsi"/>
                <w:color w:val="000000" w:themeColor="text1"/>
              </w:rPr>
              <w:t>32,810</w:t>
            </w:r>
          </w:p>
        </w:tc>
      </w:tr>
      <w:tr w14:paraId="6B970CB9" w14:textId="77777777" w:rsidTr="00806177">
        <w:tblPrEx>
          <w:tblW w:w="10995" w:type="dxa"/>
          <w:jc w:val="center"/>
          <w:tblLayout w:type="fixed"/>
          <w:tblCellMar>
            <w:top w:w="72" w:type="dxa"/>
            <w:left w:w="72" w:type="dxa"/>
            <w:bottom w:w="72" w:type="dxa"/>
            <w:right w:w="72" w:type="dxa"/>
          </w:tblCellMar>
          <w:tblLook w:val="04A0"/>
        </w:tblPrEx>
        <w:trPr>
          <w:trHeight w:val="300"/>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79027B8A" w14:textId="77777777">
            <w:pPr>
              <w:ind w:left="558" w:hanging="270"/>
              <w:rPr>
                <w:rFonts w:cstheme="minorHAnsi"/>
                <w:color w:val="000000"/>
              </w:rPr>
            </w:pPr>
            <w:r w:rsidRPr="00F3526B">
              <w:rPr>
                <w:rFonts w:cstheme="minorHAnsi"/>
                <w:color w:val="000000"/>
              </w:rPr>
              <w:t>(d)  LME</w:t>
            </w:r>
          </w:p>
        </w:tc>
        <w:tc>
          <w:tcPr>
            <w:tcW w:w="991" w:type="dxa"/>
            <w:tcBorders>
              <w:top w:val="nil"/>
              <w:left w:val="nil"/>
              <w:bottom w:val="single" w:sz="4" w:space="0" w:color="auto"/>
              <w:right w:val="single" w:sz="4" w:space="0" w:color="auto"/>
            </w:tcBorders>
            <w:shd w:val="clear" w:color="auto" w:fill="auto"/>
            <w:vAlign w:val="center"/>
          </w:tcPr>
          <w:p w:rsidR="00713CA9" w:rsidRPr="00F3526B" w:rsidP="00806177" w14:paraId="6F4A4D13" w14:textId="77777777">
            <w:pPr>
              <w:jc w:val="right"/>
              <w:rPr>
                <w:rFonts w:cstheme="minorHAnsi"/>
                <w:color w:val="000000"/>
              </w:rPr>
            </w:pPr>
            <w:r w:rsidRPr="00F3526B">
              <w:rPr>
                <w:rFonts w:cstheme="minorHAnsi"/>
                <w:color w:val="000000"/>
              </w:rPr>
              <w:t>4</w:t>
            </w:r>
          </w:p>
        </w:tc>
        <w:tc>
          <w:tcPr>
            <w:tcW w:w="925" w:type="dxa"/>
            <w:tcBorders>
              <w:top w:val="nil"/>
              <w:left w:val="nil"/>
              <w:bottom w:val="single" w:sz="4" w:space="0" w:color="auto"/>
              <w:right w:val="single" w:sz="4" w:space="0" w:color="auto"/>
            </w:tcBorders>
            <w:shd w:val="clear" w:color="auto" w:fill="auto"/>
            <w:vAlign w:val="center"/>
          </w:tcPr>
          <w:p w:rsidR="00713CA9" w:rsidRPr="00F3526B" w:rsidP="00806177" w14:paraId="107BBA21" w14:textId="77777777">
            <w:pPr>
              <w:jc w:val="right"/>
              <w:rPr>
                <w:rFonts w:cstheme="minorHAnsi"/>
                <w:color w:val="000000"/>
              </w:rPr>
            </w:pPr>
            <w:r w:rsidRPr="00F3526B">
              <w:rPr>
                <w:rFonts w:cstheme="minorHAnsi"/>
                <w:color w:val="000000"/>
              </w:rPr>
              <w:t>12</w:t>
            </w:r>
          </w:p>
        </w:tc>
        <w:tc>
          <w:tcPr>
            <w:tcW w:w="1294" w:type="dxa"/>
            <w:tcBorders>
              <w:top w:val="nil"/>
              <w:left w:val="nil"/>
              <w:bottom w:val="single" w:sz="4" w:space="0" w:color="auto"/>
              <w:right w:val="single" w:sz="4" w:space="0" w:color="auto"/>
            </w:tcBorders>
            <w:shd w:val="clear" w:color="auto" w:fill="auto"/>
            <w:vAlign w:val="center"/>
          </w:tcPr>
          <w:p w:rsidR="00713CA9" w:rsidRPr="00F3526B" w:rsidP="00806177" w14:paraId="75A050F0" w14:textId="77777777">
            <w:pPr>
              <w:jc w:val="right"/>
              <w:rPr>
                <w:rFonts w:cstheme="minorHAnsi"/>
                <w:color w:val="000000"/>
              </w:rPr>
            </w:pPr>
            <w:r w:rsidRPr="00F3526B">
              <w:rPr>
                <w:rFonts w:cstheme="minorHAnsi"/>
                <w:color w:val="000000"/>
              </w:rPr>
              <w:t>16</w:t>
            </w:r>
          </w:p>
        </w:tc>
        <w:tc>
          <w:tcPr>
            <w:tcW w:w="1141" w:type="dxa"/>
            <w:tcBorders>
              <w:top w:val="nil"/>
              <w:left w:val="nil"/>
              <w:bottom w:val="single" w:sz="4" w:space="0" w:color="auto"/>
              <w:right w:val="single" w:sz="4" w:space="0" w:color="auto"/>
            </w:tcBorders>
            <w:shd w:val="clear" w:color="auto" w:fill="auto"/>
            <w:vAlign w:val="center"/>
          </w:tcPr>
          <w:p w:rsidR="00713CA9" w:rsidRPr="00F3526B" w:rsidP="00806177" w14:paraId="224DF5EF" w14:textId="67BCEF90">
            <w:pPr>
              <w:jc w:val="right"/>
              <w:rPr>
                <w:rFonts w:cstheme="minorHAnsi"/>
                <w:color w:val="000000"/>
              </w:rPr>
            </w:pPr>
            <w:r w:rsidRPr="00F3526B">
              <w:rPr>
                <w:rFonts w:cstheme="minorHAnsi"/>
                <w:color w:val="000000" w:themeColor="text1"/>
              </w:rPr>
              <w:t>$</w:t>
            </w:r>
            <w:r w:rsidRPr="00F3526B" w:rsidR="721BD29B">
              <w:rPr>
                <w:rFonts w:cstheme="minorHAnsi"/>
                <w:color w:val="000000" w:themeColor="text1"/>
              </w:rPr>
              <w:t>1,560</w:t>
            </w:r>
          </w:p>
        </w:tc>
        <w:tc>
          <w:tcPr>
            <w:tcW w:w="1430" w:type="dxa"/>
            <w:tcBorders>
              <w:top w:val="nil"/>
              <w:left w:val="nil"/>
              <w:bottom w:val="single" w:sz="4" w:space="0" w:color="auto"/>
              <w:right w:val="single" w:sz="4" w:space="0" w:color="auto"/>
            </w:tcBorders>
            <w:shd w:val="clear" w:color="auto" w:fill="auto"/>
            <w:vAlign w:val="center"/>
          </w:tcPr>
          <w:p w:rsidR="00713CA9" w:rsidRPr="00F3526B" w:rsidP="00806177" w14:paraId="1AFD5518" w14:textId="088243F0">
            <w:pPr>
              <w:jc w:val="right"/>
              <w:rPr>
                <w:rFonts w:cstheme="minorHAnsi"/>
                <w:color w:val="000000"/>
              </w:rPr>
            </w:pPr>
            <w:r w:rsidRPr="00F3526B">
              <w:rPr>
                <w:rFonts w:cstheme="minorHAnsi"/>
                <w:color w:val="000000" w:themeColor="text1"/>
              </w:rPr>
              <w:t>145</w:t>
            </w: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03B62ED9" w14:textId="79C64D51">
            <w:pPr>
              <w:jc w:val="right"/>
              <w:rPr>
                <w:rFonts w:cstheme="minorHAnsi"/>
                <w:color w:val="000000"/>
              </w:rPr>
            </w:pPr>
            <w:r w:rsidRPr="00F3526B">
              <w:rPr>
                <w:rFonts w:cstheme="minorHAnsi"/>
                <w:color w:val="000000" w:themeColor="text1"/>
              </w:rPr>
              <w:t>2,3</w:t>
            </w:r>
            <w:r w:rsidRPr="00F3526B" w:rsidR="3264C217">
              <w:rPr>
                <w:rFonts w:cstheme="minorHAnsi"/>
                <w:color w:val="000000" w:themeColor="text1"/>
              </w:rPr>
              <w:t>20</w:t>
            </w: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7F2FE5FD" w14:textId="77578C17">
            <w:pPr>
              <w:jc w:val="right"/>
              <w:rPr>
                <w:rFonts w:cstheme="minorHAnsi"/>
                <w:color w:val="000000"/>
              </w:rPr>
            </w:pPr>
            <w:r w:rsidRPr="00F3526B">
              <w:rPr>
                <w:rFonts w:cstheme="minorHAnsi"/>
                <w:color w:val="000000" w:themeColor="text1"/>
              </w:rPr>
              <w:t>$</w:t>
            </w:r>
            <w:r w:rsidRPr="00F3526B" w:rsidR="1DAB3353">
              <w:rPr>
                <w:rFonts w:cstheme="minorHAnsi"/>
                <w:color w:val="000000" w:themeColor="text1"/>
              </w:rPr>
              <w:t>226,200</w:t>
            </w:r>
          </w:p>
        </w:tc>
      </w:tr>
      <w:tr w14:paraId="3142F701" w14:textId="77777777" w:rsidTr="00806177">
        <w:tblPrEx>
          <w:tblW w:w="10995" w:type="dxa"/>
          <w:jc w:val="center"/>
          <w:tblLayout w:type="fixed"/>
          <w:tblCellMar>
            <w:top w:w="72" w:type="dxa"/>
            <w:left w:w="72" w:type="dxa"/>
            <w:bottom w:w="72" w:type="dxa"/>
            <w:right w:w="72" w:type="dxa"/>
          </w:tblCellMar>
          <w:tblLook w:val="04A0"/>
        </w:tblPrEx>
        <w:trPr>
          <w:trHeight w:val="432"/>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1CD0121D" w14:textId="52785D27">
            <w:pPr>
              <w:tabs>
                <w:tab w:val="left" w:pos="2160"/>
                <w:tab w:val="left" w:pos="2880"/>
                <w:tab w:val="left" w:pos="3600"/>
                <w:tab w:val="left" w:pos="4320"/>
                <w:tab w:val="left" w:pos="5040"/>
                <w:tab w:val="left" w:pos="5760"/>
                <w:tab w:val="left" w:pos="6480"/>
                <w:tab w:val="left" w:pos="7200"/>
                <w:tab w:val="left" w:pos="7920"/>
                <w:tab w:val="left" w:pos="8640"/>
              </w:tabs>
              <w:ind w:left="288" w:hanging="288"/>
              <w:rPr>
                <w:rFonts w:cstheme="minorHAnsi"/>
                <w:color w:val="000000"/>
              </w:rPr>
            </w:pPr>
            <w:r w:rsidRPr="00F3526B">
              <w:rPr>
                <w:rFonts w:cstheme="minorHAnsi"/>
                <w:color w:val="000000"/>
              </w:rPr>
              <w:t>(e) Non-part 75</w:t>
            </w:r>
          </w:p>
        </w:tc>
        <w:tc>
          <w:tcPr>
            <w:tcW w:w="991"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7553B494" w14:textId="77777777">
            <w:pPr>
              <w:jc w:val="right"/>
              <w:rPr>
                <w:rFonts w:cstheme="minorHAnsi"/>
                <w:color w:val="000000"/>
              </w:rPr>
            </w:pPr>
            <w:r w:rsidRPr="00F3526B">
              <w:rPr>
                <w:rFonts w:cstheme="minorHAnsi"/>
                <w:color w:val="000000"/>
              </w:rPr>
              <w:t>4</w:t>
            </w:r>
          </w:p>
        </w:tc>
        <w:tc>
          <w:tcPr>
            <w:tcW w:w="925"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27438E00" w14:textId="77777777">
            <w:pPr>
              <w:jc w:val="right"/>
              <w:rPr>
                <w:rFonts w:cstheme="minorHAnsi"/>
                <w:color w:val="000000"/>
              </w:rPr>
            </w:pPr>
            <w:r w:rsidRPr="00F3526B">
              <w:rPr>
                <w:rFonts w:cstheme="minorHAnsi"/>
                <w:color w:val="000000"/>
              </w:rPr>
              <w:t>12</w:t>
            </w:r>
          </w:p>
        </w:tc>
        <w:tc>
          <w:tcPr>
            <w:tcW w:w="1294"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65AB4FC5" w14:textId="77777777">
            <w:pPr>
              <w:jc w:val="right"/>
              <w:rPr>
                <w:rFonts w:cstheme="minorHAnsi"/>
                <w:color w:val="000000"/>
              </w:rPr>
            </w:pPr>
            <w:r w:rsidRPr="00F3526B">
              <w:rPr>
                <w:rFonts w:cstheme="minorHAnsi"/>
                <w:color w:val="000000"/>
              </w:rPr>
              <w:t>16</w:t>
            </w:r>
          </w:p>
        </w:tc>
        <w:tc>
          <w:tcPr>
            <w:tcW w:w="1141"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78201420" w14:textId="10E042A8">
            <w:pPr>
              <w:jc w:val="right"/>
              <w:rPr>
                <w:rFonts w:cstheme="minorHAnsi"/>
                <w:color w:val="000000"/>
              </w:rPr>
            </w:pPr>
            <w:r w:rsidRPr="00F3526B">
              <w:rPr>
                <w:rFonts w:cstheme="minorHAnsi"/>
                <w:color w:val="000000" w:themeColor="text1"/>
              </w:rPr>
              <w:t>$</w:t>
            </w:r>
            <w:r w:rsidRPr="00F3526B" w:rsidR="0EFA2279">
              <w:rPr>
                <w:rFonts w:cstheme="minorHAnsi"/>
                <w:color w:val="000000" w:themeColor="text1"/>
              </w:rPr>
              <w:t>1,560</w:t>
            </w:r>
          </w:p>
        </w:tc>
        <w:tc>
          <w:tcPr>
            <w:tcW w:w="1430"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14C4EC2C" w14:textId="522056CA">
            <w:pPr>
              <w:jc w:val="right"/>
              <w:rPr>
                <w:rFonts w:cstheme="minorHAnsi"/>
                <w:color w:val="000000"/>
              </w:rPr>
            </w:pPr>
            <w:r w:rsidRPr="00F3526B">
              <w:rPr>
                <w:rFonts w:cstheme="minorHAnsi"/>
                <w:color w:val="000000" w:themeColor="text1"/>
              </w:rPr>
              <w:t>5</w:t>
            </w: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61A507FA" w14:textId="40747EA7">
            <w:pPr>
              <w:jc w:val="right"/>
              <w:rPr>
                <w:rFonts w:cstheme="minorHAnsi"/>
                <w:color w:val="000000"/>
              </w:rPr>
            </w:pPr>
            <w:r w:rsidRPr="00F3526B">
              <w:rPr>
                <w:rFonts w:cstheme="minorHAnsi"/>
                <w:color w:val="000000" w:themeColor="text1"/>
              </w:rPr>
              <w:t>80</w:t>
            </w: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132FF126" w14:textId="2799C6D8">
            <w:pPr>
              <w:jc w:val="right"/>
              <w:rPr>
                <w:rFonts w:cstheme="minorHAnsi"/>
                <w:color w:val="000000"/>
              </w:rPr>
            </w:pPr>
            <w:r w:rsidRPr="00F3526B">
              <w:rPr>
                <w:rFonts w:cstheme="minorHAnsi"/>
                <w:color w:val="000000" w:themeColor="text1"/>
              </w:rPr>
              <w:t>$</w:t>
            </w:r>
            <w:r w:rsidRPr="00F3526B" w:rsidR="362F0E82">
              <w:rPr>
                <w:rFonts w:cstheme="minorHAnsi"/>
                <w:color w:val="000000" w:themeColor="text1"/>
              </w:rPr>
              <w:t>7,800</w:t>
            </w:r>
          </w:p>
        </w:tc>
      </w:tr>
      <w:tr w14:paraId="5DBEF30E" w14:textId="77777777" w:rsidTr="00806177">
        <w:tblPrEx>
          <w:tblW w:w="10995" w:type="dxa"/>
          <w:jc w:val="center"/>
          <w:tblLayout w:type="fixed"/>
          <w:tblCellMar>
            <w:top w:w="72" w:type="dxa"/>
            <w:left w:w="72" w:type="dxa"/>
            <w:bottom w:w="72" w:type="dxa"/>
            <w:right w:w="72" w:type="dxa"/>
          </w:tblCellMar>
          <w:tblLook w:val="04A0"/>
        </w:tblPrEx>
        <w:trPr>
          <w:trHeight w:val="765"/>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13CA9" w:rsidRPr="00F3526B" w:rsidP="009B5A95" w14:paraId="710A9DAE" w14:textId="77777777">
            <w:pPr>
              <w:tabs>
                <w:tab w:val="left" w:pos="2160"/>
                <w:tab w:val="left" w:pos="2880"/>
                <w:tab w:val="left" w:pos="3600"/>
                <w:tab w:val="left" w:pos="4320"/>
                <w:tab w:val="left" w:pos="5040"/>
                <w:tab w:val="left" w:pos="5760"/>
                <w:tab w:val="left" w:pos="6480"/>
                <w:tab w:val="left" w:pos="7200"/>
                <w:tab w:val="left" w:pos="7920"/>
                <w:tab w:val="left" w:pos="8640"/>
              </w:tabs>
              <w:ind w:left="288" w:hanging="288"/>
              <w:rPr>
                <w:rFonts w:cstheme="minorHAnsi"/>
                <w:color w:val="000000"/>
                <w:vertAlign w:val="superscript"/>
              </w:rPr>
            </w:pPr>
            <w:r w:rsidRPr="00F3526B">
              <w:rPr>
                <w:rFonts w:cstheme="minorHAnsi"/>
                <w:color w:val="000000"/>
              </w:rPr>
              <w:t xml:space="preserve">7.  Assure data quality, prepare reports (incl. monitoring plan update), submit </w:t>
            </w:r>
            <w:r w:rsidRPr="00F3526B">
              <w:rPr>
                <w:rFonts w:cstheme="minorHAnsi"/>
                <w:color w:val="000000"/>
              </w:rPr>
              <w:t>reports</w:t>
            </w:r>
            <w:r w:rsidRPr="00F3526B">
              <w:rPr>
                <w:rFonts w:cstheme="minorHAnsi"/>
                <w:color w:val="000000"/>
                <w:vertAlign w:val="superscript"/>
              </w:rPr>
              <w:t>a</w:t>
            </w:r>
          </w:p>
        </w:tc>
        <w:tc>
          <w:tcPr>
            <w:tcW w:w="991" w:type="dxa"/>
            <w:tcBorders>
              <w:top w:val="single" w:sz="4" w:space="0" w:color="auto"/>
              <w:left w:val="nil"/>
              <w:bottom w:val="nil"/>
              <w:right w:val="single" w:sz="4" w:space="0" w:color="auto"/>
            </w:tcBorders>
            <w:shd w:val="clear" w:color="auto" w:fill="auto"/>
            <w:vAlign w:val="center"/>
          </w:tcPr>
          <w:p w:rsidR="00713CA9" w:rsidRPr="00F3526B" w:rsidP="00806177" w14:paraId="3F4FFE84" w14:textId="77777777">
            <w:pPr>
              <w:jc w:val="right"/>
              <w:rPr>
                <w:rFonts w:cstheme="minorHAnsi"/>
                <w:color w:val="000000"/>
              </w:rPr>
            </w:pPr>
            <w:r w:rsidRPr="00F3526B">
              <w:rPr>
                <w:rFonts w:cstheme="minorHAnsi"/>
                <w:color w:val="000000"/>
              </w:rPr>
              <w:t>20</w:t>
            </w:r>
          </w:p>
        </w:tc>
        <w:tc>
          <w:tcPr>
            <w:tcW w:w="925" w:type="dxa"/>
            <w:tcBorders>
              <w:top w:val="single" w:sz="4" w:space="0" w:color="auto"/>
              <w:left w:val="nil"/>
              <w:bottom w:val="nil"/>
              <w:right w:val="single" w:sz="4" w:space="0" w:color="auto"/>
            </w:tcBorders>
            <w:shd w:val="clear" w:color="auto" w:fill="auto"/>
            <w:vAlign w:val="center"/>
          </w:tcPr>
          <w:p w:rsidR="00713CA9" w:rsidRPr="00F3526B" w:rsidP="00806177" w14:paraId="7AE3F3C7" w14:textId="77777777">
            <w:pPr>
              <w:jc w:val="right"/>
              <w:rPr>
                <w:rFonts w:cstheme="minorHAnsi"/>
                <w:color w:val="000000"/>
              </w:rPr>
            </w:pPr>
            <w:r w:rsidRPr="00F3526B">
              <w:rPr>
                <w:rFonts w:cstheme="minorHAnsi"/>
                <w:color w:val="000000"/>
              </w:rPr>
              <w:t>82</w:t>
            </w:r>
          </w:p>
        </w:tc>
        <w:tc>
          <w:tcPr>
            <w:tcW w:w="1294"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160C13BB" w14:textId="77777777">
            <w:pPr>
              <w:jc w:val="right"/>
              <w:rPr>
                <w:rFonts w:cstheme="minorHAnsi"/>
                <w:color w:val="000000"/>
              </w:rPr>
            </w:pPr>
            <w:r w:rsidRPr="00F3526B">
              <w:rPr>
                <w:rFonts w:cstheme="minorHAnsi"/>
                <w:color w:val="000000"/>
              </w:rPr>
              <w:t>102</w:t>
            </w:r>
          </w:p>
        </w:tc>
        <w:tc>
          <w:tcPr>
            <w:tcW w:w="1141" w:type="dxa"/>
            <w:tcBorders>
              <w:top w:val="single" w:sz="4" w:space="0" w:color="auto"/>
              <w:left w:val="nil"/>
              <w:bottom w:val="single" w:sz="4" w:space="0" w:color="auto"/>
              <w:right w:val="single" w:sz="4" w:space="0" w:color="auto"/>
            </w:tcBorders>
            <w:shd w:val="clear" w:color="auto" w:fill="auto"/>
            <w:vAlign w:val="center"/>
          </w:tcPr>
          <w:p w:rsidR="00713CA9" w:rsidRPr="00F3526B" w:rsidP="00806177" w14:paraId="685D98EA" w14:textId="6E9A71DD">
            <w:pPr>
              <w:jc w:val="right"/>
              <w:rPr>
                <w:rFonts w:cstheme="minorHAnsi"/>
                <w:color w:val="000000"/>
              </w:rPr>
            </w:pPr>
            <w:r w:rsidRPr="00F3526B">
              <w:rPr>
                <w:rFonts w:cstheme="minorHAnsi"/>
                <w:color w:val="000000" w:themeColor="text1"/>
              </w:rPr>
              <w:t>$</w:t>
            </w:r>
            <w:r w:rsidRPr="00F3526B" w:rsidR="041AE860">
              <w:rPr>
                <w:rFonts w:cstheme="minorHAnsi"/>
                <w:color w:val="000000" w:themeColor="text1"/>
              </w:rPr>
              <w:t>9,751</w:t>
            </w:r>
          </w:p>
        </w:tc>
        <w:tc>
          <w:tcPr>
            <w:tcW w:w="1430" w:type="dxa"/>
            <w:tcBorders>
              <w:top w:val="single" w:sz="4" w:space="0" w:color="auto"/>
              <w:left w:val="nil"/>
              <w:bottom w:val="nil"/>
              <w:right w:val="single" w:sz="4" w:space="0" w:color="auto"/>
            </w:tcBorders>
            <w:shd w:val="clear" w:color="auto" w:fill="auto"/>
            <w:vAlign w:val="center"/>
          </w:tcPr>
          <w:p w:rsidR="00713CA9" w:rsidRPr="00F3526B" w:rsidP="00806177" w14:paraId="5E0F115F" w14:textId="0CA9973D">
            <w:pPr>
              <w:jc w:val="right"/>
              <w:rPr>
                <w:rFonts w:cstheme="minorHAnsi"/>
                <w:color w:val="000000"/>
              </w:rPr>
            </w:pPr>
            <w:r w:rsidRPr="00F3526B">
              <w:rPr>
                <w:rFonts w:cstheme="minorHAnsi"/>
                <w:color w:val="000000" w:themeColor="text1"/>
              </w:rPr>
              <w:t>376</w:t>
            </w:r>
          </w:p>
        </w:tc>
        <w:tc>
          <w:tcPr>
            <w:tcW w:w="1239" w:type="dxa"/>
            <w:tcBorders>
              <w:top w:val="nil"/>
              <w:left w:val="nil"/>
              <w:bottom w:val="single" w:sz="4" w:space="0" w:color="auto"/>
              <w:right w:val="single" w:sz="4" w:space="0" w:color="auto"/>
            </w:tcBorders>
            <w:shd w:val="clear" w:color="auto" w:fill="auto"/>
            <w:vAlign w:val="center"/>
          </w:tcPr>
          <w:p w:rsidR="00713CA9" w:rsidRPr="00F3526B" w:rsidP="00806177" w14:paraId="031A6286" w14:textId="3C1DEA35">
            <w:pPr>
              <w:jc w:val="right"/>
              <w:rPr>
                <w:rFonts w:cstheme="minorHAnsi"/>
                <w:color w:val="000000"/>
              </w:rPr>
            </w:pPr>
            <w:r w:rsidRPr="00F3526B">
              <w:rPr>
                <w:rFonts w:cstheme="minorHAnsi"/>
                <w:color w:val="000000" w:themeColor="text1"/>
              </w:rPr>
              <w:t>38,352</w:t>
            </w:r>
          </w:p>
        </w:tc>
        <w:tc>
          <w:tcPr>
            <w:tcW w:w="1281" w:type="dxa"/>
            <w:tcBorders>
              <w:top w:val="nil"/>
              <w:left w:val="nil"/>
              <w:bottom w:val="single" w:sz="4" w:space="0" w:color="auto"/>
              <w:right w:val="single" w:sz="4" w:space="0" w:color="auto"/>
            </w:tcBorders>
            <w:shd w:val="clear" w:color="auto" w:fill="auto"/>
            <w:vAlign w:val="center"/>
          </w:tcPr>
          <w:p w:rsidR="00713CA9" w:rsidRPr="00F3526B" w:rsidP="00806177" w14:paraId="26426F92" w14:textId="360F1D2D">
            <w:pPr>
              <w:jc w:val="right"/>
              <w:rPr>
                <w:rFonts w:cstheme="minorHAnsi"/>
                <w:color w:val="000000"/>
              </w:rPr>
            </w:pPr>
            <w:r w:rsidRPr="00F3526B">
              <w:rPr>
                <w:rFonts w:cstheme="minorHAnsi"/>
                <w:color w:val="000000" w:themeColor="text1"/>
              </w:rPr>
              <w:t>$</w:t>
            </w:r>
            <w:r w:rsidRPr="00F3526B" w:rsidR="5224D63E">
              <w:rPr>
                <w:rFonts w:cstheme="minorHAnsi"/>
                <w:color w:val="000000" w:themeColor="text1"/>
              </w:rPr>
              <w:t>3,666,376</w:t>
            </w:r>
          </w:p>
        </w:tc>
      </w:tr>
      <w:tr w14:paraId="68ED913A" w14:textId="77777777" w:rsidTr="00806177">
        <w:tblPrEx>
          <w:tblW w:w="10995" w:type="dxa"/>
          <w:jc w:val="center"/>
          <w:tblLayout w:type="fixed"/>
          <w:tblCellMar>
            <w:top w:w="72" w:type="dxa"/>
            <w:left w:w="72" w:type="dxa"/>
            <w:bottom w:w="72" w:type="dxa"/>
            <w:right w:w="72" w:type="dxa"/>
          </w:tblCellMar>
          <w:tblLook w:val="04A0"/>
        </w:tblPrEx>
        <w:trPr>
          <w:trHeight w:val="300"/>
          <w:jc w:val="center"/>
        </w:trPr>
        <w:tc>
          <w:tcPr>
            <w:tcW w:w="269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713CA9" w:rsidRPr="00F3526B" w:rsidP="009B5A95" w14:paraId="017F47B7" w14:textId="77777777">
            <w:pPr>
              <w:jc w:val="center"/>
              <w:rPr>
                <w:rFonts w:cstheme="minorHAnsi"/>
                <w:b/>
                <w:bCs/>
                <w:color w:val="000000"/>
              </w:rPr>
            </w:pPr>
            <w:r w:rsidRPr="00F3526B">
              <w:rPr>
                <w:rFonts w:cstheme="minorHAnsi"/>
                <w:b/>
                <w:bCs/>
                <w:color w:val="000000"/>
              </w:rPr>
              <w:t>TOTAL:</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13CA9" w:rsidRPr="00F3526B" w:rsidP="00806177" w14:paraId="0AEEF2FA" w14:textId="7CDF24C8">
            <w:pPr>
              <w:jc w:val="right"/>
              <w:rPr>
                <w:rFonts w:cstheme="minorHAnsi"/>
                <w:b/>
                <w:bCs/>
                <w:color w:val="000000"/>
              </w:rPr>
            </w:pPr>
          </w:p>
        </w:tc>
        <w:tc>
          <w:tcPr>
            <w:tcW w:w="9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13CA9" w:rsidRPr="00F3526B" w:rsidP="00806177" w14:paraId="0BEC1CD8" w14:textId="1792F9E8">
            <w:pPr>
              <w:jc w:val="right"/>
              <w:rPr>
                <w:rFonts w:cstheme="minorHAnsi"/>
                <w:b/>
                <w:bCs/>
                <w:color w:val="000000"/>
              </w:rPr>
            </w:pPr>
          </w:p>
        </w:tc>
        <w:tc>
          <w:tcPr>
            <w:tcW w:w="1294" w:type="dxa"/>
            <w:tcBorders>
              <w:top w:val="nil"/>
              <w:left w:val="nil"/>
              <w:bottom w:val="single" w:sz="4" w:space="0" w:color="auto"/>
              <w:right w:val="single" w:sz="4" w:space="0" w:color="auto"/>
            </w:tcBorders>
            <w:shd w:val="clear" w:color="auto" w:fill="F2F2F2" w:themeFill="background1" w:themeFillShade="F2"/>
            <w:vAlign w:val="center"/>
          </w:tcPr>
          <w:p w:rsidR="00713CA9" w:rsidRPr="00F3526B" w:rsidP="00806177" w14:paraId="7C1B3609" w14:textId="7C89E676">
            <w:pPr>
              <w:jc w:val="right"/>
              <w:rPr>
                <w:rFonts w:cstheme="minorHAnsi"/>
                <w:b/>
                <w:bCs/>
                <w:color w:val="000000"/>
              </w:rPr>
            </w:pPr>
          </w:p>
        </w:tc>
        <w:tc>
          <w:tcPr>
            <w:tcW w:w="1141" w:type="dxa"/>
            <w:tcBorders>
              <w:top w:val="nil"/>
              <w:left w:val="nil"/>
              <w:bottom w:val="single" w:sz="4" w:space="0" w:color="auto"/>
              <w:right w:val="single" w:sz="4" w:space="0" w:color="auto"/>
            </w:tcBorders>
            <w:shd w:val="clear" w:color="auto" w:fill="F2F2F2" w:themeFill="background1" w:themeFillShade="F2"/>
            <w:vAlign w:val="center"/>
          </w:tcPr>
          <w:p w:rsidR="00713CA9" w:rsidRPr="00F3526B" w:rsidP="00806177" w14:paraId="3AF4FC3B" w14:textId="515B2B03">
            <w:pPr>
              <w:jc w:val="right"/>
              <w:rPr>
                <w:rFonts w:cstheme="minorHAnsi"/>
                <w:b/>
                <w:bCs/>
                <w:color w:val="000000"/>
              </w:rPr>
            </w:pPr>
          </w:p>
        </w:tc>
        <w:tc>
          <w:tcPr>
            <w:tcW w:w="143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13CA9" w:rsidRPr="00F3526B" w:rsidP="00806177" w14:paraId="39DF1CAD" w14:textId="318DEC88">
            <w:pPr>
              <w:jc w:val="right"/>
              <w:rPr>
                <w:rFonts w:cstheme="minorHAnsi"/>
                <w:b/>
                <w:bCs/>
                <w:color w:val="000000"/>
              </w:rPr>
            </w:pPr>
          </w:p>
        </w:tc>
        <w:tc>
          <w:tcPr>
            <w:tcW w:w="1239" w:type="dxa"/>
            <w:tcBorders>
              <w:top w:val="nil"/>
              <w:left w:val="nil"/>
              <w:bottom w:val="single" w:sz="4" w:space="0" w:color="000000" w:themeColor="text1"/>
              <w:right w:val="nil"/>
            </w:tcBorders>
            <w:shd w:val="clear" w:color="auto" w:fill="F2F2F2" w:themeFill="background1" w:themeFillShade="F2"/>
            <w:vAlign w:val="center"/>
          </w:tcPr>
          <w:p w:rsidR="00713CA9" w:rsidRPr="00F3526B" w:rsidP="00806177" w14:paraId="3F5BEBB8" w14:textId="7C3F2018">
            <w:pPr>
              <w:jc w:val="right"/>
              <w:rPr>
                <w:rFonts w:cstheme="minorHAnsi"/>
                <w:b/>
                <w:bCs/>
                <w:color w:val="000000"/>
              </w:rPr>
            </w:pPr>
            <w:r w:rsidRPr="00F3526B">
              <w:rPr>
                <w:rFonts w:cstheme="minorHAnsi"/>
                <w:b/>
                <w:bCs/>
                <w:color w:val="000000" w:themeColor="text1"/>
              </w:rPr>
              <w:t>1</w:t>
            </w:r>
            <w:r w:rsidRPr="00F3526B" w:rsidR="7318E2EF">
              <w:rPr>
                <w:rFonts w:cstheme="minorHAnsi"/>
                <w:b/>
                <w:bCs/>
                <w:color w:val="000000" w:themeColor="text1"/>
              </w:rPr>
              <w:t>56,640</w:t>
            </w:r>
          </w:p>
        </w:tc>
        <w:tc>
          <w:tcPr>
            <w:tcW w:w="1281"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713CA9" w:rsidRPr="00F3526B" w:rsidP="00806177" w14:paraId="446EC7A3" w14:textId="7605BBF3">
            <w:pPr>
              <w:jc w:val="right"/>
              <w:rPr>
                <w:rFonts w:cstheme="minorHAnsi"/>
                <w:b/>
                <w:bCs/>
                <w:color w:val="000000"/>
              </w:rPr>
            </w:pPr>
            <w:r w:rsidRPr="00F3526B">
              <w:rPr>
                <w:rFonts w:cstheme="minorHAnsi"/>
                <w:b/>
                <w:bCs/>
                <w:color w:val="000000" w:themeColor="text1"/>
              </w:rPr>
              <w:t>$</w:t>
            </w:r>
            <w:r w:rsidRPr="00F3526B" w:rsidR="43D50CEB">
              <w:rPr>
                <w:rFonts w:cstheme="minorHAnsi"/>
                <w:b/>
                <w:bCs/>
                <w:color w:val="000000" w:themeColor="text1"/>
              </w:rPr>
              <w:t>14,660,652</w:t>
            </w:r>
          </w:p>
        </w:tc>
      </w:tr>
    </w:tbl>
    <w:p w:rsidR="00713CA9" w:rsidP="00DA380C" w14:paraId="3E063AD6" w14:textId="6951984A">
      <w:pPr>
        <w:spacing w:before="60"/>
        <w:rPr>
          <w:color w:val="000000" w:themeColor="text1"/>
          <w:sz w:val="18"/>
          <w:szCs w:val="18"/>
        </w:rPr>
      </w:pPr>
    </w:p>
    <w:p w:rsidR="007B4DB2" w:rsidP="00F3526B" w14:paraId="7DD7CD2C" w14:textId="77777777">
      <w:pPr>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rFonts w:cstheme="minorHAnsi"/>
          <w:b/>
          <w:bCs/>
        </w:rPr>
        <w:sectPr w:rsidSect="007B4DB2">
          <w:pgSz w:w="15840" w:h="12240" w:orient="landscape"/>
          <w:pgMar w:top="1440" w:right="1440" w:bottom="1440" w:left="1440" w:header="720" w:footer="720" w:gutter="0"/>
          <w:cols w:space="720"/>
          <w:docGrid w:linePitch="360"/>
        </w:sectPr>
      </w:pPr>
    </w:p>
    <w:p w:rsidR="00BB2B15" w:rsidRPr="002A27A1" w:rsidP="003D667E" w14:paraId="5D1B71A2" w14:textId="2ADBBFA0">
      <w:pPr>
        <w:pStyle w:val="ListParagraph"/>
        <w:numPr>
          <w:ilvl w:val="0"/>
          <w:numId w:val="2"/>
        </w:numPr>
        <w:spacing w:before="240" w:after="0"/>
        <w:rPr>
          <w:rFonts w:cstheme="minorHAnsi"/>
          <w:b/>
          <w:bCs/>
          <w:caps/>
        </w:rPr>
      </w:pPr>
      <w:bookmarkStart w:id="18" w:name="_Toc156593386"/>
      <w:r w:rsidRPr="002A27A1">
        <w:rPr>
          <w:rFonts w:cstheme="minorHAnsi"/>
          <w:b/>
          <w:bCs/>
          <w:caps/>
        </w:rPr>
        <w:t>Respondent</w:t>
      </w:r>
      <w:r w:rsidRPr="002A27A1" w:rsidR="009A09EC">
        <w:rPr>
          <w:rFonts w:cstheme="minorHAnsi"/>
          <w:b/>
          <w:bCs/>
          <w:caps/>
        </w:rPr>
        <w:t xml:space="preserve"> </w:t>
      </w:r>
      <w:r w:rsidRPr="002A27A1" w:rsidR="00D17BB9">
        <w:rPr>
          <w:rFonts w:cstheme="minorHAnsi"/>
          <w:b/>
          <w:bCs/>
          <w:caps/>
        </w:rPr>
        <w:t xml:space="preserve">CAPITAL AND O&amp;m </w:t>
      </w:r>
      <w:r w:rsidRPr="002A27A1" w:rsidR="004E3CB0">
        <w:rPr>
          <w:rFonts w:cstheme="minorHAnsi"/>
          <w:b/>
          <w:bCs/>
          <w:caps/>
        </w:rPr>
        <w:t>Cost</w:t>
      </w:r>
      <w:r w:rsidRPr="002A27A1" w:rsidR="00D17BB9">
        <w:rPr>
          <w:rFonts w:cstheme="minorHAnsi"/>
          <w:b/>
          <w:bCs/>
          <w:caps/>
        </w:rPr>
        <w:t>S</w:t>
      </w:r>
      <w:bookmarkEnd w:id="18"/>
      <w:r w:rsidRPr="002A27A1" w:rsidR="004E3CB0">
        <w:rPr>
          <w:rFonts w:cstheme="minorHAnsi"/>
          <w:b/>
          <w:bCs/>
          <w:caps/>
        </w:rPr>
        <w:t xml:space="preserve"> </w:t>
      </w:r>
    </w:p>
    <w:p w:rsidR="00F92596" w:rsidRPr="00CF01E1" w:rsidP="00F92596" w14:paraId="0925DF34" w14:textId="77777777">
      <w:pPr>
        <w:spacing w:after="0" w:line="240" w:lineRule="auto"/>
        <w:rPr>
          <w:rFonts w:cstheme="minorHAnsi"/>
          <w:i/>
          <w:iCs/>
        </w:rPr>
      </w:pPr>
      <w:r w:rsidRPr="00CF01E1">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CF01E1" w:rsidP="00163C69" w14:paraId="026BDBA4" w14:textId="77777777">
      <w:pPr>
        <w:spacing w:before="120" w:after="0" w:line="240" w:lineRule="auto"/>
        <w:rPr>
          <w:rFonts w:cstheme="minorHAnsi"/>
          <w:i/>
          <w:iCs/>
        </w:rPr>
      </w:pPr>
      <w:r w:rsidRPr="00CF01E1">
        <w:rPr>
          <w:rFonts w:cstheme="minorHAnsi"/>
          <w:i/>
          <w:iCs/>
        </w:rPr>
        <w:t>The cost estimate should be split into two components: (a) a total capital and start-up cost</w:t>
      </w:r>
    </w:p>
    <w:p w:rsidR="00F92596" w:rsidRPr="00CF01E1" w:rsidP="00F92596" w14:paraId="7ED5E3E9" w14:textId="77777777">
      <w:pPr>
        <w:spacing w:after="0" w:line="240" w:lineRule="auto"/>
        <w:rPr>
          <w:rFonts w:cstheme="minorHAnsi"/>
          <w:i/>
          <w:iCs/>
        </w:rPr>
      </w:pPr>
      <w:r w:rsidRPr="00CF01E1">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CF01E1" w:rsidP="00163C69" w14:paraId="761690A4" w14:textId="77777777">
      <w:pPr>
        <w:spacing w:line="240" w:lineRule="auto"/>
        <w:rPr>
          <w:rFonts w:cstheme="minorHAnsi"/>
          <w:i/>
          <w:iCs/>
        </w:rPr>
      </w:pPr>
      <w:r w:rsidRPr="00CF01E1">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1F70B3" w:rsidRPr="00F3526B" w:rsidP="00F3526B" w14:paraId="77FBB884" w14:textId="3E910AF6">
      <w:pPr>
        <w:pBdr>
          <w:bottom w:val="single" w:sz="4" w:space="1" w:color="auto"/>
        </w:pBdr>
        <w:spacing w:line="240" w:lineRule="auto"/>
        <w:rPr>
          <w:rFonts w:cstheme="minorHAnsi"/>
          <w:i/>
          <w:iCs/>
        </w:rPr>
      </w:pPr>
      <w:r w:rsidRPr="00CF01E1">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F70B3" w:rsidP="001F70B3" w14:paraId="3D05A68F" w14:textId="77777777">
      <w:pPr>
        <w:pStyle w:val="ListParagraph"/>
        <w:numPr>
          <w:ilvl w:val="0"/>
          <w:numId w:val="8"/>
        </w:numPr>
        <w:pBdr>
          <w:top w:val="single" w:sz="6" w:space="0" w:color="FFFFFF"/>
          <w:left w:val="single" w:sz="6" w:space="0" w:color="FFFFFF"/>
          <w:bottom w:val="single" w:sz="6" w:space="0" w:color="FFFFFF"/>
          <w:right w:val="single" w:sz="6" w:space="0" w:color="FFFFFF"/>
        </w:pBdr>
        <w:rPr>
          <w:rFonts w:cstheme="minorHAnsi"/>
          <w:color w:val="000000"/>
        </w:rPr>
      </w:pPr>
      <w:r w:rsidRPr="001F70B3">
        <w:rPr>
          <w:rFonts w:cstheme="minorHAnsi"/>
          <w:color w:val="000000"/>
        </w:rPr>
        <w:t>Estimating Total Capital and Annual Operations and Maintenance Costs</w:t>
      </w:r>
    </w:p>
    <w:p w:rsidR="001F70B3" w:rsidP="001F70B3" w14:paraId="71B38416" w14:textId="7777777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p>
    <w:p w:rsidR="001F70B3" w:rsidP="001F70B3" w14:paraId="00161DDC" w14:textId="7777777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r w:rsidRPr="001F70B3">
        <w:rPr>
          <w:rFonts w:cstheme="minorHAnsi"/>
          <w:color w:val="000000"/>
        </w:rPr>
        <w:t>Capital/start-up costs include the cost of installing required CEMS or alternatives.  Operation and maintenance costs (exclusive of labor costs) reflect ongoing costs to a unit and include both contractor costs for the required recertification, diagnostic, and quality assurance (QA) testing, and other direct maintenance-related expenses (e.g., spare parts and calibration gases).  These cost estimates have been derived from EPA CEM cost models, existing ICRs, Agency staff experience under the ARP, NOX SIP Call, CAIR, and CSAPR programs, and supplemental estimates provided by affected utilities and others related to the various cost items.  These costs are assumed to include incremental calibration gas costs consistent with the former ICR for the Protocol Gas Verification Program (OMB Control Number 2060-0626).</w:t>
      </w:r>
    </w:p>
    <w:p w:rsidR="001F70B3" w:rsidP="001F70B3" w14:paraId="492BA69E" w14:textId="7777777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p>
    <w:p w:rsidR="001F70B3" w:rsidP="001F70B3" w14:paraId="5F428DBF" w14:textId="7777777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r w:rsidRPr="001F70B3">
        <w:rPr>
          <w:rFonts w:cstheme="minorHAnsi"/>
          <w:color w:val="000000"/>
        </w:rPr>
        <w:t>Note that testing contractor costs for certification, recertification and annual relative accuracy test audits (RATAs) are presented as other direct costs and are not converted to equivalent source labor hours.  This approach is consistent with the common business practice of obtaining outside contractors to conduct certification/recertification tests and annual RATAs.  For initial certification, the certification test costs are commonly bundled with equipment purchase contracts, according to information provided by a range of CEMS equipment vendors.  For RATAs that are conducted either as part of the annual quality assurance requirements or as part of recertification, industry contacts have indicated that RATA testing is usually performed under a fixed price contract basis, except for travel costs that may be billed on an hourly basis beyond the basic contract cost.</w:t>
      </w:r>
    </w:p>
    <w:p w:rsidR="001F70B3" w:rsidP="001F70B3" w14:paraId="42B25E84" w14:textId="7777777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p>
    <w:p w:rsidR="00F3526B" w:rsidP="00F3526B" w14:paraId="2CE0852F" w14:textId="752C1E69">
      <w:pPr>
        <w:pStyle w:val="ListParagraph"/>
        <w:pBdr>
          <w:top w:val="single" w:sz="6" w:space="0" w:color="FFFFFF"/>
          <w:left w:val="single" w:sz="6" w:space="0" w:color="FFFFFF"/>
          <w:bottom w:val="single" w:sz="6" w:space="0" w:color="FFFFFF"/>
          <w:right w:val="single" w:sz="6" w:space="0" w:color="FFFFFF"/>
        </w:pBdr>
        <w:rPr>
          <w:rFonts w:cstheme="minorHAnsi"/>
          <w:color w:val="000000"/>
        </w:rPr>
      </w:pPr>
      <w:r w:rsidRPr="001F70B3">
        <w:rPr>
          <w:rFonts w:cstheme="minorHAnsi"/>
          <w:color w:val="000000"/>
        </w:rPr>
        <w:t xml:space="preserve">As noted above, this ICR includes ongoing annualized start-up/capital costs as well as ongoing O&amp;M costs for any monitoring equipment needed by the unit to meet the applicable monitoring and reporting requirements, regardless of when the equipment was initially installed. </w:t>
      </w:r>
    </w:p>
    <w:p w:rsidR="00F3526B" w:rsidRPr="00F3526B" w:rsidP="00F3526B" w14:paraId="2CF6D999" w14:textId="7777777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p>
    <w:p w:rsidR="001F70B3" w:rsidP="00236989" w14:paraId="07A00BD7" w14:textId="77777777">
      <w:pPr>
        <w:pStyle w:val="ListParagraph"/>
        <w:numPr>
          <w:ilvl w:val="0"/>
          <w:numId w:val="8"/>
        </w:numPr>
        <w:pBdr>
          <w:top w:val="single" w:sz="6" w:space="0" w:color="FFFFFF"/>
          <w:left w:val="single" w:sz="6" w:space="0" w:color="FFFFFF"/>
          <w:bottom w:val="single" w:sz="6" w:space="0" w:color="FFFFFF"/>
          <w:right w:val="single" w:sz="6" w:space="0" w:color="FFFFFF"/>
        </w:pBdr>
        <w:rPr>
          <w:rFonts w:cstheme="minorHAnsi"/>
          <w:color w:val="000000"/>
        </w:rPr>
      </w:pPr>
      <w:r w:rsidRPr="001F70B3">
        <w:rPr>
          <w:rFonts w:cstheme="minorHAnsi"/>
          <w:color w:val="000000"/>
        </w:rPr>
        <w:t>Capital/Start-up vs. Operating and Maintenance (O &amp; M) Costs</w:t>
      </w:r>
    </w:p>
    <w:p w:rsidR="001F70B3" w:rsidP="001F70B3" w14:paraId="1F010301" w14:textId="7777777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p>
    <w:p w:rsidR="00236989" w:rsidP="00F3526B" w14:paraId="4C719FA4" w14:textId="54E8575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r w:rsidRPr="001F70B3">
        <w:rPr>
          <w:rFonts w:cstheme="minorHAnsi"/>
          <w:color w:val="000000"/>
        </w:rPr>
        <w:t>Capital costs reflect one-time costs for purchase of equipment which will be used over a period of years.  Conversely, operating and maintenance costs are those costs which are incurred on an annual or other scheduled basis.  For instance, costs associated with quality assurance activities, such as spare parts or contractor costs for work, will be incurred on an annual basis.</w:t>
      </w:r>
    </w:p>
    <w:p w:rsidR="00F3526B" w:rsidP="00F3526B" w14:paraId="6B0BFCF9" w14:textId="7777777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p>
    <w:p w:rsidR="001F70B3" w:rsidP="001F70B3" w14:paraId="51923C8A" w14:textId="77777777">
      <w:pPr>
        <w:pStyle w:val="ListParagraph"/>
        <w:numPr>
          <w:ilvl w:val="0"/>
          <w:numId w:val="8"/>
        </w:numPr>
        <w:tabs>
          <w:tab w:val="left" w:pos="-1440"/>
          <w:tab w:val="left" w:pos="-720"/>
          <w:tab w:val="left" w:pos="426"/>
          <w:tab w:val="left" w:pos="960"/>
          <w:tab w:val="left" w:pos="1560"/>
          <w:tab w:val="left" w:pos="2160"/>
          <w:tab w:val="left" w:pos="2760"/>
          <w:tab w:val="left" w:pos="3360"/>
          <w:tab w:val="left" w:pos="6480"/>
          <w:tab w:val="left" w:pos="8640"/>
          <w:tab w:val="left" w:pos="10080"/>
        </w:tabs>
        <w:rPr>
          <w:rFonts w:cstheme="minorHAnsi"/>
        </w:rPr>
      </w:pPr>
      <w:bookmarkStart w:id="19" w:name="_Hlk172712961"/>
      <w:r w:rsidRPr="001F70B3">
        <w:rPr>
          <w:rFonts w:cstheme="minorHAnsi"/>
        </w:rPr>
        <w:t>Summary of Burden Hours and Costs</w:t>
      </w:r>
    </w:p>
    <w:p w:rsidR="001F70B3" w:rsidP="001F70B3" w14:paraId="37BDBB2A" w14:textId="77777777">
      <w:pPr>
        <w:pStyle w:val="ListParagraph"/>
        <w:tabs>
          <w:tab w:val="left" w:pos="-1440"/>
          <w:tab w:val="left" w:pos="-720"/>
          <w:tab w:val="left" w:pos="426"/>
          <w:tab w:val="left" w:pos="960"/>
          <w:tab w:val="left" w:pos="1560"/>
          <w:tab w:val="left" w:pos="2160"/>
          <w:tab w:val="left" w:pos="2760"/>
          <w:tab w:val="left" w:pos="3360"/>
          <w:tab w:val="left" w:pos="6480"/>
          <w:tab w:val="left" w:pos="8640"/>
          <w:tab w:val="left" w:pos="10080"/>
        </w:tabs>
        <w:rPr>
          <w:rFonts w:cstheme="minorHAnsi"/>
        </w:rPr>
      </w:pPr>
    </w:p>
    <w:p w:rsidR="00694520" w:rsidRPr="001F70B3" w:rsidP="3FB10135" w14:paraId="5C2CA4BA" w14:textId="08CB12A5">
      <w:pPr>
        <w:pStyle w:val="ListParagraph"/>
        <w:tabs>
          <w:tab w:val="left" w:pos="426"/>
          <w:tab w:val="left" w:pos="960"/>
          <w:tab w:val="left" w:pos="1560"/>
          <w:tab w:val="left" w:pos="2160"/>
          <w:tab w:val="left" w:pos="2760"/>
          <w:tab w:val="left" w:pos="3360"/>
          <w:tab w:val="left" w:pos="6480"/>
          <w:tab w:val="left" w:pos="8640"/>
          <w:tab w:val="left" w:pos="10080"/>
        </w:tabs>
      </w:pPr>
      <w:r w:rsidRPr="3FB10135">
        <w:t xml:space="preserve">Table </w:t>
      </w:r>
      <w:r w:rsidRPr="3FB10135" w:rsidR="00157F09">
        <w:t xml:space="preserve">13.1 </w:t>
      </w:r>
      <w:r w:rsidRPr="3FB10135">
        <w:t xml:space="preserve">summarizes the annual </w:t>
      </w:r>
      <w:r w:rsidRPr="3A47EAA7" w:rsidR="0A703826">
        <w:t xml:space="preserve">capital and O&amp;M costs for respondents. </w:t>
      </w:r>
      <w:r w:rsidRPr="3FB10135" w:rsidR="00157F09">
        <w:t xml:space="preserve"> </w:t>
      </w:r>
      <w:r w:rsidRPr="3FB10135">
        <w:t xml:space="preserve">  </w:t>
      </w:r>
    </w:p>
    <w:p w:rsidR="00694520" w:rsidRPr="00C94CC1" w:rsidP="00694520" w14:paraId="37B857D3" w14:textId="77777777">
      <w:pPr>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firstLine="720"/>
        <w:rPr>
          <w:rFonts w:cstheme="minorHAnsi"/>
        </w:rPr>
      </w:pPr>
    </w:p>
    <w:p w:rsidR="00694520" w:rsidRPr="003E707C" w:rsidP="69820EE8" w14:paraId="5542581E" w14:textId="7196EC1A">
      <w:pPr>
        <w:tabs>
          <w:tab w:val="left" w:pos="426"/>
          <w:tab w:val="left" w:pos="960"/>
          <w:tab w:val="left" w:pos="1560"/>
          <w:tab w:val="left" w:pos="2160"/>
          <w:tab w:val="left" w:pos="2760"/>
          <w:tab w:val="left" w:pos="3360"/>
          <w:tab w:val="left" w:pos="6480"/>
          <w:tab w:val="left" w:pos="8640"/>
          <w:tab w:val="left" w:pos="10080"/>
        </w:tabs>
        <w:jc w:val="center"/>
      </w:pPr>
      <w:r w:rsidRPr="003E707C">
        <w:t xml:space="preserve">Table 13.1:  Aggregate Annual Respondent </w:t>
      </w:r>
      <w:r w:rsidRPr="003E707C" w:rsidR="7F7EBA9D">
        <w:t>Capital and O&amp;M Costs</w:t>
      </w:r>
    </w:p>
    <w:tbl>
      <w:tblPr>
        <w:tblW w:w="9895" w:type="dxa"/>
        <w:tblLayout w:type="fixed"/>
        <w:tblLook w:val="04A0"/>
      </w:tblPr>
      <w:tblGrid>
        <w:gridCol w:w="3415"/>
        <w:gridCol w:w="1800"/>
        <w:gridCol w:w="1440"/>
        <w:gridCol w:w="1530"/>
        <w:gridCol w:w="1710"/>
      </w:tblGrid>
      <w:tr w14:paraId="554A61D6" w14:textId="77777777" w:rsidTr="003E707C">
        <w:tblPrEx>
          <w:tblW w:w="9895" w:type="dxa"/>
          <w:tblLayout w:type="fixed"/>
          <w:tblLook w:val="04A0"/>
        </w:tblPrEx>
        <w:trPr>
          <w:trHeight w:val="1155"/>
        </w:trPr>
        <w:tc>
          <w:tcPr>
            <w:tcW w:w="3415" w:type="dxa"/>
            <w:tcBorders>
              <w:top w:val="single" w:sz="4" w:space="0" w:color="000000" w:themeColor="text1"/>
              <w:left w:val="single" w:sz="4" w:space="0" w:color="000000" w:themeColor="text1"/>
              <w:bottom w:val="single" w:sz="8" w:space="0" w:color="auto"/>
              <w:right w:val="single" w:sz="8" w:space="0" w:color="000000" w:themeColor="text1"/>
            </w:tcBorders>
            <w:shd w:val="clear" w:color="auto" w:fill="D9D9D9" w:themeFill="background1" w:themeFillShade="D9"/>
            <w:tcMar>
              <w:top w:w="15" w:type="dxa"/>
              <w:left w:w="15" w:type="dxa"/>
              <w:right w:w="15" w:type="dxa"/>
            </w:tcMar>
            <w:vAlign w:val="center"/>
          </w:tcPr>
          <w:p w:rsidR="0189F231" w:rsidP="00B01151" w14:paraId="54BC0C56" w14:textId="188BA4C3">
            <w:pPr>
              <w:spacing w:after="0"/>
              <w:jc w:val="center"/>
              <w:rPr>
                <w:rFonts w:ascii="Calibri" w:eastAsia="Calibri" w:hAnsi="Calibri" w:cs="Calibri"/>
                <w:color w:val="000000" w:themeColor="text1"/>
              </w:rPr>
            </w:pPr>
            <w:r w:rsidRPr="0189F231">
              <w:rPr>
                <w:rFonts w:ascii="Calibri" w:eastAsia="Calibri" w:hAnsi="Calibri" w:cs="Calibri"/>
                <w:b/>
                <w:bCs/>
                <w:color w:val="000000" w:themeColor="text1"/>
              </w:rPr>
              <w:t>Information collection activity</w:t>
            </w:r>
            <w:r w:rsidRPr="0189F231">
              <w:rPr>
                <w:rFonts w:ascii="Calibri" w:eastAsia="Calibri" w:hAnsi="Calibri" w:cs="Calibri"/>
                <w:color w:val="000000" w:themeColor="text1"/>
              </w:rPr>
              <w:t xml:space="preserve"> </w:t>
            </w:r>
          </w:p>
        </w:tc>
        <w:tc>
          <w:tcPr>
            <w:tcW w:w="1800"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rsidR="0189F231" w:rsidP="00B01151" w14:paraId="3D4499CE" w14:textId="532929EF">
            <w:pPr>
              <w:spacing w:after="0"/>
              <w:jc w:val="center"/>
              <w:rPr>
                <w:rFonts w:ascii="Calibri" w:eastAsia="Calibri" w:hAnsi="Calibri" w:cs="Calibri"/>
                <w:color w:val="000000" w:themeColor="text1"/>
              </w:rPr>
            </w:pPr>
            <w:r w:rsidRPr="0189F231">
              <w:rPr>
                <w:rFonts w:ascii="Calibri" w:eastAsia="Calibri" w:hAnsi="Calibri" w:cs="Calibri"/>
                <w:b/>
                <w:bCs/>
                <w:color w:val="000000" w:themeColor="text1"/>
              </w:rPr>
              <w:t>Cont./ O&amp;M cost</w:t>
            </w:r>
            <w:r w:rsidRPr="0189F231">
              <w:rPr>
                <w:rFonts w:ascii="Calibri" w:eastAsia="Calibri" w:hAnsi="Calibri" w:cs="Calibri"/>
                <w:color w:val="000000" w:themeColor="text1"/>
              </w:rPr>
              <w:t xml:space="preserve"> </w:t>
            </w:r>
          </w:p>
        </w:tc>
        <w:tc>
          <w:tcPr>
            <w:tcW w:w="1440"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rsidR="0189F231" w:rsidP="00B01151" w14:paraId="428CF724" w14:textId="6DE79341">
            <w:pPr>
              <w:spacing w:after="0"/>
              <w:jc w:val="center"/>
              <w:rPr>
                <w:rFonts w:ascii="Calibri" w:eastAsia="Calibri" w:hAnsi="Calibri" w:cs="Calibri"/>
                <w:color w:val="000000" w:themeColor="text1"/>
              </w:rPr>
            </w:pPr>
            <w:r w:rsidRPr="0189F231">
              <w:rPr>
                <w:rFonts w:ascii="Calibri" w:eastAsia="Calibri" w:hAnsi="Calibri" w:cs="Calibri"/>
                <w:b/>
                <w:bCs/>
                <w:color w:val="000000" w:themeColor="text1"/>
              </w:rPr>
              <w:t>Capital/ startup cost</w:t>
            </w:r>
            <w:r w:rsidRPr="0189F231">
              <w:rPr>
                <w:rFonts w:ascii="Calibri" w:eastAsia="Calibri" w:hAnsi="Calibri" w:cs="Calibri"/>
                <w:color w:val="000000" w:themeColor="text1"/>
              </w:rPr>
              <w:t xml:space="preserve"> </w:t>
            </w:r>
          </w:p>
        </w:tc>
        <w:tc>
          <w:tcPr>
            <w:tcW w:w="1530"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rsidR="0189F231" w:rsidP="00B01151" w14:paraId="3076582A" w14:textId="684CBBBF">
            <w:pPr>
              <w:spacing w:after="0"/>
              <w:jc w:val="center"/>
              <w:rPr>
                <w:rFonts w:ascii="Calibri" w:eastAsia="Calibri" w:hAnsi="Calibri" w:cs="Calibri"/>
                <w:color w:val="000000" w:themeColor="text1"/>
              </w:rPr>
            </w:pPr>
            <w:r w:rsidRPr="0189F231">
              <w:rPr>
                <w:rFonts w:ascii="Calibri" w:eastAsia="Calibri" w:hAnsi="Calibri" w:cs="Calibri"/>
                <w:b/>
                <w:bCs/>
                <w:color w:val="000000" w:themeColor="text1"/>
              </w:rPr>
              <w:t>Number of respondents</w:t>
            </w:r>
            <w:r w:rsidRPr="0189F231">
              <w:rPr>
                <w:rFonts w:ascii="Calibri" w:eastAsia="Calibri" w:hAnsi="Calibri" w:cs="Calibri"/>
                <w:color w:val="000000" w:themeColor="text1"/>
              </w:rPr>
              <w:t xml:space="preserve"> </w:t>
            </w:r>
          </w:p>
        </w:tc>
        <w:tc>
          <w:tcPr>
            <w:tcW w:w="1710"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rsidR="0189F231" w:rsidP="00B01151" w14:paraId="63733D19" w14:textId="0B325F90">
            <w:pPr>
              <w:spacing w:after="0"/>
              <w:jc w:val="center"/>
              <w:rPr>
                <w:rFonts w:ascii="Calibri" w:eastAsia="Calibri" w:hAnsi="Calibri" w:cs="Calibri"/>
                <w:color w:val="000000" w:themeColor="text1"/>
              </w:rPr>
            </w:pPr>
            <w:r w:rsidRPr="0189F231">
              <w:rPr>
                <w:rFonts w:ascii="Calibri" w:eastAsia="Calibri" w:hAnsi="Calibri" w:cs="Calibri"/>
                <w:b/>
                <w:bCs/>
                <w:color w:val="000000" w:themeColor="text1"/>
              </w:rPr>
              <w:t>Total cost/year</w:t>
            </w:r>
            <w:r w:rsidRPr="0189F231">
              <w:rPr>
                <w:rFonts w:ascii="Calibri" w:eastAsia="Calibri" w:hAnsi="Calibri" w:cs="Calibri"/>
                <w:color w:val="000000" w:themeColor="text1"/>
              </w:rPr>
              <w:t xml:space="preserve"> </w:t>
            </w:r>
          </w:p>
        </w:tc>
      </w:tr>
      <w:tr w14:paraId="3183B8CC" w14:textId="77777777" w:rsidTr="00806177">
        <w:tblPrEx>
          <w:tblW w:w="9895" w:type="dxa"/>
          <w:tblLayout w:type="fixed"/>
          <w:tblLook w:val="04A0"/>
        </w:tblPrEx>
        <w:trPr>
          <w:trHeight w:val="600"/>
        </w:trPr>
        <w:tc>
          <w:tcPr>
            <w:tcW w:w="3415" w:type="dxa"/>
            <w:tcBorders>
              <w:top w:val="nil"/>
              <w:left w:val="single" w:sz="4" w:space="0" w:color="000000" w:themeColor="text1"/>
              <w:bottom w:val="single" w:sz="8" w:space="0" w:color="auto"/>
              <w:right w:val="single" w:sz="8" w:space="0" w:color="000000" w:themeColor="text1"/>
            </w:tcBorders>
            <w:tcMar>
              <w:top w:w="15" w:type="dxa"/>
              <w:left w:w="15" w:type="dxa"/>
              <w:right w:w="15" w:type="dxa"/>
            </w:tcMar>
            <w:vAlign w:val="center"/>
          </w:tcPr>
          <w:p w:rsidR="0189F231" w:rsidP="00B01151" w14:paraId="556809DD" w14:textId="7C32BB6F">
            <w:pPr>
              <w:spacing w:after="0"/>
              <w:rPr>
                <w:rFonts w:ascii="Calibri" w:eastAsia="Calibri" w:hAnsi="Calibri" w:cs="Calibri"/>
                <w:color w:val="000000" w:themeColor="text1"/>
              </w:rPr>
            </w:pPr>
            <w:r w:rsidRPr="0189F231">
              <w:rPr>
                <w:rFonts w:ascii="Calibri" w:eastAsia="Calibri" w:hAnsi="Calibri" w:cs="Calibri"/>
                <w:color w:val="000000" w:themeColor="text1"/>
              </w:rPr>
              <w:t xml:space="preserve">1.  Recertify monitors </w:t>
            </w:r>
          </w:p>
        </w:tc>
        <w:tc>
          <w:tcPr>
            <w:tcW w:w="1800" w:type="dxa"/>
            <w:tcBorders>
              <w:top w:val="nil"/>
              <w:left w:val="single" w:sz="8" w:space="0" w:color="000000" w:themeColor="text1"/>
              <w:bottom w:val="single" w:sz="8" w:space="0" w:color="000000" w:themeColor="text1"/>
              <w:right w:val="nil"/>
            </w:tcBorders>
            <w:tcMar>
              <w:top w:w="15" w:type="dxa"/>
              <w:left w:w="15" w:type="dxa"/>
              <w:right w:w="15" w:type="dxa"/>
            </w:tcMar>
            <w:vAlign w:val="center"/>
          </w:tcPr>
          <w:p w:rsidR="0189F231" w:rsidP="00806177" w14:paraId="053A76AC" w14:textId="14E1F24D">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$3,482</w:t>
            </w:r>
          </w:p>
        </w:tc>
        <w:tc>
          <w:tcPr>
            <w:tcW w:w="1440"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345F3B62" w14:textId="3B193B88">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$0</w:t>
            </w:r>
          </w:p>
        </w:tc>
        <w:tc>
          <w:tcPr>
            <w:tcW w:w="1530"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10CF9B8A" w14:textId="520D95CA">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76</w:t>
            </w:r>
          </w:p>
        </w:tc>
        <w:tc>
          <w:tcPr>
            <w:tcW w:w="1710" w:type="dxa"/>
            <w:tcBorders>
              <w:top w:val="nil"/>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189F231" w:rsidP="00806177" w14:paraId="51515EF0" w14:textId="6E3847DD">
            <w:pPr>
              <w:spacing w:after="0"/>
              <w:jc w:val="right"/>
              <w:rPr>
                <w:rFonts w:ascii="Calibri" w:eastAsia="Calibri" w:hAnsi="Calibri" w:cs="Calibri"/>
                <w:color w:val="000000" w:themeColor="text1"/>
              </w:rPr>
            </w:pPr>
            <w:r w:rsidRPr="3A47EAA7">
              <w:rPr>
                <w:rFonts w:ascii="Calibri" w:eastAsia="Calibri" w:hAnsi="Calibri" w:cs="Calibri"/>
                <w:color w:val="000000" w:themeColor="text1"/>
              </w:rPr>
              <w:t>$</w:t>
            </w:r>
            <w:r w:rsidRPr="3A47EAA7" w:rsidR="071A4BD5">
              <w:rPr>
                <w:rFonts w:ascii="Calibri" w:eastAsia="Calibri" w:hAnsi="Calibri" w:cs="Calibri"/>
                <w:color w:val="000000" w:themeColor="text1"/>
              </w:rPr>
              <w:t>264,632</w:t>
            </w:r>
          </w:p>
        </w:tc>
      </w:tr>
      <w:tr w14:paraId="3B42E118" w14:textId="77777777" w:rsidTr="00806177">
        <w:tblPrEx>
          <w:tblW w:w="9895" w:type="dxa"/>
          <w:tblLayout w:type="fixed"/>
          <w:tblLook w:val="04A0"/>
        </w:tblPrEx>
        <w:trPr>
          <w:trHeight w:val="1185"/>
        </w:trPr>
        <w:tc>
          <w:tcPr>
            <w:tcW w:w="3415" w:type="dxa"/>
            <w:tcBorders>
              <w:top w:val="single" w:sz="8" w:space="0" w:color="auto"/>
              <w:left w:val="single" w:sz="4" w:space="0" w:color="000000" w:themeColor="text1"/>
              <w:bottom w:val="single" w:sz="8" w:space="0" w:color="auto"/>
              <w:right w:val="single" w:sz="8" w:space="0" w:color="000000" w:themeColor="text1"/>
            </w:tcBorders>
            <w:tcMar>
              <w:top w:w="15" w:type="dxa"/>
              <w:left w:w="15" w:type="dxa"/>
              <w:right w:w="15" w:type="dxa"/>
            </w:tcMar>
            <w:vAlign w:val="center"/>
          </w:tcPr>
          <w:p w:rsidR="0189F231" w:rsidP="00B01151" w14:paraId="127F73AC" w14:textId="019889C1">
            <w:pPr>
              <w:spacing w:after="0"/>
              <w:rPr>
                <w:rFonts w:ascii="Calibri" w:eastAsia="Calibri" w:hAnsi="Calibri" w:cs="Calibri"/>
                <w:color w:val="000000" w:themeColor="text1"/>
              </w:rPr>
            </w:pPr>
            <w:r w:rsidRPr="0189F231">
              <w:rPr>
                <w:rFonts w:ascii="Calibri" w:eastAsia="Calibri" w:hAnsi="Calibri" w:cs="Calibri"/>
                <w:color w:val="000000" w:themeColor="text1"/>
              </w:rPr>
              <w:t xml:space="preserve">2.  Startup/capital items and perform QA testing and maintenance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2D0FBB28" w14:textId="0029CF31">
            <w:pPr>
              <w:spacing w:after="0"/>
              <w:jc w:val="right"/>
              <w:rPr>
                <w:rFonts w:ascii="Calibri" w:eastAsia="Calibri" w:hAnsi="Calibri" w:cs="Calibri"/>
                <w:color w:val="000000" w:themeColor="text1"/>
              </w:rPr>
            </w:pP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21EDE436" w14:textId="5EFE3F79">
            <w:pPr>
              <w:spacing w:after="0"/>
              <w:jc w:val="right"/>
              <w:rPr>
                <w:rFonts w:ascii="Calibri" w:eastAsia="Calibri" w:hAnsi="Calibri" w:cs="Calibri"/>
                <w:color w:val="000000" w:themeColor="text1"/>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1BC2250C" w14:textId="5AD5F965">
            <w:pPr>
              <w:spacing w:after="0"/>
              <w:jc w:val="right"/>
              <w:rPr>
                <w:rFonts w:ascii="Calibri" w:eastAsia="Calibri" w:hAnsi="Calibri" w:cs="Calibri"/>
                <w:color w:val="000000" w:themeColor="text1"/>
              </w:rPr>
            </w:pPr>
          </w:p>
        </w:tc>
        <w:tc>
          <w:tcPr>
            <w:tcW w:w="171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189F231" w:rsidP="00806177" w14:paraId="033EFAB5" w14:textId="5DCD8A41">
            <w:pPr>
              <w:spacing w:after="0"/>
              <w:jc w:val="right"/>
              <w:rPr>
                <w:rFonts w:ascii="Calibri" w:eastAsia="Calibri" w:hAnsi="Calibri" w:cs="Calibri"/>
                <w:color w:val="000000" w:themeColor="text1"/>
              </w:rPr>
            </w:pPr>
          </w:p>
        </w:tc>
      </w:tr>
      <w:tr w14:paraId="5BC65EA2" w14:textId="77777777" w:rsidTr="00806177">
        <w:tblPrEx>
          <w:tblW w:w="9895" w:type="dxa"/>
          <w:tblLayout w:type="fixed"/>
          <w:tblLook w:val="04A0"/>
        </w:tblPrEx>
        <w:trPr>
          <w:trHeight w:val="600"/>
        </w:trPr>
        <w:tc>
          <w:tcPr>
            <w:tcW w:w="3415" w:type="dxa"/>
            <w:tcBorders>
              <w:top w:val="single" w:sz="8" w:space="0" w:color="auto"/>
              <w:left w:val="single" w:sz="4" w:space="0" w:color="auto"/>
              <w:bottom w:val="single" w:sz="8" w:space="0" w:color="auto"/>
              <w:right w:val="single" w:sz="8" w:space="0" w:color="auto"/>
            </w:tcBorders>
            <w:tcMar>
              <w:top w:w="15" w:type="dxa"/>
              <w:left w:w="450" w:type="dxa"/>
              <w:right w:w="15" w:type="dxa"/>
            </w:tcMar>
            <w:vAlign w:val="center"/>
          </w:tcPr>
          <w:p w:rsidR="0189F231" w:rsidP="00B01151" w14:paraId="7A959A41" w14:textId="44EFA9B5">
            <w:pPr>
              <w:spacing w:after="0"/>
              <w:rPr>
                <w:rFonts w:ascii="Calibri" w:eastAsia="Calibri" w:hAnsi="Calibri" w:cs="Calibri"/>
                <w:color w:val="000000" w:themeColor="text1"/>
              </w:rPr>
            </w:pPr>
            <w:r w:rsidRPr="0189F231">
              <w:rPr>
                <w:rFonts w:ascii="Calibri" w:eastAsia="Calibri" w:hAnsi="Calibri" w:cs="Calibri"/>
                <w:color w:val="000000" w:themeColor="text1"/>
              </w:rPr>
              <w:t>(a)  NO</w:t>
            </w:r>
            <w:r w:rsidRPr="0189F231">
              <w:rPr>
                <w:rFonts w:ascii="Calibri" w:eastAsia="Calibri" w:hAnsi="Calibri" w:cs="Calibri"/>
                <w:color w:val="000000" w:themeColor="text1"/>
                <w:sz w:val="17"/>
                <w:szCs w:val="17"/>
                <w:vertAlign w:val="subscript"/>
              </w:rPr>
              <w:t>X</w:t>
            </w:r>
            <w:r w:rsidRPr="0189F231">
              <w:rPr>
                <w:rFonts w:ascii="Calibri" w:eastAsia="Calibri" w:hAnsi="Calibri" w:cs="Calibri"/>
                <w:color w:val="000000" w:themeColor="text1"/>
              </w:rPr>
              <w:t xml:space="preserve"> and flow CEMS </w:t>
            </w:r>
          </w:p>
        </w:tc>
        <w:tc>
          <w:tcPr>
            <w:tcW w:w="1800" w:type="dxa"/>
            <w:tcBorders>
              <w:top w:val="single" w:sz="8" w:space="0" w:color="000000" w:themeColor="text1"/>
              <w:left w:val="single" w:sz="8" w:space="0" w:color="auto"/>
              <w:bottom w:val="single" w:sz="8" w:space="0" w:color="000000" w:themeColor="text1"/>
              <w:right w:val="nil"/>
            </w:tcBorders>
            <w:tcMar>
              <w:top w:w="15" w:type="dxa"/>
              <w:left w:w="15" w:type="dxa"/>
              <w:right w:w="15" w:type="dxa"/>
            </w:tcMar>
            <w:vAlign w:val="center"/>
          </w:tcPr>
          <w:p w:rsidR="0189F231" w:rsidP="00806177" w14:paraId="6F429438" w14:textId="313DD567">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$31,949</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7B9D3CC1" w14:textId="2C309893">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$30,282</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4338B167" w14:textId="5F5A162B">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61</w:t>
            </w:r>
          </w:p>
        </w:tc>
        <w:tc>
          <w:tcPr>
            <w:tcW w:w="171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189F231" w:rsidP="00806177" w14:paraId="53163B53" w14:textId="1E115680">
            <w:pPr>
              <w:spacing w:after="0"/>
              <w:jc w:val="right"/>
              <w:rPr>
                <w:rFonts w:ascii="Calibri" w:eastAsia="Calibri" w:hAnsi="Calibri" w:cs="Calibri"/>
                <w:color w:val="000000" w:themeColor="text1"/>
              </w:rPr>
            </w:pPr>
            <w:r w:rsidRPr="3A47EAA7">
              <w:rPr>
                <w:rFonts w:ascii="Calibri" w:eastAsia="Calibri" w:hAnsi="Calibri" w:cs="Calibri"/>
                <w:color w:val="000000" w:themeColor="text1"/>
              </w:rPr>
              <w:t>$</w:t>
            </w:r>
            <w:r w:rsidRPr="3A47EAA7" w:rsidR="02388E58">
              <w:rPr>
                <w:rFonts w:ascii="Calibri" w:eastAsia="Calibri" w:hAnsi="Calibri" w:cs="Calibri"/>
                <w:color w:val="000000" w:themeColor="text1"/>
              </w:rPr>
              <w:t>3,796,091</w:t>
            </w:r>
          </w:p>
        </w:tc>
      </w:tr>
      <w:tr w14:paraId="3B4357B8" w14:textId="77777777" w:rsidTr="00806177">
        <w:tblPrEx>
          <w:tblW w:w="9895" w:type="dxa"/>
          <w:tblLayout w:type="fixed"/>
          <w:tblLook w:val="04A0"/>
        </w:tblPrEx>
        <w:trPr>
          <w:trHeight w:val="600"/>
        </w:trPr>
        <w:tc>
          <w:tcPr>
            <w:tcW w:w="3415" w:type="dxa"/>
            <w:tcBorders>
              <w:top w:val="single" w:sz="8" w:space="0" w:color="auto"/>
              <w:left w:val="single" w:sz="4" w:space="0" w:color="auto"/>
              <w:bottom w:val="single" w:sz="8" w:space="0" w:color="auto"/>
              <w:right w:val="single" w:sz="8" w:space="0" w:color="auto"/>
            </w:tcBorders>
            <w:tcMar>
              <w:top w:w="15" w:type="dxa"/>
              <w:left w:w="450" w:type="dxa"/>
              <w:right w:w="15" w:type="dxa"/>
            </w:tcMar>
            <w:vAlign w:val="center"/>
          </w:tcPr>
          <w:p w:rsidR="0189F231" w:rsidP="00B01151" w14:paraId="59127992" w14:textId="04CDD8C0">
            <w:pPr>
              <w:spacing w:after="0"/>
              <w:rPr>
                <w:rFonts w:ascii="Calibri" w:eastAsia="Calibri" w:hAnsi="Calibri" w:cs="Calibri"/>
                <w:color w:val="000000" w:themeColor="text1"/>
              </w:rPr>
            </w:pPr>
            <w:r w:rsidRPr="0189F231">
              <w:rPr>
                <w:rFonts w:ascii="Calibri" w:eastAsia="Calibri" w:hAnsi="Calibri" w:cs="Calibri"/>
                <w:color w:val="000000" w:themeColor="text1"/>
              </w:rPr>
              <w:t>(b)  NO</w:t>
            </w:r>
            <w:r w:rsidRPr="0189F231">
              <w:rPr>
                <w:rFonts w:ascii="Calibri" w:eastAsia="Calibri" w:hAnsi="Calibri" w:cs="Calibri"/>
                <w:color w:val="000000" w:themeColor="text1"/>
                <w:sz w:val="17"/>
                <w:szCs w:val="17"/>
                <w:vertAlign w:val="subscript"/>
              </w:rPr>
              <w:t>X</w:t>
            </w:r>
            <w:r w:rsidRPr="0189F231">
              <w:rPr>
                <w:rFonts w:ascii="Calibri" w:eastAsia="Calibri" w:hAnsi="Calibri" w:cs="Calibri"/>
                <w:color w:val="000000" w:themeColor="text1"/>
              </w:rPr>
              <w:t xml:space="preserve"> CEM and fuel flowmeter </w:t>
            </w:r>
          </w:p>
        </w:tc>
        <w:tc>
          <w:tcPr>
            <w:tcW w:w="1800" w:type="dxa"/>
            <w:tcBorders>
              <w:top w:val="single" w:sz="8" w:space="0" w:color="000000" w:themeColor="text1"/>
              <w:left w:val="single" w:sz="8" w:space="0" w:color="auto"/>
              <w:bottom w:val="single" w:sz="8" w:space="0" w:color="000000" w:themeColor="text1"/>
              <w:right w:val="nil"/>
            </w:tcBorders>
            <w:tcMar>
              <w:top w:w="15" w:type="dxa"/>
              <w:left w:w="15" w:type="dxa"/>
              <w:right w:w="15" w:type="dxa"/>
            </w:tcMar>
            <w:vAlign w:val="center"/>
          </w:tcPr>
          <w:p w:rsidR="0189F231" w:rsidP="00806177" w14:paraId="47AF81D7" w14:textId="1A302F0A">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$17,818</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7B4B5466" w14:textId="4589517F">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$19,661</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664253D6" w14:textId="40085E30">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160</w:t>
            </w:r>
          </w:p>
        </w:tc>
        <w:tc>
          <w:tcPr>
            <w:tcW w:w="171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189F231" w:rsidP="00806177" w14:paraId="5B423045" w14:textId="1C12243E">
            <w:pPr>
              <w:spacing w:after="0"/>
              <w:jc w:val="right"/>
              <w:rPr>
                <w:rFonts w:ascii="Calibri" w:eastAsia="Calibri" w:hAnsi="Calibri" w:cs="Calibri"/>
                <w:color w:val="000000" w:themeColor="text1"/>
              </w:rPr>
            </w:pPr>
            <w:r w:rsidRPr="3A47EAA7">
              <w:rPr>
                <w:rFonts w:ascii="Calibri" w:eastAsia="Calibri" w:hAnsi="Calibri" w:cs="Calibri"/>
                <w:color w:val="000000" w:themeColor="text1"/>
              </w:rPr>
              <w:t>$</w:t>
            </w:r>
            <w:r w:rsidRPr="3A47EAA7" w:rsidR="0F086D18">
              <w:rPr>
                <w:rFonts w:ascii="Calibri" w:eastAsia="Calibri" w:hAnsi="Calibri" w:cs="Calibri"/>
                <w:color w:val="000000" w:themeColor="text1"/>
              </w:rPr>
              <w:t>5,996,640</w:t>
            </w:r>
          </w:p>
        </w:tc>
      </w:tr>
      <w:tr w14:paraId="2DC71F9B" w14:textId="77777777" w:rsidTr="00806177">
        <w:tblPrEx>
          <w:tblW w:w="9895" w:type="dxa"/>
          <w:tblLayout w:type="fixed"/>
          <w:tblLook w:val="04A0"/>
        </w:tblPrEx>
        <w:trPr>
          <w:trHeight w:val="600"/>
        </w:trPr>
        <w:tc>
          <w:tcPr>
            <w:tcW w:w="3415" w:type="dxa"/>
            <w:tcBorders>
              <w:top w:val="single" w:sz="8" w:space="0" w:color="auto"/>
              <w:left w:val="single" w:sz="4" w:space="0" w:color="auto"/>
              <w:bottom w:val="single" w:sz="8" w:space="0" w:color="auto"/>
              <w:right w:val="single" w:sz="8" w:space="0" w:color="auto"/>
            </w:tcBorders>
            <w:tcMar>
              <w:top w:w="15" w:type="dxa"/>
              <w:left w:w="450" w:type="dxa"/>
              <w:right w:w="15" w:type="dxa"/>
            </w:tcMar>
            <w:vAlign w:val="center"/>
          </w:tcPr>
          <w:p w:rsidR="0189F231" w:rsidP="00B01151" w14:paraId="44B91CB5" w14:textId="66988063">
            <w:pPr>
              <w:spacing w:after="0"/>
              <w:rPr>
                <w:rFonts w:ascii="Calibri" w:eastAsia="Calibri" w:hAnsi="Calibri" w:cs="Calibri"/>
                <w:color w:val="000000" w:themeColor="text1"/>
              </w:rPr>
            </w:pPr>
            <w:r w:rsidRPr="0189F231">
              <w:rPr>
                <w:rFonts w:ascii="Calibri" w:eastAsia="Calibri" w:hAnsi="Calibri" w:cs="Calibri"/>
                <w:color w:val="000000" w:themeColor="text1"/>
              </w:rPr>
              <w:t xml:space="preserve">(c)  App. E and fuel flowmeter </w:t>
            </w:r>
          </w:p>
        </w:tc>
        <w:tc>
          <w:tcPr>
            <w:tcW w:w="1800" w:type="dxa"/>
            <w:tcBorders>
              <w:top w:val="single" w:sz="8" w:space="0" w:color="000000" w:themeColor="text1"/>
              <w:left w:val="single" w:sz="8" w:space="0" w:color="auto"/>
              <w:bottom w:val="single" w:sz="8" w:space="0" w:color="000000" w:themeColor="text1"/>
              <w:right w:val="nil"/>
            </w:tcBorders>
            <w:tcMar>
              <w:top w:w="15" w:type="dxa"/>
              <w:left w:w="15" w:type="dxa"/>
              <w:right w:w="15" w:type="dxa"/>
            </w:tcMar>
            <w:vAlign w:val="center"/>
          </w:tcPr>
          <w:p w:rsidR="0189F231" w:rsidP="00806177" w14:paraId="19EA5EA5" w14:textId="7F0518F7">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$1,843</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1535453F" w14:textId="019BAFA6">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$2,359</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5BB88D31" w14:textId="4CAE26C8">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10</w:t>
            </w:r>
          </w:p>
        </w:tc>
        <w:tc>
          <w:tcPr>
            <w:tcW w:w="171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189F231" w:rsidP="00806177" w14:paraId="3BDF5DAD" w14:textId="50129854">
            <w:pPr>
              <w:spacing w:after="0"/>
              <w:jc w:val="right"/>
              <w:rPr>
                <w:rFonts w:ascii="Calibri" w:eastAsia="Calibri" w:hAnsi="Calibri" w:cs="Calibri"/>
                <w:color w:val="000000" w:themeColor="text1"/>
              </w:rPr>
            </w:pPr>
            <w:r w:rsidRPr="3A47EAA7">
              <w:rPr>
                <w:rFonts w:ascii="Calibri" w:eastAsia="Calibri" w:hAnsi="Calibri" w:cs="Calibri"/>
                <w:color w:val="000000" w:themeColor="text1"/>
              </w:rPr>
              <w:t>$</w:t>
            </w:r>
            <w:r w:rsidRPr="3A47EAA7" w:rsidR="366147A0">
              <w:rPr>
                <w:rFonts w:ascii="Calibri" w:eastAsia="Calibri" w:hAnsi="Calibri" w:cs="Calibri"/>
                <w:color w:val="000000" w:themeColor="text1"/>
              </w:rPr>
              <w:t>42,020</w:t>
            </w:r>
          </w:p>
        </w:tc>
      </w:tr>
      <w:tr w14:paraId="1C814714" w14:textId="77777777" w:rsidTr="00806177">
        <w:tblPrEx>
          <w:tblW w:w="9895" w:type="dxa"/>
          <w:tblLayout w:type="fixed"/>
          <w:tblLook w:val="04A0"/>
        </w:tblPrEx>
        <w:trPr>
          <w:trHeight w:val="600"/>
        </w:trPr>
        <w:tc>
          <w:tcPr>
            <w:tcW w:w="3415" w:type="dxa"/>
            <w:tcBorders>
              <w:top w:val="single" w:sz="8" w:space="0" w:color="auto"/>
              <w:left w:val="single" w:sz="4" w:space="0" w:color="auto"/>
              <w:bottom w:val="single" w:sz="8" w:space="0" w:color="auto"/>
              <w:right w:val="single" w:sz="8" w:space="0" w:color="auto"/>
            </w:tcBorders>
            <w:tcMar>
              <w:top w:w="15" w:type="dxa"/>
              <w:left w:w="450" w:type="dxa"/>
              <w:right w:w="15" w:type="dxa"/>
            </w:tcMar>
            <w:vAlign w:val="center"/>
          </w:tcPr>
          <w:p w:rsidR="0189F231" w:rsidP="00B01151" w14:paraId="25676C64" w14:textId="0237A798">
            <w:pPr>
              <w:spacing w:after="0"/>
              <w:rPr>
                <w:rFonts w:ascii="Calibri" w:eastAsia="Calibri" w:hAnsi="Calibri" w:cs="Calibri"/>
                <w:color w:val="000000" w:themeColor="text1"/>
              </w:rPr>
            </w:pPr>
            <w:r w:rsidRPr="0189F231">
              <w:rPr>
                <w:rFonts w:ascii="Calibri" w:eastAsia="Calibri" w:hAnsi="Calibri" w:cs="Calibri"/>
                <w:color w:val="000000" w:themeColor="text1"/>
              </w:rPr>
              <w:t xml:space="preserve">(d)  LME </w:t>
            </w:r>
          </w:p>
        </w:tc>
        <w:tc>
          <w:tcPr>
            <w:tcW w:w="1800" w:type="dxa"/>
            <w:tcBorders>
              <w:top w:val="single" w:sz="8" w:space="0" w:color="000000" w:themeColor="text1"/>
              <w:left w:val="single" w:sz="8" w:space="0" w:color="auto"/>
              <w:bottom w:val="single" w:sz="8" w:space="0" w:color="000000" w:themeColor="text1"/>
              <w:right w:val="nil"/>
            </w:tcBorders>
            <w:tcMar>
              <w:top w:w="15" w:type="dxa"/>
              <w:left w:w="15" w:type="dxa"/>
              <w:right w:w="15" w:type="dxa"/>
            </w:tcMar>
            <w:vAlign w:val="center"/>
          </w:tcPr>
          <w:p w:rsidR="0189F231" w:rsidP="00806177" w14:paraId="1CCF9056" w14:textId="746AB35E">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$1,991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47B0FBCB" w14:textId="3C7009B8">
            <w:pPr>
              <w:spacing w:after="0"/>
              <w:jc w:val="right"/>
              <w:rPr>
                <w:rFonts w:ascii="Calibri" w:eastAsia="Calibri" w:hAnsi="Calibri" w:cs="Calibri"/>
                <w:color w:val="000000" w:themeColor="text1"/>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53C65C23" w14:textId="3131B954">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145</w:t>
            </w:r>
          </w:p>
        </w:tc>
        <w:tc>
          <w:tcPr>
            <w:tcW w:w="171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189F231" w:rsidP="00806177" w14:paraId="3AFEB440" w14:textId="5B9F8B0E">
            <w:pPr>
              <w:spacing w:after="0"/>
              <w:jc w:val="right"/>
              <w:rPr>
                <w:rFonts w:ascii="Calibri" w:eastAsia="Calibri" w:hAnsi="Calibri" w:cs="Calibri"/>
                <w:color w:val="000000" w:themeColor="text1"/>
              </w:rPr>
            </w:pPr>
            <w:r w:rsidRPr="3A47EAA7">
              <w:rPr>
                <w:rFonts w:ascii="Calibri" w:eastAsia="Calibri" w:hAnsi="Calibri" w:cs="Calibri"/>
                <w:color w:val="000000" w:themeColor="text1"/>
              </w:rPr>
              <w:t>$</w:t>
            </w:r>
            <w:r w:rsidRPr="3A47EAA7" w:rsidR="28CA39C2">
              <w:rPr>
                <w:rFonts w:ascii="Calibri" w:eastAsia="Calibri" w:hAnsi="Calibri" w:cs="Calibri"/>
                <w:color w:val="000000" w:themeColor="text1"/>
              </w:rPr>
              <w:t>288,695</w:t>
            </w:r>
          </w:p>
        </w:tc>
      </w:tr>
      <w:tr w14:paraId="5D0DC0D8" w14:textId="77777777" w:rsidTr="00806177">
        <w:tblPrEx>
          <w:tblW w:w="9895" w:type="dxa"/>
          <w:tblLayout w:type="fixed"/>
          <w:tblLook w:val="04A0"/>
        </w:tblPrEx>
        <w:trPr>
          <w:trHeight w:val="600"/>
        </w:trPr>
        <w:tc>
          <w:tcPr>
            <w:tcW w:w="3415" w:type="dxa"/>
            <w:tcBorders>
              <w:top w:val="single" w:sz="8" w:space="0" w:color="auto"/>
              <w:left w:val="single" w:sz="4" w:space="0" w:color="auto"/>
              <w:bottom w:val="single" w:sz="8" w:space="0" w:color="auto"/>
              <w:right w:val="single" w:sz="8" w:space="0" w:color="auto"/>
            </w:tcBorders>
            <w:tcMar>
              <w:top w:w="15" w:type="dxa"/>
              <w:left w:w="225" w:type="dxa"/>
              <w:right w:w="15" w:type="dxa"/>
            </w:tcMar>
            <w:vAlign w:val="center"/>
          </w:tcPr>
          <w:p w:rsidR="0189F231" w:rsidP="00B01151" w14:paraId="76BC3AF5" w14:textId="081D566F">
            <w:pPr>
              <w:spacing w:after="0"/>
              <w:rPr>
                <w:rFonts w:ascii="Calibri" w:eastAsia="Calibri" w:hAnsi="Calibri" w:cs="Calibri"/>
                <w:color w:val="000000" w:themeColor="text1"/>
              </w:rPr>
            </w:pPr>
            <w:r w:rsidRPr="0189F231">
              <w:rPr>
                <w:rFonts w:ascii="Calibri" w:eastAsia="Calibri" w:hAnsi="Calibri" w:cs="Calibri"/>
                <w:color w:val="000000" w:themeColor="text1"/>
              </w:rPr>
              <w:t xml:space="preserve">       (e) Non-part 75  </w:t>
            </w:r>
          </w:p>
        </w:tc>
        <w:tc>
          <w:tcPr>
            <w:tcW w:w="1800" w:type="dxa"/>
            <w:tcBorders>
              <w:top w:val="single" w:sz="8" w:space="0" w:color="000000" w:themeColor="text1"/>
              <w:left w:val="single" w:sz="8" w:space="0" w:color="auto"/>
              <w:bottom w:val="single" w:sz="8" w:space="0" w:color="000000" w:themeColor="text1"/>
              <w:right w:val="nil"/>
            </w:tcBorders>
            <w:tcMar>
              <w:top w:w="15" w:type="dxa"/>
              <w:left w:w="15" w:type="dxa"/>
              <w:right w:w="15" w:type="dxa"/>
            </w:tcMar>
            <w:vAlign w:val="center"/>
          </w:tcPr>
          <w:p w:rsidR="0189F231" w:rsidP="00806177" w14:paraId="604D5681" w14:textId="12A67320">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$1,991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5C6EB947" w14:textId="169B60B4">
            <w:pPr>
              <w:spacing w:after="0"/>
              <w:jc w:val="right"/>
              <w:rPr>
                <w:rFonts w:ascii="Calibri" w:eastAsia="Calibri" w:hAnsi="Calibri" w:cs="Calibri"/>
                <w:color w:val="000000" w:themeColor="text1"/>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89F231" w:rsidP="00806177" w14:paraId="2915A3CD" w14:textId="61D99734">
            <w:pPr>
              <w:spacing w:after="0"/>
              <w:jc w:val="right"/>
              <w:rPr>
                <w:rFonts w:ascii="Calibri" w:eastAsia="Calibri" w:hAnsi="Calibri" w:cs="Calibri"/>
                <w:color w:val="000000" w:themeColor="text1"/>
              </w:rPr>
            </w:pPr>
            <w:r w:rsidRPr="0189F231">
              <w:rPr>
                <w:rFonts w:ascii="Calibri" w:eastAsia="Calibri" w:hAnsi="Calibri" w:cs="Calibri"/>
                <w:color w:val="000000" w:themeColor="text1"/>
              </w:rPr>
              <w:t>5</w:t>
            </w:r>
          </w:p>
        </w:tc>
        <w:tc>
          <w:tcPr>
            <w:tcW w:w="1710"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rsidR="0189F231" w:rsidP="00806177" w14:paraId="77556BD7" w14:textId="738AA078">
            <w:pPr>
              <w:spacing w:after="0"/>
              <w:jc w:val="right"/>
              <w:rPr>
                <w:rFonts w:ascii="Calibri" w:eastAsia="Calibri" w:hAnsi="Calibri" w:cs="Calibri"/>
                <w:color w:val="000000" w:themeColor="text1"/>
              </w:rPr>
            </w:pPr>
            <w:r w:rsidRPr="3A47EAA7">
              <w:rPr>
                <w:rFonts w:ascii="Calibri" w:eastAsia="Calibri" w:hAnsi="Calibri" w:cs="Calibri"/>
                <w:color w:val="000000" w:themeColor="text1"/>
              </w:rPr>
              <w:t>$</w:t>
            </w:r>
            <w:r w:rsidRPr="3A47EAA7" w:rsidR="47E12C96">
              <w:rPr>
                <w:rFonts w:ascii="Calibri" w:eastAsia="Calibri" w:hAnsi="Calibri" w:cs="Calibri"/>
                <w:color w:val="000000" w:themeColor="text1"/>
              </w:rPr>
              <w:t>9,955</w:t>
            </w:r>
          </w:p>
        </w:tc>
      </w:tr>
      <w:tr w14:paraId="32599CE8" w14:textId="77777777" w:rsidTr="00806177">
        <w:tblPrEx>
          <w:tblW w:w="9895" w:type="dxa"/>
          <w:tblLayout w:type="fixed"/>
          <w:tblLook w:val="04A0"/>
        </w:tblPrEx>
        <w:trPr>
          <w:trHeight w:val="600"/>
        </w:trPr>
        <w:tc>
          <w:tcPr>
            <w:tcW w:w="3415" w:type="dxa"/>
            <w:tcBorders>
              <w:top w:val="single" w:sz="8" w:space="0" w:color="auto"/>
              <w:left w:val="single" w:sz="4"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center"/>
          </w:tcPr>
          <w:p w:rsidR="0189F231" w:rsidRPr="003E707C" w:rsidP="00806177" w14:paraId="5E9DF512" w14:textId="4980E1A8">
            <w:pPr>
              <w:spacing w:after="0"/>
              <w:rPr>
                <w:rFonts w:ascii="Calibri" w:eastAsia="Calibri" w:hAnsi="Calibri" w:cs="Calibri"/>
                <w:b/>
                <w:bCs/>
                <w:color w:val="000000" w:themeColor="text1"/>
              </w:rPr>
            </w:pPr>
            <w:r w:rsidRPr="003E707C">
              <w:rPr>
                <w:rFonts w:ascii="Calibri" w:eastAsia="Calibri" w:hAnsi="Calibri" w:cs="Calibri"/>
                <w:b/>
                <w:bCs/>
                <w:color w:val="000000" w:themeColor="text1"/>
              </w:rPr>
              <w:t>TOTAL:</w:t>
            </w:r>
          </w:p>
        </w:tc>
        <w:tc>
          <w:tcPr>
            <w:tcW w:w="1800" w:type="dxa"/>
            <w:tcBorders>
              <w:top w:val="single" w:sz="8" w:space="0" w:color="000000" w:themeColor="text1"/>
              <w:left w:val="single" w:sz="8" w:space="0" w:color="auto"/>
              <w:bottom w:val="single" w:sz="4" w:space="0" w:color="000000" w:themeColor="text1"/>
              <w:right w:val="single" w:sz="8" w:space="0" w:color="000000" w:themeColor="text1"/>
            </w:tcBorders>
            <w:shd w:val="clear" w:color="auto" w:fill="F2F2F2" w:themeFill="background1" w:themeFillShade="F2"/>
            <w:tcMar>
              <w:top w:w="15" w:type="dxa"/>
              <w:left w:w="15" w:type="dxa"/>
              <w:right w:w="15" w:type="dxa"/>
            </w:tcMar>
            <w:vAlign w:val="center"/>
          </w:tcPr>
          <w:p w:rsidR="0189F231" w:rsidRPr="003E707C" w:rsidP="00806177" w14:paraId="26FA5933" w14:textId="283B2218">
            <w:pPr>
              <w:spacing w:after="0"/>
              <w:jc w:val="right"/>
              <w:rPr>
                <w:rFonts w:ascii="Calibri" w:eastAsia="Calibri" w:hAnsi="Calibri" w:cs="Calibri"/>
                <w:b/>
                <w:bCs/>
                <w:color w:val="000000" w:themeColor="text1"/>
              </w:rPr>
            </w:pPr>
          </w:p>
        </w:tc>
        <w:tc>
          <w:tcPr>
            <w:tcW w:w="1440"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2F2F2" w:themeFill="background1" w:themeFillShade="F2"/>
            <w:tcMar>
              <w:top w:w="15" w:type="dxa"/>
              <w:left w:w="15" w:type="dxa"/>
              <w:right w:w="15" w:type="dxa"/>
            </w:tcMar>
            <w:vAlign w:val="center"/>
          </w:tcPr>
          <w:p w:rsidR="0189F231" w:rsidRPr="003E707C" w:rsidP="00806177" w14:paraId="5044D613" w14:textId="7F97A7FD">
            <w:pPr>
              <w:spacing w:after="0"/>
              <w:jc w:val="right"/>
              <w:rPr>
                <w:rFonts w:ascii="Calibri" w:eastAsia="Calibri" w:hAnsi="Calibri" w:cs="Calibri"/>
                <w:b/>
                <w:bCs/>
                <w:color w:val="000000" w:themeColor="text1"/>
              </w:rPr>
            </w:pPr>
          </w:p>
        </w:tc>
        <w:tc>
          <w:tcPr>
            <w:tcW w:w="1530"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2F2F2" w:themeFill="background1" w:themeFillShade="F2"/>
            <w:tcMar>
              <w:top w:w="15" w:type="dxa"/>
              <w:left w:w="15" w:type="dxa"/>
              <w:right w:w="15" w:type="dxa"/>
            </w:tcMar>
            <w:vAlign w:val="center"/>
          </w:tcPr>
          <w:p w:rsidR="0189F231" w:rsidRPr="003E707C" w:rsidP="00806177" w14:paraId="34B1FA52" w14:textId="78149ABB">
            <w:pPr>
              <w:spacing w:after="0"/>
              <w:jc w:val="right"/>
              <w:rPr>
                <w:rFonts w:ascii="Calibri" w:eastAsia="Calibri" w:hAnsi="Calibri" w:cs="Calibri"/>
                <w:b/>
                <w:bCs/>
                <w:color w:val="000000" w:themeColor="text1"/>
              </w:rPr>
            </w:pPr>
          </w:p>
        </w:tc>
        <w:tc>
          <w:tcPr>
            <w:tcW w:w="1710"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rsidR="0189F231" w:rsidRPr="003E707C" w:rsidP="00806177" w14:paraId="7C9EB3DD" w14:textId="7FCF53E4">
            <w:pPr>
              <w:spacing w:after="0"/>
              <w:jc w:val="right"/>
              <w:rPr>
                <w:rFonts w:ascii="Calibri" w:eastAsia="Calibri" w:hAnsi="Calibri" w:cs="Calibri"/>
                <w:b/>
                <w:bCs/>
                <w:color w:val="000000" w:themeColor="text1"/>
              </w:rPr>
            </w:pPr>
            <w:r w:rsidRPr="003E707C">
              <w:rPr>
                <w:rFonts w:ascii="Calibri" w:eastAsia="Calibri" w:hAnsi="Calibri" w:cs="Calibri"/>
                <w:b/>
                <w:bCs/>
                <w:color w:val="000000" w:themeColor="text1"/>
              </w:rPr>
              <w:t>$</w:t>
            </w:r>
            <w:r w:rsidRPr="003E707C" w:rsidR="0493FEF8">
              <w:rPr>
                <w:rFonts w:ascii="Calibri" w:eastAsia="Calibri" w:hAnsi="Calibri" w:cs="Calibri"/>
                <w:b/>
                <w:bCs/>
                <w:color w:val="000000" w:themeColor="text1"/>
              </w:rPr>
              <w:t>10,398,033</w:t>
            </w:r>
          </w:p>
        </w:tc>
      </w:tr>
    </w:tbl>
    <w:p w:rsidR="69820EE8" w:rsidP="69820EE8" w14:paraId="58E65A80" w14:textId="4B880104">
      <w:pPr>
        <w:tabs>
          <w:tab w:val="left" w:pos="426"/>
          <w:tab w:val="left" w:pos="960"/>
          <w:tab w:val="left" w:pos="1560"/>
          <w:tab w:val="left" w:pos="2160"/>
          <w:tab w:val="left" w:pos="2760"/>
          <w:tab w:val="left" w:pos="3360"/>
          <w:tab w:val="left" w:pos="6480"/>
          <w:tab w:val="left" w:pos="8640"/>
          <w:tab w:val="left" w:pos="10080"/>
        </w:tabs>
        <w:jc w:val="center"/>
        <w:rPr>
          <w:highlight w:val="yellow"/>
        </w:rPr>
      </w:pPr>
    </w:p>
    <w:bookmarkEnd w:id="19"/>
    <w:p w:rsidR="00C776F5" w:rsidRPr="00C776F5" w:rsidP="00C776F5" w14:paraId="523EAFC2" w14:textId="77777777">
      <w:pPr>
        <w:numPr>
          <w:ilvl w:val="12"/>
          <w:numId w:val="0"/>
        </w:numPr>
        <w:tabs>
          <w:tab w:val="left" w:pos="0"/>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rsidR="00023EFE" w:rsidRPr="00CF01E1" w:rsidP="003D667E" w14:paraId="7D2BF7DE" w14:textId="77777777">
      <w:pPr>
        <w:pStyle w:val="ListParagraph"/>
        <w:numPr>
          <w:ilvl w:val="0"/>
          <w:numId w:val="2"/>
        </w:numPr>
        <w:pBdr>
          <w:bottom w:val="single" w:sz="4" w:space="1" w:color="auto"/>
        </w:pBdr>
        <w:spacing w:before="240" w:after="0"/>
        <w:rPr>
          <w:rFonts w:cstheme="minorHAnsi"/>
          <w:b/>
          <w:bCs/>
        </w:rPr>
      </w:pPr>
      <w:bookmarkStart w:id="20" w:name="_Toc156593387"/>
      <w:r w:rsidRPr="00CF01E1">
        <w:rPr>
          <w:rFonts w:cstheme="minorHAnsi"/>
          <w:b/>
          <w:bCs/>
        </w:rPr>
        <w:t xml:space="preserve">AGENCY </w:t>
      </w:r>
      <w:bookmarkStart w:id="21" w:name="_Toc156593388"/>
      <w:bookmarkEnd w:id="20"/>
      <w:r w:rsidRPr="00CF01E1" w:rsidR="00BB2B15">
        <w:rPr>
          <w:rFonts w:cstheme="minorHAnsi"/>
          <w:b/>
          <w:bCs/>
        </w:rPr>
        <w:t>COSTS</w:t>
      </w:r>
    </w:p>
    <w:p w:rsidR="001F0834" w:rsidRPr="00CF01E1" w:rsidP="00854AAE" w14:paraId="3D696CEA" w14:textId="77777777">
      <w:pPr>
        <w:pBdr>
          <w:bottom w:val="single" w:sz="4" w:space="1" w:color="auto"/>
        </w:pBdr>
        <w:rPr>
          <w:rFonts w:cstheme="minorHAnsi"/>
          <w:bCs/>
          <w:i/>
          <w:iCs/>
        </w:rPr>
      </w:pPr>
      <w:r w:rsidRPr="00CF01E1">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CF01E1" w:rsidP="00854AAE" w14:paraId="1D8BBDEC" w14:textId="7D3333D9">
      <w:pPr>
        <w:spacing w:before="120" w:after="0"/>
        <w:rPr>
          <w:rFonts w:cstheme="minorHAnsi"/>
          <w:b/>
          <w:bCs/>
        </w:rPr>
      </w:pPr>
      <w:r w:rsidRPr="00CF01E1">
        <w:rPr>
          <w:rFonts w:eastAsiaTheme="majorEastAsia" w:cstheme="minorHAnsi"/>
          <w:b/>
          <w:bCs/>
        </w:rPr>
        <w:t xml:space="preserve">14a. </w:t>
      </w:r>
      <w:r w:rsidRPr="00CF01E1" w:rsidR="00BB2B15">
        <w:rPr>
          <w:rFonts w:eastAsiaTheme="majorEastAsia" w:cstheme="minorHAnsi"/>
          <w:b/>
          <w:bCs/>
        </w:rPr>
        <w:t>Agency Activities</w:t>
      </w:r>
    </w:p>
    <w:p w:rsidR="001249A3" w:rsidP="003D667E" w14:paraId="3ED97E70" w14:textId="77777777">
      <w:pPr>
        <w:pStyle w:val="ListParagraph"/>
        <w:keepNext/>
        <w:keepLines/>
        <w:numPr>
          <w:ilvl w:val="0"/>
          <w:numId w:val="6"/>
        </w:numPr>
        <w:spacing w:before="60"/>
        <w:rPr>
          <w:rFonts w:cstheme="minorHAnsi"/>
        </w:rPr>
      </w:pPr>
      <w:r>
        <w:rPr>
          <w:rFonts w:cstheme="minorHAnsi"/>
        </w:rPr>
        <w:t>Agency Activities</w:t>
      </w:r>
    </w:p>
    <w:p w:rsidR="00A615A5" w:rsidP="003D667E" w14:paraId="04D60C24" w14:textId="354F50BF">
      <w:pPr>
        <w:pStyle w:val="ListParagraph"/>
        <w:keepNext/>
        <w:keepLines/>
        <w:numPr>
          <w:ilvl w:val="1"/>
          <w:numId w:val="6"/>
        </w:numPr>
        <w:spacing w:before="60"/>
        <w:rPr>
          <w:rFonts w:cstheme="minorHAnsi"/>
        </w:rPr>
      </w:pPr>
      <w:r w:rsidRPr="001249A3">
        <w:rPr>
          <w:rFonts w:cstheme="minorHAnsi"/>
        </w:rPr>
        <w:t>The tasks that are performed by EPA include processing, reviewing, and evaluating emissions data reports submitted by the affected units, and conducting appropriate audit activities to verify the information provided.</w:t>
      </w:r>
    </w:p>
    <w:p w:rsidR="001249A3" w:rsidRPr="001249A3" w:rsidP="001249A3" w14:paraId="3C839F3E" w14:textId="77777777">
      <w:pPr>
        <w:pStyle w:val="ListParagraph"/>
        <w:keepNext/>
        <w:keepLines/>
        <w:spacing w:before="60"/>
        <w:ind w:left="1440"/>
        <w:rPr>
          <w:rFonts w:cstheme="minorHAnsi"/>
        </w:rPr>
      </w:pPr>
    </w:p>
    <w:p w:rsidR="001249A3" w:rsidP="003D667E" w14:paraId="5C99F870" w14:textId="2664FED1">
      <w:pPr>
        <w:pStyle w:val="ListParagraph"/>
        <w:keepNext/>
        <w:keepLines/>
        <w:numPr>
          <w:ilvl w:val="0"/>
          <w:numId w:val="6"/>
        </w:numPr>
        <w:spacing w:before="60"/>
        <w:rPr>
          <w:rFonts w:cstheme="minorHAnsi"/>
        </w:rPr>
      </w:pPr>
      <w:r>
        <w:rPr>
          <w:rFonts w:cstheme="minorHAnsi"/>
        </w:rPr>
        <w:t>Collection Methodology and Management</w:t>
      </w:r>
    </w:p>
    <w:p w:rsidR="001249A3" w:rsidRPr="00F3526B" w:rsidP="00854AAE" w14:paraId="0761967A" w14:textId="620BE668">
      <w:pPr>
        <w:pStyle w:val="ListParagraph"/>
        <w:keepNext/>
        <w:keepLines/>
        <w:numPr>
          <w:ilvl w:val="1"/>
          <w:numId w:val="6"/>
        </w:numPr>
        <w:spacing w:before="60"/>
        <w:rPr>
          <w:rFonts w:cstheme="minorHAnsi"/>
        </w:rPr>
      </w:pPr>
      <w:r w:rsidRPr="001249A3">
        <w:rPr>
          <w:rFonts w:cstheme="minorHAnsi"/>
        </w:rPr>
        <w:t>Several computer systems and associated databases have been developed to record quarterly emissions monitoring data under Part 75. The systems and databases are designed to coordinate the information for easy access and use by the Agency, states, regulated community, and the public. EPA provides access to the emissions data in both detailed and summary formats on the Clean Air Markets Division website.</w:t>
      </w:r>
    </w:p>
    <w:p w:rsidR="00023EFE" w:rsidRPr="00CF01E1" w:rsidP="00854AAE" w14:paraId="30F74537" w14:textId="3975E491">
      <w:pPr>
        <w:spacing w:before="120" w:after="0"/>
        <w:rPr>
          <w:rFonts w:cstheme="minorHAnsi"/>
          <w:b/>
          <w:bCs/>
        </w:rPr>
      </w:pPr>
      <w:r w:rsidRPr="00CF01E1">
        <w:rPr>
          <w:rFonts w:eastAsiaTheme="majorEastAsia" w:cstheme="minorHAnsi"/>
          <w:b/>
          <w:bCs/>
        </w:rPr>
        <w:t xml:space="preserve">14b. </w:t>
      </w:r>
      <w:r w:rsidRPr="00CF01E1" w:rsidR="00BB2B15">
        <w:rPr>
          <w:rFonts w:eastAsiaTheme="majorEastAsia" w:cstheme="minorHAnsi"/>
          <w:b/>
          <w:bCs/>
        </w:rPr>
        <w:t>Agency Labor Cost</w:t>
      </w:r>
    </w:p>
    <w:p w:rsidR="00237340" w:rsidRPr="00BB47CB" w:rsidP="00352E22" w14:paraId="7617931A" w14:textId="4090781D">
      <w:pPr>
        <w:pStyle w:val="NormalWeb"/>
        <w:rPr>
          <w:rFonts w:asciiTheme="minorHAnsi" w:hAnsiTheme="minorHAnsi" w:cstheme="minorBidi"/>
          <w:highlight w:val="yellow"/>
        </w:rPr>
      </w:pPr>
      <w:r w:rsidRPr="7C21D2F9">
        <w:rPr>
          <w:rFonts w:asciiTheme="minorHAnsi" w:hAnsiTheme="minorHAnsi" w:cstheme="minorBidi"/>
        </w:rPr>
        <w:t xml:space="preserve">The tasks that </w:t>
      </w:r>
      <w:r w:rsidRPr="003E707C">
        <w:rPr>
          <w:rFonts w:asciiTheme="minorHAnsi" w:hAnsiTheme="minorHAnsi" w:cstheme="minorBidi"/>
        </w:rPr>
        <w:t xml:space="preserve">will be performed by EPA include processing, reviewing, and evaluating emissions data reports submitted by the affected units, and conducting appropriate audit activities to verify the information provided.  Assuming that </w:t>
      </w:r>
      <w:r w:rsidRPr="003E707C" w:rsidR="7544DC28">
        <w:rPr>
          <w:rFonts w:asciiTheme="minorHAnsi" w:hAnsiTheme="minorHAnsi" w:cstheme="minorBidi"/>
        </w:rPr>
        <w:t>376</w:t>
      </w:r>
      <w:r w:rsidRPr="003E707C">
        <w:rPr>
          <w:rFonts w:asciiTheme="minorHAnsi" w:hAnsiTheme="minorHAnsi" w:cstheme="minorBidi"/>
        </w:rPr>
        <w:t xml:space="preserve"> affected units will submit </w:t>
      </w:r>
      <w:r w:rsidRPr="003E707C" w:rsidR="1F76D054">
        <w:rPr>
          <w:rFonts w:asciiTheme="minorHAnsi" w:hAnsiTheme="minorHAnsi" w:cstheme="minorBidi"/>
        </w:rPr>
        <w:t>1,182</w:t>
      </w:r>
      <w:r w:rsidRPr="003E707C">
        <w:rPr>
          <w:rFonts w:asciiTheme="minorHAnsi" w:hAnsiTheme="minorHAnsi" w:cstheme="minorBidi"/>
        </w:rPr>
        <w:t xml:space="preserve"> quarterly emission reports to EPA each year, the total annual burden incurred by the Agency will be </w:t>
      </w:r>
      <w:r w:rsidRPr="003E707C" w:rsidR="6B2772E3">
        <w:rPr>
          <w:rFonts w:asciiTheme="minorHAnsi" w:hAnsiTheme="minorHAnsi" w:cstheme="minorBidi"/>
        </w:rPr>
        <w:t>1,182</w:t>
      </w:r>
      <w:r w:rsidRPr="003E707C">
        <w:rPr>
          <w:rFonts w:asciiTheme="minorHAnsi" w:hAnsiTheme="minorHAnsi" w:cstheme="minorBidi"/>
        </w:rPr>
        <w:t xml:space="preserve">hours.  (The estimated annual total of </w:t>
      </w:r>
      <w:r w:rsidRPr="003E707C" w:rsidR="035AFFED">
        <w:rPr>
          <w:rFonts w:asciiTheme="minorHAnsi" w:hAnsiTheme="minorHAnsi" w:cstheme="minorBidi"/>
        </w:rPr>
        <w:t>1,182</w:t>
      </w:r>
      <w:r w:rsidRPr="003E707C">
        <w:rPr>
          <w:rFonts w:asciiTheme="minorHAnsi" w:hAnsiTheme="minorHAnsi" w:cstheme="minorBidi"/>
        </w:rPr>
        <w:t xml:space="preserve"> quarterly emissions reports is based on an assumption that </w:t>
      </w:r>
      <w:r w:rsidRPr="003E707C" w:rsidR="64EB0973">
        <w:rPr>
          <w:rFonts w:asciiTheme="minorHAnsi" w:hAnsiTheme="minorHAnsi" w:cstheme="minorBidi"/>
        </w:rPr>
        <w:t>215</w:t>
      </w:r>
      <w:r w:rsidRPr="003E707C">
        <w:rPr>
          <w:rFonts w:asciiTheme="minorHAnsi" w:hAnsiTheme="minorHAnsi" w:cstheme="minorBidi"/>
        </w:rPr>
        <w:t xml:space="preserve"> units will submit reports for all four quarters each year and </w:t>
      </w:r>
      <w:r w:rsidRPr="003E707C" w:rsidR="2CBB26A7">
        <w:rPr>
          <w:rFonts w:asciiTheme="minorHAnsi" w:hAnsiTheme="minorHAnsi" w:cstheme="minorBidi"/>
        </w:rPr>
        <w:t>161</w:t>
      </w:r>
      <w:r w:rsidRPr="003E707C">
        <w:rPr>
          <w:rFonts w:asciiTheme="minorHAnsi" w:hAnsiTheme="minorHAnsi" w:cstheme="minorBidi"/>
        </w:rPr>
        <w:t>units will submit reports only for the two quarters each year that encompass the May-September ozone season.) The total annual cost to EPA for processing, reviewing, and evaluating these quarterly emissions reports will be approximately $</w:t>
      </w:r>
      <w:r w:rsidRPr="003E707C" w:rsidR="014C8A40">
        <w:rPr>
          <w:rFonts w:asciiTheme="minorHAnsi" w:hAnsiTheme="minorHAnsi" w:cstheme="minorBidi"/>
        </w:rPr>
        <w:t>111,687</w:t>
      </w:r>
      <w:r w:rsidRPr="003E707C">
        <w:rPr>
          <w:rFonts w:asciiTheme="minorHAnsi" w:hAnsiTheme="minorHAnsi" w:cstheme="minorBidi"/>
        </w:rPr>
        <w:t xml:space="preserve">. </w:t>
      </w:r>
    </w:p>
    <w:p w:rsidR="00237340" w:rsidRPr="00BB47CB" w:rsidP="00237340" w14:paraId="017335CC" w14:textId="77777777">
      <w:pPr>
        <w:pStyle w:val="NormalWeb"/>
        <w:ind w:firstLine="720"/>
        <w:rPr>
          <w:rFonts w:asciiTheme="minorHAnsi" w:hAnsiTheme="minorHAnsi" w:cstheme="minorHAnsi"/>
          <w:highlight w:val="yellow"/>
        </w:rPr>
      </w:pPr>
    </w:p>
    <w:p w:rsidR="00237340" w:rsidRPr="00C94CC1" w:rsidP="00237340" w14:paraId="3BE39592" w14:textId="599D7020">
      <w:pPr>
        <w:rPr>
          <w:rFonts w:cstheme="minorHAnsi"/>
        </w:rPr>
      </w:pPr>
      <w:r w:rsidRPr="00D7384B">
        <w:rPr>
          <w:rFonts w:cstheme="minorHAnsi"/>
        </w:rPr>
        <w:t>Federal agency labor rates were assumed to be $</w:t>
      </w:r>
      <w:r w:rsidRPr="00D7384B" w:rsidR="00D7384B">
        <w:rPr>
          <w:rFonts w:cstheme="minorHAnsi"/>
        </w:rPr>
        <w:t>94.49</w:t>
      </w:r>
      <w:r w:rsidRPr="00D7384B">
        <w:rPr>
          <w:rFonts w:cstheme="minorHAnsi"/>
        </w:rPr>
        <w:t xml:space="preserve"> per hour.  This labor rate was derived from the federal government's 202</w:t>
      </w:r>
      <w:r w:rsidRPr="00D7384B" w:rsidR="00D7384B">
        <w:rPr>
          <w:rFonts w:cstheme="minorHAnsi"/>
        </w:rPr>
        <w:t>4</w:t>
      </w:r>
      <w:r w:rsidRPr="00D7384B">
        <w:rPr>
          <w:rFonts w:cstheme="minorHAnsi"/>
        </w:rPr>
        <w:t xml:space="preserve"> U.S. Office of Personnel Management General Schedule "Salary Table 202</w:t>
      </w:r>
      <w:r w:rsidRPr="00D7384B" w:rsidR="00D7384B">
        <w:rPr>
          <w:rFonts w:cstheme="minorHAnsi"/>
        </w:rPr>
        <w:t>4</w:t>
      </w:r>
      <w:r w:rsidRPr="00D7384B">
        <w:rPr>
          <w:rFonts w:cstheme="minorHAnsi"/>
        </w:rPr>
        <w:t>-GS" (https://www.opm.gov/policy-data-oversight/pay-leave/salaries-wages/salary-tables/pdf/202</w:t>
      </w:r>
      <w:r w:rsidRPr="00D7384B" w:rsidR="00D7384B">
        <w:rPr>
          <w:rFonts w:cstheme="minorHAnsi"/>
        </w:rPr>
        <w:t>4</w:t>
      </w:r>
      <w:r w:rsidRPr="00D7384B">
        <w:rPr>
          <w:rFonts w:cstheme="minorHAnsi"/>
        </w:rPr>
        <w:t>/GS.pdf) using the factors in the following table.</w:t>
      </w:r>
      <w:r w:rsidRPr="00C94CC1">
        <w:rPr>
          <w:rFonts w:cstheme="minorHAnsi"/>
        </w:rPr>
        <w:t xml:space="preserve">  </w:t>
      </w:r>
    </w:p>
    <w:p w:rsidR="00237340" w:rsidRPr="00C94CC1" w:rsidP="00237340" w14:paraId="24EDE04D" w14:textId="77777777">
      <w:pPr>
        <w:rPr>
          <w:rFonts w:cstheme="minorHAnsi"/>
          <w:b/>
          <w:bCs/>
        </w:rPr>
      </w:pPr>
    </w:p>
    <w:p w:rsidR="00237340" w:rsidRPr="00352E22" w:rsidP="00352E22" w14:paraId="4DBC814C" w14:textId="662C2BE1">
      <w:pPr>
        <w:keepNext/>
        <w:jc w:val="center"/>
        <w:rPr>
          <w:rFonts w:cstheme="minorHAnsi"/>
          <w:color w:val="000000"/>
        </w:rPr>
      </w:pPr>
      <w:r w:rsidRPr="003E707C">
        <w:rPr>
          <w:rFonts w:cstheme="minorHAnsi"/>
          <w:color w:val="000000"/>
        </w:rPr>
        <w:t xml:space="preserve">Table </w:t>
      </w:r>
      <w:r w:rsidRPr="003E707C" w:rsidR="00352E22">
        <w:rPr>
          <w:rFonts w:cstheme="minorHAnsi"/>
          <w:color w:val="000000"/>
        </w:rPr>
        <w:t>14.</w:t>
      </w:r>
      <w:r w:rsidRPr="003E707C">
        <w:rPr>
          <w:rFonts w:cstheme="minorHAnsi"/>
          <w:color w:val="000000"/>
        </w:rPr>
        <w:t>1:  Determination of Federal Wage Rates</w:t>
      </w:r>
    </w:p>
    <w:tbl>
      <w:tblPr>
        <w:tblW w:w="9350" w:type="dxa"/>
        <w:jc w:val="center"/>
        <w:tblLayout w:type="fixed"/>
        <w:tblCellMar>
          <w:top w:w="72" w:type="dxa"/>
          <w:left w:w="72" w:type="dxa"/>
          <w:bottom w:w="72" w:type="dxa"/>
          <w:right w:w="72" w:type="dxa"/>
        </w:tblCellMar>
        <w:tblLook w:val="04A0"/>
      </w:tblPr>
      <w:tblGrid>
        <w:gridCol w:w="6459"/>
        <w:gridCol w:w="1245"/>
        <w:gridCol w:w="1646"/>
      </w:tblGrid>
      <w:tr w14:paraId="18524CD3" w14:textId="77777777" w:rsidTr="003E707C">
        <w:tblPrEx>
          <w:tblW w:w="9350" w:type="dxa"/>
          <w:jc w:val="center"/>
          <w:tblLayout w:type="fixed"/>
          <w:tblCellMar>
            <w:top w:w="72" w:type="dxa"/>
            <w:left w:w="72" w:type="dxa"/>
            <w:bottom w:w="72" w:type="dxa"/>
            <w:right w:w="72" w:type="dxa"/>
          </w:tblCellMar>
          <w:tblLook w:val="04A0"/>
        </w:tblPrEx>
        <w:trPr>
          <w:trHeight w:val="206"/>
          <w:jc w:val="center"/>
        </w:trPr>
        <w:tc>
          <w:tcPr>
            <w:tcW w:w="6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00315" w:rsidRPr="00353D33" w:rsidP="003D7F61" w14:paraId="48F07DB2" w14:textId="664E0E8C">
            <w:pPr>
              <w:keepNext/>
              <w:rPr>
                <w:rFonts w:cstheme="minorHAnsi"/>
                <w:b/>
                <w:bCs/>
                <w:color w:val="000000"/>
              </w:rPr>
            </w:pPr>
            <w:r w:rsidRPr="00353D33">
              <w:rPr>
                <w:rFonts w:cstheme="minorHAnsi"/>
                <w:b/>
                <w:bCs/>
                <w:color w:val="000000"/>
              </w:rPr>
              <w:t>Labor Category</w:t>
            </w:r>
          </w:p>
        </w:tc>
        <w:tc>
          <w:tcPr>
            <w:tcW w:w="124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00315" w:rsidRPr="00353D33" w:rsidP="003D7F61" w14:paraId="4D12F8A5" w14:textId="3E718990">
            <w:pPr>
              <w:keepNext/>
              <w:jc w:val="right"/>
              <w:rPr>
                <w:rFonts w:cstheme="minorHAnsi"/>
                <w:b/>
                <w:bCs/>
                <w:color w:val="000000"/>
              </w:rPr>
            </w:pPr>
            <w:r w:rsidRPr="00353D33">
              <w:rPr>
                <w:rFonts w:cstheme="minorHAnsi"/>
                <w:b/>
                <w:bCs/>
                <w:color w:val="000000"/>
              </w:rPr>
              <w:t>Factors</w:t>
            </w:r>
          </w:p>
        </w:tc>
        <w:tc>
          <w:tcPr>
            <w:tcW w:w="164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00315" w:rsidRPr="00353D33" w:rsidP="003D7F61" w14:paraId="6BD9A9C1" w14:textId="333D666A">
            <w:pPr>
              <w:keepNext/>
              <w:jc w:val="right"/>
              <w:rPr>
                <w:rFonts w:cstheme="minorHAnsi"/>
                <w:b/>
                <w:bCs/>
                <w:color w:val="000000"/>
              </w:rPr>
            </w:pPr>
            <w:r w:rsidRPr="00353D33">
              <w:rPr>
                <w:rFonts w:cstheme="minorHAnsi"/>
                <w:b/>
                <w:bCs/>
                <w:color w:val="000000"/>
              </w:rPr>
              <w:t xml:space="preserve">Total </w:t>
            </w:r>
          </w:p>
        </w:tc>
      </w:tr>
      <w:tr w14:paraId="347F972B" w14:textId="77777777" w:rsidTr="003D7F61">
        <w:tblPrEx>
          <w:tblW w:w="9350" w:type="dxa"/>
          <w:jc w:val="center"/>
          <w:tblLayout w:type="fixed"/>
          <w:tblCellMar>
            <w:top w:w="72" w:type="dxa"/>
            <w:left w:w="72" w:type="dxa"/>
            <w:bottom w:w="72" w:type="dxa"/>
            <w:right w:w="72" w:type="dxa"/>
          </w:tblCellMar>
          <w:tblLook w:val="04A0"/>
        </w:tblPrEx>
        <w:trPr>
          <w:trHeight w:val="206"/>
          <w:jc w:val="center"/>
        </w:trPr>
        <w:tc>
          <w:tcPr>
            <w:tcW w:w="64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7340" w:rsidRPr="00C94CC1" w:rsidP="003D7F61" w14:paraId="53B9143A" w14:textId="77777777">
            <w:pPr>
              <w:keepNext/>
              <w:rPr>
                <w:rFonts w:cstheme="minorHAnsi"/>
                <w:color w:val="000000"/>
              </w:rPr>
            </w:pPr>
            <w:r w:rsidRPr="00C94CC1">
              <w:rPr>
                <w:rFonts w:cstheme="minorHAnsi"/>
                <w:color w:val="000000"/>
              </w:rPr>
              <w:t xml:space="preserve">Annual salary of technical staff, GS 13, Step 8  </w:t>
            </w:r>
          </w:p>
        </w:tc>
        <w:tc>
          <w:tcPr>
            <w:tcW w:w="1245" w:type="dxa"/>
            <w:tcBorders>
              <w:top w:val="single" w:sz="4" w:space="0" w:color="auto"/>
              <w:left w:val="nil"/>
              <w:bottom w:val="single" w:sz="4" w:space="0" w:color="auto"/>
              <w:right w:val="single" w:sz="4" w:space="0" w:color="auto"/>
            </w:tcBorders>
            <w:shd w:val="clear" w:color="auto" w:fill="auto"/>
            <w:noWrap/>
            <w:vAlign w:val="bottom"/>
          </w:tcPr>
          <w:p w:rsidR="00237340" w:rsidRPr="00C94CC1" w:rsidP="003D7F61" w14:paraId="7E49EA2E" w14:textId="77777777">
            <w:pPr>
              <w:keepNext/>
              <w:jc w:val="right"/>
              <w:rPr>
                <w:rFonts w:cstheme="minorHAnsi"/>
                <w:color w:val="000000"/>
              </w:rPr>
            </w:pPr>
          </w:p>
        </w:tc>
        <w:tc>
          <w:tcPr>
            <w:tcW w:w="1646" w:type="dxa"/>
            <w:tcBorders>
              <w:top w:val="single" w:sz="4" w:space="0" w:color="auto"/>
              <w:left w:val="nil"/>
              <w:bottom w:val="single" w:sz="4" w:space="0" w:color="auto"/>
              <w:right w:val="single" w:sz="4" w:space="0" w:color="auto"/>
            </w:tcBorders>
            <w:shd w:val="clear" w:color="auto" w:fill="auto"/>
            <w:noWrap/>
            <w:vAlign w:val="bottom"/>
          </w:tcPr>
          <w:p w:rsidR="00237340" w:rsidRPr="00C94CC1" w:rsidP="003D7F61" w14:paraId="74A9E33D" w14:textId="6E1D69DE">
            <w:pPr>
              <w:keepNext/>
              <w:jc w:val="right"/>
              <w:rPr>
                <w:rFonts w:cstheme="minorHAnsi"/>
                <w:color w:val="000000"/>
              </w:rPr>
            </w:pPr>
            <w:r w:rsidRPr="00C94CC1">
              <w:rPr>
                <w:rFonts w:cstheme="minorHAnsi"/>
                <w:color w:val="000000"/>
              </w:rPr>
              <w:t>$</w:t>
            </w:r>
            <w:r w:rsidR="002945FD">
              <w:rPr>
                <w:rFonts w:cstheme="minorHAnsi"/>
                <w:color w:val="000000"/>
              </w:rPr>
              <w:t>109,177</w:t>
            </w:r>
          </w:p>
        </w:tc>
      </w:tr>
      <w:tr w14:paraId="3641C42A" w14:textId="77777777" w:rsidTr="003D7F61">
        <w:tblPrEx>
          <w:tblW w:w="9350" w:type="dxa"/>
          <w:jc w:val="center"/>
          <w:tblLayout w:type="fixed"/>
          <w:tblCellMar>
            <w:top w:w="72" w:type="dxa"/>
            <w:left w:w="72" w:type="dxa"/>
            <w:bottom w:w="72" w:type="dxa"/>
            <w:right w:w="72" w:type="dxa"/>
          </w:tblCellMar>
          <w:tblLook w:val="04A0"/>
        </w:tblPrEx>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237340" w:rsidRPr="00C94CC1" w:rsidP="003D7F61" w14:paraId="1DD717C7" w14:textId="77777777">
            <w:pPr>
              <w:keepNext/>
              <w:rPr>
                <w:rFonts w:cstheme="minorHAnsi"/>
                <w:color w:val="000000"/>
              </w:rPr>
            </w:pPr>
            <w:r w:rsidRPr="00C94CC1">
              <w:rPr>
                <w:rFonts w:cstheme="minorHAnsi"/>
                <w:color w:val="000000"/>
              </w:rPr>
              <w:t xml:space="preserve">Annual cost of supervisory staff, GS 15, Step 8 </w:t>
            </w:r>
          </w:p>
        </w:tc>
        <w:tc>
          <w:tcPr>
            <w:tcW w:w="1245" w:type="dxa"/>
            <w:tcBorders>
              <w:top w:val="nil"/>
              <w:left w:val="nil"/>
              <w:bottom w:val="single" w:sz="4" w:space="0" w:color="auto"/>
              <w:right w:val="single" w:sz="4" w:space="0" w:color="auto"/>
            </w:tcBorders>
            <w:shd w:val="clear" w:color="auto" w:fill="auto"/>
            <w:noWrap/>
            <w:vAlign w:val="bottom"/>
          </w:tcPr>
          <w:p w:rsidR="00237340" w:rsidRPr="00C94CC1" w:rsidP="003D7F61" w14:paraId="5FB7E7E3" w14:textId="4C988F36">
            <w:pPr>
              <w:keepNext/>
              <w:jc w:val="right"/>
              <w:rPr>
                <w:rFonts w:cstheme="minorHAnsi"/>
                <w:color w:val="000000"/>
              </w:rPr>
            </w:pPr>
            <w:r w:rsidRPr="00C94CC1">
              <w:rPr>
                <w:rFonts w:cstheme="minorHAnsi"/>
                <w:color w:val="000000"/>
              </w:rPr>
              <w:t>$1</w:t>
            </w:r>
            <w:r w:rsidR="002945FD">
              <w:rPr>
                <w:rFonts w:cstheme="minorHAnsi"/>
                <w:color w:val="000000"/>
              </w:rPr>
              <w:t>51,748</w:t>
            </w:r>
          </w:p>
        </w:tc>
        <w:tc>
          <w:tcPr>
            <w:tcW w:w="1646" w:type="dxa"/>
            <w:tcBorders>
              <w:top w:val="nil"/>
              <w:left w:val="nil"/>
              <w:bottom w:val="single" w:sz="4" w:space="0" w:color="auto"/>
              <w:right w:val="single" w:sz="4" w:space="0" w:color="auto"/>
            </w:tcBorders>
            <w:shd w:val="clear" w:color="auto" w:fill="auto"/>
            <w:noWrap/>
            <w:vAlign w:val="bottom"/>
          </w:tcPr>
          <w:p w:rsidR="00237340" w:rsidRPr="00C94CC1" w:rsidP="003D7F61" w14:paraId="2D47CAF4" w14:textId="77777777">
            <w:pPr>
              <w:keepNext/>
              <w:jc w:val="right"/>
              <w:rPr>
                <w:rFonts w:cstheme="minorHAnsi"/>
                <w:color w:val="000000"/>
              </w:rPr>
            </w:pPr>
          </w:p>
        </w:tc>
      </w:tr>
      <w:tr w14:paraId="5A745A28" w14:textId="77777777" w:rsidTr="003D7F61">
        <w:tblPrEx>
          <w:tblW w:w="9350" w:type="dxa"/>
          <w:jc w:val="center"/>
          <w:tblLayout w:type="fixed"/>
          <w:tblCellMar>
            <w:top w:w="72" w:type="dxa"/>
            <w:left w:w="72" w:type="dxa"/>
            <w:bottom w:w="72" w:type="dxa"/>
            <w:right w:w="72" w:type="dxa"/>
          </w:tblCellMar>
          <w:tblLook w:val="04A0"/>
        </w:tblPrEx>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237340" w:rsidRPr="00C94CC1" w:rsidP="003D7F61" w14:paraId="140F4AB7" w14:textId="77777777">
            <w:pPr>
              <w:rPr>
                <w:rFonts w:cstheme="minorHAnsi"/>
                <w:color w:val="000000"/>
              </w:rPr>
            </w:pPr>
            <w:r w:rsidRPr="00C94CC1">
              <w:rPr>
                <w:rFonts w:cstheme="minorHAnsi"/>
                <w:color w:val="000000"/>
              </w:rPr>
              <w:t xml:space="preserve">Factor (1/11) </w:t>
            </w:r>
          </w:p>
        </w:tc>
        <w:tc>
          <w:tcPr>
            <w:tcW w:w="1245" w:type="dxa"/>
            <w:tcBorders>
              <w:top w:val="nil"/>
              <w:left w:val="nil"/>
              <w:bottom w:val="single" w:sz="4" w:space="0" w:color="auto"/>
              <w:right w:val="single" w:sz="4" w:space="0" w:color="auto"/>
            </w:tcBorders>
            <w:shd w:val="clear" w:color="auto" w:fill="auto"/>
            <w:noWrap/>
            <w:vAlign w:val="bottom"/>
          </w:tcPr>
          <w:p w:rsidR="00237340" w:rsidRPr="00C94CC1" w:rsidP="003D7F61" w14:paraId="29B1FE96" w14:textId="77777777">
            <w:pPr>
              <w:jc w:val="right"/>
              <w:rPr>
                <w:rFonts w:cstheme="minorHAnsi"/>
                <w:color w:val="000000"/>
              </w:rPr>
            </w:pPr>
            <w:r w:rsidRPr="00C94CC1">
              <w:rPr>
                <w:rFonts w:cstheme="minorHAnsi"/>
                <w:color w:val="000000"/>
              </w:rPr>
              <w:t>0.09</w:t>
            </w:r>
          </w:p>
        </w:tc>
        <w:tc>
          <w:tcPr>
            <w:tcW w:w="1646" w:type="dxa"/>
            <w:tcBorders>
              <w:top w:val="nil"/>
              <w:left w:val="nil"/>
              <w:bottom w:val="single" w:sz="4" w:space="0" w:color="auto"/>
              <w:right w:val="single" w:sz="4" w:space="0" w:color="auto"/>
            </w:tcBorders>
            <w:shd w:val="clear" w:color="auto" w:fill="auto"/>
            <w:noWrap/>
            <w:vAlign w:val="bottom"/>
          </w:tcPr>
          <w:p w:rsidR="00237340" w:rsidRPr="00C94CC1" w:rsidP="003D7F61" w14:paraId="2C808B7F" w14:textId="77777777">
            <w:pPr>
              <w:jc w:val="right"/>
              <w:rPr>
                <w:rFonts w:cstheme="minorHAnsi"/>
                <w:color w:val="000000"/>
              </w:rPr>
            </w:pPr>
          </w:p>
        </w:tc>
      </w:tr>
      <w:tr w14:paraId="7D6F8238" w14:textId="77777777" w:rsidTr="003D7F61">
        <w:tblPrEx>
          <w:tblW w:w="9350" w:type="dxa"/>
          <w:jc w:val="center"/>
          <w:tblLayout w:type="fixed"/>
          <w:tblCellMar>
            <w:top w:w="72" w:type="dxa"/>
            <w:left w:w="72" w:type="dxa"/>
            <w:bottom w:w="72" w:type="dxa"/>
            <w:right w:w="72" w:type="dxa"/>
          </w:tblCellMar>
          <w:tblLook w:val="04A0"/>
        </w:tblPrEx>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237340" w:rsidRPr="00C94CC1" w:rsidP="003D7F61" w14:paraId="3CB39443" w14:textId="77777777">
            <w:pPr>
              <w:rPr>
                <w:rFonts w:cstheme="minorHAnsi"/>
                <w:color w:val="000000"/>
              </w:rPr>
            </w:pPr>
            <w:r w:rsidRPr="00C94CC1">
              <w:rPr>
                <w:rFonts w:cstheme="minorHAnsi"/>
                <w:color w:val="000000"/>
              </w:rPr>
              <w:t> </w:t>
            </w:r>
          </w:p>
        </w:tc>
        <w:tc>
          <w:tcPr>
            <w:tcW w:w="1245" w:type="dxa"/>
            <w:tcBorders>
              <w:top w:val="nil"/>
              <w:left w:val="nil"/>
              <w:bottom w:val="single" w:sz="4" w:space="0" w:color="auto"/>
              <w:right w:val="single" w:sz="4" w:space="0" w:color="auto"/>
            </w:tcBorders>
            <w:shd w:val="clear" w:color="auto" w:fill="auto"/>
            <w:noWrap/>
            <w:vAlign w:val="bottom"/>
          </w:tcPr>
          <w:p w:rsidR="00237340" w:rsidRPr="00C94CC1" w:rsidP="003D7F61" w14:paraId="504B9F1D" w14:textId="77777777">
            <w:pPr>
              <w:jc w:val="right"/>
              <w:rPr>
                <w:rFonts w:cstheme="minorHAnsi"/>
                <w:color w:val="000000"/>
              </w:rPr>
            </w:pPr>
          </w:p>
        </w:tc>
        <w:tc>
          <w:tcPr>
            <w:tcW w:w="1646" w:type="dxa"/>
            <w:tcBorders>
              <w:top w:val="nil"/>
              <w:left w:val="nil"/>
              <w:bottom w:val="single" w:sz="4" w:space="0" w:color="auto"/>
              <w:right w:val="single" w:sz="4" w:space="0" w:color="auto"/>
            </w:tcBorders>
            <w:shd w:val="clear" w:color="auto" w:fill="auto"/>
            <w:noWrap/>
            <w:vAlign w:val="bottom"/>
          </w:tcPr>
          <w:p w:rsidR="00237340" w:rsidRPr="00C94CC1" w:rsidP="003D7F61" w14:paraId="0023EE09" w14:textId="56296B7B">
            <w:pPr>
              <w:jc w:val="right"/>
              <w:rPr>
                <w:rFonts w:cstheme="minorHAnsi"/>
                <w:color w:val="000000"/>
              </w:rPr>
            </w:pPr>
            <w:r w:rsidRPr="00C94CC1">
              <w:rPr>
                <w:rFonts w:cstheme="minorHAnsi"/>
                <w:color w:val="000000"/>
              </w:rPr>
              <w:t>$1</w:t>
            </w:r>
            <w:r w:rsidR="002945FD">
              <w:rPr>
                <w:rFonts w:cstheme="minorHAnsi"/>
                <w:color w:val="000000"/>
              </w:rPr>
              <w:t>3,657</w:t>
            </w:r>
          </w:p>
        </w:tc>
      </w:tr>
      <w:tr w14:paraId="7A08D6F1" w14:textId="77777777" w:rsidTr="003D7F61">
        <w:tblPrEx>
          <w:tblW w:w="9350" w:type="dxa"/>
          <w:jc w:val="center"/>
          <w:tblLayout w:type="fixed"/>
          <w:tblCellMar>
            <w:top w:w="72" w:type="dxa"/>
            <w:left w:w="72" w:type="dxa"/>
            <w:bottom w:w="72" w:type="dxa"/>
            <w:right w:w="72" w:type="dxa"/>
          </w:tblCellMar>
          <w:tblLook w:val="04A0"/>
        </w:tblPrEx>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237340" w:rsidRPr="00C94CC1" w:rsidP="003D7F61" w14:paraId="39E38BF7" w14:textId="77777777">
            <w:pPr>
              <w:rPr>
                <w:rFonts w:cstheme="minorHAnsi"/>
                <w:color w:val="000000"/>
              </w:rPr>
            </w:pPr>
            <w:r w:rsidRPr="00C94CC1">
              <w:rPr>
                <w:rFonts w:cstheme="minorHAnsi"/>
                <w:color w:val="000000"/>
              </w:rPr>
              <w:t>Benefits</w:t>
            </w:r>
          </w:p>
        </w:tc>
        <w:tc>
          <w:tcPr>
            <w:tcW w:w="1245" w:type="dxa"/>
            <w:tcBorders>
              <w:top w:val="nil"/>
              <w:left w:val="nil"/>
              <w:bottom w:val="single" w:sz="4" w:space="0" w:color="auto"/>
              <w:right w:val="single" w:sz="4" w:space="0" w:color="auto"/>
            </w:tcBorders>
            <w:shd w:val="clear" w:color="auto" w:fill="auto"/>
            <w:noWrap/>
            <w:vAlign w:val="bottom"/>
          </w:tcPr>
          <w:p w:rsidR="00237340" w:rsidRPr="00C94CC1" w:rsidP="003D7F61" w14:paraId="697D6110" w14:textId="77777777">
            <w:pPr>
              <w:jc w:val="right"/>
              <w:rPr>
                <w:rFonts w:cstheme="minorHAnsi"/>
                <w:color w:val="000000"/>
              </w:rPr>
            </w:pPr>
            <w:r w:rsidRPr="00C94CC1">
              <w:rPr>
                <w:rFonts w:cstheme="minorHAnsi"/>
                <w:color w:val="000000"/>
              </w:rPr>
              <w:t>1.6</w:t>
            </w:r>
          </w:p>
        </w:tc>
        <w:tc>
          <w:tcPr>
            <w:tcW w:w="1646" w:type="dxa"/>
            <w:tcBorders>
              <w:top w:val="nil"/>
              <w:left w:val="nil"/>
              <w:bottom w:val="single" w:sz="4" w:space="0" w:color="auto"/>
              <w:right w:val="single" w:sz="4" w:space="0" w:color="auto"/>
            </w:tcBorders>
            <w:shd w:val="clear" w:color="auto" w:fill="auto"/>
            <w:noWrap/>
            <w:vAlign w:val="bottom"/>
          </w:tcPr>
          <w:p w:rsidR="00237340" w:rsidRPr="00C94CC1" w:rsidP="003D7F61" w14:paraId="0A0196F4" w14:textId="77777777">
            <w:pPr>
              <w:jc w:val="right"/>
              <w:rPr>
                <w:rFonts w:cstheme="minorHAnsi"/>
                <w:color w:val="000000"/>
              </w:rPr>
            </w:pPr>
          </w:p>
        </w:tc>
      </w:tr>
      <w:tr w14:paraId="1CFEBBC6" w14:textId="77777777" w:rsidTr="003D7F61">
        <w:tblPrEx>
          <w:tblW w:w="9350" w:type="dxa"/>
          <w:jc w:val="center"/>
          <w:tblLayout w:type="fixed"/>
          <w:tblCellMar>
            <w:top w:w="72" w:type="dxa"/>
            <w:left w:w="72" w:type="dxa"/>
            <w:bottom w:w="72" w:type="dxa"/>
            <w:right w:w="72" w:type="dxa"/>
          </w:tblCellMar>
          <w:tblLook w:val="04A0"/>
        </w:tblPrEx>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237340" w:rsidRPr="00C94CC1" w:rsidP="003D7F61" w14:paraId="402AE69E" w14:textId="77777777">
            <w:pPr>
              <w:rPr>
                <w:rFonts w:cstheme="minorHAnsi"/>
                <w:color w:val="000000"/>
              </w:rPr>
            </w:pPr>
            <w:r w:rsidRPr="00C94CC1">
              <w:rPr>
                <w:rFonts w:cstheme="minorHAnsi"/>
                <w:color w:val="000000"/>
              </w:rPr>
              <w:t xml:space="preserve">Total cost per FTE </w:t>
            </w:r>
          </w:p>
        </w:tc>
        <w:tc>
          <w:tcPr>
            <w:tcW w:w="1245" w:type="dxa"/>
            <w:tcBorders>
              <w:top w:val="nil"/>
              <w:left w:val="nil"/>
              <w:bottom w:val="single" w:sz="4" w:space="0" w:color="auto"/>
              <w:right w:val="single" w:sz="4" w:space="0" w:color="auto"/>
            </w:tcBorders>
            <w:shd w:val="clear" w:color="auto" w:fill="auto"/>
            <w:noWrap/>
            <w:vAlign w:val="bottom"/>
          </w:tcPr>
          <w:p w:rsidR="00237340" w:rsidRPr="00C94CC1" w:rsidP="003D7F61" w14:paraId="48DE1A08" w14:textId="77777777">
            <w:pPr>
              <w:jc w:val="right"/>
              <w:rPr>
                <w:rFonts w:cstheme="minorHAnsi"/>
                <w:color w:val="000000"/>
              </w:rPr>
            </w:pPr>
          </w:p>
        </w:tc>
        <w:tc>
          <w:tcPr>
            <w:tcW w:w="1646" w:type="dxa"/>
            <w:tcBorders>
              <w:top w:val="nil"/>
              <w:left w:val="nil"/>
              <w:bottom w:val="single" w:sz="4" w:space="0" w:color="auto"/>
              <w:right w:val="single" w:sz="4" w:space="0" w:color="auto"/>
            </w:tcBorders>
            <w:shd w:val="clear" w:color="auto" w:fill="auto"/>
            <w:noWrap/>
            <w:vAlign w:val="bottom"/>
          </w:tcPr>
          <w:p w:rsidR="00237340" w:rsidRPr="00C94CC1" w:rsidP="003D7F61" w14:paraId="0B998E8F" w14:textId="1A2EBB64">
            <w:pPr>
              <w:jc w:val="right"/>
              <w:rPr>
                <w:rFonts w:cstheme="minorHAnsi"/>
                <w:color w:val="000000"/>
              </w:rPr>
            </w:pPr>
            <w:r w:rsidRPr="00C94CC1">
              <w:rPr>
                <w:rFonts w:cstheme="minorHAnsi"/>
                <w:color w:val="000000"/>
              </w:rPr>
              <w:t>$1</w:t>
            </w:r>
            <w:r w:rsidR="00526E64">
              <w:rPr>
                <w:rFonts w:cstheme="minorHAnsi"/>
                <w:color w:val="000000"/>
              </w:rPr>
              <w:t>96,534.91</w:t>
            </w:r>
          </w:p>
        </w:tc>
      </w:tr>
      <w:tr w14:paraId="24A894F6" w14:textId="77777777" w:rsidTr="003E707C">
        <w:tblPrEx>
          <w:tblW w:w="9350" w:type="dxa"/>
          <w:jc w:val="center"/>
          <w:tblLayout w:type="fixed"/>
          <w:tblCellMar>
            <w:top w:w="72" w:type="dxa"/>
            <w:left w:w="72" w:type="dxa"/>
            <w:bottom w:w="72" w:type="dxa"/>
            <w:right w:w="72" w:type="dxa"/>
          </w:tblCellMar>
          <w:tblLook w:val="04A0"/>
        </w:tblPrEx>
        <w:trPr>
          <w:trHeight w:val="23"/>
          <w:jc w:val="center"/>
        </w:trPr>
        <w:tc>
          <w:tcPr>
            <w:tcW w:w="6459"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37340" w:rsidRPr="003E707C" w:rsidP="003D7F61" w14:paraId="73765AC4" w14:textId="77777777">
            <w:pPr>
              <w:rPr>
                <w:rFonts w:cstheme="minorHAnsi"/>
                <w:b/>
                <w:bCs/>
                <w:color w:val="000000"/>
              </w:rPr>
            </w:pPr>
            <w:r w:rsidRPr="003E707C">
              <w:rPr>
                <w:rFonts w:cstheme="minorHAnsi"/>
                <w:b/>
                <w:bCs/>
                <w:color w:val="000000"/>
              </w:rPr>
              <w:t>Total hourly cost (total cost per FTE divided by 2,080 hours per year)</w:t>
            </w:r>
          </w:p>
        </w:tc>
        <w:tc>
          <w:tcPr>
            <w:tcW w:w="1245" w:type="dxa"/>
            <w:tcBorders>
              <w:top w:val="nil"/>
              <w:left w:val="nil"/>
              <w:bottom w:val="single" w:sz="4" w:space="0" w:color="auto"/>
              <w:right w:val="single" w:sz="4" w:space="0" w:color="auto"/>
            </w:tcBorders>
            <w:shd w:val="clear" w:color="auto" w:fill="F2F2F2" w:themeFill="background1" w:themeFillShade="F2"/>
            <w:noWrap/>
            <w:vAlign w:val="bottom"/>
          </w:tcPr>
          <w:p w:rsidR="00237340" w:rsidRPr="003E707C" w:rsidP="003D7F61" w14:paraId="1E85081E" w14:textId="77777777">
            <w:pPr>
              <w:jc w:val="right"/>
              <w:rPr>
                <w:rFonts w:cstheme="minorHAnsi"/>
                <w:b/>
                <w:bCs/>
                <w:color w:val="000000"/>
              </w:rPr>
            </w:pPr>
          </w:p>
        </w:tc>
        <w:tc>
          <w:tcPr>
            <w:tcW w:w="1646" w:type="dxa"/>
            <w:tcBorders>
              <w:top w:val="nil"/>
              <w:left w:val="nil"/>
              <w:bottom w:val="single" w:sz="4" w:space="0" w:color="auto"/>
              <w:right w:val="single" w:sz="4" w:space="0" w:color="auto"/>
            </w:tcBorders>
            <w:shd w:val="clear" w:color="auto" w:fill="F2F2F2" w:themeFill="background1" w:themeFillShade="F2"/>
            <w:noWrap/>
            <w:vAlign w:val="bottom"/>
          </w:tcPr>
          <w:p w:rsidR="00237340" w:rsidRPr="003E707C" w:rsidP="003D7F61" w14:paraId="70952490" w14:textId="106353D9">
            <w:pPr>
              <w:jc w:val="right"/>
              <w:rPr>
                <w:rFonts w:cstheme="minorHAnsi"/>
                <w:b/>
                <w:bCs/>
                <w:color w:val="000000"/>
              </w:rPr>
            </w:pPr>
            <w:r w:rsidRPr="003E707C">
              <w:rPr>
                <w:rFonts w:cstheme="minorHAnsi"/>
                <w:b/>
                <w:bCs/>
                <w:color w:val="000000"/>
              </w:rPr>
              <w:t>$</w:t>
            </w:r>
            <w:r w:rsidRPr="003E707C" w:rsidR="00526E64">
              <w:rPr>
                <w:rFonts w:cstheme="minorHAnsi"/>
                <w:b/>
                <w:bCs/>
                <w:color w:val="000000"/>
              </w:rPr>
              <w:t>9</w:t>
            </w:r>
            <w:r w:rsidRPr="003E707C" w:rsidR="00306E23">
              <w:rPr>
                <w:rFonts w:cstheme="minorHAnsi"/>
                <w:b/>
                <w:bCs/>
                <w:color w:val="000000"/>
              </w:rPr>
              <w:t>4.49</w:t>
            </w:r>
          </w:p>
        </w:tc>
      </w:tr>
    </w:tbl>
    <w:p w:rsidR="00352E22" w:rsidRPr="00352E22" w:rsidP="00352E22" w14:paraId="326DB84B" w14:textId="2ADD3566">
      <w:pPr>
        <w:numPr>
          <w:ilvl w:val="12"/>
          <w:numId w:val="0"/>
        </w:numPr>
        <w:tabs>
          <w:tab w:val="left" w:pos="0"/>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18"/>
          <w:szCs w:val="18"/>
        </w:rPr>
      </w:pPr>
      <w:r w:rsidRPr="00352E22">
        <w:rPr>
          <w:rFonts w:cstheme="minorHAnsi"/>
          <w:sz w:val="18"/>
          <w:szCs w:val="18"/>
          <w:vertAlign w:val="superscript"/>
        </w:rPr>
        <w:t>a</w:t>
      </w:r>
      <w:r w:rsidRPr="00352E22">
        <w:rPr>
          <w:rFonts w:cstheme="minorHAnsi"/>
          <w:sz w:val="18"/>
          <w:szCs w:val="18"/>
        </w:rPr>
        <w:t xml:space="preserve">  202</w:t>
      </w:r>
      <w:r w:rsidR="00F24856">
        <w:rPr>
          <w:rFonts w:cstheme="minorHAnsi"/>
          <w:sz w:val="18"/>
          <w:szCs w:val="18"/>
        </w:rPr>
        <w:t>4</w:t>
      </w:r>
      <w:r w:rsidRPr="00352E22">
        <w:rPr>
          <w:rFonts w:cstheme="minorHAnsi"/>
          <w:sz w:val="18"/>
          <w:szCs w:val="18"/>
        </w:rPr>
        <w:t xml:space="preserve"> dollars.</w:t>
      </w:r>
    </w:p>
    <w:p w:rsidR="00352E22" w:rsidP="00352E22" w14:paraId="55D63E74" w14:textId="77777777">
      <w:pPr>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rFonts w:cstheme="minorHAnsi"/>
          <w:color w:val="000000"/>
        </w:rPr>
      </w:pPr>
    </w:p>
    <w:p w:rsidR="009341EF" w:rsidRPr="003E707C" w:rsidP="00F20AF4" w14:paraId="1248FB65" w14:textId="74D469D9">
      <w:pPr>
        <w:spacing w:after="0" w:line="240" w:lineRule="auto"/>
        <w:jc w:val="center"/>
        <w:textAlignment w:val="baseline"/>
        <w:rPr>
          <w:rFonts w:eastAsia="Times New Roman" w:cstheme="minorHAnsi"/>
        </w:rPr>
      </w:pPr>
      <w:r w:rsidRPr="003E707C">
        <w:rPr>
          <w:rFonts w:eastAsia="Times New Roman" w:cstheme="minorHAnsi"/>
        </w:rPr>
        <w:t>Table 14.2:  Annual Agency Burden/Cost Estimates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15"/>
        <w:gridCol w:w="1560"/>
        <w:gridCol w:w="1740"/>
        <w:gridCol w:w="1140"/>
        <w:gridCol w:w="1920"/>
        <w:gridCol w:w="1140"/>
      </w:tblGrid>
      <w:tr w14:paraId="7886BD9D" w14:textId="77777777" w:rsidTr="003E707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65"/>
        </w:trPr>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hideMark/>
          </w:tcPr>
          <w:p w:rsidR="009341EF" w:rsidRPr="003E707C" w:rsidP="0089250A" w14:paraId="14E10731" w14:textId="77777777">
            <w:pPr>
              <w:spacing w:after="0" w:line="240" w:lineRule="auto"/>
              <w:jc w:val="center"/>
              <w:textAlignment w:val="baseline"/>
              <w:rPr>
                <w:rFonts w:eastAsia="Times New Roman" w:cstheme="minorHAnsi"/>
              </w:rPr>
            </w:pPr>
            <w:r w:rsidRPr="003E707C">
              <w:rPr>
                <w:rFonts w:eastAsia="Times New Roman" w:cstheme="minorHAnsi"/>
                <w:b/>
                <w:bCs/>
                <w:color w:val="000000"/>
              </w:rPr>
              <w:t>Tasks</w:t>
            </w:r>
            <w:r w:rsidRPr="003E707C">
              <w:rPr>
                <w:rFonts w:eastAsia="Times New Roman" w:cstheme="minorHAnsi"/>
                <w:color w:val="000000"/>
              </w:rPr>
              <w:t> </w:t>
            </w:r>
          </w:p>
        </w:tc>
        <w:tc>
          <w:tcPr>
            <w:tcW w:w="156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vAlign w:val="bottom"/>
            <w:hideMark/>
          </w:tcPr>
          <w:p w:rsidR="009341EF" w:rsidRPr="003E707C" w:rsidP="0089250A" w14:paraId="17DDB0CE" w14:textId="2D2B6CB6">
            <w:pPr>
              <w:spacing w:after="0" w:line="240" w:lineRule="auto"/>
              <w:jc w:val="center"/>
              <w:textAlignment w:val="baseline"/>
              <w:rPr>
                <w:rFonts w:eastAsia="Times New Roman"/>
              </w:rPr>
            </w:pPr>
            <w:r w:rsidRPr="003E707C">
              <w:rPr>
                <w:rFonts w:eastAsia="Times New Roman"/>
                <w:b/>
                <w:bCs/>
                <w:color w:val="000000" w:themeColor="text1"/>
              </w:rPr>
              <w:t>H</w:t>
            </w:r>
            <w:r w:rsidRPr="003E707C">
              <w:rPr>
                <w:rFonts w:eastAsia="Times New Roman"/>
                <w:b/>
                <w:bCs/>
                <w:color w:val="000000" w:themeColor="text1"/>
              </w:rPr>
              <w:t>ours</w:t>
            </w:r>
            <w:r w:rsidRPr="003E707C">
              <w:rPr>
                <w:rFonts w:eastAsia="Times New Roman"/>
                <w:b/>
                <w:color w:val="000000" w:themeColor="text1"/>
              </w:rPr>
              <w:t xml:space="preserve"> per report</w:t>
            </w:r>
            <w:r w:rsidRPr="003E707C">
              <w:rPr>
                <w:rFonts w:eastAsia="Times New Roman"/>
                <w:color w:val="000000" w:themeColor="text1"/>
              </w:rPr>
              <w:t> </w:t>
            </w:r>
          </w:p>
        </w:tc>
        <w:tc>
          <w:tcPr>
            <w:tcW w:w="174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vAlign w:val="bottom"/>
            <w:hideMark/>
          </w:tcPr>
          <w:p w:rsidR="009341EF" w:rsidRPr="003E707C" w:rsidP="0089250A" w14:paraId="2ED485AF" w14:textId="05BA089F">
            <w:pPr>
              <w:spacing w:after="0" w:line="240" w:lineRule="auto"/>
              <w:jc w:val="center"/>
              <w:textAlignment w:val="baseline"/>
              <w:rPr>
                <w:rFonts w:eastAsia="Times New Roman"/>
              </w:rPr>
            </w:pPr>
            <w:r w:rsidRPr="003E707C">
              <w:rPr>
                <w:rFonts w:eastAsia="Times New Roman"/>
                <w:b/>
                <w:bCs/>
                <w:color w:val="000000" w:themeColor="text1"/>
              </w:rPr>
              <w:t>C</w:t>
            </w:r>
            <w:r w:rsidRPr="003E707C">
              <w:rPr>
                <w:rFonts w:eastAsia="Times New Roman"/>
                <w:b/>
                <w:bCs/>
                <w:color w:val="000000" w:themeColor="text1"/>
              </w:rPr>
              <w:t>ost</w:t>
            </w:r>
            <w:r w:rsidRPr="003E707C">
              <w:rPr>
                <w:rFonts w:eastAsia="Times New Roman"/>
                <w:b/>
                <w:color w:val="000000" w:themeColor="text1"/>
              </w:rPr>
              <w:t xml:space="preserve"> per </w:t>
            </w:r>
            <w:r w:rsidRPr="003E707C">
              <w:rPr>
                <w:rFonts w:eastAsia="Times New Roman"/>
                <w:b/>
                <w:color w:val="000000" w:themeColor="text1"/>
              </w:rPr>
              <w:t>report</w:t>
            </w:r>
            <w:r w:rsidRPr="003E707C">
              <w:rPr>
                <w:rFonts w:eastAsia="Times New Roman"/>
                <w:b/>
                <w:color w:val="000000" w:themeColor="text1"/>
                <w:vertAlign w:val="superscript"/>
              </w:rPr>
              <w:t>a</w:t>
            </w:r>
            <w:r w:rsidRPr="003E707C">
              <w:rPr>
                <w:rFonts w:eastAsia="Times New Roman"/>
                <w:color w:val="000000" w:themeColor="text1"/>
              </w:rPr>
              <w:t> </w:t>
            </w:r>
          </w:p>
        </w:tc>
        <w:tc>
          <w:tcPr>
            <w:tcW w:w="114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vAlign w:val="bottom"/>
            <w:hideMark/>
          </w:tcPr>
          <w:p w:rsidR="009341EF" w:rsidRPr="003E707C" w:rsidP="0089250A" w14:paraId="2A1962EB" w14:textId="77777777">
            <w:pPr>
              <w:spacing w:after="0" w:line="240" w:lineRule="auto"/>
              <w:jc w:val="center"/>
              <w:textAlignment w:val="baseline"/>
              <w:rPr>
                <w:rFonts w:eastAsia="Times New Roman" w:cstheme="minorHAnsi"/>
              </w:rPr>
            </w:pPr>
            <w:r w:rsidRPr="003E707C">
              <w:rPr>
                <w:rFonts w:eastAsia="Times New Roman" w:cstheme="minorHAnsi"/>
                <w:b/>
                <w:bCs/>
                <w:color w:val="000000"/>
              </w:rPr>
              <w:t xml:space="preserve">Number of </w:t>
            </w:r>
            <w:r w:rsidRPr="003E707C">
              <w:rPr>
                <w:rFonts w:eastAsia="Times New Roman" w:cstheme="minorHAnsi"/>
                <w:b/>
                <w:bCs/>
                <w:color w:val="000000"/>
              </w:rPr>
              <w:t>reports</w:t>
            </w:r>
            <w:r w:rsidRPr="003E707C">
              <w:rPr>
                <w:rFonts w:eastAsia="Times New Roman" w:cstheme="minorHAnsi"/>
                <w:b/>
                <w:bCs/>
                <w:color w:val="000000"/>
                <w:vertAlign w:val="superscript"/>
              </w:rPr>
              <w:t>b</w:t>
            </w:r>
            <w:r w:rsidRPr="003E707C">
              <w:rPr>
                <w:rFonts w:eastAsia="Times New Roman" w:cstheme="minorHAnsi"/>
                <w:color w:val="000000"/>
              </w:rPr>
              <w:t> </w:t>
            </w:r>
          </w:p>
        </w:tc>
        <w:tc>
          <w:tcPr>
            <w:tcW w:w="192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vAlign w:val="bottom"/>
            <w:hideMark/>
          </w:tcPr>
          <w:p w:rsidR="009341EF" w:rsidRPr="003E707C" w:rsidP="0089250A" w14:paraId="2AF48AC5" w14:textId="77777777">
            <w:pPr>
              <w:spacing w:after="0" w:line="240" w:lineRule="auto"/>
              <w:jc w:val="center"/>
              <w:textAlignment w:val="baseline"/>
              <w:rPr>
                <w:rFonts w:eastAsia="Times New Roman" w:cstheme="minorHAnsi"/>
              </w:rPr>
            </w:pPr>
            <w:r w:rsidRPr="003E707C">
              <w:rPr>
                <w:rFonts w:eastAsia="Times New Roman" w:cstheme="minorHAnsi"/>
                <w:b/>
                <w:bCs/>
                <w:color w:val="000000"/>
              </w:rPr>
              <w:t xml:space="preserve">Total burden per year (hours) </w:t>
            </w:r>
            <w:r w:rsidRPr="003E707C">
              <w:rPr>
                <w:rFonts w:eastAsia="Times New Roman" w:cstheme="minorHAnsi"/>
                <w:color w:val="000000"/>
              </w:rPr>
              <w:t> </w:t>
            </w:r>
            <w:r w:rsidRPr="003E707C">
              <w:rPr>
                <w:rFonts w:eastAsia="Times New Roman" w:cstheme="minorHAnsi"/>
                <w:color w:val="000000"/>
              </w:rPr>
              <w:br/>
              <w:t> </w:t>
            </w:r>
          </w:p>
        </w:tc>
        <w:tc>
          <w:tcPr>
            <w:tcW w:w="114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vAlign w:val="bottom"/>
            <w:hideMark/>
          </w:tcPr>
          <w:p w:rsidR="009341EF" w:rsidRPr="003E707C" w:rsidP="0089250A" w14:paraId="027C604B" w14:textId="77777777">
            <w:pPr>
              <w:spacing w:after="0" w:line="240" w:lineRule="auto"/>
              <w:jc w:val="center"/>
              <w:textAlignment w:val="baseline"/>
              <w:rPr>
                <w:rFonts w:eastAsia="Times New Roman" w:cstheme="minorHAnsi"/>
              </w:rPr>
            </w:pPr>
            <w:r w:rsidRPr="003E707C">
              <w:rPr>
                <w:rFonts w:eastAsia="Times New Roman" w:cstheme="minorHAnsi"/>
                <w:b/>
                <w:bCs/>
                <w:color w:val="000000"/>
              </w:rPr>
              <w:t>Total cost</w:t>
            </w:r>
            <w:r w:rsidRPr="003E707C">
              <w:rPr>
                <w:rFonts w:eastAsia="Times New Roman" w:cstheme="minorHAnsi"/>
                <w:color w:val="000000"/>
              </w:rPr>
              <w:t> </w:t>
            </w:r>
          </w:p>
        </w:tc>
      </w:tr>
      <w:tr w14:paraId="5133CA5C" w14:textId="77777777" w:rsidTr="3A47EAA7">
        <w:tblPrEx>
          <w:tblW w:w="0" w:type="dxa"/>
          <w:tblCellMar>
            <w:left w:w="0" w:type="dxa"/>
            <w:right w:w="0" w:type="dxa"/>
          </w:tblCellMar>
          <w:tblLook w:val="04A0"/>
        </w:tblPrEx>
        <w:trPr>
          <w:trHeight w:val="765"/>
        </w:trPr>
        <w:tc>
          <w:tcPr>
            <w:tcW w:w="181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9341EF" w:rsidRPr="003E707C" w:rsidP="0089250A" w14:paraId="64251BDC" w14:textId="77777777">
            <w:pPr>
              <w:spacing w:after="0" w:line="240" w:lineRule="auto"/>
              <w:textAlignment w:val="baseline"/>
              <w:rPr>
                <w:rFonts w:eastAsia="Times New Roman" w:cstheme="minorHAnsi"/>
              </w:rPr>
            </w:pPr>
            <w:r w:rsidRPr="003E707C">
              <w:rPr>
                <w:rFonts w:eastAsia="Times New Roman" w:cstheme="minorHAnsi"/>
                <w:color w:val="000000"/>
              </w:rPr>
              <w:t>Process, review, and evaluate quarterly report and issue feedback letter. </w:t>
            </w:r>
          </w:p>
        </w:tc>
        <w:tc>
          <w:tcPr>
            <w:tcW w:w="1560" w:type="dxa"/>
            <w:tcBorders>
              <w:top w:val="nil"/>
              <w:left w:val="nil"/>
              <w:bottom w:val="single" w:sz="6" w:space="0" w:color="000000" w:themeColor="text1"/>
              <w:right w:val="single" w:sz="6" w:space="0" w:color="000000" w:themeColor="text1"/>
            </w:tcBorders>
            <w:shd w:val="clear" w:color="auto" w:fill="auto"/>
            <w:vAlign w:val="bottom"/>
            <w:hideMark/>
          </w:tcPr>
          <w:p w:rsidR="009341EF" w:rsidRPr="003E707C" w:rsidP="0089250A" w14:paraId="7EAAA002" w14:textId="4CE971A2">
            <w:pPr>
              <w:spacing w:after="0" w:line="240" w:lineRule="auto"/>
              <w:jc w:val="right"/>
              <w:textAlignment w:val="baseline"/>
              <w:rPr>
                <w:rFonts w:eastAsia="Times New Roman"/>
              </w:rPr>
            </w:pPr>
            <w:r w:rsidRPr="003E707C">
              <w:rPr>
                <w:rFonts w:eastAsia="Times New Roman"/>
                <w:color w:val="000000" w:themeColor="text1"/>
              </w:rPr>
              <w:t>1</w:t>
            </w:r>
            <w:r w:rsidRPr="003E707C">
              <w:rPr>
                <w:rFonts w:eastAsia="Times New Roman"/>
                <w:color w:val="000000" w:themeColor="text1"/>
              </w:rPr>
              <w:t> </w:t>
            </w:r>
          </w:p>
        </w:tc>
        <w:tc>
          <w:tcPr>
            <w:tcW w:w="1740" w:type="dxa"/>
            <w:tcBorders>
              <w:top w:val="nil"/>
              <w:left w:val="nil"/>
              <w:bottom w:val="single" w:sz="6" w:space="0" w:color="000000" w:themeColor="text1"/>
              <w:right w:val="single" w:sz="6" w:space="0" w:color="000000" w:themeColor="text1"/>
            </w:tcBorders>
            <w:shd w:val="clear" w:color="auto" w:fill="auto"/>
            <w:vAlign w:val="bottom"/>
            <w:hideMark/>
          </w:tcPr>
          <w:p w:rsidR="009341EF" w:rsidRPr="003E707C" w:rsidP="0089250A" w14:paraId="72C96BCD" w14:textId="32B944B2">
            <w:pPr>
              <w:spacing w:after="0" w:line="240" w:lineRule="auto"/>
              <w:jc w:val="right"/>
              <w:textAlignment w:val="baseline"/>
              <w:rPr>
                <w:rFonts w:eastAsia="Times New Roman"/>
              </w:rPr>
            </w:pPr>
            <w:r w:rsidRPr="003E707C">
              <w:rPr>
                <w:rFonts w:eastAsia="Times New Roman"/>
                <w:color w:val="000000" w:themeColor="text1"/>
              </w:rPr>
              <w:t>$</w:t>
            </w:r>
            <w:r w:rsidRPr="003E707C" w:rsidR="5A147049">
              <w:rPr>
                <w:rFonts w:eastAsia="Times New Roman"/>
                <w:color w:val="000000" w:themeColor="text1"/>
              </w:rPr>
              <w:t>94.49</w:t>
            </w:r>
            <w:r w:rsidRPr="003E707C">
              <w:rPr>
                <w:rFonts w:eastAsia="Times New Roman"/>
                <w:color w:val="000000" w:themeColor="text1"/>
              </w:rPr>
              <w:t> </w:t>
            </w:r>
          </w:p>
        </w:tc>
        <w:tc>
          <w:tcPr>
            <w:tcW w:w="1140" w:type="dxa"/>
            <w:tcBorders>
              <w:top w:val="nil"/>
              <w:left w:val="nil"/>
              <w:bottom w:val="single" w:sz="6" w:space="0" w:color="000000" w:themeColor="text1"/>
              <w:right w:val="single" w:sz="6" w:space="0" w:color="000000" w:themeColor="text1"/>
            </w:tcBorders>
            <w:shd w:val="clear" w:color="auto" w:fill="auto"/>
            <w:vAlign w:val="bottom"/>
            <w:hideMark/>
          </w:tcPr>
          <w:p w:rsidR="009341EF" w:rsidRPr="003E707C" w:rsidP="0089250A" w14:paraId="34399A13" w14:textId="088D2946">
            <w:pPr>
              <w:spacing w:after="0" w:line="240" w:lineRule="auto"/>
              <w:jc w:val="right"/>
              <w:textAlignment w:val="baseline"/>
              <w:rPr>
                <w:rFonts w:eastAsia="Times New Roman"/>
              </w:rPr>
            </w:pPr>
            <w:r w:rsidRPr="003E707C">
              <w:rPr>
                <w:rFonts w:eastAsia="Times New Roman"/>
                <w:color w:val="000000" w:themeColor="text1"/>
              </w:rPr>
              <w:t>1,</w:t>
            </w:r>
            <w:r w:rsidRPr="003E707C" w:rsidR="0A5E940B">
              <w:rPr>
                <w:rFonts w:eastAsia="Times New Roman"/>
                <w:color w:val="000000" w:themeColor="text1"/>
              </w:rPr>
              <w:t>182</w:t>
            </w:r>
            <w:r w:rsidRPr="003E707C">
              <w:rPr>
                <w:rFonts w:eastAsia="Times New Roman"/>
                <w:color w:val="000000" w:themeColor="text1"/>
              </w:rPr>
              <w:t> </w:t>
            </w:r>
          </w:p>
        </w:tc>
        <w:tc>
          <w:tcPr>
            <w:tcW w:w="1920" w:type="dxa"/>
            <w:tcBorders>
              <w:top w:val="nil"/>
              <w:left w:val="nil"/>
              <w:bottom w:val="single" w:sz="6" w:space="0" w:color="000000" w:themeColor="text1"/>
              <w:right w:val="single" w:sz="6" w:space="0" w:color="000000" w:themeColor="text1"/>
            </w:tcBorders>
            <w:shd w:val="clear" w:color="auto" w:fill="auto"/>
            <w:vAlign w:val="bottom"/>
            <w:hideMark/>
          </w:tcPr>
          <w:p w:rsidR="009341EF" w:rsidRPr="003E707C" w:rsidP="0089250A" w14:paraId="20D89575" w14:textId="2A751648">
            <w:pPr>
              <w:spacing w:after="0" w:line="240" w:lineRule="auto"/>
              <w:jc w:val="right"/>
              <w:textAlignment w:val="baseline"/>
              <w:rPr>
                <w:rFonts w:eastAsia="Times New Roman"/>
              </w:rPr>
            </w:pPr>
            <w:r w:rsidRPr="003E707C">
              <w:rPr>
                <w:rFonts w:eastAsia="Times New Roman"/>
                <w:color w:val="000000" w:themeColor="text1"/>
              </w:rPr>
              <w:t>1,182</w:t>
            </w:r>
            <w:r w:rsidRPr="003E707C">
              <w:rPr>
                <w:rFonts w:eastAsia="Times New Roman"/>
                <w:color w:val="000000" w:themeColor="text1"/>
              </w:rPr>
              <w:t> </w:t>
            </w:r>
          </w:p>
        </w:tc>
        <w:tc>
          <w:tcPr>
            <w:tcW w:w="1140" w:type="dxa"/>
            <w:tcBorders>
              <w:top w:val="nil"/>
              <w:left w:val="nil"/>
              <w:bottom w:val="single" w:sz="6" w:space="0" w:color="000000" w:themeColor="text1"/>
              <w:right w:val="single" w:sz="6" w:space="0" w:color="000000" w:themeColor="text1"/>
            </w:tcBorders>
            <w:shd w:val="clear" w:color="auto" w:fill="auto"/>
            <w:vAlign w:val="bottom"/>
            <w:hideMark/>
          </w:tcPr>
          <w:p w:rsidR="009341EF" w:rsidRPr="003E707C" w:rsidP="0089250A" w14:paraId="2FEA7914" w14:textId="68E4964E">
            <w:pPr>
              <w:spacing w:after="0" w:line="240" w:lineRule="auto"/>
              <w:jc w:val="right"/>
              <w:textAlignment w:val="baseline"/>
              <w:rPr>
                <w:rFonts w:eastAsia="Times New Roman"/>
              </w:rPr>
            </w:pPr>
            <w:r w:rsidRPr="003E707C">
              <w:rPr>
                <w:rFonts w:eastAsia="Times New Roman"/>
                <w:color w:val="000000" w:themeColor="text1"/>
              </w:rPr>
              <w:t>$</w:t>
            </w:r>
            <w:r w:rsidRPr="003E707C" w:rsidR="0CC3BD19">
              <w:rPr>
                <w:rFonts w:eastAsia="Times New Roman"/>
                <w:color w:val="000000" w:themeColor="text1"/>
              </w:rPr>
              <w:t>111,687</w:t>
            </w:r>
            <w:r w:rsidRPr="003E707C">
              <w:rPr>
                <w:rFonts w:eastAsia="Times New Roman"/>
                <w:color w:val="000000" w:themeColor="text1"/>
              </w:rPr>
              <w:t>  </w:t>
            </w:r>
          </w:p>
        </w:tc>
      </w:tr>
    </w:tbl>
    <w:p w:rsidR="009341EF" w:rsidRPr="00F3526B" w:rsidP="009341EF" w14:paraId="4AE6F9F2" w14:textId="4D9DD376">
      <w:pPr>
        <w:spacing w:after="0" w:line="240" w:lineRule="auto"/>
        <w:textAlignment w:val="baseline"/>
        <w:rPr>
          <w:rFonts w:eastAsia="Times New Roman" w:cstheme="minorHAnsi"/>
          <w:sz w:val="18"/>
          <w:szCs w:val="18"/>
        </w:rPr>
      </w:pPr>
      <w:r w:rsidRPr="00F3526B">
        <w:rPr>
          <w:rFonts w:eastAsia="Times New Roman" w:cstheme="minorHAnsi"/>
          <w:color w:val="000000"/>
          <w:sz w:val="18"/>
          <w:szCs w:val="18"/>
          <w:vertAlign w:val="superscript"/>
        </w:rPr>
        <w:t>a</w:t>
      </w:r>
      <w:r w:rsidRPr="00F3526B">
        <w:rPr>
          <w:rFonts w:eastAsia="Times New Roman" w:cstheme="minorHAnsi"/>
          <w:color w:val="000000"/>
          <w:sz w:val="18"/>
          <w:szCs w:val="18"/>
        </w:rPr>
        <w:t>  Based on an average total compensation rate of</w:t>
      </w:r>
      <w:r w:rsidRPr="00F3526B">
        <w:rPr>
          <w:rFonts w:eastAsia="Times New Roman" w:cstheme="minorHAnsi"/>
          <w:b/>
          <w:bCs/>
          <w:color w:val="000000"/>
          <w:sz w:val="18"/>
          <w:szCs w:val="18"/>
        </w:rPr>
        <w:t xml:space="preserve"> $</w:t>
      </w:r>
      <w:r w:rsidRPr="00F3526B" w:rsidR="0055469D">
        <w:rPr>
          <w:rFonts w:eastAsia="Times New Roman" w:cstheme="minorHAnsi"/>
          <w:b/>
          <w:bCs/>
          <w:color w:val="000000"/>
          <w:sz w:val="18"/>
          <w:szCs w:val="18"/>
        </w:rPr>
        <w:t>94.</w:t>
      </w:r>
      <w:r w:rsidRPr="00F3526B" w:rsidR="00306E23">
        <w:rPr>
          <w:rFonts w:eastAsia="Times New Roman" w:cstheme="minorHAnsi"/>
          <w:b/>
          <w:bCs/>
          <w:color w:val="000000"/>
          <w:sz w:val="18"/>
          <w:szCs w:val="18"/>
        </w:rPr>
        <w:t>49</w:t>
      </w:r>
      <w:r w:rsidRPr="00F3526B">
        <w:rPr>
          <w:rFonts w:eastAsia="Times New Roman" w:cstheme="minorHAnsi"/>
          <w:b/>
          <w:bCs/>
          <w:color w:val="000000"/>
          <w:sz w:val="18"/>
          <w:szCs w:val="18"/>
        </w:rPr>
        <w:t xml:space="preserve"> </w:t>
      </w:r>
      <w:r w:rsidRPr="00F3526B">
        <w:rPr>
          <w:rFonts w:eastAsia="Times New Roman" w:cstheme="minorHAnsi"/>
          <w:color w:val="000000"/>
          <w:sz w:val="18"/>
          <w:szCs w:val="18"/>
        </w:rPr>
        <w:t>per hour. </w:t>
      </w:r>
    </w:p>
    <w:p w:rsidR="009341EF" w:rsidRPr="00F3526B" w:rsidP="009341EF" w14:paraId="1A0FA08B" w14:textId="22497A26">
      <w:pPr>
        <w:spacing w:after="0" w:line="240" w:lineRule="auto"/>
        <w:textAlignment w:val="baseline"/>
        <w:rPr>
          <w:rFonts w:eastAsia="Times New Roman"/>
          <w:color w:val="000000"/>
          <w:sz w:val="18"/>
          <w:szCs w:val="18"/>
        </w:rPr>
      </w:pPr>
      <w:r w:rsidRPr="00F3526B">
        <w:rPr>
          <w:rFonts w:eastAsia="Times New Roman"/>
          <w:color w:val="000000" w:themeColor="text1"/>
          <w:sz w:val="18"/>
          <w:szCs w:val="18"/>
          <w:vertAlign w:val="superscript"/>
        </w:rPr>
        <w:t>b</w:t>
      </w:r>
      <w:r w:rsidRPr="00F3526B">
        <w:rPr>
          <w:rFonts w:eastAsia="Times New Roman"/>
          <w:color w:val="000000" w:themeColor="text1"/>
          <w:sz w:val="18"/>
          <w:szCs w:val="18"/>
        </w:rPr>
        <w:t>  Based on an assumption of 2</w:t>
      </w:r>
      <w:r w:rsidRPr="00F3526B" w:rsidR="4465A3F4">
        <w:rPr>
          <w:rFonts w:eastAsia="Times New Roman"/>
          <w:color w:val="000000" w:themeColor="text1"/>
          <w:sz w:val="18"/>
          <w:szCs w:val="18"/>
        </w:rPr>
        <w:t>15</w:t>
      </w:r>
      <w:r w:rsidRPr="00F3526B">
        <w:rPr>
          <w:rFonts w:eastAsia="Times New Roman"/>
          <w:color w:val="000000" w:themeColor="text1"/>
          <w:sz w:val="18"/>
          <w:szCs w:val="18"/>
        </w:rPr>
        <w:t xml:space="preserve"> annual reporting and </w:t>
      </w:r>
      <w:r w:rsidRPr="00F3526B" w:rsidR="734D7CEE">
        <w:rPr>
          <w:rFonts w:eastAsia="Times New Roman"/>
          <w:color w:val="000000" w:themeColor="text1"/>
          <w:sz w:val="18"/>
          <w:szCs w:val="18"/>
        </w:rPr>
        <w:t>161</w:t>
      </w:r>
      <w:r w:rsidRPr="00F3526B">
        <w:rPr>
          <w:rFonts w:eastAsia="Times New Roman"/>
          <w:color w:val="000000" w:themeColor="text1"/>
          <w:sz w:val="18"/>
          <w:szCs w:val="18"/>
        </w:rPr>
        <w:t xml:space="preserve"> ozone season only reporting facilities. </w:t>
      </w:r>
    </w:p>
    <w:p w:rsidR="007E5120" w:rsidRPr="003E707C" w:rsidP="00854AAE" w14:paraId="528503C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17BB9" w:rsidRPr="003E707C" w:rsidP="00854AAE" w14:paraId="164B7E2B" w14:textId="2BCAACF4">
      <w:pPr>
        <w:spacing w:before="120" w:after="0"/>
        <w:rPr>
          <w:rFonts w:cstheme="minorHAnsi"/>
          <w:b/>
          <w:bCs/>
        </w:rPr>
      </w:pPr>
      <w:r w:rsidRPr="003E707C">
        <w:rPr>
          <w:rFonts w:eastAsiaTheme="majorEastAsia"/>
          <w:b/>
        </w:rPr>
        <w:t xml:space="preserve">14c. </w:t>
      </w:r>
      <w:r w:rsidRPr="003E707C">
        <w:rPr>
          <w:rFonts w:eastAsiaTheme="majorEastAsia"/>
          <w:b/>
        </w:rPr>
        <w:t>Agency Non-Labor Costs</w:t>
      </w:r>
    </w:p>
    <w:p w:rsidR="00B85BE9" w:rsidRPr="00F3526B" w:rsidP="00A57145" w14:paraId="3C9763D4" w14:textId="14F6508F">
      <w:pPr>
        <w:spacing w:before="120" w:after="0" w:line="276" w:lineRule="auto"/>
      </w:pPr>
      <w:r w:rsidRPr="00F3526B">
        <w:rPr>
          <w:rStyle w:val="normaltextrun"/>
          <w:rFonts w:ascii="Calibri" w:eastAsia="Calibri" w:hAnsi="Calibri" w:cs="Calibri"/>
        </w:rPr>
        <w:t>The EPA operates and maintains a data system for the electronic submission of emissions data and monitoring plans. EPA incurs annual operation and maintenance (O&amp;M) costs for running the system that consists of multiple applications and databases and requires regular maintenance and system enhancements. The system manages these tasks related to the Acid Rain</w:t>
      </w:r>
      <w:r w:rsidRPr="00F3526B" w:rsidR="5F5D6A4D">
        <w:rPr>
          <w:rStyle w:val="normaltextrun"/>
          <w:rFonts w:ascii="Calibri" w:eastAsia="Calibri" w:hAnsi="Calibri" w:cs="Calibri"/>
        </w:rPr>
        <w:t xml:space="preserve"> and the NO</w:t>
      </w:r>
      <w:r w:rsidRPr="00F3526B" w:rsidR="5F5D6A4D">
        <w:rPr>
          <w:rStyle w:val="normaltextrun"/>
          <w:rFonts w:ascii="Calibri" w:eastAsia="Calibri" w:hAnsi="Calibri" w:cs="Calibri"/>
          <w:vertAlign w:val="subscript"/>
        </w:rPr>
        <w:t>X</w:t>
      </w:r>
      <w:r w:rsidRPr="00F3526B" w:rsidR="5F5D6A4D">
        <w:rPr>
          <w:rStyle w:val="normaltextrun"/>
          <w:rFonts w:ascii="Calibri" w:eastAsia="Calibri" w:hAnsi="Calibri" w:cs="Calibri"/>
        </w:rPr>
        <w:t xml:space="preserve"> SIP call</w:t>
      </w:r>
      <w:r w:rsidRPr="00F3526B">
        <w:rPr>
          <w:rStyle w:val="normaltextrun"/>
          <w:rFonts w:ascii="Calibri" w:eastAsia="Calibri" w:hAnsi="Calibri" w:cs="Calibri"/>
        </w:rPr>
        <w:t xml:space="preserve">. The system O&amp;M costs are accounted for in the Acid Rain Program </w:t>
      </w:r>
      <w:r w:rsidRPr="00F3526B" w:rsidR="00F3526B">
        <w:rPr>
          <w:rStyle w:val="normaltextrun"/>
          <w:rFonts w:ascii="Calibri" w:eastAsia="Calibri" w:hAnsi="Calibri" w:cs="Calibri"/>
        </w:rPr>
        <w:t>ICR,</w:t>
      </w:r>
      <w:r w:rsidRPr="00F3526B">
        <w:rPr>
          <w:rStyle w:val="normaltextrun"/>
          <w:rFonts w:ascii="Calibri" w:eastAsia="Calibri" w:hAnsi="Calibri" w:cs="Calibri"/>
        </w:rPr>
        <w:t xml:space="preserve"> and no further non-labor agency costs are relevant for this ICR.</w:t>
      </w:r>
      <w:r w:rsidRPr="00F3526B">
        <w:rPr>
          <w:rFonts w:ascii="Calibri" w:eastAsia="Calibri" w:hAnsi="Calibri" w:cs="Calibri"/>
        </w:rPr>
        <w:t xml:space="preserve"> </w:t>
      </w:r>
      <w:r w:rsidRPr="00F3526B" w:rsidR="00A57145">
        <w:t xml:space="preserve"> </w:t>
      </w:r>
    </w:p>
    <w:p w:rsidR="00E15CED" w:rsidRPr="003E707C" w:rsidP="00854AAE" w14:paraId="1DC3B536" w14:textId="77777777">
      <w:pPr>
        <w:spacing w:before="60"/>
        <w:rPr>
          <w:rFonts w:cstheme="minorHAnsi"/>
        </w:rPr>
      </w:pPr>
    </w:p>
    <w:p w:rsidR="004620CA" w:rsidRPr="003E707C" w:rsidP="003D667E" w14:paraId="3144CC9D" w14:textId="72F4E703">
      <w:pPr>
        <w:pStyle w:val="ListParagraph"/>
        <w:numPr>
          <w:ilvl w:val="0"/>
          <w:numId w:val="3"/>
        </w:numPr>
        <w:spacing w:before="240" w:after="0"/>
        <w:rPr>
          <w:rFonts w:cstheme="minorHAnsi"/>
          <w:b/>
          <w:bCs/>
        </w:rPr>
      </w:pPr>
      <w:r w:rsidRPr="003E707C">
        <w:rPr>
          <w:rFonts w:cstheme="minorHAnsi"/>
          <w:b/>
          <w:bCs/>
        </w:rPr>
        <w:t xml:space="preserve">REASONS FOR </w:t>
      </w:r>
      <w:r w:rsidRPr="003E707C" w:rsidR="00AD46F7">
        <w:rPr>
          <w:rFonts w:cstheme="minorHAnsi"/>
          <w:b/>
          <w:bCs/>
        </w:rPr>
        <w:t>CHANGE IN BURDEN</w:t>
      </w:r>
      <w:bookmarkEnd w:id="21"/>
    </w:p>
    <w:p w:rsidR="001F0834" w:rsidRPr="003E707C" w:rsidP="00854AAE" w14:paraId="567B01FE" w14:textId="77777777">
      <w:pPr>
        <w:pBdr>
          <w:bottom w:val="single" w:sz="12" w:space="1" w:color="auto"/>
        </w:pBdr>
        <w:spacing w:before="60"/>
        <w:rPr>
          <w:rFonts w:cstheme="minorHAnsi"/>
          <w:bCs/>
          <w:i/>
          <w:iCs/>
        </w:rPr>
      </w:pPr>
      <w:r w:rsidRPr="003E707C">
        <w:rPr>
          <w:rFonts w:cstheme="minorHAnsi"/>
          <w:bCs/>
          <w:i/>
          <w:iCs/>
        </w:rPr>
        <w:t>Explain the reasons for any program changes or adjustments reported in the burden or capital/O&amp;M cost estimates.</w:t>
      </w:r>
    </w:p>
    <w:p w:rsidR="004D2FB6" w:rsidRPr="003E707C" w:rsidP="00854AAE" w14:paraId="1CF2D8F4" w14:textId="45E146BA">
      <w:pPr>
        <w:pBdr>
          <w:top w:val="single" w:sz="6" w:space="0" w:color="FFFFFF"/>
          <w:left w:val="single" w:sz="6" w:space="0" w:color="FFFFFF"/>
          <w:bottom w:val="single" w:sz="6" w:space="0" w:color="FFFFFF"/>
          <w:right w:val="single" w:sz="6" w:space="0" w:color="FFFFFF"/>
        </w:pBdr>
      </w:pPr>
      <w:r w:rsidRPr="003E707C">
        <w:t xml:space="preserve">This ICR renewal shows an increase in industry burden of </w:t>
      </w:r>
      <w:r w:rsidRPr="003E707C" w:rsidR="0CA297EA">
        <w:t>16,414</w:t>
      </w:r>
      <w:r w:rsidRPr="003E707C">
        <w:t xml:space="preserve"> hours and an increase in industry annualized </w:t>
      </w:r>
      <w:r w:rsidRPr="003E707C" w:rsidR="08239707">
        <w:t>total costs</w:t>
      </w:r>
      <w:r w:rsidRPr="003E707C">
        <w:t xml:space="preserve"> of $</w:t>
      </w:r>
      <w:r w:rsidRPr="003E707C" w:rsidR="08239707">
        <w:t>4,436,079</w:t>
      </w:r>
      <w:r w:rsidRPr="003E707C">
        <w:t>.    The total burden and cost have increased primarily due to changes in the estimated numbers of respondents relative to the previous ICR renewal.   For purposes of this ICR renewal, EPA has based the estimated numbers of sources using non-part 75 monitoring and reporting methodologies for NO</w:t>
      </w:r>
      <w:r w:rsidRPr="003E707C">
        <w:rPr>
          <w:vertAlign w:val="subscript"/>
        </w:rPr>
        <w:t>X</w:t>
      </w:r>
      <w:r w:rsidRPr="003E707C">
        <w:t xml:space="preserve"> SIP Call purposes on updated information about the actual numbers of such sources.</w:t>
      </w:r>
    </w:p>
    <w:p w:rsidR="003D667E" w:rsidRPr="003E707C" w:rsidP="00854AAE" w14:paraId="07EBEC75" w14:textId="77777777">
      <w:pPr>
        <w:pBdr>
          <w:top w:val="single" w:sz="6" w:space="0" w:color="FFFFFF"/>
          <w:left w:val="single" w:sz="6" w:space="0" w:color="FFFFFF"/>
          <w:bottom w:val="single" w:sz="6" w:space="0" w:color="FFFFFF"/>
          <w:right w:val="single" w:sz="6" w:space="0" w:color="FFFFFF"/>
        </w:pBdr>
        <w:rPr>
          <w:rFonts w:cstheme="minorHAnsi"/>
          <w:color w:val="FF0000"/>
        </w:rPr>
      </w:pPr>
    </w:p>
    <w:p w:rsidR="005D140B" w:rsidRPr="003E707C" w:rsidP="08838EE1" w14:paraId="3604F417" w14:textId="5D0F3160">
      <w:pPr>
        <w:pStyle w:val="ListParagraph"/>
        <w:numPr>
          <w:ilvl w:val="0"/>
          <w:numId w:val="3"/>
        </w:numPr>
        <w:spacing w:before="240" w:after="0"/>
        <w:rPr>
          <w:b/>
          <w:bCs/>
        </w:rPr>
      </w:pPr>
      <w:bookmarkStart w:id="22" w:name="_Toc156593389"/>
      <w:r w:rsidRPr="003E707C">
        <w:rPr>
          <w:b/>
          <w:bCs/>
        </w:rPr>
        <w:t xml:space="preserve">PUBLICATION OF </w:t>
      </w:r>
      <w:bookmarkStart w:id="23" w:name="_Toc156593390"/>
      <w:bookmarkEnd w:id="22"/>
      <w:r w:rsidRPr="003E707C" w:rsidR="00E73E81">
        <w:rPr>
          <w:b/>
          <w:bCs/>
        </w:rPr>
        <w:t>DATA</w:t>
      </w:r>
    </w:p>
    <w:p w:rsidR="001F0834" w:rsidRPr="003E707C" w:rsidP="00854AAE" w14:paraId="21A4F990" w14:textId="77777777">
      <w:pPr>
        <w:pBdr>
          <w:bottom w:val="single" w:sz="12" w:space="1" w:color="auto"/>
        </w:pBdr>
        <w:spacing w:before="60"/>
        <w:rPr>
          <w:rFonts w:cstheme="minorHAnsi"/>
          <w:bCs/>
          <w:i/>
          <w:iCs/>
        </w:rPr>
      </w:pPr>
      <w:r w:rsidRPr="003E707C">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3E707C" w:rsidP="08838EE1" w14:paraId="5CBE5491" w14:textId="5FAF7AC5">
      <w:pPr>
        <w:pBdr>
          <w:top w:val="single" w:sz="6" w:space="0" w:color="FFFFFF"/>
          <w:left w:val="single" w:sz="6" w:space="0" w:color="FFFFFF"/>
          <w:bottom w:val="single" w:sz="6" w:space="0" w:color="FFFFFF"/>
          <w:right w:val="single" w:sz="6" w:space="0" w:color="FFFFFF"/>
        </w:pBdr>
      </w:pPr>
      <w:r w:rsidRPr="003E707C">
        <w:rPr>
          <w:rFonts w:ascii="Calibri" w:eastAsia="Calibri" w:hAnsi="Calibri" w:cs="Calibri"/>
        </w:rPr>
        <w:t>Data from sources regarding emissions, allowances, compliance, and facility information will be published on the Clean Air Markets Program Data (CAMPD) site. Data is published automatically to CAMPD. Allowance transfer data is published daily, emissions data is published quarterly, and compliance data is published yearly.</w:t>
      </w:r>
    </w:p>
    <w:p w:rsidR="003D667E" w:rsidRPr="003E707C" w:rsidP="00854AAE" w14:paraId="6FB9509E" w14:textId="77777777">
      <w:pPr>
        <w:pBdr>
          <w:top w:val="single" w:sz="6" w:space="0" w:color="FFFFFF"/>
          <w:left w:val="single" w:sz="6" w:space="0" w:color="FFFFFF"/>
          <w:bottom w:val="single" w:sz="6" w:space="0" w:color="FFFFFF"/>
          <w:right w:val="single" w:sz="6" w:space="0" w:color="FFFFFF"/>
        </w:pBdr>
        <w:rPr>
          <w:rFonts w:cstheme="minorHAnsi"/>
        </w:rPr>
      </w:pPr>
    </w:p>
    <w:p w:rsidR="00627768" w:rsidRPr="003E707C" w:rsidP="003D667E" w14:paraId="54E9D2D0" w14:textId="67124984">
      <w:pPr>
        <w:pStyle w:val="ListParagraph"/>
        <w:numPr>
          <w:ilvl w:val="0"/>
          <w:numId w:val="3"/>
        </w:numPr>
        <w:spacing w:before="240" w:after="0"/>
        <w:rPr>
          <w:rFonts w:cstheme="minorHAnsi"/>
          <w:b/>
          <w:bCs/>
        </w:rPr>
      </w:pPr>
      <w:r w:rsidRPr="003E707C">
        <w:rPr>
          <w:rFonts w:cstheme="minorHAnsi"/>
          <w:b/>
          <w:bCs/>
        </w:rPr>
        <w:t xml:space="preserve">DISPLAY </w:t>
      </w:r>
      <w:r w:rsidRPr="003E707C" w:rsidR="00644EBE">
        <w:rPr>
          <w:rFonts w:cstheme="minorHAnsi"/>
          <w:b/>
          <w:bCs/>
        </w:rPr>
        <w:t xml:space="preserve">OF </w:t>
      </w:r>
      <w:r w:rsidRPr="003E707C" w:rsidR="000D5863">
        <w:rPr>
          <w:rFonts w:cstheme="minorHAnsi"/>
          <w:b/>
          <w:bCs/>
        </w:rPr>
        <w:t>EXPIRATION DATE</w:t>
      </w:r>
      <w:bookmarkEnd w:id="23"/>
      <w:r w:rsidRPr="003E707C" w:rsidR="00644EBE">
        <w:rPr>
          <w:rFonts w:cstheme="minorHAnsi"/>
          <w:b/>
          <w:bCs/>
        </w:rPr>
        <w:t xml:space="preserve"> </w:t>
      </w:r>
    </w:p>
    <w:p w:rsidR="001F0834" w:rsidRPr="003E707C" w:rsidP="00854AAE" w14:paraId="23256265" w14:textId="77777777">
      <w:pPr>
        <w:pBdr>
          <w:bottom w:val="single" w:sz="12" w:space="1" w:color="auto"/>
        </w:pBdr>
        <w:spacing w:before="60"/>
        <w:rPr>
          <w:rFonts w:cstheme="minorHAnsi"/>
          <w:i/>
          <w:iCs/>
        </w:rPr>
      </w:pPr>
      <w:r w:rsidRPr="003E707C">
        <w:rPr>
          <w:rFonts w:cstheme="minorHAnsi"/>
          <w:i/>
          <w:iCs/>
        </w:rPr>
        <w:t>If seeking approval to not display the expiration date for OMB approval of the information collection, explain the reasons that display would be inappropriate.</w:t>
      </w:r>
    </w:p>
    <w:p w:rsidR="003D667E" w:rsidRPr="003E707C" w:rsidP="00854AAE" w14:paraId="14BB5BA4" w14:textId="710D3620">
      <w:pPr>
        <w:pBdr>
          <w:top w:val="single" w:sz="6" w:space="0" w:color="FFFFFF"/>
          <w:left w:val="single" w:sz="6" w:space="0" w:color="FFFFFF"/>
          <w:bottom w:val="single" w:sz="6" w:space="0" w:color="FFFFFF"/>
          <w:right w:val="single" w:sz="6" w:space="0" w:color="FFFFFF"/>
        </w:pBdr>
        <w:rPr>
          <w:rFonts w:cstheme="minorHAnsi"/>
        </w:rPr>
      </w:pPr>
      <w:r w:rsidRPr="003E707C">
        <w:rPr>
          <w:rFonts w:cstheme="minorHAnsi"/>
        </w:rPr>
        <w:t xml:space="preserve">N/A – Expiration date may be displayed. </w:t>
      </w:r>
    </w:p>
    <w:p w:rsidR="0025479E" w:rsidRPr="003E707C" w:rsidP="00854AAE" w14:paraId="627BA1C4" w14:textId="77777777">
      <w:pPr>
        <w:pBdr>
          <w:top w:val="single" w:sz="6" w:space="0" w:color="FFFFFF"/>
          <w:left w:val="single" w:sz="6" w:space="0" w:color="FFFFFF"/>
          <w:bottom w:val="single" w:sz="6" w:space="0" w:color="FFFFFF"/>
          <w:right w:val="single" w:sz="6" w:space="0" w:color="FFFFFF"/>
        </w:pBdr>
        <w:rPr>
          <w:rFonts w:cstheme="minorHAnsi"/>
        </w:rPr>
      </w:pPr>
    </w:p>
    <w:p w:rsidR="00691828" w:rsidRPr="003E707C" w:rsidP="003D667E" w14:paraId="7CCB26DD" w14:textId="4CB12282">
      <w:pPr>
        <w:pStyle w:val="ListParagraph"/>
        <w:numPr>
          <w:ilvl w:val="0"/>
          <w:numId w:val="3"/>
        </w:numPr>
        <w:spacing w:before="240" w:after="0"/>
        <w:rPr>
          <w:rFonts w:cstheme="minorHAnsi"/>
          <w:b/>
          <w:bCs/>
        </w:rPr>
      </w:pPr>
      <w:bookmarkStart w:id="24" w:name="_Toc156593391"/>
      <w:r w:rsidRPr="003E707C">
        <w:rPr>
          <w:rFonts w:cstheme="minorHAnsi"/>
          <w:b/>
          <w:bCs/>
        </w:rPr>
        <w:t>CERTIFICATION STATEMENT</w:t>
      </w:r>
      <w:bookmarkEnd w:id="24"/>
    </w:p>
    <w:p w:rsidR="001F0834" w:rsidRPr="00CF01E1" w:rsidP="00854AAE" w14:paraId="59893047" w14:textId="77777777">
      <w:pPr>
        <w:pBdr>
          <w:bottom w:val="single" w:sz="12" w:space="1" w:color="auto"/>
        </w:pBdr>
        <w:spacing w:before="60"/>
        <w:rPr>
          <w:rFonts w:cstheme="minorHAnsi"/>
          <w:i/>
          <w:iCs/>
        </w:rPr>
      </w:pPr>
      <w:r w:rsidRPr="003E707C">
        <w:rPr>
          <w:rFonts w:cstheme="minorHAnsi"/>
          <w:i/>
          <w:iCs/>
        </w:rPr>
        <w:t>Explain each exception to the topics of the certification statement identified in “Certification for Paperwork Reduction Act Submissions.”</w:t>
      </w:r>
    </w:p>
    <w:p w:rsidR="00BB3410" w:rsidRPr="00CF01E1" w:rsidP="00BB3410" w14:paraId="0F10E677" w14:textId="7DBD28BB">
      <w:pPr>
        <w:rPr>
          <w:rFonts w:cstheme="minorHAnsi"/>
          <w:color w:val="000000"/>
          <w:shd w:val="clear" w:color="auto" w:fill="FFFFFF"/>
        </w:rPr>
        <w:sectPr>
          <w:pgSz w:w="12240" w:h="15840"/>
          <w:pgMar w:top="1440" w:right="1440" w:bottom="1440" w:left="1440" w:header="720" w:footer="720" w:gutter="0"/>
          <w:cols w:space="720"/>
          <w:docGrid w:linePitch="360"/>
        </w:sectPr>
      </w:pPr>
      <w:r w:rsidRPr="000C028B">
        <w:rPr>
          <w:rFonts w:cstheme="minorHAnsi"/>
        </w:rPr>
        <w:t>This information collection complies with all provisions of the Certification for Paperwork Reduction Act Submissions.</w:t>
      </w:r>
      <w:r w:rsidRPr="00CF01E1">
        <w:rPr>
          <w:rStyle w:val="normaltextrun"/>
          <w:rFonts w:cstheme="minorHAnsi"/>
          <w:color w:val="000000"/>
          <w:shd w:val="clear" w:color="auto" w:fill="FFFFFF"/>
        </w:rPr>
        <w:br w:type="page"/>
      </w:r>
    </w:p>
    <w:p w:rsidR="00BB3410" w:rsidRPr="00CF01E1" w:rsidP="00BB3410" w14:paraId="02BFB1B4" w14:textId="77777777">
      <w:pPr>
        <w:pStyle w:val="ListParagraph"/>
        <w:spacing w:before="240"/>
        <w:ind w:left="0"/>
        <w:rPr>
          <w:rFonts w:cstheme="minorHAnsi"/>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4244477"/>
      <w:docPartObj>
        <w:docPartGallery w:val="Page Numbers (Bottom of Page)"/>
        <w:docPartUnique/>
      </w:docPartObj>
    </w:sdtPr>
    <w:sdtEndPr>
      <w:rPr>
        <w:noProof/>
      </w:rPr>
    </w:sdtEndPr>
    <w:sdtContent>
      <w:p w:rsidR="00572532" w14:paraId="34B6C2AA" w14:textId="7997C2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2532" w14:paraId="47D0F63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31BFC"/>
    <w:multiLevelType w:val="hybridMultilevel"/>
    <w:tmpl w:val="D018BE4E"/>
    <w:lvl w:ilvl="0">
      <w:start w:val="2"/>
      <w:numFmt w:val="bullet"/>
      <w:lvlText w:val="•"/>
      <w:lvlJc w:val="left"/>
      <w:pPr>
        <w:ind w:left="1080" w:hanging="360"/>
      </w:pPr>
      <w:rPr>
        <w:rFonts w:ascii="Calibri" w:hAnsi="Calibri" w:eastAsiaTheme="minorEastAs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770FE0"/>
    <w:multiLevelType w:val="hybridMultilevel"/>
    <w:tmpl w:val="79AE7A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D1527F"/>
    <w:multiLevelType w:val="hybridMultilevel"/>
    <w:tmpl w:val="9C2606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F626FCC"/>
    <w:multiLevelType w:val="hybridMultilevel"/>
    <w:tmpl w:val="9DD226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2BF46DD"/>
    <w:multiLevelType w:val="hybridMultilevel"/>
    <w:tmpl w:val="40E02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566B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9490726">
    <w:abstractNumId w:val="2"/>
  </w:num>
  <w:num w:numId="2" w16cid:durableId="258569098">
    <w:abstractNumId w:val="3"/>
  </w:num>
  <w:num w:numId="3" w16cid:durableId="1015961391">
    <w:abstractNumId w:val="5"/>
  </w:num>
  <w:num w:numId="4" w16cid:durableId="919947285">
    <w:abstractNumId w:val="0"/>
  </w:num>
  <w:num w:numId="5" w16cid:durableId="2028361483">
    <w:abstractNumId w:val="7"/>
  </w:num>
  <w:num w:numId="6" w16cid:durableId="1431580268">
    <w:abstractNumId w:val="6"/>
  </w:num>
  <w:num w:numId="7" w16cid:durableId="760099934">
    <w:abstractNumId w:val="1"/>
  </w:num>
  <w:num w:numId="8" w16cid:durableId="168632707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D53"/>
    <w:rsid w:val="00007FB5"/>
    <w:rsid w:val="00010EEE"/>
    <w:rsid w:val="000129E1"/>
    <w:rsid w:val="00013852"/>
    <w:rsid w:val="00013A16"/>
    <w:rsid w:val="00013CE8"/>
    <w:rsid w:val="00014B10"/>
    <w:rsid w:val="00015FF6"/>
    <w:rsid w:val="0001637F"/>
    <w:rsid w:val="00017B90"/>
    <w:rsid w:val="00020791"/>
    <w:rsid w:val="00022DAB"/>
    <w:rsid w:val="00023EFE"/>
    <w:rsid w:val="000267E1"/>
    <w:rsid w:val="00030670"/>
    <w:rsid w:val="0003166C"/>
    <w:rsid w:val="00032552"/>
    <w:rsid w:val="00033219"/>
    <w:rsid w:val="00034651"/>
    <w:rsid w:val="00036CF2"/>
    <w:rsid w:val="00037107"/>
    <w:rsid w:val="0003735B"/>
    <w:rsid w:val="000406BF"/>
    <w:rsid w:val="00040E78"/>
    <w:rsid w:val="00042F77"/>
    <w:rsid w:val="0004467E"/>
    <w:rsid w:val="000452DC"/>
    <w:rsid w:val="000461BA"/>
    <w:rsid w:val="00047160"/>
    <w:rsid w:val="0005043F"/>
    <w:rsid w:val="00050BB4"/>
    <w:rsid w:val="00051045"/>
    <w:rsid w:val="000529CD"/>
    <w:rsid w:val="00053570"/>
    <w:rsid w:val="000539EB"/>
    <w:rsid w:val="000544D0"/>
    <w:rsid w:val="00054D04"/>
    <w:rsid w:val="0005572E"/>
    <w:rsid w:val="0005629D"/>
    <w:rsid w:val="0005783D"/>
    <w:rsid w:val="00057D4B"/>
    <w:rsid w:val="00060163"/>
    <w:rsid w:val="0006085E"/>
    <w:rsid w:val="00060E99"/>
    <w:rsid w:val="0006128A"/>
    <w:rsid w:val="00061A77"/>
    <w:rsid w:val="00061BCE"/>
    <w:rsid w:val="00062CDA"/>
    <w:rsid w:val="00063CA7"/>
    <w:rsid w:val="00065167"/>
    <w:rsid w:val="00065411"/>
    <w:rsid w:val="00065974"/>
    <w:rsid w:val="0006598D"/>
    <w:rsid w:val="00065FC8"/>
    <w:rsid w:val="00066059"/>
    <w:rsid w:val="00070074"/>
    <w:rsid w:val="00071B97"/>
    <w:rsid w:val="000728E0"/>
    <w:rsid w:val="00073C3D"/>
    <w:rsid w:val="00074917"/>
    <w:rsid w:val="00074E51"/>
    <w:rsid w:val="00075C7A"/>
    <w:rsid w:val="000762A8"/>
    <w:rsid w:val="00076439"/>
    <w:rsid w:val="00076F0F"/>
    <w:rsid w:val="0007713F"/>
    <w:rsid w:val="00077D8A"/>
    <w:rsid w:val="00082A72"/>
    <w:rsid w:val="00083D4A"/>
    <w:rsid w:val="00083F78"/>
    <w:rsid w:val="00084BF3"/>
    <w:rsid w:val="00090627"/>
    <w:rsid w:val="00090750"/>
    <w:rsid w:val="00090D9A"/>
    <w:rsid w:val="00091121"/>
    <w:rsid w:val="000911D6"/>
    <w:rsid w:val="00091EB4"/>
    <w:rsid w:val="0009219E"/>
    <w:rsid w:val="000925BD"/>
    <w:rsid w:val="00093C6D"/>
    <w:rsid w:val="00093DC2"/>
    <w:rsid w:val="00094023"/>
    <w:rsid w:val="0009492C"/>
    <w:rsid w:val="00095F01"/>
    <w:rsid w:val="000970C6"/>
    <w:rsid w:val="000978FD"/>
    <w:rsid w:val="00097DCF"/>
    <w:rsid w:val="000A1198"/>
    <w:rsid w:val="000A11F1"/>
    <w:rsid w:val="000A170A"/>
    <w:rsid w:val="000A397C"/>
    <w:rsid w:val="000A4527"/>
    <w:rsid w:val="000A6999"/>
    <w:rsid w:val="000B0789"/>
    <w:rsid w:val="000B33BB"/>
    <w:rsid w:val="000B3576"/>
    <w:rsid w:val="000B461B"/>
    <w:rsid w:val="000B4669"/>
    <w:rsid w:val="000B7BBA"/>
    <w:rsid w:val="000C028B"/>
    <w:rsid w:val="000C0A5C"/>
    <w:rsid w:val="000C41A7"/>
    <w:rsid w:val="000C43C8"/>
    <w:rsid w:val="000C443B"/>
    <w:rsid w:val="000C608D"/>
    <w:rsid w:val="000C6120"/>
    <w:rsid w:val="000C70AC"/>
    <w:rsid w:val="000D224E"/>
    <w:rsid w:val="000D251E"/>
    <w:rsid w:val="000D2D5D"/>
    <w:rsid w:val="000D2E33"/>
    <w:rsid w:val="000D3C22"/>
    <w:rsid w:val="000D45B2"/>
    <w:rsid w:val="000D516A"/>
    <w:rsid w:val="000D5863"/>
    <w:rsid w:val="000D63E0"/>
    <w:rsid w:val="000D6FA4"/>
    <w:rsid w:val="000E0BB0"/>
    <w:rsid w:val="000E1158"/>
    <w:rsid w:val="000E15D9"/>
    <w:rsid w:val="000E184B"/>
    <w:rsid w:val="000E19CB"/>
    <w:rsid w:val="000E1FE8"/>
    <w:rsid w:val="000E3298"/>
    <w:rsid w:val="000E348B"/>
    <w:rsid w:val="000E38E9"/>
    <w:rsid w:val="000E4279"/>
    <w:rsid w:val="000E5609"/>
    <w:rsid w:val="000E7DC1"/>
    <w:rsid w:val="000F0186"/>
    <w:rsid w:val="000F29EE"/>
    <w:rsid w:val="000F2B79"/>
    <w:rsid w:val="000F338A"/>
    <w:rsid w:val="000F3AC3"/>
    <w:rsid w:val="000F4DBB"/>
    <w:rsid w:val="000F6D04"/>
    <w:rsid w:val="00100432"/>
    <w:rsid w:val="00100499"/>
    <w:rsid w:val="00100BF7"/>
    <w:rsid w:val="00100FA6"/>
    <w:rsid w:val="00101362"/>
    <w:rsid w:val="0010158E"/>
    <w:rsid w:val="0010258D"/>
    <w:rsid w:val="00102EE5"/>
    <w:rsid w:val="00103DD8"/>
    <w:rsid w:val="00105014"/>
    <w:rsid w:val="00105F52"/>
    <w:rsid w:val="00106C2C"/>
    <w:rsid w:val="00107505"/>
    <w:rsid w:val="00111663"/>
    <w:rsid w:val="0011191E"/>
    <w:rsid w:val="00112360"/>
    <w:rsid w:val="00112675"/>
    <w:rsid w:val="00112C74"/>
    <w:rsid w:val="0011375D"/>
    <w:rsid w:val="001141DA"/>
    <w:rsid w:val="00116064"/>
    <w:rsid w:val="001172FE"/>
    <w:rsid w:val="00117FE1"/>
    <w:rsid w:val="0012174C"/>
    <w:rsid w:val="001249A3"/>
    <w:rsid w:val="001250F5"/>
    <w:rsid w:val="0013006A"/>
    <w:rsid w:val="001309C9"/>
    <w:rsid w:val="00130CF9"/>
    <w:rsid w:val="001310E0"/>
    <w:rsid w:val="00132921"/>
    <w:rsid w:val="001329B3"/>
    <w:rsid w:val="00135EAD"/>
    <w:rsid w:val="00135FB5"/>
    <w:rsid w:val="00136237"/>
    <w:rsid w:val="00137EB8"/>
    <w:rsid w:val="00145A58"/>
    <w:rsid w:val="00145DAE"/>
    <w:rsid w:val="00147B68"/>
    <w:rsid w:val="0015084F"/>
    <w:rsid w:val="00152A80"/>
    <w:rsid w:val="00157F09"/>
    <w:rsid w:val="00160461"/>
    <w:rsid w:val="00161846"/>
    <w:rsid w:val="001636DA"/>
    <w:rsid w:val="00163C69"/>
    <w:rsid w:val="00164169"/>
    <w:rsid w:val="00166B27"/>
    <w:rsid w:val="00170329"/>
    <w:rsid w:val="00170689"/>
    <w:rsid w:val="00170EB8"/>
    <w:rsid w:val="00171DC0"/>
    <w:rsid w:val="0017214B"/>
    <w:rsid w:val="00173422"/>
    <w:rsid w:val="00173E50"/>
    <w:rsid w:val="00175AB7"/>
    <w:rsid w:val="00175BF8"/>
    <w:rsid w:val="00176BA8"/>
    <w:rsid w:val="001775F3"/>
    <w:rsid w:val="0017786C"/>
    <w:rsid w:val="0018024B"/>
    <w:rsid w:val="00180511"/>
    <w:rsid w:val="00183EBA"/>
    <w:rsid w:val="00184011"/>
    <w:rsid w:val="00185251"/>
    <w:rsid w:val="00190D2D"/>
    <w:rsid w:val="00191248"/>
    <w:rsid w:val="0019149E"/>
    <w:rsid w:val="0019182F"/>
    <w:rsid w:val="00191C72"/>
    <w:rsid w:val="00192551"/>
    <w:rsid w:val="001925B3"/>
    <w:rsid w:val="0019580A"/>
    <w:rsid w:val="00195BEB"/>
    <w:rsid w:val="00197695"/>
    <w:rsid w:val="00197A23"/>
    <w:rsid w:val="001A122F"/>
    <w:rsid w:val="001A1642"/>
    <w:rsid w:val="001A20B0"/>
    <w:rsid w:val="001A21A7"/>
    <w:rsid w:val="001A2460"/>
    <w:rsid w:val="001A3351"/>
    <w:rsid w:val="001A5343"/>
    <w:rsid w:val="001A53A7"/>
    <w:rsid w:val="001A76B3"/>
    <w:rsid w:val="001A7DEF"/>
    <w:rsid w:val="001B05BC"/>
    <w:rsid w:val="001B1773"/>
    <w:rsid w:val="001B1962"/>
    <w:rsid w:val="001B2D25"/>
    <w:rsid w:val="001B4565"/>
    <w:rsid w:val="001B46D7"/>
    <w:rsid w:val="001B4BEC"/>
    <w:rsid w:val="001B7B47"/>
    <w:rsid w:val="001C0151"/>
    <w:rsid w:val="001C260A"/>
    <w:rsid w:val="001C2B3C"/>
    <w:rsid w:val="001C2D48"/>
    <w:rsid w:val="001C3106"/>
    <w:rsid w:val="001C37BF"/>
    <w:rsid w:val="001C3D5A"/>
    <w:rsid w:val="001C4634"/>
    <w:rsid w:val="001C4F59"/>
    <w:rsid w:val="001C6741"/>
    <w:rsid w:val="001C6F7B"/>
    <w:rsid w:val="001C7470"/>
    <w:rsid w:val="001C7D52"/>
    <w:rsid w:val="001C7F42"/>
    <w:rsid w:val="001D01BB"/>
    <w:rsid w:val="001D294E"/>
    <w:rsid w:val="001D47F8"/>
    <w:rsid w:val="001D4CDC"/>
    <w:rsid w:val="001D4D40"/>
    <w:rsid w:val="001D4F2F"/>
    <w:rsid w:val="001D51D8"/>
    <w:rsid w:val="001D52F9"/>
    <w:rsid w:val="001D5C21"/>
    <w:rsid w:val="001D5CED"/>
    <w:rsid w:val="001E0924"/>
    <w:rsid w:val="001E0FA4"/>
    <w:rsid w:val="001E171E"/>
    <w:rsid w:val="001E1CD5"/>
    <w:rsid w:val="001E211E"/>
    <w:rsid w:val="001E3A31"/>
    <w:rsid w:val="001E43D7"/>
    <w:rsid w:val="001E534A"/>
    <w:rsid w:val="001E548A"/>
    <w:rsid w:val="001E601A"/>
    <w:rsid w:val="001E6E50"/>
    <w:rsid w:val="001E7480"/>
    <w:rsid w:val="001E74E1"/>
    <w:rsid w:val="001F0834"/>
    <w:rsid w:val="001F0D3B"/>
    <w:rsid w:val="001F1A52"/>
    <w:rsid w:val="001F1F14"/>
    <w:rsid w:val="001F32E3"/>
    <w:rsid w:val="001F34A5"/>
    <w:rsid w:val="001F370A"/>
    <w:rsid w:val="001F5541"/>
    <w:rsid w:val="001F5B74"/>
    <w:rsid w:val="001F70B3"/>
    <w:rsid w:val="001F75D9"/>
    <w:rsid w:val="001F7A8B"/>
    <w:rsid w:val="001F7B1A"/>
    <w:rsid w:val="001F7DF2"/>
    <w:rsid w:val="0020142E"/>
    <w:rsid w:val="00201886"/>
    <w:rsid w:val="00201999"/>
    <w:rsid w:val="00204B42"/>
    <w:rsid w:val="002064A4"/>
    <w:rsid w:val="002074DB"/>
    <w:rsid w:val="0020763C"/>
    <w:rsid w:val="00207A60"/>
    <w:rsid w:val="00210F2E"/>
    <w:rsid w:val="002115FC"/>
    <w:rsid w:val="00211627"/>
    <w:rsid w:val="0021345A"/>
    <w:rsid w:val="00213AE6"/>
    <w:rsid w:val="0021652D"/>
    <w:rsid w:val="00216C6A"/>
    <w:rsid w:val="00220258"/>
    <w:rsid w:val="002217A5"/>
    <w:rsid w:val="0022204A"/>
    <w:rsid w:val="00222530"/>
    <w:rsid w:val="0022259D"/>
    <w:rsid w:val="0022416D"/>
    <w:rsid w:val="00224BB3"/>
    <w:rsid w:val="00224D61"/>
    <w:rsid w:val="00224F14"/>
    <w:rsid w:val="00226D49"/>
    <w:rsid w:val="0022710C"/>
    <w:rsid w:val="002272EE"/>
    <w:rsid w:val="00227534"/>
    <w:rsid w:val="00227759"/>
    <w:rsid w:val="00227C5D"/>
    <w:rsid w:val="00230F45"/>
    <w:rsid w:val="00233342"/>
    <w:rsid w:val="002335AB"/>
    <w:rsid w:val="00234B8D"/>
    <w:rsid w:val="00234DFF"/>
    <w:rsid w:val="00235E79"/>
    <w:rsid w:val="002360BC"/>
    <w:rsid w:val="00236989"/>
    <w:rsid w:val="00237340"/>
    <w:rsid w:val="00240F23"/>
    <w:rsid w:val="0024175E"/>
    <w:rsid w:val="002420F2"/>
    <w:rsid w:val="00245157"/>
    <w:rsid w:val="002455F0"/>
    <w:rsid w:val="0024599B"/>
    <w:rsid w:val="00246A7E"/>
    <w:rsid w:val="00247198"/>
    <w:rsid w:val="0025051F"/>
    <w:rsid w:val="00251151"/>
    <w:rsid w:val="00252A4E"/>
    <w:rsid w:val="0025319A"/>
    <w:rsid w:val="00253C93"/>
    <w:rsid w:val="0025479E"/>
    <w:rsid w:val="00255FA2"/>
    <w:rsid w:val="0025617C"/>
    <w:rsid w:val="0025729C"/>
    <w:rsid w:val="0026050F"/>
    <w:rsid w:val="00260FB7"/>
    <w:rsid w:val="002648CF"/>
    <w:rsid w:val="00265FE7"/>
    <w:rsid w:val="00266076"/>
    <w:rsid w:val="002663C2"/>
    <w:rsid w:val="00270940"/>
    <w:rsid w:val="0027299A"/>
    <w:rsid w:val="00272C19"/>
    <w:rsid w:val="00274812"/>
    <w:rsid w:val="00277A03"/>
    <w:rsid w:val="0027E04F"/>
    <w:rsid w:val="0028340E"/>
    <w:rsid w:val="00283764"/>
    <w:rsid w:val="00283AE9"/>
    <w:rsid w:val="00283C66"/>
    <w:rsid w:val="002847BB"/>
    <w:rsid w:val="00284E0D"/>
    <w:rsid w:val="00285782"/>
    <w:rsid w:val="00285A68"/>
    <w:rsid w:val="00286FA0"/>
    <w:rsid w:val="00287F94"/>
    <w:rsid w:val="00290BEB"/>
    <w:rsid w:val="00291493"/>
    <w:rsid w:val="00291589"/>
    <w:rsid w:val="00293F99"/>
    <w:rsid w:val="00294458"/>
    <w:rsid w:val="002945FD"/>
    <w:rsid w:val="002956B0"/>
    <w:rsid w:val="002971B1"/>
    <w:rsid w:val="0029755D"/>
    <w:rsid w:val="002A27A1"/>
    <w:rsid w:val="002A43D0"/>
    <w:rsid w:val="002A6075"/>
    <w:rsid w:val="002A676B"/>
    <w:rsid w:val="002A6E4E"/>
    <w:rsid w:val="002A774D"/>
    <w:rsid w:val="002A7860"/>
    <w:rsid w:val="002A78D3"/>
    <w:rsid w:val="002B0036"/>
    <w:rsid w:val="002B3686"/>
    <w:rsid w:val="002B4615"/>
    <w:rsid w:val="002B5921"/>
    <w:rsid w:val="002B5D59"/>
    <w:rsid w:val="002B69FA"/>
    <w:rsid w:val="002B7383"/>
    <w:rsid w:val="002B77A2"/>
    <w:rsid w:val="002C0623"/>
    <w:rsid w:val="002C1301"/>
    <w:rsid w:val="002C1434"/>
    <w:rsid w:val="002C1646"/>
    <w:rsid w:val="002C4713"/>
    <w:rsid w:val="002C7DDE"/>
    <w:rsid w:val="002D20FC"/>
    <w:rsid w:val="002D3E1A"/>
    <w:rsid w:val="002E0316"/>
    <w:rsid w:val="002E0999"/>
    <w:rsid w:val="002E20D8"/>
    <w:rsid w:val="002E2569"/>
    <w:rsid w:val="002E5BAD"/>
    <w:rsid w:val="002E6047"/>
    <w:rsid w:val="002E6D1D"/>
    <w:rsid w:val="002F0614"/>
    <w:rsid w:val="002F077A"/>
    <w:rsid w:val="002F10BE"/>
    <w:rsid w:val="002F122C"/>
    <w:rsid w:val="002F13DA"/>
    <w:rsid w:val="002F15EB"/>
    <w:rsid w:val="002F3CE0"/>
    <w:rsid w:val="002F4652"/>
    <w:rsid w:val="002F6A76"/>
    <w:rsid w:val="003005BB"/>
    <w:rsid w:val="00303DE5"/>
    <w:rsid w:val="00304842"/>
    <w:rsid w:val="00306E23"/>
    <w:rsid w:val="00307411"/>
    <w:rsid w:val="0031090A"/>
    <w:rsid w:val="00310FDB"/>
    <w:rsid w:val="00312252"/>
    <w:rsid w:val="00312370"/>
    <w:rsid w:val="0031275E"/>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25B3F"/>
    <w:rsid w:val="00325C63"/>
    <w:rsid w:val="00330B87"/>
    <w:rsid w:val="00331168"/>
    <w:rsid w:val="0033211D"/>
    <w:rsid w:val="00333489"/>
    <w:rsid w:val="00342DB5"/>
    <w:rsid w:val="00343CEF"/>
    <w:rsid w:val="00344CB0"/>
    <w:rsid w:val="003467C8"/>
    <w:rsid w:val="00347C3C"/>
    <w:rsid w:val="0035079F"/>
    <w:rsid w:val="003527C1"/>
    <w:rsid w:val="00352C25"/>
    <w:rsid w:val="00352E22"/>
    <w:rsid w:val="00353D33"/>
    <w:rsid w:val="003565B6"/>
    <w:rsid w:val="00356A66"/>
    <w:rsid w:val="00357418"/>
    <w:rsid w:val="00360B75"/>
    <w:rsid w:val="00361737"/>
    <w:rsid w:val="00362232"/>
    <w:rsid w:val="0036353C"/>
    <w:rsid w:val="00363F41"/>
    <w:rsid w:val="00366D56"/>
    <w:rsid w:val="00367871"/>
    <w:rsid w:val="00367DAD"/>
    <w:rsid w:val="0037342A"/>
    <w:rsid w:val="00373CC8"/>
    <w:rsid w:val="00374E24"/>
    <w:rsid w:val="00375E2A"/>
    <w:rsid w:val="00376609"/>
    <w:rsid w:val="00377D96"/>
    <w:rsid w:val="0038330C"/>
    <w:rsid w:val="00385653"/>
    <w:rsid w:val="003856DC"/>
    <w:rsid w:val="00385EC5"/>
    <w:rsid w:val="00386A02"/>
    <w:rsid w:val="0038744F"/>
    <w:rsid w:val="003901B8"/>
    <w:rsid w:val="003902F1"/>
    <w:rsid w:val="00393C5B"/>
    <w:rsid w:val="003A1D0D"/>
    <w:rsid w:val="003A38FB"/>
    <w:rsid w:val="003A41A0"/>
    <w:rsid w:val="003A6BEF"/>
    <w:rsid w:val="003B04B9"/>
    <w:rsid w:val="003B0A8F"/>
    <w:rsid w:val="003B153D"/>
    <w:rsid w:val="003B1763"/>
    <w:rsid w:val="003B1FAD"/>
    <w:rsid w:val="003B2070"/>
    <w:rsid w:val="003B3E89"/>
    <w:rsid w:val="003B4D4F"/>
    <w:rsid w:val="003B73A6"/>
    <w:rsid w:val="003C0DBC"/>
    <w:rsid w:val="003C273A"/>
    <w:rsid w:val="003C2B04"/>
    <w:rsid w:val="003C321D"/>
    <w:rsid w:val="003C4616"/>
    <w:rsid w:val="003C4C0C"/>
    <w:rsid w:val="003C5631"/>
    <w:rsid w:val="003C68C2"/>
    <w:rsid w:val="003C6CE9"/>
    <w:rsid w:val="003C7968"/>
    <w:rsid w:val="003D06CD"/>
    <w:rsid w:val="003D0C03"/>
    <w:rsid w:val="003D1047"/>
    <w:rsid w:val="003D1457"/>
    <w:rsid w:val="003D23D5"/>
    <w:rsid w:val="003D272B"/>
    <w:rsid w:val="003D29E8"/>
    <w:rsid w:val="003D2F77"/>
    <w:rsid w:val="003D3498"/>
    <w:rsid w:val="003D3795"/>
    <w:rsid w:val="003D4CF7"/>
    <w:rsid w:val="003D598C"/>
    <w:rsid w:val="003D667E"/>
    <w:rsid w:val="003D6B19"/>
    <w:rsid w:val="003D7167"/>
    <w:rsid w:val="003D7919"/>
    <w:rsid w:val="003D7B2A"/>
    <w:rsid w:val="003D7F61"/>
    <w:rsid w:val="003E133B"/>
    <w:rsid w:val="003E4B7A"/>
    <w:rsid w:val="003E5AAE"/>
    <w:rsid w:val="003E5CEF"/>
    <w:rsid w:val="003E5D61"/>
    <w:rsid w:val="003E707C"/>
    <w:rsid w:val="003E7E56"/>
    <w:rsid w:val="003F090A"/>
    <w:rsid w:val="003F0A11"/>
    <w:rsid w:val="003F36DC"/>
    <w:rsid w:val="003F38FF"/>
    <w:rsid w:val="003F5429"/>
    <w:rsid w:val="003F639F"/>
    <w:rsid w:val="003F6664"/>
    <w:rsid w:val="003F72BB"/>
    <w:rsid w:val="00400315"/>
    <w:rsid w:val="00400A95"/>
    <w:rsid w:val="00401C79"/>
    <w:rsid w:val="00402C51"/>
    <w:rsid w:val="00403FAB"/>
    <w:rsid w:val="00404886"/>
    <w:rsid w:val="00406297"/>
    <w:rsid w:val="0040643E"/>
    <w:rsid w:val="004064AA"/>
    <w:rsid w:val="00406A6E"/>
    <w:rsid w:val="0041055D"/>
    <w:rsid w:val="004113CD"/>
    <w:rsid w:val="00412B2A"/>
    <w:rsid w:val="00414BB8"/>
    <w:rsid w:val="00415248"/>
    <w:rsid w:val="00415988"/>
    <w:rsid w:val="00417612"/>
    <w:rsid w:val="004213C7"/>
    <w:rsid w:val="0042383B"/>
    <w:rsid w:val="00423DA9"/>
    <w:rsid w:val="0042409F"/>
    <w:rsid w:val="00424DDE"/>
    <w:rsid w:val="00424F93"/>
    <w:rsid w:val="004252C1"/>
    <w:rsid w:val="0042541E"/>
    <w:rsid w:val="00427079"/>
    <w:rsid w:val="00427187"/>
    <w:rsid w:val="0042724B"/>
    <w:rsid w:val="0043022E"/>
    <w:rsid w:val="004306A8"/>
    <w:rsid w:val="00430EDC"/>
    <w:rsid w:val="00431D3F"/>
    <w:rsid w:val="00432AC2"/>
    <w:rsid w:val="00434514"/>
    <w:rsid w:val="00434AB7"/>
    <w:rsid w:val="0043515D"/>
    <w:rsid w:val="00435176"/>
    <w:rsid w:val="00436670"/>
    <w:rsid w:val="00436FD0"/>
    <w:rsid w:val="00441783"/>
    <w:rsid w:val="004420DA"/>
    <w:rsid w:val="0044350A"/>
    <w:rsid w:val="00444707"/>
    <w:rsid w:val="004455F6"/>
    <w:rsid w:val="00445751"/>
    <w:rsid w:val="004468C2"/>
    <w:rsid w:val="00446B8D"/>
    <w:rsid w:val="00450C44"/>
    <w:rsid w:val="00451810"/>
    <w:rsid w:val="004518C2"/>
    <w:rsid w:val="00451915"/>
    <w:rsid w:val="0045636A"/>
    <w:rsid w:val="00456E33"/>
    <w:rsid w:val="004600ED"/>
    <w:rsid w:val="004620CA"/>
    <w:rsid w:val="00463285"/>
    <w:rsid w:val="00463E0B"/>
    <w:rsid w:val="00465846"/>
    <w:rsid w:val="00466349"/>
    <w:rsid w:val="00466B43"/>
    <w:rsid w:val="00470E22"/>
    <w:rsid w:val="0047283B"/>
    <w:rsid w:val="00472D33"/>
    <w:rsid w:val="0047360B"/>
    <w:rsid w:val="00473877"/>
    <w:rsid w:val="00475BA6"/>
    <w:rsid w:val="00477D70"/>
    <w:rsid w:val="004831CC"/>
    <w:rsid w:val="00485567"/>
    <w:rsid w:val="004855BE"/>
    <w:rsid w:val="00486860"/>
    <w:rsid w:val="00491CC3"/>
    <w:rsid w:val="00491ED9"/>
    <w:rsid w:val="00495623"/>
    <w:rsid w:val="004962E1"/>
    <w:rsid w:val="00496B02"/>
    <w:rsid w:val="00496F19"/>
    <w:rsid w:val="0049718B"/>
    <w:rsid w:val="004A0C7A"/>
    <w:rsid w:val="004A22F5"/>
    <w:rsid w:val="004A2646"/>
    <w:rsid w:val="004A284B"/>
    <w:rsid w:val="004A2961"/>
    <w:rsid w:val="004A2CDE"/>
    <w:rsid w:val="004A3ABF"/>
    <w:rsid w:val="004A4B8D"/>
    <w:rsid w:val="004A5B46"/>
    <w:rsid w:val="004A6B13"/>
    <w:rsid w:val="004B0167"/>
    <w:rsid w:val="004B220F"/>
    <w:rsid w:val="004B37CF"/>
    <w:rsid w:val="004B710E"/>
    <w:rsid w:val="004C00B7"/>
    <w:rsid w:val="004C17A6"/>
    <w:rsid w:val="004C4346"/>
    <w:rsid w:val="004C43EA"/>
    <w:rsid w:val="004C4445"/>
    <w:rsid w:val="004C53AD"/>
    <w:rsid w:val="004C6291"/>
    <w:rsid w:val="004C65F0"/>
    <w:rsid w:val="004C680C"/>
    <w:rsid w:val="004C6EC4"/>
    <w:rsid w:val="004C7205"/>
    <w:rsid w:val="004C7796"/>
    <w:rsid w:val="004D0275"/>
    <w:rsid w:val="004D1A26"/>
    <w:rsid w:val="004D2C21"/>
    <w:rsid w:val="004D2FB6"/>
    <w:rsid w:val="004D59E6"/>
    <w:rsid w:val="004D5E8D"/>
    <w:rsid w:val="004D6404"/>
    <w:rsid w:val="004D7D5B"/>
    <w:rsid w:val="004E1414"/>
    <w:rsid w:val="004E336F"/>
    <w:rsid w:val="004E3B21"/>
    <w:rsid w:val="004E3CB0"/>
    <w:rsid w:val="004E4765"/>
    <w:rsid w:val="004E5457"/>
    <w:rsid w:val="004E5A83"/>
    <w:rsid w:val="004E7800"/>
    <w:rsid w:val="004E7F0A"/>
    <w:rsid w:val="004F05F2"/>
    <w:rsid w:val="004F0930"/>
    <w:rsid w:val="004F106A"/>
    <w:rsid w:val="004F1136"/>
    <w:rsid w:val="004F1426"/>
    <w:rsid w:val="004F1B72"/>
    <w:rsid w:val="004F3C8A"/>
    <w:rsid w:val="004F4CDB"/>
    <w:rsid w:val="004F4FDD"/>
    <w:rsid w:val="004F6CF4"/>
    <w:rsid w:val="004F7BFB"/>
    <w:rsid w:val="004F7E15"/>
    <w:rsid w:val="0050085E"/>
    <w:rsid w:val="005016D0"/>
    <w:rsid w:val="00501DE1"/>
    <w:rsid w:val="005024CE"/>
    <w:rsid w:val="00502BAA"/>
    <w:rsid w:val="00504949"/>
    <w:rsid w:val="00506171"/>
    <w:rsid w:val="005062F5"/>
    <w:rsid w:val="00510C48"/>
    <w:rsid w:val="005119F4"/>
    <w:rsid w:val="00511DDD"/>
    <w:rsid w:val="00512F2D"/>
    <w:rsid w:val="00513479"/>
    <w:rsid w:val="00513F5E"/>
    <w:rsid w:val="00514136"/>
    <w:rsid w:val="00515993"/>
    <w:rsid w:val="0051647F"/>
    <w:rsid w:val="00517F46"/>
    <w:rsid w:val="0052014F"/>
    <w:rsid w:val="00520209"/>
    <w:rsid w:val="0052076B"/>
    <w:rsid w:val="00524059"/>
    <w:rsid w:val="005263EC"/>
    <w:rsid w:val="00526DFC"/>
    <w:rsid w:val="00526E64"/>
    <w:rsid w:val="00527EB0"/>
    <w:rsid w:val="005303CA"/>
    <w:rsid w:val="00530DF8"/>
    <w:rsid w:val="00531CA7"/>
    <w:rsid w:val="00532162"/>
    <w:rsid w:val="005324A6"/>
    <w:rsid w:val="005346D7"/>
    <w:rsid w:val="00535D3D"/>
    <w:rsid w:val="0053646F"/>
    <w:rsid w:val="00536768"/>
    <w:rsid w:val="005372F7"/>
    <w:rsid w:val="00537322"/>
    <w:rsid w:val="00542227"/>
    <w:rsid w:val="005424B5"/>
    <w:rsid w:val="0054273B"/>
    <w:rsid w:val="00542CEE"/>
    <w:rsid w:val="00543CD1"/>
    <w:rsid w:val="00545811"/>
    <w:rsid w:val="00545A73"/>
    <w:rsid w:val="00546097"/>
    <w:rsid w:val="005467F1"/>
    <w:rsid w:val="00546B65"/>
    <w:rsid w:val="00546FB4"/>
    <w:rsid w:val="005519F6"/>
    <w:rsid w:val="00552A7B"/>
    <w:rsid w:val="00552BE0"/>
    <w:rsid w:val="005544CE"/>
    <w:rsid w:val="0055469D"/>
    <w:rsid w:val="00554865"/>
    <w:rsid w:val="0055616B"/>
    <w:rsid w:val="00556D62"/>
    <w:rsid w:val="00557E8F"/>
    <w:rsid w:val="005609B4"/>
    <w:rsid w:val="00560A26"/>
    <w:rsid w:val="00560A4F"/>
    <w:rsid w:val="005629DA"/>
    <w:rsid w:val="005632BB"/>
    <w:rsid w:val="005636FA"/>
    <w:rsid w:val="0056373A"/>
    <w:rsid w:val="005646AC"/>
    <w:rsid w:val="00564A1B"/>
    <w:rsid w:val="00564BF4"/>
    <w:rsid w:val="00565A5E"/>
    <w:rsid w:val="00566F1E"/>
    <w:rsid w:val="00566F71"/>
    <w:rsid w:val="00571B1F"/>
    <w:rsid w:val="00571C92"/>
    <w:rsid w:val="00571D24"/>
    <w:rsid w:val="005723B9"/>
    <w:rsid w:val="00572532"/>
    <w:rsid w:val="005726BA"/>
    <w:rsid w:val="0057299B"/>
    <w:rsid w:val="0057433F"/>
    <w:rsid w:val="0057482A"/>
    <w:rsid w:val="00574C83"/>
    <w:rsid w:val="0057540F"/>
    <w:rsid w:val="005810DF"/>
    <w:rsid w:val="00581EBA"/>
    <w:rsid w:val="00582FBB"/>
    <w:rsid w:val="00583101"/>
    <w:rsid w:val="005836B3"/>
    <w:rsid w:val="00583A2A"/>
    <w:rsid w:val="005845E4"/>
    <w:rsid w:val="00584D72"/>
    <w:rsid w:val="0058662D"/>
    <w:rsid w:val="005900C3"/>
    <w:rsid w:val="00590A21"/>
    <w:rsid w:val="00591B15"/>
    <w:rsid w:val="005932EC"/>
    <w:rsid w:val="00594099"/>
    <w:rsid w:val="00594310"/>
    <w:rsid w:val="00594B24"/>
    <w:rsid w:val="005966D8"/>
    <w:rsid w:val="00597166"/>
    <w:rsid w:val="0059769C"/>
    <w:rsid w:val="005A0F75"/>
    <w:rsid w:val="005A129A"/>
    <w:rsid w:val="005A22A9"/>
    <w:rsid w:val="005A35B4"/>
    <w:rsid w:val="005A3A6A"/>
    <w:rsid w:val="005A422E"/>
    <w:rsid w:val="005A6A52"/>
    <w:rsid w:val="005A7235"/>
    <w:rsid w:val="005A748B"/>
    <w:rsid w:val="005A7BA6"/>
    <w:rsid w:val="005B499E"/>
    <w:rsid w:val="005B6A8D"/>
    <w:rsid w:val="005C11C7"/>
    <w:rsid w:val="005C195D"/>
    <w:rsid w:val="005C1FD7"/>
    <w:rsid w:val="005C2031"/>
    <w:rsid w:val="005C623A"/>
    <w:rsid w:val="005C62BB"/>
    <w:rsid w:val="005D0ACB"/>
    <w:rsid w:val="005D140B"/>
    <w:rsid w:val="005D1AD7"/>
    <w:rsid w:val="005D1C36"/>
    <w:rsid w:val="005D1F2E"/>
    <w:rsid w:val="005D2654"/>
    <w:rsid w:val="005D2E6F"/>
    <w:rsid w:val="005D5624"/>
    <w:rsid w:val="005D5865"/>
    <w:rsid w:val="005D5F1D"/>
    <w:rsid w:val="005D7F85"/>
    <w:rsid w:val="005E03A2"/>
    <w:rsid w:val="005E12FC"/>
    <w:rsid w:val="005E27BB"/>
    <w:rsid w:val="005E35C4"/>
    <w:rsid w:val="005E45C2"/>
    <w:rsid w:val="005E4A7B"/>
    <w:rsid w:val="005E588F"/>
    <w:rsid w:val="005E5BEC"/>
    <w:rsid w:val="005E5D2D"/>
    <w:rsid w:val="005E6FAB"/>
    <w:rsid w:val="005F1234"/>
    <w:rsid w:val="005F13AA"/>
    <w:rsid w:val="005F236D"/>
    <w:rsid w:val="005F484B"/>
    <w:rsid w:val="005F54BD"/>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9AC"/>
    <w:rsid w:val="006150A3"/>
    <w:rsid w:val="006161DD"/>
    <w:rsid w:val="0061689C"/>
    <w:rsid w:val="006210DF"/>
    <w:rsid w:val="0062163B"/>
    <w:rsid w:val="00621B9F"/>
    <w:rsid w:val="00622434"/>
    <w:rsid w:val="00622500"/>
    <w:rsid w:val="00622738"/>
    <w:rsid w:val="006236A1"/>
    <w:rsid w:val="00623817"/>
    <w:rsid w:val="00623C19"/>
    <w:rsid w:val="00624119"/>
    <w:rsid w:val="00624BE7"/>
    <w:rsid w:val="00624EE1"/>
    <w:rsid w:val="0062570F"/>
    <w:rsid w:val="006262C0"/>
    <w:rsid w:val="00627768"/>
    <w:rsid w:val="00633AA0"/>
    <w:rsid w:val="00634409"/>
    <w:rsid w:val="00635E63"/>
    <w:rsid w:val="006364B9"/>
    <w:rsid w:val="00637244"/>
    <w:rsid w:val="00637CD8"/>
    <w:rsid w:val="00640646"/>
    <w:rsid w:val="006406C5"/>
    <w:rsid w:val="00640DB6"/>
    <w:rsid w:val="00642467"/>
    <w:rsid w:val="00642D76"/>
    <w:rsid w:val="00643FF8"/>
    <w:rsid w:val="00644EBE"/>
    <w:rsid w:val="00645A4A"/>
    <w:rsid w:val="00645B0D"/>
    <w:rsid w:val="00647532"/>
    <w:rsid w:val="00651606"/>
    <w:rsid w:val="0065161C"/>
    <w:rsid w:val="00651FEB"/>
    <w:rsid w:val="00652B35"/>
    <w:rsid w:val="00652EE5"/>
    <w:rsid w:val="006531EE"/>
    <w:rsid w:val="0065454C"/>
    <w:rsid w:val="006562CB"/>
    <w:rsid w:val="00660027"/>
    <w:rsid w:val="00660B98"/>
    <w:rsid w:val="00665EAF"/>
    <w:rsid w:val="00665FD3"/>
    <w:rsid w:val="0066630C"/>
    <w:rsid w:val="00666566"/>
    <w:rsid w:val="00666D5A"/>
    <w:rsid w:val="0067034A"/>
    <w:rsid w:val="00670897"/>
    <w:rsid w:val="006728C5"/>
    <w:rsid w:val="00672A20"/>
    <w:rsid w:val="006737EC"/>
    <w:rsid w:val="006739CE"/>
    <w:rsid w:val="00681486"/>
    <w:rsid w:val="0068304A"/>
    <w:rsid w:val="00683207"/>
    <w:rsid w:val="00683CCB"/>
    <w:rsid w:val="0068474F"/>
    <w:rsid w:val="006860EB"/>
    <w:rsid w:val="00686D59"/>
    <w:rsid w:val="00687254"/>
    <w:rsid w:val="00687583"/>
    <w:rsid w:val="00691828"/>
    <w:rsid w:val="00691A07"/>
    <w:rsid w:val="006925B7"/>
    <w:rsid w:val="00692B88"/>
    <w:rsid w:val="00693D40"/>
    <w:rsid w:val="00694520"/>
    <w:rsid w:val="006971C6"/>
    <w:rsid w:val="00697598"/>
    <w:rsid w:val="006A01ED"/>
    <w:rsid w:val="006A173F"/>
    <w:rsid w:val="006A18B7"/>
    <w:rsid w:val="006A1AC5"/>
    <w:rsid w:val="006A231D"/>
    <w:rsid w:val="006A2873"/>
    <w:rsid w:val="006A29EB"/>
    <w:rsid w:val="006A6EDB"/>
    <w:rsid w:val="006B102F"/>
    <w:rsid w:val="006B15F9"/>
    <w:rsid w:val="006B18D6"/>
    <w:rsid w:val="006B20E9"/>
    <w:rsid w:val="006B2749"/>
    <w:rsid w:val="006B42B0"/>
    <w:rsid w:val="006B490F"/>
    <w:rsid w:val="006B57A3"/>
    <w:rsid w:val="006B58DB"/>
    <w:rsid w:val="006B6448"/>
    <w:rsid w:val="006B6B7D"/>
    <w:rsid w:val="006B71E5"/>
    <w:rsid w:val="006B738C"/>
    <w:rsid w:val="006B770D"/>
    <w:rsid w:val="006C1677"/>
    <w:rsid w:val="006C16D8"/>
    <w:rsid w:val="006C4CAA"/>
    <w:rsid w:val="006C5538"/>
    <w:rsid w:val="006C68A7"/>
    <w:rsid w:val="006C780F"/>
    <w:rsid w:val="006C79DB"/>
    <w:rsid w:val="006D09D6"/>
    <w:rsid w:val="006D1197"/>
    <w:rsid w:val="006D1400"/>
    <w:rsid w:val="006D4150"/>
    <w:rsid w:val="006D419B"/>
    <w:rsid w:val="006D6CC6"/>
    <w:rsid w:val="006D7A1A"/>
    <w:rsid w:val="006E009D"/>
    <w:rsid w:val="006E0122"/>
    <w:rsid w:val="006E0960"/>
    <w:rsid w:val="006E116F"/>
    <w:rsid w:val="006E13FF"/>
    <w:rsid w:val="006E197A"/>
    <w:rsid w:val="006E1DC0"/>
    <w:rsid w:val="006E21F0"/>
    <w:rsid w:val="006E4817"/>
    <w:rsid w:val="006E6819"/>
    <w:rsid w:val="006E6A2C"/>
    <w:rsid w:val="006E6C7E"/>
    <w:rsid w:val="006E7C14"/>
    <w:rsid w:val="006E7D37"/>
    <w:rsid w:val="006F18EA"/>
    <w:rsid w:val="006F1F1D"/>
    <w:rsid w:val="006F2B28"/>
    <w:rsid w:val="006F373B"/>
    <w:rsid w:val="006F4946"/>
    <w:rsid w:val="006F5B0B"/>
    <w:rsid w:val="00700983"/>
    <w:rsid w:val="007020F8"/>
    <w:rsid w:val="007029CB"/>
    <w:rsid w:val="00702E91"/>
    <w:rsid w:val="00702F36"/>
    <w:rsid w:val="00703FEF"/>
    <w:rsid w:val="00704459"/>
    <w:rsid w:val="007045C4"/>
    <w:rsid w:val="00704A8B"/>
    <w:rsid w:val="00704B15"/>
    <w:rsid w:val="00704CBA"/>
    <w:rsid w:val="00705BAD"/>
    <w:rsid w:val="00706B15"/>
    <w:rsid w:val="00706F41"/>
    <w:rsid w:val="00710A21"/>
    <w:rsid w:val="007110BD"/>
    <w:rsid w:val="00712749"/>
    <w:rsid w:val="007128E1"/>
    <w:rsid w:val="007139DB"/>
    <w:rsid w:val="00713CA9"/>
    <w:rsid w:val="00714D14"/>
    <w:rsid w:val="00714E66"/>
    <w:rsid w:val="00715952"/>
    <w:rsid w:val="007167A3"/>
    <w:rsid w:val="00716971"/>
    <w:rsid w:val="00716CE1"/>
    <w:rsid w:val="00716D1D"/>
    <w:rsid w:val="0072311F"/>
    <w:rsid w:val="00723B05"/>
    <w:rsid w:val="00724442"/>
    <w:rsid w:val="00724815"/>
    <w:rsid w:val="0072488C"/>
    <w:rsid w:val="0072502A"/>
    <w:rsid w:val="00726EFA"/>
    <w:rsid w:val="007279D9"/>
    <w:rsid w:val="00731B0E"/>
    <w:rsid w:val="00732759"/>
    <w:rsid w:val="00732A40"/>
    <w:rsid w:val="007334AB"/>
    <w:rsid w:val="00733938"/>
    <w:rsid w:val="00733A69"/>
    <w:rsid w:val="00735197"/>
    <w:rsid w:val="00735C37"/>
    <w:rsid w:val="0073767D"/>
    <w:rsid w:val="0074077E"/>
    <w:rsid w:val="00741AFB"/>
    <w:rsid w:val="00741CD7"/>
    <w:rsid w:val="00742631"/>
    <w:rsid w:val="00742DE0"/>
    <w:rsid w:val="007433DC"/>
    <w:rsid w:val="00743A10"/>
    <w:rsid w:val="00743BAD"/>
    <w:rsid w:val="00745A5F"/>
    <w:rsid w:val="00746F8F"/>
    <w:rsid w:val="00747678"/>
    <w:rsid w:val="00750796"/>
    <w:rsid w:val="00750E01"/>
    <w:rsid w:val="00752D61"/>
    <w:rsid w:val="007532E5"/>
    <w:rsid w:val="007534F8"/>
    <w:rsid w:val="0075404F"/>
    <w:rsid w:val="007558ED"/>
    <w:rsid w:val="007560F1"/>
    <w:rsid w:val="007562C7"/>
    <w:rsid w:val="007566B0"/>
    <w:rsid w:val="00762228"/>
    <w:rsid w:val="00763E34"/>
    <w:rsid w:val="00764EF9"/>
    <w:rsid w:val="0076593B"/>
    <w:rsid w:val="00767494"/>
    <w:rsid w:val="00770A34"/>
    <w:rsid w:val="00770FC4"/>
    <w:rsid w:val="007711BC"/>
    <w:rsid w:val="007713C7"/>
    <w:rsid w:val="007715F5"/>
    <w:rsid w:val="00771E7F"/>
    <w:rsid w:val="00772C87"/>
    <w:rsid w:val="00772D61"/>
    <w:rsid w:val="00775025"/>
    <w:rsid w:val="00776C0D"/>
    <w:rsid w:val="0077747C"/>
    <w:rsid w:val="00780787"/>
    <w:rsid w:val="007837C6"/>
    <w:rsid w:val="007838DA"/>
    <w:rsid w:val="0078463B"/>
    <w:rsid w:val="00785207"/>
    <w:rsid w:val="007853D4"/>
    <w:rsid w:val="00785A4D"/>
    <w:rsid w:val="007860F8"/>
    <w:rsid w:val="007865EF"/>
    <w:rsid w:val="00786880"/>
    <w:rsid w:val="00787384"/>
    <w:rsid w:val="007912AC"/>
    <w:rsid w:val="00791DFE"/>
    <w:rsid w:val="007927B8"/>
    <w:rsid w:val="007937AD"/>
    <w:rsid w:val="00794978"/>
    <w:rsid w:val="00796BAE"/>
    <w:rsid w:val="00796E3C"/>
    <w:rsid w:val="00796ED4"/>
    <w:rsid w:val="007975D8"/>
    <w:rsid w:val="007A0115"/>
    <w:rsid w:val="007A280E"/>
    <w:rsid w:val="007A2883"/>
    <w:rsid w:val="007A3403"/>
    <w:rsid w:val="007A3539"/>
    <w:rsid w:val="007A3C78"/>
    <w:rsid w:val="007A4ADE"/>
    <w:rsid w:val="007A5180"/>
    <w:rsid w:val="007A5A6C"/>
    <w:rsid w:val="007A5EE5"/>
    <w:rsid w:val="007A7DEE"/>
    <w:rsid w:val="007B00E3"/>
    <w:rsid w:val="007B14AA"/>
    <w:rsid w:val="007B22C1"/>
    <w:rsid w:val="007B2A30"/>
    <w:rsid w:val="007B38FE"/>
    <w:rsid w:val="007B41DD"/>
    <w:rsid w:val="007B4DB2"/>
    <w:rsid w:val="007B5199"/>
    <w:rsid w:val="007B74AA"/>
    <w:rsid w:val="007C285F"/>
    <w:rsid w:val="007C3A41"/>
    <w:rsid w:val="007C7191"/>
    <w:rsid w:val="007C736B"/>
    <w:rsid w:val="007C7392"/>
    <w:rsid w:val="007C7A9F"/>
    <w:rsid w:val="007D1451"/>
    <w:rsid w:val="007D1B8B"/>
    <w:rsid w:val="007D2824"/>
    <w:rsid w:val="007D2A75"/>
    <w:rsid w:val="007D3C4B"/>
    <w:rsid w:val="007D4381"/>
    <w:rsid w:val="007D47D8"/>
    <w:rsid w:val="007D58A8"/>
    <w:rsid w:val="007D61B6"/>
    <w:rsid w:val="007E0597"/>
    <w:rsid w:val="007E0985"/>
    <w:rsid w:val="007E1BD7"/>
    <w:rsid w:val="007E1DEB"/>
    <w:rsid w:val="007E2E4D"/>
    <w:rsid w:val="007E3629"/>
    <w:rsid w:val="007E403E"/>
    <w:rsid w:val="007E4B86"/>
    <w:rsid w:val="007E4DC5"/>
    <w:rsid w:val="007E5120"/>
    <w:rsid w:val="007E5992"/>
    <w:rsid w:val="007E621A"/>
    <w:rsid w:val="007E6E0D"/>
    <w:rsid w:val="007F1FD4"/>
    <w:rsid w:val="007F246C"/>
    <w:rsid w:val="007F2A90"/>
    <w:rsid w:val="007F40DA"/>
    <w:rsid w:val="007F5265"/>
    <w:rsid w:val="007F60B7"/>
    <w:rsid w:val="007F6824"/>
    <w:rsid w:val="007F7757"/>
    <w:rsid w:val="007F798C"/>
    <w:rsid w:val="007F7BE5"/>
    <w:rsid w:val="00800A2F"/>
    <w:rsid w:val="0080187D"/>
    <w:rsid w:val="00802495"/>
    <w:rsid w:val="0080293D"/>
    <w:rsid w:val="00803457"/>
    <w:rsid w:val="008042DB"/>
    <w:rsid w:val="00806177"/>
    <w:rsid w:val="00806D50"/>
    <w:rsid w:val="00806EA6"/>
    <w:rsid w:val="00807B4F"/>
    <w:rsid w:val="00811D22"/>
    <w:rsid w:val="00811D8F"/>
    <w:rsid w:val="00811FC2"/>
    <w:rsid w:val="008144DD"/>
    <w:rsid w:val="0081485B"/>
    <w:rsid w:val="00815A4C"/>
    <w:rsid w:val="00816010"/>
    <w:rsid w:val="008201BE"/>
    <w:rsid w:val="008202C9"/>
    <w:rsid w:val="008208CD"/>
    <w:rsid w:val="008219AA"/>
    <w:rsid w:val="008240E3"/>
    <w:rsid w:val="00824837"/>
    <w:rsid w:val="00824921"/>
    <w:rsid w:val="00825E56"/>
    <w:rsid w:val="00827596"/>
    <w:rsid w:val="0082798D"/>
    <w:rsid w:val="00830A97"/>
    <w:rsid w:val="00830F44"/>
    <w:rsid w:val="008310D5"/>
    <w:rsid w:val="008316D7"/>
    <w:rsid w:val="00831944"/>
    <w:rsid w:val="00831B47"/>
    <w:rsid w:val="00832AB3"/>
    <w:rsid w:val="00832BDB"/>
    <w:rsid w:val="00832EA4"/>
    <w:rsid w:val="008343F1"/>
    <w:rsid w:val="008366EC"/>
    <w:rsid w:val="00840755"/>
    <w:rsid w:val="00840AE4"/>
    <w:rsid w:val="008416DF"/>
    <w:rsid w:val="008443B3"/>
    <w:rsid w:val="0084542D"/>
    <w:rsid w:val="00846433"/>
    <w:rsid w:val="0084668A"/>
    <w:rsid w:val="00850DF4"/>
    <w:rsid w:val="00850E94"/>
    <w:rsid w:val="008510C7"/>
    <w:rsid w:val="0085150A"/>
    <w:rsid w:val="0085160F"/>
    <w:rsid w:val="008522C7"/>
    <w:rsid w:val="0085327B"/>
    <w:rsid w:val="00853B1E"/>
    <w:rsid w:val="00853FB9"/>
    <w:rsid w:val="00854AAE"/>
    <w:rsid w:val="00856729"/>
    <w:rsid w:val="00856CDB"/>
    <w:rsid w:val="00860243"/>
    <w:rsid w:val="00862861"/>
    <w:rsid w:val="00862ACA"/>
    <w:rsid w:val="00863B5C"/>
    <w:rsid w:val="00863E35"/>
    <w:rsid w:val="00864720"/>
    <w:rsid w:val="0086480C"/>
    <w:rsid w:val="0086665F"/>
    <w:rsid w:val="0086680C"/>
    <w:rsid w:val="00866A4F"/>
    <w:rsid w:val="00866F44"/>
    <w:rsid w:val="00870A4C"/>
    <w:rsid w:val="00870F86"/>
    <w:rsid w:val="008729C1"/>
    <w:rsid w:val="00873EFF"/>
    <w:rsid w:val="008749E8"/>
    <w:rsid w:val="00876774"/>
    <w:rsid w:val="00876C6F"/>
    <w:rsid w:val="008803DA"/>
    <w:rsid w:val="0088042E"/>
    <w:rsid w:val="00881794"/>
    <w:rsid w:val="008819AF"/>
    <w:rsid w:val="00881A41"/>
    <w:rsid w:val="00881CAD"/>
    <w:rsid w:val="00883995"/>
    <w:rsid w:val="00883A58"/>
    <w:rsid w:val="00884E9D"/>
    <w:rsid w:val="008858DE"/>
    <w:rsid w:val="0089250A"/>
    <w:rsid w:val="0089326A"/>
    <w:rsid w:val="0089358E"/>
    <w:rsid w:val="00893C6C"/>
    <w:rsid w:val="00893F67"/>
    <w:rsid w:val="00894528"/>
    <w:rsid w:val="00895E6F"/>
    <w:rsid w:val="00896ED1"/>
    <w:rsid w:val="008A0297"/>
    <w:rsid w:val="008A034D"/>
    <w:rsid w:val="008A1004"/>
    <w:rsid w:val="008A15C2"/>
    <w:rsid w:val="008A2F96"/>
    <w:rsid w:val="008A34CB"/>
    <w:rsid w:val="008A3ABF"/>
    <w:rsid w:val="008A474D"/>
    <w:rsid w:val="008A6835"/>
    <w:rsid w:val="008A757A"/>
    <w:rsid w:val="008B0300"/>
    <w:rsid w:val="008B170E"/>
    <w:rsid w:val="008B37A1"/>
    <w:rsid w:val="008B3F19"/>
    <w:rsid w:val="008B4625"/>
    <w:rsid w:val="008B467F"/>
    <w:rsid w:val="008B57B0"/>
    <w:rsid w:val="008B75F2"/>
    <w:rsid w:val="008C03C9"/>
    <w:rsid w:val="008C06CB"/>
    <w:rsid w:val="008C0C83"/>
    <w:rsid w:val="008C18D0"/>
    <w:rsid w:val="008C3E4C"/>
    <w:rsid w:val="008C4084"/>
    <w:rsid w:val="008C4408"/>
    <w:rsid w:val="008C582D"/>
    <w:rsid w:val="008C6174"/>
    <w:rsid w:val="008C6A5F"/>
    <w:rsid w:val="008C7BB1"/>
    <w:rsid w:val="008C7F35"/>
    <w:rsid w:val="008D2A1E"/>
    <w:rsid w:val="008D2CA0"/>
    <w:rsid w:val="008D3B33"/>
    <w:rsid w:val="008D4703"/>
    <w:rsid w:val="008D659E"/>
    <w:rsid w:val="008D6656"/>
    <w:rsid w:val="008E03DA"/>
    <w:rsid w:val="008E0BD3"/>
    <w:rsid w:val="008E208E"/>
    <w:rsid w:val="008E24D9"/>
    <w:rsid w:val="008E2B3A"/>
    <w:rsid w:val="008E385A"/>
    <w:rsid w:val="008E3EF5"/>
    <w:rsid w:val="008E4DC6"/>
    <w:rsid w:val="008E5DFF"/>
    <w:rsid w:val="008E6B14"/>
    <w:rsid w:val="008E6FC3"/>
    <w:rsid w:val="008E7D18"/>
    <w:rsid w:val="008F0A00"/>
    <w:rsid w:val="008F0EEB"/>
    <w:rsid w:val="008F1F04"/>
    <w:rsid w:val="008F2C24"/>
    <w:rsid w:val="008F48A5"/>
    <w:rsid w:val="008F4B28"/>
    <w:rsid w:val="008F5503"/>
    <w:rsid w:val="008F5CD4"/>
    <w:rsid w:val="008F5FAF"/>
    <w:rsid w:val="008F74C2"/>
    <w:rsid w:val="008F7CEE"/>
    <w:rsid w:val="00900E6F"/>
    <w:rsid w:val="00901C53"/>
    <w:rsid w:val="00902767"/>
    <w:rsid w:val="00902BB7"/>
    <w:rsid w:val="009048BF"/>
    <w:rsid w:val="00905923"/>
    <w:rsid w:val="00905A2D"/>
    <w:rsid w:val="0090783A"/>
    <w:rsid w:val="00911E06"/>
    <w:rsid w:val="009124E7"/>
    <w:rsid w:val="00912F15"/>
    <w:rsid w:val="00916658"/>
    <w:rsid w:val="00916674"/>
    <w:rsid w:val="00916D23"/>
    <w:rsid w:val="0091768B"/>
    <w:rsid w:val="00921512"/>
    <w:rsid w:val="00922AA7"/>
    <w:rsid w:val="00922C6F"/>
    <w:rsid w:val="00922D6B"/>
    <w:rsid w:val="00923155"/>
    <w:rsid w:val="00925391"/>
    <w:rsid w:val="009254E0"/>
    <w:rsid w:val="00925635"/>
    <w:rsid w:val="00925A9A"/>
    <w:rsid w:val="00925CEA"/>
    <w:rsid w:val="00927A0F"/>
    <w:rsid w:val="00927A30"/>
    <w:rsid w:val="00927DC6"/>
    <w:rsid w:val="00931E9D"/>
    <w:rsid w:val="009328B3"/>
    <w:rsid w:val="009341EF"/>
    <w:rsid w:val="00936A54"/>
    <w:rsid w:val="00936B68"/>
    <w:rsid w:val="00937543"/>
    <w:rsid w:val="00937AC9"/>
    <w:rsid w:val="00940B0E"/>
    <w:rsid w:val="00940F81"/>
    <w:rsid w:val="00941552"/>
    <w:rsid w:val="0094294D"/>
    <w:rsid w:val="00942B82"/>
    <w:rsid w:val="00943C5A"/>
    <w:rsid w:val="00943D73"/>
    <w:rsid w:val="00944273"/>
    <w:rsid w:val="00944C1D"/>
    <w:rsid w:val="00945D12"/>
    <w:rsid w:val="0095227C"/>
    <w:rsid w:val="009523A7"/>
    <w:rsid w:val="009523F2"/>
    <w:rsid w:val="00953FB7"/>
    <w:rsid w:val="009551C5"/>
    <w:rsid w:val="00956115"/>
    <w:rsid w:val="00956636"/>
    <w:rsid w:val="00956A63"/>
    <w:rsid w:val="00957F45"/>
    <w:rsid w:val="00960339"/>
    <w:rsid w:val="00961ECA"/>
    <w:rsid w:val="00961FB2"/>
    <w:rsid w:val="00961FE9"/>
    <w:rsid w:val="009620C0"/>
    <w:rsid w:val="009628DB"/>
    <w:rsid w:val="00963312"/>
    <w:rsid w:val="0096386A"/>
    <w:rsid w:val="0096508A"/>
    <w:rsid w:val="00965ABF"/>
    <w:rsid w:val="00971A41"/>
    <w:rsid w:val="00972041"/>
    <w:rsid w:val="009733ED"/>
    <w:rsid w:val="009757D4"/>
    <w:rsid w:val="00975BE8"/>
    <w:rsid w:val="00976A58"/>
    <w:rsid w:val="009778BB"/>
    <w:rsid w:val="00977AA1"/>
    <w:rsid w:val="00980058"/>
    <w:rsid w:val="00982445"/>
    <w:rsid w:val="00982777"/>
    <w:rsid w:val="00982C40"/>
    <w:rsid w:val="0098375D"/>
    <w:rsid w:val="009846E6"/>
    <w:rsid w:val="00984B58"/>
    <w:rsid w:val="00986137"/>
    <w:rsid w:val="00986389"/>
    <w:rsid w:val="009872CD"/>
    <w:rsid w:val="00987A8B"/>
    <w:rsid w:val="00990425"/>
    <w:rsid w:val="00990A46"/>
    <w:rsid w:val="00990AB9"/>
    <w:rsid w:val="009912BB"/>
    <w:rsid w:val="00992037"/>
    <w:rsid w:val="009920E2"/>
    <w:rsid w:val="00993766"/>
    <w:rsid w:val="00994217"/>
    <w:rsid w:val="00994618"/>
    <w:rsid w:val="00995DE1"/>
    <w:rsid w:val="0099642A"/>
    <w:rsid w:val="00996CD5"/>
    <w:rsid w:val="00997E71"/>
    <w:rsid w:val="009A09EC"/>
    <w:rsid w:val="009A0E02"/>
    <w:rsid w:val="009A151F"/>
    <w:rsid w:val="009A191E"/>
    <w:rsid w:val="009A24BC"/>
    <w:rsid w:val="009A442C"/>
    <w:rsid w:val="009A5C07"/>
    <w:rsid w:val="009A6A82"/>
    <w:rsid w:val="009A6AF8"/>
    <w:rsid w:val="009A7EF0"/>
    <w:rsid w:val="009B2A92"/>
    <w:rsid w:val="009B3C05"/>
    <w:rsid w:val="009B46F6"/>
    <w:rsid w:val="009B5A95"/>
    <w:rsid w:val="009B5CB4"/>
    <w:rsid w:val="009B5E96"/>
    <w:rsid w:val="009B76F3"/>
    <w:rsid w:val="009B7753"/>
    <w:rsid w:val="009C2087"/>
    <w:rsid w:val="009C24FF"/>
    <w:rsid w:val="009C2DE1"/>
    <w:rsid w:val="009C3712"/>
    <w:rsid w:val="009C3901"/>
    <w:rsid w:val="009C3BA8"/>
    <w:rsid w:val="009C3C64"/>
    <w:rsid w:val="009C449B"/>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E78C2"/>
    <w:rsid w:val="009E7EC8"/>
    <w:rsid w:val="009F06DE"/>
    <w:rsid w:val="009F1184"/>
    <w:rsid w:val="009F1E00"/>
    <w:rsid w:val="009F3011"/>
    <w:rsid w:val="009F3FA7"/>
    <w:rsid w:val="009F45ED"/>
    <w:rsid w:val="009F4967"/>
    <w:rsid w:val="00A02D1A"/>
    <w:rsid w:val="00A03078"/>
    <w:rsid w:val="00A05141"/>
    <w:rsid w:val="00A0627A"/>
    <w:rsid w:val="00A071EF"/>
    <w:rsid w:val="00A10781"/>
    <w:rsid w:val="00A10C30"/>
    <w:rsid w:val="00A1142E"/>
    <w:rsid w:val="00A12BD8"/>
    <w:rsid w:val="00A14AA5"/>
    <w:rsid w:val="00A15184"/>
    <w:rsid w:val="00A15F64"/>
    <w:rsid w:val="00A16F73"/>
    <w:rsid w:val="00A17381"/>
    <w:rsid w:val="00A174F1"/>
    <w:rsid w:val="00A22EC8"/>
    <w:rsid w:val="00A233E0"/>
    <w:rsid w:val="00A24C0F"/>
    <w:rsid w:val="00A24F5B"/>
    <w:rsid w:val="00A26353"/>
    <w:rsid w:val="00A26E89"/>
    <w:rsid w:val="00A274B4"/>
    <w:rsid w:val="00A27CB8"/>
    <w:rsid w:val="00A27E5C"/>
    <w:rsid w:val="00A306EB"/>
    <w:rsid w:val="00A31484"/>
    <w:rsid w:val="00A352DB"/>
    <w:rsid w:val="00A358CC"/>
    <w:rsid w:val="00A35BC3"/>
    <w:rsid w:val="00A35F5B"/>
    <w:rsid w:val="00A361CE"/>
    <w:rsid w:val="00A42218"/>
    <w:rsid w:val="00A42252"/>
    <w:rsid w:val="00A45770"/>
    <w:rsid w:val="00A45865"/>
    <w:rsid w:val="00A47B28"/>
    <w:rsid w:val="00A5226D"/>
    <w:rsid w:val="00A53BD4"/>
    <w:rsid w:val="00A53C9A"/>
    <w:rsid w:val="00A55764"/>
    <w:rsid w:val="00A56C84"/>
    <w:rsid w:val="00A57145"/>
    <w:rsid w:val="00A60384"/>
    <w:rsid w:val="00A613E9"/>
    <w:rsid w:val="00A615A5"/>
    <w:rsid w:val="00A6282F"/>
    <w:rsid w:val="00A62AFA"/>
    <w:rsid w:val="00A64B54"/>
    <w:rsid w:val="00A65F80"/>
    <w:rsid w:val="00A664E4"/>
    <w:rsid w:val="00A670B0"/>
    <w:rsid w:val="00A67CF2"/>
    <w:rsid w:val="00A67FC6"/>
    <w:rsid w:val="00A68791"/>
    <w:rsid w:val="00A7137D"/>
    <w:rsid w:val="00A71397"/>
    <w:rsid w:val="00A7171A"/>
    <w:rsid w:val="00A71F84"/>
    <w:rsid w:val="00A7243E"/>
    <w:rsid w:val="00A72623"/>
    <w:rsid w:val="00A768D2"/>
    <w:rsid w:val="00A80A27"/>
    <w:rsid w:val="00A816BC"/>
    <w:rsid w:val="00A82647"/>
    <w:rsid w:val="00A84C39"/>
    <w:rsid w:val="00A8542E"/>
    <w:rsid w:val="00A8593A"/>
    <w:rsid w:val="00A85F5B"/>
    <w:rsid w:val="00A87A85"/>
    <w:rsid w:val="00A90014"/>
    <w:rsid w:val="00A9188B"/>
    <w:rsid w:val="00A91EFC"/>
    <w:rsid w:val="00A955EC"/>
    <w:rsid w:val="00A95A9F"/>
    <w:rsid w:val="00A9734E"/>
    <w:rsid w:val="00A975AC"/>
    <w:rsid w:val="00A97EE9"/>
    <w:rsid w:val="00AA045C"/>
    <w:rsid w:val="00AA26C8"/>
    <w:rsid w:val="00AA2AE3"/>
    <w:rsid w:val="00AA3857"/>
    <w:rsid w:val="00AA4A5E"/>
    <w:rsid w:val="00AA4F24"/>
    <w:rsid w:val="00AA5BD7"/>
    <w:rsid w:val="00AA63E9"/>
    <w:rsid w:val="00AA67A0"/>
    <w:rsid w:val="00AA74E9"/>
    <w:rsid w:val="00AB0F90"/>
    <w:rsid w:val="00AB289F"/>
    <w:rsid w:val="00AB3740"/>
    <w:rsid w:val="00AB58D2"/>
    <w:rsid w:val="00AC105E"/>
    <w:rsid w:val="00AC1131"/>
    <w:rsid w:val="00AC1AC4"/>
    <w:rsid w:val="00AC5472"/>
    <w:rsid w:val="00AC6CA1"/>
    <w:rsid w:val="00AC7A01"/>
    <w:rsid w:val="00AD15AC"/>
    <w:rsid w:val="00AD1B66"/>
    <w:rsid w:val="00AD1CFF"/>
    <w:rsid w:val="00AD2447"/>
    <w:rsid w:val="00AD3F78"/>
    <w:rsid w:val="00AD46F7"/>
    <w:rsid w:val="00AE026A"/>
    <w:rsid w:val="00AE1346"/>
    <w:rsid w:val="00AE1715"/>
    <w:rsid w:val="00AE2594"/>
    <w:rsid w:val="00AE274D"/>
    <w:rsid w:val="00AE3624"/>
    <w:rsid w:val="00AE3760"/>
    <w:rsid w:val="00AE3F7E"/>
    <w:rsid w:val="00AE4FCF"/>
    <w:rsid w:val="00AE6015"/>
    <w:rsid w:val="00AE63B1"/>
    <w:rsid w:val="00AE7BE7"/>
    <w:rsid w:val="00AE7FC5"/>
    <w:rsid w:val="00AF1D86"/>
    <w:rsid w:val="00AF2486"/>
    <w:rsid w:val="00AF3D20"/>
    <w:rsid w:val="00AF4218"/>
    <w:rsid w:val="00AF4D21"/>
    <w:rsid w:val="00AF4DEF"/>
    <w:rsid w:val="00AF6BF1"/>
    <w:rsid w:val="00AF6F5C"/>
    <w:rsid w:val="00B01151"/>
    <w:rsid w:val="00B027C5"/>
    <w:rsid w:val="00B02874"/>
    <w:rsid w:val="00B04655"/>
    <w:rsid w:val="00B06750"/>
    <w:rsid w:val="00B07337"/>
    <w:rsid w:val="00B11B2A"/>
    <w:rsid w:val="00B11CDE"/>
    <w:rsid w:val="00B13545"/>
    <w:rsid w:val="00B13DEC"/>
    <w:rsid w:val="00B14B1A"/>
    <w:rsid w:val="00B15AEE"/>
    <w:rsid w:val="00B15B9E"/>
    <w:rsid w:val="00B15CF5"/>
    <w:rsid w:val="00B17B6C"/>
    <w:rsid w:val="00B20B71"/>
    <w:rsid w:val="00B222EC"/>
    <w:rsid w:val="00B22810"/>
    <w:rsid w:val="00B22F84"/>
    <w:rsid w:val="00B2326A"/>
    <w:rsid w:val="00B23E0D"/>
    <w:rsid w:val="00B24852"/>
    <w:rsid w:val="00B25ABF"/>
    <w:rsid w:val="00B26192"/>
    <w:rsid w:val="00B26619"/>
    <w:rsid w:val="00B2663E"/>
    <w:rsid w:val="00B26757"/>
    <w:rsid w:val="00B30365"/>
    <w:rsid w:val="00B31C31"/>
    <w:rsid w:val="00B32B63"/>
    <w:rsid w:val="00B37C28"/>
    <w:rsid w:val="00B400AE"/>
    <w:rsid w:val="00B434D7"/>
    <w:rsid w:val="00B44FAF"/>
    <w:rsid w:val="00B453A2"/>
    <w:rsid w:val="00B45BEF"/>
    <w:rsid w:val="00B47058"/>
    <w:rsid w:val="00B4783F"/>
    <w:rsid w:val="00B4787E"/>
    <w:rsid w:val="00B5068E"/>
    <w:rsid w:val="00B51024"/>
    <w:rsid w:val="00B524A9"/>
    <w:rsid w:val="00B55C74"/>
    <w:rsid w:val="00B5769C"/>
    <w:rsid w:val="00B5790E"/>
    <w:rsid w:val="00B603E4"/>
    <w:rsid w:val="00B624BC"/>
    <w:rsid w:val="00B62988"/>
    <w:rsid w:val="00B63A95"/>
    <w:rsid w:val="00B63B97"/>
    <w:rsid w:val="00B65237"/>
    <w:rsid w:val="00B666CD"/>
    <w:rsid w:val="00B67169"/>
    <w:rsid w:val="00B67894"/>
    <w:rsid w:val="00B72371"/>
    <w:rsid w:val="00B72EDD"/>
    <w:rsid w:val="00B737EF"/>
    <w:rsid w:val="00B74D25"/>
    <w:rsid w:val="00B7519D"/>
    <w:rsid w:val="00B76CF7"/>
    <w:rsid w:val="00B77C81"/>
    <w:rsid w:val="00B77FD8"/>
    <w:rsid w:val="00B80F76"/>
    <w:rsid w:val="00B818B8"/>
    <w:rsid w:val="00B81A2E"/>
    <w:rsid w:val="00B82D3B"/>
    <w:rsid w:val="00B8352D"/>
    <w:rsid w:val="00B83587"/>
    <w:rsid w:val="00B83734"/>
    <w:rsid w:val="00B8407F"/>
    <w:rsid w:val="00B8491D"/>
    <w:rsid w:val="00B85B34"/>
    <w:rsid w:val="00B85BE9"/>
    <w:rsid w:val="00B86794"/>
    <w:rsid w:val="00B868F9"/>
    <w:rsid w:val="00B8742C"/>
    <w:rsid w:val="00B90437"/>
    <w:rsid w:val="00B91FDC"/>
    <w:rsid w:val="00B92284"/>
    <w:rsid w:val="00B927F5"/>
    <w:rsid w:val="00B929B1"/>
    <w:rsid w:val="00B92F62"/>
    <w:rsid w:val="00B9379D"/>
    <w:rsid w:val="00B93F50"/>
    <w:rsid w:val="00B9424F"/>
    <w:rsid w:val="00B9504D"/>
    <w:rsid w:val="00B957FA"/>
    <w:rsid w:val="00B95BD0"/>
    <w:rsid w:val="00B95E7C"/>
    <w:rsid w:val="00B9602F"/>
    <w:rsid w:val="00BA1A18"/>
    <w:rsid w:val="00BA3274"/>
    <w:rsid w:val="00BA45E6"/>
    <w:rsid w:val="00BA56E5"/>
    <w:rsid w:val="00BA5E6F"/>
    <w:rsid w:val="00BA6C8D"/>
    <w:rsid w:val="00BA78DA"/>
    <w:rsid w:val="00BB0637"/>
    <w:rsid w:val="00BB0D04"/>
    <w:rsid w:val="00BB29FA"/>
    <w:rsid w:val="00BB2B15"/>
    <w:rsid w:val="00BB2CF2"/>
    <w:rsid w:val="00BB3410"/>
    <w:rsid w:val="00BB432F"/>
    <w:rsid w:val="00BB46FB"/>
    <w:rsid w:val="00BB47CB"/>
    <w:rsid w:val="00BB49A7"/>
    <w:rsid w:val="00BB49C0"/>
    <w:rsid w:val="00BB6F4C"/>
    <w:rsid w:val="00BB6FB5"/>
    <w:rsid w:val="00BB753F"/>
    <w:rsid w:val="00BB7DA0"/>
    <w:rsid w:val="00BB7FF2"/>
    <w:rsid w:val="00BC0B1A"/>
    <w:rsid w:val="00BC1522"/>
    <w:rsid w:val="00BC1BF0"/>
    <w:rsid w:val="00BC2D8F"/>
    <w:rsid w:val="00BC3541"/>
    <w:rsid w:val="00BC3DD2"/>
    <w:rsid w:val="00BC6D36"/>
    <w:rsid w:val="00BD12E4"/>
    <w:rsid w:val="00BD1797"/>
    <w:rsid w:val="00BD33CE"/>
    <w:rsid w:val="00BD6B16"/>
    <w:rsid w:val="00BE12E1"/>
    <w:rsid w:val="00BE1B26"/>
    <w:rsid w:val="00BE1E5B"/>
    <w:rsid w:val="00BE1F44"/>
    <w:rsid w:val="00BE2950"/>
    <w:rsid w:val="00BE3D6F"/>
    <w:rsid w:val="00BE40A0"/>
    <w:rsid w:val="00BE4548"/>
    <w:rsid w:val="00BE53BF"/>
    <w:rsid w:val="00BE63D7"/>
    <w:rsid w:val="00BF0CAD"/>
    <w:rsid w:val="00BF2700"/>
    <w:rsid w:val="00BF2A34"/>
    <w:rsid w:val="00BF2DF6"/>
    <w:rsid w:val="00BF5699"/>
    <w:rsid w:val="00BF631F"/>
    <w:rsid w:val="00BF6721"/>
    <w:rsid w:val="00C02D9A"/>
    <w:rsid w:val="00C033E9"/>
    <w:rsid w:val="00C0389F"/>
    <w:rsid w:val="00C04326"/>
    <w:rsid w:val="00C046AD"/>
    <w:rsid w:val="00C04EFC"/>
    <w:rsid w:val="00C054E3"/>
    <w:rsid w:val="00C066B7"/>
    <w:rsid w:val="00C072CB"/>
    <w:rsid w:val="00C07AAE"/>
    <w:rsid w:val="00C07D74"/>
    <w:rsid w:val="00C11ED5"/>
    <w:rsid w:val="00C13B84"/>
    <w:rsid w:val="00C14B7B"/>
    <w:rsid w:val="00C14D9D"/>
    <w:rsid w:val="00C1628D"/>
    <w:rsid w:val="00C20372"/>
    <w:rsid w:val="00C22B0A"/>
    <w:rsid w:val="00C231AC"/>
    <w:rsid w:val="00C2356F"/>
    <w:rsid w:val="00C24C6C"/>
    <w:rsid w:val="00C25A7A"/>
    <w:rsid w:val="00C25C6F"/>
    <w:rsid w:val="00C2636F"/>
    <w:rsid w:val="00C27150"/>
    <w:rsid w:val="00C30469"/>
    <w:rsid w:val="00C3183C"/>
    <w:rsid w:val="00C32359"/>
    <w:rsid w:val="00C32D5B"/>
    <w:rsid w:val="00C33E98"/>
    <w:rsid w:val="00C347F1"/>
    <w:rsid w:val="00C34842"/>
    <w:rsid w:val="00C34F18"/>
    <w:rsid w:val="00C367A4"/>
    <w:rsid w:val="00C36AEE"/>
    <w:rsid w:val="00C36E61"/>
    <w:rsid w:val="00C375CA"/>
    <w:rsid w:val="00C4298A"/>
    <w:rsid w:val="00C42F7B"/>
    <w:rsid w:val="00C43CB8"/>
    <w:rsid w:val="00C441E0"/>
    <w:rsid w:val="00C44A9E"/>
    <w:rsid w:val="00C44DC9"/>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776F5"/>
    <w:rsid w:val="00C80081"/>
    <w:rsid w:val="00C802F1"/>
    <w:rsid w:val="00C80E50"/>
    <w:rsid w:val="00C81982"/>
    <w:rsid w:val="00C81E8A"/>
    <w:rsid w:val="00C83EB7"/>
    <w:rsid w:val="00C83ECD"/>
    <w:rsid w:val="00C8408B"/>
    <w:rsid w:val="00C84ADD"/>
    <w:rsid w:val="00C86ABE"/>
    <w:rsid w:val="00C8720B"/>
    <w:rsid w:val="00C874D2"/>
    <w:rsid w:val="00C87C08"/>
    <w:rsid w:val="00C87E71"/>
    <w:rsid w:val="00C91270"/>
    <w:rsid w:val="00C9141A"/>
    <w:rsid w:val="00C916DE"/>
    <w:rsid w:val="00C93634"/>
    <w:rsid w:val="00C937A7"/>
    <w:rsid w:val="00C943C6"/>
    <w:rsid w:val="00C94CC1"/>
    <w:rsid w:val="00C94D70"/>
    <w:rsid w:val="00C94DD4"/>
    <w:rsid w:val="00C9517E"/>
    <w:rsid w:val="00C96032"/>
    <w:rsid w:val="00C96BDE"/>
    <w:rsid w:val="00CA1CBE"/>
    <w:rsid w:val="00CA27B9"/>
    <w:rsid w:val="00CA32A3"/>
    <w:rsid w:val="00CA32FE"/>
    <w:rsid w:val="00CA4137"/>
    <w:rsid w:val="00CA451B"/>
    <w:rsid w:val="00CA5AE4"/>
    <w:rsid w:val="00CA6D14"/>
    <w:rsid w:val="00CA7D74"/>
    <w:rsid w:val="00CB02A1"/>
    <w:rsid w:val="00CB038B"/>
    <w:rsid w:val="00CB1797"/>
    <w:rsid w:val="00CB4B04"/>
    <w:rsid w:val="00CB66BC"/>
    <w:rsid w:val="00CB6AD7"/>
    <w:rsid w:val="00CB7264"/>
    <w:rsid w:val="00CC03C4"/>
    <w:rsid w:val="00CC2643"/>
    <w:rsid w:val="00CC338D"/>
    <w:rsid w:val="00CC3C26"/>
    <w:rsid w:val="00CC40CC"/>
    <w:rsid w:val="00CC43C3"/>
    <w:rsid w:val="00CC43C5"/>
    <w:rsid w:val="00CC43CD"/>
    <w:rsid w:val="00CC4618"/>
    <w:rsid w:val="00CC4D34"/>
    <w:rsid w:val="00CC61FC"/>
    <w:rsid w:val="00CC7D5C"/>
    <w:rsid w:val="00CD1614"/>
    <w:rsid w:val="00CD1836"/>
    <w:rsid w:val="00CD275E"/>
    <w:rsid w:val="00CD2EF7"/>
    <w:rsid w:val="00CD38AB"/>
    <w:rsid w:val="00CD4100"/>
    <w:rsid w:val="00CD41B1"/>
    <w:rsid w:val="00CD4338"/>
    <w:rsid w:val="00CD4809"/>
    <w:rsid w:val="00CD5A92"/>
    <w:rsid w:val="00CD5CF6"/>
    <w:rsid w:val="00CE0942"/>
    <w:rsid w:val="00CE1EF9"/>
    <w:rsid w:val="00CE2C31"/>
    <w:rsid w:val="00CE2CB1"/>
    <w:rsid w:val="00CE3ACF"/>
    <w:rsid w:val="00CE4292"/>
    <w:rsid w:val="00CE4DEB"/>
    <w:rsid w:val="00CE4F47"/>
    <w:rsid w:val="00CE511C"/>
    <w:rsid w:val="00CE5752"/>
    <w:rsid w:val="00CE6F2D"/>
    <w:rsid w:val="00CE7F67"/>
    <w:rsid w:val="00CF01E1"/>
    <w:rsid w:val="00CF23B4"/>
    <w:rsid w:val="00CF242E"/>
    <w:rsid w:val="00CF3812"/>
    <w:rsid w:val="00CF413A"/>
    <w:rsid w:val="00CF4631"/>
    <w:rsid w:val="00CF5A3C"/>
    <w:rsid w:val="00CF5EFF"/>
    <w:rsid w:val="00CF683A"/>
    <w:rsid w:val="00D00106"/>
    <w:rsid w:val="00D00D33"/>
    <w:rsid w:val="00D0187A"/>
    <w:rsid w:val="00D01A8F"/>
    <w:rsid w:val="00D04072"/>
    <w:rsid w:val="00D043F3"/>
    <w:rsid w:val="00D10B82"/>
    <w:rsid w:val="00D10CDB"/>
    <w:rsid w:val="00D12D20"/>
    <w:rsid w:val="00D14A68"/>
    <w:rsid w:val="00D163B0"/>
    <w:rsid w:val="00D17BB9"/>
    <w:rsid w:val="00D210DB"/>
    <w:rsid w:val="00D225E2"/>
    <w:rsid w:val="00D234AD"/>
    <w:rsid w:val="00D24AC0"/>
    <w:rsid w:val="00D26124"/>
    <w:rsid w:val="00D30BFF"/>
    <w:rsid w:val="00D31DCE"/>
    <w:rsid w:val="00D3226F"/>
    <w:rsid w:val="00D32F5C"/>
    <w:rsid w:val="00D334CB"/>
    <w:rsid w:val="00D33817"/>
    <w:rsid w:val="00D348FA"/>
    <w:rsid w:val="00D35659"/>
    <w:rsid w:val="00D36464"/>
    <w:rsid w:val="00D37D03"/>
    <w:rsid w:val="00D37D3F"/>
    <w:rsid w:val="00D414EB"/>
    <w:rsid w:val="00D4260C"/>
    <w:rsid w:val="00D430B6"/>
    <w:rsid w:val="00D43278"/>
    <w:rsid w:val="00D432B7"/>
    <w:rsid w:val="00D437E5"/>
    <w:rsid w:val="00D4483E"/>
    <w:rsid w:val="00D452F9"/>
    <w:rsid w:val="00D4591C"/>
    <w:rsid w:val="00D45C8A"/>
    <w:rsid w:val="00D46437"/>
    <w:rsid w:val="00D47C16"/>
    <w:rsid w:val="00D47C2B"/>
    <w:rsid w:val="00D47CB3"/>
    <w:rsid w:val="00D50C3C"/>
    <w:rsid w:val="00D51356"/>
    <w:rsid w:val="00D517F0"/>
    <w:rsid w:val="00D5260D"/>
    <w:rsid w:val="00D54334"/>
    <w:rsid w:val="00D544EC"/>
    <w:rsid w:val="00D546A7"/>
    <w:rsid w:val="00D54CC3"/>
    <w:rsid w:val="00D55926"/>
    <w:rsid w:val="00D55EB1"/>
    <w:rsid w:val="00D57716"/>
    <w:rsid w:val="00D57757"/>
    <w:rsid w:val="00D61B63"/>
    <w:rsid w:val="00D61EDC"/>
    <w:rsid w:val="00D63685"/>
    <w:rsid w:val="00D64254"/>
    <w:rsid w:val="00D65F00"/>
    <w:rsid w:val="00D6749E"/>
    <w:rsid w:val="00D67DA3"/>
    <w:rsid w:val="00D70CDB"/>
    <w:rsid w:val="00D72A6D"/>
    <w:rsid w:val="00D73509"/>
    <w:rsid w:val="00D7384B"/>
    <w:rsid w:val="00D73DBE"/>
    <w:rsid w:val="00D73E09"/>
    <w:rsid w:val="00D74290"/>
    <w:rsid w:val="00D76DB3"/>
    <w:rsid w:val="00D77564"/>
    <w:rsid w:val="00D77C8D"/>
    <w:rsid w:val="00D81C40"/>
    <w:rsid w:val="00D82879"/>
    <w:rsid w:val="00D87764"/>
    <w:rsid w:val="00D90653"/>
    <w:rsid w:val="00D92181"/>
    <w:rsid w:val="00D92274"/>
    <w:rsid w:val="00D92ED6"/>
    <w:rsid w:val="00D947F6"/>
    <w:rsid w:val="00D9599C"/>
    <w:rsid w:val="00DA276C"/>
    <w:rsid w:val="00DA380C"/>
    <w:rsid w:val="00DA4019"/>
    <w:rsid w:val="00DA4C1F"/>
    <w:rsid w:val="00DA4E0C"/>
    <w:rsid w:val="00DA53DA"/>
    <w:rsid w:val="00DA53F8"/>
    <w:rsid w:val="00DA5AED"/>
    <w:rsid w:val="00DA6B94"/>
    <w:rsid w:val="00DA7694"/>
    <w:rsid w:val="00DA7843"/>
    <w:rsid w:val="00DA7E80"/>
    <w:rsid w:val="00DB0E66"/>
    <w:rsid w:val="00DB13CB"/>
    <w:rsid w:val="00DB166B"/>
    <w:rsid w:val="00DB173F"/>
    <w:rsid w:val="00DB264C"/>
    <w:rsid w:val="00DB4138"/>
    <w:rsid w:val="00DB42EE"/>
    <w:rsid w:val="00DB523F"/>
    <w:rsid w:val="00DB52E0"/>
    <w:rsid w:val="00DB587E"/>
    <w:rsid w:val="00DB5880"/>
    <w:rsid w:val="00DB5E95"/>
    <w:rsid w:val="00DB6062"/>
    <w:rsid w:val="00DB6A83"/>
    <w:rsid w:val="00DB7775"/>
    <w:rsid w:val="00DB799B"/>
    <w:rsid w:val="00DC1889"/>
    <w:rsid w:val="00DC1EEC"/>
    <w:rsid w:val="00DC25EE"/>
    <w:rsid w:val="00DC2D99"/>
    <w:rsid w:val="00DC5554"/>
    <w:rsid w:val="00DC57CD"/>
    <w:rsid w:val="00DC6593"/>
    <w:rsid w:val="00DD12B8"/>
    <w:rsid w:val="00DD2682"/>
    <w:rsid w:val="00DD32B9"/>
    <w:rsid w:val="00DD35B0"/>
    <w:rsid w:val="00DD4E7A"/>
    <w:rsid w:val="00DD6533"/>
    <w:rsid w:val="00DD718B"/>
    <w:rsid w:val="00DE0F49"/>
    <w:rsid w:val="00DE15D8"/>
    <w:rsid w:val="00DE26D9"/>
    <w:rsid w:val="00DE3DF8"/>
    <w:rsid w:val="00DE4C47"/>
    <w:rsid w:val="00DE4E0C"/>
    <w:rsid w:val="00DE50FF"/>
    <w:rsid w:val="00DE5F50"/>
    <w:rsid w:val="00DE60DC"/>
    <w:rsid w:val="00DE68CB"/>
    <w:rsid w:val="00DE7CA9"/>
    <w:rsid w:val="00DF0955"/>
    <w:rsid w:val="00DF326A"/>
    <w:rsid w:val="00DF3AA1"/>
    <w:rsid w:val="00DF41F8"/>
    <w:rsid w:val="00DF4973"/>
    <w:rsid w:val="00DF6030"/>
    <w:rsid w:val="00DF7E5D"/>
    <w:rsid w:val="00E00301"/>
    <w:rsid w:val="00E00589"/>
    <w:rsid w:val="00E0220E"/>
    <w:rsid w:val="00E034D9"/>
    <w:rsid w:val="00E03FC8"/>
    <w:rsid w:val="00E04947"/>
    <w:rsid w:val="00E076DF"/>
    <w:rsid w:val="00E07872"/>
    <w:rsid w:val="00E07EB3"/>
    <w:rsid w:val="00E10927"/>
    <w:rsid w:val="00E10E6D"/>
    <w:rsid w:val="00E128B1"/>
    <w:rsid w:val="00E14467"/>
    <w:rsid w:val="00E14BF3"/>
    <w:rsid w:val="00E1550E"/>
    <w:rsid w:val="00E15CED"/>
    <w:rsid w:val="00E16410"/>
    <w:rsid w:val="00E205A3"/>
    <w:rsid w:val="00E2067B"/>
    <w:rsid w:val="00E21DA2"/>
    <w:rsid w:val="00E22DEC"/>
    <w:rsid w:val="00E2389F"/>
    <w:rsid w:val="00E25157"/>
    <w:rsid w:val="00E27F78"/>
    <w:rsid w:val="00E308BB"/>
    <w:rsid w:val="00E30F8E"/>
    <w:rsid w:val="00E3122D"/>
    <w:rsid w:val="00E31B23"/>
    <w:rsid w:val="00E32320"/>
    <w:rsid w:val="00E32522"/>
    <w:rsid w:val="00E32652"/>
    <w:rsid w:val="00E33FC1"/>
    <w:rsid w:val="00E3518D"/>
    <w:rsid w:val="00E35BF8"/>
    <w:rsid w:val="00E3696C"/>
    <w:rsid w:val="00E37A2B"/>
    <w:rsid w:val="00E40D81"/>
    <w:rsid w:val="00E41A29"/>
    <w:rsid w:val="00E42EA6"/>
    <w:rsid w:val="00E439D8"/>
    <w:rsid w:val="00E45E65"/>
    <w:rsid w:val="00E463E4"/>
    <w:rsid w:val="00E47562"/>
    <w:rsid w:val="00E4769A"/>
    <w:rsid w:val="00E50CD6"/>
    <w:rsid w:val="00E50F88"/>
    <w:rsid w:val="00E513B8"/>
    <w:rsid w:val="00E5311D"/>
    <w:rsid w:val="00E5423C"/>
    <w:rsid w:val="00E5453D"/>
    <w:rsid w:val="00E54B97"/>
    <w:rsid w:val="00E5551D"/>
    <w:rsid w:val="00E55E45"/>
    <w:rsid w:val="00E55F68"/>
    <w:rsid w:val="00E604E8"/>
    <w:rsid w:val="00E63258"/>
    <w:rsid w:val="00E63B7C"/>
    <w:rsid w:val="00E64357"/>
    <w:rsid w:val="00E64935"/>
    <w:rsid w:val="00E64D00"/>
    <w:rsid w:val="00E64F59"/>
    <w:rsid w:val="00E64F9E"/>
    <w:rsid w:val="00E659C4"/>
    <w:rsid w:val="00E663AF"/>
    <w:rsid w:val="00E6714A"/>
    <w:rsid w:val="00E671A5"/>
    <w:rsid w:val="00E67AA0"/>
    <w:rsid w:val="00E70167"/>
    <w:rsid w:val="00E705EC"/>
    <w:rsid w:val="00E71E8B"/>
    <w:rsid w:val="00E72DB0"/>
    <w:rsid w:val="00E73765"/>
    <w:rsid w:val="00E73CB7"/>
    <w:rsid w:val="00E73E81"/>
    <w:rsid w:val="00E74511"/>
    <w:rsid w:val="00E75438"/>
    <w:rsid w:val="00E75DBD"/>
    <w:rsid w:val="00E768DF"/>
    <w:rsid w:val="00E777B0"/>
    <w:rsid w:val="00E7796B"/>
    <w:rsid w:val="00E77E40"/>
    <w:rsid w:val="00E815E1"/>
    <w:rsid w:val="00E833F8"/>
    <w:rsid w:val="00E83D5C"/>
    <w:rsid w:val="00E85622"/>
    <w:rsid w:val="00E86880"/>
    <w:rsid w:val="00E87F99"/>
    <w:rsid w:val="00E87FCD"/>
    <w:rsid w:val="00E905FD"/>
    <w:rsid w:val="00E91C6A"/>
    <w:rsid w:val="00E924DD"/>
    <w:rsid w:val="00E94E34"/>
    <w:rsid w:val="00E957A4"/>
    <w:rsid w:val="00E97093"/>
    <w:rsid w:val="00EA0CF2"/>
    <w:rsid w:val="00EA0D20"/>
    <w:rsid w:val="00EA15D4"/>
    <w:rsid w:val="00EA3AE4"/>
    <w:rsid w:val="00EA4A33"/>
    <w:rsid w:val="00EA58E6"/>
    <w:rsid w:val="00EA5D83"/>
    <w:rsid w:val="00EA6184"/>
    <w:rsid w:val="00EA64BE"/>
    <w:rsid w:val="00EA6965"/>
    <w:rsid w:val="00EA6BDC"/>
    <w:rsid w:val="00EA7AAA"/>
    <w:rsid w:val="00EB0A61"/>
    <w:rsid w:val="00EB0C83"/>
    <w:rsid w:val="00EB1912"/>
    <w:rsid w:val="00EB1C08"/>
    <w:rsid w:val="00EB20E7"/>
    <w:rsid w:val="00EB2A3A"/>
    <w:rsid w:val="00EB31C3"/>
    <w:rsid w:val="00EB31E3"/>
    <w:rsid w:val="00EB34A6"/>
    <w:rsid w:val="00EB4C2F"/>
    <w:rsid w:val="00EB5D72"/>
    <w:rsid w:val="00EC04E3"/>
    <w:rsid w:val="00EC0541"/>
    <w:rsid w:val="00EC0D68"/>
    <w:rsid w:val="00EC1141"/>
    <w:rsid w:val="00EC11F9"/>
    <w:rsid w:val="00EC122D"/>
    <w:rsid w:val="00EC1979"/>
    <w:rsid w:val="00EC230D"/>
    <w:rsid w:val="00EC5111"/>
    <w:rsid w:val="00EC6B27"/>
    <w:rsid w:val="00EC700B"/>
    <w:rsid w:val="00EC77C0"/>
    <w:rsid w:val="00EC7AEE"/>
    <w:rsid w:val="00ED0082"/>
    <w:rsid w:val="00ED1842"/>
    <w:rsid w:val="00ED1C59"/>
    <w:rsid w:val="00ED2C2E"/>
    <w:rsid w:val="00ED31BD"/>
    <w:rsid w:val="00ED3C90"/>
    <w:rsid w:val="00ED4385"/>
    <w:rsid w:val="00ED44A3"/>
    <w:rsid w:val="00ED484C"/>
    <w:rsid w:val="00ED55CE"/>
    <w:rsid w:val="00ED57A4"/>
    <w:rsid w:val="00ED6496"/>
    <w:rsid w:val="00EE038B"/>
    <w:rsid w:val="00EE2072"/>
    <w:rsid w:val="00EE2403"/>
    <w:rsid w:val="00EE2B2F"/>
    <w:rsid w:val="00EE598A"/>
    <w:rsid w:val="00EE5AC9"/>
    <w:rsid w:val="00EE68B7"/>
    <w:rsid w:val="00EE7609"/>
    <w:rsid w:val="00EE782C"/>
    <w:rsid w:val="00EF2E9D"/>
    <w:rsid w:val="00EF3B34"/>
    <w:rsid w:val="00EF57D7"/>
    <w:rsid w:val="00EF6C6B"/>
    <w:rsid w:val="00EF71E8"/>
    <w:rsid w:val="00EF79E9"/>
    <w:rsid w:val="00EF7A31"/>
    <w:rsid w:val="00EF7B2E"/>
    <w:rsid w:val="00F0015C"/>
    <w:rsid w:val="00F02003"/>
    <w:rsid w:val="00F02F0B"/>
    <w:rsid w:val="00F0369E"/>
    <w:rsid w:val="00F039ED"/>
    <w:rsid w:val="00F06840"/>
    <w:rsid w:val="00F0705E"/>
    <w:rsid w:val="00F071BE"/>
    <w:rsid w:val="00F10CF0"/>
    <w:rsid w:val="00F112D7"/>
    <w:rsid w:val="00F119A3"/>
    <w:rsid w:val="00F13918"/>
    <w:rsid w:val="00F15CFE"/>
    <w:rsid w:val="00F16DAB"/>
    <w:rsid w:val="00F171C6"/>
    <w:rsid w:val="00F1773A"/>
    <w:rsid w:val="00F1789F"/>
    <w:rsid w:val="00F17E88"/>
    <w:rsid w:val="00F17F8C"/>
    <w:rsid w:val="00F201C8"/>
    <w:rsid w:val="00F20AF4"/>
    <w:rsid w:val="00F229AC"/>
    <w:rsid w:val="00F24856"/>
    <w:rsid w:val="00F252CD"/>
    <w:rsid w:val="00F2554C"/>
    <w:rsid w:val="00F27BD2"/>
    <w:rsid w:val="00F3030A"/>
    <w:rsid w:val="00F30A09"/>
    <w:rsid w:val="00F314E2"/>
    <w:rsid w:val="00F31775"/>
    <w:rsid w:val="00F31DEE"/>
    <w:rsid w:val="00F32BF6"/>
    <w:rsid w:val="00F33388"/>
    <w:rsid w:val="00F33E4D"/>
    <w:rsid w:val="00F34178"/>
    <w:rsid w:val="00F34BCA"/>
    <w:rsid w:val="00F3526B"/>
    <w:rsid w:val="00F36723"/>
    <w:rsid w:val="00F3691C"/>
    <w:rsid w:val="00F37D13"/>
    <w:rsid w:val="00F40413"/>
    <w:rsid w:val="00F405E9"/>
    <w:rsid w:val="00F40B81"/>
    <w:rsid w:val="00F414C8"/>
    <w:rsid w:val="00F43533"/>
    <w:rsid w:val="00F439BF"/>
    <w:rsid w:val="00F440BC"/>
    <w:rsid w:val="00F44973"/>
    <w:rsid w:val="00F456B4"/>
    <w:rsid w:val="00F462DB"/>
    <w:rsid w:val="00F47EAC"/>
    <w:rsid w:val="00F5019F"/>
    <w:rsid w:val="00F50C29"/>
    <w:rsid w:val="00F51F05"/>
    <w:rsid w:val="00F56114"/>
    <w:rsid w:val="00F573CC"/>
    <w:rsid w:val="00F57EAD"/>
    <w:rsid w:val="00F601B4"/>
    <w:rsid w:val="00F62C65"/>
    <w:rsid w:val="00F63290"/>
    <w:rsid w:val="00F652A6"/>
    <w:rsid w:val="00F66728"/>
    <w:rsid w:val="00F67050"/>
    <w:rsid w:val="00F673E2"/>
    <w:rsid w:val="00F67649"/>
    <w:rsid w:val="00F67C9A"/>
    <w:rsid w:val="00F67F0F"/>
    <w:rsid w:val="00F7072E"/>
    <w:rsid w:val="00F71623"/>
    <w:rsid w:val="00F71C27"/>
    <w:rsid w:val="00F7283C"/>
    <w:rsid w:val="00F7295A"/>
    <w:rsid w:val="00F73CF7"/>
    <w:rsid w:val="00F741CB"/>
    <w:rsid w:val="00F74FF8"/>
    <w:rsid w:val="00F7776D"/>
    <w:rsid w:val="00F778E8"/>
    <w:rsid w:val="00F81F54"/>
    <w:rsid w:val="00F823FF"/>
    <w:rsid w:val="00F825EF"/>
    <w:rsid w:val="00F84AF9"/>
    <w:rsid w:val="00F85BB1"/>
    <w:rsid w:val="00F86735"/>
    <w:rsid w:val="00F8697C"/>
    <w:rsid w:val="00F904C6"/>
    <w:rsid w:val="00F904F9"/>
    <w:rsid w:val="00F90ACE"/>
    <w:rsid w:val="00F9157A"/>
    <w:rsid w:val="00F916E8"/>
    <w:rsid w:val="00F91707"/>
    <w:rsid w:val="00F919C9"/>
    <w:rsid w:val="00F91EF0"/>
    <w:rsid w:val="00F92596"/>
    <w:rsid w:val="00F94C70"/>
    <w:rsid w:val="00F94D86"/>
    <w:rsid w:val="00F95973"/>
    <w:rsid w:val="00F96E20"/>
    <w:rsid w:val="00FA05DC"/>
    <w:rsid w:val="00FA0F0D"/>
    <w:rsid w:val="00FA243A"/>
    <w:rsid w:val="00FA3284"/>
    <w:rsid w:val="00FA4C93"/>
    <w:rsid w:val="00FA5FC1"/>
    <w:rsid w:val="00FA60FC"/>
    <w:rsid w:val="00FA6CDC"/>
    <w:rsid w:val="00FA7931"/>
    <w:rsid w:val="00FB012C"/>
    <w:rsid w:val="00FB2200"/>
    <w:rsid w:val="00FB2D08"/>
    <w:rsid w:val="00FB37E2"/>
    <w:rsid w:val="00FB38ED"/>
    <w:rsid w:val="00FB3AB9"/>
    <w:rsid w:val="00FB4E90"/>
    <w:rsid w:val="00FB6E02"/>
    <w:rsid w:val="00FB72D9"/>
    <w:rsid w:val="00FB7984"/>
    <w:rsid w:val="00FB7E9F"/>
    <w:rsid w:val="00FC02BD"/>
    <w:rsid w:val="00FC06DD"/>
    <w:rsid w:val="00FC0F42"/>
    <w:rsid w:val="00FC21A4"/>
    <w:rsid w:val="00FC2365"/>
    <w:rsid w:val="00FC2E77"/>
    <w:rsid w:val="00FC2FFC"/>
    <w:rsid w:val="00FC4793"/>
    <w:rsid w:val="00FC4CC6"/>
    <w:rsid w:val="00FC4FBB"/>
    <w:rsid w:val="00FC53C7"/>
    <w:rsid w:val="00FC601F"/>
    <w:rsid w:val="00FC6545"/>
    <w:rsid w:val="00FC6666"/>
    <w:rsid w:val="00FC6E85"/>
    <w:rsid w:val="00FC7E37"/>
    <w:rsid w:val="00FD0324"/>
    <w:rsid w:val="00FD071A"/>
    <w:rsid w:val="00FD3EF8"/>
    <w:rsid w:val="00FD4844"/>
    <w:rsid w:val="00FD54EB"/>
    <w:rsid w:val="00FD7196"/>
    <w:rsid w:val="00FE059C"/>
    <w:rsid w:val="00FE0BEA"/>
    <w:rsid w:val="00FE0D6A"/>
    <w:rsid w:val="00FE1433"/>
    <w:rsid w:val="00FE2C1F"/>
    <w:rsid w:val="00FE4665"/>
    <w:rsid w:val="00FE539F"/>
    <w:rsid w:val="00FE5953"/>
    <w:rsid w:val="00FE7D62"/>
    <w:rsid w:val="00FF04B1"/>
    <w:rsid w:val="00FF0CC3"/>
    <w:rsid w:val="00FF0DE8"/>
    <w:rsid w:val="00FF11A9"/>
    <w:rsid w:val="00FF165F"/>
    <w:rsid w:val="00FF16DB"/>
    <w:rsid w:val="00FF2E8A"/>
    <w:rsid w:val="00FF2F10"/>
    <w:rsid w:val="00FF382B"/>
    <w:rsid w:val="00FF3DDF"/>
    <w:rsid w:val="00FF5265"/>
    <w:rsid w:val="00FF55F1"/>
    <w:rsid w:val="00FF5BC7"/>
    <w:rsid w:val="00FF75D5"/>
    <w:rsid w:val="00FF7678"/>
    <w:rsid w:val="014C8A40"/>
    <w:rsid w:val="01754D06"/>
    <w:rsid w:val="01819C80"/>
    <w:rsid w:val="0189F231"/>
    <w:rsid w:val="01AFBD83"/>
    <w:rsid w:val="01DBE774"/>
    <w:rsid w:val="01EC81AA"/>
    <w:rsid w:val="01EE46BA"/>
    <w:rsid w:val="01EF6AF3"/>
    <w:rsid w:val="02369EEC"/>
    <w:rsid w:val="02388E58"/>
    <w:rsid w:val="023D806E"/>
    <w:rsid w:val="0248A40C"/>
    <w:rsid w:val="025EBAC4"/>
    <w:rsid w:val="02AC709B"/>
    <w:rsid w:val="02D22C48"/>
    <w:rsid w:val="02FFC142"/>
    <w:rsid w:val="03324726"/>
    <w:rsid w:val="0340C7B5"/>
    <w:rsid w:val="03563071"/>
    <w:rsid w:val="0358D710"/>
    <w:rsid w:val="0359EF17"/>
    <w:rsid w:val="035AFFED"/>
    <w:rsid w:val="035D87DD"/>
    <w:rsid w:val="0363BC68"/>
    <w:rsid w:val="03643533"/>
    <w:rsid w:val="0365DAEE"/>
    <w:rsid w:val="0372BE5B"/>
    <w:rsid w:val="0389EECB"/>
    <w:rsid w:val="038B508C"/>
    <w:rsid w:val="03E4746D"/>
    <w:rsid w:val="03F2E673"/>
    <w:rsid w:val="041AE860"/>
    <w:rsid w:val="043A4EAC"/>
    <w:rsid w:val="0478847D"/>
    <w:rsid w:val="0493C68A"/>
    <w:rsid w:val="0493FEF8"/>
    <w:rsid w:val="04E701BF"/>
    <w:rsid w:val="05031D9C"/>
    <w:rsid w:val="05411193"/>
    <w:rsid w:val="0569451C"/>
    <w:rsid w:val="056DDD49"/>
    <w:rsid w:val="0572829A"/>
    <w:rsid w:val="0589CF88"/>
    <w:rsid w:val="06070A83"/>
    <w:rsid w:val="0613B2CE"/>
    <w:rsid w:val="065BDB83"/>
    <w:rsid w:val="065EDDB5"/>
    <w:rsid w:val="067503E0"/>
    <w:rsid w:val="0688745E"/>
    <w:rsid w:val="068A9307"/>
    <w:rsid w:val="06CC4D24"/>
    <w:rsid w:val="06D233E7"/>
    <w:rsid w:val="071A4BD5"/>
    <w:rsid w:val="0768A609"/>
    <w:rsid w:val="07DA50B0"/>
    <w:rsid w:val="08239707"/>
    <w:rsid w:val="0836C475"/>
    <w:rsid w:val="08462F7E"/>
    <w:rsid w:val="084F7F16"/>
    <w:rsid w:val="0856A253"/>
    <w:rsid w:val="08742A6B"/>
    <w:rsid w:val="08838EE1"/>
    <w:rsid w:val="08DDF276"/>
    <w:rsid w:val="09A58165"/>
    <w:rsid w:val="09DA399C"/>
    <w:rsid w:val="09FCC482"/>
    <w:rsid w:val="0A54C792"/>
    <w:rsid w:val="0A5E940B"/>
    <w:rsid w:val="0A5F1FEF"/>
    <w:rsid w:val="0A60FF51"/>
    <w:rsid w:val="0A61D18E"/>
    <w:rsid w:val="0A703826"/>
    <w:rsid w:val="0A7BADC9"/>
    <w:rsid w:val="0A87B1B4"/>
    <w:rsid w:val="0A9A8022"/>
    <w:rsid w:val="0AA3A86F"/>
    <w:rsid w:val="0AE8E3A1"/>
    <w:rsid w:val="0AFB87B1"/>
    <w:rsid w:val="0C14FBF0"/>
    <w:rsid w:val="0C550549"/>
    <w:rsid w:val="0C98C21F"/>
    <w:rsid w:val="0C9D8B4A"/>
    <w:rsid w:val="0CA1D545"/>
    <w:rsid w:val="0CA297EA"/>
    <w:rsid w:val="0CAA651B"/>
    <w:rsid w:val="0CC3BD19"/>
    <w:rsid w:val="0D05FC5C"/>
    <w:rsid w:val="0D36C0D2"/>
    <w:rsid w:val="0D9C6C8E"/>
    <w:rsid w:val="0DBEDE24"/>
    <w:rsid w:val="0DE1B4C4"/>
    <w:rsid w:val="0E190CC9"/>
    <w:rsid w:val="0E24BC54"/>
    <w:rsid w:val="0E27C4FB"/>
    <w:rsid w:val="0E379206"/>
    <w:rsid w:val="0E421184"/>
    <w:rsid w:val="0E7B3485"/>
    <w:rsid w:val="0EFA2279"/>
    <w:rsid w:val="0F086D18"/>
    <w:rsid w:val="0F24E44C"/>
    <w:rsid w:val="0F26F43C"/>
    <w:rsid w:val="0F43C128"/>
    <w:rsid w:val="0FE6717B"/>
    <w:rsid w:val="0FF44EB6"/>
    <w:rsid w:val="10046CFB"/>
    <w:rsid w:val="101E9E10"/>
    <w:rsid w:val="104196CA"/>
    <w:rsid w:val="104361D7"/>
    <w:rsid w:val="105625C4"/>
    <w:rsid w:val="106176CF"/>
    <w:rsid w:val="10631998"/>
    <w:rsid w:val="10BA8E44"/>
    <w:rsid w:val="10BBB88C"/>
    <w:rsid w:val="10CC20C5"/>
    <w:rsid w:val="112D3373"/>
    <w:rsid w:val="11410993"/>
    <w:rsid w:val="11AB4B38"/>
    <w:rsid w:val="122A6F24"/>
    <w:rsid w:val="129B6C98"/>
    <w:rsid w:val="12BD9676"/>
    <w:rsid w:val="131FD8A5"/>
    <w:rsid w:val="1332916F"/>
    <w:rsid w:val="133C8DB8"/>
    <w:rsid w:val="136C63D3"/>
    <w:rsid w:val="13CB0A04"/>
    <w:rsid w:val="13F72327"/>
    <w:rsid w:val="141CE9D9"/>
    <w:rsid w:val="144802EA"/>
    <w:rsid w:val="14C791E6"/>
    <w:rsid w:val="150864EB"/>
    <w:rsid w:val="1508AB9A"/>
    <w:rsid w:val="1543CD3F"/>
    <w:rsid w:val="157CC8AA"/>
    <w:rsid w:val="157DD5EA"/>
    <w:rsid w:val="15BD4994"/>
    <w:rsid w:val="1632757D"/>
    <w:rsid w:val="1655B9ED"/>
    <w:rsid w:val="166451EE"/>
    <w:rsid w:val="16971CCD"/>
    <w:rsid w:val="16B4A4E5"/>
    <w:rsid w:val="16D612E6"/>
    <w:rsid w:val="173D8C51"/>
    <w:rsid w:val="173E4C25"/>
    <w:rsid w:val="177504D9"/>
    <w:rsid w:val="1782EA8D"/>
    <w:rsid w:val="1784F3FC"/>
    <w:rsid w:val="17897176"/>
    <w:rsid w:val="17C42998"/>
    <w:rsid w:val="17D03F3F"/>
    <w:rsid w:val="17E67368"/>
    <w:rsid w:val="1814AB66"/>
    <w:rsid w:val="181E39F3"/>
    <w:rsid w:val="182018A9"/>
    <w:rsid w:val="184778CF"/>
    <w:rsid w:val="1855D6E5"/>
    <w:rsid w:val="187D4DCF"/>
    <w:rsid w:val="18874C03"/>
    <w:rsid w:val="188778EA"/>
    <w:rsid w:val="18A01C93"/>
    <w:rsid w:val="18AE5026"/>
    <w:rsid w:val="18CAF477"/>
    <w:rsid w:val="18DC5CAE"/>
    <w:rsid w:val="193C70FB"/>
    <w:rsid w:val="197C0B15"/>
    <w:rsid w:val="198CBA07"/>
    <w:rsid w:val="19D0DF69"/>
    <w:rsid w:val="1A4C914E"/>
    <w:rsid w:val="1A889B5B"/>
    <w:rsid w:val="1A9C409B"/>
    <w:rsid w:val="1AC73956"/>
    <w:rsid w:val="1ACFC339"/>
    <w:rsid w:val="1B2713F8"/>
    <w:rsid w:val="1B58DCCB"/>
    <w:rsid w:val="1BB23D1F"/>
    <w:rsid w:val="1BC25DEA"/>
    <w:rsid w:val="1C3ACA4E"/>
    <w:rsid w:val="1C41B418"/>
    <w:rsid w:val="1C5F432C"/>
    <w:rsid w:val="1C7CEE40"/>
    <w:rsid w:val="1C8F0082"/>
    <w:rsid w:val="1CBC9203"/>
    <w:rsid w:val="1CC6174B"/>
    <w:rsid w:val="1D01E31B"/>
    <w:rsid w:val="1D24AEC1"/>
    <w:rsid w:val="1D88378A"/>
    <w:rsid w:val="1D8E80BB"/>
    <w:rsid w:val="1D92A723"/>
    <w:rsid w:val="1DAB3353"/>
    <w:rsid w:val="1DC6CB67"/>
    <w:rsid w:val="1DC75DB1"/>
    <w:rsid w:val="1DE31029"/>
    <w:rsid w:val="1DF28B9E"/>
    <w:rsid w:val="1E1EE0FA"/>
    <w:rsid w:val="1E339013"/>
    <w:rsid w:val="1E453E56"/>
    <w:rsid w:val="1EB407EE"/>
    <w:rsid w:val="1ED51596"/>
    <w:rsid w:val="1F1C394A"/>
    <w:rsid w:val="1F5487D7"/>
    <w:rsid w:val="1F5C2FFE"/>
    <w:rsid w:val="1F76D054"/>
    <w:rsid w:val="1F7C4270"/>
    <w:rsid w:val="1F8C79AD"/>
    <w:rsid w:val="1FA212D3"/>
    <w:rsid w:val="1FA29A87"/>
    <w:rsid w:val="1FA62F62"/>
    <w:rsid w:val="2023F28A"/>
    <w:rsid w:val="203D5B12"/>
    <w:rsid w:val="2054AB75"/>
    <w:rsid w:val="20968CC8"/>
    <w:rsid w:val="20DF4F37"/>
    <w:rsid w:val="20FB9EC2"/>
    <w:rsid w:val="211AF725"/>
    <w:rsid w:val="213A3980"/>
    <w:rsid w:val="218D4418"/>
    <w:rsid w:val="21AE98AB"/>
    <w:rsid w:val="21C4DF60"/>
    <w:rsid w:val="221F5CE0"/>
    <w:rsid w:val="222512CE"/>
    <w:rsid w:val="22325D29"/>
    <w:rsid w:val="22480C31"/>
    <w:rsid w:val="22773A0F"/>
    <w:rsid w:val="22826A13"/>
    <w:rsid w:val="23B29CB5"/>
    <w:rsid w:val="240E6710"/>
    <w:rsid w:val="2465FC40"/>
    <w:rsid w:val="246E990F"/>
    <w:rsid w:val="24778888"/>
    <w:rsid w:val="24CA7F1E"/>
    <w:rsid w:val="251C6A70"/>
    <w:rsid w:val="25373DF2"/>
    <w:rsid w:val="2584EB62"/>
    <w:rsid w:val="25887D1F"/>
    <w:rsid w:val="25A37DC1"/>
    <w:rsid w:val="25B26891"/>
    <w:rsid w:val="25CAEC98"/>
    <w:rsid w:val="25F9A59D"/>
    <w:rsid w:val="263A7A08"/>
    <w:rsid w:val="2649F4D7"/>
    <w:rsid w:val="266CA112"/>
    <w:rsid w:val="269761A3"/>
    <w:rsid w:val="26AFAAF9"/>
    <w:rsid w:val="27274B2F"/>
    <w:rsid w:val="275FA0AA"/>
    <w:rsid w:val="279052A7"/>
    <w:rsid w:val="2792BB1F"/>
    <w:rsid w:val="27AB620B"/>
    <w:rsid w:val="27BDE7A1"/>
    <w:rsid w:val="27BE8256"/>
    <w:rsid w:val="27E825D9"/>
    <w:rsid w:val="286300B2"/>
    <w:rsid w:val="287DB562"/>
    <w:rsid w:val="28A8953E"/>
    <w:rsid w:val="28CA39C2"/>
    <w:rsid w:val="2912FBA6"/>
    <w:rsid w:val="29787EC4"/>
    <w:rsid w:val="2990A606"/>
    <w:rsid w:val="29BE41CE"/>
    <w:rsid w:val="2A00A404"/>
    <w:rsid w:val="2A50AD81"/>
    <w:rsid w:val="2A5E90E9"/>
    <w:rsid w:val="2A80BA07"/>
    <w:rsid w:val="2A8EDDB9"/>
    <w:rsid w:val="2AA44433"/>
    <w:rsid w:val="2AB2567D"/>
    <w:rsid w:val="2ACAE46F"/>
    <w:rsid w:val="2AFDCDAC"/>
    <w:rsid w:val="2B2096DB"/>
    <w:rsid w:val="2B454920"/>
    <w:rsid w:val="2B4B5582"/>
    <w:rsid w:val="2BE32438"/>
    <w:rsid w:val="2BEC6942"/>
    <w:rsid w:val="2BF2C8D7"/>
    <w:rsid w:val="2C0DB51F"/>
    <w:rsid w:val="2C4E5B0E"/>
    <w:rsid w:val="2C9628CF"/>
    <w:rsid w:val="2CBB26A7"/>
    <w:rsid w:val="2D40FCE6"/>
    <w:rsid w:val="2D4E7DFD"/>
    <w:rsid w:val="2D58EB0D"/>
    <w:rsid w:val="2D9223AC"/>
    <w:rsid w:val="2DEB6D2E"/>
    <w:rsid w:val="2E247DEB"/>
    <w:rsid w:val="2E4B5F0D"/>
    <w:rsid w:val="2E5E4AEF"/>
    <w:rsid w:val="2E6669CE"/>
    <w:rsid w:val="2EC79262"/>
    <w:rsid w:val="2ED600DC"/>
    <w:rsid w:val="2EE5F300"/>
    <w:rsid w:val="2F01D88F"/>
    <w:rsid w:val="2F21E837"/>
    <w:rsid w:val="2F3FE089"/>
    <w:rsid w:val="2F89C750"/>
    <w:rsid w:val="2F97CE1F"/>
    <w:rsid w:val="2FA0E272"/>
    <w:rsid w:val="2FD90668"/>
    <w:rsid w:val="3022F585"/>
    <w:rsid w:val="30313B04"/>
    <w:rsid w:val="30416B93"/>
    <w:rsid w:val="3089F6B2"/>
    <w:rsid w:val="309F3366"/>
    <w:rsid w:val="30A6DD43"/>
    <w:rsid w:val="30BB2188"/>
    <w:rsid w:val="31099FF3"/>
    <w:rsid w:val="3121CC31"/>
    <w:rsid w:val="314E6825"/>
    <w:rsid w:val="320B6F4B"/>
    <w:rsid w:val="3264C217"/>
    <w:rsid w:val="326B2CC6"/>
    <w:rsid w:val="329F570B"/>
    <w:rsid w:val="32A2F90A"/>
    <w:rsid w:val="32E3142D"/>
    <w:rsid w:val="331FED17"/>
    <w:rsid w:val="3343CE0C"/>
    <w:rsid w:val="33446247"/>
    <w:rsid w:val="337291F6"/>
    <w:rsid w:val="33F7C2DA"/>
    <w:rsid w:val="3432FB36"/>
    <w:rsid w:val="34573AA0"/>
    <w:rsid w:val="35871221"/>
    <w:rsid w:val="359B8828"/>
    <w:rsid w:val="35FAB102"/>
    <w:rsid w:val="35FD5EF2"/>
    <w:rsid w:val="362F0E82"/>
    <w:rsid w:val="366147A0"/>
    <w:rsid w:val="366A66C8"/>
    <w:rsid w:val="36AD647E"/>
    <w:rsid w:val="374D12E5"/>
    <w:rsid w:val="37708A51"/>
    <w:rsid w:val="37DBF8F1"/>
    <w:rsid w:val="37F1FC62"/>
    <w:rsid w:val="3810C2BE"/>
    <w:rsid w:val="384D55EA"/>
    <w:rsid w:val="38547927"/>
    <w:rsid w:val="38AB8210"/>
    <w:rsid w:val="38BE1427"/>
    <w:rsid w:val="38CF9107"/>
    <w:rsid w:val="38F97CD2"/>
    <w:rsid w:val="3948EEAB"/>
    <w:rsid w:val="3963E91D"/>
    <w:rsid w:val="39BC9446"/>
    <w:rsid w:val="39D84E16"/>
    <w:rsid w:val="3A1B83DF"/>
    <w:rsid w:val="3A20E2D0"/>
    <w:rsid w:val="3A47EAA7"/>
    <w:rsid w:val="3A5210FE"/>
    <w:rsid w:val="3A57C0BD"/>
    <w:rsid w:val="3A815CE5"/>
    <w:rsid w:val="3AA65FAD"/>
    <w:rsid w:val="3AAD53C7"/>
    <w:rsid w:val="3AB552BC"/>
    <w:rsid w:val="3AEA8E41"/>
    <w:rsid w:val="3AFFB97E"/>
    <w:rsid w:val="3B0BE252"/>
    <w:rsid w:val="3B0E920A"/>
    <w:rsid w:val="3B567122"/>
    <w:rsid w:val="3B5F3571"/>
    <w:rsid w:val="3BAB6869"/>
    <w:rsid w:val="3BB71040"/>
    <w:rsid w:val="3BEB04C5"/>
    <w:rsid w:val="3C2D9484"/>
    <w:rsid w:val="3C9B89DF"/>
    <w:rsid w:val="3CB852BE"/>
    <w:rsid w:val="3D09D592"/>
    <w:rsid w:val="3D15E52A"/>
    <w:rsid w:val="3D3036EF"/>
    <w:rsid w:val="3DCE56EF"/>
    <w:rsid w:val="3E102B8C"/>
    <w:rsid w:val="3E256BBE"/>
    <w:rsid w:val="3E2DE675"/>
    <w:rsid w:val="3E65CE30"/>
    <w:rsid w:val="3E9CD3A0"/>
    <w:rsid w:val="3EB7B85F"/>
    <w:rsid w:val="3EE3A51C"/>
    <w:rsid w:val="3EE6D5A6"/>
    <w:rsid w:val="3F15C539"/>
    <w:rsid w:val="3F2B31E0"/>
    <w:rsid w:val="3F578E88"/>
    <w:rsid w:val="3F5C4DFC"/>
    <w:rsid w:val="3F62E1B1"/>
    <w:rsid w:val="3FA31006"/>
    <w:rsid w:val="3FB10135"/>
    <w:rsid w:val="402AD2D5"/>
    <w:rsid w:val="404EFE43"/>
    <w:rsid w:val="40797F11"/>
    <w:rsid w:val="407CE14E"/>
    <w:rsid w:val="4081DB04"/>
    <w:rsid w:val="41025A07"/>
    <w:rsid w:val="417ABBDB"/>
    <w:rsid w:val="419D6EF2"/>
    <w:rsid w:val="41A40A06"/>
    <w:rsid w:val="41BFBFA4"/>
    <w:rsid w:val="4261741E"/>
    <w:rsid w:val="42A9C78C"/>
    <w:rsid w:val="42B4E1DA"/>
    <w:rsid w:val="42FA4776"/>
    <w:rsid w:val="432159DD"/>
    <w:rsid w:val="437E5AB7"/>
    <w:rsid w:val="439D51F1"/>
    <w:rsid w:val="43C3BF43"/>
    <w:rsid w:val="43D50CEB"/>
    <w:rsid w:val="43EE9002"/>
    <w:rsid w:val="43F8613E"/>
    <w:rsid w:val="4403622F"/>
    <w:rsid w:val="441225D2"/>
    <w:rsid w:val="4421770F"/>
    <w:rsid w:val="4465A3F4"/>
    <w:rsid w:val="448F848A"/>
    <w:rsid w:val="44B46C3B"/>
    <w:rsid w:val="44C7C7A6"/>
    <w:rsid w:val="44D2B511"/>
    <w:rsid w:val="450EF109"/>
    <w:rsid w:val="451ABEE3"/>
    <w:rsid w:val="4520F70F"/>
    <w:rsid w:val="45270D7B"/>
    <w:rsid w:val="452CE6AD"/>
    <w:rsid w:val="4590F584"/>
    <w:rsid w:val="459FC8F5"/>
    <w:rsid w:val="45A13BDF"/>
    <w:rsid w:val="45D22335"/>
    <w:rsid w:val="460D06D5"/>
    <w:rsid w:val="4613F2F6"/>
    <w:rsid w:val="46201964"/>
    <w:rsid w:val="4639080C"/>
    <w:rsid w:val="46681301"/>
    <w:rsid w:val="46985145"/>
    <w:rsid w:val="472ACC5B"/>
    <w:rsid w:val="477A0BC4"/>
    <w:rsid w:val="477FD07D"/>
    <w:rsid w:val="47E12C96"/>
    <w:rsid w:val="4804911A"/>
    <w:rsid w:val="4818FDB7"/>
    <w:rsid w:val="481F7EE4"/>
    <w:rsid w:val="48CDBC3D"/>
    <w:rsid w:val="48D3DA8E"/>
    <w:rsid w:val="48F9B182"/>
    <w:rsid w:val="49133A93"/>
    <w:rsid w:val="49248A83"/>
    <w:rsid w:val="497B5120"/>
    <w:rsid w:val="498764AB"/>
    <w:rsid w:val="4998CD04"/>
    <w:rsid w:val="49A8BDB1"/>
    <w:rsid w:val="49B9C3F6"/>
    <w:rsid w:val="4A018F5E"/>
    <w:rsid w:val="4A2B536C"/>
    <w:rsid w:val="4A9A5AFD"/>
    <w:rsid w:val="4A9C43CA"/>
    <w:rsid w:val="4AA5A6C9"/>
    <w:rsid w:val="4AD72224"/>
    <w:rsid w:val="4AE6E265"/>
    <w:rsid w:val="4B16A73B"/>
    <w:rsid w:val="4B8C1788"/>
    <w:rsid w:val="4BDBF0A0"/>
    <w:rsid w:val="4BE53EA6"/>
    <w:rsid w:val="4C04BBF2"/>
    <w:rsid w:val="4C270B2A"/>
    <w:rsid w:val="4C4CBD77"/>
    <w:rsid w:val="4C5807F8"/>
    <w:rsid w:val="4C929F63"/>
    <w:rsid w:val="4CA5DD10"/>
    <w:rsid w:val="4CD146E4"/>
    <w:rsid w:val="4D24F240"/>
    <w:rsid w:val="4D67084A"/>
    <w:rsid w:val="4D857A98"/>
    <w:rsid w:val="4D892F48"/>
    <w:rsid w:val="4DA32AA6"/>
    <w:rsid w:val="4DCFFC8B"/>
    <w:rsid w:val="4DF41656"/>
    <w:rsid w:val="4E1EA890"/>
    <w:rsid w:val="4E28B7CE"/>
    <w:rsid w:val="4E684EAB"/>
    <w:rsid w:val="4E955072"/>
    <w:rsid w:val="4EA0E14A"/>
    <w:rsid w:val="4EAE4F8E"/>
    <w:rsid w:val="4EB83457"/>
    <w:rsid w:val="4EC8A5E0"/>
    <w:rsid w:val="4ECED983"/>
    <w:rsid w:val="4F344174"/>
    <w:rsid w:val="4F580799"/>
    <w:rsid w:val="4F90C958"/>
    <w:rsid w:val="4FD94AF0"/>
    <w:rsid w:val="4FDF4D6F"/>
    <w:rsid w:val="4FE7D2BE"/>
    <w:rsid w:val="5035202F"/>
    <w:rsid w:val="5035E82E"/>
    <w:rsid w:val="5050A6CE"/>
    <w:rsid w:val="50D011D5"/>
    <w:rsid w:val="50DAAFDA"/>
    <w:rsid w:val="51CD8467"/>
    <w:rsid w:val="521911B3"/>
    <w:rsid w:val="521EBD69"/>
    <w:rsid w:val="5224D63E"/>
    <w:rsid w:val="5274237F"/>
    <w:rsid w:val="5286A8AB"/>
    <w:rsid w:val="528A0761"/>
    <w:rsid w:val="52A0F47C"/>
    <w:rsid w:val="52C9A661"/>
    <w:rsid w:val="52DA71F9"/>
    <w:rsid w:val="52F833AD"/>
    <w:rsid w:val="532A5DEA"/>
    <w:rsid w:val="534A0648"/>
    <w:rsid w:val="5382F9BC"/>
    <w:rsid w:val="53A64477"/>
    <w:rsid w:val="53B8BDE3"/>
    <w:rsid w:val="53BC4006"/>
    <w:rsid w:val="53EBF2F2"/>
    <w:rsid w:val="53F524F2"/>
    <w:rsid w:val="542209E4"/>
    <w:rsid w:val="54955703"/>
    <w:rsid w:val="54C8E03D"/>
    <w:rsid w:val="54EBB54E"/>
    <w:rsid w:val="54EF6163"/>
    <w:rsid w:val="54F09390"/>
    <w:rsid w:val="55C46F90"/>
    <w:rsid w:val="562AFBC0"/>
    <w:rsid w:val="56E85265"/>
    <w:rsid w:val="56F8BC6C"/>
    <w:rsid w:val="57AB9424"/>
    <w:rsid w:val="57AC274C"/>
    <w:rsid w:val="5806B8EF"/>
    <w:rsid w:val="5835B083"/>
    <w:rsid w:val="58B028F7"/>
    <w:rsid w:val="58B54621"/>
    <w:rsid w:val="58E8061A"/>
    <w:rsid w:val="58FA60EB"/>
    <w:rsid w:val="5907D66A"/>
    <w:rsid w:val="59095081"/>
    <w:rsid w:val="59397F5D"/>
    <w:rsid w:val="59B57216"/>
    <w:rsid w:val="59C5FCF1"/>
    <w:rsid w:val="59CE57A2"/>
    <w:rsid w:val="5A0E3882"/>
    <w:rsid w:val="5A147049"/>
    <w:rsid w:val="5A199BC4"/>
    <w:rsid w:val="5A28DA60"/>
    <w:rsid w:val="5A2AA4C5"/>
    <w:rsid w:val="5A5B07D4"/>
    <w:rsid w:val="5A83D67B"/>
    <w:rsid w:val="5AAAC6F5"/>
    <w:rsid w:val="5B00145C"/>
    <w:rsid w:val="5B2DA956"/>
    <w:rsid w:val="5B3D24DA"/>
    <w:rsid w:val="5B56F2EA"/>
    <w:rsid w:val="5B62618D"/>
    <w:rsid w:val="5B844EEE"/>
    <w:rsid w:val="5BB14082"/>
    <w:rsid w:val="5BBB9343"/>
    <w:rsid w:val="5BBE001C"/>
    <w:rsid w:val="5C20C024"/>
    <w:rsid w:val="5C37D93F"/>
    <w:rsid w:val="5C4AEF0F"/>
    <w:rsid w:val="5C7C89F5"/>
    <w:rsid w:val="5D05D99B"/>
    <w:rsid w:val="5D45A424"/>
    <w:rsid w:val="5D661202"/>
    <w:rsid w:val="5DAE2CE2"/>
    <w:rsid w:val="5DD1D3A6"/>
    <w:rsid w:val="5DDD3FE3"/>
    <w:rsid w:val="5E0A2024"/>
    <w:rsid w:val="5EB44CFC"/>
    <w:rsid w:val="5ECDF6E6"/>
    <w:rsid w:val="5F0A01BF"/>
    <w:rsid w:val="5F264E0D"/>
    <w:rsid w:val="5F5D6A4D"/>
    <w:rsid w:val="5FA42750"/>
    <w:rsid w:val="600A041E"/>
    <w:rsid w:val="602069F4"/>
    <w:rsid w:val="60318235"/>
    <w:rsid w:val="60535653"/>
    <w:rsid w:val="605B484E"/>
    <w:rsid w:val="60BF5BE7"/>
    <w:rsid w:val="61144901"/>
    <w:rsid w:val="6144C413"/>
    <w:rsid w:val="618E9F98"/>
    <w:rsid w:val="618FD68D"/>
    <w:rsid w:val="61BC3A55"/>
    <w:rsid w:val="61D21756"/>
    <w:rsid w:val="6230FBE5"/>
    <w:rsid w:val="62427667"/>
    <w:rsid w:val="6275C003"/>
    <w:rsid w:val="62B1B599"/>
    <w:rsid w:val="62B43C1A"/>
    <w:rsid w:val="62C6FCEF"/>
    <w:rsid w:val="62C86836"/>
    <w:rsid w:val="62D2B05F"/>
    <w:rsid w:val="62EF0CA2"/>
    <w:rsid w:val="63004559"/>
    <w:rsid w:val="63055D25"/>
    <w:rsid w:val="632133F9"/>
    <w:rsid w:val="633062C5"/>
    <w:rsid w:val="636198AD"/>
    <w:rsid w:val="63753164"/>
    <w:rsid w:val="63A29E6B"/>
    <w:rsid w:val="63B366FE"/>
    <w:rsid w:val="63CF3CEE"/>
    <w:rsid w:val="63F1DF7F"/>
    <w:rsid w:val="643A07D3"/>
    <w:rsid w:val="64625D75"/>
    <w:rsid w:val="6484FF47"/>
    <w:rsid w:val="648F9301"/>
    <w:rsid w:val="64924C02"/>
    <w:rsid w:val="6497165D"/>
    <w:rsid w:val="64A95F1A"/>
    <w:rsid w:val="64D3BA6C"/>
    <w:rsid w:val="64DCFEE5"/>
    <w:rsid w:val="64EB0973"/>
    <w:rsid w:val="6502FD70"/>
    <w:rsid w:val="652A4E96"/>
    <w:rsid w:val="65B1CB1E"/>
    <w:rsid w:val="66036E05"/>
    <w:rsid w:val="666104AF"/>
    <w:rsid w:val="6676D5EB"/>
    <w:rsid w:val="66FC4F7A"/>
    <w:rsid w:val="67866603"/>
    <w:rsid w:val="678EF8C8"/>
    <w:rsid w:val="67A12CA8"/>
    <w:rsid w:val="67B0064B"/>
    <w:rsid w:val="67EAAB8B"/>
    <w:rsid w:val="6840832B"/>
    <w:rsid w:val="68764B52"/>
    <w:rsid w:val="68CA9646"/>
    <w:rsid w:val="6919E450"/>
    <w:rsid w:val="693BCAC5"/>
    <w:rsid w:val="69734583"/>
    <w:rsid w:val="69820EE8"/>
    <w:rsid w:val="69B2C2D6"/>
    <w:rsid w:val="69C0983C"/>
    <w:rsid w:val="69C65CF5"/>
    <w:rsid w:val="69CB2940"/>
    <w:rsid w:val="69FF3377"/>
    <w:rsid w:val="6A27ADA6"/>
    <w:rsid w:val="6A3C75AE"/>
    <w:rsid w:val="6A72FDEA"/>
    <w:rsid w:val="6A797A9F"/>
    <w:rsid w:val="6A84908E"/>
    <w:rsid w:val="6AA64786"/>
    <w:rsid w:val="6AA89EEA"/>
    <w:rsid w:val="6AA91BA3"/>
    <w:rsid w:val="6AD20ED4"/>
    <w:rsid w:val="6AF1D367"/>
    <w:rsid w:val="6B0AE9D7"/>
    <w:rsid w:val="6B2772E3"/>
    <w:rsid w:val="6BAE07D7"/>
    <w:rsid w:val="6BD47994"/>
    <w:rsid w:val="6C06BB6F"/>
    <w:rsid w:val="6C154A2E"/>
    <w:rsid w:val="6C1A47A6"/>
    <w:rsid w:val="6C5409A4"/>
    <w:rsid w:val="6C662F01"/>
    <w:rsid w:val="6CAD4DC2"/>
    <w:rsid w:val="6CD068BD"/>
    <w:rsid w:val="6D31ABFA"/>
    <w:rsid w:val="6D6E562E"/>
    <w:rsid w:val="6D72E780"/>
    <w:rsid w:val="6DAEF4CA"/>
    <w:rsid w:val="6DE0BC65"/>
    <w:rsid w:val="6E52C781"/>
    <w:rsid w:val="6E6D5E88"/>
    <w:rsid w:val="6EBC1B3C"/>
    <w:rsid w:val="6EFA4A49"/>
    <w:rsid w:val="6F2E4828"/>
    <w:rsid w:val="6F4FE255"/>
    <w:rsid w:val="6F5B9C0C"/>
    <w:rsid w:val="6F6C6E4E"/>
    <w:rsid w:val="6F7C8CC6"/>
    <w:rsid w:val="6F800330"/>
    <w:rsid w:val="70B9CADB"/>
    <w:rsid w:val="70C1EA7D"/>
    <w:rsid w:val="71016B6C"/>
    <w:rsid w:val="71083EAF"/>
    <w:rsid w:val="71B5692B"/>
    <w:rsid w:val="71B73D84"/>
    <w:rsid w:val="71C942A4"/>
    <w:rsid w:val="72100CD5"/>
    <w:rsid w:val="721A1AE9"/>
    <w:rsid w:val="721BD29B"/>
    <w:rsid w:val="723B9BBC"/>
    <w:rsid w:val="729599FD"/>
    <w:rsid w:val="72E08E85"/>
    <w:rsid w:val="72FBE242"/>
    <w:rsid w:val="730C8C6A"/>
    <w:rsid w:val="7318E2EF"/>
    <w:rsid w:val="7322D523"/>
    <w:rsid w:val="7333BF65"/>
    <w:rsid w:val="733415EF"/>
    <w:rsid w:val="734D7CEE"/>
    <w:rsid w:val="736D4749"/>
    <w:rsid w:val="73A2B3E6"/>
    <w:rsid w:val="73C05AC2"/>
    <w:rsid w:val="73EBD8BA"/>
    <w:rsid w:val="73F98B3F"/>
    <w:rsid w:val="740E8C24"/>
    <w:rsid w:val="745FC2E7"/>
    <w:rsid w:val="7483A86B"/>
    <w:rsid w:val="7491B487"/>
    <w:rsid w:val="74B96759"/>
    <w:rsid w:val="74BD82BD"/>
    <w:rsid w:val="74BDE636"/>
    <w:rsid w:val="74C611E6"/>
    <w:rsid w:val="74E9CCE8"/>
    <w:rsid w:val="7544DC28"/>
    <w:rsid w:val="756D3DCA"/>
    <w:rsid w:val="75AD869D"/>
    <w:rsid w:val="75DD32BF"/>
    <w:rsid w:val="75EED977"/>
    <w:rsid w:val="763B0443"/>
    <w:rsid w:val="76450E62"/>
    <w:rsid w:val="766B1E7B"/>
    <w:rsid w:val="767124E0"/>
    <w:rsid w:val="76779D2B"/>
    <w:rsid w:val="767F2AB4"/>
    <w:rsid w:val="76D274F7"/>
    <w:rsid w:val="76F5E482"/>
    <w:rsid w:val="76F8507D"/>
    <w:rsid w:val="771357ED"/>
    <w:rsid w:val="7758C1E7"/>
    <w:rsid w:val="775BD9A5"/>
    <w:rsid w:val="775CB783"/>
    <w:rsid w:val="778EDDEE"/>
    <w:rsid w:val="77CE5746"/>
    <w:rsid w:val="77F57FE6"/>
    <w:rsid w:val="77F83150"/>
    <w:rsid w:val="78674B66"/>
    <w:rsid w:val="78BF49DD"/>
    <w:rsid w:val="790B3138"/>
    <w:rsid w:val="799DA319"/>
    <w:rsid w:val="79A48D3C"/>
    <w:rsid w:val="79B20E76"/>
    <w:rsid w:val="79C64322"/>
    <w:rsid w:val="79D5BFE7"/>
    <w:rsid w:val="7A16B2A9"/>
    <w:rsid w:val="7AAE5DE5"/>
    <w:rsid w:val="7B2B048E"/>
    <w:rsid w:val="7B85C3CB"/>
    <w:rsid w:val="7BD2E15A"/>
    <w:rsid w:val="7BD77131"/>
    <w:rsid w:val="7C02D676"/>
    <w:rsid w:val="7C21D2F9"/>
    <w:rsid w:val="7C55E10E"/>
    <w:rsid w:val="7C6523A7"/>
    <w:rsid w:val="7CB26F9E"/>
    <w:rsid w:val="7CCE244E"/>
    <w:rsid w:val="7CDF093D"/>
    <w:rsid w:val="7D0C0225"/>
    <w:rsid w:val="7D1FF861"/>
    <w:rsid w:val="7D4D62A7"/>
    <w:rsid w:val="7D4DE6BD"/>
    <w:rsid w:val="7D7B0AD3"/>
    <w:rsid w:val="7D7D5244"/>
    <w:rsid w:val="7DA5D51F"/>
    <w:rsid w:val="7DC6DF93"/>
    <w:rsid w:val="7E06B584"/>
    <w:rsid w:val="7E3A3F11"/>
    <w:rsid w:val="7E50821F"/>
    <w:rsid w:val="7EFA74E6"/>
    <w:rsid w:val="7F7EBA9D"/>
    <w:rsid w:val="7F7F9DBB"/>
    <w:rsid w:val="7FC0785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E22"/>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nhideWhenUsed/>
    <w:rsid w:val="00BB432F"/>
    <w:pPr>
      <w:spacing w:after="0" w:line="240" w:lineRule="auto"/>
    </w:pPr>
    <w:rPr>
      <w:rFonts w:ascii="Calibri" w:hAnsi="Calibri" w:eastAsiaTheme="minorHAnsi" w:cs="Calibri"/>
    </w:rPr>
  </w:style>
  <w:style w:type="paragraph" w:customStyle="1" w:styleId="Level1">
    <w:name w:val="Level 1"/>
    <w:rsid w:val="00B2663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scxw113927495">
    <w:name w:val="scxw113927495"/>
    <w:basedOn w:val="DefaultParagraphFont"/>
    <w:rsid w:val="0017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F261F9C2EFB24ABA35C5C2B7BA91EB" ma:contentTypeVersion="23" ma:contentTypeDescription="Create a new document." ma:contentTypeScope="" ma:versionID="b61a4e8bf7c903e47f7678968a83b44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05a4662-6dfc-440e-98fd-642ec5771328" xmlns:ns6="7d8dd676-26ca-4e08-b90f-b4e0026a58ac" targetNamespace="http://schemas.microsoft.com/office/2006/metadata/properties" ma:root="true" ma:fieldsID="5f327b99cabe448bbdc3801b736f97f1" ns1:_="" ns2:_="" ns3:_="" ns4:_="" ns5:_="" ns6:_="">
    <xsd:import namespace="http://schemas.microsoft.com/sharepoint/v3"/>
    <xsd:import namespace="4ffa91fb-a0ff-4ac5-b2db-65c790d184a4"/>
    <xsd:import namespace="http://schemas.microsoft.com/sharepoint.v3"/>
    <xsd:import namespace="http://schemas.microsoft.com/sharepoint/v3/fields"/>
    <xsd:import namespace="905a4662-6dfc-440e-98fd-642ec5771328"/>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1:_ip_UnifiedCompliancePolicyProperties" minOccurs="0"/>
                <xsd:element ref="ns1:_ip_UnifiedCompliancePolicyUIAction" minOccurs="0"/>
                <xsd:element ref="ns5:MediaServiceLocation"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a4662-6dfc-440e-98fd-642ec577132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7d8dd676-26ca-4e08-b90f-b4e0026a58ac">
      <UserInfo>
        <DisplayName>Trombley, Michael</DisplayName>
        <AccountId>470</AccountId>
        <AccountType/>
      </UserInfo>
      <UserInfo>
        <DisplayName>McLaughlin, Julie</DisplayName>
        <AccountId>471</AccountId>
        <AccountType/>
      </UserInfo>
      <UserInfo>
        <DisplayName>Hawley, Alison (she/her/hers)</DisplayName>
        <AccountId>456</AccountId>
        <AccountType/>
      </UserInfo>
    </SharedWithUsers>
    <lcf76f155ced4ddcb4097134ff3c332f xmlns="905a4662-6dfc-440e-98fd-642ec5771328">
      <Terms xmlns="http://schemas.microsoft.com/office/infopath/2007/PartnerControls"/>
    </lcf76f155ced4ddcb4097134ff3c332f>
    <e3f09c3df709400db2417a7161762d62 xmlns="4ffa91fb-a0ff-4ac5-b2db-65c790d184a4">
      <Terms xmlns="http://schemas.microsoft.com/office/infopath/2007/PartnerControls"/>
    </e3f09c3df709400db2417a7161762d62>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61D883BF-64DE-44F9-83BE-E3C9BB835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05a4662-6dfc-440e-98fd-642ec5771328"/>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7d8dd676-26ca-4e08-b90f-b4e0026a58ac"/>
    <ds:schemaRef ds:uri="905a4662-6dfc-440e-98fd-642ec577132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5851</Words>
  <Characters>33352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2</cp:revision>
  <dcterms:created xsi:type="dcterms:W3CDTF">2025-05-28T15:31:00Z</dcterms:created>
  <dcterms:modified xsi:type="dcterms:W3CDTF">2025-05-28T15:31:00Z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0x01010013F261F9C2EFB24ABA35C5C2B7BA91EB</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