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noProof/>
        </w:rPr>
        <w:id w:val="37707067"/>
        <w:docPartObj>
          <w:docPartGallery w:val="Cover Pages"/>
        </w:docPartObj>
      </w:sdtPr>
      <w:sdtEndPr>
        <w:rPr>
          <w:noProof w:val="0"/>
        </w:rPr>
      </w:sdtEndPr>
      <w:sdtContent>
        <w:p w:rsidR="004C3D18" w:rsidP="004C3D18" w14:paraId="04724BB6" w14:textId="77777777">
          <w:pPr>
            <w:rPr>
              <w:noProof/>
            </w:rPr>
          </w:pPr>
        </w:p>
        <w:p w:rsidR="004C3D18" w:rsidP="004C3D18" w14:paraId="2FCF428F"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Pr>
              <w:noProof/>
            </w:rPr>
            <w:softHyphen/>
          </w:r>
          <w:r>
            <w:rPr>
              <w:noProof/>
            </w:rPr>
            <w:softHyphen/>
          </w:r>
          <w:r>
            <w:rPr>
              <w:noProof/>
            </w:rPr>
            <w:softHyphen/>
          </w:r>
        </w:p>
      </w:sdtContent>
    </w:sdt>
    <w:p w:rsidR="004C3D18" w:rsidP="004C3D18" w14:paraId="3D393FB1" w14:textId="77777777"/>
    <w:p w:rsidR="004C3D18" w:rsidP="004C3D18" w14:paraId="584D37AD" w14:textId="77777777">
      <w:r>
        <w:tab/>
      </w:r>
    </w:p>
    <w:p w:rsidR="004C3D18" w:rsidP="004C3D18" w14:paraId="255DC18A" w14:textId="77777777"/>
    <w:p w:rsidR="004C3D18" w:rsidP="004C3D18" w14:paraId="18D68EDF" w14:textId="77777777"/>
    <w:p w:rsidR="004C3D18" w:rsidP="004C3D18" w14:paraId="7A33BC47" w14:textId="77777777"/>
    <w:p w:rsidR="004C3D18" w:rsidP="004C3D18" w14:paraId="2DCAE3A2" w14:textId="77777777">
      <w:r>
        <w:rPr>
          <w:noProof/>
        </w:rPr>
        <mc:AlternateContent>
          <mc:Choice Requires="wps">
            <w:drawing>
              <wp:anchor distT="0" distB="0" distL="114300" distR="114300" simplePos="0" relativeHeight="251660288" behindDoc="0" locked="0" layoutInCell="1" allowOverlap="1">
                <wp:simplePos x="0" y="0"/>
                <wp:positionH relativeFrom="margin">
                  <wp:posOffset>393700</wp:posOffset>
                </wp:positionH>
                <wp:positionV relativeFrom="margin">
                  <wp:posOffset>5289550</wp:posOffset>
                </wp:positionV>
                <wp:extent cx="515620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620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D18" w:rsidP="004C3D18" w14:textId="6EE73805">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April</w:t>
                            </w:r>
                            <w:r>
                              <w:rPr>
                                <w:rFonts w:ascii="Franklin Gothic Medium" w:hAnsi="Franklin Gothic Medium"/>
                                <w:color w:val="7F7F7F" w:themeColor="text1" w:themeTint="80"/>
                                <w:sz w:val="36"/>
                              </w:rPr>
                              <w:t xml:space="preserve">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06pt;height:39.15pt;margin-top:416.5pt;margin-left:31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4C3D18" w:rsidP="004C3D18" w14:paraId="21711329" w14:textId="6EE73805">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April</w:t>
                      </w:r>
                      <w:r>
                        <w:rPr>
                          <w:rFonts w:ascii="Franklin Gothic Medium" w:hAnsi="Franklin Gothic Medium"/>
                          <w:color w:val="7F7F7F" w:themeColor="text1" w:themeTint="80"/>
                          <w:sz w:val="36"/>
                        </w:rPr>
                        <w:t xml:space="preserve"> 2025</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364067</wp:posOffset>
                </wp:positionH>
                <wp:positionV relativeFrom="paragraph">
                  <wp:posOffset>960967</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D18" w:rsidRPr="009F61F7" w:rsidP="004C3D18" w14:textId="6978CBCE">
                            <w:pPr>
                              <w:spacing w:line="276" w:lineRule="auto"/>
                              <w:rPr>
                                <w:b/>
                                <w:sz w:val="60"/>
                                <w:szCs w:val="60"/>
                              </w:rPr>
                            </w:pPr>
                            <w:r w:rsidRPr="004C3D18">
                              <w:rPr>
                                <w:rFonts w:ascii="Times New Roman" w:hAnsi="Times New Roman" w:cs="Times New Roman"/>
                                <w:b/>
                                <w:color w:val="139CD8"/>
                                <w:sz w:val="60"/>
                                <w:szCs w:val="60"/>
                              </w:rPr>
                              <w:t>Disclosure Analysis Review Report: Changes to the display of U3O8 data</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4C3D18" w:rsidRPr="009F61F7" w:rsidP="004C3D18" w14:paraId="31597F6F" w14:textId="6978CBCE">
                      <w:pPr>
                        <w:spacing w:line="276" w:lineRule="auto"/>
                        <w:rPr>
                          <w:b/>
                          <w:sz w:val="60"/>
                          <w:szCs w:val="60"/>
                        </w:rPr>
                      </w:pPr>
                      <w:r w:rsidRPr="004C3D18">
                        <w:rPr>
                          <w:rFonts w:ascii="Times New Roman" w:hAnsi="Times New Roman" w:cs="Times New Roman"/>
                          <w:b/>
                          <w:color w:val="139CD8"/>
                          <w:sz w:val="60"/>
                          <w:szCs w:val="60"/>
                        </w:rPr>
                        <w:t>Disclosure Analysis Review Report: Changes to the display of U3O8 data</w:t>
                      </w: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4C3D18" w:rsidRPr="00B41D7A" w:rsidP="004C3D18"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4C3D18" w:rsidRPr="00B41D7A" w:rsidP="004C3D18"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4C3D18" w:rsidRPr="00B41D7A" w:rsidP="004C3D18"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4C3D18" w:rsidRPr="00B41D7A" w:rsidP="004C3D18" w14:paraId="65789F9D"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4C3D18" w:rsidRPr="00B41D7A" w:rsidP="004C3D18" w14:paraId="5F902FA3"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4C3D18" w:rsidRPr="00B41D7A" w:rsidP="004C3D18" w14:paraId="398065BE"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4C3D18" w:rsidP="004C3D18" w14:textId="77777777">
                            <w:r>
                              <w:rPr>
                                <w:noProof/>
                              </w:rPr>
                              <w:drawing>
                                <wp:inline distT="0" distB="0" distL="0" distR="0">
                                  <wp:extent cx="2162810" cy="478120"/>
                                  <wp:effectExtent l="0" t="0" r="0" b="0"/>
                                  <wp:docPr id="913232715" name="Picture 1962206848"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32715" name="Picture 19" descr="C:\Users\ace\AppData\Local\Microsoft\Windows\INetCache\Content.Word\eialogo_fullcolor.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4C3D18" w:rsidP="004C3D18" w14:paraId="67721ECF" w14:textId="77777777">
                      <w:drawing>
                        <wp:inline distT="0" distB="0" distL="0" distR="0">
                          <wp:extent cx="2162810" cy="478120"/>
                          <wp:effectExtent l="0" t="0" r="0" b="0"/>
                          <wp:docPr id="1962206848" name="Picture 1962206848"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06848" name="Picture 19" descr="C:\Users\ace\AppData\Local\Microsoft\Windows\INetCache\Content.Word\eialogo_fullcolor.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br w:type="page"/>
      </w:r>
    </w:p>
    <w:p w:rsidR="004C3D18" w:rsidP="004C3D18" w14:paraId="5B8B90CC" w14:textId="77777777">
      <w:pPr>
        <w:sectPr w:rsidSect="004C3D18">
          <w:footerReference w:type="default" r:id="rId7"/>
          <w:footnotePr>
            <w:pos w:val="beneathText"/>
          </w:footnotePr>
          <w:pgSz w:w="12240" w:h="15840"/>
          <w:pgMar w:top="720" w:right="1440" w:bottom="720" w:left="1440" w:header="720" w:footer="720" w:gutter="0"/>
          <w:pgNumType w:fmt="lowerRoman" w:start="0"/>
          <w:cols w:space="720"/>
          <w:titlePg/>
          <w:docGrid w:linePitch="360"/>
        </w:sectPr>
      </w:pPr>
    </w:p>
    <w:p w:rsidR="009F1B66" w:rsidRPr="00DD6055" w:rsidP="009F1B66" w14:paraId="518EF648" w14:textId="3A7A487C">
      <w:pPr>
        <w:rPr>
          <w:b/>
          <w:bCs/>
        </w:rPr>
      </w:pPr>
      <w:r w:rsidRPr="00DD6055">
        <w:rPr>
          <w:b/>
          <w:bCs/>
        </w:rPr>
        <w:t>Background</w:t>
      </w:r>
    </w:p>
    <w:p w:rsidR="004806A8" w:rsidP="009F1B66" w14:paraId="053A91AB" w14:textId="66EED5EE">
      <w:r>
        <w:t>The U.S. Energy Information Administration ensures that data publications are consistent with disclosure</w:t>
      </w:r>
      <w:r w:rsidR="00894111">
        <w:t xml:space="preserve"> avoidance techniques when a commitment has been made to protect the confidentiality of sensitive data collected and published in our statistical products.  Specific to the Uranium Data Program</w:t>
      </w:r>
      <w:r w:rsidR="00E02613">
        <w:t xml:space="preserve"> (UDP)</w:t>
      </w:r>
      <w:r w:rsidR="00894111">
        <w:t>, all information collected on the Form EIA-8</w:t>
      </w:r>
      <w:r w:rsidR="00176F8B">
        <w:t>58 Uranium Marketing Annual</w:t>
      </w:r>
      <w:r w:rsidR="00894111">
        <w:t xml:space="preserve"> other than production volumes have data protections applied to them prior to publication. This includes inventories of U</w:t>
      </w:r>
      <w:r w:rsidR="00894111">
        <w:rPr>
          <w:vertAlign w:val="subscript"/>
        </w:rPr>
        <w:t>3</w:t>
      </w:r>
      <w:r w:rsidR="00894111">
        <w:t>O</w:t>
      </w:r>
      <w:r w:rsidR="00894111">
        <w:rPr>
          <w:vertAlign w:val="subscript"/>
        </w:rPr>
        <w:t>8</w:t>
      </w:r>
      <w:r w:rsidR="00894111">
        <w:t xml:space="preserve"> equivalent.</w:t>
      </w:r>
      <w:r>
        <w:t xml:space="preserve">  </w:t>
      </w:r>
    </w:p>
    <w:p w:rsidR="009F1B66" w:rsidP="009F1B66" w14:paraId="07B3E42D" w14:textId="155D9D65">
      <w:r>
        <w:t xml:space="preserve">The current protections employ the </w:t>
      </w:r>
      <w:r>
        <w:rPr>
          <w:i/>
          <w:iCs/>
        </w:rPr>
        <w:t>p</w:t>
      </w:r>
      <w:r>
        <w:t xml:space="preserve"> percent rule that applies disclosure protection to sensitive cells that have concentration </w:t>
      </w:r>
      <w:r w:rsidR="004806A8">
        <w:t xml:space="preserve">of the sensitive data series.  </w:t>
      </w:r>
      <w:r w:rsidRPr="009F1B66" w:rsidR="004806A8">
        <w:t>This test ensur</w:t>
      </w:r>
      <w:r w:rsidR="00E02613">
        <w:t>es</w:t>
      </w:r>
      <w:r w:rsidRPr="009F1B66" w:rsidR="004806A8">
        <w:t xml:space="preserve"> any data element that is overly concentrated in too few respondents will be withheld so individual survey response data is masked. Any data element that receives less than three responses is also automatically withheld.</w:t>
      </w:r>
    </w:p>
    <w:p w:rsidR="00C8626B" w:rsidP="009F1B66" w14:paraId="7696998F" w14:textId="042388A0">
      <w:r>
        <w:t xml:space="preserve">Included in the current terms of clearance </w:t>
      </w:r>
      <w:r w:rsidR="009D7ECC">
        <w:t xml:space="preserve">for the Uranium Data Program Information Collection </w:t>
      </w:r>
      <w:r w:rsidR="0013059B">
        <w:t>Review</w:t>
      </w:r>
      <w:r>
        <w:t>, the Office of Management and Budget requested a Disclosure Analysis Review of changes to the display of U</w:t>
      </w:r>
      <w:r>
        <w:rPr>
          <w:vertAlign w:val="subscript"/>
        </w:rPr>
        <w:t>3</w:t>
      </w:r>
      <w:r>
        <w:t>O</w:t>
      </w:r>
      <w:r>
        <w:rPr>
          <w:vertAlign w:val="subscript"/>
        </w:rPr>
        <w:t>8</w:t>
      </w:r>
      <w:r>
        <w:t xml:space="preserve"> equivalent inventory data requested by a set of industry stakeholders.  </w:t>
      </w:r>
    </w:p>
    <w:p w:rsidR="00E02613" w:rsidRPr="00DD6055" w14:paraId="021D76C1" w14:textId="623D0BDC">
      <w:pPr>
        <w:spacing w:after="0"/>
        <w:rPr>
          <w:b/>
          <w:bCs/>
        </w:rPr>
      </w:pPr>
      <w:r w:rsidRPr="00DD6055">
        <w:rPr>
          <w:b/>
          <w:bCs/>
        </w:rPr>
        <w:t>Terms of Clearance</w:t>
      </w:r>
    </w:p>
    <w:p w:rsidR="00E02613" w14:paraId="523A5125" w14:textId="77777777">
      <w:pPr>
        <w:spacing w:after="0"/>
      </w:pPr>
    </w:p>
    <w:p w:rsidR="00E02613" w14:paraId="4D526752" w14:textId="5AFCD76E">
      <w:pPr>
        <w:spacing w:after="0"/>
      </w:pPr>
      <w:r>
        <w:t xml:space="preserve">UDP package </w:t>
      </w:r>
      <w:r>
        <w:t xml:space="preserve">received </w:t>
      </w:r>
      <w:r>
        <w:t>approv</w:t>
      </w:r>
      <w:r>
        <w:t>al</w:t>
      </w:r>
      <w:r>
        <w:t xml:space="preserve"> for one year</w:t>
      </w:r>
      <w:r>
        <w:t xml:space="preserve"> while changes to the display were reviewed</w:t>
      </w:r>
      <w:r>
        <w:t xml:space="preserve">. EIA's response to a detailed </w:t>
      </w:r>
      <w:r>
        <w:t>set of questions from the Ad hoc Utility Group (</w:t>
      </w:r>
      <w:r>
        <w:t>AHUG</w:t>
      </w:r>
      <w:r>
        <w:t>)</w:t>
      </w:r>
      <w:r>
        <w:t xml:space="preserve"> request named concerns that need to be balanced. </w:t>
      </w:r>
      <w:r>
        <w:t>Specifically, the terms of clearance stated:</w:t>
      </w:r>
    </w:p>
    <w:p w:rsidR="00E02613" w14:paraId="5466064D" w14:textId="77777777">
      <w:pPr>
        <w:spacing w:after="0"/>
      </w:pPr>
    </w:p>
    <w:p w:rsidR="00C8626B" w:rsidRPr="00DD6055" w:rsidP="00C8626B" w14:paraId="7220EC8D" w14:textId="3F14CDC6">
      <w:pPr>
        <w:spacing w:after="0"/>
        <w:rPr>
          <w:i/>
          <w:iCs/>
        </w:rPr>
      </w:pPr>
      <w:r w:rsidRPr="00DD6055">
        <w:rPr>
          <w:i/>
          <w:iCs/>
        </w:rPr>
        <w:t>It is unclear how AHUG requests 2a-2c could allow identification of proprietary firm-level information for groups in the named industry</w:t>
      </w:r>
      <w:r w:rsidRPr="00DD6055" w:rsidR="00E02613">
        <w:rPr>
          <w:i/>
          <w:iCs/>
        </w:rPr>
        <w:t xml:space="preserve"> </w:t>
      </w:r>
      <w:r w:rsidRPr="00DD6055">
        <w:rPr>
          <w:i/>
          <w:iCs/>
        </w:rPr>
        <w:t>concentration chart that are comprised of at least 8 firms, or why an industry group would</w:t>
      </w:r>
      <w:r w:rsidRPr="00DD6055" w:rsidR="00E02613">
        <w:rPr>
          <w:i/>
          <w:iCs/>
        </w:rPr>
        <w:t xml:space="preserve"> </w:t>
      </w:r>
      <w:r w:rsidRPr="00DD6055">
        <w:rPr>
          <w:i/>
          <w:iCs/>
        </w:rPr>
        <w:t>make a request that would identify proprietary information about its members. Research this</w:t>
      </w:r>
      <w:r w:rsidRPr="00DD6055" w:rsidR="00E02613">
        <w:rPr>
          <w:i/>
          <w:iCs/>
        </w:rPr>
        <w:t xml:space="preserve"> </w:t>
      </w:r>
      <w:r w:rsidRPr="00DD6055">
        <w:rPr>
          <w:i/>
          <w:iCs/>
        </w:rPr>
        <w:t>request in more depth, and include a short report in the next 1905-0160 ICR package,</w:t>
      </w:r>
      <w:r w:rsidRPr="00DD6055" w:rsidR="00E02613">
        <w:rPr>
          <w:i/>
          <w:iCs/>
        </w:rPr>
        <w:t xml:space="preserve"> </w:t>
      </w:r>
      <w:r w:rsidRPr="00DD6055">
        <w:rPr>
          <w:i/>
          <w:iCs/>
        </w:rPr>
        <w:t>considering that similar charts might be created that offer most of the AHUG information (noted</w:t>
      </w:r>
      <w:r w:rsidRPr="00DD6055" w:rsidR="00E02613">
        <w:rPr>
          <w:i/>
          <w:iCs/>
        </w:rPr>
        <w:t xml:space="preserve"> </w:t>
      </w:r>
      <w:r w:rsidRPr="00DD6055">
        <w:rPr>
          <w:i/>
          <w:iCs/>
        </w:rPr>
        <w:t>as already public), but that may -- while conveying more detail -- block only a small subset of</w:t>
      </w:r>
      <w:r w:rsidRPr="00DD6055" w:rsidR="00E02613">
        <w:rPr>
          <w:i/>
          <w:iCs/>
        </w:rPr>
        <w:t xml:space="preserve"> </w:t>
      </w:r>
      <w:r w:rsidRPr="00DD6055">
        <w:rPr>
          <w:i/>
          <w:iCs/>
        </w:rPr>
        <w:t>the data points associated with the chart in order to protect from firm-level identification. This</w:t>
      </w:r>
      <w:r w:rsidRPr="00DD6055" w:rsidR="00E02613">
        <w:rPr>
          <w:i/>
          <w:iCs/>
        </w:rPr>
        <w:t xml:space="preserve"> </w:t>
      </w:r>
      <w:r w:rsidRPr="00DD6055">
        <w:rPr>
          <w:i/>
          <w:iCs/>
        </w:rPr>
        <w:t>may even be to the level of the 2d question (breaking out by type), as submitted in AHUG's</w:t>
      </w:r>
      <w:r w:rsidRPr="00DD6055" w:rsidR="00E02613">
        <w:rPr>
          <w:i/>
          <w:iCs/>
        </w:rPr>
        <w:t xml:space="preserve"> </w:t>
      </w:r>
      <w:r w:rsidRPr="00DD6055">
        <w:rPr>
          <w:i/>
          <w:iCs/>
        </w:rPr>
        <w:t>comment. The report should clearly indicate where privacy concerns are binding constraints</w:t>
      </w:r>
      <w:r w:rsidRPr="00DD6055" w:rsidR="00E02613">
        <w:rPr>
          <w:i/>
          <w:iCs/>
        </w:rPr>
        <w:t xml:space="preserve"> </w:t>
      </w:r>
      <w:r w:rsidRPr="00DD6055">
        <w:rPr>
          <w:i/>
          <w:iCs/>
        </w:rPr>
        <w:t>for each facet of the AHUG 2a-2d comment, and demonstrate examples of feasible tables that</w:t>
      </w:r>
      <w:r w:rsidRPr="00DD6055" w:rsidR="00E02613">
        <w:rPr>
          <w:i/>
          <w:iCs/>
        </w:rPr>
        <w:t xml:space="preserve"> </w:t>
      </w:r>
      <w:r w:rsidRPr="00DD6055">
        <w:rPr>
          <w:i/>
          <w:iCs/>
        </w:rPr>
        <w:t>balance the concerns of accuracy, privacy, and economically useful industry information for</w:t>
      </w:r>
      <w:r w:rsidRPr="00DD6055" w:rsidR="00E02613">
        <w:rPr>
          <w:i/>
          <w:iCs/>
        </w:rPr>
        <w:t xml:space="preserve"> </w:t>
      </w:r>
      <w:r w:rsidRPr="00DD6055">
        <w:rPr>
          <w:i/>
          <w:iCs/>
        </w:rPr>
        <w:t>the public and as requested by representatives of that industry.</w:t>
      </w:r>
    </w:p>
    <w:p w:rsidR="00C8626B" w:rsidP="00C8626B" w14:paraId="0771FBF5" w14:textId="77777777">
      <w:pPr>
        <w:spacing w:after="0"/>
      </w:pPr>
    </w:p>
    <w:p w:rsidR="00894111" w:rsidP="009F1B66" w14:paraId="7A6F2679" w14:textId="76517665">
      <w:r>
        <w:t xml:space="preserve">This report describes the options evaluated and recommendations made for changes to our current data display, while maintaining compliance with our statistical standards of disclosure avoidance techniques.  </w:t>
      </w:r>
    </w:p>
    <w:p w:rsidR="001A1FB6" w:rsidP="009F1B66" w14:paraId="752F31F9" w14:textId="77777777"/>
    <w:p w:rsidR="00751762" w:rsidP="009F1B66" w14:paraId="19518829" w14:textId="77777777"/>
    <w:p w:rsidR="00751762" w:rsidP="009F1B66" w14:paraId="499CF518" w14:textId="77777777"/>
    <w:p w:rsidR="001A1FB6" w:rsidP="009F1B66" w14:paraId="5C4E30BA" w14:textId="77777777"/>
    <w:p w:rsidR="00894111" w:rsidRPr="00DD6055" w:rsidP="009F1B66" w14:paraId="33A71876" w14:textId="35B087E2">
      <w:pPr>
        <w:rPr>
          <w:b/>
          <w:bCs/>
        </w:rPr>
      </w:pPr>
      <w:r w:rsidRPr="00DD6055">
        <w:rPr>
          <w:b/>
          <w:bCs/>
        </w:rPr>
        <w:t>Current display</w:t>
      </w:r>
    </w:p>
    <w:p w:rsidR="00176F8B" w:rsidP="009F1B66" w14:paraId="1DE08881" w14:textId="26B8B39B">
      <w:r>
        <w:t>U</w:t>
      </w:r>
      <w:r>
        <w:rPr>
          <w:vertAlign w:val="subscript"/>
        </w:rPr>
        <w:t>3</w:t>
      </w:r>
      <w:r>
        <w:t>O</w:t>
      </w:r>
      <w:r>
        <w:rPr>
          <w:vertAlign w:val="subscript"/>
        </w:rPr>
        <w:t>8</w:t>
      </w:r>
      <w:r>
        <w:t xml:space="preserve"> equivalent inventory data are included in the Uranium Marketing Annual Report Table 22</w:t>
      </w:r>
      <w:r w:rsidR="004806A8">
        <w:t xml:space="preserve"> and Table 23 of the report </w:t>
      </w:r>
      <w:r>
        <w:t xml:space="preserve">(see below).   </w:t>
      </w:r>
    </w:p>
    <w:p w:rsidR="00176F8B" w:rsidP="009F1B66" w14:paraId="1306F84D" w14:textId="0CCECEB8">
      <w:r>
        <w:rPr>
          <w:noProof/>
        </w:rPr>
        <w:drawing>
          <wp:inline distT="0" distB="0" distL="0" distR="0">
            <wp:extent cx="5943600" cy="3385820"/>
            <wp:effectExtent l="0" t="0" r="0" b="5080"/>
            <wp:docPr id="1698238600"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38600" name="Picture 1" descr="Graphical user interface, text, email&#10;&#10;Description automatically generated"/>
                    <pic:cNvPicPr/>
                  </pic:nvPicPr>
                  <pic:blipFill>
                    <a:blip xmlns:r="http://schemas.openxmlformats.org/officeDocument/2006/relationships" r:embed="rId8"/>
                    <a:stretch>
                      <a:fillRect/>
                    </a:stretch>
                  </pic:blipFill>
                  <pic:spPr>
                    <a:xfrm>
                      <a:off x="0" y="0"/>
                      <a:ext cx="5943600" cy="3385820"/>
                    </a:xfrm>
                    <a:prstGeom prst="rect">
                      <a:avLst/>
                    </a:prstGeom>
                  </pic:spPr>
                </pic:pic>
              </a:graphicData>
            </a:graphic>
          </wp:inline>
        </w:drawing>
      </w:r>
    </w:p>
    <w:p w:rsidR="004806A8" w:rsidP="009F1B66" w14:paraId="4CD18EB2" w14:textId="73BF8E2C">
      <w:r>
        <w:rPr>
          <w:noProof/>
        </w:rPr>
        <w:drawing>
          <wp:inline distT="0" distB="0" distL="0" distR="0">
            <wp:extent cx="5943600" cy="2266950"/>
            <wp:effectExtent l="0" t="0" r="0" b="0"/>
            <wp:docPr id="19976519"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519" name="Picture 1" descr="Graphical user interface, text, application, email&#10;&#10;Description automatically generated"/>
                    <pic:cNvPicPr/>
                  </pic:nvPicPr>
                  <pic:blipFill>
                    <a:blip xmlns:r="http://schemas.openxmlformats.org/officeDocument/2006/relationships" r:embed="rId9"/>
                    <a:stretch>
                      <a:fillRect/>
                    </a:stretch>
                  </pic:blipFill>
                  <pic:spPr>
                    <a:xfrm>
                      <a:off x="0" y="0"/>
                      <a:ext cx="5943600" cy="2266950"/>
                    </a:xfrm>
                    <a:prstGeom prst="rect">
                      <a:avLst/>
                    </a:prstGeom>
                  </pic:spPr>
                </pic:pic>
              </a:graphicData>
            </a:graphic>
          </wp:inline>
        </w:drawing>
      </w:r>
    </w:p>
    <w:p w:rsidR="003E3627" w:rsidP="009F1B66" w14:paraId="7884BEC2" w14:textId="776C2ED9">
      <w:r>
        <w:t>As shown on Table 22 some of the</w:t>
      </w:r>
      <w:r w:rsidR="00176F8B">
        <w:t xml:space="preserve"> data are currently withheld for certain types of U</w:t>
      </w:r>
      <w:r w:rsidR="00176F8B">
        <w:rPr>
          <w:vertAlign w:val="subscript"/>
        </w:rPr>
        <w:t>3</w:t>
      </w:r>
      <w:r w:rsidR="00176F8B">
        <w:t>O</w:t>
      </w:r>
      <w:r w:rsidR="00176F8B">
        <w:rPr>
          <w:vertAlign w:val="subscript"/>
        </w:rPr>
        <w:t>8</w:t>
      </w:r>
      <w:r w:rsidR="00176F8B">
        <w:t xml:space="preserve"> equivalent inventory categories, specifically Natural UF</w:t>
      </w:r>
      <w:r w:rsidR="00176F8B">
        <w:rPr>
          <w:vertAlign w:val="subscript"/>
        </w:rPr>
        <w:t>6</w:t>
      </w:r>
      <w:r w:rsidR="00176F8B">
        <w:t xml:space="preserve"> and Enriched UF</w:t>
      </w:r>
      <w:r w:rsidR="00176F8B">
        <w:rPr>
          <w:vertAlign w:val="subscript"/>
        </w:rPr>
        <w:t>6</w:t>
      </w:r>
      <w:r w:rsidR="00176F8B">
        <w:t xml:space="preserve"> inventories held by U.S. suppliers of uranium</w:t>
      </w:r>
      <w:r w:rsidR="00437D6F">
        <w:t xml:space="preserve"> even though </w:t>
      </w:r>
      <w:r w:rsidR="007F0C0B">
        <w:t>they are</w:t>
      </w:r>
      <w:r w:rsidR="00437D6F">
        <w:t xml:space="preserve"> a</w:t>
      </w:r>
      <w:r w:rsidR="007F0C0B">
        <w:t>t the</w:t>
      </w:r>
      <w:r w:rsidR="00437D6F">
        <w:t xml:space="preserve"> national level</w:t>
      </w:r>
      <w:r w:rsidR="00176F8B">
        <w:t>.</w:t>
      </w:r>
      <w:r w:rsidR="00641622">
        <w:t xml:space="preserve">  </w:t>
      </w:r>
    </w:p>
    <w:p w:rsidR="000D00F7" w:rsidP="009F1B66" w14:paraId="3F7C44F1" w14:textId="0735A245">
      <w:r>
        <w:t>Included in the terms of clearance for the current collection was a request to evaluate more granular displays of inventories of</w:t>
      </w:r>
      <w:r w:rsidR="00176F8B">
        <w:t xml:space="preserve"> </w:t>
      </w:r>
      <w:r>
        <w:t>U</w:t>
      </w:r>
      <w:r>
        <w:rPr>
          <w:vertAlign w:val="subscript"/>
        </w:rPr>
        <w:t>3</w:t>
      </w:r>
      <w:r>
        <w:t>O</w:t>
      </w:r>
      <w:r>
        <w:rPr>
          <w:vertAlign w:val="subscript"/>
        </w:rPr>
        <w:t>8</w:t>
      </w:r>
      <w:r>
        <w:t xml:space="preserve"> equivalent within </w:t>
      </w:r>
      <w:r w:rsidR="00E66124">
        <w:t xml:space="preserve">eight equal numbered groups of </w:t>
      </w:r>
      <w:r w:rsidR="00125345">
        <w:t xml:space="preserve">survey respondents </w:t>
      </w:r>
      <w:r w:rsidR="00E66124">
        <w:t>and within the types of uranium fuel groupings currently displayed</w:t>
      </w:r>
      <w:r w:rsidR="00CF66DD">
        <w:t xml:space="preserve"> (comment 2d)</w:t>
      </w:r>
      <w:r w:rsidR="00E66124">
        <w:t>.  This level of granularity would violate our current disclosure techniques and</w:t>
      </w:r>
      <w:r w:rsidR="00306216">
        <w:t xml:space="preserve"> would</w:t>
      </w:r>
      <w:r w:rsidR="00E66124">
        <w:t xml:space="preserve"> result in a significant increase in the number of cells withheld to avoid disclosure and potentially result in fewer data </w:t>
      </w:r>
      <w:r w:rsidR="00E66124">
        <w:t>elements in total due to the need for compl</w:t>
      </w:r>
      <w:r w:rsidR="00125345">
        <w:t>e</w:t>
      </w:r>
      <w:r w:rsidR="00E66124">
        <w:t xml:space="preserve">mentary suppression. </w:t>
      </w:r>
      <w:r w:rsidR="00125345">
        <w:t>Complementary suppression is the withholding of enough secondary data cells to prevent a viewer from using statistical techniques to reveal a small number of withheld primary data cells.</w:t>
      </w:r>
      <w:r w:rsidR="00E66124">
        <w:t xml:space="preserve"> </w:t>
      </w:r>
    </w:p>
    <w:p w:rsidR="005E4096" w:rsidP="009F1B66" w14:paraId="0B63F0FD" w14:textId="77777777"/>
    <w:tbl>
      <w:tblPr>
        <w:tblW w:w="8820" w:type="dxa"/>
        <w:tblLook w:val="04A0"/>
      </w:tblPr>
      <w:tblGrid>
        <w:gridCol w:w="1114"/>
        <w:gridCol w:w="1766"/>
        <w:gridCol w:w="1200"/>
        <w:gridCol w:w="1560"/>
        <w:gridCol w:w="1560"/>
        <w:gridCol w:w="1620"/>
      </w:tblGrid>
      <w:tr w14:paraId="3017472E" w14:textId="77777777" w:rsidTr="005E4096">
        <w:tblPrEx>
          <w:tblW w:w="8820" w:type="dxa"/>
          <w:tblLook w:val="04A0"/>
        </w:tblPrEx>
        <w:trPr>
          <w:trHeight w:val="288"/>
        </w:trPr>
        <w:tc>
          <w:tcPr>
            <w:tcW w:w="4080" w:type="dxa"/>
            <w:gridSpan w:val="3"/>
            <w:tcBorders>
              <w:top w:val="nil"/>
              <w:left w:val="nil"/>
              <w:bottom w:val="nil"/>
              <w:right w:val="nil"/>
            </w:tcBorders>
            <w:shd w:val="clear" w:color="auto" w:fill="auto"/>
            <w:noWrap/>
            <w:vAlign w:val="bottom"/>
            <w:hideMark/>
          </w:tcPr>
          <w:p w:rsidR="005E4096" w:rsidRPr="005E4096" w:rsidP="005E4096" w14:paraId="1420C9D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Table 1: 2023 Disclosure Analysis Review</w:t>
            </w:r>
          </w:p>
        </w:tc>
        <w:tc>
          <w:tcPr>
            <w:tcW w:w="1560" w:type="dxa"/>
            <w:tcBorders>
              <w:top w:val="nil"/>
              <w:left w:val="nil"/>
              <w:bottom w:val="nil"/>
              <w:right w:val="nil"/>
            </w:tcBorders>
            <w:shd w:val="clear" w:color="auto" w:fill="auto"/>
            <w:noWrap/>
            <w:vAlign w:val="bottom"/>
            <w:hideMark/>
          </w:tcPr>
          <w:p w:rsidR="005E4096" w:rsidRPr="005E4096" w:rsidP="005E4096" w14:paraId="48ED06B7" w14:textId="77777777">
            <w:pPr>
              <w:spacing w:after="0" w:line="240" w:lineRule="auto"/>
              <w:rPr>
                <w:rFonts w:ascii="Aptos Narrow" w:eastAsia="Times New Roman" w:hAnsi="Aptos Narrow" w:cs="Times New Roman"/>
                <w:color w:val="000000"/>
                <w:kern w:val="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482775BE" w14:textId="77777777">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noWrap/>
            <w:vAlign w:val="bottom"/>
            <w:hideMark/>
          </w:tcPr>
          <w:p w:rsidR="005E4096" w:rsidRPr="005E4096" w:rsidP="005E4096" w14:paraId="2CDCDD01" w14:textId="77777777">
            <w:pPr>
              <w:spacing w:after="0" w:line="240" w:lineRule="auto"/>
              <w:rPr>
                <w:rFonts w:ascii="Times New Roman" w:eastAsia="Times New Roman" w:hAnsi="Times New Roman" w:cs="Times New Roman"/>
                <w:kern w:val="0"/>
                <w:sz w:val="20"/>
                <w:szCs w:val="20"/>
                <w14:ligatures w14:val="none"/>
              </w:rPr>
            </w:pPr>
          </w:p>
        </w:tc>
      </w:tr>
      <w:tr w14:paraId="7EC8FDBF" w14:textId="77777777" w:rsidTr="005E4096">
        <w:tblPrEx>
          <w:tblW w:w="8820" w:type="dxa"/>
          <w:tblLook w:val="04A0"/>
        </w:tblPrEx>
        <w:trPr>
          <w:trHeight w:val="312"/>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096" w:rsidRPr="005E4096" w:rsidP="005E4096" w14:paraId="0812850F"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49873FA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of respondents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64A1D424"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U</w:t>
            </w:r>
            <w:r w:rsidRPr="005E4096">
              <w:rPr>
                <w:rFonts w:ascii="Aptos Narrow" w:eastAsia="Times New Roman" w:hAnsi="Aptos Narrow" w:cs="Times New Roman"/>
                <w:color w:val="000000"/>
                <w:kern w:val="0"/>
                <w:vertAlign w:val="subscript"/>
                <w14:ligatures w14:val="none"/>
              </w:rPr>
              <w:t>3</w:t>
            </w:r>
            <w:r w:rsidRPr="005E4096">
              <w:rPr>
                <w:rFonts w:ascii="Aptos Narrow" w:eastAsia="Times New Roman" w:hAnsi="Aptos Narrow" w:cs="Times New Roman"/>
                <w:color w:val="000000"/>
                <w:kern w:val="0"/>
                <w14:ligatures w14:val="none"/>
              </w:rPr>
              <w:t>O</w:t>
            </w:r>
            <w:r w:rsidRPr="005E4096">
              <w:rPr>
                <w:rFonts w:ascii="Aptos Narrow" w:eastAsia="Times New Roman" w:hAnsi="Aptos Narrow" w:cs="Times New Roman"/>
                <w:color w:val="000000"/>
                <w:kern w:val="0"/>
                <w:vertAlign w:val="subscript"/>
                <w14:ligatures w14:val="none"/>
              </w:rPr>
              <w:t>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2F544730"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Natural UF6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4F3BDBAC"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Enriched UF6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46672A2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Fabricated Fuel</w:t>
            </w:r>
          </w:p>
        </w:tc>
      </w:tr>
      <w:tr w14:paraId="3B4F76F1"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FBB719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1</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5501623B"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31224A13"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0B80902D"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E27B69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349460B9"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73C548E8"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292DE4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2</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07673F9D"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1F00257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63A9AE8D"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7F9A4823"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5CCE5CA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533882F1"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28AEF1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3</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5703BE57"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5AA0039"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25D764C6"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341C024"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1C75187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132C3705"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3A043F1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4</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4FF5A355"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1D87DA62"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7FD1A7A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2919D1D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5E94F29C"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34737129"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22478752"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5</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2D1F19B9"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1D2AAC3F"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91E9ECB"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76BE842B"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5E16F3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2772CA98"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4BC8FAE0"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6</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784D3A10"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5B97E1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7826D8A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5523D29"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3F01144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5D4DFE39"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9D2FFE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7</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2EB06D8E"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5</w:t>
            </w:r>
          </w:p>
        </w:tc>
        <w:tc>
          <w:tcPr>
            <w:tcW w:w="120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167A73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087DA6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36D18172"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1E5FD3D3"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5AE0BAF5" w14:textId="77777777" w:rsidTr="005E4096">
        <w:tblPrEx>
          <w:tblW w:w="8820" w:type="dxa"/>
          <w:tblLook w:val="04A0"/>
        </w:tblPrEx>
        <w:trPr>
          <w:trHeight w:val="288"/>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141EAFD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8</w:t>
            </w:r>
          </w:p>
        </w:tc>
        <w:tc>
          <w:tcPr>
            <w:tcW w:w="1766"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784DA559"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8</w:t>
            </w:r>
          </w:p>
        </w:tc>
        <w:tc>
          <w:tcPr>
            <w:tcW w:w="120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55CD2F0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3B922EBB"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72179A3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62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E8336F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3CDF0C74" w14:textId="77777777" w:rsidTr="005E4096">
        <w:tblPrEx>
          <w:tblW w:w="8820" w:type="dxa"/>
          <w:tblLook w:val="04A0"/>
        </w:tblPrEx>
        <w:trPr>
          <w:trHeight w:val="288"/>
        </w:trPr>
        <w:tc>
          <w:tcPr>
            <w:tcW w:w="2880" w:type="dxa"/>
            <w:gridSpan w:val="2"/>
            <w:tcBorders>
              <w:top w:val="nil"/>
              <w:left w:val="nil"/>
              <w:bottom w:val="nil"/>
              <w:right w:val="nil"/>
            </w:tcBorders>
            <w:shd w:val="clear" w:color="auto" w:fill="auto"/>
            <w:noWrap/>
            <w:vAlign w:val="bottom"/>
            <w:hideMark/>
          </w:tcPr>
          <w:p w:rsidR="005E4096" w:rsidRPr="005E4096" w:rsidP="005E4096" w14:paraId="7A71344C"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Green = Publishable</w:t>
            </w:r>
          </w:p>
        </w:tc>
        <w:tc>
          <w:tcPr>
            <w:tcW w:w="1200" w:type="dxa"/>
            <w:tcBorders>
              <w:top w:val="nil"/>
              <w:left w:val="nil"/>
              <w:bottom w:val="nil"/>
              <w:right w:val="nil"/>
            </w:tcBorders>
            <w:shd w:val="clear" w:color="auto" w:fill="auto"/>
            <w:noWrap/>
            <w:vAlign w:val="bottom"/>
            <w:hideMark/>
          </w:tcPr>
          <w:p w:rsidR="005E4096" w:rsidRPr="005E4096" w:rsidP="005E4096" w14:paraId="63F04C01" w14:textId="77777777">
            <w:pPr>
              <w:spacing w:after="0" w:line="240" w:lineRule="auto"/>
              <w:rPr>
                <w:rFonts w:ascii="Aptos Narrow" w:eastAsia="Times New Roman" w:hAnsi="Aptos Narrow" w:cs="Times New Roman"/>
                <w:color w:val="000000"/>
                <w:kern w:val="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14A0C112" w14:textId="77777777">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761B88EE" w14:textId="77777777">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noWrap/>
            <w:vAlign w:val="bottom"/>
            <w:hideMark/>
          </w:tcPr>
          <w:p w:rsidR="005E4096" w:rsidRPr="005E4096" w:rsidP="005E4096" w14:paraId="196117E9" w14:textId="77777777">
            <w:pPr>
              <w:spacing w:after="0" w:line="240" w:lineRule="auto"/>
              <w:rPr>
                <w:rFonts w:ascii="Times New Roman" w:eastAsia="Times New Roman" w:hAnsi="Times New Roman" w:cs="Times New Roman"/>
                <w:kern w:val="0"/>
                <w:sz w:val="20"/>
                <w:szCs w:val="20"/>
                <w14:ligatures w14:val="none"/>
              </w:rPr>
            </w:pPr>
          </w:p>
        </w:tc>
      </w:tr>
      <w:tr w14:paraId="7407341F" w14:textId="77777777" w:rsidTr="005E4096">
        <w:tblPrEx>
          <w:tblW w:w="8820" w:type="dxa"/>
          <w:tblLook w:val="04A0"/>
        </w:tblPrEx>
        <w:trPr>
          <w:trHeight w:val="288"/>
        </w:trPr>
        <w:tc>
          <w:tcPr>
            <w:tcW w:w="2880" w:type="dxa"/>
            <w:gridSpan w:val="2"/>
            <w:tcBorders>
              <w:top w:val="nil"/>
              <w:left w:val="nil"/>
              <w:bottom w:val="nil"/>
              <w:right w:val="nil"/>
            </w:tcBorders>
            <w:shd w:val="clear" w:color="auto" w:fill="auto"/>
            <w:noWrap/>
            <w:vAlign w:val="bottom"/>
            <w:hideMark/>
          </w:tcPr>
          <w:p w:rsidR="005E4096" w:rsidRPr="005E4096" w:rsidP="005E4096" w14:paraId="53ED8A9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Red = Not publishable</w:t>
            </w:r>
          </w:p>
        </w:tc>
        <w:tc>
          <w:tcPr>
            <w:tcW w:w="1200" w:type="dxa"/>
            <w:tcBorders>
              <w:top w:val="nil"/>
              <w:left w:val="nil"/>
              <w:bottom w:val="nil"/>
              <w:right w:val="nil"/>
            </w:tcBorders>
            <w:shd w:val="clear" w:color="auto" w:fill="auto"/>
            <w:noWrap/>
            <w:vAlign w:val="bottom"/>
            <w:hideMark/>
          </w:tcPr>
          <w:p w:rsidR="005E4096" w:rsidRPr="005E4096" w:rsidP="005E4096" w14:paraId="5AE9C101" w14:textId="77777777">
            <w:pPr>
              <w:spacing w:after="0" w:line="240" w:lineRule="auto"/>
              <w:rPr>
                <w:rFonts w:ascii="Aptos Narrow" w:eastAsia="Times New Roman" w:hAnsi="Aptos Narrow" w:cs="Times New Roman"/>
                <w:color w:val="000000"/>
                <w:kern w:val="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549E2585" w14:textId="77777777">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52123735" w14:textId="77777777">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noWrap/>
            <w:vAlign w:val="bottom"/>
            <w:hideMark/>
          </w:tcPr>
          <w:p w:rsidR="005E4096" w:rsidRPr="005E4096" w:rsidP="005E4096" w14:paraId="1FDCC891" w14:textId="77777777">
            <w:pPr>
              <w:spacing w:after="0" w:line="240" w:lineRule="auto"/>
              <w:rPr>
                <w:rFonts w:ascii="Times New Roman" w:eastAsia="Times New Roman" w:hAnsi="Times New Roman" w:cs="Times New Roman"/>
                <w:kern w:val="0"/>
                <w:sz w:val="20"/>
                <w:szCs w:val="20"/>
                <w14:ligatures w14:val="none"/>
              </w:rPr>
            </w:pPr>
          </w:p>
        </w:tc>
      </w:tr>
    </w:tbl>
    <w:p w:rsidR="00EB63C8" w:rsidP="009F1B66" w14:paraId="3D4FCF45" w14:textId="0D01714B"/>
    <w:p w:rsidR="00176F8B" w:rsidP="009F1B66" w14:paraId="24860C12" w14:textId="380A42DF">
      <w:r>
        <w:t xml:space="preserve">To meet the request for additional displays of data, two alternative options were considered.  </w:t>
      </w:r>
      <w:r w:rsidR="00E66124">
        <w:t xml:space="preserve"> </w:t>
      </w:r>
    </w:p>
    <w:p w:rsidR="004806A8" w:rsidRPr="00DD6055" w:rsidP="009F1B66" w14:paraId="2D2D4BF5" w14:textId="296ADD1D">
      <w:pPr>
        <w:rPr>
          <w:b/>
          <w:bCs/>
        </w:rPr>
      </w:pPr>
      <w:r w:rsidRPr="00DD6055">
        <w:rPr>
          <w:b/>
          <w:bCs/>
        </w:rPr>
        <w:t>Options Considered and Recommendation</w:t>
      </w:r>
    </w:p>
    <w:p w:rsidR="009F1B66" w:rsidRPr="009F1B66" w:rsidP="009F1B66" w14:paraId="586614ED" w14:textId="7500DA90">
      <w:r w:rsidRPr="009F1B66">
        <w:t>After conducting a thorough review of recent annual</w:t>
      </w:r>
      <w:r w:rsidR="00C7188A">
        <w:t xml:space="preserve"> Form</w:t>
      </w:r>
      <w:r w:rsidRPr="009F1B66">
        <w:t xml:space="preserve"> EIA-858 data submissions, there are two reasonable options to accommodate the request for more granular displays of inventory data.</w:t>
      </w:r>
    </w:p>
    <w:p w:rsidR="009F1B66" w:rsidP="009F1B66" w14:paraId="5B51DC29" w14:textId="3B75D3CE">
      <w:r w:rsidRPr="009F1B66">
        <w:t xml:space="preserve">The first option is a standardized and more-robust table/chart aggregating material by </w:t>
      </w:r>
      <w:r w:rsidR="004806A8">
        <w:t>U</w:t>
      </w:r>
      <w:r w:rsidR="004806A8">
        <w:rPr>
          <w:vertAlign w:val="subscript"/>
        </w:rPr>
        <w:t>3</w:t>
      </w:r>
      <w:r w:rsidR="004806A8">
        <w:t>O</w:t>
      </w:r>
      <w:r w:rsidR="004806A8">
        <w:rPr>
          <w:vertAlign w:val="subscript"/>
        </w:rPr>
        <w:t>8</w:t>
      </w:r>
      <w:r w:rsidRPr="009F1B66">
        <w:t xml:space="preserve"> equivalent only. This should be a repeatable table/chart every year, producing a consistent data set over many years and </w:t>
      </w:r>
      <w:r w:rsidR="005857DA">
        <w:t>would</w:t>
      </w:r>
      <w:r w:rsidRPr="009F1B66" w:rsidR="005857DA">
        <w:t xml:space="preserve"> </w:t>
      </w:r>
      <w:r w:rsidRPr="009F1B66">
        <w:t xml:space="preserve">include more data groups (more groups = more granular groupings).  The drawback is that it displays </w:t>
      </w:r>
      <w:r w:rsidR="00584079">
        <w:t>all data in one dat</w:t>
      </w:r>
      <w:r w:rsidR="00E02613">
        <w:t>a</w:t>
      </w:r>
      <w:r w:rsidR="00584079">
        <w:t>set as U</w:t>
      </w:r>
      <w:r w:rsidR="00584079">
        <w:rPr>
          <w:vertAlign w:val="subscript"/>
        </w:rPr>
        <w:t>3</w:t>
      </w:r>
      <w:r w:rsidR="00584079">
        <w:t>O</w:t>
      </w:r>
      <w:r w:rsidR="00584079">
        <w:rPr>
          <w:vertAlign w:val="subscript"/>
        </w:rPr>
        <w:t>8</w:t>
      </w:r>
      <w:r w:rsidR="00584079">
        <w:t xml:space="preserve"> equivalent as opposed to separate categories for each material type.</w:t>
      </w:r>
      <w:r w:rsidR="00C7188A">
        <w:t xml:space="preserve">  </w:t>
      </w:r>
    </w:p>
    <w:p w:rsidR="00405178" w:rsidP="009F1B66" w14:paraId="52881EBB" w14:textId="091B16CB">
      <w:pPr>
        <w:rPr>
          <w:b/>
          <w:bCs/>
        </w:rPr>
      </w:pPr>
      <w:r w:rsidRPr="00405178">
        <w:rPr>
          <w:b/>
          <w:bCs/>
        </w:rPr>
        <w:t xml:space="preserve">Option A. </w:t>
      </w:r>
    </w:p>
    <w:p w:rsidR="00405178" w:rsidP="00405178" w14:paraId="7465F425" w14:textId="67F793DF">
      <w:pPr>
        <w:spacing w:after="0"/>
      </w:pPr>
      <w:r>
        <w:t xml:space="preserve">Table 22 B. </w:t>
      </w:r>
      <w:r w:rsidR="00B26C87">
        <w:t>Combined uranium i</w:t>
      </w:r>
      <w:r>
        <w:t xml:space="preserve">nventories </w:t>
      </w:r>
      <w:r w:rsidR="00B26C87">
        <w:t>grouped by utility group</w:t>
      </w:r>
      <w:r>
        <w:t xml:space="preserve"> </w:t>
      </w:r>
      <w:r w:rsidRPr="00CC0821">
        <w:t>as of end of year</w:t>
      </w:r>
      <w:r>
        <w:t xml:space="preserve"> 2023</w:t>
      </w:r>
    </w:p>
    <w:p w:rsidR="00405178" w:rsidRPr="009F1B66" w:rsidP="00405178" w14:paraId="06541AE4" w14:textId="77777777">
      <w:r>
        <w:t>thousand pounds of U</w:t>
      </w:r>
      <w:r>
        <w:rPr>
          <w:vertAlign w:val="subscript"/>
        </w:rPr>
        <w:t>3</w:t>
      </w:r>
      <w:r>
        <w:t>O</w:t>
      </w:r>
      <w:r>
        <w:rPr>
          <w:vertAlign w:val="subscript"/>
        </w:rPr>
        <w:t>8</w:t>
      </w:r>
      <w:r>
        <w:t xml:space="preserve"> equivalent</w:t>
      </w:r>
    </w:p>
    <w:tbl>
      <w:tblPr>
        <w:tblW w:w="4225" w:type="dxa"/>
        <w:tblLook w:val="04A0"/>
      </w:tblPr>
      <w:tblGrid>
        <w:gridCol w:w="960"/>
        <w:gridCol w:w="1735"/>
        <w:gridCol w:w="1530"/>
      </w:tblGrid>
      <w:tr w14:paraId="39B2271E" w14:textId="77777777" w:rsidTr="005E4096">
        <w:tblPrEx>
          <w:tblW w:w="4225" w:type="dxa"/>
          <w:tblLook w:val="04A0"/>
        </w:tblPrEx>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096" w:rsidRPr="005E4096" w:rsidP="005E4096" w14:paraId="692C155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5B3AAF7F"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of respondents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756B8AA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All inventories</w:t>
            </w:r>
          </w:p>
        </w:tc>
      </w:tr>
      <w:tr w14:paraId="3668C79E" w14:textId="77777777" w:rsidTr="005E4096">
        <w:tblPrEx>
          <w:tblW w:w="4225"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029381A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1</w:t>
            </w:r>
          </w:p>
        </w:tc>
        <w:tc>
          <w:tcPr>
            <w:tcW w:w="1735"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6FE13EF3"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3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2F38F05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765F8B4A" w14:textId="77777777" w:rsidTr="005E4096">
        <w:tblPrEx>
          <w:tblW w:w="4225"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6CBED0F6"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2</w:t>
            </w:r>
          </w:p>
        </w:tc>
        <w:tc>
          <w:tcPr>
            <w:tcW w:w="1735"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6F636207"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3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2B49FB4"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5EF4DDFE" w14:textId="77777777" w:rsidTr="005E4096">
        <w:tblPrEx>
          <w:tblW w:w="4225"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4A6F79FD"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3</w:t>
            </w:r>
          </w:p>
        </w:tc>
        <w:tc>
          <w:tcPr>
            <w:tcW w:w="1735"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31A7AC2A"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3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0884852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0174D8EC" w14:textId="77777777" w:rsidTr="005E4096">
        <w:tblPrEx>
          <w:tblW w:w="4225"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2F5354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4</w:t>
            </w:r>
          </w:p>
        </w:tc>
        <w:tc>
          <w:tcPr>
            <w:tcW w:w="1735"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440A0D75"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3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0B3168C"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713AD78B" w14:textId="77777777" w:rsidTr="005E4096">
        <w:tblPrEx>
          <w:tblW w:w="4225"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AB283F6"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5</w:t>
            </w:r>
          </w:p>
        </w:tc>
        <w:tc>
          <w:tcPr>
            <w:tcW w:w="1735"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2D7D7758"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3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41583D7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39715992" w14:textId="77777777" w:rsidTr="005E4096">
        <w:tblPrEx>
          <w:tblW w:w="4225"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796BDD1D"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6</w:t>
            </w:r>
          </w:p>
        </w:tc>
        <w:tc>
          <w:tcPr>
            <w:tcW w:w="1735"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3A0E97D9"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8</w:t>
            </w:r>
          </w:p>
        </w:tc>
        <w:tc>
          <w:tcPr>
            <w:tcW w:w="153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CE4327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790AD4B1" w14:textId="77777777" w:rsidTr="005E4096">
        <w:tblPrEx>
          <w:tblW w:w="4225" w:type="dxa"/>
          <w:tblLook w:val="04A0"/>
        </w:tblPrEx>
        <w:trPr>
          <w:trHeight w:val="288"/>
        </w:trPr>
        <w:tc>
          <w:tcPr>
            <w:tcW w:w="2695" w:type="dxa"/>
            <w:gridSpan w:val="2"/>
            <w:tcBorders>
              <w:top w:val="nil"/>
              <w:left w:val="nil"/>
              <w:bottom w:val="nil"/>
              <w:right w:val="nil"/>
            </w:tcBorders>
            <w:shd w:val="clear" w:color="auto" w:fill="auto"/>
            <w:noWrap/>
            <w:vAlign w:val="center"/>
            <w:hideMark/>
          </w:tcPr>
          <w:p w:rsidR="005E4096" w:rsidRPr="005E4096" w:rsidP="005E4096" w14:paraId="4C861B6B"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Green = Publishable</w:t>
            </w:r>
          </w:p>
        </w:tc>
        <w:tc>
          <w:tcPr>
            <w:tcW w:w="1530" w:type="dxa"/>
            <w:tcBorders>
              <w:top w:val="nil"/>
              <w:left w:val="nil"/>
              <w:bottom w:val="nil"/>
              <w:right w:val="nil"/>
            </w:tcBorders>
            <w:shd w:val="clear" w:color="auto" w:fill="auto"/>
            <w:noWrap/>
            <w:vAlign w:val="bottom"/>
            <w:hideMark/>
          </w:tcPr>
          <w:p w:rsidR="005E4096" w:rsidRPr="005E4096" w:rsidP="005E4096" w14:paraId="4FD6A87E" w14:textId="77777777">
            <w:pPr>
              <w:spacing w:after="0" w:line="240" w:lineRule="auto"/>
              <w:rPr>
                <w:rFonts w:ascii="Aptos Narrow" w:eastAsia="Times New Roman" w:hAnsi="Aptos Narrow" w:cs="Times New Roman"/>
                <w:color w:val="000000"/>
                <w:kern w:val="0"/>
                <w14:ligatures w14:val="none"/>
              </w:rPr>
            </w:pPr>
          </w:p>
        </w:tc>
      </w:tr>
    </w:tbl>
    <w:p w:rsidR="005E4096" w:rsidP="009F1B66" w14:paraId="04BED0CA" w14:textId="77777777">
      <w:pPr>
        <w:rPr>
          <w:rFonts w:ascii="Aptos Narrow" w:eastAsia="Times New Roman" w:hAnsi="Aptos Narrow" w:cs="Times New Roman"/>
          <w:color w:val="000000"/>
          <w:kern w:val="0"/>
          <w14:ligatures w14:val="none"/>
        </w:rPr>
      </w:pPr>
    </w:p>
    <w:p w:rsidR="004423E1" w:rsidP="009F1B66" w14:paraId="38139629" w14:textId="2299E3A4">
      <w:r w:rsidRPr="009F1B66">
        <w:t>The second option would be an attempt to publish more material types</w:t>
      </w:r>
      <w:r w:rsidR="00584079">
        <w:t xml:space="preserve"> </w:t>
      </w:r>
      <w:r w:rsidRPr="00584079" w:rsidR="00584079">
        <w:t>(</w:t>
      </w:r>
      <w:r w:rsidR="00584079">
        <w:t>U</w:t>
      </w:r>
      <w:r w:rsidR="00584079">
        <w:rPr>
          <w:vertAlign w:val="subscript"/>
        </w:rPr>
        <w:t>3</w:t>
      </w:r>
      <w:r w:rsidR="00584079">
        <w:t>O</w:t>
      </w:r>
      <w:r w:rsidR="00584079">
        <w:rPr>
          <w:vertAlign w:val="subscript"/>
        </w:rPr>
        <w:t>8</w:t>
      </w:r>
      <w:r w:rsidRPr="00584079" w:rsidR="00584079">
        <w:t>, Natural UF6, Enriched UF6. Fabricated Fuel)</w:t>
      </w:r>
      <w:r w:rsidRPr="009F1B66">
        <w:t>, but it requires fewer groups of respondents (fewer groups = more respondents in each group and less granular) than originally planned. In years with robust and less-concentrated survey responses, more data will be published. However, there will be many data cells that need to be withheld</w:t>
      </w:r>
      <w:r w:rsidR="0092239E">
        <w:t>. A</w:t>
      </w:r>
      <w:r w:rsidRPr="009F1B66">
        <w:t>dditionally, due to compl</w:t>
      </w:r>
      <w:r w:rsidR="00584079">
        <w:t>e</w:t>
      </w:r>
      <w:r w:rsidRPr="009F1B66">
        <w:t xml:space="preserve">mentary suppression rules, there will be some </w:t>
      </w:r>
      <w:r w:rsidR="00C7188A">
        <w:t xml:space="preserve">information withheld that is currently published in national level inventories </w:t>
      </w:r>
      <w:r w:rsidRPr="009F1B66">
        <w:t>that</w:t>
      </w:r>
      <w:r w:rsidR="006C31A7">
        <w:t xml:space="preserve"> would</w:t>
      </w:r>
      <w:r w:rsidRPr="009F1B66">
        <w:t xml:space="preserve"> need to be withheld to mask primary suppression data cells. </w:t>
      </w:r>
    </w:p>
    <w:p w:rsidR="009F1B66" w:rsidP="009F1B66" w14:paraId="09106480" w14:textId="7E09E140">
      <w:r w:rsidRPr="009F1B66">
        <w:t xml:space="preserve">Different data cells may/will need to be withheld each year so data sets will be less consistent over time than if the first option is used. </w:t>
      </w:r>
      <w:r w:rsidR="00491D69">
        <w:t>In addition</w:t>
      </w:r>
      <w:r w:rsidRPr="009F1B66">
        <w:t>, 2023 inventory data</w:t>
      </w:r>
      <w:r w:rsidR="00AD319F">
        <w:t xml:space="preserve"> included the highest uranium inventories held by respondents on record</w:t>
      </w:r>
      <w:r w:rsidRPr="009F1B66">
        <w:t xml:space="preserve">, so any declines in inventory going forward will lead to more data needing to be withheld. </w:t>
      </w:r>
    </w:p>
    <w:p w:rsidR="00CB678C" w:rsidRPr="00405178" w:rsidP="009F1B66" w14:paraId="1CD37B94" w14:textId="77777777">
      <w:pPr>
        <w:rPr>
          <w:b/>
          <w:bCs/>
        </w:rPr>
      </w:pPr>
      <w:r w:rsidRPr="00405178">
        <w:rPr>
          <w:b/>
          <w:bCs/>
        </w:rPr>
        <w:t xml:space="preserve">Option B.    </w:t>
      </w:r>
    </w:p>
    <w:p w:rsidR="00501E01" w:rsidP="000502DC" w14:paraId="29CCC76E" w14:textId="401AB6E3">
      <w:pPr>
        <w:spacing w:after="0"/>
      </w:pPr>
      <w:r>
        <w:t xml:space="preserve">Table </w:t>
      </w:r>
      <w:r>
        <w:t xml:space="preserve">22 B. Inventories of </w:t>
      </w:r>
      <w:r w:rsidRPr="00CC0821">
        <w:t>natura</w:t>
      </w:r>
      <w:r>
        <w:t xml:space="preserve">l </w:t>
      </w:r>
      <w:r w:rsidRPr="00CC0821">
        <w:t xml:space="preserve">and enriched uranium by material type </w:t>
      </w:r>
      <w:r>
        <w:t xml:space="preserve">and utility group </w:t>
      </w:r>
      <w:r w:rsidRPr="00CC0821">
        <w:t>as of end of year</w:t>
      </w:r>
      <w:r w:rsidR="00405178">
        <w:t xml:space="preserve"> 2023</w:t>
      </w:r>
    </w:p>
    <w:p w:rsidR="00CB678C" w:rsidRPr="009F1B66" w:rsidP="009F1B66" w14:paraId="032D8A65" w14:textId="05BC4C01">
      <w:r>
        <w:t>thousand pounds of U</w:t>
      </w:r>
      <w:r>
        <w:rPr>
          <w:vertAlign w:val="subscript"/>
        </w:rPr>
        <w:t>3</w:t>
      </w:r>
      <w:r>
        <w:t>O</w:t>
      </w:r>
      <w:r>
        <w:rPr>
          <w:vertAlign w:val="subscript"/>
        </w:rPr>
        <w:t>8</w:t>
      </w:r>
      <w:r>
        <w:t xml:space="preserve"> equivalent</w:t>
      </w:r>
    </w:p>
    <w:tbl>
      <w:tblPr>
        <w:tblW w:w="8760" w:type="dxa"/>
        <w:tblLook w:val="04A0"/>
      </w:tblPr>
      <w:tblGrid>
        <w:gridCol w:w="960"/>
        <w:gridCol w:w="1560"/>
        <w:gridCol w:w="1560"/>
        <w:gridCol w:w="1560"/>
        <w:gridCol w:w="1560"/>
        <w:gridCol w:w="1560"/>
      </w:tblGrid>
      <w:tr w14:paraId="5D13C0C6" w14:textId="77777777" w:rsidTr="005E4096">
        <w:tblPrEx>
          <w:tblW w:w="8760" w:type="dxa"/>
          <w:tblLook w:val="04A0"/>
        </w:tblPrEx>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096" w:rsidRPr="005E4096" w:rsidP="005E4096" w14:paraId="52E08F0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0BDCDB4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of respondents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32D55923"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U3O8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3DC9507B"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Natural UF6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6F21646F"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Enriched UF6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4096" w:rsidRPr="005E4096" w:rsidP="005E4096" w14:paraId="6F16E9C9"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Fabricated Fuel</w:t>
            </w:r>
          </w:p>
        </w:tc>
      </w:tr>
      <w:tr w14:paraId="51E08AC6" w14:textId="77777777" w:rsidTr="005E4096">
        <w:tblPrEx>
          <w:tblW w:w="8760"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59D7566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1</w:t>
            </w:r>
          </w:p>
        </w:tc>
        <w:tc>
          <w:tcPr>
            <w:tcW w:w="1560"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351A8B87"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667994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F700D76"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68C14B72"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5A783D9D"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30A3B7DC" w14:textId="77777777" w:rsidTr="005E4096">
        <w:tblPrEx>
          <w:tblW w:w="8760"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2E38A67F"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2</w:t>
            </w:r>
          </w:p>
        </w:tc>
        <w:tc>
          <w:tcPr>
            <w:tcW w:w="1560"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4E582470"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267AAF69"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4BA81700"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0A873C43"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11F80F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67F722F6" w14:textId="77777777" w:rsidTr="005E4096">
        <w:tblPrEx>
          <w:tblW w:w="8760"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13D13FE1"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3</w:t>
            </w:r>
          </w:p>
        </w:tc>
        <w:tc>
          <w:tcPr>
            <w:tcW w:w="1560"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5D8C4841"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69BCDFE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0DE7AEC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0C29427E"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25E89DB6"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6979DA65" w14:textId="77777777" w:rsidTr="005E4096">
        <w:tblPrEx>
          <w:tblW w:w="8760"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0F051B06"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4</w:t>
            </w:r>
          </w:p>
        </w:tc>
        <w:tc>
          <w:tcPr>
            <w:tcW w:w="1560"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51EA7EFC"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2C16602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71740432"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AD1E34F"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310A0BF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40F9F921" w14:textId="77777777" w:rsidTr="005E4096">
        <w:tblPrEx>
          <w:tblW w:w="8760"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02BC4277"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5</w:t>
            </w:r>
          </w:p>
        </w:tc>
        <w:tc>
          <w:tcPr>
            <w:tcW w:w="1560"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0B4E86AE"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7</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5E918493"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0F97D130"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E40E82B"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2B178945"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6582D0E9" w14:textId="77777777" w:rsidTr="005E4096">
        <w:tblPrEx>
          <w:tblW w:w="8760" w:type="dxa"/>
          <w:tblLook w:val="04A0"/>
        </w:tblPrEx>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4096" w:rsidRPr="005E4096" w:rsidP="005E4096" w14:paraId="50D73164"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Group 6</w:t>
            </w:r>
          </w:p>
        </w:tc>
        <w:tc>
          <w:tcPr>
            <w:tcW w:w="1560" w:type="dxa"/>
            <w:tcBorders>
              <w:top w:val="nil"/>
              <w:left w:val="nil"/>
              <w:bottom w:val="single" w:sz="4" w:space="0" w:color="auto"/>
              <w:right w:val="single" w:sz="4" w:space="0" w:color="auto"/>
            </w:tcBorders>
            <w:shd w:val="clear" w:color="auto" w:fill="auto"/>
            <w:noWrap/>
            <w:vAlign w:val="bottom"/>
            <w:hideMark/>
          </w:tcPr>
          <w:p w:rsidR="005E4096" w:rsidRPr="005E4096" w:rsidP="005E4096" w14:paraId="6A8EB154" w14:textId="77777777">
            <w:pPr>
              <w:spacing w:after="0" w:line="240" w:lineRule="auto"/>
              <w:jc w:val="center"/>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8</w:t>
            </w:r>
          </w:p>
        </w:tc>
        <w:tc>
          <w:tcPr>
            <w:tcW w:w="1560" w:type="dxa"/>
            <w:tcBorders>
              <w:top w:val="nil"/>
              <w:left w:val="nil"/>
              <w:bottom w:val="single" w:sz="4" w:space="0" w:color="auto"/>
              <w:right w:val="single" w:sz="4" w:space="0" w:color="auto"/>
            </w:tcBorders>
            <w:shd w:val="clear" w:color="000000" w:fill="00B050"/>
            <w:noWrap/>
            <w:vAlign w:val="bottom"/>
            <w:hideMark/>
          </w:tcPr>
          <w:p w:rsidR="005E4096" w:rsidRPr="005E4096" w:rsidP="005E4096" w14:paraId="7F35C1D9"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C5A95F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4A3839E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c>
          <w:tcPr>
            <w:tcW w:w="1560" w:type="dxa"/>
            <w:tcBorders>
              <w:top w:val="nil"/>
              <w:left w:val="nil"/>
              <w:bottom w:val="single" w:sz="4" w:space="0" w:color="auto"/>
              <w:right w:val="single" w:sz="4" w:space="0" w:color="auto"/>
            </w:tcBorders>
            <w:shd w:val="clear" w:color="000000" w:fill="C00000"/>
            <w:noWrap/>
            <w:vAlign w:val="bottom"/>
            <w:hideMark/>
          </w:tcPr>
          <w:p w:rsidR="005E4096" w:rsidRPr="005E4096" w:rsidP="005E4096" w14:paraId="6A129248"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 </w:t>
            </w:r>
          </w:p>
        </w:tc>
      </w:tr>
      <w:tr w14:paraId="6835FE1F" w14:textId="77777777" w:rsidTr="005E4096">
        <w:tblPrEx>
          <w:tblW w:w="8760" w:type="dxa"/>
          <w:tblLook w:val="04A0"/>
        </w:tblPrEx>
        <w:trPr>
          <w:trHeight w:val="288"/>
        </w:trPr>
        <w:tc>
          <w:tcPr>
            <w:tcW w:w="2520" w:type="dxa"/>
            <w:gridSpan w:val="2"/>
            <w:tcBorders>
              <w:top w:val="nil"/>
              <w:left w:val="nil"/>
              <w:bottom w:val="nil"/>
              <w:right w:val="nil"/>
            </w:tcBorders>
            <w:shd w:val="clear" w:color="auto" w:fill="auto"/>
            <w:noWrap/>
            <w:vAlign w:val="bottom"/>
            <w:hideMark/>
          </w:tcPr>
          <w:p w:rsidR="005E4096" w:rsidRPr="005E4096" w:rsidP="005E4096" w14:paraId="6695650A"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Green = Publishable</w:t>
            </w:r>
          </w:p>
        </w:tc>
        <w:tc>
          <w:tcPr>
            <w:tcW w:w="1560" w:type="dxa"/>
            <w:tcBorders>
              <w:top w:val="nil"/>
              <w:left w:val="nil"/>
              <w:bottom w:val="nil"/>
              <w:right w:val="nil"/>
            </w:tcBorders>
            <w:shd w:val="clear" w:color="auto" w:fill="auto"/>
            <w:noWrap/>
            <w:vAlign w:val="bottom"/>
            <w:hideMark/>
          </w:tcPr>
          <w:p w:rsidR="005E4096" w:rsidRPr="005E4096" w:rsidP="005E4096" w14:paraId="0C522E24" w14:textId="77777777">
            <w:pPr>
              <w:spacing w:after="0" w:line="240" w:lineRule="auto"/>
              <w:rPr>
                <w:rFonts w:ascii="Aptos Narrow" w:eastAsia="Times New Roman" w:hAnsi="Aptos Narrow" w:cs="Times New Roman"/>
                <w:color w:val="000000"/>
                <w:kern w:val="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47C0D812" w14:textId="77777777">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4C2DFED5" w14:textId="77777777">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1B96187C" w14:textId="77777777">
            <w:pPr>
              <w:spacing w:after="0" w:line="240" w:lineRule="auto"/>
              <w:rPr>
                <w:rFonts w:ascii="Times New Roman" w:eastAsia="Times New Roman" w:hAnsi="Times New Roman" w:cs="Times New Roman"/>
                <w:kern w:val="0"/>
                <w:sz w:val="20"/>
                <w:szCs w:val="20"/>
                <w14:ligatures w14:val="none"/>
              </w:rPr>
            </w:pPr>
          </w:p>
        </w:tc>
      </w:tr>
      <w:tr w14:paraId="67D840AA" w14:textId="77777777" w:rsidTr="005E4096">
        <w:tblPrEx>
          <w:tblW w:w="8760" w:type="dxa"/>
          <w:tblLook w:val="04A0"/>
        </w:tblPrEx>
        <w:trPr>
          <w:trHeight w:val="288"/>
        </w:trPr>
        <w:tc>
          <w:tcPr>
            <w:tcW w:w="2520" w:type="dxa"/>
            <w:gridSpan w:val="2"/>
            <w:tcBorders>
              <w:top w:val="nil"/>
              <w:left w:val="nil"/>
              <w:bottom w:val="nil"/>
              <w:right w:val="nil"/>
            </w:tcBorders>
            <w:shd w:val="clear" w:color="auto" w:fill="auto"/>
            <w:noWrap/>
            <w:vAlign w:val="bottom"/>
            <w:hideMark/>
          </w:tcPr>
          <w:p w:rsidR="005E4096" w:rsidRPr="005E4096" w:rsidP="005E4096" w14:paraId="7A62EA7D" w14:textId="77777777">
            <w:pPr>
              <w:spacing w:after="0" w:line="240" w:lineRule="auto"/>
              <w:rPr>
                <w:rFonts w:ascii="Aptos Narrow" w:eastAsia="Times New Roman" w:hAnsi="Aptos Narrow" w:cs="Times New Roman"/>
                <w:color w:val="000000"/>
                <w:kern w:val="0"/>
                <w14:ligatures w14:val="none"/>
              </w:rPr>
            </w:pPr>
            <w:r w:rsidRPr="005E4096">
              <w:rPr>
                <w:rFonts w:ascii="Aptos Narrow" w:eastAsia="Times New Roman" w:hAnsi="Aptos Narrow" w:cs="Times New Roman"/>
                <w:color w:val="000000"/>
                <w:kern w:val="0"/>
                <w14:ligatures w14:val="none"/>
              </w:rPr>
              <w:t>Red = Not publishable</w:t>
            </w:r>
          </w:p>
        </w:tc>
        <w:tc>
          <w:tcPr>
            <w:tcW w:w="1560" w:type="dxa"/>
            <w:tcBorders>
              <w:top w:val="nil"/>
              <w:left w:val="nil"/>
              <w:bottom w:val="nil"/>
              <w:right w:val="nil"/>
            </w:tcBorders>
            <w:shd w:val="clear" w:color="auto" w:fill="auto"/>
            <w:noWrap/>
            <w:vAlign w:val="bottom"/>
            <w:hideMark/>
          </w:tcPr>
          <w:p w:rsidR="005E4096" w:rsidRPr="005E4096" w:rsidP="005E4096" w14:paraId="3FCAA795" w14:textId="77777777">
            <w:pPr>
              <w:spacing w:after="0" w:line="240" w:lineRule="auto"/>
              <w:rPr>
                <w:rFonts w:ascii="Aptos Narrow" w:eastAsia="Times New Roman" w:hAnsi="Aptos Narrow" w:cs="Times New Roman"/>
                <w:color w:val="000000"/>
                <w:kern w:val="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5C8BE7CD" w14:textId="77777777">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7E489A28" w14:textId="77777777">
            <w:pPr>
              <w:spacing w:after="0" w:line="240" w:lineRule="auto"/>
              <w:rPr>
                <w:rFonts w:ascii="Times New Roman" w:eastAsia="Times New Roman" w:hAnsi="Times New Roman" w:cs="Times New Roman"/>
                <w:kern w:val="0"/>
                <w:sz w:val="20"/>
                <w:szCs w:val="20"/>
                <w14:ligatures w14:val="none"/>
              </w:rPr>
            </w:pPr>
          </w:p>
        </w:tc>
        <w:tc>
          <w:tcPr>
            <w:tcW w:w="1560" w:type="dxa"/>
            <w:tcBorders>
              <w:top w:val="nil"/>
              <w:left w:val="nil"/>
              <w:bottom w:val="nil"/>
              <w:right w:val="nil"/>
            </w:tcBorders>
            <w:shd w:val="clear" w:color="auto" w:fill="auto"/>
            <w:noWrap/>
            <w:vAlign w:val="bottom"/>
            <w:hideMark/>
          </w:tcPr>
          <w:p w:rsidR="005E4096" w:rsidRPr="005E4096" w:rsidP="005E4096" w14:paraId="424EE5F2" w14:textId="77777777">
            <w:pPr>
              <w:spacing w:after="0" w:line="240" w:lineRule="auto"/>
              <w:rPr>
                <w:rFonts w:ascii="Times New Roman" w:eastAsia="Times New Roman" w:hAnsi="Times New Roman" w:cs="Times New Roman"/>
                <w:kern w:val="0"/>
                <w:sz w:val="20"/>
                <w:szCs w:val="20"/>
                <w14:ligatures w14:val="none"/>
              </w:rPr>
            </w:pPr>
          </w:p>
        </w:tc>
      </w:tr>
    </w:tbl>
    <w:p w:rsidR="00405178" w14:paraId="0205C7BA" w14:textId="77777777"/>
    <w:p w:rsidR="002E6B2C" w14:paraId="0F690204" w14:textId="77777777">
      <w:pPr>
        <w:rPr>
          <w:b/>
          <w:bCs/>
        </w:rPr>
      </w:pPr>
      <w:bookmarkStart w:id="0" w:name="_Hlk190266936"/>
      <w:r>
        <w:rPr>
          <w:b/>
          <w:bCs/>
        </w:rPr>
        <w:t>Conclusion</w:t>
      </w:r>
    </w:p>
    <w:p w:rsidR="00B26C87" w:rsidP="00B26C87" w14:paraId="405E2018" w14:textId="77777777">
      <w:r>
        <w:t xml:space="preserve">After discussing these options with industry stakeholders, EIA recommends adopting Option B as a new table named 22 B as this is the preferred Option of the industry stakeholders. EIA staff has made it clear to stakeholders that in some years a significant amount of data may need to be withheld. The existing Table 22 (Inventories of </w:t>
      </w:r>
      <w:r w:rsidRPr="00CC0821">
        <w:t>natura</w:t>
      </w:r>
      <w:r>
        <w:t xml:space="preserve">l </w:t>
      </w:r>
      <w:r w:rsidRPr="00CC0821">
        <w:t>and enriched uranium by material type</w:t>
      </w:r>
      <w:r>
        <w:t>) will be renamed Table 22 A.</w:t>
      </w:r>
      <w:r w:rsidRPr="00CC0821">
        <w:t xml:space="preserve"> </w:t>
      </w:r>
    </w:p>
    <w:p w:rsidR="001A1FB6" w:rsidP="001A1FB6" w14:paraId="43CC500D" w14:textId="11577724">
      <w:pPr>
        <w:spacing w:after="0"/>
      </w:pPr>
      <w:r w:rsidRPr="00810B4F">
        <w:t xml:space="preserve">Option B also </w:t>
      </w:r>
      <w:r w:rsidRPr="00810B4F" w:rsidR="00FB41FB">
        <w:t xml:space="preserve">partially </w:t>
      </w:r>
      <w:r w:rsidRPr="00810B4F">
        <w:t xml:space="preserve">satisfies comments 2a </w:t>
      </w:r>
      <w:r w:rsidRPr="00810B4F" w:rsidR="00FB41FB">
        <w:t>by</w:t>
      </w:r>
      <w:r w:rsidRPr="00810B4F" w:rsidR="002F5FF6">
        <w:t xml:space="preserve"> </w:t>
      </w:r>
      <w:r w:rsidRPr="00810B4F" w:rsidR="00FB41FB">
        <w:t>i</w:t>
      </w:r>
      <w:r w:rsidRPr="00810B4F">
        <w:t>nclud</w:t>
      </w:r>
      <w:r w:rsidRPr="00810B4F" w:rsidR="00FB41FB">
        <w:t>ing</w:t>
      </w:r>
      <w:r w:rsidRPr="00810B4F">
        <w:t xml:space="preserve"> the number of respondents</w:t>
      </w:r>
      <w:r w:rsidRPr="00810B4F" w:rsidR="00FB41FB">
        <w:t xml:space="preserve"> in each group</w:t>
      </w:r>
      <w:r w:rsidRPr="00810B4F">
        <w:t xml:space="preserve">. </w:t>
      </w:r>
      <w:r w:rsidRPr="00810B4F" w:rsidR="00FB41FB">
        <w:t>Because EIA does not collect inventories of uranium at a reactor level, we are concerned publishing inventories with the number of reactors implies a</w:t>
      </w:r>
      <w:r w:rsidRPr="00810B4F" w:rsidR="002F5FF6">
        <w:t>n</w:t>
      </w:r>
      <w:r w:rsidRPr="00810B4F" w:rsidR="00FB41FB">
        <w:t xml:space="preserve"> inventory management strategy that may not be the case.  Collecting inventories at a reactor level represents</w:t>
      </w:r>
      <w:r w:rsidRPr="00810B4F">
        <w:t xml:space="preserve"> </w:t>
      </w:r>
      <w:r w:rsidRPr="00810B4F" w:rsidR="00401B95">
        <w:t xml:space="preserve">an </w:t>
      </w:r>
      <w:r w:rsidRPr="00810B4F">
        <w:t xml:space="preserve">additional </w:t>
      </w:r>
      <w:r w:rsidRPr="00810B4F" w:rsidR="00401B95">
        <w:t>burden</w:t>
      </w:r>
      <w:r w:rsidRPr="00810B4F">
        <w:t xml:space="preserve"> for </w:t>
      </w:r>
      <w:r w:rsidRPr="00810B4F" w:rsidR="00EF3ACE">
        <w:t xml:space="preserve">both </w:t>
      </w:r>
      <w:r w:rsidRPr="00810B4F">
        <w:t>EIA</w:t>
      </w:r>
      <w:r w:rsidRPr="00810B4F" w:rsidR="00D16ADB">
        <w:t xml:space="preserve"> and respondents to the Form EIA-858</w:t>
      </w:r>
      <w:r w:rsidRPr="00810B4F" w:rsidR="00A83927">
        <w:t xml:space="preserve">.  </w:t>
      </w:r>
      <w:r w:rsidRPr="00810B4F" w:rsidR="008A1EFA">
        <w:t>Inventories would need to be added to the survey or</w:t>
      </w:r>
      <w:r w:rsidRPr="00810B4F">
        <w:t xml:space="preserve"> need to </w:t>
      </w:r>
      <w:r w:rsidRPr="00810B4F" w:rsidR="000937F2">
        <w:t xml:space="preserve">be </w:t>
      </w:r>
      <w:r w:rsidRPr="00810B4F">
        <w:t>independently gather</w:t>
      </w:r>
      <w:r w:rsidRPr="00810B4F" w:rsidR="000937F2">
        <w:t>ed</w:t>
      </w:r>
      <w:r w:rsidRPr="00810B4F">
        <w:t xml:space="preserve"> and assign</w:t>
      </w:r>
      <w:r w:rsidRPr="00810B4F" w:rsidR="008A1EFA">
        <w:t>ed</w:t>
      </w:r>
      <w:r w:rsidRPr="00810B4F">
        <w:t xml:space="preserve"> to respondents in each group, but there are no disclosure issues as long as the data cell itself can be published</w:t>
      </w:r>
      <w:r w:rsidRPr="00810B4F" w:rsidR="00401B95">
        <w:t>. Comment</w:t>
      </w:r>
      <w:r w:rsidRPr="00810B4F">
        <w:t xml:space="preserve"> 2b (Add the exact </w:t>
      </w:r>
      <w:r w:rsidRPr="00810B4F">
        <w:t>percentage to each group) can be added to the new data</w:t>
      </w:r>
      <w:r w:rsidRPr="00810B4F" w:rsidR="00401B95">
        <w:t xml:space="preserve"> without confidentiality concerns also given that the data cell itself can be published</w:t>
      </w:r>
      <w:r w:rsidRPr="00810B4F">
        <w:t>.</w:t>
      </w:r>
    </w:p>
    <w:p w:rsidR="001A1FB6" w:rsidP="001A1FB6" w14:paraId="57111290" w14:textId="01C64CF8">
      <w:pPr>
        <w:spacing w:after="0"/>
      </w:pPr>
    </w:p>
    <w:p w:rsidR="001A1FB6" w:rsidP="001A1FB6" w14:paraId="4E4CBA9F" w14:textId="274C1623">
      <w:pPr>
        <w:spacing w:after="0"/>
      </w:pPr>
      <w:r>
        <w:t>Similarly r</w:t>
      </w:r>
      <w:r w:rsidR="00FB7864">
        <w:t xml:space="preserve">egarding 2c, </w:t>
      </w:r>
      <w:r>
        <w:t>“</w:t>
      </w:r>
      <w:r w:rsidRPr="001A1FB6">
        <w:t>Normalizing how the inventory is depicted: specifically, instead of using just pounds equivalent, taking inventory totals reported in Item 2 of the survey and dividing this by the average of the last three years reported for Item 4 (to capture different reload cycles</w:t>
      </w:r>
      <w:r w:rsidR="00252421">
        <w:t>,</w:t>
      </w:r>
      <w:r w:rsidR="000937F2">
        <w:t>”</w:t>
      </w:r>
      <w:r w:rsidR="00935337">
        <w:t xml:space="preserve"> </w:t>
      </w:r>
      <w:r w:rsidRPr="00935337" w:rsidR="00935337">
        <w:t>EIA finds that normaliz</w:t>
      </w:r>
      <w:r w:rsidR="000937F2">
        <w:t>ing</w:t>
      </w:r>
      <w:r w:rsidRPr="00935337" w:rsidR="00935337">
        <w:t xml:space="preserve"> the inventory will negatively impact respondents as well as strain EIA’s limited resources. </w:t>
      </w:r>
      <w:r>
        <w:t xml:space="preserve"> Every nuclear reactor operates under unique </w:t>
      </w:r>
      <w:r w:rsidR="00401B95">
        <w:t xml:space="preserve">and often confidential </w:t>
      </w:r>
      <w:r>
        <w:t>circumstances and schedules.</w:t>
      </w:r>
      <w:r w:rsidR="00401B95">
        <w:t xml:space="preserve"> </w:t>
      </w:r>
      <w:r w:rsidR="00245331">
        <w:t>Additionally, t</w:t>
      </w:r>
      <w:r w:rsidR="00401B95">
        <w:t>his would entail significant work and</w:t>
      </w:r>
      <w:r w:rsidR="00D45930">
        <w:t xml:space="preserve"> increase</w:t>
      </w:r>
      <w:r w:rsidR="00245331">
        <w:t xml:space="preserve"> EIA’s</w:t>
      </w:r>
      <w:r w:rsidR="00401B95">
        <w:t xml:space="preserve"> IT burden</w:t>
      </w:r>
      <w:r w:rsidR="009D2810">
        <w:t>,</w:t>
      </w:r>
      <w:r w:rsidR="00401B95">
        <w:t xml:space="preserve"> w</w:t>
      </w:r>
      <w:r w:rsidR="009D2810">
        <w:t>h</w:t>
      </w:r>
      <w:r w:rsidR="00401B95">
        <w:t>i</w:t>
      </w:r>
      <w:r w:rsidR="009D2810">
        <w:t>ch</w:t>
      </w:r>
      <w:r w:rsidR="00401B95">
        <w:t xml:space="preserve"> </w:t>
      </w:r>
      <w:r w:rsidR="009D2810">
        <w:t>could lead to</w:t>
      </w:r>
      <w:r w:rsidR="00401B95">
        <w:t xml:space="preserve"> result</w:t>
      </w:r>
      <w:r w:rsidR="009D2810">
        <w:t>s</w:t>
      </w:r>
      <w:r w:rsidR="00401B95">
        <w:t xml:space="preserve"> that might not be wholly accurate</w:t>
      </w:r>
      <w:r w:rsidR="000937F2">
        <w:t>,</w:t>
      </w:r>
      <w:r w:rsidR="00401B95">
        <w:t xml:space="preserve"> given assumptions </w:t>
      </w:r>
      <w:r w:rsidR="00766A87">
        <w:t xml:space="preserve">EIA </w:t>
      </w:r>
      <w:r w:rsidR="00401B95">
        <w:t>would have to make on the operational schedules of individual reactors. Such modeling falls out of the realm of the statistical survey work EIA performs.</w:t>
      </w:r>
    </w:p>
    <w:p w:rsidR="001A1FB6" w:rsidP="001A1FB6" w14:paraId="4FC3A9E9" w14:textId="77777777">
      <w:pPr>
        <w:spacing w:after="0"/>
      </w:pPr>
    </w:p>
    <w:p w:rsidR="00B26C87" w:rsidP="001A1FB6" w14:paraId="76020F7C" w14:textId="7BFF5923">
      <w:pPr>
        <w:spacing w:after="0"/>
      </w:pPr>
      <w:r>
        <w:t>These changes will require enhancements to the dissemination systems as well as outreach with data users to explain the need for cell suppression. EIA plans to implement the new table in the data year (2025 data published in 2026) following approval of this collection package (currently scheduled for publication in the summer of 2025)</w:t>
      </w:r>
      <w:r w:rsidR="00D07754">
        <w:t>, if resources allow.</w:t>
      </w:r>
    </w:p>
    <w:bookmarkEnd w:id="0"/>
    <w:p w:rsidR="00E02613" w:rsidP="00B26C87" w14:paraId="77BF50E6" w14:textId="7A285D9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D18" w:rsidRPr="001F3A8F" w:rsidP="001F3A8F" w14:paraId="4F76F9D8" w14:textId="4BFE6DED">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Pr="00751762" w:rsidR="00751762">
          <w:t>Disclosure Analysis Review Report</w:t>
        </w:r>
      </w:sdtContent>
    </w:sdt>
    <w:r>
      <w:tab/>
    </w:r>
    <w:r>
      <w:fldChar w:fldCharType="begin"/>
    </w:r>
    <w:r>
      <w:instrText xml:space="preserve"> PAGE   \* MERGEFORMAT </w:instrText>
    </w:r>
    <w:r>
      <w:fldChar w:fldCharType="separate"/>
    </w:r>
    <w:r>
      <w:rPr>
        <w:noProof/>
      </w:rPr>
      <w:t>1</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66"/>
    <w:rsid w:val="0001113D"/>
    <w:rsid w:val="000113B9"/>
    <w:rsid w:val="000364E1"/>
    <w:rsid w:val="000502DC"/>
    <w:rsid w:val="0008361B"/>
    <w:rsid w:val="000853F9"/>
    <w:rsid w:val="000937F2"/>
    <w:rsid w:val="000B45C2"/>
    <w:rsid w:val="000D00F7"/>
    <w:rsid w:val="000D4099"/>
    <w:rsid w:val="00116F03"/>
    <w:rsid w:val="00125345"/>
    <w:rsid w:val="0013059B"/>
    <w:rsid w:val="00176F8B"/>
    <w:rsid w:val="0018561F"/>
    <w:rsid w:val="001A08DF"/>
    <w:rsid w:val="001A1FB6"/>
    <w:rsid w:val="001A2A9B"/>
    <w:rsid w:val="001B5B4B"/>
    <w:rsid w:val="001F3A8F"/>
    <w:rsid w:val="002001A7"/>
    <w:rsid w:val="002169BD"/>
    <w:rsid w:val="002227AB"/>
    <w:rsid w:val="00231C4F"/>
    <w:rsid w:val="00245331"/>
    <w:rsid w:val="00252421"/>
    <w:rsid w:val="00260062"/>
    <w:rsid w:val="00266C11"/>
    <w:rsid w:val="00297892"/>
    <w:rsid w:val="002E6B2C"/>
    <w:rsid w:val="002F5FF6"/>
    <w:rsid w:val="00300772"/>
    <w:rsid w:val="00306216"/>
    <w:rsid w:val="003232E7"/>
    <w:rsid w:val="00327A25"/>
    <w:rsid w:val="00394594"/>
    <w:rsid w:val="003C3E64"/>
    <w:rsid w:val="003D333C"/>
    <w:rsid w:val="003E026D"/>
    <w:rsid w:val="003E3627"/>
    <w:rsid w:val="00401B95"/>
    <w:rsid w:val="00405178"/>
    <w:rsid w:val="00437D6F"/>
    <w:rsid w:val="004423E1"/>
    <w:rsid w:val="00445A16"/>
    <w:rsid w:val="0044668B"/>
    <w:rsid w:val="004806A8"/>
    <w:rsid w:val="00491D69"/>
    <w:rsid w:val="004C2086"/>
    <w:rsid w:val="004C3D18"/>
    <w:rsid w:val="00501E01"/>
    <w:rsid w:val="00584079"/>
    <w:rsid w:val="005857DA"/>
    <w:rsid w:val="005960B5"/>
    <w:rsid w:val="005974A9"/>
    <w:rsid w:val="005B1B6F"/>
    <w:rsid w:val="005E4096"/>
    <w:rsid w:val="006206F3"/>
    <w:rsid w:val="00641622"/>
    <w:rsid w:val="006C31A7"/>
    <w:rsid w:val="006F4E90"/>
    <w:rsid w:val="00727FBF"/>
    <w:rsid w:val="00751762"/>
    <w:rsid w:val="00756E65"/>
    <w:rsid w:val="00760BEC"/>
    <w:rsid w:val="00766A87"/>
    <w:rsid w:val="007777EF"/>
    <w:rsid w:val="007F0C0B"/>
    <w:rsid w:val="007F28E4"/>
    <w:rsid w:val="007F7195"/>
    <w:rsid w:val="00802C4A"/>
    <w:rsid w:val="00810B4F"/>
    <w:rsid w:val="0085604C"/>
    <w:rsid w:val="00866D92"/>
    <w:rsid w:val="00894111"/>
    <w:rsid w:val="008A1EFA"/>
    <w:rsid w:val="008C4102"/>
    <w:rsid w:val="0092239E"/>
    <w:rsid w:val="00935337"/>
    <w:rsid w:val="00942408"/>
    <w:rsid w:val="009668B0"/>
    <w:rsid w:val="009B06E6"/>
    <w:rsid w:val="009D2810"/>
    <w:rsid w:val="009D3415"/>
    <w:rsid w:val="009D7ECC"/>
    <w:rsid w:val="009E36B7"/>
    <w:rsid w:val="009F1B66"/>
    <w:rsid w:val="009F61F7"/>
    <w:rsid w:val="00A15C16"/>
    <w:rsid w:val="00A15FCE"/>
    <w:rsid w:val="00A165EC"/>
    <w:rsid w:val="00A71E7D"/>
    <w:rsid w:val="00A83927"/>
    <w:rsid w:val="00A955E1"/>
    <w:rsid w:val="00AA0775"/>
    <w:rsid w:val="00AD319F"/>
    <w:rsid w:val="00B26C87"/>
    <w:rsid w:val="00B3668E"/>
    <w:rsid w:val="00B41D7A"/>
    <w:rsid w:val="00B619FC"/>
    <w:rsid w:val="00B85EB0"/>
    <w:rsid w:val="00BD29DA"/>
    <w:rsid w:val="00BE1523"/>
    <w:rsid w:val="00BE70F5"/>
    <w:rsid w:val="00C67A1B"/>
    <w:rsid w:val="00C7188A"/>
    <w:rsid w:val="00C71FD0"/>
    <w:rsid w:val="00C8626B"/>
    <w:rsid w:val="00CA2665"/>
    <w:rsid w:val="00CB180D"/>
    <w:rsid w:val="00CB678C"/>
    <w:rsid w:val="00CC0821"/>
    <w:rsid w:val="00CD5484"/>
    <w:rsid w:val="00CF035B"/>
    <w:rsid w:val="00CF66DD"/>
    <w:rsid w:val="00D07754"/>
    <w:rsid w:val="00D16ADB"/>
    <w:rsid w:val="00D45930"/>
    <w:rsid w:val="00D669ED"/>
    <w:rsid w:val="00DD6055"/>
    <w:rsid w:val="00DE1023"/>
    <w:rsid w:val="00E02613"/>
    <w:rsid w:val="00E16E6B"/>
    <w:rsid w:val="00E3753F"/>
    <w:rsid w:val="00E66124"/>
    <w:rsid w:val="00EA1BFD"/>
    <w:rsid w:val="00EB63C8"/>
    <w:rsid w:val="00EF3ACE"/>
    <w:rsid w:val="00F570D4"/>
    <w:rsid w:val="00F92254"/>
    <w:rsid w:val="00FB41FB"/>
    <w:rsid w:val="00FB7864"/>
    <w:rsid w:val="00FC26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48B7D"/>
  <w15:chartTrackingRefBased/>
  <w15:docId w15:val="{D5FD1871-8251-4772-9F2F-87B0EC33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66"/>
    <w:rPr>
      <w:rFonts w:eastAsiaTheme="majorEastAsia" w:cstheme="majorBidi"/>
      <w:color w:val="272727" w:themeColor="text1" w:themeTint="D8"/>
    </w:rPr>
  </w:style>
  <w:style w:type="paragraph" w:styleId="Title">
    <w:name w:val="Title"/>
    <w:basedOn w:val="Normal"/>
    <w:next w:val="Normal"/>
    <w:link w:val="TitleChar"/>
    <w:uiPriority w:val="10"/>
    <w:qFormat/>
    <w:rsid w:val="009F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66"/>
    <w:pPr>
      <w:spacing w:before="160"/>
      <w:jc w:val="center"/>
    </w:pPr>
    <w:rPr>
      <w:i/>
      <w:iCs/>
      <w:color w:val="404040" w:themeColor="text1" w:themeTint="BF"/>
    </w:rPr>
  </w:style>
  <w:style w:type="character" w:customStyle="1" w:styleId="QuoteChar">
    <w:name w:val="Quote Char"/>
    <w:basedOn w:val="DefaultParagraphFont"/>
    <w:link w:val="Quote"/>
    <w:uiPriority w:val="29"/>
    <w:rsid w:val="009F1B66"/>
    <w:rPr>
      <w:i/>
      <w:iCs/>
      <w:color w:val="404040" w:themeColor="text1" w:themeTint="BF"/>
    </w:rPr>
  </w:style>
  <w:style w:type="paragraph" w:styleId="ListParagraph">
    <w:name w:val="List Paragraph"/>
    <w:basedOn w:val="Normal"/>
    <w:uiPriority w:val="34"/>
    <w:qFormat/>
    <w:rsid w:val="009F1B66"/>
    <w:pPr>
      <w:ind w:left="720"/>
      <w:contextualSpacing/>
    </w:pPr>
  </w:style>
  <w:style w:type="character" w:styleId="IntenseEmphasis">
    <w:name w:val="Intense Emphasis"/>
    <w:basedOn w:val="DefaultParagraphFont"/>
    <w:uiPriority w:val="21"/>
    <w:qFormat/>
    <w:rsid w:val="009F1B66"/>
    <w:rPr>
      <w:i/>
      <w:iCs/>
      <w:color w:val="0F4761" w:themeColor="accent1" w:themeShade="BF"/>
    </w:rPr>
  </w:style>
  <w:style w:type="paragraph" w:styleId="IntenseQuote">
    <w:name w:val="Intense Quote"/>
    <w:basedOn w:val="Normal"/>
    <w:next w:val="Normal"/>
    <w:link w:val="IntenseQuoteChar"/>
    <w:uiPriority w:val="30"/>
    <w:qFormat/>
    <w:rsid w:val="009F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B66"/>
    <w:rPr>
      <w:i/>
      <w:iCs/>
      <w:color w:val="0F4761" w:themeColor="accent1" w:themeShade="BF"/>
    </w:rPr>
  </w:style>
  <w:style w:type="character" w:styleId="IntenseReference">
    <w:name w:val="Intense Reference"/>
    <w:basedOn w:val="DefaultParagraphFont"/>
    <w:uiPriority w:val="32"/>
    <w:qFormat/>
    <w:rsid w:val="009F1B66"/>
    <w:rPr>
      <w:b/>
      <w:bCs/>
      <w:smallCaps/>
      <w:color w:val="0F4761" w:themeColor="accent1" w:themeShade="BF"/>
      <w:spacing w:val="5"/>
    </w:rPr>
  </w:style>
  <w:style w:type="character" w:styleId="Hyperlink">
    <w:name w:val="Hyperlink"/>
    <w:basedOn w:val="DefaultParagraphFont"/>
    <w:uiPriority w:val="99"/>
    <w:unhideWhenUsed/>
    <w:rsid w:val="009F1B66"/>
    <w:rPr>
      <w:color w:val="467886" w:themeColor="hyperlink"/>
      <w:u w:val="single"/>
    </w:rPr>
  </w:style>
  <w:style w:type="character" w:styleId="UnresolvedMention">
    <w:name w:val="Unresolved Mention"/>
    <w:basedOn w:val="DefaultParagraphFont"/>
    <w:uiPriority w:val="99"/>
    <w:semiHidden/>
    <w:unhideWhenUsed/>
    <w:rsid w:val="009F1B66"/>
    <w:rPr>
      <w:color w:val="605E5C"/>
      <w:shd w:val="clear" w:color="auto" w:fill="E1DFDD"/>
    </w:rPr>
  </w:style>
  <w:style w:type="paragraph" w:styleId="Revision">
    <w:name w:val="Revision"/>
    <w:hidden/>
    <w:uiPriority w:val="99"/>
    <w:semiHidden/>
    <w:rsid w:val="009D7ECC"/>
    <w:pPr>
      <w:spacing w:after="0" w:line="240" w:lineRule="auto"/>
    </w:pPr>
  </w:style>
  <w:style w:type="character" w:styleId="CommentReference">
    <w:name w:val="annotation reference"/>
    <w:basedOn w:val="DefaultParagraphFont"/>
    <w:uiPriority w:val="99"/>
    <w:semiHidden/>
    <w:unhideWhenUsed/>
    <w:rsid w:val="00942408"/>
    <w:rPr>
      <w:sz w:val="16"/>
      <w:szCs w:val="16"/>
    </w:rPr>
  </w:style>
  <w:style w:type="paragraph" w:styleId="CommentText">
    <w:name w:val="annotation text"/>
    <w:basedOn w:val="Normal"/>
    <w:link w:val="CommentTextChar"/>
    <w:uiPriority w:val="99"/>
    <w:unhideWhenUsed/>
    <w:rsid w:val="00942408"/>
    <w:pPr>
      <w:spacing w:line="240" w:lineRule="auto"/>
    </w:pPr>
    <w:rPr>
      <w:sz w:val="20"/>
      <w:szCs w:val="20"/>
    </w:rPr>
  </w:style>
  <w:style w:type="character" w:customStyle="1" w:styleId="CommentTextChar">
    <w:name w:val="Comment Text Char"/>
    <w:basedOn w:val="DefaultParagraphFont"/>
    <w:link w:val="CommentText"/>
    <w:uiPriority w:val="99"/>
    <w:rsid w:val="00942408"/>
    <w:rPr>
      <w:sz w:val="20"/>
      <w:szCs w:val="20"/>
    </w:rPr>
  </w:style>
  <w:style w:type="paragraph" w:styleId="CommentSubject">
    <w:name w:val="annotation subject"/>
    <w:basedOn w:val="CommentText"/>
    <w:next w:val="CommentText"/>
    <w:link w:val="CommentSubjectChar"/>
    <w:uiPriority w:val="99"/>
    <w:semiHidden/>
    <w:unhideWhenUsed/>
    <w:rsid w:val="00942408"/>
    <w:rPr>
      <w:b/>
      <w:bCs/>
    </w:rPr>
  </w:style>
  <w:style w:type="character" w:customStyle="1" w:styleId="CommentSubjectChar">
    <w:name w:val="Comment Subject Char"/>
    <w:basedOn w:val="CommentTextChar"/>
    <w:link w:val="CommentSubject"/>
    <w:uiPriority w:val="99"/>
    <w:semiHidden/>
    <w:rsid w:val="00942408"/>
    <w:rPr>
      <w:b/>
      <w:bCs/>
      <w:sz w:val="20"/>
      <w:szCs w:val="20"/>
    </w:rPr>
  </w:style>
  <w:style w:type="paragraph" w:styleId="Footer">
    <w:name w:val="footer"/>
    <w:basedOn w:val="Normal"/>
    <w:link w:val="FooterChar"/>
    <w:autoRedefine/>
    <w:uiPriority w:val="99"/>
    <w:qFormat/>
    <w:rsid w:val="004C3D18"/>
    <w:pPr>
      <w:tabs>
        <w:tab w:val="center" w:pos="2160"/>
        <w:tab w:val="right" w:pos="9720"/>
      </w:tabs>
      <w:spacing w:after="0" w:line="240" w:lineRule="auto"/>
      <w:ind w:left="3600" w:hanging="3600"/>
    </w:pPr>
    <w:rPr>
      <w:kern w:val="0"/>
      <w:sz w:val="16"/>
      <w14:ligatures w14:val="none"/>
    </w:rPr>
  </w:style>
  <w:style w:type="character" w:customStyle="1" w:styleId="FooterChar">
    <w:name w:val="Footer Char"/>
    <w:basedOn w:val="DefaultParagraphFont"/>
    <w:link w:val="Footer"/>
    <w:uiPriority w:val="99"/>
    <w:rsid w:val="004C3D18"/>
    <w:rPr>
      <w:kern w:val="0"/>
      <w:sz w:val="16"/>
      <w14:ligatures w14:val="none"/>
    </w:rPr>
  </w:style>
  <w:style w:type="character" w:styleId="PlaceholderText">
    <w:name w:val="Placeholder Text"/>
    <w:basedOn w:val="DefaultParagraphFont"/>
    <w:uiPriority w:val="99"/>
    <w:semiHidden/>
    <w:rsid w:val="004C3D18"/>
    <w:rPr>
      <w:color w:val="808080"/>
    </w:rPr>
  </w:style>
  <w:style w:type="paragraph" w:styleId="Header">
    <w:name w:val="header"/>
    <w:basedOn w:val="Normal"/>
    <w:link w:val="HeaderChar"/>
    <w:uiPriority w:val="99"/>
    <w:unhideWhenUsed/>
    <w:rsid w:val="0075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5B85-3D2A-49FC-A4D5-A78E4C6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Dependent Interviewing in the Annual Electric Generator Report (EIA-860</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Dependent Interviewing in the Annual Electric Generator Report (EIA-860</dc:title>
  <dc:subject>Disclosure Analysis Review Report</dc:subject>
  <dc:creator>Brown, Tyson</dc:creator>
  <cp:lastModifiedBy>Morales, Gerson</cp:lastModifiedBy>
  <cp:revision>2</cp:revision>
  <dcterms:created xsi:type="dcterms:W3CDTF">2025-04-11T18:18:00Z</dcterms:created>
  <dcterms:modified xsi:type="dcterms:W3CDTF">2025-04-11T18:18:00Z</dcterms:modified>
</cp:coreProperties>
</file>