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D57620" w:rsidP="009E3D48" w14:paraId="375ADEF6" w14:textId="77777777">
      <w:pPr>
        <w:jc w:val="center"/>
        <w:rPr>
          <w:rFonts w:asciiTheme="minorHAnsi" w:hAnsiTheme="minorHAnsi"/>
          <w:sz w:val="22"/>
        </w:rPr>
      </w:pPr>
      <w:r w:rsidRPr="00D57620">
        <w:rPr>
          <w:rFonts w:asciiTheme="minorHAnsi" w:hAnsiTheme="minorHAnsi"/>
          <w:sz w:val="22"/>
        </w:rPr>
        <w:t>SUPPORTING STATEMENT</w:t>
      </w:r>
    </w:p>
    <w:p w:rsidR="00A24315" w:rsidRPr="00D57620" w:rsidP="009E3D48" w14:paraId="342866CC" w14:textId="0B0BE67D">
      <w:pPr>
        <w:jc w:val="center"/>
        <w:rPr>
          <w:rFonts w:asciiTheme="minorHAnsi" w:hAnsiTheme="minorHAnsi"/>
          <w:sz w:val="22"/>
        </w:rPr>
      </w:pPr>
      <w:r w:rsidRPr="00D57620">
        <w:rPr>
          <w:rFonts w:asciiTheme="minorHAnsi" w:hAnsiTheme="minorHAnsi"/>
          <w:sz w:val="22"/>
        </w:rPr>
        <w:t>Internal Revenue Service</w:t>
      </w:r>
    </w:p>
    <w:p w:rsidR="00182BE3" w:rsidRPr="00D57620" w:rsidP="009E3D48" w14:paraId="0CFC7B60" w14:textId="7FBB3663">
      <w:pPr>
        <w:jc w:val="center"/>
        <w:rPr>
          <w:rFonts w:asciiTheme="minorHAnsi" w:hAnsiTheme="minorHAnsi"/>
          <w:sz w:val="22"/>
        </w:rPr>
      </w:pPr>
      <w:r w:rsidRPr="00D57620">
        <w:rPr>
          <w:rFonts w:asciiTheme="minorHAnsi" w:hAnsiTheme="minorHAnsi"/>
          <w:sz w:val="22"/>
        </w:rPr>
        <w:t>Form 1099-CAP</w:t>
      </w:r>
      <w:r w:rsidR="00D57620">
        <w:rPr>
          <w:rFonts w:asciiTheme="minorHAnsi" w:hAnsiTheme="minorHAnsi"/>
          <w:sz w:val="22"/>
        </w:rPr>
        <w:t xml:space="preserve">, </w:t>
      </w:r>
      <w:r w:rsidRPr="00D57620" w:rsidR="00557607">
        <w:rPr>
          <w:rFonts w:asciiTheme="minorHAnsi" w:hAnsiTheme="minorHAnsi"/>
          <w:sz w:val="22"/>
        </w:rPr>
        <w:t>Changes in Corporate Control and Capital Structure</w:t>
      </w:r>
    </w:p>
    <w:p w:rsidR="00F87A66" w:rsidRPr="00D57620" w:rsidP="009E3D48" w14:paraId="589F8F97" w14:textId="77777777">
      <w:pPr>
        <w:jc w:val="center"/>
        <w:rPr>
          <w:rFonts w:asciiTheme="minorHAnsi" w:hAnsiTheme="minorHAnsi"/>
          <w:sz w:val="22"/>
        </w:rPr>
      </w:pPr>
      <w:r w:rsidRPr="00D57620">
        <w:rPr>
          <w:rFonts w:asciiTheme="minorHAnsi" w:hAnsiTheme="minorHAnsi"/>
          <w:sz w:val="22"/>
        </w:rPr>
        <w:t xml:space="preserve">OMB Control Number </w:t>
      </w:r>
      <w:r w:rsidRPr="00D57620" w:rsidR="002119E2">
        <w:rPr>
          <w:rFonts w:asciiTheme="minorHAnsi" w:hAnsiTheme="minorHAnsi"/>
          <w:sz w:val="22"/>
        </w:rPr>
        <w:t>1545-1814</w:t>
      </w:r>
    </w:p>
    <w:p w:rsidR="009E3D48" w:rsidRPr="00DC1585" w:rsidP="009E3D48" w14:paraId="7C546932" w14:textId="77777777">
      <w:pPr>
        <w:rPr>
          <w:rFonts w:asciiTheme="minorHAnsi" w:hAnsiTheme="minorHAnsi"/>
          <w:b/>
          <w:bCs/>
          <w:sz w:val="22"/>
          <w:u w:val="single"/>
        </w:rPr>
      </w:pPr>
    </w:p>
    <w:p w:rsidR="009E3D48" w:rsidP="009E3D48" w14:paraId="4D549F18"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42684658" w14:textId="2B03991C">
      <w:pPr>
        <w:ind w:left="648" w:right="-72" w:hanging="720"/>
        <w:rPr>
          <w:rFonts w:asciiTheme="minorHAnsi" w:hAnsiTheme="minorHAnsi"/>
          <w:b/>
          <w:sz w:val="22"/>
          <w:u w:val="single"/>
        </w:rPr>
      </w:pPr>
    </w:p>
    <w:p w:rsidR="00B13D02" w:rsidP="00B13D02" w14:paraId="42FCE83A" w14:textId="25804757">
      <w:pPr>
        <w:tabs>
          <w:tab w:val="left" w:pos="540"/>
        </w:tabs>
        <w:ind w:left="540" w:hanging="540"/>
        <w:rPr>
          <w:rFonts w:asciiTheme="minorHAnsi" w:hAnsiTheme="minorHAnsi"/>
          <w:sz w:val="22"/>
          <w:highlight w:val="yellow"/>
        </w:rPr>
      </w:pPr>
      <w:r>
        <w:rPr>
          <w:rFonts w:asciiTheme="minorHAnsi" w:hAnsiTheme="minorHAnsi"/>
          <w:sz w:val="22"/>
        </w:rPr>
        <w:tab/>
      </w:r>
      <w:r w:rsidRPr="005A2B4F">
        <w:rPr>
          <w:rFonts w:asciiTheme="minorHAnsi" w:hAnsiTheme="minorHAnsi"/>
          <w:sz w:val="22"/>
        </w:rPr>
        <w:t>Internal Revenue Code</w:t>
      </w:r>
      <w:r w:rsidR="005A2B4F">
        <w:rPr>
          <w:rFonts w:asciiTheme="minorHAnsi" w:hAnsiTheme="minorHAnsi"/>
          <w:sz w:val="22"/>
        </w:rPr>
        <w:t xml:space="preserve"> </w:t>
      </w:r>
      <w:r w:rsidRPr="005A2B4F" w:rsidR="00072A09">
        <w:rPr>
          <w:rFonts w:asciiTheme="minorHAnsi" w:hAnsiTheme="minorHAnsi"/>
          <w:sz w:val="22"/>
        </w:rPr>
        <w:t>(IRC)</w:t>
      </w:r>
      <w:r w:rsidRPr="005A2B4F" w:rsidR="00364BEE">
        <w:rPr>
          <w:rFonts w:asciiTheme="minorHAnsi" w:hAnsiTheme="minorHAnsi"/>
          <w:sz w:val="22"/>
        </w:rPr>
        <w:t xml:space="preserve"> </w:t>
      </w:r>
      <w:r w:rsidR="00A801E7">
        <w:rPr>
          <w:rFonts w:asciiTheme="minorHAnsi" w:hAnsiTheme="minorHAnsi"/>
          <w:sz w:val="22"/>
        </w:rPr>
        <w:t>s</w:t>
      </w:r>
      <w:r w:rsidRPr="005A2B4F" w:rsidR="00364BEE">
        <w:rPr>
          <w:rFonts w:asciiTheme="minorHAnsi" w:hAnsiTheme="minorHAnsi"/>
          <w:sz w:val="22"/>
        </w:rPr>
        <w:t xml:space="preserve">ection 6043(c) </w:t>
      </w:r>
      <w:r w:rsidRPr="005A2B4F" w:rsidR="005A2B4F">
        <w:rPr>
          <w:rFonts w:asciiTheme="minorHAnsi" w:hAnsiTheme="minorHAnsi"/>
          <w:sz w:val="22"/>
        </w:rPr>
        <w:t>sets forth reporting requirements for transactions involving a change in control or in the capital structure of a corporation. Section 6043(c) specifically provides that if control of a corporation is acquired by any person (or group of persons) in a transaction (or series of related transactions) or there is a recapitalization of a corporation or other substantial change in the capital structure of a corporation, the Internal Revenue Service</w:t>
      </w:r>
      <w:r w:rsidR="005A2B4F">
        <w:rPr>
          <w:rFonts w:asciiTheme="minorHAnsi" w:hAnsiTheme="minorHAnsi"/>
          <w:sz w:val="22"/>
        </w:rPr>
        <w:t xml:space="preserve"> (</w:t>
      </w:r>
      <w:r w:rsidRPr="005A2B4F" w:rsidR="005A2B4F">
        <w:rPr>
          <w:rFonts w:asciiTheme="minorHAnsi" w:hAnsiTheme="minorHAnsi"/>
          <w:sz w:val="22"/>
        </w:rPr>
        <w:t>IRS</w:t>
      </w:r>
      <w:r w:rsidR="005A2B4F">
        <w:rPr>
          <w:rFonts w:asciiTheme="minorHAnsi" w:hAnsiTheme="minorHAnsi"/>
          <w:sz w:val="22"/>
        </w:rPr>
        <w:t>)</w:t>
      </w:r>
      <w:r w:rsidRPr="005A2B4F" w:rsidR="005A2B4F">
        <w:rPr>
          <w:rFonts w:asciiTheme="minorHAnsi" w:hAnsiTheme="minorHAnsi"/>
          <w:sz w:val="22"/>
        </w:rPr>
        <w:t xml:space="preserve"> may require the corporation to file informational returns identifying the parties to the transaction, the fees involved, the changes in the capital structure involved, and any other information required by regulations.</w:t>
      </w:r>
    </w:p>
    <w:p w:rsidR="005A2B4F" w:rsidP="00B13D02" w14:paraId="788A3A9E" w14:textId="77777777">
      <w:pPr>
        <w:tabs>
          <w:tab w:val="left" w:pos="540"/>
        </w:tabs>
        <w:ind w:left="540" w:hanging="540"/>
        <w:rPr>
          <w:rFonts w:asciiTheme="minorHAnsi" w:hAnsiTheme="minorHAnsi"/>
          <w:sz w:val="22"/>
        </w:rPr>
      </w:pPr>
    </w:p>
    <w:p w:rsidR="00364BEE" w:rsidRPr="00A801E7" w:rsidP="00B13D02" w14:paraId="6796C784" w14:textId="649D3F2B">
      <w:pPr>
        <w:tabs>
          <w:tab w:val="left" w:pos="540"/>
        </w:tabs>
        <w:ind w:left="540" w:hanging="540"/>
        <w:rPr>
          <w:rFonts w:asciiTheme="minorHAnsi" w:hAnsiTheme="minorHAnsi"/>
          <w:sz w:val="22"/>
        </w:rPr>
      </w:pPr>
      <w:r>
        <w:rPr>
          <w:rFonts w:asciiTheme="minorHAnsi" w:hAnsiTheme="minorHAnsi"/>
          <w:sz w:val="22"/>
        </w:rPr>
        <w:tab/>
      </w:r>
      <w:r w:rsidRPr="00A801E7" w:rsidR="00B831A0">
        <w:rPr>
          <w:rFonts w:asciiTheme="minorHAnsi" w:hAnsiTheme="minorHAnsi"/>
          <w:sz w:val="22"/>
        </w:rPr>
        <w:t>The r</w:t>
      </w:r>
      <w:r w:rsidRPr="00A801E7">
        <w:rPr>
          <w:rFonts w:asciiTheme="minorHAnsi" w:hAnsiTheme="minorHAnsi"/>
          <w:sz w:val="22"/>
        </w:rPr>
        <w:t>egulation section 1.6043-4 requires large companies to report corporate inversion transactions that subject shareholders to taxes.</w:t>
      </w:r>
      <w:r w:rsidRPr="00A801E7" w:rsidR="00B831A0">
        <w:rPr>
          <w:rFonts w:asciiTheme="minorHAnsi" w:hAnsiTheme="minorHAnsi"/>
          <w:sz w:val="22"/>
        </w:rPr>
        <w:t xml:space="preserve"> </w:t>
      </w:r>
      <w:r w:rsidRPr="00A801E7">
        <w:rPr>
          <w:rFonts w:asciiTheme="minorHAnsi" w:hAnsiTheme="minorHAnsi"/>
          <w:sz w:val="22"/>
        </w:rPr>
        <w:t>The regulations mandate the reporting</w:t>
      </w:r>
      <w:r w:rsidRPr="00A801E7" w:rsidR="00B831A0">
        <w:rPr>
          <w:rFonts w:asciiTheme="minorHAnsi" w:hAnsiTheme="minorHAnsi"/>
          <w:sz w:val="22"/>
        </w:rPr>
        <w:t xml:space="preserve"> of t</w:t>
      </w:r>
      <w:r w:rsidRPr="00A801E7">
        <w:rPr>
          <w:rFonts w:asciiTheme="minorHAnsi" w:hAnsiTheme="minorHAnsi"/>
          <w:sz w:val="22"/>
        </w:rPr>
        <w:t>ransactions involving the acquisition of control within an affiliated group or involving stock valued less than $100 million will not be covered. The regulations are effective for acquisitions of control and substantial changes of capital structure taking place after December 31, 2001.</w:t>
      </w:r>
    </w:p>
    <w:p w:rsidR="00B13D02" w:rsidRPr="00072A09" w:rsidP="00B13D02" w14:paraId="09A7255C" w14:textId="77777777">
      <w:pPr>
        <w:tabs>
          <w:tab w:val="left" w:pos="540"/>
        </w:tabs>
        <w:ind w:left="540" w:hanging="540"/>
        <w:rPr>
          <w:rFonts w:asciiTheme="minorHAnsi" w:hAnsiTheme="minorHAnsi"/>
          <w:sz w:val="22"/>
          <w:highlight w:val="yellow"/>
        </w:rPr>
      </w:pPr>
    </w:p>
    <w:p w:rsidR="000614EE" w:rsidP="00B13D02" w14:paraId="56A2CAAA" w14:textId="51BBE13E">
      <w:pPr>
        <w:tabs>
          <w:tab w:val="left" w:pos="540"/>
        </w:tabs>
        <w:ind w:left="540" w:hanging="540"/>
        <w:rPr>
          <w:rFonts w:asciiTheme="minorHAnsi" w:hAnsiTheme="minorHAnsi"/>
          <w:sz w:val="22"/>
        </w:rPr>
      </w:pPr>
      <w:r w:rsidRPr="00364BEE">
        <w:rPr>
          <w:rFonts w:asciiTheme="minorHAnsi" w:hAnsiTheme="minorHAnsi"/>
          <w:sz w:val="22"/>
        </w:rPr>
        <w:tab/>
        <w:t xml:space="preserve">Form 1099-CAP is </w:t>
      </w:r>
      <w:r w:rsidRPr="00364BEE" w:rsidR="001B1697">
        <w:rPr>
          <w:rFonts w:asciiTheme="minorHAnsi" w:hAnsiTheme="minorHAnsi"/>
          <w:sz w:val="22"/>
        </w:rPr>
        <w:t xml:space="preserve">filed </w:t>
      </w:r>
      <w:r w:rsidRPr="00364BEE">
        <w:rPr>
          <w:rFonts w:asciiTheme="minorHAnsi" w:hAnsiTheme="minorHAnsi"/>
          <w:sz w:val="22"/>
        </w:rPr>
        <w:t>by a corporation</w:t>
      </w:r>
      <w:r w:rsidRPr="000614EE">
        <w:rPr>
          <w:rFonts w:asciiTheme="minorHAnsi" w:hAnsiTheme="minorHAnsi"/>
          <w:sz w:val="22"/>
        </w:rPr>
        <w:t xml:space="preserve"> whose control was acquired or who underwent a substantial change in capital structure </w:t>
      </w:r>
      <w:r w:rsidR="001B1697">
        <w:rPr>
          <w:rFonts w:asciiTheme="minorHAnsi" w:hAnsiTheme="minorHAnsi"/>
          <w:sz w:val="22"/>
        </w:rPr>
        <w:t xml:space="preserve">and then </w:t>
      </w:r>
      <w:r w:rsidRPr="000614EE">
        <w:rPr>
          <w:rFonts w:asciiTheme="minorHAnsi" w:hAnsiTheme="minorHAnsi"/>
          <w:sz w:val="22"/>
        </w:rPr>
        <w:t>determine</w:t>
      </w:r>
      <w:r w:rsidR="001B1697">
        <w:rPr>
          <w:rFonts w:asciiTheme="minorHAnsi" w:hAnsiTheme="minorHAnsi"/>
          <w:sz w:val="22"/>
        </w:rPr>
        <w:t>d</w:t>
      </w:r>
      <w:r w:rsidRPr="000614EE">
        <w:rPr>
          <w:rFonts w:asciiTheme="minorHAnsi" w:hAnsiTheme="minorHAnsi"/>
          <w:sz w:val="22"/>
        </w:rPr>
        <w:t xml:space="preserve"> the shareholders may have to recognize gain from the cash, stock, or other property they received in exchange for the corporation's stock.</w:t>
      </w:r>
    </w:p>
    <w:p w:rsidR="000614EE" w:rsidP="00B13D02" w14:paraId="1620400E" w14:textId="77777777">
      <w:pPr>
        <w:tabs>
          <w:tab w:val="left" w:pos="540"/>
        </w:tabs>
        <w:ind w:left="540" w:hanging="540"/>
        <w:rPr>
          <w:rFonts w:asciiTheme="minorHAnsi" w:hAnsiTheme="minorHAnsi"/>
          <w:sz w:val="22"/>
        </w:rPr>
      </w:pPr>
    </w:p>
    <w:p w:rsidR="009E3D48" w:rsidRPr="00DC1585" w:rsidP="009E3D48" w14:paraId="47B12CD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B13D02" w:rsidP="005E5B5A" w14:paraId="5906A314" w14:textId="77777777">
      <w:pPr>
        <w:rPr>
          <w:rFonts w:eastAsia="Times New Roman" w:asciiTheme="minorHAnsi" w:hAnsiTheme="minorHAnsi" w:cs="Times New Roman"/>
          <w:sz w:val="22"/>
        </w:rPr>
      </w:pPr>
      <w:bookmarkStart w:id="0" w:name="_Hlk2674318"/>
    </w:p>
    <w:p w:rsidR="00B13D02" w:rsidRPr="00B13D02" w:rsidP="00B13D02" w14:paraId="53234DFA" w14:textId="7F8D5040">
      <w:pPr>
        <w:ind w:left="540"/>
        <w:rPr>
          <w:rFonts w:eastAsia="Times New Roman" w:asciiTheme="minorHAnsi" w:hAnsiTheme="minorHAnsi" w:cs="Times New Roman"/>
          <w:sz w:val="22"/>
        </w:rPr>
      </w:pPr>
      <w:r w:rsidRPr="000614EE">
        <w:rPr>
          <w:rFonts w:eastAsia="Times New Roman" w:asciiTheme="minorHAnsi" w:hAnsiTheme="minorHAnsi" w:cs="Times New Roman"/>
          <w:sz w:val="22"/>
        </w:rPr>
        <w:t>Taxpayers (shareholders) will use the information to determine any taxable gain incurred from cash received and the fair market value of stock or other property received. The gain, if any, is reported on the taxpayers' income tax return. The data will also be used by the IRS for compliance purposes</w:t>
      </w:r>
      <w:r>
        <w:rPr>
          <w:rFonts w:eastAsia="Times New Roman" w:asciiTheme="minorHAnsi" w:hAnsiTheme="minorHAnsi" w:cs="Times New Roman"/>
          <w:sz w:val="22"/>
        </w:rPr>
        <w:t>.</w:t>
      </w:r>
    </w:p>
    <w:p w:rsidR="00E20185" w:rsidP="005E5B5A" w14:paraId="6ED7196E" w14:textId="0C7355F3">
      <w:pPr>
        <w:widowControl w:val="0"/>
        <w:autoSpaceDE w:val="0"/>
        <w:autoSpaceDN w:val="0"/>
        <w:adjustRightInd w:val="0"/>
        <w:rPr>
          <w:rFonts w:eastAsia="Times New Roman" w:asciiTheme="minorHAnsi" w:hAnsiTheme="minorHAnsi" w:cs="Times New Roman"/>
          <w:sz w:val="22"/>
        </w:rPr>
      </w:pPr>
    </w:p>
    <w:bookmarkEnd w:id="0"/>
    <w:p w:rsidR="009E3D48" w:rsidRPr="00DC1585" w:rsidP="009E3D48" w14:paraId="5140C1B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P="009E3D48" w14:paraId="3C54E1B9" w14:textId="77777777">
      <w:pPr>
        <w:tabs>
          <w:tab w:val="left" w:pos="540"/>
        </w:tabs>
        <w:ind w:left="540" w:hanging="540"/>
        <w:rPr>
          <w:rFonts w:asciiTheme="minorHAnsi" w:hAnsiTheme="minorHAnsi"/>
          <w:sz w:val="22"/>
        </w:rPr>
      </w:pPr>
    </w:p>
    <w:p w:rsidR="00E20185" w:rsidP="00801000" w14:paraId="679BDFCE" w14:textId="417030E7">
      <w:pPr>
        <w:tabs>
          <w:tab w:val="left" w:pos="540"/>
        </w:tabs>
        <w:ind w:left="540" w:hanging="540"/>
        <w:rPr>
          <w:rFonts w:asciiTheme="minorHAnsi" w:hAnsiTheme="minorHAnsi"/>
          <w:sz w:val="22"/>
        </w:rPr>
      </w:pPr>
      <w:r>
        <w:rPr>
          <w:rFonts w:asciiTheme="minorHAnsi" w:hAnsiTheme="minorHAnsi"/>
          <w:sz w:val="22"/>
        </w:rPr>
        <w:tab/>
      </w:r>
      <w:r w:rsidRPr="00072A09">
        <w:rPr>
          <w:rFonts w:asciiTheme="minorHAnsi" w:hAnsiTheme="minorHAnsi"/>
          <w:sz w:val="22"/>
        </w:rPr>
        <w:t>We are currently offering electronic filing on Form 1099-CAP.</w:t>
      </w:r>
    </w:p>
    <w:p w:rsidR="00072A09" w:rsidRPr="00F87A66" w:rsidP="00801000" w14:paraId="09646880" w14:textId="77777777">
      <w:pPr>
        <w:tabs>
          <w:tab w:val="left" w:pos="540"/>
        </w:tabs>
        <w:ind w:left="540" w:hanging="540"/>
        <w:rPr>
          <w:rFonts w:asciiTheme="minorHAnsi" w:hAnsiTheme="minorHAnsi"/>
          <w:sz w:val="22"/>
        </w:rPr>
      </w:pPr>
    </w:p>
    <w:p w:rsidR="009E3D48" w:rsidRPr="00DC1585" w:rsidP="009E3D48" w14:paraId="61E5C24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465AA224" w14:textId="77777777">
      <w:pPr>
        <w:tabs>
          <w:tab w:val="left" w:pos="540"/>
        </w:tabs>
        <w:ind w:left="540" w:hanging="540"/>
        <w:rPr>
          <w:rFonts w:asciiTheme="minorHAnsi" w:hAnsiTheme="minorHAnsi"/>
          <w:sz w:val="22"/>
        </w:rPr>
      </w:pPr>
    </w:p>
    <w:p w:rsidR="001D050E" w:rsidRPr="00F87A66" w:rsidP="009E3D48" w14:paraId="1E0B0716"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281B9FD3" w14:textId="77777777">
      <w:pPr>
        <w:tabs>
          <w:tab w:val="left" w:pos="540"/>
        </w:tabs>
        <w:ind w:left="540" w:hanging="540"/>
        <w:rPr>
          <w:rFonts w:asciiTheme="minorHAnsi" w:hAnsiTheme="minorHAnsi"/>
          <w:sz w:val="22"/>
        </w:rPr>
      </w:pPr>
    </w:p>
    <w:p w:rsidR="009E3D48" w:rsidRPr="00DC1585" w:rsidP="009E3D48" w14:paraId="46CF2A6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P="009E3D48" w14:paraId="149ABFEF" w14:textId="77777777">
      <w:pPr>
        <w:tabs>
          <w:tab w:val="left" w:pos="540"/>
        </w:tabs>
        <w:ind w:left="540" w:hanging="540"/>
        <w:rPr>
          <w:rFonts w:asciiTheme="minorHAnsi" w:hAnsiTheme="minorHAnsi"/>
          <w:sz w:val="22"/>
        </w:rPr>
      </w:pPr>
    </w:p>
    <w:p w:rsidR="009E3D48" w:rsidP="009E3D48" w14:paraId="1F9666D5" w14:textId="7259D44A">
      <w:pPr>
        <w:tabs>
          <w:tab w:val="left" w:pos="540"/>
        </w:tabs>
        <w:ind w:left="540" w:hanging="540"/>
        <w:rPr>
          <w:rFonts w:asciiTheme="minorHAnsi" w:hAnsiTheme="minorHAnsi"/>
          <w:sz w:val="22"/>
        </w:rPr>
      </w:pPr>
      <w:r w:rsidRPr="00F87A66">
        <w:rPr>
          <w:rFonts w:asciiTheme="minorHAnsi" w:hAnsiTheme="minorHAnsi"/>
          <w:sz w:val="22"/>
        </w:rPr>
        <w:tab/>
      </w:r>
      <w:r w:rsidRPr="000614EE" w:rsidR="000614EE">
        <w:rPr>
          <w:rFonts w:asciiTheme="minorHAnsi" w:hAnsiTheme="minorHAnsi"/>
          <w:sz w:val="22"/>
        </w:rPr>
        <w:t>There is no burden on small businesses or other small entities due to the inapplicability of the authorizing statute to this type of entity since it is applicable to large companies that report corporate inversion transactions under IRC 6043(c).</w:t>
      </w:r>
    </w:p>
    <w:p w:rsidR="000614EE" w:rsidRPr="00F87A66" w:rsidP="009E3D48" w14:paraId="4C1DAE8D" w14:textId="77777777">
      <w:pPr>
        <w:tabs>
          <w:tab w:val="left" w:pos="540"/>
        </w:tabs>
        <w:ind w:left="540" w:hanging="540"/>
        <w:rPr>
          <w:rFonts w:asciiTheme="minorHAnsi" w:hAnsiTheme="minorHAnsi"/>
          <w:sz w:val="22"/>
        </w:rPr>
      </w:pPr>
    </w:p>
    <w:p w:rsidR="009E3D48" w:rsidRPr="00DC1585" w:rsidP="009E3D48" w14:paraId="67F3C26F"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0D76F9FD" w14:textId="77777777">
      <w:pPr>
        <w:tabs>
          <w:tab w:val="left" w:pos="540"/>
        </w:tabs>
        <w:ind w:left="540" w:hanging="540"/>
        <w:rPr>
          <w:rFonts w:asciiTheme="minorHAnsi" w:hAnsiTheme="minorHAnsi"/>
          <w:sz w:val="22"/>
        </w:rPr>
      </w:pPr>
    </w:p>
    <w:p w:rsidR="0008307A" w:rsidRPr="0008307A" w:rsidP="00072A09" w14:paraId="1407A9AD" w14:textId="696F1EB6">
      <w:pPr>
        <w:tabs>
          <w:tab w:val="left" w:pos="540"/>
        </w:tabs>
        <w:ind w:left="540"/>
        <w:rPr>
          <w:rFonts w:asciiTheme="minorHAnsi" w:hAnsiTheme="minorHAnsi"/>
          <w:sz w:val="22"/>
        </w:rPr>
      </w:pPr>
      <w:r w:rsidRPr="0008307A">
        <w:rPr>
          <w:rFonts w:asciiTheme="minorHAnsi" w:hAnsiTheme="minorHAnsi"/>
          <w:sz w:val="22"/>
        </w:rPr>
        <w:t xml:space="preserve">Less frequent collection of this information would result in the IRS being unable to verify tax being calculated and reported correctly for the purpose of IRC </w:t>
      </w:r>
      <w:r w:rsidR="00194B8F">
        <w:rPr>
          <w:rFonts w:asciiTheme="minorHAnsi" w:hAnsiTheme="minorHAnsi"/>
          <w:sz w:val="22"/>
        </w:rPr>
        <w:t>s</w:t>
      </w:r>
      <w:r w:rsidRPr="0008307A">
        <w:rPr>
          <w:rFonts w:asciiTheme="minorHAnsi" w:hAnsiTheme="minorHAnsi"/>
          <w:sz w:val="22"/>
        </w:rPr>
        <w:t>ection 6043(c). Additionally, less frequent collection of this information would compromise the IRS’s ability to enforce tax compliance. Tax compliance is a vital part of the government’s ability to meet its mission and serve the public.</w:t>
      </w:r>
    </w:p>
    <w:p w:rsidR="00557607" w:rsidRPr="00F87A66" w:rsidP="009E3D48" w14:paraId="17C914CF" w14:textId="77777777">
      <w:pPr>
        <w:tabs>
          <w:tab w:val="left" w:pos="540"/>
        </w:tabs>
        <w:ind w:left="540" w:hanging="540"/>
        <w:rPr>
          <w:rFonts w:asciiTheme="minorHAnsi" w:hAnsiTheme="minorHAnsi"/>
          <w:sz w:val="22"/>
        </w:rPr>
      </w:pPr>
    </w:p>
    <w:p w:rsidR="009E3D48" w:rsidRPr="00DC1585" w:rsidP="00CB358B" w14:paraId="1830061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05677A3A" w14:textId="77777777">
      <w:pPr>
        <w:tabs>
          <w:tab w:val="left" w:pos="540"/>
        </w:tabs>
        <w:ind w:left="540" w:hanging="540"/>
        <w:rPr>
          <w:rFonts w:asciiTheme="minorHAnsi" w:hAnsiTheme="minorHAnsi"/>
          <w:sz w:val="22"/>
        </w:rPr>
      </w:pPr>
    </w:p>
    <w:p w:rsidR="009E3D48" w:rsidRPr="00F87A66" w:rsidP="009E3D48" w14:paraId="6DC8C7E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E3D48" w:rsidRPr="00F87A66" w:rsidP="009E3D48" w14:paraId="4AAACC87" w14:textId="77777777">
      <w:pPr>
        <w:tabs>
          <w:tab w:val="left" w:pos="540"/>
        </w:tabs>
        <w:ind w:left="540" w:hanging="540"/>
        <w:rPr>
          <w:rFonts w:asciiTheme="minorHAnsi" w:hAnsiTheme="minorHAnsi"/>
          <w:sz w:val="22"/>
        </w:rPr>
      </w:pPr>
    </w:p>
    <w:p w:rsidR="009E3D48" w:rsidRPr="00DC1585" w:rsidP="009E3D48" w14:paraId="15753395" w14:textId="77777777">
      <w:pPr>
        <w:pStyle w:val="ListParagraph"/>
        <w:numPr>
          <w:ilvl w:val="0"/>
          <w:numId w:val="1"/>
        </w:numPr>
        <w:tabs>
          <w:tab w:val="left" w:pos="540"/>
        </w:tabs>
        <w:ind w:left="540" w:hanging="540"/>
        <w:rPr>
          <w:rFonts w:asciiTheme="minorHAnsi" w:hAnsiTheme="minorHAnsi"/>
          <w:b/>
          <w:sz w:val="22"/>
          <w:u w:val="single"/>
        </w:rPr>
      </w:pPr>
      <w:r w:rsidRPr="00D103E7">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14:paraId="4C489B1E" w14:textId="77777777">
      <w:pPr>
        <w:tabs>
          <w:tab w:val="left" w:pos="540"/>
        </w:tabs>
        <w:ind w:left="540" w:hanging="540"/>
        <w:rPr>
          <w:szCs w:val="24"/>
        </w:rPr>
      </w:pPr>
    </w:p>
    <w:p w:rsidR="00183523" w:rsidRPr="004606C9" w:rsidP="004606C9" w14:paraId="1873AC63" w14:textId="7DCC2090">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Pr="00A87927" w:rsidR="00A87927">
        <w:rPr>
          <w:rFonts w:asciiTheme="minorHAnsi" w:hAnsiTheme="minorHAnsi"/>
          <w:sz w:val="22"/>
        </w:rPr>
        <w:t>May</w:t>
      </w:r>
      <w:r w:rsidRPr="00A87927" w:rsidR="00710C29">
        <w:rPr>
          <w:rFonts w:asciiTheme="minorHAnsi" w:hAnsiTheme="minorHAnsi"/>
          <w:sz w:val="22"/>
        </w:rPr>
        <w:t xml:space="preserve"> </w:t>
      </w:r>
      <w:r w:rsidRPr="00A87927" w:rsidR="00A87927">
        <w:rPr>
          <w:rFonts w:asciiTheme="minorHAnsi" w:hAnsiTheme="minorHAnsi"/>
          <w:sz w:val="22"/>
        </w:rPr>
        <w:t>29</w:t>
      </w:r>
      <w:r w:rsidRPr="00A87927" w:rsidR="00102955">
        <w:rPr>
          <w:rFonts w:asciiTheme="minorHAnsi" w:hAnsiTheme="minorHAnsi"/>
          <w:sz w:val="22"/>
        </w:rPr>
        <w:t>, 20</w:t>
      </w:r>
      <w:r w:rsidRPr="00A87927" w:rsidR="00710C29">
        <w:rPr>
          <w:rFonts w:asciiTheme="minorHAnsi" w:hAnsiTheme="minorHAnsi"/>
          <w:sz w:val="22"/>
        </w:rPr>
        <w:t>2</w:t>
      </w:r>
      <w:r w:rsidRPr="00A87927" w:rsidR="00A87927">
        <w:rPr>
          <w:rFonts w:asciiTheme="minorHAnsi" w:hAnsiTheme="minorHAnsi"/>
          <w:sz w:val="22"/>
        </w:rPr>
        <w:t>5</w:t>
      </w:r>
      <w:r w:rsidRPr="00A87927" w:rsidR="004606C9">
        <w:rPr>
          <w:rFonts w:asciiTheme="minorHAnsi" w:hAnsiTheme="minorHAnsi"/>
          <w:sz w:val="22"/>
        </w:rPr>
        <w:t xml:space="preserve"> (</w:t>
      </w:r>
      <w:r w:rsidRPr="00A87927" w:rsidR="00A87927">
        <w:rPr>
          <w:rFonts w:asciiTheme="minorHAnsi" w:hAnsiTheme="minorHAnsi"/>
          <w:sz w:val="22"/>
        </w:rPr>
        <w:t>90</w:t>
      </w:r>
      <w:r w:rsidRPr="00A87927" w:rsidR="004606C9">
        <w:rPr>
          <w:rFonts w:asciiTheme="minorHAnsi" w:hAnsiTheme="minorHAnsi"/>
          <w:sz w:val="22"/>
        </w:rPr>
        <w:t xml:space="preserve"> FR </w:t>
      </w:r>
      <w:r w:rsidRPr="00A87927" w:rsidR="00A87927">
        <w:rPr>
          <w:rFonts w:asciiTheme="minorHAnsi" w:hAnsiTheme="minorHAnsi"/>
          <w:sz w:val="22"/>
        </w:rPr>
        <w:t>22831</w:t>
      </w:r>
      <w:r w:rsidRPr="00A87927" w:rsidR="004606C9">
        <w:rPr>
          <w:rFonts w:asciiTheme="minorHAnsi" w:hAnsiTheme="minorHAnsi"/>
          <w:sz w:val="22"/>
        </w:rPr>
        <w:t>), we</w:t>
      </w:r>
      <w:r w:rsidRPr="004606C9" w:rsidR="004606C9">
        <w:rPr>
          <w:rFonts w:asciiTheme="minorHAnsi" w:hAnsiTheme="minorHAnsi"/>
          <w:sz w:val="22"/>
        </w:rPr>
        <w:t xml:space="preserve"> received no comments during the comment period regarding </w:t>
      </w:r>
      <w:r w:rsidR="00710C29">
        <w:rPr>
          <w:rFonts w:asciiTheme="minorHAnsi" w:hAnsiTheme="minorHAnsi"/>
          <w:sz w:val="22"/>
        </w:rPr>
        <w:t xml:space="preserve">Form </w:t>
      </w:r>
      <w:r w:rsidR="00A87927">
        <w:rPr>
          <w:rFonts w:asciiTheme="minorHAnsi" w:hAnsiTheme="minorHAnsi"/>
          <w:sz w:val="22"/>
        </w:rPr>
        <w:t>1099-CAP</w:t>
      </w:r>
      <w:r w:rsidRPr="004606C9" w:rsidR="004606C9">
        <w:rPr>
          <w:rFonts w:asciiTheme="minorHAnsi" w:hAnsiTheme="minorHAnsi"/>
          <w:sz w:val="22"/>
        </w:rPr>
        <w:t>.</w:t>
      </w:r>
    </w:p>
    <w:p w:rsidR="009E3D48" w:rsidRPr="00F87A66" w:rsidP="009E3D48" w14:paraId="28A90751" w14:textId="77777777">
      <w:pPr>
        <w:tabs>
          <w:tab w:val="left" w:pos="540"/>
        </w:tabs>
        <w:ind w:left="540" w:hanging="540"/>
        <w:rPr>
          <w:rFonts w:asciiTheme="minorHAnsi" w:hAnsiTheme="minorHAnsi"/>
          <w:sz w:val="22"/>
        </w:rPr>
      </w:pPr>
    </w:p>
    <w:p w:rsidR="009E3D48" w:rsidRPr="00DC1585" w:rsidP="009E3D48" w14:paraId="778A6E7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14BD96DE" w14:textId="77777777">
      <w:pPr>
        <w:tabs>
          <w:tab w:val="left" w:pos="540"/>
        </w:tabs>
        <w:ind w:left="540" w:hanging="540"/>
        <w:rPr>
          <w:rFonts w:asciiTheme="minorHAnsi" w:hAnsiTheme="minorHAnsi"/>
          <w:sz w:val="22"/>
        </w:rPr>
      </w:pPr>
    </w:p>
    <w:p w:rsidR="00A24315" w:rsidRPr="00F87A66" w:rsidP="00F2414E" w14:paraId="48517407" w14:textId="3A954EAE">
      <w:pPr>
        <w:tabs>
          <w:tab w:val="left" w:pos="540"/>
        </w:tabs>
        <w:ind w:left="540"/>
        <w:rPr>
          <w:rFonts w:asciiTheme="minorHAnsi" w:hAnsiTheme="minorHAnsi"/>
          <w:sz w:val="22"/>
        </w:rPr>
      </w:pPr>
      <w:r w:rsidRPr="00F87A66">
        <w:rPr>
          <w:rFonts w:asciiTheme="minorHAnsi" w:hAnsiTheme="minorHAnsi"/>
          <w:sz w:val="22"/>
        </w:rPr>
        <w:t>No payment or gift has been provided to any respondents.</w:t>
      </w:r>
    </w:p>
    <w:p w:rsidR="009E3D48" w:rsidRPr="00F87A66" w:rsidP="009E3D48" w14:paraId="77DCFEEA" w14:textId="77777777">
      <w:pPr>
        <w:tabs>
          <w:tab w:val="left" w:pos="540"/>
        </w:tabs>
        <w:ind w:left="540" w:hanging="540"/>
        <w:rPr>
          <w:rFonts w:asciiTheme="minorHAnsi" w:hAnsiTheme="minorHAnsi"/>
          <w:sz w:val="22"/>
        </w:rPr>
      </w:pPr>
    </w:p>
    <w:p w:rsidR="009E3D48" w:rsidRPr="00DC1585" w:rsidP="009E3D48" w14:paraId="742C570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6414C49F" w14:textId="77777777">
      <w:pPr>
        <w:tabs>
          <w:tab w:val="left" w:pos="540"/>
        </w:tabs>
        <w:ind w:left="540" w:hanging="540"/>
        <w:rPr>
          <w:rFonts w:asciiTheme="minorHAnsi" w:hAnsiTheme="minorHAnsi"/>
          <w:sz w:val="22"/>
        </w:rPr>
      </w:pPr>
    </w:p>
    <w:p w:rsidR="009E3D48" w:rsidRPr="00F87A66" w:rsidP="00F2414E" w14:paraId="0BC7F071" w14:textId="0CF82B9A">
      <w:pPr>
        <w:tabs>
          <w:tab w:val="left" w:pos="540"/>
        </w:tabs>
        <w:ind w:left="540"/>
        <w:rPr>
          <w:rFonts w:asciiTheme="minorHAnsi" w:hAnsiTheme="minorHAnsi"/>
          <w:sz w:val="22"/>
        </w:rPr>
      </w:pPr>
      <w:r w:rsidRPr="00F87A66">
        <w:rPr>
          <w:rFonts w:asciiTheme="minorHAnsi" w:hAnsiTheme="minorHAnsi"/>
          <w:sz w:val="22"/>
        </w:rPr>
        <w:t>Generally, tax returns and tax return information are confidential as required by 26 U.S.C. 6103.</w:t>
      </w:r>
    </w:p>
    <w:p w:rsidR="00183523" w:rsidRPr="00DC1585" w:rsidP="009E3D48" w14:paraId="105FC904" w14:textId="77777777">
      <w:pPr>
        <w:tabs>
          <w:tab w:val="left" w:pos="540"/>
        </w:tabs>
        <w:ind w:left="540" w:hanging="540"/>
        <w:rPr>
          <w:rFonts w:asciiTheme="minorHAnsi" w:hAnsiTheme="minorHAnsi"/>
          <w:sz w:val="22"/>
          <w:u w:val="single"/>
        </w:rPr>
      </w:pPr>
    </w:p>
    <w:p w:rsidR="009E3D48" w:rsidRPr="00DC1585" w:rsidP="009E3D48" w14:paraId="45AF4724"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P="009E3D48" w14:paraId="7048FBC1" w14:textId="77777777">
      <w:pPr>
        <w:tabs>
          <w:tab w:val="left" w:pos="540"/>
        </w:tabs>
        <w:ind w:left="540" w:hanging="540"/>
        <w:rPr>
          <w:rFonts w:asciiTheme="minorHAnsi" w:hAnsiTheme="minorHAnsi"/>
          <w:b/>
          <w:sz w:val="22"/>
        </w:rPr>
      </w:pPr>
    </w:p>
    <w:p w:rsidR="00182BE3" w:rsidRPr="00182BE3" w:rsidP="00102955" w14:paraId="7ED8A81F" w14:textId="770B8EBF">
      <w:pPr>
        <w:ind w:left="540"/>
        <w:rPr>
          <w:rFonts w:asciiTheme="minorHAnsi" w:hAnsiTheme="minorHAnsi"/>
          <w:sz w:val="22"/>
        </w:rPr>
      </w:pPr>
      <w:r w:rsidRPr="00182BE3">
        <w:rPr>
          <w:rFonts w:asciiTheme="minorHAnsi" w:hAnsiTheme="minorHAnsi"/>
          <w:sz w:val="22"/>
        </w:rPr>
        <w:t>A privacy impact assessment (PIA) has been conducted for information collected under this request as part of the “Business Master file (BMF</w:t>
      </w:r>
      <w:r w:rsidRPr="00072A09" w:rsidR="00072A09">
        <w:rPr>
          <w:rFonts w:asciiTheme="minorHAnsi" w:hAnsiTheme="minorHAnsi"/>
          <w:sz w:val="22"/>
        </w:rPr>
        <w:t>)”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w:t>
      </w:r>
      <w:r w:rsidR="00102955">
        <w:rPr>
          <w:rFonts w:asciiTheme="minorHAnsi" w:hAnsiTheme="minorHAnsi"/>
          <w:sz w:val="22"/>
        </w:rPr>
        <w:t xml:space="preserve"> </w:t>
      </w:r>
      <w:hyperlink r:id="rId8" w:history="1">
        <w:r w:rsidRPr="000B33A9" w:rsidR="00D56BB9">
          <w:rPr>
            <w:rStyle w:val="Hyperlink"/>
            <w:rFonts w:asciiTheme="minorHAnsi" w:hAnsiTheme="minorHAnsi"/>
            <w:sz w:val="22"/>
          </w:rPr>
          <w:t>https://www.irs.gov/uac/Privacy-Impact-Assessments-PIA</w:t>
        </w:r>
      </w:hyperlink>
      <w:r w:rsidR="00D56BB9">
        <w:rPr>
          <w:rFonts w:asciiTheme="minorHAnsi" w:hAnsiTheme="minorHAnsi"/>
          <w:sz w:val="22"/>
        </w:rPr>
        <w:t>.</w:t>
      </w:r>
    </w:p>
    <w:p w:rsidR="00182BE3" w:rsidRPr="00182BE3" w:rsidP="00182BE3" w14:paraId="58B6AEBD" w14:textId="77777777">
      <w:pPr>
        <w:ind w:left="540"/>
        <w:rPr>
          <w:rFonts w:asciiTheme="minorHAnsi" w:hAnsiTheme="minorHAnsi"/>
          <w:sz w:val="22"/>
        </w:rPr>
      </w:pPr>
    </w:p>
    <w:p w:rsidR="00B860C5" w:rsidP="00182BE3" w14:paraId="735A5DB3" w14:textId="6674032C">
      <w:pPr>
        <w:ind w:left="540"/>
        <w:rPr>
          <w:rFonts w:asciiTheme="minorHAnsi" w:hAnsiTheme="minorHAnsi"/>
          <w:sz w:val="22"/>
        </w:rPr>
      </w:pPr>
      <w:r w:rsidRPr="00182BE3">
        <w:rPr>
          <w:rFonts w:asciiTheme="minorHAnsi" w:hAnsiTheme="minorHAnsi"/>
          <w:sz w:val="22"/>
        </w:rPr>
        <w:t>Title 26 U</w:t>
      </w:r>
      <w:r w:rsidR="00A87927">
        <w:rPr>
          <w:rFonts w:asciiTheme="minorHAnsi" w:hAnsiTheme="minorHAnsi"/>
          <w:sz w:val="22"/>
        </w:rPr>
        <w:t>.</w:t>
      </w:r>
      <w:r w:rsidRPr="00182BE3">
        <w:rPr>
          <w:rFonts w:asciiTheme="minorHAnsi" w:hAnsiTheme="minorHAnsi"/>
          <w:sz w:val="22"/>
        </w:rPr>
        <w:t>S</w:t>
      </w:r>
      <w:r w:rsidR="00A87927">
        <w:rPr>
          <w:rFonts w:asciiTheme="minorHAnsi" w:hAnsiTheme="minorHAnsi"/>
          <w:sz w:val="22"/>
        </w:rPr>
        <w:t>.</w:t>
      </w:r>
      <w:r w:rsidRPr="00182BE3">
        <w:rPr>
          <w:rFonts w:asciiTheme="minorHAnsi" w:hAnsiTheme="minorHAnsi"/>
          <w:sz w:val="22"/>
        </w:rPr>
        <w:t>C</w:t>
      </w:r>
      <w:r w:rsidR="00A87927">
        <w:rPr>
          <w:rFonts w:asciiTheme="minorHAnsi" w:hAnsiTheme="minorHAnsi"/>
          <w:sz w:val="22"/>
        </w:rPr>
        <w:t>.</w:t>
      </w:r>
      <w:r w:rsidRPr="00182BE3">
        <w:rPr>
          <w:rFonts w:asciiTheme="minorHAnsi" w:hAnsiTheme="minorHAnsi"/>
          <w:sz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5D5346" w:rsidP="00182BE3" w14:paraId="6CC9A272" w14:textId="77777777">
      <w:pPr>
        <w:ind w:left="540"/>
        <w:rPr>
          <w:rFonts w:asciiTheme="minorHAnsi" w:hAnsiTheme="minorHAnsi"/>
          <w:sz w:val="22"/>
        </w:rPr>
      </w:pPr>
    </w:p>
    <w:p w:rsidR="00072A09" w:rsidP="00182BE3" w14:paraId="35815EA9" w14:textId="45AD6C49">
      <w:pPr>
        <w:ind w:left="540"/>
        <w:rPr>
          <w:rFonts w:asciiTheme="minorHAnsi" w:hAnsiTheme="minorHAnsi"/>
          <w:sz w:val="22"/>
        </w:rPr>
      </w:pPr>
      <w:r w:rsidRPr="00072A09">
        <w:rPr>
          <w:rFonts w:asciiTheme="minorHAnsi" w:hAnsiTheme="minorHAnsi"/>
          <w:sz w:val="22"/>
        </w:rPr>
        <w:t>I</w:t>
      </w:r>
      <w:r>
        <w:rPr>
          <w:rFonts w:asciiTheme="minorHAnsi" w:hAnsiTheme="minorHAnsi"/>
          <w:sz w:val="22"/>
        </w:rPr>
        <w:t xml:space="preserve">RC </w:t>
      </w:r>
      <w:r w:rsidRPr="00072A09">
        <w:rPr>
          <w:rFonts w:asciiTheme="minorHAnsi" w:hAnsiTheme="minorHAnsi"/>
          <w:sz w:val="22"/>
        </w:rPr>
        <w:t xml:space="preserve">6043 and its regulations requires taxpayers to file an information return with the IRS and furnish a statement to recipients. The agency asks for the information on the form to carry out the Internal Revenue laws of the United States. Taxpayers are required to give the agency the information needed to figure and collect the right amount of tax. The Privacy Information Statement can be found in the </w:t>
      </w:r>
      <w:r w:rsidR="00A801E7">
        <w:rPr>
          <w:rFonts w:asciiTheme="minorHAnsi" w:hAnsiTheme="minorHAnsi"/>
          <w:sz w:val="22"/>
        </w:rPr>
        <w:t>g</w:t>
      </w:r>
      <w:r w:rsidRPr="00072A09">
        <w:rPr>
          <w:rFonts w:asciiTheme="minorHAnsi" w:hAnsiTheme="minorHAnsi"/>
          <w:sz w:val="22"/>
        </w:rPr>
        <w:t xml:space="preserve">eneral </w:t>
      </w:r>
      <w:r w:rsidR="00A801E7">
        <w:rPr>
          <w:rFonts w:asciiTheme="minorHAnsi" w:hAnsiTheme="minorHAnsi"/>
          <w:sz w:val="22"/>
        </w:rPr>
        <w:t>i</w:t>
      </w:r>
      <w:r w:rsidRPr="00072A09">
        <w:rPr>
          <w:rFonts w:asciiTheme="minorHAnsi" w:hAnsiTheme="minorHAnsi"/>
          <w:sz w:val="22"/>
        </w:rPr>
        <w:t>nstructions.</w:t>
      </w:r>
    </w:p>
    <w:p w:rsidR="00072A09" w:rsidP="00182BE3" w14:paraId="47EBC9DE" w14:textId="77777777">
      <w:pPr>
        <w:ind w:left="540"/>
        <w:rPr>
          <w:rFonts w:asciiTheme="minorHAnsi" w:hAnsiTheme="minorHAnsi"/>
          <w:sz w:val="22"/>
        </w:rPr>
      </w:pPr>
    </w:p>
    <w:p w:rsidR="00277A26" w:rsidRPr="00102955" w:rsidP="001B5BD6" w14:paraId="6F1A153B" w14:textId="77777777">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102955" w:rsidP="00102955" w14:paraId="56AD75CA" w14:textId="77777777">
      <w:pPr>
        <w:tabs>
          <w:tab w:val="left" w:pos="540"/>
        </w:tabs>
        <w:rPr>
          <w:rFonts w:asciiTheme="minorHAnsi" w:hAnsiTheme="minorHAnsi"/>
          <w:sz w:val="22"/>
        </w:rPr>
      </w:pPr>
    </w:p>
    <w:p w:rsidR="00D623B8" w:rsidP="00102955" w14:paraId="7CE59C01" w14:textId="29201904">
      <w:pPr>
        <w:tabs>
          <w:tab w:val="left" w:pos="540"/>
        </w:tabs>
        <w:ind w:left="540"/>
        <w:rPr>
          <w:rFonts w:asciiTheme="minorHAnsi" w:hAnsiTheme="minorHAnsi"/>
          <w:sz w:val="22"/>
          <w:highlight w:val="yellow"/>
        </w:rPr>
      </w:pPr>
      <w:r w:rsidRPr="00D623B8">
        <w:rPr>
          <w:rFonts w:asciiTheme="minorHAnsi" w:hAnsiTheme="minorHAnsi"/>
          <w:sz w:val="22"/>
        </w:rPr>
        <w:t xml:space="preserve">The agency estimates that </w:t>
      </w:r>
      <w:r>
        <w:rPr>
          <w:rFonts w:asciiTheme="minorHAnsi" w:hAnsiTheme="minorHAnsi"/>
          <w:sz w:val="22"/>
        </w:rPr>
        <w:t>300</w:t>
      </w:r>
      <w:r w:rsidRPr="00D623B8">
        <w:rPr>
          <w:rFonts w:asciiTheme="minorHAnsi" w:hAnsiTheme="minorHAnsi"/>
          <w:sz w:val="22"/>
        </w:rPr>
        <w:t xml:space="preserve"> respondents (large companies) will file the form annually to report corporate inversion transactions that subject shareholders to taxes. Estimates are based on its most recent filing data. It is estimated that it will take 11 minutes to complete the collection of information for a total of </w:t>
      </w:r>
      <w:r>
        <w:rPr>
          <w:rFonts w:asciiTheme="minorHAnsi" w:hAnsiTheme="minorHAnsi"/>
          <w:sz w:val="22"/>
        </w:rPr>
        <w:t>54</w:t>
      </w:r>
      <w:r w:rsidRPr="00D623B8">
        <w:rPr>
          <w:rFonts w:asciiTheme="minorHAnsi" w:hAnsiTheme="minorHAnsi"/>
          <w:sz w:val="22"/>
        </w:rPr>
        <w:t xml:space="preserve"> annual burden hours</w:t>
      </w:r>
      <w:r w:rsidR="00A801E7">
        <w:rPr>
          <w:rFonts w:asciiTheme="minorHAnsi" w:hAnsiTheme="minorHAnsi"/>
          <w:sz w:val="22"/>
        </w:rPr>
        <w:t>.</w:t>
      </w:r>
    </w:p>
    <w:p w:rsidR="00D623B8" w:rsidP="00102955" w14:paraId="5CEC6062" w14:textId="77777777">
      <w:pPr>
        <w:tabs>
          <w:tab w:val="left" w:pos="540"/>
        </w:tabs>
        <w:ind w:left="540"/>
        <w:rPr>
          <w:rFonts w:asciiTheme="minorHAnsi" w:hAnsiTheme="minorHAnsi"/>
          <w:sz w:val="22"/>
          <w:highlight w:val="yellow"/>
        </w:rPr>
      </w:pPr>
    </w:p>
    <w:p w:rsidR="00102955" w:rsidRPr="00A87927" w:rsidP="00102955" w14:paraId="578C9BE0" w14:textId="0F9EDF62">
      <w:pPr>
        <w:tabs>
          <w:tab w:val="left" w:pos="540"/>
        </w:tabs>
        <w:ind w:left="540"/>
        <w:rPr>
          <w:rFonts w:asciiTheme="minorHAnsi" w:hAnsiTheme="minorHAnsi"/>
          <w:sz w:val="22"/>
        </w:rPr>
      </w:pPr>
      <w:r w:rsidRPr="00D623B8">
        <w:rPr>
          <w:rFonts w:asciiTheme="minorHAnsi" w:hAnsiTheme="minorHAnsi"/>
          <w:sz w:val="22"/>
        </w:rPr>
        <w:t>Burden Estimates as follows.</w:t>
      </w:r>
    </w:p>
    <w:p w:rsidR="00B860C5" w:rsidRPr="00A87927" w:rsidP="00B860C5" w14:paraId="4844C3E1" w14:textId="77777777">
      <w:pPr>
        <w:tabs>
          <w:tab w:val="left" w:pos="540"/>
        </w:tabs>
        <w:rPr>
          <w:rFonts w:asciiTheme="minorHAnsi" w:hAnsiTheme="minorHAnsi"/>
          <w:sz w:val="22"/>
        </w:rPr>
      </w:pPr>
    </w:p>
    <w:tbl>
      <w:tblPr>
        <w:tblW w:w="9000" w:type="dxa"/>
        <w:tblInd w:w="530" w:type="dxa"/>
        <w:tblLayout w:type="fixed"/>
        <w:tblLook w:val="04A0"/>
      </w:tblPr>
      <w:tblGrid>
        <w:gridCol w:w="1440"/>
        <w:gridCol w:w="1260"/>
        <w:gridCol w:w="1350"/>
        <w:gridCol w:w="1620"/>
        <w:gridCol w:w="1170"/>
        <w:gridCol w:w="1170"/>
        <w:gridCol w:w="990"/>
      </w:tblGrid>
      <w:tr w14:paraId="409CF2DC" w14:textId="77777777" w:rsidTr="00B117D2">
        <w:tblPrEx>
          <w:tblW w:w="9000" w:type="dxa"/>
          <w:tblInd w:w="530" w:type="dxa"/>
          <w:tblLayout w:type="fixed"/>
          <w:tblLook w:val="04A0"/>
        </w:tblPrEx>
        <w:trPr>
          <w:trHeight w:val="675"/>
        </w:trPr>
        <w:tc>
          <w:tcPr>
            <w:tcW w:w="1440" w:type="dxa"/>
            <w:tcBorders>
              <w:top w:val="single" w:sz="8" w:space="0" w:color="auto"/>
              <w:left w:val="single" w:sz="8" w:space="0" w:color="auto"/>
              <w:bottom w:val="single" w:sz="8" w:space="0" w:color="auto"/>
              <w:right w:val="single" w:sz="8" w:space="0" w:color="auto"/>
            </w:tcBorders>
            <w:noWrap/>
            <w:vAlign w:val="center"/>
            <w:hideMark/>
          </w:tcPr>
          <w:p w:rsidR="00A648C2" w:rsidRPr="00D623B8" w14:paraId="111B70F9" w14:textId="747D1FB9">
            <w:pPr>
              <w:keepNext/>
              <w:keepLines/>
              <w:widowControl w:val="0"/>
              <w:autoSpaceDN w:val="0"/>
              <w:jc w:val="center"/>
              <w:rPr>
                <w:rFonts w:cs="Times New Roman"/>
                <w:b/>
                <w:bCs/>
                <w:color w:val="000000"/>
                <w:sz w:val="20"/>
                <w:szCs w:val="20"/>
              </w:rPr>
            </w:pPr>
            <w:r w:rsidRPr="00D623B8">
              <w:rPr>
                <w:rFonts w:cs="Times New Roman"/>
                <w:b/>
                <w:bCs/>
                <w:color w:val="000000"/>
                <w:sz w:val="20"/>
                <w:szCs w:val="20"/>
              </w:rPr>
              <w:t>Authority</w:t>
            </w:r>
          </w:p>
        </w:tc>
        <w:tc>
          <w:tcPr>
            <w:tcW w:w="1260" w:type="dxa"/>
            <w:tcBorders>
              <w:top w:val="single" w:sz="8" w:space="0" w:color="auto"/>
              <w:left w:val="nil"/>
              <w:bottom w:val="single" w:sz="8" w:space="0" w:color="auto"/>
              <w:right w:val="single" w:sz="8" w:space="0" w:color="auto"/>
            </w:tcBorders>
            <w:noWrap/>
            <w:vAlign w:val="center"/>
            <w:hideMark/>
          </w:tcPr>
          <w:p w:rsidR="00A648C2" w:rsidRPr="00D623B8" w14:paraId="64C9B8F3" w14:textId="77777777">
            <w:pPr>
              <w:keepNext/>
              <w:keepLines/>
              <w:widowControl w:val="0"/>
              <w:autoSpaceDN w:val="0"/>
              <w:jc w:val="center"/>
              <w:rPr>
                <w:rFonts w:cs="Times New Roman"/>
                <w:b/>
                <w:bCs/>
                <w:color w:val="000000"/>
                <w:sz w:val="20"/>
                <w:szCs w:val="20"/>
              </w:rPr>
            </w:pPr>
            <w:r w:rsidRPr="00D623B8">
              <w:rPr>
                <w:rFonts w:cs="Times New Roman"/>
                <w:b/>
                <w:bCs/>
                <w:color w:val="000000"/>
                <w:sz w:val="20"/>
                <w:szCs w:val="20"/>
              </w:rPr>
              <w:t>Description</w:t>
            </w:r>
          </w:p>
        </w:tc>
        <w:tc>
          <w:tcPr>
            <w:tcW w:w="1350" w:type="dxa"/>
            <w:tcBorders>
              <w:top w:val="single" w:sz="8" w:space="0" w:color="auto"/>
              <w:left w:val="nil"/>
              <w:bottom w:val="single" w:sz="8" w:space="0" w:color="auto"/>
              <w:right w:val="single" w:sz="8" w:space="0" w:color="auto"/>
            </w:tcBorders>
            <w:vAlign w:val="center"/>
            <w:hideMark/>
          </w:tcPr>
          <w:p w:rsidR="00A648C2" w:rsidRPr="00D623B8" w14:paraId="29C940D5" w14:textId="1D87B9F1">
            <w:pPr>
              <w:keepNext/>
              <w:keepLines/>
              <w:widowControl w:val="0"/>
              <w:autoSpaceDN w:val="0"/>
              <w:jc w:val="center"/>
              <w:rPr>
                <w:rFonts w:cs="Times New Roman"/>
                <w:b/>
                <w:bCs/>
                <w:color w:val="000000"/>
                <w:sz w:val="20"/>
                <w:szCs w:val="20"/>
              </w:rPr>
            </w:pPr>
            <w:r w:rsidRPr="00D623B8">
              <w:rPr>
                <w:rFonts w:cs="Times New Roman"/>
                <w:b/>
                <w:bCs/>
                <w:color w:val="000000"/>
                <w:sz w:val="20"/>
                <w:szCs w:val="20"/>
              </w:rPr>
              <w:t xml:space="preserve"># </w:t>
            </w:r>
            <w:r w:rsidRPr="00D623B8" w:rsidR="00EC723E">
              <w:rPr>
                <w:rFonts w:cs="Times New Roman"/>
                <w:b/>
                <w:bCs/>
                <w:color w:val="000000"/>
                <w:sz w:val="20"/>
                <w:szCs w:val="20"/>
              </w:rPr>
              <w:t xml:space="preserve">of </w:t>
            </w:r>
            <w:r w:rsidRPr="00D623B8">
              <w:rPr>
                <w:rFonts w:cs="Times New Roman"/>
                <w:b/>
                <w:bCs/>
                <w:color w:val="000000"/>
                <w:sz w:val="20"/>
                <w:szCs w:val="20"/>
              </w:rPr>
              <w:t>Respondents</w:t>
            </w:r>
          </w:p>
        </w:tc>
        <w:tc>
          <w:tcPr>
            <w:tcW w:w="1620" w:type="dxa"/>
            <w:tcBorders>
              <w:top w:val="single" w:sz="8" w:space="0" w:color="auto"/>
              <w:left w:val="nil"/>
              <w:bottom w:val="single" w:sz="8" w:space="0" w:color="auto"/>
              <w:right w:val="single" w:sz="8" w:space="0" w:color="auto"/>
            </w:tcBorders>
            <w:vAlign w:val="center"/>
            <w:hideMark/>
          </w:tcPr>
          <w:p w:rsidR="00A648C2" w:rsidRPr="00D623B8" w:rsidP="00EC723E" w14:paraId="41A674DB" w14:textId="0617636C">
            <w:pPr>
              <w:keepNext/>
              <w:keepLines/>
              <w:jc w:val="center"/>
              <w:rPr>
                <w:rFonts w:cs="Times New Roman"/>
                <w:b/>
                <w:bCs/>
                <w:color w:val="000000"/>
                <w:sz w:val="20"/>
                <w:szCs w:val="20"/>
              </w:rPr>
            </w:pPr>
            <w:r w:rsidRPr="00D623B8">
              <w:rPr>
                <w:rFonts w:cs="Times New Roman"/>
                <w:b/>
                <w:bCs/>
                <w:color w:val="000000"/>
                <w:sz w:val="20"/>
                <w:szCs w:val="20"/>
              </w:rPr>
              <w:t>#</w:t>
            </w:r>
            <w:r w:rsidRPr="00D623B8" w:rsidR="00EC723E">
              <w:rPr>
                <w:rFonts w:cs="Times New Roman"/>
                <w:b/>
                <w:bCs/>
                <w:color w:val="000000"/>
                <w:sz w:val="20"/>
                <w:szCs w:val="20"/>
              </w:rPr>
              <w:t xml:space="preserve"> of R</w:t>
            </w:r>
            <w:r w:rsidRPr="00D623B8">
              <w:rPr>
                <w:rFonts w:cs="Times New Roman"/>
                <w:b/>
                <w:bCs/>
                <w:color w:val="000000"/>
                <w:sz w:val="20"/>
                <w:szCs w:val="20"/>
              </w:rPr>
              <w:t>esponses Per Respondent</w:t>
            </w:r>
          </w:p>
        </w:tc>
        <w:tc>
          <w:tcPr>
            <w:tcW w:w="1170" w:type="dxa"/>
            <w:tcBorders>
              <w:top w:val="single" w:sz="8" w:space="0" w:color="auto"/>
              <w:left w:val="nil"/>
              <w:bottom w:val="single" w:sz="8" w:space="0" w:color="auto"/>
              <w:right w:val="single" w:sz="8" w:space="0" w:color="auto"/>
            </w:tcBorders>
            <w:vAlign w:val="center"/>
            <w:hideMark/>
          </w:tcPr>
          <w:p w:rsidR="00A648C2" w:rsidRPr="00D623B8" w14:paraId="29DDBB8B" w14:textId="47DA64DC">
            <w:pPr>
              <w:keepNext/>
              <w:keepLines/>
              <w:widowControl w:val="0"/>
              <w:autoSpaceDN w:val="0"/>
              <w:jc w:val="center"/>
              <w:rPr>
                <w:rFonts w:cs="Times New Roman"/>
                <w:b/>
                <w:bCs/>
                <w:color w:val="000000"/>
                <w:sz w:val="20"/>
                <w:szCs w:val="20"/>
              </w:rPr>
            </w:pPr>
            <w:r w:rsidRPr="00D623B8">
              <w:rPr>
                <w:rFonts w:cs="Times New Roman"/>
                <w:b/>
                <w:bCs/>
                <w:color w:val="000000"/>
                <w:sz w:val="20"/>
                <w:szCs w:val="20"/>
              </w:rPr>
              <w:t>Annual Responses</w:t>
            </w:r>
          </w:p>
        </w:tc>
        <w:tc>
          <w:tcPr>
            <w:tcW w:w="1170" w:type="dxa"/>
            <w:tcBorders>
              <w:top w:val="single" w:sz="8" w:space="0" w:color="auto"/>
              <w:left w:val="nil"/>
              <w:bottom w:val="single" w:sz="8" w:space="0" w:color="auto"/>
              <w:right w:val="single" w:sz="8" w:space="0" w:color="auto"/>
            </w:tcBorders>
            <w:vAlign w:val="center"/>
            <w:hideMark/>
          </w:tcPr>
          <w:p w:rsidR="00A648C2" w:rsidRPr="00D623B8" w14:paraId="3A709000" w14:textId="77777777">
            <w:pPr>
              <w:keepNext/>
              <w:keepLines/>
              <w:widowControl w:val="0"/>
              <w:autoSpaceDN w:val="0"/>
              <w:jc w:val="center"/>
              <w:rPr>
                <w:rFonts w:cs="Times New Roman"/>
                <w:b/>
                <w:bCs/>
                <w:color w:val="000000"/>
                <w:sz w:val="20"/>
                <w:szCs w:val="20"/>
              </w:rPr>
            </w:pPr>
            <w:r w:rsidRPr="00D623B8">
              <w:rPr>
                <w:rFonts w:cs="Times New Roman"/>
                <w:b/>
                <w:bCs/>
                <w:color w:val="000000"/>
                <w:sz w:val="20"/>
                <w:szCs w:val="20"/>
              </w:rPr>
              <w:t>Hours Per Response</w:t>
            </w:r>
          </w:p>
        </w:tc>
        <w:tc>
          <w:tcPr>
            <w:tcW w:w="990" w:type="dxa"/>
            <w:tcBorders>
              <w:top w:val="single" w:sz="8" w:space="0" w:color="auto"/>
              <w:left w:val="nil"/>
              <w:bottom w:val="single" w:sz="8" w:space="0" w:color="auto"/>
              <w:right w:val="single" w:sz="8" w:space="0" w:color="auto"/>
            </w:tcBorders>
            <w:vAlign w:val="center"/>
            <w:hideMark/>
          </w:tcPr>
          <w:p w:rsidR="00A648C2" w:rsidRPr="00D623B8" w14:paraId="0B5114F0" w14:textId="70C658E4">
            <w:pPr>
              <w:keepNext/>
              <w:keepLines/>
              <w:widowControl w:val="0"/>
              <w:autoSpaceDN w:val="0"/>
              <w:jc w:val="center"/>
              <w:rPr>
                <w:rFonts w:cs="Times New Roman"/>
                <w:b/>
                <w:bCs/>
                <w:color w:val="000000"/>
                <w:sz w:val="20"/>
                <w:szCs w:val="20"/>
              </w:rPr>
            </w:pPr>
            <w:r w:rsidRPr="00D623B8">
              <w:rPr>
                <w:rFonts w:cs="Times New Roman"/>
                <w:b/>
                <w:bCs/>
                <w:color w:val="000000"/>
                <w:sz w:val="20"/>
                <w:szCs w:val="20"/>
              </w:rPr>
              <w:t>Total Burden</w:t>
            </w:r>
            <w:r w:rsidRPr="00D623B8" w:rsidR="00EC723E">
              <w:rPr>
                <w:rFonts w:cs="Times New Roman"/>
                <w:b/>
                <w:bCs/>
                <w:color w:val="000000"/>
                <w:sz w:val="20"/>
                <w:szCs w:val="20"/>
              </w:rPr>
              <w:t xml:space="preserve"> Hours</w:t>
            </w:r>
          </w:p>
        </w:tc>
      </w:tr>
      <w:tr w14:paraId="5D889204" w14:textId="77777777" w:rsidTr="00B117D2">
        <w:tblPrEx>
          <w:tblW w:w="9000" w:type="dxa"/>
          <w:tblInd w:w="530" w:type="dxa"/>
          <w:tblLayout w:type="fixed"/>
          <w:tblLook w:val="04A0"/>
        </w:tblPrEx>
        <w:trPr>
          <w:trHeight w:val="345"/>
        </w:trPr>
        <w:tc>
          <w:tcPr>
            <w:tcW w:w="1440" w:type="dxa"/>
            <w:tcBorders>
              <w:top w:val="single" w:sz="8" w:space="0" w:color="auto"/>
              <w:left w:val="single" w:sz="8" w:space="0" w:color="auto"/>
              <w:bottom w:val="single" w:sz="8" w:space="0" w:color="auto"/>
              <w:right w:val="single" w:sz="8" w:space="0" w:color="auto"/>
            </w:tcBorders>
            <w:noWrap/>
            <w:vAlign w:val="center"/>
          </w:tcPr>
          <w:p w:rsidR="00A648C2" w:rsidRPr="00A87927" w:rsidP="00A87927" w14:paraId="601DBA30" w14:textId="52CB6901">
            <w:pPr>
              <w:keepNext/>
              <w:keepLines/>
              <w:widowControl w:val="0"/>
              <w:autoSpaceDN w:val="0"/>
              <w:rPr>
                <w:rFonts w:cs="Times New Roman"/>
                <w:color w:val="000000"/>
                <w:sz w:val="20"/>
                <w:szCs w:val="20"/>
              </w:rPr>
            </w:pPr>
            <w:r w:rsidRPr="00A87927">
              <w:rPr>
                <w:rFonts w:cs="Times New Roman"/>
                <w:color w:val="000000"/>
                <w:sz w:val="20"/>
                <w:szCs w:val="20"/>
              </w:rPr>
              <w:t>IRC</w:t>
            </w:r>
            <w:r w:rsidRPr="00A87927" w:rsidR="0006290D">
              <w:rPr>
                <w:rFonts w:cs="Times New Roman"/>
                <w:color w:val="000000"/>
                <w:sz w:val="20"/>
                <w:szCs w:val="20"/>
              </w:rPr>
              <w:t xml:space="preserve"> §</w:t>
            </w:r>
            <w:r w:rsidRPr="00A87927">
              <w:rPr>
                <w:rFonts w:cs="Times New Roman"/>
                <w:color w:val="000000"/>
                <w:sz w:val="20"/>
                <w:szCs w:val="20"/>
              </w:rPr>
              <w:t xml:space="preserve"> 6043(c)</w:t>
            </w:r>
          </w:p>
        </w:tc>
        <w:tc>
          <w:tcPr>
            <w:tcW w:w="1260" w:type="dxa"/>
            <w:tcBorders>
              <w:top w:val="single" w:sz="8" w:space="0" w:color="auto"/>
              <w:left w:val="single" w:sz="8" w:space="0" w:color="auto"/>
              <w:bottom w:val="single" w:sz="8" w:space="0" w:color="auto"/>
              <w:right w:val="single" w:sz="8" w:space="0" w:color="auto"/>
            </w:tcBorders>
            <w:vAlign w:val="center"/>
          </w:tcPr>
          <w:p w:rsidR="00A648C2" w:rsidRPr="00A87927" w:rsidP="005E6135" w14:paraId="6F7C9C3A" w14:textId="5841CA4B">
            <w:pPr>
              <w:keepNext/>
              <w:keepLines/>
              <w:widowControl w:val="0"/>
              <w:autoSpaceDN w:val="0"/>
              <w:rPr>
                <w:rFonts w:cs="Times New Roman"/>
                <w:color w:val="000000"/>
                <w:sz w:val="20"/>
                <w:szCs w:val="20"/>
              </w:rPr>
            </w:pPr>
            <w:r w:rsidRPr="00A87927">
              <w:rPr>
                <w:rFonts w:cs="Times New Roman"/>
                <w:color w:val="000000"/>
                <w:sz w:val="20"/>
                <w:szCs w:val="20"/>
              </w:rPr>
              <w:t>Form 1099-CAP</w:t>
            </w:r>
          </w:p>
        </w:tc>
        <w:tc>
          <w:tcPr>
            <w:tcW w:w="1350" w:type="dxa"/>
            <w:tcBorders>
              <w:top w:val="single" w:sz="8" w:space="0" w:color="auto"/>
              <w:left w:val="nil"/>
              <w:bottom w:val="single" w:sz="8" w:space="0" w:color="auto"/>
              <w:right w:val="single" w:sz="8" w:space="0" w:color="auto"/>
            </w:tcBorders>
            <w:noWrap/>
            <w:vAlign w:val="center"/>
          </w:tcPr>
          <w:p w:rsidR="00A648C2" w:rsidRPr="00A87927" w14:paraId="1A824047" w14:textId="3D4ED21A">
            <w:pPr>
              <w:keepNext/>
              <w:keepLines/>
              <w:widowControl w:val="0"/>
              <w:autoSpaceDN w:val="0"/>
              <w:jc w:val="center"/>
              <w:rPr>
                <w:rFonts w:cs="Times New Roman"/>
                <w:color w:val="000000"/>
                <w:sz w:val="20"/>
                <w:szCs w:val="20"/>
              </w:rPr>
            </w:pPr>
            <w:r w:rsidRPr="00A87927">
              <w:rPr>
                <w:rFonts w:cs="Times New Roman"/>
                <w:color w:val="000000"/>
                <w:sz w:val="20"/>
                <w:szCs w:val="20"/>
              </w:rPr>
              <w:t>300</w:t>
            </w:r>
          </w:p>
        </w:tc>
        <w:tc>
          <w:tcPr>
            <w:tcW w:w="1620" w:type="dxa"/>
            <w:tcBorders>
              <w:top w:val="single" w:sz="8" w:space="0" w:color="auto"/>
              <w:left w:val="nil"/>
              <w:bottom w:val="single" w:sz="8" w:space="0" w:color="auto"/>
              <w:right w:val="single" w:sz="8" w:space="0" w:color="auto"/>
            </w:tcBorders>
            <w:noWrap/>
            <w:vAlign w:val="center"/>
          </w:tcPr>
          <w:p w:rsidR="00A648C2" w:rsidRPr="00A87927" w14:paraId="11E8AA27" w14:textId="77777777">
            <w:pPr>
              <w:keepNext/>
              <w:keepLines/>
              <w:widowControl w:val="0"/>
              <w:autoSpaceDN w:val="0"/>
              <w:jc w:val="center"/>
              <w:rPr>
                <w:rFonts w:cs="Times New Roman"/>
                <w:color w:val="000000"/>
                <w:sz w:val="20"/>
                <w:szCs w:val="20"/>
              </w:rPr>
            </w:pPr>
            <w:r w:rsidRPr="00A87927">
              <w:rPr>
                <w:rFonts w:cs="Times New Roman"/>
                <w:color w:val="000000"/>
                <w:sz w:val="20"/>
                <w:szCs w:val="20"/>
              </w:rPr>
              <w:t>1</w:t>
            </w:r>
          </w:p>
        </w:tc>
        <w:tc>
          <w:tcPr>
            <w:tcW w:w="1170" w:type="dxa"/>
            <w:tcBorders>
              <w:top w:val="single" w:sz="8" w:space="0" w:color="auto"/>
              <w:left w:val="nil"/>
              <w:bottom w:val="single" w:sz="8" w:space="0" w:color="auto"/>
              <w:right w:val="single" w:sz="8" w:space="0" w:color="auto"/>
            </w:tcBorders>
            <w:noWrap/>
            <w:vAlign w:val="center"/>
          </w:tcPr>
          <w:p w:rsidR="00A648C2" w:rsidRPr="00A87927" w14:paraId="25D46326" w14:textId="17C506EE">
            <w:pPr>
              <w:keepNext/>
              <w:keepLines/>
              <w:widowControl w:val="0"/>
              <w:autoSpaceDN w:val="0"/>
              <w:jc w:val="center"/>
              <w:rPr>
                <w:rFonts w:cs="Times New Roman"/>
                <w:color w:val="000000"/>
                <w:sz w:val="20"/>
                <w:szCs w:val="20"/>
              </w:rPr>
            </w:pPr>
            <w:r w:rsidRPr="00A87927">
              <w:rPr>
                <w:rFonts w:cs="Times New Roman"/>
                <w:color w:val="000000"/>
                <w:sz w:val="20"/>
                <w:szCs w:val="20"/>
              </w:rPr>
              <w:t>300</w:t>
            </w:r>
          </w:p>
        </w:tc>
        <w:tc>
          <w:tcPr>
            <w:tcW w:w="1170" w:type="dxa"/>
            <w:tcBorders>
              <w:top w:val="single" w:sz="8" w:space="0" w:color="auto"/>
              <w:left w:val="nil"/>
              <w:bottom w:val="single" w:sz="8" w:space="0" w:color="auto"/>
              <w:right w:val="single" w:sz="8" w:space="0" w:color="auto"/>
            </w:tcBorders>
            <w:noWrap/>
            <w:vAlign w:val="center"/>
          </w:tcPr>
          <w:p w:rsidR="00A648C2" w:rsidRPr="00A87927" w:rsidP="00F87A66" w14:paraId="5FEC7F7F" w14:textId="29EB7B17">
            <w:pPr>
              <w:keepNext/>
              <w:keepLines/>
              <w:widowControl w:val="0"/>
              <w:autoSpaceDN w:val="0"/>
              <w:jc w:val="center"/>
              <w:rPr>
                <w:rFonts w:cs="Times New Roman"/>
                <w:color w:val="000000"/>
                <w:sz w:val="20"/>
                <w:szCs w:val="20"/>
              </w:rPr>
            </w:pPr>
            <w:r w:rsidRPr="00A87927">
              <w:rPr>
                <w:rFonts w:cs="Times New Roman"/>
                <w:color w:val="000000"/>
                <w:sz w:val="20"/>
                <w:szCs w:val="20"/>
              </w:rPr>
              <w:t>.18</w:t>
            </w:r>
          </w:p>
        </w:tc>
        <w:tc>
          <w:tcPr>
            <w:tcW w:w="990" w:type="dxa"/>
            <w:tcBorders>
              <w:top w:val="single" w:sz="8" w:space="0" w:color="auto"/>
              <w:left w:val="nil"/>
              <w:bottom w:val="single" w:sz="8" w:space="0" w:color="auto"/>
              <w:right w:val="single" w:sz="8" w:space="0" w:color="auto"/>
            </w:tcBorders>
            <w:noWrap/>
            <w:vAlign w:val="center"/>
          </w:tcPr>
          <w:p w:rsidR="00A648C2" w:rsidRPr="00A87927" w:rsidP="00F87A66" w14:paraId="0EE40B0C" w14:textId="081C5B3C">
            <w:pPr>
              <w:keepNext/>
              <w:keepLines/>
              <w:widowControl w:val="0"/>
              <w:autoSpaceDN w:val="0"/>
              <w:jc w:val="center"/>
              <w:rPr>
                <w:rFonts w:cs="Times New Roman"/>
                <w:color w:val="000000"/>
                <w:sz w:val="20"/>
                <w:szCs w:val="20"/>
              </w:rPr>
            </w:pPr>
            <w:r w:rsidRPr="00A87927">
              <w:rPr>
                <w:rFonts w:cs="Times New Roman"/>
                <w:color w:val="000000"/>
                <w:sz w:val="20"/>
                <w:szCs w:val="20"/>
              </w:rPr>
              <w:t>54</w:t>
            </w:r>
          </w:p>
        </w:tc>
      </w:tr>
      <w:tr w14:paraId="4B32E541" w14:textId="77777777" w:rsidTr="00B117D2">
        <w:tblPrEx>
          <w:tblW w:w="9000" w:type="dxa"/>
          <w:tblInd w:w="530" w:type="dxa"/>
          <w:tblLayout w:type="fixed"/>
          <w:tblLook w:val="04A0"/>
        </w:tblPrEx>
        <w:trPr>
          <w:trHeight w:val="345"/>
        </w:trPr>
        <w:tc>
          <w:tcPr>
            <w:tcW w:w="1440" w:type="dxa"/>
            <w:tcBorders>
              <w:top w:val="single" w:sz="8" w:space="0" w:color="auto"/>
              <w:left w:val="single" w:sz="8" w:space="0" w:color="auto"/>
              <w:bottom w:val="single" w:sz="8" w:space="0" w:color="auto"/>
              <w:right w:val="single" w:sz="8" w:space="0" w:color="auto"/>
            </w:tcBorders>
            <w:noWrap/>
            <w:vAlign w:val="center"/>
          </w:tcPr>
          <w:p w:rsidR="006007BC" w:rsidRPr="00A87927" w14:paraId="5B56884E" w14:textId="77777777">
            <w:pPr>
              <w:keepNext/>
              <w:keepLines/>
              <w:widowControl w:val="0"/>
              <w:autoSpaceDN w:val="0"/>
              <w:jc w:val="center"/>
              <w:rPr>
                <w:rFonts w:cs="Times New Roman"/>
                <w:color w:val="000000"/>
                <w:sz w:val="20"/>
                <w:szCs w:val="20"/>
              </w:rPr>
            </w:pPr>
            <w:r w:rsidRPr="00A87927">
              <w:rPr>
                <w:rFonts w:cs="Times New Roman"/>
                <w:color w:val="000000"/>
                <w:sz w:val="20"/>
                <w:szCs w:val="20"/>
              </w:rPr>
              <w:t>TOTAL</w:t>
            </w:r>
          </w:p>
        </w:tc>
        <w:tc>
          <w:tcPr>
            <w:tcW w:w="1260" w:type="dxa"/>
            <w:tcBorders>
              <w:top w:val="single" w:sz="8" w:space="0" w:color="auto"/>
              <w:left w:val="single" w:sz="8" w:space="0" w:color="auto"/>
              <w:bottom w:val="single" w:sz="8" w:space="0" w:color="auto"/>
              <w:right w:val="single" w:sz="8" w:space="0" w:color="auto"/>
            </w:tcBorders>
            <w:vAlign w:val="center"/>
          </w:tcPr>
          <w:p w:rsidR="006007BC" w:rsidRPr="00A87927" w:rsidP="005E6135" w14:paraId="21B804E9" w14:textId="77777777">
            <w:pPr>
              <w:keepNext/>
              <w:keepLines/>
              <w:widowControl w:val="0"/>
              <w:autoSpaceDN w:val="0"/>
              <w:rPr>
                <w:rFonts w:cs="Times New Roman"/>
                <w:color w:val="000000"/>
                <w:sz w:val="20"/>
                <w:szCs w:val="20"/>
              </w:rPr>
            </w:pPr>
          </w:p>
        </w:tc>
        <w:tc>
          <w:tcPr>
            <w:tcW w:w="1350" w:type="dxa"/>
            <w:tcBorders>
              <w:top w:val="single" w:sz="8" w:space="0" w:color="auto"/>
              <w:left w:val="nil"/>
              <w:bottom w:val="single" w:sz="8" w:space="0" w:color="auto"/>
              <w:right w:val="single" w:sz="8" w:space="0" w:color="auto"/>
            </w:tcBorders>
            <w:noWrap/>
            <w:vAlign w:val="center"/>
          </w:tcPr>
          <w:p w:rsidR="006007BC" w:rsidRPr="00A87927" w14:paraId="2BA119B1" w14:textId="72227672">
            <w:pPr>
              <w:keepNext/>
              <w:keepLines/>
              <w:widowControl w:val="0"/>
              <w:autoSpaceDN w:val="0"/>
              <w:jc w:val="center"/>
              <w:rPr>
                <w:rFonts w:cs="Times New Roman"/>
                <w:color w:val="000000"/>
                <w:sz w:val="20"/>
                <w:szCs w:val="20"/>
              </w:rPr>
            </w:pPr>
            <w:r w:rsidRPr="00A87927">
              <w:rPr>
                <w:rFonts w:cs="Times New Roman"/>
                <w:color w:val="000000"/>
                <w:sz w:val="20"/>
                <w:szCs w:val="20"/>
              </w:rPr>
              <w:t>300</w:t>
            </w:r>
          </w:p>
        </w:tc>
        <w:tc>
          <w:tcPr>
            <w:tcW w:w="1620" w:type="dxa"/>
            <w:tcBorders>
              <w:top w:val="single" w:sz="8" w:space="0" w:color="auto"/>
              <w:left w:val="nil"/>
              <w:bottom w:val="single" w:sz="8" w:space="0" w:color="auto"/>
              <w:right w:val="single" w:sz="8" w:space="0" w:color="auto"/>
            </w:tcBorders>
            <w:noWrap/>
            <w:vAlign w:val="center"/>
          </w:tcPr>
          <w:p w:rsidR="006007BC" w:rsidRPr="00A87927" w14:paraId="5E6353DF" w14:textId="77777777">
            <w:pPr>
              <w:keepNext/>
              <w:keepLines/>
              <w:widowControl w:val="0"/>
              <w:autoSpaceDN w:val="0"/>
              <w:jc w:val="center"/>
              <w:rPr>
                <w:rFonts w:cs="Times New Roman"/>
                <w:color w:val="000000"/>
                <w:sz w:val="20"/>
                <w:szCs w:val="20"/>
              </w:rPr>
            </w:pPr>
          </w:p>
        </w:tc>
        <w:tc>
          <w:tcPr>
            <w:tcW w:w="1170" w:type="dxa"/>
            <w:tcBorders>
              <w:top w:val="single" w:sz="8" w:space="0" w:color="auto"/>
              <w:left w:val="nil"/>
              <w:bottom w:val="single" w:sz="8" w:space="0" w:color="auto"/>
              <w:right w:val="single" w:sz="8" w:space="0" w:color="auto"/>
            </w:tcBorders>
            <w:noWrap/>
            <w:vAlign w:val="center"/>
          </w:tcPr>
          <w:p w:rsidR="006007BC" w:rsidRPr="00A87927" w14:paraId="2395712C" w14:textId="54573B50">
            <w:pPr>
              <w:keepNext/>
              <w:keepLines/>
              <w:widowControl w:val="0"/>
              <w:autoSpaceDN w:val="0"/>
              <w:jc w:val="center"/>
              <w:rPr>
                <w:rFonts w:cs="Times New Roman"/>
                <w:color w:val="000000"/>
                <w:sz w:val="20"/>
                <w:szCs w:val="20"/>
              </w:rPr>
            </w:pPr>
            <w:r w:rsidRPr="00A87927">
              <w:rPr>
                <w:rFonts w:cs="Times New Roman"/>
                <w:color w:val="000000"/>
                <w:sz w:val="20"/>
                <w:szCs w:val="20"/>
              </w:rPr>
              <w:t>300</w:t>
            </w:r>
          </w:p>
        </w:tc>
        <w:tc>
          <w:tcPr>
            <w:tcW w:w="1170" w:type="dxa"/>
            <w:tcBorders>
              <w:top w:val="single" w:sz="8" w:space="0" w:color="auto"/>
              <w:left w:val="nil"/>
              <w:bottom w:val="single" w:sz="8" w:space="0" w:color="auto"/>
              <w:right w:val="single" w:sz="8" w:space="0" w:color="auto"/>
            </w:tcBorders>
            <w:noWrap/>
            <w:vAlign w:val="center"/>
          </w:tcPr>
          <w:p w:rsidR="006007BC" w:rsidRPr="00A87927" w:rsidP="00F87A66" w14:paraId="372372B0" w14:textId="77777777">
            <w:pPr>
              <w:keepNext/>
              <w:keepLines/>
              <w:widowControl w:val="0"/>
              <w:autoSpaceDN w:val="0"/>
              <w:jc w:val="center"/>
              <w:rPr>
                <w:rFonts w:cs="Times New Roman"/>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Pr="00A87927" w:rsidP="00F87A66" w14:paraId="65F38B46" w14:textId="7F53DA62">
            <w:pPr>
              <w:keepNext/>
              <w:keepLines/>
              <w:widowControl w:val="0"/>
              <w:autoSpaceDN w:val="0"/>
              <w:jc w:val="center"/>
              <w:rPr>
                <w:rFonts w:cs="Times New Roman"/>
                <w:color w:val="000000"/>
                <w:sz w:val="20"/>
                <w:szCs w:val="20"/>
              </w:rPr>
            </w:pPr>
            <w:r w:rsidRPr="00A87927">
              <w:rPr>
                <w:rFonts w:cs="Times New Roman"/>
                <w:color w:val="000000"/>
                <w:sz w:val="20"/>
                <w:szCs w:val="20"/>
              </w:rPr>
              <w:t>54</w:t>
            </w:r>
          </w:p>
        </w:tc>
      </w:tr>
    </w:tbl>
    <w:p w:rsidR="006007BC" w:rsidP="006007BC" w14:paraId="7A91CCDF" w14:textId="77777777">
      <w:pPr>
        <w:autoSpaceDE w:val="0"/>
        <w:autoSpaceDN w:val="0"/>
        <w:adjustRightInd w:val="0"/>
        <w:ind w:left="540"/>
        <w:rPr>
          <w:rFonts w:asciiTheme="minorHAnsi" w:hAnsiTheme="minorHAnsi" w:cs="Times New Roman"/>
          <w:sz w:val="22"/>
        </w:rPr>
      </w:pPr>
    </w:p>
    <w:p w:rsidR="009E3D48" w:rsidRPr="00DC1585" w:rsidP="006007BC" w14:paraId="700EFB93"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09D621B4" w14:textId="77777777">
      <w:pPr>
        <w:tabs>
          <w:tab w:val="left" w:pos="540"/>
        </w:tabs>
        <w:ind w:left="540" w:hanging="540"/>
        <w:rPr>
          <w:rFonts w:asciiTheme="minorHAnsi" w:hAnsiTheme="minorHAnsi"/>
          <w:b/>
          <w:sz w:val="22"/>
        </w:rPr>
      </w:pPr>
    </w:p>
    <w:p w:rsidR="00EC723E" w:rsidP="00F2414E" w14:paraId="52A13CB1" w14:textId="710A8D0C">
      <w:pPr>
        <w:tabs>
          <w:tab w:val="left" w:pos="540"/>
        </w:tabs>
        <w:ind w:left="540"/>
        <w:rPr>
          <w:rFonts w:asciiTheme="minorHAnsi" w:hAnsiTheme="minorHAnsi"/>
          <w:sz w:val="22"/>
        </w:rPr>
      </w:pPr>
      <w:r>
        <w:rPr>
          <w:rFonts w:asciiTheme="minorHAnsi" w:hAnsiTheme="minorHAnsi"/>
          <w:sz w:val="22"/>
        </w:rPr>
        <w:t>This information collection will be included in the consolidated OMB submission for information returns currently being developed. IRS is working on the methodology for evaluating information return burden and cost; and will update the cost and burden estimates as part of the consolidation.</w:t>
      </w:r>
    </w:p>
    <w:p w:rsidR="009E3D48" w:rsidRPr="00DC1585" w:rsidP="009E3D48" w14:paraId="4B3D7414" w14:textId="77777777">
      <w:pPr>
        <w:tabs>
          <w:tab w:val="left" w:pos="540"/>
        </w:tabs>
        <w:ind w:left="540" w:hanging="540"/>
        <w:rPr>
          <w:rFonts w:asciiTheme="minorHAnsi" w:hAnsiTheme="minorHAnsi"/>
          <w:b/>
          <w:sz w:val="22"/>
          <w:u w:val="single"/>
        </w:rPr>
      </w:pPr>
    </w:p>
    <w:p w:rsidR="009E3D48" w:rsidRPr="00DC1585" w:rsidP="009E3D48" w14:paraId="0F9AFC3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P="009E3D48" w14:paraId="47CA4808" w14:textId="77777777">
      <w:pPr>
        <w:tabs>
          <w:tab w:val="left" w:pos="540"/>
        </w:tabs>
        <w:ind w:left="540" w:hanging="540"/>
        <w:rPr>
          <w:rFonts w:asciiTheme="minorHAnsi" w:hAnsiTheme="minorHAnsi"/>
          <w:sz w:val="22"/>
        </w:rPr>
      </w:pPr>
    </w:p>
    <w:p w:rsidR="00A35947" w:rsidP="00E37E63" w14:paraId="363A3F63" w14:textId="63F4BF18">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w:t>
      </w:r>
      <w:r w:rsidR="00A02601">
        <w:rPr>
          <w:rFonts w:asciiTheme="minorHAnsi" w:hAnsiTheme="minorHAnsi"/>
          <w:sz w:val="22"/>
        </w:rPr>
        <w:t>-</w:t>
      </w:r>
      <w:r>
        <w:rPr>
          <w:rFonts w:asciiTheme="minorHAnsi" w:hAnsiTheme="minorHAnsi"/>
          <w:sz w:val="22"/>
        </w:rPr>
        <w:t>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C9492F" w14:paraId="739E82B1" w14:textId="77777777">
      <w:pPr>
        <w:rPr>
          <w:rFonts w:asciiTheme="minorHAnsi" w:hAnsiTheme="minorHAnsi"/>
          <w:sz w:val="22"/>
        </w:rPr>
      </w:pPr>
    </w:p>
    <w:p w:rsidR="00A35947" w:rsidP="00E37E63" w14:paraId="2308B651" w14:textId="6BD33DE2">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P="00C9492F" w14:paraId="2046F833" w14:textId="77777777">
      <w:pPr>
        <w:rPr>
          <w:rFonts w:asciiTheme="minorHAnsi" w:hAnsiTheme="minorHAnsi"/>
          <w:sz w:val="22"/>
        </w:rPr>
      </w:pPr>
    </w:p>
    <w:p w:rsidR="00A35947" w:rsidP="00BF0A90" w14:paraId="5DAC8DE6" w14:textId="3D913873">
      <w:pPr>
        <w:ind w:left="360" w:firstLine="180"/>
        <w:rPr>
          <w:rFonts w:asciiTheme="minorHAnsi" w:hAnsiTheme="minorHAnsi"/>
          <w:sz w:val="22"/>
        </w:rPr>
      </w:pPr>
      <w:r>
        <w:rPr>
          <w:rFonts w:asciiTheme="minorHAnsi" w:hAnsiTheme="minorHAnsi"/>
          <w:sz w:val="22"/>
        </w:rPr>
        <w:t>The government cost estimate for this collection is summarized in the table below.</w:t>
      </w:r>
    </w:p>
    <w:p w:rsidR="00A35947" w:rsidP="00C9492F" w14:paraId="3FCC946F" w14:textId="77777777">
      <w:pPr>
        <w:rPr>
          <w:rFonts w:asciiTheme="minorHAnsi" w:hAnsiTheme="minorHAnsi"/>
          <w:sz w:val="22"/>
        </w:rPr>
      </w:pPr>
    </w:p>
    <w:tbl>
      <w:tblPr>
        <w:tblW w:w="86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1973"/>
        <w:gridCol w:w="329"/>
        <w:gridCol w:w="1741"/>
        <w:gridCol w:w="387"/>
        <w:gridCol w:w="2036"/>
      </w:tblGrid>
      <w:tr w14:paraId="5E213663" w14:textId="77777777" w:rsidTr="00D623B8">
        <w:tblPrEx>
          <w:tblW w:w="86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3" w:type="dxa"/>
            <w:shd w:val="clear" w:color="auto" w:fill="auto"/>
            <w:vAlign w:val="bottom"/>
          </w:tcPr>
          <w:p w:rsidR="00A35947" w:rsidRPr="00D623B8" w:rsidP="0052663A" w14:paraId="26674509" w14:textId="77777777">
            <w:pPr>
              <w:keepNext/>
              <w:keepLines/>
              <w:jc w:val="center"/>
              <w:rPr>
                <w:rFonts w:cs="Times New Roman"/>
                <w:b/>
                <w:sz w:val="20"/>
                <w:szCs w:val="20"/>
                <w:u w:val="single"/>
              </w:rPr>
            </w:pPr>
            <w:r w:rsidRPr="00D623B8">
              <w:rPr>
                <w:rFonts w:cs="Times New Roman"/>
                <w:b/>
                <w:sz w:val="20"/>
                <w:szCs w:val="20"/>
                <w:u w:val="single"/>
              </w:rPr>
              <w:t>Product</w:t>
            </w:r>
          </w:p>
        </w:tc>
        <w:tc>
          <w:tcPr>
            <w:tcW w:w="1980" w:type="dxa"/>
            <w:shd w:val="clear" w:color="auto" w:fill="auto"/>
            <w:vAlign w:val="bottom"/>
          </w:tcPr>
          <w:p w:rsidR="00A35947" w:rsidRPr="00D623B8" w:rsidP="0052663A" w14:paraId="62D03486" w14:textId="77777777">
            <w:pPr>
              <w:keepNext/>
              <w:keepLines/>
              <w:jc w:val="center"/>
              <w:rPr>
                <w:rFonts w:cs="Times New Roman"/>
                <w:b/>
                <w:sz w:val="20"/>
                <w:szCs w:val="20"/>
                <w:u w:val="single"/>
              </w:rPr>
            </w:pPr>
            <w:r w:rsidRPr="00D623B8">
              <w:rPr>
                <w:rFonts w:cs="Times New Roman"/>
                <w:b/>
                <w:sz w:val="20"/>
                <w:szCs w:val="20"/>
                <w:u w:val="single"/>
              </w:rPr>
              <w:t>Aggregate Cost per Product (factor applied)</w:t>
            </w:r>
          </w:p>
        </w:tc>
        <w:tc>
          <w:tcPr>
            <w:tcW w:w="303" w:type="dxa"/>
            <w:shd w:val="clear" w:color="auto" w:fill="auto"/>
          </w:tcPr>
          <w:p w:rsidR="00A35947" w:rsidRPr="00D623B8" w:rsidP="0052663A" w14:paraId="687BD2BE" w14:textId="77777777">
            <w:pPr>
              <w:keepNext/>
              <w:keepLines/>
              <w:jc w:val="center"/>
              <w:rPr>
                <w:rFonts w:cs="Times New Roman"/>
                <w:b/>
                <w:sz w:val="20"/>
                <w:szCs w:val="20"/>
                <w:u w:val="single"/>
              </w:rPr>
            </w:pPr>
          </w:p>
        </w:tc>
        <w:tc>
          <w:tcPr>
            <w:tcW w:w="1745" w:type="dxa"/>
            <w:shd w:val="clear" w:color="auto" w:fill="auto"/>
            <w:vAlign w:val="bottom"/>
          </w:tcPr>
          <w:p w:rsidR="00A35947" w:rsidRPr="00D623B8" w:rsidP="0052663A" w14:paraId="7150A999" w14:textId="77777777">
            <w:pPr>
              <w:keepNext/>
              <w:keepLines/>
              <w:jc w:val="center"/>
              <w:rPr>
                <w:rFonts w:cs="Times New Roman"/>
                <w:b/>
                <w:sz w:val="20"/>
                <w:szCs w:val="20"/>
                <w:u w:val="single"/>
              </w:rPr>
            </w:pPr>
            <w:r w:rsidRPr="00D623B8">
              <w:rPr>
                <w:rFonts w:cs="Times New Roman"/>
                <w:b/>
                <w:sz w:val="20"/>
                <w:szCs w:val="20"/>
                <w:u w:val="single"/>
              </w:rPr>
              <w:t>Printing and Distribution</w:t>
            </w:r>
          </w:p>
        </w:tc>
        <w:tc>
          <w:tcPr>
            <w:tcW w:w="387" w:type="dxa"/>
            <w:shd w:val="clear" w:color="auto" w:fill="auto"/>
          </w:tcPr>
          <w:p w:rsidR="00A35947" w:rsidRPr="00D623B8" w:rsidP="0052663A" w14:paraId="3E8745F9" w14:textId="77777777">
            <w:pPr>
              <w:keepNext/>
              <w:keepLines/>
              <w:jc w:val="center"/>
              <w:rPr>
                <w:rFonts w:cs="Times New Roman"/>
                <w:b/>
                <w:sz w:val="20"/>
                <w:szCs w:val="20"/>
                <w:u w:val="single"/>
              </w:rPr>
            </w:pPr>
          </w:p>
        </w:tc>
        <w:tc>
          <w:tcPr>
            <w:tcW w:w="2042" w:type="dxa"/>
            <w:shd w:val="clear" w:color="auto" w:fill="auto"/>
            <w:vAlign w:val="bottom"/>
          </w:tcPr>
          <w:p w:rsidR="00A35947" w:rsidRPr="00D623B8" w:rsidP="0052663A" w14:paraId="669430CE" w14:textId="77777777">
            <w:pPr>
              <w:keepNext/>
              <w:keepLines/>
              <w:jc w:val="center"/>
              <w:rPr>
                <w:rFonts w:cs="Times New Roman"/>
                <w:b/>
                <w:sz w:val="20"/>
                <w:szCs w:val="20"/>
                <w:u w:val="single"/>
              </w:rPr>
            </w:pPr>
            <w:r w:rsidRPr="00D623B8">
              <w:rPr>
                <w:rFonts w:cs="Times New Roman"/>
                <w:b/>
                <w:sz w:val="20"/>
                <w:szCs w:val="20"/>
                <w:u w:val="single"/>
              </w:rPr>
              <w:t>Government Cost Estimate per Product</w:t>
            </w:r>
          </w:p>
        </w:tc>
      </w:tr>
      <w:tr w14:paraId="01EA8387" w14:textId="77777777" w:rsidTr="00D623B8">
        <w:tblPrEx>
          <w:tblW w:w="8640" w:type="dxa"/>
          <w:tblInd w:w="535" w:type="dxa"/>
          <w:tblLook w:val="04A0"/>
        </w:tblPrEx>
        <w:tc>
          <w:tcPr>
            <w:tcW w:w="2183" w:type="dxa"/>
            <w:shd w:val="clear" w:color="auto" w:fill="auto"/>
            <w:vAlign w:val="bottom"/>
          </w:tcPr>
          <w:p w:rsidR="00A35947" w:rsidRPr="00D623B8" w:rsidP="00A35947" w14:paraId="3B304EDA" w14:textId="77777777">
            <w:pPr>
              <w:keepNext/>
              <w:keepLines/>
              <w:numPr>
                <w:ilvl w:val="12"/>
                <w:numId w:val="0"/>
              </w:numPr>
              <w:rPr>
                <w:rFonts w:cs="Times New Roman"/>
                <w:sz w:val="20"/>
                <w:szCs w:val="20"/>
              </w:rPr>
            </w:pPr>
            <w:r w:rsidRPr="00D623B8">
              <w:rPr>
                <w:rFonts w:cs="Times New Roman"/>
                <w:sz w:val="20"/>
                <w:szCs w:val="20"/>
              </w:rPr>
              <w:t xml:space="preserve">Form </w:t>
            </w:r>
            <w:r w:rsidRPr="00D623B8" w:rsidR="00557607">
              <w:rPr>
                <w:rFonts w:cs="Times New Roman"/>
                <w:sz w:val="20"/>
                <w:szCs w:val="20"/>
              </w:rPr>
              <w:t>1099-CAP</w:t>
            </w:r>
          </w:p>
        </w:tc>
        <w:tc>
          <w:tcPr>
            <w:tcW w:w="1980" w:type="dxa"/>
            <w:shd w:val="clear" w:color="auto" w:fill="auto"/>
            <w:vAlign w:val="bottom"/>
          </w:tcPr>
          <w:p w:rsidR="00A35947" w:rsidRPr="00D623B8" w:rsidP="004E0C33" w14:paraId="474DE7B2" w14:textId="096A4E9F">
            <w:pPr>
              <w:keepNext/>
              <w:keepLines/>
              <w:jc w:val="center"/>
              <w:rPr>
                <w:rFonts w:cs="Times New Roman"/>
                <w:sz w:val="20"/>
                <w:szCs w:val="20"/>
              </w:rPr>
            </w:pPr>
            <w:r w:rsidRPr="00D623B8">
              <w:rPr>
                <w:rFonts w:cs="Times New Roman"/>
                <w:sz w:val="20"/>
                <w:szCs w:val="20"/>
              </w:rPr>
              <w:t>$</w:t>
            </w:r>
            <w:r w:rsidRPr="00D623B8" w:rsidR="004E0C33">
              <w:rPr>
                <w:rFonts w:cs="Times New Roman"/>
                <w:sz w:val="20"/>
                <w:szCs w:val="20"/>
              </w:rPr>
              <w:t>4</w:t>
            </w:r>
            <w:r w:rsidRPr="00D623B8" w:rsidR="00F2414E">
              <w:rPr>
                <w:rFonts w:cs="Times New Roman"/>
                <w:sz w:val="20"/>
                <w:szCs w:val="20"/>
              </w:rPr>
              <w:t>1</w:t>
            </w:r>
            <w:r w:rsidRPr="00D623B8" w:rsidR="000E4B0F">
              <w:rPr>
                <w:rFonts w:cs="Times New Roman"/>
                <w:sz w:val="20"/>
                <w:szCs w:val="20"/>
              </w:rPr>
              <w:t>,</w:t>
            </w:r>
            <w:r w:rsidRPr="00D623B8" w:rsidR="00F2414E">
              <w:rPr>
                <w:rFonts w:cs="Times New Roman"/>
                <w:sz w:val="20"/>
                <w:szCs w:val="20"/>
              </w:rPr>
              <w:t>0</w:t>
            </w:r>
            <w:r w:rsidRPr="00D623B8" w:rsidR="004E0C33">
              <w:rPr>
                <w:rFonts w:cs="Times New Roman"/>
                <w:sz w:val="20"/>
                <w:szCs w:val="20"/>
              </w:rPr>
              <w:t>19</w:t>
            </w:r>
          </w:p>
        </w:tc>
        <w:tc>
          <w:tcPr>
            <w:tcW w:w="303" w:type="dxa"/>
            <w:shd w:val="clear" w:color="auto" w:fill="auto"/>
          </w:tcPr>
          <w:p w:rsidR="00A35947" w:rsidRPr="00D623B8" w:rsidP="00A35947" w14:paraId="12BE8417" w14:textId="5CDCD652">
            <w:pPr>
              <w:keepNext/>
              <w:keepLines/>
              <w:jc w:val="center"/>
              <w:rPr>
                <w:rFonts w:cs="Times New Roman"/>
                <w:sz w:val="20"/>
                <w:szCs w:val="20"/>
              </w:rPr>
            </w:pPr>
            <w:r w:rsidRPr="00D623B8">
              <w:rPr>
                <w:rFonts w:cs="Times New Roman"/>
                <w:sz w:val="20"/>
                <w:szCs w:val="20"/>
              </w:rPr>
              <w:t>+</w:t>
            </w:r>
          </w:p>
        </w:tc>
        <w:tc>
          <w:tcPr>
            <w:tcW w:w="1745" w:type="dxa"/>
            <w:shd w:val="clear" w:color="auto" w:fill="auto"/>
          </w:tcPr>
          <w:p w:rsidR="00A35947" w:rsidRPr="00D623B8" w:rsidP="00A35947" w14:paraId="31DE1377" w14:textId="2672BE98">
            <w:pPr>
              <w:keepNext/>
              <w:keepLines/>
              <w:jc w:val="center"/>
              <w:rPr>
                <w:rFonts w:cs="Times New Roman"/>
                <w:sz w:val="20"/>
                <w:szCs w:val="20"/>
              </w:rPr>
            </w:pPr>
            <w:r w:rsidRPr="00D623B8">
              <w:rPr>
                <w:rFonts w:cs="Times New Roman"/>
                <w:sz w:val="20"/>
                <w:szCs w:val="20"/>
              </w:rPr>
              <w:t>$</w:t>
            </w:r>
            <w:r w:rsidRPr="00D623B8" w:rsidR="00895855">
              <w:rPr>
                <w:rFonts w:cs="Times New Roman"/>
                <w:sz w:val="20"/>
                <w:szCs w:val="20"/>
              </w:rPr>
              <w:t>0</w:t>
            </w:r>
          </w:p>
        </w:tc>
        <w:tc>
          <w:tcPr>
            <w:tcW w:w="387" w:type="dxa"/>
            <w:shd w:val="clear" w:color="auto" w:fill="auto"/>
          </w:tcPr>
          <w:p w:rsidR="00A35947" w:rsidRPr="00D623B8" w:rsidP="00A35947" w14:paraId="2F9D7D0B" w14:textId="4FA0033F">
            <w:pPr>
              <w:keepNext/>
              <w:keepLines/>
              <w:jc w:val="center"/>
              <w:rPr>
                <w:rFonts w:cs="Times New Roman"/>
                <w:sz w:val="20"/>
                <w:szCs w:val="20"/>
              </w:rPr>
            </w:pPr>
            <w:r w:rsidRPr="00D623B8">
              <w:rPr>
                <w:rFonts w:cs="Times New Roman"/>
                <w:sz w:val="20"/>
                <w:szCs w:val="20"/>
              </w:rPr>
              <w:t>=</w:t>
            </w:r>
          </w:p>
        </w:tc>
        <w:tc>
          <w:tcPr>
            <w:tcW w:w="2042" w:type="dxa"/>
            <w:shd w:val="clear" w:color="auto" w:fill="auto"/>
            <w:vAlign w:val="bottom"/>
          </w:tcPr>
          <w:p w:rsidR="00A35947" w:rsidRPr="00D623B8" w:rsidP="004E0C33" w14:paraId="47D2ED68" w14:textId="3E9BF1C2">
            <w:pPr>
              <w:keepNext/>
              <w:keepLines/>
              <w:jc w:val="center"/>
              <w:rPr>
                <w:rFonts w:cs="Times New Roman"/>
                <w:sz w:val="20"/>
                <w:szCs w:val="20"/>
              </w:rPr>
            </w:pPr>
            <w:r w:rsidRPr="00D623B8">
              <w:rPr>
                <w:rFonts w:cs="Times New Roman"/>
                <w:sz w:val="20"/>
                <w:szCs w:val="20"/>
              </w:rPr>
              <w:t>$</w:t>
            </w:r>
            <w:r w:rsidRPr="00D623B8" w:rsidR="004E0C33">
              <w:rPr>
                <w:rFonts w:cs="Times New Roman"/>
                <w:sz w:val="20"/>
                <w:szCs w:val="20"/>
              </w:rPr>
              <w:t>41,019</w:t>
            </w:r>
          </w:p>
        </w:tc>
      </w:tr>
      <w:tr w14:paraId="0B8EF5D5" w14:textId="77777777" w:rsidTr="00D623B8">
        <w:tblPrEx>
          <w:tblW w:w="8640" w:type="dxa"/>
          <w:tblInd w:w="535" w:type="dxa"/>
          <w:tblLook w:val="04A0"/>
        </w:tblPrEx>
        <w:tc>
          <w:tcPr>
            <w:tcW w:w="2183" w:type="dxa"/>
            <w:shd w:val="clear" w:color="auto" w:fill="auto"/>
            <w:vAlign w:val="bottom"/>
          </w:tcPr>
          <w:p w:rsidR="00F2414E" w:rsidRPr="00D623B8" w:rsidP="00A35947" w14:paraId="3499DE8E" w14:textId="5B41F2E9">
            <w:pPr>
              <w:keepNext/>
              <w:keepLines/>
              <w:numPr>
                <w:ilvl w:val="12"/>
                <w:numId w:val="0"/>
              </w:numPr>
              <w:rPr>
                <w:rFonts w:cs="Times New Roman"/>
                <w:sz w:val="20"/>
                <w:szCs w:val="20"/>
              </w:rPr>
            </w:pPr>
            <w:r w:rsidRPr="00D623B8">
              <w:rPr>
                <w:rFonts w:cs="Times New Roman"/>
                <w:sz w:val="20"/>
                <w:szCs w:val="20"/>
              </w:rPr>
              <w:t>Instructions 1099-CAP</w:t>
            </w:r>
          </w:p>
        </w:tc>
        <w:tc>
          <w:tcPr>
            <w:tcW w:w="1980" w:type="dxa"/>
            <w:shd w:val="clear" w:color="auto" w:fill="auto"/>
            <w:vAlign w:val="bottom"/>
          </w:tcPr>
          <w:p w:rsidR="00F2414E" w:rsidRPr="00D623B8" w:rsidP="004E0C33" w14:paraId="0DFBB047" w14:textId="4E56F1C4">
            <w:pPr>
              <w:keepNext/>
              <w:keepLines/>
              <w:jc w:val="center"/>
              <w:rPr>
                <w:rFonts w:cs="Times New Roman"/>
                <w:sz w:val="20"/>
                <w:szCs w:val="20"/>
              </w:rPr>
            </w:pPr>
            <w:r w:rsidRPr="00D623B8">
              <w:rPr>
                <w:rFonts w:cs="Times New Roman"/>
                <w:sz w:val="20"/>
                <w:szCs w:val="20"/>
              </w:rPr>
              <w:t xml:space="preserve">$ </w:t>
            </w:r>
            <w:r w:rsidRPr="00D623B8" w:rsidR="004E0C33">
              <w:rPr>
                <w:rFonts w:cs="Times New Roman"/>
                <w:sz w:val="20"/>
                <w:szCs w:val="20"/>
              </w:rPr>
              <w:t>4</w:t>
            </w:r>
            <w:r w:rsidRPr="00D623B8">
              <w:rPr>
                <w:rFonts w:cs="Times New Roman"/>
                <w:sz w:val="20"/>
                <w:szCs w:val="20"/>
              </w:rPr>
              <w:t>,</w:t>
            </w:r>
            <w:r w:rsidRPr="00D623B8" w:rsidR="004E0C33">
              <w:rPr>
                <w:rFonts w:cs="Times New Roman"/>
                <w:sz w:val="20"/>
                <w:szCs w:val="20"/>
              </w:rPr>
              <w:t>854</w:t>
            </w:r>
          </w:p>
        </w:tc>
        <w:tc>
          <w:tcPr>
            <w:tcW w:w="303" w:type="dxa"/>
            <w:shd w:val="clear" w:color="auto" w:fill="auto"/>
          </w:tcPr>
          <w:p w:rsidR="00F2414E" w:rsidRPr="00D623B8" w:rsidP="00A35947" w14:paraId="0BA63A3C" w14:textId="0FABDF3E">
            <w:pPr>
              <w:keepNext/>
              <w:keepLines/>
              <w:jc w:val="center"/>
              <w:rPr>
                <w:rFonts w:cs="Times New Roman"/>
                <w:sz w:val="20"/>
                <w:szCs w:val="20"/>
              </w:rPr>
            </w:pPr>
            <w:r w:rsidRPr="00D623B8">
              <w:rPr>
                <w:rFonts w:cs="Times New Roman"/>
                <w:sz w:val="20"/>
                <w:szCs w:val="20"/>
              </w:rPr>
              <w:t>+</w:t>
            </w:r>
          </w:p>
        </w:tc>
        <w:tc>
          <w:tcPr>
            <w:tcW w:w="1745" w:type="dxa"/>
            <w:shd w:val="clear" w:color="auto" w:fill="auto"/>
          </w:tcPr>
          <w:p w:rsidR="00F2414E" w:rsidRPr="00D623B8" w:rsidP="00A35947" w14:paraId="0314CA3F" w14:textId="69355CC4">
            <w:pPr>
              <w:keepNext/>
              <w:keepLines/>
              <w:jc w:val="center"/>
              <w:rPr>
                <w:rFonts w:cs="Times New Roman"/>
                <w:sz w:val="20"/>
                <w:szCs w:val="20"/>
              </w:rPr>
            </w:pPr>
            <w:r w:rsidRPr="00D623B8">
              <w:rPr>
                <w:rFonts w:cs="Times New Roman"/>
                <w:sz w:val="20"/>
                <w:szCs w:val="20"/>
              </w:rPr>
              <w:t>$0</w:t>
            </w:r>
          </w:p>
        </w:tc>
        <w:tc>
          <w:tcPr>
            <w:tcW w:w="387" w:type="dxa"/>
            <w:shd w:val="clear" w:color="auto" w:fill="auto"/>
          </w:tcPr>
          <w:p w:rsidR="00F2414E" w:rsidRPr="00D623B8" w:rsidP="00A35947" w14:paraId="4F9F7A13" w14:textId="48A96ACB">
            <w:pPr>
              <w:keepNext/>
              <w:keepLines/>
              <w:jc w:val="center"/>
              <w:rPr>
                <w:rFonts w:cs="Times New Roman"/>
                <w:sz w:val="20"/>
                <w:szCs w:val="20"/>
              </w:rPr>
            </w:pPr>
            <w:r w:rsidRPr="00D623B8">
              <w:rPr>
                <w:rFonts w:cs="Times New Roman"/>
                <w:sz w:val="20"/>
                <w:szCs w:val="20"/>
              </w:rPr>
              <w:t>=</w:t>
            </w:r>
          </w:p>
        </w:tc>
        <w:tc>
          <w:tcPr>
            <w:tcW w:w="2042" w:type="dxa"/>
            <w:shd w:val="clear" w:color="auto" w:fill="auto"/>
            <w:vAlign w:val="bottom"/>
          </w:tcPr>
          <w:p w:rsidR="00F2414E" w:rsidRPr="00D623B8" w:rsidP="004E0C33" w14:paraId="341B04AB" w14:textId="7F9665D5">
            <w:pPr>
              <w:keepNext/>
              <w:keepLines/>
              <w:jc w:val="center"/>
              <w:rPr>
                <w:rFonts w:cs="Times New Roman"/>
                <w:sz w:val="20"/>
                <w:szCs w:val="20"/>
              </w:rPr>
            </w:pPr>
            <w:r w:rsidRPr="00D623B8">
              <w:rPr>
                <w:rFonts w:cs="Times New Roman"/>
                <w:sz w:val="20"/>
                <w:szCs w:val="20"/>
              </w:rPr>
              <w:t>$</w:t>
            </w:r>
            <w:r w:rsidRPr="00D623B8" w:rsidR="004E0C33">
              <w:rPr>
                <w:rFonts w:cs="Times New Roman"/>
                <w:sz w:val="20"/>
                <w:szCs w:val="20"/>
              </w:rPr>
              <w:t>4,854</w:t>
            </w:r>
          </w:p>
        </w:tc>
      </w:tr>
      <w:tr w14:paraId="364B809A" w14:textId="77777777" w:rsidTr="00D623B8">
        <w:tblPrEx>
          <w:tblW w:w="8640" w:type="dxa"/>
          <w:tblInd w:w="535" w:type="dxa"/>
          <w:tblLook w:val="04A0"/>
        </w:tblPrEx>
        <w:tc>
          <w:tcPr>
            <w:tcW w:w="2183" w:type="dxa"/>
            <w:shd w:val="clear" w:color="auto" w:fill="auto"/>
            <w:vAlign w:val="bottom"/>
          </w:tcPr>
          <w:p w:rsidR="00A02601" w:rsidRPr="00D623B8" w:rsidP="00A35947" w14:paraId="60402346" w14:textId="386AA2B1">
            <w:pPr>
              <w:keepNext/>
              <w:keepLines/>
              <w:numPr>
                <w:ilvl w:val="12"/>
                <w:numId w:val="0"/>
              </w:numPr>
              <w:rPr>
                <w:rFonts w:cs="Times New Roman"/>
                <w:sz w:val="20"/>
                <w:szCs w:val="20"/>
              </w:rPr>
            </w:pPr>
            <w:r w:rsidRPr="00D623B8">
              <w:rPr>
                <w:rFonts w:cs="Times New Roman"/>
                <w:sz w:val="20"/>
                <w:szCs w:val="20"/>
              </w:rPr>
              <w:t xml:space="preserve">Totals </w:t>
            </w:r>
          </w:p>
        </w:tc>
        <w:tc>
          <w:tcPr>
            <w:tcW w:w="1980" w:type="dxa"/>
            <w:shd w:val="clear" w:color="auto" w:fill="auto"/>
            <w:vAlign w:val="bottom"/>
          </w:tcPr>
          <w:p w:rsidR="00A02601" w:rsidRPr="00D623B8" w:rsidP="004E0C33" w14:paraId="17961337" w14:textId="435E0153">
            <w:pPr>
              <w:keepNext/>
              <w:keepLines/>
              <w:jc w:val="center"/>
              <w:rPr>
                <w:rFonts w:cs="Times New Roman"/>
                <w:sz w:val="20"/>
                <w:szCs w:val="20"/>
              </w:rPr>
            </w:pPr>
            <w:r w:rsidRPr="00D623B8">
              <w:rPr>
                <w:rFonts w:cs="Times New Roman"/>
                <w:sz w:val="20"/>
                <w:szCs w:val="20"/>
              </w:rPr>
              <w:t>$</w:t>
            </w:r>
            <w:r w:rsidRPr="00D623B8" w:rsidR="004E0C33">
              <w:rPr>
                <w:rFonts w:cs="Times New Roman"/>
                <w:sz w:val="20"/>
                <w:szCs w:val="20"/>
              </w:rPr>
              <w:t>45,873</w:t>
            </w:r>
          </w:p>
        </w:tc>
        <w:tc>
          <w:tcPr>
            <w:tcW w:w="303" w:type="dxa"/>
            <w:shd w:val="clear" w:color="auto" w:fill="auto"/>
          </w:tcPr>
          <w:p w:rsidR="00A02601" w:rsidRPr="00D623B8" w:rsidP="00A35947" w14:paraId="736BF633" w14:textId="77777777">
            <w:pPr>
              <w:keepNext/>
              <w:keepLines/>
              <w:jc w:val="center"/>
              <w:rPr>
                <w:rFonts w:cs="Times New Roman"/>
                <w:sz w:val="20"/>
                <w:szCs w:val="20"/>
              </w:rPr>
            </w:pPr>
          </w:p>
        </w:tc>
        <w:tc>
          <w:tcPr>
            <w:tcW w:w="1745" w:type="dxa"/>
            <w:shd w:val="clear" w:color="auto" w:fill="auto"/>
          </w:tcPr>
          <w:p w:rsidR="00A02601" w:rsidRPr="00D623B8" w:rsidP="00A35947" w14:paraId="0FD0FED6" w14:textId="77777777">
            <w:pPr>
              <w:keepNext/>
              <w:keepLines/>
              <w:jc w:val="center"/>
              <w:rPr>
                <w:rFonts w:cs="Times New Roman"/>
                <w:sz w:val="20"/>
                <w:szCs w:val="20"/>
              </w:rPr>
            </w:pPr>
          </w:p>
        </w:tc>
        <w:tc>
          <w:tcPr>
            <w:tcW w:w="387" w:type="dxa"/>
            <w:shd w:val="clear" w:color="auto" w:fill="auto"/>
          </w:tcPr>
          <w:p w:rsidR="00A02601" w:rsidRPr="00D623B8" w:rsidP="00A35947" w14:paraId="5FCD1867" w14:textId="77777777">
            <w:pPr>
              <w:keepNext/>
              <w:keepLines/>
              <w:jc w:val="center"/>
              <w:rPr>
                <w:rFonts w:cs="Times New Roman"/>
                <w:sz w:val="20"/>
                <w:szCs w:val="20"/>
              </w:rPr>
            </w:pPr>
          </w:p>
        </w:tc>
        <w:tc>
          <w:tcPr>
            <w:tcW w:w="2042" w:type="dxa"/>
            <w:shd w:val="clear" w:color="auto" w:fill="auto"/>
            <w:vAlign w:val="bottom"/>
          </w:tcPr>
          <w:p w:rsidR="00A02601" w:rsidRPr="00D623B8" w:rsidP="004E0C33" w14:paraId="5A2E1E41" w14:textId="47CD8BB9">
            <w:pPr>
              <w:keepNext/>
              <w:keepLines/>
              <w:jc w:val="center"/>
              <w:rPr>
                <w:rFonts w:cs="Times New Roman"/>
                <w:sz w:val="20"/>
                <w:szCs w:val="20"/>
              </w:rPr>
            </w:pPr>
            <w:r w:rsidRPr="00D623B8">
              <w:rPr>
                <w:rFonts w:cs="Times New Roman"/>
                <w:sz w:val="20"/>
                <w:szCs w:val="20"/>
              </w:rPr>
              <w:t>$</w:t>
            </w:r>
            <w:r w:rsidRPr="00D623B8" w:rsidR="004E0C33">
              <w:rPr>
                <w:rFonts w:cs="Times New Roman"/>
                <w:sz w:val="20"/>
                <w:szCs w:val="20"/>
              </w:rPr>
              <w:t>45,873</w:t>
            </w:r>
          </w:p>
        </w:tc>
      </w:tr>
      <w:tr w14:paraId="3CC41427" w14:textId="77777777" w:rsidTr="00D623B8">
        <w:tblPrEx>
          <w:tblW w:w="8640" w:type="dxa"/>
          <w:tblInd w:w="535" w:type="dxa"/>
          <w:tblLook w:val="04A0"/>
        </w:tblPrEx>
        <w:tc>
          <w:tcPr>
            <w:tcW w:w="8640" w:type="dxa"/>
            <w:gridSpan w:val="6"/>
            <w:shd w:val="clear" w:color="auto" w:fill="auto"/>
          </w:tcPr>
          <w:p w:rsidR="00A35947" w:rsidRPr="00D623B8" w:rsidP="0052663A" w14:paraId="1CC4963B" w14:textId="60093901">
            <w:pPr>
              <w:keepNext/>
              <w:keepLines/>
              <w:rPr>
                <w:rFonts w:cs="Times New Roman"/>
                <w:sz w:val="20"/>
                <w:szCs w:val="20"/>
              </w:rPr>
            </w:pPr>
            <w:r w:rsidRPr="00D623B8">
              <w:rPr>
                <w:rFonts w:cs="Times New Roman"/>
                <w:sz w:val="20"/>
                <w:szCs w:val="20"/>
              </w:rPr>
              <w:t>Table costs are based on 20</w:t>
            </w:r>
            <w:r w:rsidRPr="00D623B8" w:rsidR="00A02601">
              <w:rPr>
                <w:rFonts w:cs="Times New Roman"/>
                <w:sz w:val="20"/>
                <w:szCs w:val="20"/>
              </w:rPr>
              <w:t>2</w:t>
            </w:r>
            <w:r w:rsidRPr="00D623B8" w:rsidR="00BF0A90">
              <w:rPr>
                <w:rFonts w:cs="Times New Roman"/>
                <w:sz w:val="20"/>
                <w:szCs w:val="20"/>
              </w:rPr>
              <w:t>3</w:t>
            </w:r>
            <w:r w:rsidRPr="00D623B8">
              <w:rPr>
                <w:rFonts w:cs="Times New Roman"/>
                <w:sz w:val="20"/>
                <w:szCs w:val="20"/>
              </w:rPr>
              <w:t xml:space="preserve"> actuals obtained from IRS Chief Financial Office and Media and Publications</w:t>
            </w:r>
          </w:p>
        </w:tc>
      </w:tr>
    </w:tbl>
    <w:p w:rsidR="00D463E0" w:rsidRPr="00F87A66" w:rsidP="009E3D48" w14:paraId="1E2A6B00" w14:textId="77777777">
      <w:pPr>
        <w:tabs>
          <w:tab w:val="left" w:pos="540"/>
        </w:tabs>
        <w:ind w:left="540" w:hanging="540"/>
        <w:rPr>
          <w:rFonts w:asciiTheme="minorHAnsi" w:hAnsiTheme="minorHAnsi"/>
          <w:b/>
          <w:sz w:val="22"/>
        </w:rPr>
      </w:pPr>
    </w:p>
    <w:p w:rsidR="00DB3926" w:rsidRPr="00DC1585" w:rsidP="009E3D48" w14:paraId="5C57B38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C9492F" w:rsidP="00C9492F" w14:paraId="2B8ECAF6" w14:textId="77777777">
      <w:pPr>
        <w:tabs>
          <w:tab w:val="left" w:pos="540"/>
        </w:tabs>
        <w:rPr>
          <w:rFonts w:asciiTheme="minorHAnsi" w:hAnsiTheme="minorHAnsi"/>
          <w:b/>
          <w:sz w:val="22"/>
        </w:rPr>
      </w:pPr>
    </w:p>
    <w:p w:rsidR="00C9492F" w:rsidP="00C9492F" w14:paraId="0C4385D3" w14:textId="21F9FEB0">
      <w:pPr>
        <w:tabs>
          <w:tab w:val="left" w:pos="540"/>
        </w:tabs>
        <w:ind w:left="540"/>
        <w:rPr>
          <w:rFonts w:asciiTheme="minorHAnsi" w:hAnsiTheme="minorHAnsi"/>
          <w:sz w:val="22"/>
        </w:rPr>
      </w:pPr>
      <w:r w:rsidRPr="004E0C33">
        <w:rPr>
          <w:rFonts w:asciiTheme="minorHAnsi" w:hAnsiTheme="minorHAnsi"/>
          <w:sz w:val="22"/>
        </w:rPr>
        <w:t xml:space="preserve">There is no change in the paperwork burden previously approved by OMB.  We are making this submission to renew the OMB approval. </w:t>
      </w:r>
      <w:r>
        <w:rPr>
          <w:rFonts w:asciiTheme="minorHAnsi" w:hAnsiTheme="minorHAnsi"/>
          <w:sz w:val="22"/>
        </w:rPr>
        <w:t xml:space="preserve">The </w:t>
      </w:r>
      <w:r w:rsidRPr="00C9492F">
        <w:rPr>
          <w:rFonts w:asciiTheme="minorHAnsi" w:hAnsiTheme="minorHAnsi"/>
          <w:sz w:val="22"/>
        </w:rPr>
        <w:t xml:space="preserve">IRS has updated the burden estimates to reflect current filing data. This has increased the number of respondents by </w:t>
      </w:r>
      <w:r>
        <w:rPr>
          <w:rFonts w:asciiTheme="minorHAnsi" w:hAnsiTheme="minorHAnsi"/>
          <w:sz w:val="22"/>
        </w:rPr>
        <w:t>186</w:t>
      </w:r>
      <w:r w:rsidRPr="00C9492F">
        <w:rPr>
          <w:rFonts w:asciiTheme="minorHAnsi" w:hAnsiTheme="minorHAnsi"/>
          <w:sz w:val="22"/>
        </w:rPr>
        <w:t xml:space="preserve"> and the corresponding burden hours by </w:t>
      </w:r>
      <w:r>
        <w:rPr>
          <w:rFonts w:asciiTheme="minorHAnsi" w:hAnsiTheme="minorHAnsi"/>
          <w:sz w:val="22"/>
        </w:rPr>
        <w:t>33</w:t>
      </w:r>
      <w:r w:rsidRPr="00C9492F">
        <w:rPr>
          <w:rFonts w:asciiTheme="minorHAnsi" w:hAnsiTheme="minorHAnsi"/>
          <w:sz w:val="22"/>
        </w:rPr>
        <w:t xml:space="preserve"> due to Agency Estimate.</w:t>
      </w:r>
    </w:p>
    <w:p w:rsidR="00C9492F" w:rsidP="00C9492F" w14:paraId="4401D55C" w14:textId="77777777">
      <w:pPr>
        <w:tabs>
          <w:tab w:val="left" w:pos="540"/>
        </w:tabs>
        <w:ind w:left="540"/>
        <w:rPr>
          <w:rFonts w:asciiTheme="minorHAnsi" w:hAnsiTheme="minorHAnsi"/>
          <w:sz w:val="22"/>
        </w:rPr>
      </w:pPr>
    </w:p>
    <w:tbl>
      <w:tblPr>
        <w:tblW w:w="4715"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055"/>
        <w:gridCol w:w="928"/>
        <w:gridCol w:w="1350"/>
        <w:gridCol w:w="1350"/>
        <w:gridCol w:w="1440"/>
        <w:gridCol w:w="1440"/>
        <w:gridCol w:w="1248"/>
      </w:tblGrid>
      <w:tr w14:paraId="3D87493A" w14:textId="77777777" w:rsidTr="00D623B8">
        <w:tblPrEx>
          <w:tblW w:w="4715"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599" w:type="pct"/>
            <w:tcBorders>
              <w:top w:val="outset" w:sz="6" w:space="0" w:color="auto"/>
              <w:left w:val="outset" w:sz="6" w:space="0" w:color="auto"/>
              <w:bottom w:val="outset" w:sz="6" w:space="0" w:color="auto"/>
              <w:right w:val="outset" w:sz="6" w:space="0" w:color="auto"/>
            </w:tcBorders>
            <w:vAlign w:val="center"/>
            <w:hideMark/>
          </w:tcPr>
          <w:p w:rsidR="00C9492F" w:rsidRPr="00C9492F" w:rsidP="00C9492F" w14:paraId="1071333A" w14:textId="283F44BB">
            <w:pPr>
              <w:tabs>
                <w:tab w:val="left" w:pos="540"/>
              </w:tabs>
              <w:ind w:left="540"/>
              <w:jc w:val="center"/>
              <w:rPr>
                <w:rFonts w:cs="Times New Roman"/>
                <w:b/>
                <w:bCs/>
                <w:sz w:val="20"/>
                <w:szCs w:val="20"/>
              </w:rPr>
            </w:pPr>
          </w:p>
        </w:tc>
        <w:tc>
          <w:tcPr>
            <w:tcW w:w="527" w:type="pct"/>
            <w:tcBorders>
              <w:top w:val="outset" w:sz="6" w:space="0" w:color="auto"/>
              <w:left w:val="outset" w:sz="6" w:space="0" w:color="auto"/>
              <w:bottom w:val="outset" w:sz="6" w:space="0" w:color="auto"/>
              <w:right w:val="outset" w:sz="6" w:space="0" w:color="auto"/>
            </w:tcBorders>
            <w:vAlign w:val="center"/>
            <w:hideMark/>
          </w:tcPr>
          <w:p w:rsidR="00C9492F" w:rsidRPr="00C9492F" w:rsidP="00D623B8" w14:paraId="61C6EBB2" w14:textId="0D1D4EE8">
            <w:pPr>
              <w:tabs>
                <w:tab w:val="left" w:pos="540"/>
              </w:tabs>
              <w:jc w:val="center"/>
              <w:rPr>
                <w:rFonts w:cs="Times New Roman"/>
                <w:b/>
                <w:bCs/>
                <w:sz w:val="20"/>
                <w:szCs w:val="20"/>
              </w:rPr>
            </w:pPr>
            <w:r>
              <w:rPr>
                <w:rFonts w:cs="Times New Roman"/>
                <w:b/>
                <w:bCs/>
                <w:sz w:val="20"/>
                <w:szCs w:val="20"/>
              </w:rPr>
              <w:t xml:space="preserve">Total </w:t>
            </w:r>
            <w:r w:rsidRPr="00C9492F">
              <w:rPr>
                <w:rFonts w:cs="Times New Roman"/>
                <w:b/>
                <w:bCs/>
                <w:sz w:val="20"/>
                <w:szCs w:val="20"/>
              </w:rPr>
              <w:t>Requested</w:t>
            </w:r>
          </w:p>
        </w:tc>
        <w:tc>
          <w:tcPr>
            <w:tcW w:w="766" w:type="pct"/>
            <w:tcBorders>
              <w:top w:val="outset" w:sz="6" w:space="0" w:color="auto"/>
              <w:left w:val="outset" w:sz="6" w:space="0" w:color="auto"/>
              <w:bottom w:val="outset" w:sz="6" w:space="0" w:color="auto"/>
              <w:right w:val="outset" w:sz="6" w:space="0" w:color="auto"/>
            </w:tcBorders>
            <w:vAlign w:val="center"/>
            <w:hideMark/>
          </w:tcPr>
          <w:p w:rsidR="00C9492F" w:rsidRPr="00C9492F" w:rsidP="00C9492F" w14:paraId="274CEB46" w14:textId="1141F2AC">
            <w:pPr>
              <w:tabs>
                <w:tab w:val="left" w:pos="540"/>
              </w:tabs>
              <w:jc w:val="center"/>
              <w:rPr>
                <w:rFonts w:cs="Times New Roman"/>
                <w:b/>
                <w:bCs/>
                <w:sz w:val="20"/>
                <w:szCs w:val="20"/>
              </w:rPr>
            </w:pPr>
            <w:r w:rsidRPr="00C9492F">
              <w:rPr>
                <w:rFonts w:cs="Times New Roman"/>
                <w:b/>
                <w:bCs/>
                <w:sz w:val="20"/>
                <w:szCs w:val="20"/>
              </w:rPr>
              <w:t>Change Due to New Statute</w:t>
            </w:r>
          </w:p>
        </w:tc>
        <w:tc>
          <w:tcPr>
            <w:tcW w:w="766" w:type="pct"/>
            <w:tcBorders>
              <w:top w:val="outset" w:sz="6" w:space="0" w:color="auto"/>
              <w:left w:val="outset" w:sz="6" w:space="0" w:color="auto"/>
              <w:bottom w:val="outset" w:sz="6" w:space="0" w:color="auto"/>
              <w:right w:val="outset" w:sz="6" w:space="0" w:color="auto"/>
            </w:tcBorders>
            <w:vAlign w:val="center"/>
            <w:hideMark/>
          </w:tcPr>
          <w:p w:rsidR="00C9492F" w:rsidRPr="00C9492F" w:rsidP="00C9492F" w14:paraId="4CEAAD94" w14:textId="68AE7DD5">
            <w:pPr>
              <w:tabs>
                <w:tab w:val="left" w:pos="540"/>
              </w:tabs>
              <w:jc w:val="center"/>
              <w:rPr>
                <w:rFonts w:cs="Times New Roman"/>
                <w:b/>
                <w:bCs/>
                <w:sz w:val="20"/>
                <w:szCs w:val="20"/>
              </w:rPr>
            </w:pPr>
            <w:r w:rsidRPr="00C9492F">
              <w:rPr>
                <w:rFonts w:cs="Times New Roman"/>
                <w:b/>
                <w:bCs/>
                <w:sz w:val="20"/>
                <w:szCs w:val="20"/>
              </w:rPr>
              <w:t>Change Due to Agency Discretion</w:t>
            </w:r>
          </w:p>
        </w:tc>
        <w:tc>
          <w:tcPr>
            <w:tcW w:w="817" w:type="pct"/>
            <w:tcBorders>
              <w:top w:val="outset" w:sz="6" w:space="0" w:color="auto"/>
              <w:left w:val="outset" w:sz="6" w:space="0" w:color="auto"/>
              <w:bottom w:val="outset" w:sz="6" w:space="0" w:color="auto"/>
              <w:right w:val="outset" w:sz="6" w:space="0" w:color="auto"/>
            </w:tcBorders>
            <w:vAlign w:val="center"/>
            <w:hideMark/>
          </w:tcPr>
          <w:p w:rsidR="00C9492F" w:rsidRPr="00C9492F" w:rsidP="00C9492F" w14:paraId="6211D5BD" w14:textId="5153A396">
            <w:pPr>
              <w:tabs>
                <w:tab w:val="left" w:pos="540"/>
              </w:tabs>
              <w:jc w:val="center"/>
              <w:rPr>
                <w:rFonts w:cs="Times New Roman"/>
                <w:b/>
                <w:bCs/>
                <w:sz w:val="20"/>
                <w:szCs w:val="20"/>
              </w:rPr>
            </w:pPr>
            <w:r w:rsidRPr="00C9492F">
              <w:rPr>
                <w:rFonts w:cs="Times New Roman"/>
                <w:b/>
                <w:bCs/>
                <w:sz w:val="20"/>
                <w:szCs w:val="20"/>
              </w:rPr>
              <w:t>Change Due to Adjustment in Estimate</w:t>
            </w:r>
          </w:p>
        </w:tc>
        <w:tc>
          <w:tcPr>
            <w:tcW w:w="817" w:type="pct"/>
            <w:tcBorders>
              <w:top w:val="outset" w:sz="6" w:space="0" w:color="auto"/>
              <w:left w:val="outset" w:sz="6" w:space="0" w:color="auto"/>
              <w:bottom w:val="outset" w:sz="6" w:space="0" w:color="auto"/>
              <w:right w:val="outset" w:sz="6" w:space="0" w:color="auto"/>
            </w:tcBorders>
            <w:vAlign w:val="center"/>
            <w:hideMark/>
          </w:tcPr>
          <w:p w:rsidR="00C9492F" w:rsidRPr="00C9492F" w:rsidP="00C9492F" w14:paraId="61419EBB" w14:textId="77777777">
            <w:pPr>
              <w:tabs>
                <w:tab w:val="left" w:pos="540"/>
              </w:tabs>
              <w:jc w:val="center"/>
              <w:rPr>
                <w:rFonts w:cs="Times New Roman"/>
                <w:b/>
                <w:bCs/>
                <w:sz w:val="20"/>
                <w:szCs w:val="20"/>
              </w:rPr>
            </w:pPr>
            <w:r w:rsidRPr="00C9492F">
              <w:rPr>
                <w:rFonts w:cs="Times New Roman"/>
                <w:b/>
                <w:bCs/>
                <w:sz w:val="20"/>
                <w:szCs w:val="20"/>
              </w:rPr>
              <w:t>Change Due to Potential Violation of the PRA</w:t>
            </w:r>
          </w:p>
        </w:tc>
        <w:tc>
          <w:tcPr>
            <w:tcW w:w="709" w:type="pct"/>
            <w:tcBorders>
              <w:top w:val="outset" w:sz="6" w:space="0" w:color="auto"/>
              <w:left w:val="outset" w:sz="6" w:space="0" w:color="auto"/>
              <w:bottom w:val="outset" w:sz="6" w:space="0" w:color="auto"/>
              <w:right w:val="outset" w:sz="6" w:space="0" w:color="auto"/>
            </w:tcBorders>
            <w:vAlign w:val="center"/>
            <w:hideMark/>
          </w:tcPr>
          <w:p w:rsidR="00C9492F" w:rsidRPr="00C9492F" w:rsidP="00C9492F" w14:paraId="2D735B6E" w14:textId="77777777">
            <w:pPr>
              <w:tabs>
                <w:tab w:val="left" w:pos="540"/>
              </w:tabs>
              <w:jc w:val="center"/>
              <w:rPr>
                <w:rFonts w:cs="Times New Roman"/>
                <w:b/>
                <w:bCs/>
                <w:sz w:val="20"/>
                <w:szCs w:val="20"/>
              </w:rPr>
            </w:pPr>
            <w:r w:rsidRPr="00C9492F">
              <w:rPr>
                <w:rFonts w:cs="Times New Roman"/>
                <w:b/>
                <w:bCs/>
                <w:sz w:val="20"/>
                <w:szCs w:val="20"/>
              </w:rPr>
              <w:t>Previously Approved</w:t>
            </w:r>
          </w:p>
        </w:tc>
      </w:tr>
      <w:tr w14:paraId="35F8CBC0" w14:textId="77777777" w:rsidTr="00D623B8">
        <w:tblPrEx>
          <w:tblW w:w="4715" w:type="pct"/>
          <w:tblInd w:w="532" w:type="dxa"/>
          <w:tblCellMar>
            <w:top w:w="15" w:type="dxa"/>
            <w:left w:w="15" w:type="dxa"/>
            <w:bottom w:w="15" w:type="dxa"/>
            <w:right w:w="15" w:type="dxa"/>
          </w:tblCellMar>
          <w:tblLook w:val="04A0"/>
        </w:tblPrEx>
        <w:tc>
          <w:tcPr>
            <w:tcW w:w="599" w:type="pct"/>
            <w:tcBorders>
              <w:top w:val="outset" w:sz="6" w:space="0" w:color="auto"/>
              <w:left w:val="outset" w:sz="6" w:space="0" w:color="auto"/>
              <w:bottom w:val="outset" w:sz="6" w:space="0" w:color="auto"/>
              <w:right w:val="outset" w:sz="6" w:space="0" w:color="auto"/>
            </w:tcBorders>
            <w:hideMark/>
          </w:tcPr>
          <w:p w:rsidR="00C9492F" w:rsidRPr="00C9492F" w:rsidP="00C9492F" w14:paraId="0A110DBD" w14:textId="15F7CEFD">
            <w:pPr>
              <w:tabs>
                <w:tab w:val="left" w:pos="540"/>
              </w:tabs>
              <w:jc w:val="center"/>
              <w:rPr>
                <w:rFonts w:cs="Times New Roman"/>
                <w:sz w:val="20"/>
                <w:szCs w:val="20"/>
              </w:rPr>
            </w:pPr>
            <w:r w:rsidRPr="00C9492F">
              <w:rPr>
                <w:rFonts w:cs="Times New Roman"/>
                <w:sz w:val="20"/>
                <w:szCs w:val="20"/>
              </w:rPr>
              <w:t>Annual Number of Responses</w:t>
            </w:r>
          </w:p>
        </w:tc>
        <w:tc>
          <w:tcPr>
            <w:tcW w:w="527" w:type="pct"/>
            <w:tcBorders>
              <w:top w:val="outset" w:sz="6" w:space="0" w:color="auto"/>
              <w:left w:val="outset" w:sz="6" w:space="0" w:color="auto"/>
              <w:bottom w:val="outset" w:sz="6" w:space="0" w:color="auto"/>
              <w:right w:val="outset" w:sz="6" w:space="0" w:color="auto"/>
            </w:tcBorders>
            <w:hideMark/>
          </w:tcPr>
          <w:p w:rsidR="00C9492F" w:rsidRPr="00C9492F" w:rsidP="00D623B8" w14:paraId="4B48D311" w14:textId="7C90017A">
            <w:pPr>
              <w:tabs>
                <w:tab w:val="left" w:pos="540"/>
              </w:tabs>
              <w:jc w:val="center"/>
              <w:rPr>
                <w:rFonts w:cs="Times New Roman"/>
                <w:sz w:val="20"/>
                <w:szCs w:val="20"/>
              </w:rPr>
            </w:pPr>
            <w:r w:rsidRPr="00C9492F">
              <w:rPr>
                <w:rFonts w:cs="Times New Roman"/>
                <w:sz w:val="20"/>
                <w:szCs w:val="20"/>
              </w:rPr>
              <w:t>300</w:t>
            </w:r>
          </w:p>
        </w:tc>
        <w:tc>
          <w:tcPr>
            <w:tcW w:w="766" w:type="pct"/>
            <w:tcBorders>
              <w:top w:val="outset" w:sz="6" w:space="0" w:color="auto"/>
              <w:left w:val="outset" w:sz="6" w:space="0" w:color="auto"/>
              <w:bottom w:val="outset" w:sz="6" w:space="0" w:color="auto"/>
              <w:right w:val="outset" w:sz="6" w:space="0" w:color="auto"/>
            </w:tcBorders>
            <w:hideMark/>
          </w:tcPr>
          <w:p w:rsidR="00C9492F" w:rsidRPr="00C9492F" w:rsidP="00D623B8" w14:paraId="43D610FC" w14:textId="77777777">
            <w:pPr>
              <w:tabs>
                <w:tab w:val="left" w:pos="540"/>
              </w:tabs>
              <w:jc w:val="center"/>
              <w:rPr>
                <w:rFonts w:cs="Times New Roman"/>
                <w:sz w:val="20"/>
                <w:szCs w:val="20"/>
              </w:rPr>
            </w:pPr>
            <w:r w:rsidRPr="00C9492F">
              <w:rPr>
                <w:rFonts w:cs="Times New Roman"/>
                <w:sz w:val="20"/>
                <w:szCs w:val="20"/>
              </w:rPr>
              <w:t>0</w:t>
            </w:r>
          </w:p>
        </w:tc>
        <w:tc>
          <w:tcPr>
            <w:tcW w:w="766" w:type="pct"/>
            <w:tcBorders>
              <w:top w:val="outset" w:sz="6" w:space="0" w:color="auto"/>
              <w:left w:val="outset" w:sz="6" w:space="0" w:color="auto"/>
              <w:bottom w:val="outset" w:sz="6" w:space="0" w:color="auto"/>
              <w:right w:val="outset" w:sz="6" w:space="0" w:color="auto"/>
            </w:tcBorders>
            <w:hideMark/>
          </w:tcPr>
          <w:p w:rsidR="00C9492F" w:rsidRPr="00C9492F" w:rsidP="00D623B8" w14:paraId="06567D46" w14:textId="77777777">
            <w:pPr>
              <w:tabs>
                <w:tab w:val="left" w:pos="540"/>
              </w:tabs>
              <w:jc w:val="center"/>
              <w:rPr>
                <w:rFonts w:cs="Times New Roman"/>
                <w:sz w:val="20"/>
                <w:szCs w:val="20"/>
              </w:rPr>
            </w:pPr>
            <w:r w:rsidRPr="00C9492F">
              <w:rPr>
                <w:rFonts w:cs="Times New Roman"/>
                <w:sz w:val="20"/>
                <w:szCs w:val="20"/>
              </w:rPr>
              <w:t>0</w:t>
            </w:r>
          </w:p>
        </w:tc>
        <w:tc>
          <w:tcPr>
            <w:tcW w:w="817" w:type="pct"/>
            <w:tcBorders>
              <w:top w:val="outset" w:sz="6" w:space="0" w:color="auto"/>
              <w:left w:val="outset" w:sz="6" w:space="0" w:color="auto"/>
              <w:bottom w:val="outset" w:sz="6" w:space="0" w:color="auto"/>
              <w:right w:val="outset" w:sz="6" w:space="0" w:color="auto"/>
            </w:tcBorders>
            <w:hideMark/>
          </w:tcPr>
          <w:p w:rsidR="00C9492F" w:rsidRPr="00C9492F" w:rsidP="00D623B8" w14:paraId="3F10A538" w14:textId="32310957">
            <w:pPr>
              <w:tabs>
                <w:tab w:val="left" w:pos="540"/>
              </w:tabs>
              <w:jc w:val="center"/>
              <w:rPr>
                <w:rFonts w:cs="Times New Roman"/>
                <w:sz w:val="20"/>
                <w:szCs w:val="20"/>
              </w:rPr>
            </w:pPr>
            <w:r w:rsidRPr="00C9492F">
              <w:rPr>
                <w:rFonts w:cs="Times New Roman"/>
                <w:sz w:val="20"/>
                <w:szCs w:val="20"/>
              </w:rPr>
              <w:t>186</w:t>
            </w:r>
          </w:p>
        </w:tc>
        <w:tc>
          <w:tcPr>
            <w:tcW w:w="817" w:type="pct"/>
            <w:tcBorders>
              <w:top w:val="outset" w:sz="6" w:space="0" w:color="auto"/>
              <w:left w:val="outset" w:sz="6" w:space="0" w:color="auto"/>
              <w:bottom w:val="outset" w:sz="6" w:space="0" w:color="auto"/>
              <w:right w:val="outset" w:sz="6" w:space="0" w:color="auto"/>
            </w:tcBorders>
            <w:hideMark/>
          </w:tcPr>
          <w:p w:rsidR="00C9492F" w:rsidRPr="00C9492F" w:rsidP="00D623B8" w14:paraId="7C9F376C" w14:textId="77777777">
            <w:pPr>
              <w:tabs>
                <w:tab w:val="left" w:pos="540"/>
              </w:tabs>
              <w:jc w:val="center"/>
              <w:rPr>
                <w:rFonts w:cs="Times New Roman"/>
                <w:sz w:val="20"/>
                <w:szCs w:val="20"/>
              </w:rPr>
            </w:pPr>
            <w:r w:rsidRPr="00C9492F">
              <w:rPr>
                <w:rFonts w:cs="Times New Roman"/>
                <w:sz w:val="20"/>
                <w:szCs w:val="20"/>
              </w:rPr>
              <w:t>0</w:t>
            </w:r>
          </w:p>
        </w:tc>
        <w:tc>
          <w:tcPr>
            <w:tcW w:w="709" w:type="pct"/>
            <w:tcBorders>
              <w:top w:val="outset" w:sz="6" w:space="0" w:color="auto"/>
              <w:left w:val="outset" w:sz="6" w:space="0" w:color="auto"/>
              <w:bottom w:val="outset" w:sz="6" w:space="0" w:color="auto"/>
              <w:right w:val="outset" w:sz="6" w:space="0" w:color="auto"/>
            </w:tcBorders>
            <w:hideMark/>
          </w:tcPr>
          <w:p w:rsidR="00C9492F" w:rsidRPr="00C9492F" w:rsidP="00D623B8" w14:paraId="031E2186" w14:textId="25F2C4CC">
            <w:pPr>
              <w:tabs>
                <w:tab w:val="left" w:pos="540"/>
              </w:tabs>
              <w:jc w:val="center"/>
              <w:rPr>
                <w:rFonts w:cs="Times New Roman"/>
                <w:sz w:val="20"/>
                <w:szCs w:val="20"/>
              </w:rPr>
            </w:pPr>
            <w:r w:rsidRPr="00C9492F">
              <w:rPr>
                <w:rFonts w:cs="Times New Roman"/>
                <w:sz w:val="20"/>
                <w:szCs w:val="20"/>
              </w:rPr>
              <w:t>114</w:t>
            </w:r>
          </w:p>
        </w:tc>
      </w:tr>
      <w:tr w14:paraId="2291F036" w14:textId="77777777" w:rsidTr="00D623B8">
        <w:tblPrEx>
          <w:tblW w:w="4715" w:type="pct"/>
          <w:tblInd w:w="532" w:type="dxa"/>
          <w:tblCellMar>
            <w:top w:w="15" w:type="dxa"/>
            <w:left w:w="15" w:type="dxa"/>
            <w:bottom w:w="15" w:type="dxa"/>
            <w:right w:w="15" w:type="dxa"/>
          </w:tblCellMar>
          <w:tblLook w:val="04A0"/>
        </w:tblPrEx>
        <w:tc>
          <w:tcPr>
            <w:tcW w:w="599" w:type="pct"/>
            <w:tcBorders>
              <w:top w:val="outset" w:sz="6" w:space="0" w:color="auto"/>
              <w:left w:val="outset" w:sz="6" w:space="0" w:color="auto"/>
              <w:bottom w:val="outset" w:sz="6" w:space="0" w:color="auto"/>
              <w:right w:val="outset" w:sz="6" w:space="0" w:color="auto"/>
            </w:tcBorders>
            <w:hideMark/>
          </w:tcPr>
          <w:p w:rsidR="00C9492F" w:rsidRPr="00C9492F" w:rsidP="00C9492F" w14:paraId="24AD55D4" w14:textId="256B9112">
            <w:pPr>
              <w:tabs>
                <w:tab w:val="left" w:pos="540"/>
              </w:tabs>
              <w:jc w:val="center"/>
              <w:rPr>
                <w:rFonts w:cs="Times New Roman"/>
                <w:sz w:val="20"/>
                <w:szCs w:val="20"/>
              </w:rPr>
            </w:pPr>
            <w:r w:rsidRPr="00C9492F">
              <w:rPr>
                <w:rFonts w:cs="Times New Roman"/>
                <w:sz w:val="20"/>
                <w:szCs w:val="20"/>
              </w:rPr>
              <w:t>Annual Time Burden (</w:t>
            </w:r>
            <w:r w:rsidRPr="00C9492F" w:rsidR="0030141D">
              <w:rPr>
                <w:rFonts w:cs="Times New Roman"/>
                <w:sz w:val="20"/>
                <w:szCs w:val="20"/>
              </w:rPr>
              <w:t>H</w:t>
            </w:r>
            <w:r w:rsidR="0030141D">
              <w:rPr>
                <w:rFonts w:cs="Times New Roman"/>
                <w:sz w:val="20"/>
                <w:szCs w:val="20"/>
              </w:rPr>
              <w:t>r.</w:t>
            </w:r>
            <w:r w:rsidRPr="00C9492F">
              <w:rPr>
                <w:rFonts w:cs="Times New Roman"/>
                <w:sz w:val="20"/>
                <w:szCs w:val="20"/>
              </w:rPr>
              <w:t>)</w:t>
            </w:r>
          </w:p>
        </w:tc>
        <w:tc>
          <w:tcPr>
            <w:tcW w:w="527" w:type="pct"/>
            <w:tcBorders>
              <w:top w:val="outset" w:sz="6" w:space="0" w:color="auto"/>
              <w:left w:val="outset" w:sz="6" w:space="0" w:color="auto"/>
              <w:bottom w:val="outset" w:sz="6" w:space="0" w:color="auto"/>
              <w:right w:val="outset" w:sz="6" w:space="0" w:color="auto"/>
            </w:tcBorders>
            <w:hideMark/>
          </w:tcPr>
          <w:p w:rsidR="00C9492F" w:rsidRPr="00C9492F" w:rsidP="00D623B8" w14:paraId="28C25EAA" w14:textId="7B8FAEF4">
            <w:pPr>
              <w:tabs>
                <w:tab w:val="left" w:pos="540"/>
              </w:tabs>
              <w:jc w:val="center"/>
              <w:rPr>
                <w:rFonts w:cs="Times New Roman"/>
                <w:sz w:val="20"/>
                <w:szCs w:val="20"/>
              </w:rPr>
            </w:pPr>
            <w:r w:rsidRPr="00C9492F">
              <w:rPr>
                <w:rFonts w:cs="Times New Roman"/>
                <w:sz w:val="20"/>
                <w:szCs w:val="20"/>
              </w:rPr>
              <w:t>54</w:t>
            </w:r>
          </w:p>
        </w:tc>
        <w:tc>
          <w:tcPr>
            <w:tcW w:w="766" w:type="pct"/>
            <w:tcBorders>
              <w:top w:val="outset" w:sz="6" w:space="0" w:color="auto"/>
              <w:left w:val="outset" w:sz="6" w:space="0" w:color="auto"/>
              <w:bottom w:val="outset" w:sz="6" w:space="0" w:color="auto"/>
              <w:right w:val="outset" w:sz="6" w:space="0" w:color="auto"/>
            </w:tcBorders>
            <w:hideMark/>
          </w:tcPr>
          <w:p w:rsidR="00C9492F" w:rsidRPr="00C9492F" w:rsidP="00D623B8" w14:paraId="43B65F86" w14:textId="77777777">
            <w:pPr>
              <w:tabs>
                <w:tab w:val="left" w:pos="540"/>
              </w:tabs>
              <w:jc w:val="center"/>
              <w:rPr>
                <w:rFonts w:cs="Times New Roman"/>
                <w:sz w:val="20"/>
                <w:szCs w:val="20"/>
              </w:rPr>
            </w:pPr>
            <w:r w:rsidRPr="00C9492F">
              <w:rPr>
                <w:rFonts w:cs="Times New Roman"/>
                <w:sz w:val="20"/>
                <w:szCs w:val="20"/>
              </w:rPr>
              <w:t>0</w:t>
            </w:r>
          </w:p>
        </w:tc>
        <w:tc>
          <w:tcPr>
            <w:tcW w:w="766" w:type="pct"/>
            <w:tcBorders>
              <w:top w:val="outset" w:sz="6" w:space="0" w:color="auto"/>
              <w:left w:val="outset" w:sz="6" w:space="0" w:color="auto"/>
              <w:bottom w:val="outset" w:sz="6" w:space="0" w:color="auto"/>
              <w:right w:val="outset" w:sz="6" w:space="0" w:color="auto"/>
            </w:tcBorders>
            <w:hideMark/>
          </w:tcPr>
          <w:p w:rsidR="00C9492F" w:rsidRPr="00C9492F" w:rsidP="00D623B8" w14:paraId="467B6142" w14:textId="77777777">
            <w:pPr>
              <w:tabs>
                <w:tab w:val="left" w:pos="540"/>
              </w:tabs>
              <w:jc w:val="center"/>
              <w:rPr>
                <w:rFonts w:cs="Times New Roman"/>
                <w:sz w:val="20"/>
                <w:szCs w:val="20"/>
              </w:rPr>
            </w:pPr>
            <w:r w:rsidRPr="00C9492F">
              <w:rPr>
                <w:rFonts w:cs="Times New Roman"/>
                <w:sz w:val="20"/>
                <w:szCs w:val="20"/>
              </w:rPr>
              <w:t>0</w:t>
            </w:r>
          </w:p>
        </w:tc>
        <w:tc>
          <w:tcPr>
            <w:tcW w:w="817" w:type="pct"/>
            <w:tcBorders>
              <w:top w:val="outset" w:sz="6" w:space="0" w:color="auto"/>
              <w:left w:val="outset" w:sz="6" w:space="0" w:color="auto"/>
              <w:bottom w:val="outset" w:sz="6" w:space="0" w:color="auto"/>
              <w:right w:val="outset" w:sz="6" w:space="0" w:color="auto"/>
            </w:tcBorders>
            <w:hideMark/>
          </w:tcPr>
          <w:p w:rsidR="00C9492F" w:rsidRPr="00C9492F" w:rsidP="00D623B8" w14:paraId="064F090E" w14:textId="3F583D8A">
            <w:pPr>
              <w:tabs>
                <w:tab w:val="left" w:pos="540"/>
              </w:tabs>
              <w:jc w:val="center"/>
              <w:rPr>
                <w:rFonts w:cs="Times New Roman"/>
                <w:sz w:val="20"/>
                <w:szCs w:val="20"/>
              </w:rPr>
            </w:pPr>
            <w:r w:rsidRPr="00C9492F">
              <w:rPr>
                <w:rFonts w:cs="Times New Roman"/>
                <w:sz w:val="20"/>
                <w:szCs w:val="20"/>
              </w:rPr>
              <w:t>33</w:t>
            </w:r>
          </w:p>
        </w:tc>
        <w:tc>
          <w:tcPr>
            <w:tcW w:w="817" w:type="pct"/>
            <w:tcBorders>
              <w:top w:val="outset" w:sz="6" w:space="0" w:color="auto"/>
              <w:left w:val="outset" w:sz="6" w:space="0" w:color="auto"/>
              <w:bottom w:val="outset" w:sz="6" w:space="0" w:color="auto"/>
              <w:right w:val="outset" w:sz="6" w:space="0" w:color="auto"/>
            </w:tcBorders>
            <w:hideMark/>
          </w:tcPr>
          <w:p w:rsidR="00C9492F" w:rsidRPr="00C9492F" w:rsidP="00D623B8" w14:paraId="211B1D07" w14:textId="77777777">
            <w:pPr>
              <w:tabs>
                <w:tab w:val="left" w:pos="540"/>
              </w:tabs>
              <w:jc w:val="center"/>
              <w:rPr>
                <w:rFonts w:cs="Times New Roman"/>
                <w:sz w:val="20"/>
                <w:szCs w:val="20"/>
              </w:rPr>
            </w:pPr>
            <w:r w:rsidRPr="00C9492F">
              <w:rPr>
                <w:rFonts w:cs="Times New Roman"/>
                <w:sz w:val="20"/>
                <w:szCs w:val="20"/>
              </w:rPr>
              <w:t>0</w:t>
            </w:r>
          </w:p>
        </w:tc>
        <w:tc>
          <w:tcPr>
            <w:tcW w:w="709" w:type="pct"/>
            <w:tcBorders>
              <w:top w:val="outset" w:sz="6" w:space="0" w:color="auto"/>
              <w:left w:val="outset" w:sz="6" w:space="0" w:color="auto"/>
              <w:bottom w:val="outset" w:sz="6" w:space="0" w:color="auto"/>
              <w:right w:val="outset" w:sz="6" w:space="0" w:color="auto"/>
            </w:tcBorders>
            <w:hideMark/>
          </w:tcPr>
          <w:p w:rsidR="00C9492F" w:rsidRPr="00C9492F" w:rsidP="00D623B8" w14:paraId="28355F33" w14:textId="5BFD87CE">
            <w:pPr>
              <w:tabs>
                <w:tab w:val="left" w:pos="540"/>
              </w:tabs>
              <w:jc w:val="center"/>
              <w:rPr>
                <w:rFonts w:cs="Times New Roman"/>
                <w:sz w:val="20"/>
                <w:szCs w:val="20"/>
              </w:rPr>
            </w:pPr>
            <w:r w:rsidRPr="00C9492F">
              <w:rPr>
                <w:rFonts w:cs="Times New Roman"/>
                <w:sz w:val="20"/>
                <w:szCs w:val="20"/>
              </w:rPr>
              <w:t>21</w:t>
            </w:r>
          </w:p>
        </w:tc>
      </w:tr>
    </w:tbl>
    <w:p w:rsidR="00BF0A90" w:rsidRPr="00A648C2" w:rsidP="00BF0A90" w14:paraId="6416AC53" w14:textId="77777777">
      <w:pPr>
        <w:tabs>
          <w:tab w:val="left" w:pos="540"/>
        </w:tabs>
        <w:ind w:left="540"/>
        <w:rPr>
          <w:rFonts w:asciiTheme="minorHAnsi" w:hAnsiTheme="minorHAnsi"/>
          <w:b/>
          <w:sz w:val="22"/>
        </w:rPr>
      </w:pPr>
    </w:p>
    <w:p w:rsidR="009E3D48" w:rsidRPr="00DC1585" w:rsidP="009E3D48" w14:paraId="15A829B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6F54FF69" w14:textId="77777777">
      <w:pPr>
        <w:tabs>
          <w:tab w:val="left" w:pos="540"/>
        </w:tabs>
        <w:ind w:left="540" w:hanging="540"/>
        <w:rPr>
          <w:rFonts w:asciiTheme="minorHAnsi" w:hAnsiTheme="minorHAnsi"/>
          <w:sz w:val="22"/>
        </w:rPr>
      </w:pPr>
    </w:p>
    <w:p w:rsidR="0004104E" w:rsidRPr="00F87A66" w:rsidP="0004104E" w14:paraId="2AD7463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1FAEB655" w14:textId="77777777">
      <w:pPr>
        <w:tabs>
          <w:tab w:val="left" w:pos="540"/>
        </w:tabs>
        <w:ind w:left="540" w:hanging="540"/>
        <w:rPr>
          <w:rFonts w:asciiTheme="minorHAnsi" w:hAnsiTheme="minorHAnsi"/>
          <w:sz w:val="22"/>
          <w:u w:val="single"/>
        </w:rPr>
      </w:pPr>
    </w:p>
    <w:p w:rsidR="009E3D48" w:rsidRPr="00DC1585" w:rsidP="009E3D48" w14:paraId="0C958D6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605DAC69" w14:textId="77777777">
      <w:pPr>
        <w:tabs>
          <w:tab w:val="left" w:pos="540"/>
        </w:tabs>
        <w:ind w:left="540" w:hanging="540"/>
        <w:rPr>
          <w:rFonts w:asciiTheme="minorHAnsi" w:hAnsiTheme="minorHAnsi"/>
          <w:b/>
          <w:sz w:val="22"/>
        </w:rPr>
      </w:pPr>
    </w:p>
    <w:p w:rsidR="0004104E" w:rsidRPr="00F87A66" w:rsidP="004606C9" w14:paraId="04AC20C0" w14:textId="4F62F101">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Taxpayers are not likely to be aware that the </w:t>
      </w:r>
      <w:r w:rsidR="00BF0A90">
        <w:rPr>
          <w:rFonts w:asciiTheme="minorHAnsi" w:hAnsiTheme="minorHAnsi"/>
          <w:sz w:val="22"/>
        </w:rPr>
        <w:t>IRS</w:t>
      </w:r>
      <w:r w:rsidRPr="004606C9">
        <w:rPr>
          <w:rFonts w:asciiTheme="minorHAnsi" w:hAnsiTheme="minorHAnsi"/>
          <w:sz w:val="22"/>
        </w:rPr>
        <w:t xml:space="preserve"> intends to request renewal of the OMB approval and obtain a new expiration date before the old one expires</w:t>
      </w:r>
      <w:r>
        <w:rPr>
          <w:rFonts w:asciiTheme="minorHAnsi" w:hAnsiTheme="minorHAnsi"/>
          <w:sz w:val="22"/>
        </w:rPr>
        <w:t>.</w:t>
      </w:r>
    </w:p>
    <w:p w:rsidR="00D463E0" w:rsidRPr="00DC1585" w:rsidP="009E3D48" w14:paraId="5A7108BD" w14:textId="77777777">
      <w:pPr>
        <w:tabs>
          <w:tab w:val="left" w:pos="540"/>
        </w:tabs>
        <w:ind w:left="540" w:hanging="540"/>
        <w:rPr>
          <w:rFonts w:asciiTheme="minorHAnsi" w:hAnsiTheme="minorHAnsi"/>
          <w:b/>
          <w:sz w:val="22"/>
          <w:u w:val="single"/>
        </w:rPr>
      </w:pPr>
    </w:p>
    <w:p w:rsidR="009E3D48" w:rsidRPr="00DC1585" w:rsidP="009E3D48" w14:paraId="3D69343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08042D79" w14:textId="77777777">
      <w:pPr>
        <w:tabs>
          <w:tab w:val="left" w:pos="540"/>
        </w:tabs>
        <w:ind w:left="540" w:hanging="540"/>
        <w:rPr>
          <w:rFonts w:asciiTheme="minorHAnsi" w:hAnsiTheme="minorHAnsi"/>
          <w:sz w:val="22"/>
        </w:rPr>
      </w:pPr>
    </w:p>
    <w:p w:rsidR="00A648C2" w:rsidRPr="00F87A66" w:rsidP="00A648C2" w14:paraId="23511D20"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BD6" w:rsidP="00BF0A90" w14:paraId="2F54E378" w14:textId="0DBF1FD1">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32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614EE"/>
    <w:rsid w:val="0006290D"/>
    <w:rsid w:val="000720DB"/>
    <w:rsid w:val="00072A09"/>
    <w:rsid w:val="0007317C"/>
    <w:rsid w:val="0008307A"/>
    <w:rsid w:val="0009555C"/>
    <w:rsid w:val="000A0C41"/>
    <w:rsid w:val="000A5F36"/>
    <w:rsid w:val="000B33A9"/>
    <w:rsid w:val="000D26FB"/>
    <w:rsid w:val="000E4B0F"/>
    <w:rsid w:val="00102955"/>
    <w:rsid w:val="0012304F"/>
    <w:rsid w:val="0012312C"/>
    <w:rsid w:val="0012470A"/>
    <w:rsid w:val="001616BC"/>
    <w:rsid w:val="00163E8B"/>
    <w:rsid w:val="00182BE3"/>
    <w:rsid w:val="00183523"/>
    <w:rsid w:val="00190335"/>
    <w:rsid w:val="0019453D"/>
    <w:rsid w:val="00194B8F"/>
    <w:rsid w:val="00197CEF"/>
    <w:rsid w:val="001B1697"/>
    <w:rsid w:val="001B5BD6"/>
    <w:rsid w:val="001D050E"/>
    <w:rsid w:val="001D1550"/>
    <w:rsid w:val="001F3778"/>
    <w:rsid w:val="002119E2"/>
    <w:rsid w:val="00235AD5"/>
    <w:rsid w:val="002456AB"/>
    <w:rsid w:val="002600AF"/>
    <w:rsid w:val="002736EC"/>
    <w:rsid w:val="00277A26"/>
    <w:rsid w:val="002911BE"/>
    <w:rsid w:val="002A463C"/>
    <w:rsid w:val="002C7C4B"/>
    <w:rsid w:val="0030141D"/>
    <w:rsid w:val="00304788"/>
    <w:rsid w:val="00313D91"/>
    <w:rsid w:val="00352C6F"/>
    <w:rsid w:val="003536BD"/>
    <w:rsid w:val="00364BEE"/>
    <w:rsid w:val="00370E1E"/>
    <w:rsid w:val="00377A8D"/>
    <w:rsid w:val="003965E9"/>
    <w:rsid w:val="003B2E51"/>
    <w:rsid w:val="003C2439"/>
    <w:rsid w:val="003D5F5B"/>
    <w:rsid w:val="003E42D4"/>
    <w:rsid w:val="00453441"/>
    <w:rsid w:val="004606C9"/>
    <w:rsid w:val="0047046A"/>
    <w:rsid w:val="00480BDD"/>
    <w:rsid w:val="004E0C33"/>
    <w:rsid w:val="00514A46"/>
    <w:rsid w:val="0052663A"/>
    <w:rsid w:val="00557607"/>
    <w:rsid w:val="005846B0"/>
    <w:rsid w:val="005A2B4F"/>
    <w:rsid w:val="005B0638"/>
    <w:rsid w:val="005B773F"/>
    <w:rsid w:val="005C1AB6"/>
    <w:rsid w:val="005D5346"/>
    <w:rsid w:val="005E5B5A"/>
    <w:rsid w:val="005E6135"/>
    <w:rsid w:val="006007BC"/>
    <w:rsid w:val="006031DF"/>
    <w:rsid w:val="00611048"/>
    <w:rsid w:val="00632B03"/>
    <w:rsid w:val="00637C90"/>
    <w:rsid w:val="00651FD9"/>
    <w:rsid w:val="006546DD"/>
    <w:rsid w:val="006B08BA"/>
    <w:rsid w:val="00700CA4"/>
    <w:rsid w:val="00710C29"/>
    <w:rsid w:val="00732204"/>
    <w:rsid w:val="00736DBB"/>
    <w:rsid w:val="00770EAA"/>
    <w:rsid w:val="007C611A"/>
    <w:rsid w:val="00801000"/>
    <w:rsid w:val="00895855"/>
    <w:rsid w:val="008A0733"/>
    <w:rsid w:val="008D56F2"/>
    <w:rsid w:val="008F35C9"/>
    <w:rsid w:val="009302A1"/>
    <w:rsid w:val="00932E7F"/>
    <w:rsid w:val="00946CFC"/>
    <w:rsid w:val="00957453"/>
    <w:rsid w:val="0096150B"/>
    <w:rsid w:val="00964FD7"/>
    <w:rsid w:val="00980AAE"/>
    <w:rsid w:val="00996DDD"/>
    <w:rsid w:val="009A5C32"/>
    <w:rsid w:val="009E3D48"/>
    <w:rsid w:val="00A02601"/>
    <w:rsid w:val="00A24315"/>
    <w:rsid w:val="00A35947"/>
    <w:rsid w:val="00A648C2"/>
    <w:rsid w:val="00A801E7"/>
    <w:rsid w:val="00A87927"/>
    <w:rsid w:val="00AA034F"/>
    <w:rsid w:val="00AC6F74"/>
    <w:rsid w:val="00B03457"/>
    <w:rsid w:val="00B041DE"/>
    <w:rsid w:val="00B117D2"/>
    <w:rsid w:val="00B13338"/>
    <w:rsid w:val="00B13D02"/>
    <w:rsid w:val="00B248B3"/>
    <w:rsid w:val="00B30F64"/>
    <w:rsid w:val="00B831A0"/>
    <w:rsid w:val="00B860C5"/>
    <w:rsid w:val="00BB4AFA"/>
    <w:rsid w:val="00BD1F42"/>
    <w:rsid w:val="00BE754B"/>
    <w:rsid w:val="00BF0A90"/>
    <w:rsid w:val="00C14F69"/>
    <w:rsid w:val="00C6341E"/>
    <w:rsid w:val="00C809CA"/>
    <w:rsid w:val="00C828FA"/>
    <w:rsid w:val="00C9492F"/>
    <w:rsid w:val="00CB358B"/>
    <w:rsid w:val="00CF61FE"/>
    <w:rsid w:val="00D01E6A"/>
    <w:rsid w:val="00D103E7"/>
    <w:rsid w:val="00D15C4E"/>
    <w:rsid w:val="00D25802"/>
    <w:rsid w:val="00D35BAC"/>
    <w:rsid w:val="00D463E0"/>
    <w:rsid w:val="00D47DDC"/>
    <w:rsid w:val="00D56BB9"/>
    <w:rsid w:val="00D57620"/>
    <w:rsid w:val="00D623B8"/>
    <w:rsid w:val="00D91961"/>
    <w:rsid w:val="00DB3926"/>
    <w:rsid w:val="00DC1585"/>
    <w:rsid w:val="00DF6A65"/>
    <w:rsid w:val="00E20185"/>
    <w:rsid w:val="00E254E7"/>
    <w:rsid w:val="00E378C3"/>
    <w:rsid w:val="00E37E63"/>
    <w:rsid w:val="00E729D0"/>
    <w:rsid w:val="00EB0140"/>
    <w:rsid w:val="00EB5D43"/>
    <w:rsid w:val="00EB6683"/>
    <w:rsid w:val="00EC723E"/>
    <w:rsid w:val="00ED3A16"/>
    <w:rsid w:val="00EE15E4"/>
    <w:rsid w:val="00EF3B17"/>
    <w:rsid w:val="00F011BC"/>
    <w:rsid w:val="00F02F40"/>
    <w:rsid w:val="00F2414E"/>
    <w:rsid w:val="00F41DC6"/>
    <w:rsid w:val="00F82330"/>
    <w:rsid w:val="00F87A66"/>
    <w:rsid w:val="00F972DB"/>
    <w:rsid w:val="00FB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D2E8C"/>
  <w15:docId w15:val="{03306063-5973-4882-B0C1-1F6D12A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styleId="UnresolvedMention">
    <w:name w:val="Unresolved Mention"/>
    <w:basedOn w:val="DefaultParagraphFont"/>
    <w:uiPriority w:val="99"/>
    <w:semiHidden/>
    <w:unhideWhenUsed/>
    <w:rsid w:val="00182BE3"/>
    <w:rPr>
      <w:color w:val="808080"/>
      <w:shd w:val="clear" w:color="auto" w:fill="E6E6E6"/>
    </w:rPr>
  </w:style>
  <w:style w:type="character" w:styleId="FollowedHyperlink">
    <w:name w:val="FollowedHyperlink"/>
    <w:basedOn w:val="DefaultParagraphFont"/>
    <w:uiPriority w:val="99"/>
    <w:semiHidden/>
    <w:unhideWhenUsed/>
    <w:rsid w:val="00D56BB9"/>
    <w:rPr>
      <w:color w:val="800080" w:themeColor="followedHyperlink"/>
      <w:u w:val="single"/>
    </w:rPr>
  </w:style>
  <w:style w:type="character" w:styleId="CommentReference">
    <w:name w:val="annotation reference"/>
    <w:basedOn w:val="DefaultParagraphFont"/>
    <w:uiPriority w:val="99"/>
    <w:semiHidden/>
    <w:unhideWhenUsed/>
    <w:rsid w:val="00514A46"/>
    <w:rPr>
      <w:sz w:val="16"/>
      <w:szCs w:val="16"/>
    </w:rPr>
  </w:style>
  <w:style w:type="paragraph" w:styleId="CommentText">
    <w:name w:val="annotation text"/>
    <w:basedOn w:val="Normal"/>
    <w:link w:val="CommentTextChar"/>
    <w:uiPriority w:val="99"/>
    <w:semiHidden/>
    <w:unhideWhenUsed/>
    <w:rsid w:val="00514A46"/>
    <w:rPr>
      <w:sz w:val="20"/>
      <w:szCs w:val="20"/>
    </w:rPr>
  </w:style>
  <w:style w:type="character" w:customStyle="1" w:styleId="CommentTextChar">
    <w:name w:val="Comment Text Char"/>
    <w:basedOn w:val="DefaultParagraphFont"/>
    <w:link w:val="CommentText"/>
    <w:uiPriority w:val="99"/>
    <w:semiHidden/>
    <w:rsid w:val="00514A46"/>
    <w:rPr>
      <w:sz w:val="20"/>
      <w:szCs w:val="20"/>
    </w:rPr>
  </w:style>
  <w:style w:type="paragraph" w:styleId="CommentSubject">
    <w:name w:val="annotation subject"/>
    <w:basedOn w:val="CommentText"/>
    <w:next w:val="CommentText"/>
    <w:link w:val="CommentSubjectChar"/>
    <w:uiPriority w:val="99"/>
    <w:semiHidden/>
    <w:unhideWhenUsed/>
    <w:rsid w:val="00514A46"/>
    <w:rPr>
      <w:b/>
      <w:bCs/>
    </w:rPr>
  </w:style>
  <w:style w:type="character" w:customStyle="1" w:styleId="CommentSubjectChar">
    <w:name w:val="Comment Subject Char"/>
    <w:basedOn w:val="CommentTextChar"/>
    <w:link w:val="CommentSubject"/>
    <w:uiPriority w:val="99"/>
    <w:semiHidden/>
    <w:rsid w:val="00514A46"/>
    <w:rPr>
      <w:b/>
      <w:bCs/>
      <w:sz w:val="20"/>
      <w:szCs w:val="20"/>
    </w:rPr>
  </w:style>
  <w:style w:type="paragraph" w:styleId="Revision">
    <w:name w:val="Revision"/>
    <w:hidden/>
    <w:uiPriority w:val="99"/>
    <w:semiHidden/>
    <w:rsid w:val="00D2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26728851-165C-40AB-A7E9-BCD89925BEF5}">
  <ds:schemaRefs>
    <ds:schemaRef ds:uri="http://schemas.openxmlformats.org/officeDocument/2006/bibliography"/>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Schoonmaker Jason M</cp:lastModifiedBy>
  <cp:revision>2</cp:revision>
  <dcterms:created xsi:type="dcterms:W3CDTF">2025-08-05T16:22:00Z</dcterms:created>
  <dcterms:modified xsi:type="dcterms:W3CDTF">2025-08-05T16:22:00Z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