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100AE" w:rsidRPr="001C05DC" w14:paraId="6731722B" w14:textId="77777777">
      <w:pPr>
        <w:tabs>
          <w:tab w:val="center" w:pos="4680"/>
        </w:tabs>
        <w:rPr>
          <w:rFonts w:asciiTheme="minorHAnsi" w:hAnsiTheme="minorHAnsi" w:cstheme="minorHAnsi"/>
          <w:bCs/>
          <w:sz w:val="22"/>
          <w:szCs w:val="22"/>
        </w:rPr>
      </w:pPr>
      <w:r w:rsidRPr="00035F74">
        <w:rPr>
          <w:rFonts w:cs="Courier"/>
          <w:bCs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</w:rPr>
        <w:t>SUPPORTING STATEMENT</w:t>
      </w:r>
    </w:p>
    <w:p w:rsidR="00226991" w:rsidRPr="001C05DC" w:rsidP="00226991" w14:paraId="6EF5CCAF" w14:textId="7FED5C8C">
      <w:pPr>
        <w:tabs>
          <w:tab w:val="center" w:pos="468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Internal Revenue Service</w:t>
      </w:r>
      <w:r w:rsidRPr="001C05DC" w:rsidR="00FE18BB">
        <w:rPr>
          <w:rFonts w:asciiTheme="minorHAnsi" w:hAnsiTheme="minorHAnsi" w:cstheme="minorHAnsi"/>
          <w:bCs/>
          <w:sz w:val="22"/>
          <w:szCs w:val="22"/>
        </w:rPr>
        <w:t xml:space="preserve"> (IRS)</w:t>
      </w:r>
    </w:p>
    <w:p w:rsidR="00226991" w:rsidRPr="001C05DC" w:rsidP="00226991" w14:paraId="66BA5972" w14:textId="77777777">
      <w:pPr>
        <w:tabs>
          <w:tab w:val="center" w:pos="468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Notice 201</w:t>
      </w:r>
      <w:r w:rsidRPr="001C05DC" w:rsidR="00781EB8">
        <w:rPr>
          <w:rFonts w:asciiTheme="minorHAnsi" w:hAnsiTheme="minorHAnsi" w:cstheme="minorHAnsi"/>
          <w:bCs/>
          <w:sz w:val="22"/>
          <w:szCs w:val="22"/>
        </w:rPr>
        <w:t>8</w:t>
      </w:r>
      <w:r w:rsidRPr="001C05DC">
        <w:rPr>
          <w:rFonts w:asciiTheme="minorHAnsi" w:hAnsiTheme="minorHAnsi" w:cstheme="minorHAnsi"/>
          <w:bCs/>
          <w:sz w:val="22"/>
          <w:szCs w:val="22"/>
        </w:rPr>
        <w:t>-</w:t>
      </w:r>
      <w:r w:rsidRPr="001C05DC" w:rsidR="00044C6A">
        <w:rPr>
          <w:rFonts w:asciiTheme="minorHAnsi" w:hAnsiTheme="minorHAnsi" w:cstheme="minorHAnsi"/>
          <w:bCs/>
          <w:sz w:val="22"/>
          <w:szCs w:val="22"/>
        </w:rPr>
        <w:t>81</w:t>
      </w:r>
    </w:p>
    <w:p w:rsidR="008419BC" w:rsidRPr="001C05DC" w:rsidP="001C05DC" w14:paraId="16065EA1" w14:textId="7777777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C05DC">
        <w:rPr>
          <w:rFonts w:asciiTheme="minorHAnsi" w:hAnsiTheme="minorHAnsi" w:cstheme="minorHAnsi"/>
          <w:color w:val="auto"/>
          <w:sz w:val="22"/>
          <w:szCs w:val="22"/>
        </w:rPr>
        <w:t>Notice Regarding Certain Church Plan Clarifications under Section 336 of the PATH Act</w:t>
      </w:r>
    </w:p>
    <w:p w:rsidR="00C91559" w:rsidRPr="001C05DC" w:rsidP="001C05DC" w14:paraId="1374BA6D" w14:textId="03E0917A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OMB</w:t>
      </w:r>
      <w:r w:rsidRPr="001C05DC" w:rsidR="00226991">
        <w:rPr>
          <w:rFonts w:asciiTheme="minorHAnsi" w:hAnsiTheme="minorHAnsi" w:cstheme="minorHAnsi"/>
          <w:bCs/>
          <w:sz w:val="22"/>
          <w:szCs w:val="22"/>
        </w:rPr>
        <w:t xml:space="preserve"> Control No.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1545-</w:t>
      </w:r>
      <w:r w:rsidRPr="001C05DC" w:rsidR="00781EB8">
        <w:rPr>
          <w:rFonts w:asciiTheme="minorHAnsi" w:hAnsiTheme="minorHAnsi" w:cstheme="minorHAnsi"/>
          <w:bCs/>
          <w:sz w:val="22"/>
          <w:szCs w:val="22"/>
        </w:rPr>
        <w:t>2279</w:t>
      </w:r>
    </w:p>
    <w:p w:rsidR="00C91559" w:rsidRPr="001C05DC" w14:paraId="0020A03F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7EB050A6" w14:textId="77777777">
      <w:pPr>
        <w:numPr>
          <w:ilvl w:val="0"/>
          <w:numId w:val="1"/>
        </w:numPr>
        <w:tabs>
          <w:tab w:val="left" w:pos="720"/>
        </w:tabs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CIRCUMSTANCES NECESSITATING COLLECTION OF INFORMATION</w:t>
      </w:r>
    </w:p>
    <w:p w:rsidR="00C91559" w:rsidRPr="001C05DC" w:rsidP="00035F74" w14:paraId="4D12E040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005EFD" w:rsidRPr="001C05DC" w:rsidP="00FE18BB" w14:paraId="58B981D7" w14:textId="7E29CA9D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Section 336(a) of the PATH Act </w:t>
      </w:r>
      <w:r w:rsidRPr="001C05DC" w:rsidR="00A40084">
        <w:rPr>
          <w:rFonts w:asciiTheme="minorHAnsi" w:hAnsiTheme="minorHAnsi" w:cstheme="minorHAnsi"/>
          <w:bCs/>
          <w:sz w:val="22"/>
          <w:szCs w:val="22"/>
        </w:rPr>
        <w:t xml:space="preserve">(P.L. 114-113)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amended </w:t>
      </w:r>
      <w:r w:rsidRPr="001C05DC" w:rsidR="00327AAD">
        <w:rPr>
          <w:rFonts w:asciiTheme="minorHAnsi" w:hAnsiTheme="minorHAnsi" w:cstheme="minorHAnsi"/>
          <w:bCs/>
          <w:sz w:val="22"/>
          <w:szCs w:val="22"/>
        </w:rPr>
        <w:t xml:space="preserve">Internal Revenue Code (IRC)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section 414(c) 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 xml:space="preserve">by adding a new section </w:t>
      </w:r>
      <w:r w:rsidRPr="001C05DC" w:rsidR="008419BC">
        <w:rPr>
          <w:rFonts w:asciiTheme="minorHAnsi" w:hAnsiTheme="minorHAnsi" w:cstheme="minorHAnsi"/>
          <w:bCs/>
          <w:sz w:val="22"/>
          <w:szCs w:val="22"/>
        </w:rPr>
        <w:t>414(c)(2)(C)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 xml:space="preserve">. Under </w:t>
      </w:r>
      <w:r w:rsidRPr="001C05DC" w:rsidR="000C7918">
        <w:rPr>
          <w:rFonts w:asciiTheme="minorHAnsi" w:hAnsiTheme="minorHAnsi" w:cstheme="minorHAnsi"/>
          <w:bCs/>
          <w:sz w:val="22"/>
          <w:szCs w:val="22"/>
        </w:rPr>
        <w:t xml:space="preserve">IRC 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 xml:space="preserve">section 414(c)(2)(C) and (D), </w:t>
      </w:r>
      <w:r w:rsidRPr="001C05DC" w:rsidR="008419BC">
        <w:rPr>
          <w:rFonts w:asciiTheme="minorHAnsi" w:hAnsiTheme="minorHAnsi" w:cstheme="minorHAnsi"/>
          <w:bCs/>
          <w:sz w:val="22"/>
          <w:szCs w:val="22"/>
        </w:rPr>
        <w:t xml:space="preserve">an election may be made to aggregate or disaggregate certain </w:t>
      </w:r>
      <w:r w:rsidRPr="001C05DC" w:rsidR="00C73569">
        <w:rPr>
          <w:rFonts w:asciiTheme="minorHAnsi" w:hAnsiTheme="minorHAnsi" w:cstheme="minorHAnsi"/>
          <w:bCs/>
          <w:sz w:val="22"/>
          <w:szCs w:val="22"/>
        </w:rPr>
        <w:t xml:space="preserve">churches and </w:t>
      </w:r>
      <w:r w:rsidRPr="001C05DC" w:rsidR="008419BC">
        <w:rPr>
          <w:rFonts w:asciiTheme="minorHAnsi" w:hAnsiTheme="minorHAnsi" w:cstheme="minorHAnsi"/>
          <w:bCs/>
          <w:sz w:val="22"/>
          <w:szCs w:val="22"/>
        </w:rPr>
        <w:t xml:space="preserve">church-related organizations, respectively. Under these provisions, the 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>“</w:t>
      </w:r>
      <w:r w:rsidRPr="001C05DC" w:rsidR="008419BC">
        <w:rPr>
          <w:rFonts w:asciiTheme="minorHAnsi" w:hAnsiTheme="minorHAnsi" w:cstheme="minorHAnsi"/>
          <w:bCs/>
          <w:sz w:val="22"/>
          <w:szCs w:val="22"/>
        </w:rPr>
        <w:t>election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 xml:space="preserve">, once made shall apply to all succeeding plan years unless revoked with notice </w:t>
      </w:r>
      <w:r w:rsidRPr="001C05DC" w:rsidR="008419BC">
        <w:rPr>
          <w:rFonts w:asciiTheme="minorHAnsi" w:hAnsiTheme="minorHAnsi" w:cstheme="minorHAnsi"/>
          <w:bCs/>
          <w:sz w:val="22"/>
          <w:szCs w:val="22"/>
        </w:rPr>
        <w:t xml:space="preserve">provided to the Secretary in such manner as the Secretary shall prescribe.” </w:t>
      </w:r>
      <w:r w:rsidRPr="001C05DC" w:rsidR="003E03F5">
        <w:rPr>
          <w:rFonts w:asciiTheme="minorHAnsi" w:hAnsiTheme="minorHAnsi" w:cstheme="minorHAnsi"/>
          <w:bCs/>
          <w:sz w:val="22"/>
          <w:szCs w:val="22"/>
        </w:rPr>
        <w:t>However, the provisions do not require that the secretary be notified of any election under section 414(c)(2).</w:t>
      </w:r>
      <w:r w:rsidRPr="001C05DC" w:rsidR="00C915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71DC8" w:rsidRPr="001C05DC" w:rsidP="00FE18BB" w14:paraId="5958E87A" w14:textId="42DB6849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D71DC8" w:rsidRPr="001C05DC" w:rsidP="00FE18BB" w14:paraId="763C9BCC" w14:textId="5153E25D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The collection of information, found in section III of Notice 2018-81, requires that respondents notify the IRS of revocations of their elections.</w:t>
      </w:r>
      <w:r w:rsidRPr="001C05DC" w:rsidR="00E61462">
        <w:rPr>
          <w:rFonts w:asciiTheme="minorHAnsi" w:hAnsiTheme="minorHAnsi" w:cstheme="minorHAnsi"/>
          <w:bCs/>
          <w:sz w:val="22"/>
          <w:szCs w:val="22"/>
        </w:rPr>
        <w:t xml:space="preserve"> The requirement to keep a record of the initial election is </w:t>
      </w:r>
      <w:r w:rsidRPr="001C05DC" w:rsidR="00B63688">
        <w:rPr>
          <w:rFonts w:asciiTheme="minorHAnsi" w:hAnsiTheme="minorHAnsi" w:cstheme="minorHAnsi"/>
          <w:bCs/>
          <w:sz w:val="22"/>
          <w:szCs w:val="22"/>
        </w:rPr>
        <w:t xml:space="preserve">covered under 26 CFR 31.6001, which is </w:t>
      </w:r>
      <w:r w:rsidRPr="001C05DC" w:rsidR="00E61462">
        <w:rPr>
          <w:rFonts w:asciiTheme="minorHAnsi" w:hAnsiTheme="minorHAnsi" w:cstheme="minorHAnsi"/>
          <w:bCs/>
          <w:sz w:val="22"/>
          <w:szCs w:val="22"/>
        </w:rPr>
        <w:t xml:space="preserve">approved under OMB Control Number </w:t>
      </w:r>
      <w:r w:rsidRPr="001C05DC" w:rsidR="00B63688">
        <w:rPr>
          <w:rFonts w:asciiTheme="minorHAnsi" w:hAnsiTheme="minorHAnsi" w:cstheme="minorHAnsi"/>
          <w:bCs/>
          <w:sz w:val="22"/>
          <w:szCs w:val="22"/>
        </w:rPr>
        <w:t>1545-0047</w:t>
      </w:r>
      <w:r w:rsidRPr="001C05DC" w:rsidR="00E6146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C91559" w:rsidRPr="001C05DC" w:rsidP="00035F74" w14:paraId="5FB6ED25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</w:p>
    <w:p w:rsidR="00C91559" w:rsidRPr="001C05DC" w:rsidP="00035F74" w14:paraId="07B48EB2" w14:textId="77777777">
      <w:pPr>
        <w:numPr>
          <w:ilvl w:val="0"/>
          <w:numId w:val="1"/>
        </w:numPr>
        <w:tabs>
          <w:tab w:val="left" w:pos="720"/>
        </w:tabs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USE OF DATA</w:t>
      </w:r>
    </w:p>
    <w:p w:rsidR="00C91559" w:rsidRPr="001C05DC" w:rsidP="00035F74" w14:paraId="34D2E58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7926F7" w14:paraId="19BB7177" w14:textId="56031AF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The IRS may use this information if it audits a church-related organization regarding the nondiscrimination requirements</w:t>
      </w:r>
      <w:r w:rsidRPr="001C05DC" w:rsidR="00D47416">
        <w:rPr>
          <w:rFonts w:asciiTheme="minorHAnsi" w:hAnsiTheme="minorHAnsi" w:cstheme="minorHAnsi"/>
          <w:bCs/>
          <w:sz w:val="22"/>
          <w:szCs w:val="22"/>
        </w:rPr>
        <w:t xml:space="preserve"> and other retirement plan requirements</w:t>
      </w:r>
      <w:r w:rsidRPr="001C05DC">
        <w:rPr>
          <w:rFonts w:asciiTheme="minorHAnsi" w:hAnsiTheme="minorHAnsi" w:cstheme="minorHAnsi"/>
          <w:bCs/>
          <w:sz w:val="22"/>
          <w:szCs w:val="22"/>
        </w:rPr>
        <w:t>.</w:t>
      </w:r>
    </w:p>
    <w:p w:rsidR="008419BC" w:rsidRPr="001C05DC" w:rsidP="00035F74" w14:paraId="46FC8F6A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62169D4A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3.</w:t>
      </w: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USE OF IMPROVED INFORMATION TECHNOLOGY TO REDUCE BURDEN</w:t>
      </w:r>
    </w:p>
    <w:p w:rsidR="00C91559" w:rsidRPr="001C05DC" w:rsidP="00035F74" w14:paraId="189CFA2D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59363F1A" w14:textId="29E4481D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Hlk525643073"/>
      <w:r w:rsidRPr="001C05DC" w:rsidR="00C17E76">
        <w:rPr>
          <w:rFonts w:asciiTheme="minorHAnsi" w:hAnsiTheme="minorHAnsi" w:cstheme="minorHAnsi"/>
          <w:bCs/>
          <w:sz w:val="22"/>
          <w:szCs w:val="22"/>
        </w:rPr>
        <w:t xml:space="preserve">There are no plans to provide electronic filing because electronic filing is not appropriate for the collection of information in this submission </w:t>
      </w:r>
      <w:r w:rsidRPr="001C05DC" w:rsidR="00C60340">
        <w:rPr>
          <w:rFonts w:asciiTheme="minorHAnsi" w:hAnsiTheme="minorHAnsi" w:cstheme="minorHAnsi"/>
          <w:bCs/>
          <w:sz w:val="22"/>
          <w:szCs w:val="22"/>
        </w:rPr>
        <w:t>as the respondents only need to record their revocation and furnish a copy to IRS upon request.</w:t>
      </w:r>
      <w:bookmarkEnd w:id="0"/>
    </w:p>
    <w:p w:rsidR="00C91559" w:rsidRPr="001C05DC" w:rsidP="00035F74" w14:paraId="111FAF7A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F41DB4" w14:paraId="079B856F" w14:textId="58677318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EFFORTS TO IDENTIFY DUPLICATION</w:t>
      </w:r>
    </w:p>
    <w:p w:rsidR="00C91559" w:rsidRPr="001C05DC" w:rsidP="00035F74" w14:paraId="745AA9F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FE18BB" w14:paraId="29A73C3E" w14:textId="062D9F1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bookmarkStart w:id="1" w:name="_Hlk497985603"/>
      <w:r w:rsidRPr="001C05DC">
        <w:rPr>
          <w:rFonts w:asciiTheme="minorHAnsi" w:hAnsiTheme="minorHAnsi" w:cstheme="minorHAnsi"/>
          <w:iCs/>
          <w:sz w:val="22"/>
          <w:szCs w:val="22"/>
        </w:rPr>
        <w:t>The information obtained through this collection is unique</w:t>
      </w:r>
      <w:r w:rsidRPr="001C05DC" w:rsidR="000C05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iCs/>
          <w:sz w:val="22"/>
          <w:szCs w:val="22"/>
        </w:rPr>
        <w:t>and is not already available for use or adaptation from another source.</w:t>
      </w:r>
      <w:bookmarkEnd w:id="1"/>
      <w:r w:rsidRPr="001C05D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91559" w:rsidRPr="001C05DC" w:rsidP="00035F74" w14:paraId="0FBECE20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25F64C90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METHODS TO MINIMIZE BURDEN ON SMALL BUSINESSES OR OTHER SMALL ENTITIES</w:t>
      </w:r>
    </w:p>
    <w:p w:rsidR="00C91559" w:rsidRPr="001C05DC" w:rsidP="00035F74" w14:paraId="74E3E6DB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P="001C05DC" w14:paraId="6AEB7E11" w14:textId="0370CD01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1C05DC">
        <w:rPr>
          <w:rFonts w:asciiTheme="minorHAnsi" w:hAnsiTheme="minorHAnsi" w:cstheme="minorHAnsi"/>
          <w:color w:val="000000"/>
          <w:sz w:val="22"/>
          <w:szCs w:val="22"/>
        </w:rPr>
        <w:t>There is no burden on small businesses or entities by this collection due to the inapplicability of the authorizing statute to this type of entity.</w:t>
      </w:r>
      <w:r w:rsidRPr="001C05DC" w:rsidR="00682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1C05DC" w:rsidRPr="001C05DC" w:rsidP="001C05DC" w14:paraId="47257AB0" w14:textId="7777777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0B5074C9" w14:textId="607D6234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6.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CONSEQUENCES OF LESS FREQUENT COLLECTION ON FEDERAL PROGRAMS</w:t>
      </w:r>
      <w:r w:rsidRPr="001C05DC" w:rsidR="00B6368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OR POLICY ACTIVITIES</w:t>
      </w:r>
    </w:p>
    <w:p w:rsidR="00C91559" w:rsidRPr="001C05DC" w:rsidP="00035F74" w14:paraId="289CF61F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5117DF" w:rsidRPr="001C05DC" w:rsidP="007926F7" w14:paraId="289AD875" w14:textId="7777777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Consequences of less frequent collection of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recordkeeping </w:t>
      </w:r>
      <w:r w:rsidRPr="001C05DC" w:rsidR="004F3E5A">
        <w:rPr>
          <w:rFonts w:asciiTheme="minorHAnsi" w:hAnsiTheme="minorHAnsi" w:cstheme="minorHAnsi"/>
          <w:bCs/>
          <w:sz w:val="22"/>
          <w:szCs w:val="22"/>
        </w:rPr>
        <w:t xml:space="preserve">on federal programs or policy activities </w:t>
      </w:r>
      <w:r w:rsidRPr="001C05DC" w:rsidR="009E75A0">
        <w:rPr>
          <w:rFonts w:asciiTheme="minorHAnsi" w:hAnsiTheme="minorHAnsi" w:cstheme="minorHAnsi"/>
          <w:bCs/>
          <w:sz w:val="22"/>
          <w:szCs w:val="22"/>
        </w:rPr>
        <w:t xml:space="preserve">would delay the necessary requirements to </w:t>
      </w:r>
      <w:r w:rsidRPr="001C05DC" w:rsidR="00B57587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1C05DC" w:rsidR="00B30814">
        <w:rPr>
          <w:rFonts w:asciiTheme="minorHAnsi" w:hAnsiTheme="minorHAnsi" w:cstheme="minorHAnsi"/>
          <w:bCs/>
          <w:sz w:val="22"/>
          <w:szCs w:val="22"/>
        </w:rPr>
        <w:t>revocat</w:t>
      </w:r>
      <w:r w:rsidRPr="001C05DC" w:rsidR="00B57587">
        <w:rPr>
          <w:rFonts w:asciiTheme="minorHAnsi" w:hAnsiTheme="minorHAnsi" w:cstheme="minorHAnsi"/>
          <w:bCs/>
          <w:sz w:val="22"/>
          <w:szCs w:val="22"/>
        </w:rPr>
        <w:t>ion to</w:t>
      </w:r>
      <w:r w:rsidRPr="001C05DC" w:rsidR="009E75A0">
        <w:rPr>
          <w:rFonts w:asciiTheme="minorHAnsi" w:hAnsiTheme="minorHAnsi" w:cstheme="minorHAnsi"/>
          <w:bCs/>
          <w:sz w:val="22"/>
          <w:szCs w:val="22"/>
        </w:rPr>
        <w:t xml:space="preserve"> an </w:t>
      </w:r>
      <w:r w:rsidRPr="001C05DC">
        <w:rPr>
          <w:rFonts w:asciiTheme="minorHAnsi" w:hAnsiTheme="minorHAnsi" w:cstheme="minorHAnsi"/>
          <w:sz w:val="22"/>
          <w:szCs w:val="22"/>
        </w:rPr>
        <w:t>e</w:t>
      </w:r>
      <w:r w:rsidRPr="001C05DC" w:rsidR="004F3E5A">
        <w:rPr>
          <w:rFonts w:asciiTheme="minorHAnsi" w:hAnsiTheme="minorHAnsi" w:cstheme="minorHAnsi"/>
          <w:sz w:val="22"/>
          <w:szCs w:val="22"/>
        </w:rPr>
        <w:t>lection</w:t>
      </w:r>
      <w:r w:rsidRPr="001C05DC" w:rsidR="009E75A0">
        <w:rPr>
          <w:rFonts w:asciiTheme="minorHAnsi" w:hAnsiTheme="minorHAnsi" w:cstheme="minorHAnsi"/>
          <w:sz w:val="22"/>
          <w:szCs w:val="22"/>
        </w:rPr>
        <w:t xml:space="preserve"> provided </w:t>
      </w:r>
      <w:r w:rsidRPr="001C05DC" w:rsidR="0001645B">
        <w:rPr>
          <w:rFonts w:asciiTheme="minorHAnsi" w:hAnsiTheme="minorHAnsi" w:cstheme="minorHAnsi"/>
          <w:sz w:val="22"/>
          <w:szCs w:val="22"/>
        </w:rPr>
        <w:t xml:space="preserve">in section III, </w:t>
      </w:r>
      <w:r w:rsidRPr="001C05DC" w:rsidR="009E75A0">
        <w:rPr>
          <w:rFonts w:asciiTheme="minorHAnsi" w:hAnsiTheme="minorHAnsi" w:cstheme="minorHAnsi"/>
          <w:sz w:val="22"/>
          <w:szCs w:val="22"/>
        </w:rPr>
        <w:t xml:space="preserve">under section </w:t>
      </w:r>
      <w:r w:rsidRPr="001C05DC" w:rsidR="00B30814">
        <w:rPr>
          <w:rFonts w:asciiTheme="minorHAnsi" w:hAnsiTheme="minorHAnsi" w:cstheme="minorHAnsi"/>
          <w:sz w:val="22"/>
          <w:szCs w:val="22"/>
        </w:rPr>
        <w:t>414(c)(2)(C)</w:t>
      </w:r>
      <w:r w:rsidRPr="001C05DC" w:rsidR="0006349B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01645B">
        <w:rPr>
          <w:rFonts w:asciiTheme="minorHAnsi" w:hAnsiTheme="minorHAnsi" w:cstheme="minorHAnsi"/>
          <w:sz w:val="22"/>
          <w:szCs w:val="22"/>
        </w:rPr>
        <w:t xml:space="preserve">or (D) </w:t>
      </w:r>
      <w:r w:rsidRPr="001C05DC" w:rsidR="0006349B">
        <w:rPr>
          <w:rFonts w:asciiTheme="minorHAnsi" w:hAnsiTheme="minorHAnsi" w:cstheme="minorHAnsi"/>
          <w:sz w:val="22"/>
          <w:szCs w:val="22"/>
        </w:rPr>
        <w:t>of the code; thereby endangering the</w:t>
      </w:r>
      <w:r w:rsidRPr="001C05DC" w:rsidR="002C29A6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06349B">
        <w:rPr>
          <w:rFonts w:asciiTheme="minorHAnsi" w:hAnsiTheme="minorHAnsi" w:cstheme="minorHAnsi"/>
          <w:sz w:val="22"/>
          <w:szCs w:val="22"/>
        </w:rPr>
        <w:t xml:space="preserve">IRS the </w:t>
      </w:r>
      <w:r w:rsidRPr="001C05DC" w:rsidR="0006349B">
        <w:rPr>
          <w:rFonts w:asciiTheme="minorHAnsi" w:hAnsiTheme="minorHAnsi" w:cstheme="minorHAnsi"/>
          <w:sz w:val="22"/>
          <w:szCs w:val="22"/>
        </w:rPr>
        <w:t xml:space="preserve">inability to meet its mission. </w:t>
      </w:r>
      <w:r w:rsidRPr="001C05DC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2C29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91559" w:rsidRPr="001C05DC" w:rsidP="00035F74" w14:paraId="576EC82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5000B311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7.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SPECIAL CIRCUMSTANCES REQUIRING DATA COLLECTION TO BE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INCONSISTENT WITH GUIDELINES IN 5 CFR 1320.5(d)(2)</w:t>
      </w:r>
    </w:p>
    <w:p w:rsidR="00C91559" w:rsidRPr="001C05DC" w:rsidP="00035F74" w14:paraId="45E27089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FE18BB" w14:paraId="080189E1" w14:textId="7F129010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 xml:space="preserve">There are no special circumstances requiring data collection to be inconsistent with </w:t>
      </w:r>
      <w:r w:rsidRPr="001C05DC" w:rsidR="00FE18BB">
        <w:rPr>
          <w:rFonts w:asciiTheme="minorHAnsi" w:hAnsiTheme="minorHAnsi" w:cstheme="minorHAnsi"/>
          <w:sz w:val="22"/>
          <w:szCs w:val="22"/>
        </w:rPr>
        <w:t>g</w:t>
      </w:r>
      <w:r w:rsidRPr="001C05DC">
        <w:rPr>
          <w:rFonts w:asciiTheme="minorHAnsi" w:hAnsiTheme="minorHAnsi" w:cstheme="minorHAnsi"/>
          <w:sz w:val="22"/>
          <w:szCs w:val="22"/>
        </w:rPr>
        <w:t>uidelines in 5 CFR 1320.5(d)(2).</w:t>
      </w:r>
    </w:p>
    <w:p w:rsidR="00C91559" w:rsidRPr="001C05DC" w:rsidP="00035F74" w14:paraId="3E133635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0213754F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8.</w:t>
      </w: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CONSULTATION WITH INDIVIDUALS OUTSIDE OF THE AGENCY ON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AVAILABILITY OF DATA, FREQUENCY OF COLLECTION, CLARITY OF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INSTRUCTIONS AND FORMS, AND DATA ELEMENTS</w:t>
      </w:r>
    </w:p>
    <w:p w:rsidR="00C91559" w:rsidRPr="001C05DC" w:rsidP="00035F74" w14:paraId="3F881A50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E963DC" w:rsidRPr="001C05DC" w:rsidP="006F4CE8" w14:paraId="4E0898BA" w14:textId="5BF2A373">
      <w:pPr>
        <w:ind w:left="720"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I</w:t>
      </w:r>
      <w:r w:rsidRPr="001C05DC" w:rsidR="00044C6A">
        <w:rPr>
          <w:rFonts w:asciiTheme="minorHAnsi" w:hAnsiTheme="minorHAnsi" w:cstheme="minorHAnsi"/>
          <w:sz w:val="22"/>
          <w:szCs w:val="22"/>
        </w:rPr>
        <w:t xml:space="preserve">n response to the </w:t>
      </w:r>
      <w:r w:rsidRPr="001C05DC" w:rsidR="00044C6A">
        <w:rPr>
          <w:rFonts w:asciiTheme="minorHAnsi" w:hAnsiTheme="minorHAnsi" w:cstheme="minorHAnsi"/>
          <w:i/>
          <w:iCs/>
          <w:sz w:val="22"/>
          <w:szCs w:val="22"/>
        </w:rPr>
        <w:t>Federal Register</w:t>
      </w:r>
      <w:r w:rsidRPr="001C05DC" w:rsidR="00044C6A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08018A">
        <w:rPr>
          <w:rFonts w:asciiTheme="minorHAnsi" w:hAnsiTheme="minorHAnsi" w:cstheme="minorHAnsi"/>
          <w:sz w:val="22"/>
          <w:szCs w:val="22"/>
        </w:rPr>
        <w:t>N</w:t>
      </w:r>
      <w:r w:rsidRPr="001C05DC" w:rsidR="00044C6A">
        <w:rPr>
          <w:rFonts w:asciiTheme="minorHAnsi" w:hAnsiTheme="minorHAnsi" w:cstheme="minorHAnsi"/>
          <w:sz w:val="22"/>
          <w:szCs w:val="22"/>
        </w:rPr>
        <w:t>otice dated</w:t>
      </w:r>
      <w:r w:rsidRPr="001C05DC" w:rsidR="0008018A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C00D66">
        <w:rPr>
          <w:rFonts w:asciiTheme="minorHAnsi" w:hAnsiTheme="minorHAnsi" w:cstheme="minorHAnsi"/>
          <w:sz w:val="22"/>
          <w:szCs w:val="22"/>
        </w:rPr>
        <w:t>April 17</w:t>
      </w:r>
      <w:r w:rsidRPr="001C05DC" w:rsidR="0008018A">
        <w:rPr>
          <w:rFonts w:asciiTheme="minorHAnsi" w:hAnsiTheme="minorHAnsi" w:cstheme="minorHAnsi"/>
          <w:sz w:val="22"/>
          <w:szCs w:val="22"/>
        </w:rPr>
        <w:t>, 202</w:t>
      </w:r>
      <w:r w:rsidRPr="001C05DC" w:rsidR="00C00D66">
        <w:rPr>
          <w:rFonts w:asciiTheme="minorHAnsi" w:hAnsiTheme="minorHAnsi" w:cstheme="minorHAnsi"/>
          <w:sz w:val="22"/>
          <w:szCs w:val="22"/>
        </w:rPr>
        <w:t>5</w:t>
      </w:r>
      <w:r w:rsidRPr="001C05DC" w:rsidR="00044C6A">
        <w:rPr>
          <w:rFonts w:asciiTheme="minorHAnsi" w:hAnsiTheme="minorHAnsi" w:cstheme="minorHAnsi"/>
          <w:sz w:val="22"/>
          <w:szCs w:val="22"/>
        </w:rPr>
        <w:t xml:space="preserve"> </w:t>
      </w:r>
      <w:r w:rsidRPr="001C05DC" w:rsidR="0008018A">
        <w:rPr>
          <w:rFonts w:asciiTheme="minorHAnsi" w:hAnsiTheme="minorHAnsi" w:cstheme="minorHAnsi"/>
          <w:sz w:val="22"/>
          <w:szCs w:val="22"/>
        </w:rPr>
        <w:t>(</w:t>
      </w:r>
      <w:r w:rsidRPr="001C05DC" w:rsidR="00C00D66">
        <w:rPr>
          <w:rFonts w:asciiTheme="minorHAnsi" w:hAnsiTheme="minorHAnsi" w:cstheme="minorHAnsi"/>
          <w:sz w:val="22"/>
          <w:szCs w:val="22"/>
        </w:rPr>
        <w:t>90</w:t>
      </w:r>
      <w:r w:rsidRPr="001C05DC" w:rsidR="0008018A">
        <w:rPr>
          <w:rFonts w:asciiTheme="minorHAnsi" w:hAnsiTheme="minorHAnsi" w:cstheme="minorHAnsi"/>
          <w:sz w:val="22"/>
          <w:szCs w:val="22"/>
        </w:rPr>
        <w:t xml:space="preserve"> FR 1</w:t>
      </w:r>
      <w:r w:rsidRPr="001C05DC" w:rsidR="00C00D66">
        <w:rPr>
          <w:rFonts w:asciiTheme="minorHAnsi" w:hAnsiTheme="minorHAnsi" w:cstheme="minorHAnsi"/>
          <w:sz w:val="22"/>
          <w:szCs w:val="22"/>
        </w:rPr>
        <w:t>6426</w:t>
      </w:r>
      <w:r w:rsidRPr="001C05DC" w:rsidR="0008018A">
        <w:rPr>
          <w:rFonts w:asciiTheme="minorHAnsi" w:hAnsiTheme="minorHAnsi" w:cstheme="minorHAnsi"/>
          <w:sz w:val="22"/>
          <w:szCs w:val="22"/>
        </w:rPr>
        <w:t>)</w:t>
      </w:r>
      <w:r w:rsidRPr="001C05DC" w:rsidR="00044C6A">
        <w:rPr>
          <w:rFonts w:asciiTheme="minorHAnsi" w:hAnsiTheme="minorHAnsi" w:cstheme="minorHAnsi"/>
          <w:sz w:val="22"/>
          <w:szCs w:val="22"/>
        </w:rPr>
        <w:t>,</w:t>
      </w:r>
      <w:r w:rsidRPr="001C05DC" w:rsidR="006F4CE8">
        <w:rPr>
          <w:rFonts w:asciiTheme="minorHAnsi" w:hAnsiTheme="minorHAnsi" w:cstheme="minorHAnsi"/>
          <w:sz w:val="22"/>
          <w:szCs w:val="22"/>
        </w:rPr>
        <w:t xml:space="preserve"> no</w:t>
      </w:r>
      <w:r w:rsidRPr="001C05DC" w:rsidR="00044C6A">
        <w:rPr>
          <w:rFonts w:asciiTheme="minorHAnsi" w:hAnsiTheme="minorHAnsi" w:cstheme="minorHAnsi"/>
          <w:sz w:val="22"/>
          <w:szCs w:val="22"/>
        </w:rPr>
        <w:t xml:space="preserve"> public comments were received</w:t>
      </w:r>
      <w:r w:rsidRPr="001C05DC" w:rsidR="006F4CE8">
        <w:rPr>
          <w:rFonts w:asciiTheme="minorHAnsi" w:hAnsiTheme="minorHAnsi" w:cstheme="minorHAnsi"/>
          <w:sz w:val="22"/>
          <w:szCs w:val="22"/>
        </w:rPr>
        <w:t>.</w:t>
      </w:r>
      <w:r w:rsidRPr="001C05DC" w:rsidR="00044C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D66" w:rsidRPr="001C05DC" w:rsidP="006F4CE8" w14:paraId="53F5DD31" w14:textId="7777777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3AD8072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9.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EXPLANATION OF DECISION TO PROVIDE ANY PAYMENT OR GIFT TO</w:t>
      </w:r>
      <w:r w:rsidRPr="001C05DC" w:rsidR="00035F7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RESPONDENTS</w:t>
      </w:r>
    </w:p>
    <w:p w:rsidR="00C91559" w:rsidRPr="001C05DC" w:rsidP="00035F74" w14:paraId="0C96B551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7926F7" w14:paraId="0CB6919C" w14:textId="7777777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No payment or gift has been provided to any respondents.</w:t>
      </w:r>
    </w:p>
    <w:p w:rsidR="00C91559" w:rsidRPr="001C05DC" w:rsidP="00035F74" w14:paraId="52FCD57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48959D6E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10.</w:t>
      </w: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ASSURANCE OF CONFIDENTIALITY OF RESPONSES</w:t>
      </w:r>
    </w:p>
    <w:p w:rsidR="00C91559" w:rsidRPr="001C05DC" w:rsidP="00035F74" w14:paraId="2EC55A15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7926F7" w14:paraId="641D984A" w14:textId="2AF7893F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Generally, tax returns and tax return information are confidential as required by 26 USC 6103.</w:t>
      </w:r>
    </w:p>
    <w:p w:rsidR="00C00D66" w:rsidRPr="001C05DC" w:rsidP="007926F7" w14:paraId="5E2E4DE1" w14:textId="7777777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614780D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11.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JUSTIFICATION OF SENSITIVE QUESTIONS</w:t>
      </w:r>
    </w:p>
    <w:p w:rsidR="00C91559" w:rsidRPr="001C05DC" w:rsidP="00035F74" w14:paraId="0F262ED1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A8148F" w:rsidRPr="001C05DC" w:rsidP="007926F7" w14:paraId="46DECDAF" w14:textId="77777777">
      <w:pPr>
        <w:widowControl/>
        <w:tabs>
          <w:tab w:val="left" w:pos="720"/>
        </w:tabs>
        <w:autoSpaceDE/>
        <w:autoSpaceDN/>
        <w:adjustRightInd/>
        <w:ind w:left="720"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 xml:space="preserve">No personally identifiable information (PII) is collected. </w:t>
      </w:r>
    </w:p>
    <w:p w:rsidR="00A8148F" w:rsidRPr="001C05DC" w:rsidP="00035F74" w14:paraId="6C859088" w14:textId="77777777">
      <w:pPr>
        <w:widowControl/>
        <w:tabs>
          <w:tab w:val="left" w:pos="720"/>
        </w:tabs>
        <w:autoSpaceDE/>
        <w:autoSpaceDN/>
        <w:adjustRightInd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C91559" w:rsidRPr="001C05DC" w:rsidP="00035F74" w14:paraId="5B06A911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12.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ESTIMATED BURDEN OF INFORMATION COLLECTION</w:t>
      </w:r>
    </w:p>
    <w:p w:rsidR="00E738EF" w:rsidRPr="001C05DC" w:rsidP="00E7113F" w14:paraId="01EF466D" w14:textId="0ACE1669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Burden Estimation:    </w:t>
      </w:r>
    </w:p>
    <w:p w:rsidR="006438F8" w:rsidRPr="001C05DC" w:rsidP="007926F7" w14:paraId="536D7B32" w14:textId="7777777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Under Section 414(c)(2)(C) and (D), </w:t>
      </w:r>
      <w:r w:rsidRPr="001C05DC" w:rsidR="00783FDD">
        <w:rPr>
          <w:rFonts w:asciiTheme="minorHAnsi" w:hAnsiTheme="minorHAnsi" w:cstheme="minorHAnsi"/>
          <w:sz w:val="22"/>
          <w:szCs w:val="22"/>
        </w:rPr>
        <w:t xml:space="preserve">Churches and church-related organizations are allowed to make elections to aggregate or disaggregate for this purpose under section 414(c)(2)(C) and (D), which were added to the Code by section 336(a)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an election is made </w:t>
      </w:r>
      <w:r w:rsidRPr="001C05DC" w:rsidR="00783FDD">
        <w:rPr>
          <w:rFonts w:asciiTheme="minorHAnsi" w:hAnsiTheme="minorHAnsi" w:cstheme="minorHAnsi"/>
          <w:bCs/>
          <w:sz w:val="22"/>
          <w:szCs w:val="22"/>
        </w:rPr>
        <w:t>whereas</w:t>
      </w:r>
      <w:r w:rsidRPr="001C05DC" w:rsidR="0056135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1C05DC" w:rsidR="00783F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738EF" w:rsidRPr="001C05DC" w:rsidP="00E738EF" w14:paraId="2A1BFE77" w14:textId="77777777">
      <w:pPr>
        <w:widowControl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610 churches have filed over the last 10 years, equaling 61 churches have filed annually</w:t>
      </w:r>
    </w:p>
    <w:p w:rsidR="00E738EF" w:rsidRPr="001C05DC" w:rsidP="00E738EF" w14:paraId="0EFDE8C9" w14:textId="77777777">
      <w:pPr>
        <w:widowControl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and 5% will request the PATH Act (61 churches x .05= 3 churches), so annually that works out to be 3 churches per year:</w:t>
      </w:r>
    </w:p>
    <w:p w:rsidR="00E738EF" w:rsidRPr="001C05DC" w:rsidP="00E738EF" w14:paraId="3DD81A6C" w14:textId="77777777">
      <w:pPr>
        <w:widowControl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The per response time is 2 hours per response</w:t>
      </w:r>
    </w:p>
    <w:p w:rsidR="00E738EF" w:rsidRPr="001C05DC" w:rsidP="007926F7" w14:paraId="267A6BF1" w14:textId="7E3BE9C8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>Equaling =   3 churches per year   X   2 hours of per response time = 6 hours of total annual burden hours.   </w:t>
      </w:r>
    </w:p>
    <w:p w:rsidR="00E738EF" w:rsidRPr="001C05DC" w:rsidP="00035F74" w14:paraId="012A320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F43422" w:rsidRPr="00E7113F" w:rsidP="00E7113F" w14:paraId="485B0E7F" w14:textId="73399C81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           The estimated reporting b</w:t>
      </w:r>
      <w:r w:rsidRPr="001C05DC" w:rsidR="00416B8E">
        <w:rPr>
          <w:rFonts w:asciiTheme="minorHAnsi" w:hAnsiTheme="minorHAnsi" w:cstheme="minorHAnsi"/>
          <w:bCs/>
          <w:sz w:val="22"/>
          <w:szCs w:val="22"/>
        </w:rPr>
        <w:t>urden estimate</w:t>
      </w:r>
      <w:r w:rsidRPr="001C05DC">
        <w:rPr>
          <w:rFonts w:asciiTheme="minorHAnsi" w:hAnsiTheme="minorHAnsi" w:cstheme="minorHAnsi"/>
          <w:bCs/>
          <w:sz w:val="22"/>
          <w:szCs w:val="22"/>
        </w:rPr>
        <w:t>s</w:t>
      </w:r>
      <w:r w:rsidRPr="001C05DC" w:rsidR="00416B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>are: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150"/>
        <w:gridCol w:w="1255"/>
        <w:gridCol w:w="1442"/>
        <w:gridCol w:w="1572"/>
        <w:gridCol w:w="1139"/>
        <w:gridCol w:w="979"/>
      </w:tblGrid>
      <w:tr w14:paraId="5150190A" w14:textId="77777777" w:rsidTr="001C05DC">
        <w:tblPrEx>
          <w:tblW w:w="0" w:type="auto"/>
          <w:tblInd w:w="5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9"/>
        </w:trPr>
        <w:tc>
          <w:tcPr>
            <w:tcW w:w="1273" w:type="dxa"/>
          </w:tcPr>
          <w:p w:rsidR="00F43422" w:rsidRPr="001C05DC" w:rsidP="008F116B" w14:paraId="6847E95D" w14:textId="7777777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43422" w:rsidRPr="001C05DC" w:rsidP="008F116B" w14:paraId="29D07CB6" w14:textId="7777777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1168" w:type="dxa"/>
          </w:tcPr>
          <w:p w:rsidR="00F43422" w:rsidRPr="001C05DC" w:rsidP="008F116B" w14:paraId="3E4D297C" w14:textId="7777777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43422" w:rsidRPr="001C05DC" w:rsidP="008F116B" w14:paraId="313D4BF2" w14:textId="6A37C112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</w:t>
            </w:r>
            <w:r w:rsidRPr="001C05DC" w:rsid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escription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43422" w:rsidRPr="001C05DC" w:rsidP="008F116B" w14:paraId="17974AD9" w14:textId="31F5658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# </w:t>
            </w:r>
            <w:r w:rsid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of </w:t>
            </w: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Respondents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43422" w:rsidRPr="001C05DC" w:rsidP="008F116B" w14:paraId="221F28B2" w14:textId="66917E56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# Responses Pe</w:t>
            </w:r>
            <w:r w:rsid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 </w:t>
            </w:r>
            <w:r w:rsidRPr="001C05DC" w:rsid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</w:t>
            </w: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espondent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43422" w:rsidRPr="001C05DC" w:rsidP="008F116B" w14:paraId="2069018B" w14:textId="7777777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Annual Responses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F43422" w:rsidRPr="001C05DC" w:rsidP="008F116B" w14:paraId="776CF2E8" w14:textId="5E52EA4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Hours per Response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F43422" w:rsidRPr="001C05DC" w:rsidP="008F116B" w14:paraId="29AF9E13" w14:textId="7777777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C05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Total Burden</w:t>
            </w:r>
          </w:p>
        </w:tc>
      </w:tr>
      <w:tr w14:paraId="5D972ECA" w14:textId="77777777" w:rsidTr="001C05DC">
        <w:tblPrEx>
          <w:tblW w:w="0" w:type="auto"/>
          <w:tblInd w:w="540" w:type="dxa"/>
          <w:tblLook w:val="04A0"/>
        </w:tblPrEx>
        <w:trPr>
          <w:trHeight w:val="58"/>
        </w:trPr>
        <w:tc>
          <w:tcPr>
            <w:tcW w:w="1273" w:type="dxa"/>
          </w:tcPr>
          <w:p w:rsidR="00F43422" w:rsidRPr="001C05DC" w:rsidP="008F116B" w14:paraId="08DD822F" w14:textId="7808A2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 xml:space="preserve">IRC section </w:t>
            </w:r>
            <w:r w:rsidRPr="001C05DC" w:rsidR="00B30814">
              <w:rPr>
                <w:rFonts w:asciiTheme="minorHAnsi" w:hAnsiTheme="minorHAnsi" w:cstheme="minorHAnsi"/>
                <w:sz w:val="22"/>
                <w:szCs w:val="22"/>
              </w:rPr>
              <w:t>414(c)(2)(C) and (D)</w:t>
            </w:r>
          </w:p>
        </w:tc>
        <w:tc>
          <w:tcPr>
            <w:tcW w:w="1168" w:type="dxa"/>
          </w:tcPr>
          <w:p w:rsidR="00DD5E2B" w:rsidRPr="001C05DC" w:rsidP="008F116B" w14:paraId="34D7E7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Notice</w:t>
            </w:r>
          </w:p>
          <w:p w:rsidR="00F43422" w:rsidRPr="001C05DC" w:rsidP="008F116B" w14:paraId="59DD68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Pr="001C05DC" w:rsidR="00781EB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C05DC" w:rsidR="00781EB8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  <w:p w:rsidR="00F43422" w:rsidRPr="001C05DC" w:rsidP="008F116B" w14:paraId="1DF051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43422" w:rsidRPr="001C05DC" w:rsidP="008F116B" w14:paraId="276B7088" w14:textId="40EEB8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43422" w:rsidRPr="001C05DC" w:rsidP="008F116B" w14:paraId="5FC8D36B" w14:textId="211D4F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43422" w:rsidRPr="001C05DC" w:rsidP="008F116B" w14:paraId="36638A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16B8E" w:rsidRPr="001C05DC" w:rsidP="008F116B" w14:paraId="23CC3B1C" w14:textId="0DD19D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F43422" w:rsidRPr="001C05DC" w:rsidP="008F116B" w14:paraId="6D046B59" w14:textId="7C6D7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711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05DC">
              <w:rPr>
                <w:rFonts w:asciiTheme="minorHAnsi" w:hAnsiTheme="minorHAnsi" w:cstheme="minorHAnsi"/>
                <w:sz w:val="22"/>
                <w:szCs w:val="22"/>
              </w:rPr>
              <w:t>hrs.</w:t>
            </w:r>
          </w:p>
        </w:tc>
      </w:tr>
      <w:tr w14:paraId="3927E32E" w14:textId="77777777" w:rsidTr="001C05DC">
        <w:tblPrEx>
          <w:tblW w:w="0" w:type="auto"/>
          <w:tblInd w:w="540" w:type="dxa"/>
          <w:tblLook w:val="04A0"/>
        </w:tblPrEx>
        <w:trPr>
          <w:trHeight w:val="58"/>
        </w:trPr>
        <w:tc>
          <w:tcPr>
            <w:tcW w:w="1273" w:type="dxa"/>
          </w:tcPr>
          <w:p w:rsidR="00E7113F" w:rsidRPr="00E7113F" w:rsidP="00E7113F" w14:paraId="5AD11227" w14:textId="3B88A5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11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68" w:type="dxa"/>
          </w:tcPr>
          <w:p w:rsidR="00E7113F" w:rsidRPr="001C05DC" w:rsidP="008F116B" w14:paraId="21B24A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7113F" w:rsidRPr="00FB459E" w:rsidP="008F116B" w14:paraId="4FF0F0A9" w14:textId="0690BFD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7113F" w:rsidRPr="00FB459E" w:rsidP="008F116B" w14:paraId="694D74A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E7113F" w:rsidRPr="00FB459E" w:rsidP="008F116B" w14:paraId="5B824FFD" w14:textId="683439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7113F" w:rsidRPr="00FB459E" w:rsidP="008F116B" w14:paraId="314384C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E7113F" w:rsidRPr="00FB459E" w:rsidP="008F116B" w14:paraId="0648FD3E" w14:textId="27F4AE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</w:tbl>
    <w:p w:rsidR="00F43422" w:rsidRPr="001C05DC" w:rsidP="00035F74" w14:paraId="0BEAE629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F43422" w:rsidRPr="001C05DC" w:rsidP="00035F74" w14:paraId="5BB1BB8A" w14:textId="5ACF2769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</w:p>
    <w:p w:rsidR="00C91559" w:rsidRPr="001C05DC" w:rsidP="00035F74" w14:paraId="4C7472A0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13.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ESTIMATED TOTAL ANNUAL COST BURDEN TO RESPONDENTS</w:t>
      </w:r>
    </w:p>
    <w:p w:rsidR="00C91559" w:rsidRPr="001C05DC" w:rsidP="00035F74" w14:paraId="2A5E47A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0C050A" w:rsidRPr="001C05DC" w:rsidP="001C05DC" w14:paraId="5BA58CB1" w14:textId="061B3285">
      <w:pPr>
        <w:ind w:left="720"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sz w:val="22"/>
          <w:szCs w:val="22"/>
        </w:rPr>
        <w:t xml:space="preserve">There are no annualized costs to the respondents beyond providing information and keeping records as part of customary and usual business or private practices. </w:t>
      </w:r>
    </w:p>
    <w:p w:rsidR="001C05DC" w:rsidRPr="001C05DC" w:rsidP="001C05DC" w14:paraId="7B46FB61" w14:textId="7777777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7913416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14.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ESTIMATED ANNUALIZED COST TO THE FEDERAL GOVERNMENT</w:t>
      </w:r>
    </w:p>
    <w:p w:rsidR="00C91559" w:rsidRPr="001C05DC" w:rsidP="00035F74" w14:paraId="72C039B2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7756A" w:rsidRPr="003B5E4A" w:rsidP="00C7756A" w14:paraId="4B38C821" w14:textId="2C8AA5F4">
      <w:pPr>
        <w:numPr>
          <w:ilvl w:val="12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9783E">
        <w:rPr>
          <w:rFonts w:ascii="Calibri" w:hAnsi="Calibri" w:cs="Calibri"/>
          <w:sz w:val="22"/>
          <w:szCs w:val="22"/>
        </w:rPr>
        <w:t>There are no annualized costs to the Federal government outside of regular agency activities such as taxpayer assistance and enforcement.</w:t>
      </w:r>
      <w:r>
        <w:rPr>
          <w:rFonts w:ascii="Calibri" w:hAnsi="Calibri" w:cs="Calibri"/>
          <w:sz w:val="22"/>
          <w:szCs w:val="22"/>
        </w:rPr>
        <w:t xml:space="preserve"> These are</w:t>
      </w:r>
      <w:r w:rsidRPr="003B5E4A">
        <w:rPr>
          <w:rFonts w:asciiTheme="minorHAnsi" w:hAnsiTheme="minorHAnsi" w:cstheme="minorHAnsi"/>
          <w:sz w:val="22"/>
          <w:szCs w:val="22"/>
        </w:rPr>
        <w:t xml:space="preserve"> recordkeeping requirements.</w:t>
      </w:r>
    </w:p>
    <w:p w:rsidR="00C91559" w:rsidRPr="001C05DC" w:rsidP="00035F74" w14:paraId="7CB8A7C9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5309C7AC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15.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REASONS FOR CHANGE IN BURDEN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91559" w:rsidRPr="001C05DC" w:rsidP="00035F74" w14:paraId="393E02DA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2F07D7" w:rsidRPr="001C05DC" w:rsidP="00035F74" w14:paraId="393F0BE4" w14:textId="5F38A55A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 w:rsidR="007C1FA3">
        <w:rPr>
          <w:rFonts w:asciiTheme="minorHAnsi" w:hAnsiTheme="minorHAnsi" w:cstheme="minorHAnsi"/>
          <w:bCs/>
          <w:sz w:val="22"/>
          <w:szCs w:val="22"/>
        </w:rPr>
        <w:t>Th</w:t>
      </w:r>
      <w:r w:rsidRPr="001C05DC" w:rsidR="002B4552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1C05DC" w:rsidR="00A67CE9">
        <w:rPr>
          <w:rFonts w:asciiTheme="minorHAnsi" w:hAnsiTheme="minorHAnsi" w:cstheme="minorHAnsi"/>
          <w:bCs/>
          <w:sz w:val="22"/>
          <w:szCs w:val="22"/>
        </w:rPr>
        <w:t xml:space="preserve">are no </w:t>
      </w:r>
      <w:r w:rsidRPr="001C05DC" w:rsidR="002B4552">
        <w:rPr>
          <w:rFonts w:asciiTheme="minorHAnsi" w:hAnsiTheme="minorHAnsi" w:cstheme="minorHAnsi"/>
          <w:bCs/>
          <w:sz w:val="22"/>
          <w:szCs w:val="22"/>
        </w:rPr>
        <w:t>change</w:t>
      </w:r>
      <w:r w:rsidRPr="001C05DC" w:rsidR="00A67CE9">
        <w:rPr>
          <w:rFonts w:asciiTheme="minorHAnsi" w:hAnsiTheme="minorHAnsi" w:cstheme="minorHAnsi"/>
          <w:bCs/>
          <w:sz w:val="22"/>
          <w:szCs w:val="22"/>
        </w:rPr>
        <w:t xml:space="preserve">s to the previously approved burden hours.  </w:t>
      </w:r>
      <w:r w:rsidRPr="001C05DC" w:rsidR="00FE18BB">
        <w:rPr>
          <w:rFonts w:asciiTheme="minorHAnsi" w:hAnsiTheme="minorHAnsi" w:cstheme="minorHAnsi"/>
          <w:bCs/>
          <w:sz w:val="22"/>
          <w:szCs w:val="22"/>
        </w:rPr>
        <w:t>T</w:t>
      </w:r>
      <w:r w:rsidRPr="001C05DC">
        <w:rPr>
          <w:rFonts w:asciiTheme="minorHAnsi" w:hAnsiTheme="minorHAnsi" w:cstheme="minorHAnsi"/>
          <w:bCs/>
          <w:sz w:val="22"/>
          <w:szCs w:val="22"/>
        </w:rPr>
        <w:t>his collection</w:t>
      </w:r>
      <w:r w:rsidRPr="001C05DC" w:rsidR="0046361C">
        <w:rPr>
          <w:rFonts w:asciiTheme="minorHAnsi" w:hAnsiTheme="minorHAnsi" w:cstheme="minorHAnsi"/>
          <w:bCs/>
          <w:sz w:val="22"/>
          <w:szCs w:val="22"/>
        </w:rPr>
        <w:t xml:space="preserve"> is being submitted </w:t>
      </w:r>
      <w:r w:rsidRPr="001C05DC" w:rsidR="00E500C9">
        <w:rPr>
          <w:rFonts w:asciiTheme="minorHAnsi" w:hAnsiTheme="minorHAnsi" w:cstheme="minorHAnsi"/>
          <w:bCs/>
          <w:sz w:val="22"/>
          <w:szCs w:val="22"/>
        </w:rPr>
        <w:t>as</w:t>
      </w:r>
      <w:r w:rsidRPr="001C05DC" w:rsidR="0046361C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1C05DC" w:rsidR="00E500C9">
        <w:rPr>
          <w:rFonts w:asciiTheme="minorHAnsi" w:hAnsiTheme="minorHAnsi" w:cstheme="minorHAnsi"/>
          <w:bCs/>
          <w:sz w:val="22"/>
          <w:szCs w:val="22"/>
        </w:rPr>
        <w:t>n</w:t>
      </w:r>
      <w:r w:rsidRPr="001C05DC" w:rsidR="0046361C">
        <w:rPr>
          <w:rFonts w:asciiTheme="minorHAnsi" w:hAnsiTheme="minorHAnsi" w:cstheme="minorHAnsi"/>
          <w:bCs/>
          <w:sz w:val="22"/>
          <w:szCs w:val="22"/>
        </w:rPr>
        <w:t xml:space="preserve"> OMB </w:t>
      </w:r>
      <w:r w:rsidRPr="001C05DC" w:rsidR="00E500C9">
        <w:rPr>
          <w:rFonts w:asciiTheme="minorHAnsi" w:hAnsiTheme="minorHAnsi" w:cstheme="minorHAnsi"/>
          <w:bCs/>
          <w:sz w:val="22"/>
          <w:szCs w:val="22"/>
        </w:rPr>
        <w:t>extension to an already approved collection</w:t>
      </w:r>
      <w:r w:rsidRPr="001C05DC" w:rsidR="00C91559">
        <w:rPr>
          <w:rFonts w:asciiTheme="minorHAnsi" w:hAnsiTheme="minorHAnsi" w:cstheme="minorHAnsi"/>
          <w:bCs/>
          <w:sz w:val="22"/>
          <w:szCs w:val="22"/>
        </w:rPr>
        <w:t>.</w:t>
      </w:r>
    </w:p>
    <w:p w:rsidR="00C91559" w:rsidRPr="001C05DC" w:rsidP="00035F74" w14:paraId="1F716105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5BA3CCEA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16.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PLANS FOR TABULATION, STATISTICAL ANALYSIS AND PUBLICATION</w:t>
      </w:r>
    </w:p>
    <w:p w:rsidR="00C91559" w:rsidRPr="001C05DC" w:rsidP="00035F74" w14:paraId="35F90D8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C91559" w:rsidRPr="001C05DC" w:rsidP="00FE18BB" w14:paraId="3FCAF286" w14:textId="6BB76335">
      <w:pPr>
        <w:ind w:left="576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C05DC" w:rsidR="000C050A">
        <w:rPr>
          <w:rFonts w:asciiTheme="minorHAnsi" w:hAnsiTheme="minorHAnsi" w:cstheme="minorHAnsi"/>
          <w:sz w:val="22"/>
          <w:szCs w:val="22"/>
        </w:rPr>
        <w:t>There are no plans for tabulation, statistical analysis</w:t>
      </w:r>
      <w:r w:rsidRPr="001C05DC" w:rsidR="00FE18BB">
        <w:rPr>
          <w:rFonts w:asciiTheme="minorHAnsi" w:hAnsiTheme="minorHAnsi" w:cstheme="minorHAnsi"/>
          <w:sz w:val="22"/>
          <w:szCs w:val="22"/>
        </w:rPr>
        <w:t>,</w:t>
      </w:r>
      <w:r w:rsidRPr="001C05DC" w:rsidR="000C050A">
        <w:rPr>
          <w:rFonts w:asciiTheme="minorHAnsi" w:hAnsiTheme="minorHAnsi" w:cstheme="minorHAnsi"/>
          <w:sz w:val="22"/>
          <w:szCs w:val="22"/>
        </w:rPr>
        <w:t xml:space="preserve"> and publication.</w:t>
      </w:r>
    </w:p>
    <w:p w:rsidR="00C91559" w:rsidRPr="001C05DC" w:rsidP="00035F74" w14:paraId="67C6C7E2" w14:textId="77777777">
      <w:pPr>
        <w:tabs>
          <w:tab w:val="left" w:pos="720"/>
          <w:tab w:val="center" w:pos="468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:rsidR="00C91559" w:rsidRPr="001C05DC" w:rsidP="00035F74" w14:paraId="4FEF14B3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17.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REASONS WHY DISPLAYING THE OMB EXPIRATION DATE IS</w:t>
      </w:r>
      <w:r w:rsidRPr="001C05DC" w:rsidR="00035F7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INAPPROPRIATE</w:t>
      </w:r>
    </w:p>
    <w:p w:rsidR="00C91559" w:rsidRPr="001C05DC" w:rsidP="00035F74" w14:paraId="21F9EA93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0BA8D130" w14:textId="38381126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 w:rsidR="00C00D6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1C05DC" w:rsidR="002D6AB7">
        <w:rPr>
          <w:rFonts w:asciiTheme="minorHAnsi" w:hAnsiTheme="minorHAnsi" w:cstheme="minorHAnsi"/>
          <w:bCs/>
          <w:sz w:val="22"/>
          <w:szCs w:val="22"/>
        </w:rPr>
        <w:t xml:space="preserve">IRS </w:t>
      </w:r>
      <w:r w:rsidRPr="001C05DC">
        <w:rPr>
          <w:rFonts w:asciiTheme="minorHAnsi" w:hAnsiTheme="minorHAnsi" w:cstheme="minorHAnsi"/>
          <w:bCs/>
          <w:sz w:val="22"/>
          <w:szCs w:val="22"/>
        </w:rPr>
        <w:t>believe</w:t>
      </w:r>
      <w:r w:rsidRPr="001C05DC" w:rsidR="002D6AB7">
        <w:rPr>
          <w:rFonts w:asciiTheme="minorHAnsi" w:hAnsiTheme="minorHAnsi" w:cstheme="minorHAnsi"/>
          <w:bCs/>
          <w:sz w:val="22"/>
          <w:szCs w:val="22"/>
        </w:rPr>
        <w:t>s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that displaying the OMB expiration date is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>inappropriate because it could cause confusion by leading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taxpayers to believe that the </w:t>
      </w:r>
      <w:r w:rsidR="00980D18">
        <w:rPr>
          <w:rFonts w:asciiTheme="minorHAnsi" w:hAnsiTheme="minorHAnsi" w:cstheme="minorHAnsi"/>
          <w:bCs/>
          <w:sz w:val="22"/>
          <w:szCs w:val="22"/>
        </w:rPr>
        <w:t>collection</w:t>
      </w:r>
      <w:r w:rsidRPr="001C05DC" w:rsidR="00980D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 w:rsidR="00C00D66">
        <w:rPr>
          <w:rFonts w:asciiTheme="minorHAnsi" w:hAnsiTheme="minorHAnsi" w:cstheme="minorHAnsi"/>
          <w:bCs/>
          <w:sz w:val="22"/>
          <w:szCs w:val="22"/>
        </w:rPr>
        <w:t>expires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as of the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>expiration date.  Taxpayers are not likely to be aware that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1C05DC" w:rsidR="00FE18BB">
        <w:rPr>
          <w:rFonts w:asciiTheme="minorHAnsi" w:hAnsiTheme="minorHAnsi" w:cstheme="minorHAnsi"/>
          <w:bCs/>
          <w:sz w:val="22"/>
          <w:szCs w:val="22"/>
        </w:rPr>
        <w:t>IRS</w:t>
      </w:r>
      <w:r w:rsidRPr="001C05DC">
        <w:rPr>
          <w:rFonts w:asciiTheme="minorHAnsi" w:hAnsiTheme="minorHAnsi" w:cstheme="minorHAnsi"/>
          <w:bCs/>
          <w:sz w:val="22"/>
          <w:szCs w:val="22"/>
        </w:rPr>
        <w:t xml:space="preserve"> intends to request renewal of the OMB approval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5DC">
        <w:rPr>
          <w:rFonts w:asciiTheme="minorHAnsi" w:hAnsiTheme="minorHAnsi" w:cstheme="minorHAnsi"/>
          <w:bCs/>
          <w:sz w:val="22"/>
          <w:szCs w:val="22"/>
        </w:rPr>
        <w:t>and obtain a new expiration date before the old one expires.</w:t>
      </w:r>
    </w:p>
    <w:p w:rsidR="00C91559" w:rsidRPr="001C05DC" w:rsidP="00035F74" w14:paraId="20A0B41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C91559" w:rsidRPr="001C05DC" w:rsidP="00035F74" w14:paraId="50292906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>18.</w:t>
      </w:r>
      <w:r w:rsidRPr="001C05DC" w:rsidR="00035F74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bCs/>
          <w:sz w:val="22"/>
          <w:szCs w:val="22"/>
          <w:u w:val="single"/>
        </w:rPr>
        <w:t>EXCEPTIONS TO THE CERTIFICATION STATEMENT</w:t>
      </w:r>
    </w:p>
    <w:p w:rsidR="00C91559" w:rsidRPr="001C05DC" w:rsidP="00035F74" w14:paraId="5617A924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:rsidR="000C050A" w:rsidRPr="001C05DC" w:rsidP="000C050A" w14:paraId="64C09B60" w14:textId="77777777">
      <w:pPr>
        <w:ind w:left="540"/>
        <w:rPr>
          <w:rFonts w:asciiTheme="minorHAnsi" w:hAnsiTheme="minorHAnsi" w:cstheme="minorHAnsi"/>
          <w:sz w:val="22"/>
          <w:szCs w:val="22"/>
        </w:rPr>
      </w:pPr>
      <w:r w:rsidRPr="001C05DC">
        <w:rPr>
          <w:rFonts w:asciiTheme="minorHAnsi" w:hAnsiTheme="minorHAnsi" w:cstheme="minorHAnsi"/>
          <w:bCs/>
          <w:sz w:val="22"/>
          <w:szCs w:val="22"/>
        </w:rPr>
        <w:tab/>
      </w:r>
      <w:r w:rsidRPr="001C05DC">
        <w:rPr>
          <w:rFonts w:asciiTheme="minorHAnsi" w:hAnsiTheme="minorHAnsi" w:cstheme="minorHAnsi"/>
          <w:sz w:val="22"/>
          <w:szCs w:val="22"/>
        </w:rPr>
        <w:t>There are no exceptions to the certification statement.</w:t>
      </w:r>
    </w:p>
    <w:p w:rsidR="00C91559" w:rsidRPr="001C05DC" w:rsidP="00035F74" w14:paraId="4C158EC9" w14:textId="77777777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sectPr w:rsidSect="00D565A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465FD" w14:paraId="56474B52" w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C020A28"/>
    <w:multiLevelType w:val="hybridMultilevel"/>
    <w:tmpl w:val="AC22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90E7B"/>
    <w:multiLevelType w:val="hybridMultilevel"/>
    <w:tmpl w:val="6CB4A0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B92987"/>
    <w:multiLevelType w:val="hybridMultilevel"/>
    <w:tmpl w:val="A614DCE2"/>
    <w:lvl w:ilvl="0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48689156">
    <w:abstractNumId w:val="0"/>
  </w:num>
  <w:num w:numId="2" w16cid:durableId="460850774">
    <w:abstractNumId w:val="2"/>
  </w:num>
  <w:num w:numId="3" w16cid:durableId="1193024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tasko Molly J">
    <w15:presenceInfo w15:providerId="AD" w15:userId="S::d5nvb@ds.irsnet.gov::6f63ca1e-69f7-4b9f-b7f6-52fafdbafa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59"/>
    <w:rsid w:val="000027C8"/>
    <w:rsid w:val="00005EFD"/>
    <w:rsid w:val="0001645B"/>
    <w:rsid w:val="00035F74"/>
    <w:rsid w:val="00044C6A"/>
    <w:rsid w:val="0006349B"/>
    <w:rsid w:val="0008018A"/>
    <w:rsid w:val="000B4148"/>
    <w:rsid w:val="000C050A"/>
    <w:rsid w:val="000C7918"/>
    <w:rsid w:val="000E7253"/>
    <w:rsid w:val="000F03FC"/>
    <w:rsid w:val="000F7905"/>
    <w:rsid w:val="00110372"/>
    <w:rsid w:val="0011542D"/>
    <w:rsid w:val="00123791"/>
    <w:rsid w:val="00135D38"/>
    <w:rsid w:val="00151FB1"/>
    <w:rsid w:val="001532BC"/>
    <w:rsid w:val="00155ED7"/>
    <w:rsid w:val="00164789"/>
    <w:rsid w:val="001719FD"/>
    <w:rsid w:val="00180AD0"/>
    <w:rsid w:val="0019783E"/>
    <w:rsid w:val="001A6A09"/>
    <w:rsid w:val="001C05DC"/>
    <w:rsid w:val="00206860"/>
    <w:rsid w:val="00211235"/>
    <w:rsid w:val="002160A6"/>
    <w:rsid w:val="00226991"/>
    <w:rsid w:val="00255FDD"/>
    <w:rsid w:val="00264163"/>
    <w:rsid w:val="0029333F"/>
    <w:rsid w:val="002A22AE"/>
    <w:rsid w:val="002A464E"/>
    <w:rsid w:val="002A4C91"/>
    <w:rsid w:val="002B4552"/>
    <w:rsid w:val="002C29A6"/>
    <w:rsid w:val="002D6AB7"/>
    <w:rsid w:val="002F07D7"/>
    <w:rsid w:val="00327AAD"/>
    <w:rsid w:val="00334BD0"/>
    <w:rsid w:val="003536EC"/>
    <w:rsid w:val="00361ADD"/>
    <w:rsid w:val="00363DD2"/>
    <w:rsid w:val="003645AC"/>
    <w:rsid w:val="0037375C"/>
    <w:rsid w:val="00382A06"/>
    <w:rsid w:val="003A4231"/>
    <w:rsid w:val="003B5E4A"/>
    <w:rsid w:val="003E03F5"/>
    <w:rsid w:val="003E304C"/>
    <w:rsid w:val="00416B8E"/>
    <w:rsid w:val="00425E8E"/>
    <w:rsid w:val="00426547"/>
    <w:rsid w:val="0045105B"/>
    <w:rsid w:val="00452E1E"/>
    <w:rsid w:val="004550EE"/>
    <w:rsid w:val="00457D45"/>
    <w:rsid w:val="0046361C"/>
    <w:rsid w:val="0047261D"/>
    <w:rsid w:val="0047292A"/>
    <w:rsid w:val="004B3D85"/>
    <w:rsid w:val="004F3E5A"/>
    <w:rsid w:val="005117DF"/>
    <w:rsid w:val="00513B1D"/>
    <w:rsid w:val="005258D4"/>
    <w:rsid w:val="00552D31"/>
    <w:rsid w:val="00560D5C"/>
    <w:rsid w:val="00561358"/>
    <w:rsid w:val="00565376"/>
    <w:rsid w:val="00580D8C"/>
    <w:rsid w:val="005864EA"/>
    <w:rsid w:val="0058741D"/>
    <w:rsid w:val="00594D09"/>
    <w:rsid w:val="005D7FF1"/>
    <w:rsid w:val="005F7450"/>
    <w:rsid w:val="00601F4E"/>
    <w:rsid w:val="006438F8"/>
    <w:rsid w:val="006464F3"/>
    <w:rsid w:val="00673FB6"/>
    <w:rsid w:val="00682670"/>
    <w:rsid w:val="006A5972"/>
    <w:rsid w:val="006B0EA8"/>
    <w:rsid w:val="006B53BB"/>
    <w:rsid w:val="006C315D"/>
    <w:rsid w:val="006F4CE8"/>
    <w:rsid w:val="0070542E"/>
    <w:rsid w:val="00764D2C"/>
    <w:rsid w:val="00770689"/>
    <w:rsid w:val="00777BE8"/>
    <w:rsid w:val="00781EB8"/>
    <w:rsid w:val="00783FDD"/>
    <w:rsid w:val="007926F7"/>
    <w:rsid w:val="007A1C57"/>
    <w:rsid w:val="007A1DC8"/>
    <w:rsid w:val="007B0FC3"/>
    <w:rsid w:val="007B51DE"/>
    <w:rsid w:val="007C1FA3"/>
    <w:rsid w:val="007D4716"/>
    <w:rsid w:val="007E458B"/>
    <w:rsid w:val="007F0F80"/>
    <w:rsid w:val="007F19ED"/>
    <w:rsid w:val="00803A07"/>
    <w:rsid w:val="00823729"/>
    <w:rsid w:val="008357C3"/>
    <w:rsid w:val="008419BC"/>
    <w:rsid w:val="008577B5"/>
    <w:rsid w:val="00865F76"/>
    <w:rsid w:val="0087391B"/>
    <w:rsid w:val="008A41FD"/>
    <w:rsid w:val="008D28BB"/>
    <w:rsid w:val="008F116B"/>
    <w:rsid w:val="0090559D"/>
    <w:rsid w:val="009206F6"/>
    <w:rsid w:val="00966713"/>
    <w:rsid w:val="00972B67"/>
    <w:rsid w:val="0097757A"/>
    <w:rsid w:val="00980D18"/>
    <w:rsid w:val="00995E46"/>
    <w:rsid w:val="009B4232"/>
    <w:rsid w:val="009C69CE"/>
    <w:rsid w:val="009D02B6"/>
    <w:rsid w:val="009E75A0"/>
    <w:rsid w:val="009F6E43"/>
    <w:rsid w:val="00A03A03"/>
    <w:rsid w:val="00A35A9D"/>
    <w:rsid w:val="00A40084"/>
    <w:rsid w:val="00A465FD"/>
    <w:rsid w:val="00A55690"/>
    <w:rsid w:val="00A55CE2"/>
    <w:rsid w:val="00A62D4E"/>
    <w:rsid w:val="00A67CE9"/>
    <w:rsid w:val="00A8148F"/>
    <w:rsid w:val="00AA3A97"/>
    <w:rsid w:val="00AC312A"/>
    <w:rsid w:val="00AD656F"/>
    <w:rsid w:val="00AE135C"/>
    <w:rsid w:val="00AF2580"/>
    <w:rsid w:val="00B038F2"/>
    <w:rsid w:val="00B30814"/>
    <w:rsid w:val="00B33978"/>
    <w:rsid w:val="00B3513D"/>
    <w:rsid w:val="00B4624A"/>
    <w:rsid w:val="00B57587"/>
    <w:rsid w:val="00B62617"/>
    <w:rsid w:val="00B63688"/>
    <w:rsid w:val="00B90BDF"/>
    <w:rsid w:val="00BA4E03"/>
    <w:rsid w:val="00C00D66"/>
    <w:rsid w:val="00C100AE"/>
    <w:rsid w:val="00C17C3E"/>
    <w:rsid w:val="00C17E76"/>
    <w:rsid w:val="00C51EF7"/>
    <w:rsid w:val="00C60340"/>
    <w:rsid w:val="00C659B5"/>
    <w:rsid w:val="00C73569"/>
    <w:rsid w:val="00C77126"/>
    <w:rsid w:val="00C7756A"/>
    <w:rsid w:val="00C863BC"/>
    <w:rsid w:val="00C91559"/>
    <w:rsid w:val="00CB07A6"/>
    <w:rsid w:val="00CC2104"/>
    <w:rsid w:val="00CF0341"/>
    <w:rsid w:val="00D02617"/>
    <w:rsid w:val="00D27CFD"/>
    <w:rsid w:val="00D361C8"/>
    <w:rsid w:val="00D47416"/>
    <w:rsid w:val="00D565AB"/>
    <w:rsid w:val="00D7003F"/>
    <w:rsid w:val="00D71DC8"/>
    <w:rsid w:val="00D745D2"/>
    <w:rsid w:val="00D80492"/>
    <w:rsid w:val="00D835A8"/>
    <w:rsid w:val="00DD5E2B"/>
    <w:rsid w:val="00DE2265"/>
    <w:rsid w:val="00DE400F"/>
    <w:rsid w:val="00DE5637"/>
    <w:rsid w:val="00DF7D4F"/>
    <w:rsid w:val="00E03534"/>
    <w:rsid w:val="00E0368F"/>
    <w:rsid w:val="00E2050C"/>
    <w:rsid w:val="00E228CC"/>
    <w:rsid w:val="00E26364"/>
    <w:rsid w:val="00E3375F"/>
    <w:rsid w:val="00E500C9"/>
    <w:rsid w:val="00E53225"/>
    <w:rsid w:val="00E61462"/>
    <w:rsid w:val="00E64C65"/>
    <w:rsid w:val="00E7113F"/>
    <w:rsid w:val="00E738EF"/>
    <w:rsid w:val="00E91E53"/>
    <w:rsid w:val="00E963DC"/>
    <w:rsid w:val="00EA2C0D"/>
    <w:rsid w:val="00EC285E"/>
    <w:rsid w:val="00F13680"/>
    <w:rsid w:val="00F377E0"/>
    <w:rsid w:val="00F41DB4"/>
    <w:rsid w:val="00F43422"/>
    <w:rsid w:val="00F5097D"/>
    <w:rsid w:val="00F618DA"/>
    <w:rsid w:val="00F7140B"/>
    <w:rsid w:val="00F8071E"/>
    <w:rsid w:val="00FA5B3F"/>
    <w:rsid w:val="00FA70DB"/>
    <w:rsid w:val="00FA7D6E"/>
    <w:rsid w:val="00FB1425"/>
    <w:rsid w:val="00FB459E"/>
    <w:rsid w:val="00FC46B4"/>
    <w:rsid w:val="00FE18BB"/>
    <w:rsid w:val="00FE568B"/>
    <w:rsid w:val="00FF5F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49C883F"/>
  <w15:chartTrackingRefBased/>
  <w15:docId w15:val="{C73F8D4D-992E-4284-8A9E-E81E50E8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7C1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14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148F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A814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8148F"/>
    <w:rPr>
      <w:rFonts w:ascii="Courier" w:hAnsi="Courier"/>
      <w:sz w:val="24"/>
      <w:szCs w:val="24"/>
    </w:rPr>
  </w:style>
  <w:style w:type="character" w:styleId="CommentReference">
    <w:name w:val="annotation reference"/>
    <w:rsid w:val="009F6E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E43"/>
    <w:rPr>
      <w:sz w:val="20"/>
      <w:szCs w:val="20"/>
    </w:rPr>
  </w:style>
  <w:style w:type="character" w:customStyle="1" w:styleId="CommentTextChar">
    <w:name w:val="Comment Text Char"/>
    <w:link w:val="CommentText"/>
    <w:rsid w:val="009F6E4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F6E43"/>
    <w:rPr>
      <w:b/>
      <w:bCs/>
    </w:rPr>
  </w:style>
  <w:style w:type="character" w:customStyle="1" w:styleId="CommentSubjectChar">
    <w:name w:val="Comment Subject Char"/>
    <w:link w:val="CommentSubject"/>
    <w:rsid w:val="009F6E43"/>
    <w:rPr>
      <w:rFonts w:ascii="Courier" w:hAnsi="Courier"/>
      <w:b/>
      <w:bCs/>
    </w:rPr>
  </w:style>
  <w:style w:type="character" w:customStyle="1" w:styleId="ssleftalign1">
    <w:name w:val="ss_leftalign1"/>
    <w:rsid w:val="00513B1D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8419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729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03F"/>
    <w:rPr>
      <w:color w:val="0000FF"/>
      <w:u w:val="single"/>
    </w:rPr>
  </w:style>
  <w:style w:type="character" w:styleId="FollowedHyperlink">
    <w:name w:val="FollowedHyperlink"/>
    <w:basedOn w:val="DefaultParagraphFont"/>
    <w:rsid w:val="00255F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113F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92c3aef47f2aac238d42c976285e7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87A8612-2118-4FE0-AD77-413458250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E9A6F-0991-4797-B0F4-728BF8BC9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E67E2-348F-459C-9996-D61238AD0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B0FCD-374E-41B9-BC7D-075BF4C0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RJDurb00</dc:creator>
  <cp:lastModifiedBy>Dennis Kerry</cp:lastModifiedBy>
  <cp:revision>2</cp:revision>
  <cp:lastPrinted>2005-05-17T13:34:00Z</cp:lastPrinted>
  <dcterms:created xsi:type="dcterms:W3CDTF">2025-08-01T15:38:00Z</dcterms:created>
  <dcterms:modified xsi:type="dcterms:W3CDTF">2025-08-01T15:38:00Z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