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BCB" w:rsidRPr="00470374" w:rsidP="00632103" w14:paraId="4B554F3E" w14:textId="77777777">
      <w:pPr>
        <w:pBdr>
          <w:bottom w:val="single" w:sz="8" w:space="1" w:color="000000"/>
        </w:pBdr>
      </w:pPr>
      <w:r w:rsidRPr="00470374">
        <w:rPr>
          <w:spacing w:val="5"/>
          <w:sz w:val="33"/>
          <w:szCs w:val="33"/>
        </w:rPr>
        <w:t>U.S. DEPARTMENT OF LABOR</w:t>
      </w:r>
      <w:r w:rsidRPr="00470374">
        <w:rPr>
          <w:spacing w:val="5"/>
          <w:sz w:val="33"/>
          <w:szCs w:val="33"/>
        </w:rPr>
        <w:br/>
      </w:r>
      <w:r w:rsidRPr="00470374">
        <w:rPr>
          <w:sz w:val="33"/>
          <w:szCs w:val="33"/>
        </w:rPr>
        <w:t>Employment and Training Administration</w:t>
      </w:r>
    </w:p>
    <w:p w:rsidR="007C1BCB" w:rsidRPr="00470374" w:rsidP="00632103" w14:paraId="6791C394" w14:textId="77777777">
      <w:r w:rsidRPr="00470374">
        <w:br/>
      </w:r>
      <w:r w:rsidRPr="00470374">
        <w:br/>
      </w:r>
      <w:r w:rsidRPr="00470374">
        <w:rPr>
          <w:b/>
          <w:bCs/>
          <w:szCs w:val="24"/>
        </w:rPr>
        <w:t>NOTICE OF AVAILABILITY OF FUNDS AND FUNDING OPPORTUNITY ANNOUNCEMENT FOR:</w:t>
      </w:r>
      <w:r w:rsidRPr="00470374">
        <w:rPr>
          <w:szCs w:val="24"/>
        </w:rPr>
        <w:t xml:space="preserve">  YouthBuild</w:t>
      </w:r>
      <w:r w:rsidRPr="00470374">
        <w:rPr>
          <w:szCs w:val="24"/>
        </w:rPr>
        <w:br/>
      </w:r>
      <w:r w:rsidRPr="00470374">
        <w:rPr>
          <w:szCs w:val="24"/>
        </w:rPr>
        <w:br/>
      </w:r>
      <w:r w:rsidRPr="00470374">
        <w:rPr>
          <w:b/>
          <w:bCs/>
          <w:szCs w:val="24"/>
        </w:rPr>
        <w:t>ANNOUNCEMENT TYPE:</w:t>
      </w:r>
      <w:r w:rsidRPr="00470374">
        <w:rPr>
          <w:szCs w:val="24"/>
        </w:rPr>
        <w:t xml:space="preserve">  Initial</w:t>
      </w:r>
      <w:r w:rsidRPr="00470374">
        <w:rPr>
          <w:szCs w:val="24"/>
        </w:rPr>
        <w:br/>
      </w:r>
      <w:r w:rsidRPr="00470374">
        <w:rPr>
          <w:szCs w:val="24"/>
        </w:rPr>
        <w:br/>
      </w:r>
      <w:r w:rsidRPr="00470374">
        <w:rPr>
          <w:b/>
          <w:bCs/>
          <w:szCs w:val="24"/>
        </w:rPr>
        <w:t>FUNDING OPPORTUNITY NUMBER</w:t>
      </w:r>
      <w:r w:rsidRPr="00470374">
        <w:rPr>
          <w:szCs w:val="24"/>
        </w:rPr>
        <w:t>:  FOA-ETA-26-38</w:t>
      </w:r>
      <w:r w:rsidRPr="00470374">
        <w:rPr>
          <w:szCs w:val="24"/>
        </w:rPr>
        <w:br/>
      </w:r>
      <w:r w:rsidRPr="00470374">
        <w:rPr>
          <w:szCs w:val="24"/>
        </w:rPr>
        <w:br/>
      </w:r>
      <w:r w:rsidRPr="00470374">
        <w:rPr>
          <w:b/>
          <w:bCs/>
          <w:szCs w:val="24"/>
        </w:rPr>
        <w:t>ASSISTANCE LISTING NUMBER:</w:t>
      </w:r>
      <w:r w:rsidRPr="00470374">
        <w:rPr>
          <w:szCs w:val="24"/>
        </w:rPr>
        <w:t xml:space="preserve">  17.274</w:t>
      </w:r>
    </w:p>
    <w:p w:rsidR="007C1BCB" w:rsidRPr="00470374" w:rsidP="00632103" w14:paraId="5E08F1A3" w14:textId="77777777">
      <w:pPr>
        <w:spacing w:before="140" w:after="140"/>
        <w:rPr>
          <w:sz w:val="20"/>
          <w:szCs w:val="20"/>
        </w:rPr>
      </w:pPr>
      <w:r w:rsidRPr="00470374">
        <w:rPr>
          <w:i/>
          <w:iCs/>
          <w:szCs w:val="20"/>
        </w:rPr>
        <w:t xml:space="preserve">Submit all applications in response to this announcement through https://www.grants.gov. </w:t>
      </w:r>
    </w:p>
    <w:p w:rsidR="007C1BCB" w:rsidRPr="00470374" w:rsidP="00632103" w14:paraId="182AD122" w14:textId="77777777">
      <w:pPr>
        <w:spacing w:after="140"/>
        <w:rPr>
          <w:sz w:val="20"/>
          <w:szCs w:val="20"/>
        </w:rPr>
      </w:pPr>
      <w:r w:rsidRPr="00470374">
        <w:rPr>
          <w:b/>
          <w:bCs/>
          <w:szCs w:val="20"/>
        </w:rPr>
        <w:t>FUNDING DETAIL:</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110"/>
        <w:gridCol w:w="5234"/>
      </w:tblGrid>
      <w:tr w14:paraId="58AC5C9D"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3DA5D3CD" w14:textId="77777777">
            <w:pPr>
              <w:rPr>
                <w:szCs w:val="24"/>
              </w:rPr>
            </w:pPr>
            <w:r w:rsidRPr="00470374">
              <w:rPr>
                <w:szCs w:val="24"/>
              </w:rPr>
              <w:t>Expected Total Available Funding</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1DBB4022" w14:textId="77777777">
            <w:pPr>
              <w:rPr>
                <w:szCs w:val="24"/>
              </w:rPr>
            </w:pPr>
            <w:r w:rsidRPr="00470374">
              <w:rPr>
                <w:szCs w:val="24"/>
              </w:rPr>
              <w:t>$98,000,000</w:t>
            </w:r>
          </w:p>
        </w:tc>
      </w:tr>
      <w:tr w14:paraId="66E35901"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6769D7A9" w14:textId="77777777">
            <w:pPr>
              <w:rPr>
                <w:szCs w:val="24"/>
              </w:rPr>
            </w:pPr>
            <w:r w:rsidRPr="00470374">
              <w:rPr>
                <w:szCs w:val="24"/>
              </w:rPr>
              <w:t>Expected Number of Awards</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62836C6C" w14:textId="77777777">
            <w:pPr>
              <w:rPr>
                <w:szCs w:val="24"/>
              </w:rPr>
            </w:pPr>
            <w:r w:rsidRPr="00470374">
              <w:rPr>
                <w:szCs w:val="24"/>
              </w:rPr>
              <w:t>57</w:t>
            </w:r>
          </w:p>
        </w:tc>
      </w:tr>
      <w:tr w14:paraId="2688C2E9"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3ADA592D" w14:textId="77777777">
            <w:pPr>
              <w:rPr>
                <w:szCs w:val="24"/>
              </w:rPr>
            </w:pPr>
            <w:r w:rsidRPr="00470374">
              <w:rPr>
                <w:szCs w:val="24"/>
              </w:rPr>
              <w:t>Funding Range Per Award</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659BD6B5" w14:textId="77777777">
            <w:pPr>
              <w:rPr>
                <w:szCs w:val="24"/>
              </w:rPr>
            </w:pPr>
            <w:r w:rsidRPr="00470374">
              <w:rPr>
                <w:szCs w:val="24"/>
              </w:rPr>
              <w:t>$1,000,000 - $2,000,000</w:t>
            </w:r>
          </w:p>
        </w:tc>
      </w:tr>
    </w:tbl>
    <w:p w:rsidR="007C1BCB" w:rsidRPr="00470374" w:rsidP="00632103" w14:paraId="67AA205C" w14:textId="77777777">
      <w:pPr>
        <w:spacing w:before="140" w:after="140"/>
        <w:rPr>
          <w:sz w:val="20"/>
          <w:szCs w:val="20"/>
        </w:rPr>
      </w:pPr>
      <w:r w:rsidRPr="00470374">
        <w:rPr>
          <w:szCs w:val="20"/>
        </w:rPr>
        <w:t>Awards made under this Announcement are subject to the availability of federal funds.  In the event that additional funds become available, we reserve the right to use these funds to select more grantees from the applications submitted in response to this Announcement.</w:t>
      </w:r>
      <w:r w:rsidRPr="00470374">
        <w:rPr>
          <w:szCs w:val="20"/>
        </w:rPr>
        <w:br/>
      </w:r>
      <w:r w:rsidRPr="00470374">
        <w:rPr>
          <w:szCs w:val="20"/>
        </w:rPr>
        <w:br/>
      </w:r>
      <w:r w:rsidRPr="00470374">
        <w:rPr>
          <w:b/>
          <w:bCs/>
          <w:szCs w:val="20"/>
        </w:rPr>
        <w:t xml:space="preserve">KEY DATES: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798"/>
        <w:gridCol w:w="4546"/>
      </w:tblGrid>
      <w:tr w14:paraId="7FAF6282"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04A860B6" w14:textId="77777777">
            <w:pPr>
              <w:rPr>
                <w:szCs w:val="24"/>
              </w:rPr>
            </w:pPr>
            <w:r w:rsidRPr="00470374">
              <w:rPr>
                <w:szCs w:val="24"/>
              </w:rPr>
              <w:t>Application Deadline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46EFC" w:rsidRPr="002631AF" w:rsidP="00632103" w14:paraId="43684063" w14:textId="53A6DFB7">
            <w:pPr>
              <w:rPr>
                <w:b/>
                <w:bCs/>
                <w:szCs w:val="24"/>
              </w:rPr>
            </w:pPr>
            <w:r w:rsidRPr="002631AF">
              <w:rPr>
                <w:b/>
                <w:bCs/>
                <w:szCs w:val="24"/>
              </w:rPr>
              <w:t>02/18/2026</w:t>
            </w:r>
          </w:p>
          <w:p w:rsidR="007C1BCB" w:rsidRPr="00470374" w:rsidP="00632103" w14:paraId="4A92E030" w14:textId="0D7E5AA6">
            <w:pPr>
              <w:rPr>
                <w:szCs w:val="24"/>
              </w:rPr>
            </w:pPr>
            <w:r w:rsidRPr="00470374">
              <w:rPr>
                <w:szCs w:val="24"/>
              </w:rPr>
              <w:t xml:space="preserve">We must receive applications no later than </w:t>
            </w:r>
            <w:r w:rsidRPr="00470374">
              <w:rPr>
                <w:b/>
                <w:bCs/>
                <w:szCs w:val="24"/>
              </w:rPr>
              <w:t>11:59 pm Eastern Time.</w:t>
            </w:r>
          </w:p>
        </w:tc>
      </w:tr>
      <w:tr w14:paraId="1E110423"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0663039A" w14:textId="77777777">
            <w:pPr>
              <w:rPr>
                <w:szCs w:val="24"/>
              </w:rPr>
            </w:pPr>
            <w:r w:rsidRPr="00470374">
              <w:rPr>
                <w:szCs w:val="24"/>
              </w:rPr>
              <w:t>Expected Period of Performance Start Date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1F8DCD7D" w14:textId="77777777">
            <w:pPr>
              <w:rPr>
                <w:szCs w:val="24"/>
              </w:rPr>
            </w:pPr>
            <w:r w:rsidRPr="00470374">
              <w:rPr>
                <w:szCs w:val="24"/>
              </w:rPr>
              <w:t>07/01/2026</w:t>
            </w:r>
          </w:p>
        </w:tc>
      </w:tr>
      <w:tr w14:paraId="4126377A"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0DD87062" w14:textId="77777777">
            <w:pPr>
              <w:rPr>
                <w:szCs w:val="24"/>
              </w:rPr>
            </w:pPr>
            <w:r w:rsidRPr="00470374">
              <w:rPr>
                <w:szCs w:val="24"/>
              </w:rPr>
              <w:t>Period of Performance Length</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35C25E2" w14:textId="77777777">
            <w:pPr>
              <w:rPr>
                <w:szCs w:val="24"/>
              </w:rPr>
            </w:pPr>
            <w:r w:rsidRPr="00470374">
              <w:rPr>
                <w:szCs w:val="24"/>
              </w:rPr>
              <w:t>40</w:t>
            </w:r>
          </w:p>
        </w:tc>
      </w:tr>
    </w:tbl>
    <w:p w:rsidR="00976CDB" w:rsidP="00632103" w14:paraId="147B8FC4" w14:textId="77777777">
      <w:pPr>
        <w:spacing w:after="140"/>
        <w:sectPr w:rsidSect="00F519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976CDB" w:rsidP="00632103" w14:paraId="63470587" w14:textId="77777777">
      <w:pPr>
        <w:pStyle w:val="MainHeading"/>
        <w:spacing w:before="200" w:after="80"/>
        <w:outlineLvl w:val="0"/>
        <w:rPr>
          <w:rFonts w:eastAsia="Liberation Serif" w:cs="Liberation Serif"/>
          <w:color w:val="000000"/>
          <w:sz w:val="32"/>
        </w:rPr>
      </w:pPr>
      <w:bookmarkStart w:id="0" w:name="_bookmark234614"/>
      <w:bookmarkStart w:id="1" w:name="_bookmark234955"/>
      <w:bookmarkEnd w:id="0"/>
      <w:bookmarkEnd w:id="1"/>
      <w:r>
        <w:rPr>
          <w:rFonts w:eastAsia="Liberation Serif" w:cs="Liberation Serif"/>
          <w:color w:val="000000"/>
          <w:sz w:val="32"/>
        </w:rPr>
        <w:t>Table of Contents</w:t>
      </w:r>
    </w:p>
    <w:p w:rsidR="00976CDB" w14:paraId="36ABF624" w14:textId="6CD19223">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42" w:history="1">
        <w:r>
          <w:rPr>
            <w:rStyle w:val="Hyperlink"/>
            <w:noProof/>
          </w:rPr>
          <w:t>I. EXECUTIVE SUMMARY</w:t>
        </w:r>
        <w:r>
          <w:rPr>
            <w:noProof/>
          </w:rPr>
          <w:tab/>
        </w:r>
        <w:r>
          <w:rPr>
            <w:noProof/>
          </w:rPr>
          <w:fldChar w:fldCharType="begin"/>
        </w:r>
        <w:r>
          <w:rPr>
            <w:noProof/>
          </w:rPr>
          <w:instrText xml:space="preserve"> PAGEREF _Toc256000042 \h </w:instrText>
        </w:r>
        <w:r>
          <w:rPr>
            <w:noProof/>
          </w:rPr>
          <w:fldChar w:fldCharType="separate"/>
        </w:r>
        <w:r>
          <w:rPr>
            <w:noProof/>
          </w:rPr>
          <w:t>2</w:t>
        </w:r>
        <w:r>
          <w:rPr>
            <w:noProof/>
          </w:rPr>
          <w:fldChar w:fldCharType="end"/>
        </w:r>
      </w:hyperlink>
    </w:p>
    <w:p w:rsidR="00976CDB" w14:paraId="7E0EA4B5" w14:textId="4877A1EF">
      <w:pPr>
        <w:pStyle w:val="TOC1"/>
        <w:tabs>
          <w:tab w:val="right" w:leader="dot" w:pos="9350"/>
        </w:tabs>
        <w:rPr>
          <w:rFonts w:asciiTheme="minorHAnsi" w:hAnsiTheme="minorHAnsi"/>
          <w:noProof/>
          <w:sz w:val="22"/>
        </w:rPr>
      </w:pPr>
      <w:hyperlink w:anchor="_Toc256000043" w:history="1">
        <w:r>
          <w:rPr>
            <w:rStyle w:val="Hyperlink"/>
            <w:noProof/>
          </w:rPr>
          <w:t>II. ELIGIBILITY</w:t>
        </w:r>
        <w:r>
          <w:rPr>
            <w:noProof/>
          </w:rPr>
          <w:tab/>
        </w:r>
        <w:r>
          <w:rPr>
            <w:noProof/>
          </w:rPr>
          <w:fldChar w:fldCharType="begin"/>
        </w:r>
        <w:r>
          <w:rPr>
            <w:noProof/>
          </w:rPr>
          <w:instrText xml:space="preserve"> PAGEREF _Toc256000043 \h </w:instrText>
        </w:r>
        <w:r>
          <w:rPr>
            <w:noProof/>
          </w:rPr>
          <w:fldChar w:fldCharType="separate"/>
        </w:r>
        <w:r>
          <w:rPr>
            <w:noProof/>
          </w:rPr>
          <w:t>2</w:t>
        </w:r>
        <w:r>
          <w:rPr>
            <w:noProof/>
          </w:rPr>
          <w:fldChar w:fldCharType="end"/>
        </w:r>
      </w:hyperlink>
    </w:p>
    <w:p w:rsidR="00976CDB" w14:paraId="12D1A799" w14:textId="4197FF44">
      <w:pPr>
        <w:pStyle w:val="TOC2"/>
        <w:tabs>
          <w:tab w:val="right" w:leader="dot" w:pos="9350"/>
        </w:tabs>
        <w:rPr>
          <w:rFonts w:asciiTheme="minorHAnsi" w:hAnsiTheme="minorHAnsi"/>
          <w:noProof/>
          <w:sz w:val="22"/>
        </w:rPr>
      </w:pPr>
      <w:hyperlink w:anchor="_Toc256000044" w:history="1">
        <w:r>
          <w:rPr>
            <w:rStyle w:val="Hyperlink"/>
            <w:noProof/>
          </w:rPr>
          <w:t>A. Eligible Applicants</w:t>
        </w:r>
        <w:r>
          <w:rPr>
            <w:noProof/>
          </w:rPr>
          <w:tab/>
        </w:r>
        <w:r>
          <w:rPr>
            <w:noProof/>
          </w:rPr>
          <w:fldChar w:fldCharType="begin"/>
        </w:r>
        <w:r>
          <w:rPr>
            <w:noProof/>
          </w:rPr>
          <w:instrText xml:space="preserve"> PAGEREF _Toc256000044 \h </w:instrText>
        </w:r>
        <w:r>
          <w:rPr>
            <w:noProof/>
          </w:rPr>
          <w:fldChar w:fldCharType="separate"/>
        </w:r>
        <w:r>
          <w:rPr>
            <w:noProof/>
          </w:rPr>
          <w:t>2</w:t>
        </w:r>
        <w:r>
          <w:rPr>
            <w:noProof/>
          </w:rPr>
          <w:fldChar w:fldCharType="end"/>
        </w:r>
      </w:hyperlink>
    </w:p>
    <w:p w:rsidR="00976CDB" w14:paraId="1017452B" w14:textId="2B107F2B">
      <w:pPr>
        <w:pStyle w:val="TOC2"/>
        <w:tabs>
          <w:tab w:val="right" w:leader="dot" w:pos="9350"/>
        </w:tabs>
        <w:rPr>
          <w:rFonts w:asciiTheme="minorHAnsi" w:hAnsiTheme="minorHAnsi"/>
          <w:noProof/>
          <w:sz w:val="22"/>
        </w:rPr>
      </w:pPr>
      <w:hyperlink w:anchor="_Toc256000045" w:history="1">
        <w:r>
          <w:rPr>
            <w:rStyle w:val="Hyperlink"/>
            <w:noProof/>
          </w:rPr>
          <w:t>B. Cost Sharing</w:t>
        </w:r>
        <w:r>
          <w:rPr>
            <w:noProof/>
          </w:rPr>
          <w:tab/>
        </w:r>
        <w:r>
          <w:rPr>
            <w:noProof/>
          </w:rPr>
          <w:fldChar w:fldCharType="begin"/>
        </w:r>
        <w:r>
          <w:rPr>
            <w:noProof/>
          </w:rPr>
          <w:instrText xml:space="preserve"> PAGEREF _Toc256000045 \h </w:instrText>
        </w:r>
        <w:r>
          <w:rPr>
            <w:noProof/>
          </w:rPr>
          <w:fldChar w:fldCharType="separate"/>
        </w:r>
        <w:r>
          <w:rPr>
            <w:noProof/>
          </w:rPr>
          <w:t>4</w:t>
        </w:r>
        <w:r>
          <w:rPr>
            <w:noProof/>
          </w:rPr>
          <w:fldChar w:fldCharType="end"/>
        </w:r>
      </w:hyperlink>
    </w:p>
    <w:p w:rsidR="00976CDB" w14:paraId="67C53904" w14:textId="2993D98C">
      <w:pPr>
        <w:pStyle w:val="TOC2"/>
        <w:tabs>
          <w:tab w:val="right" w:leader="dot" w:pos="9350"/>
        </w:tabs>
        <w:rPr>
          <w:rFonts w:asciiTheme="minorHAnsi" w:hAnsiTheme="minorHAnsi"/>
          <w:noProof/>
          <w:sz w:val="22"/>
        </w:rPr>
      </w:pPr>
      <w:hyperlink w:anchor="_Toc256000046" w:history="1">
        <w:r>
          <w:rPr>
            <w:rStyle w:val="Hyperlink"/>
            <w:noProof/>
          </w:rPr>
          <w:t>C. Period of Performance</w:t>
        </w:r>
        <w:r>
          <w:rPr>
            <w:noProof/>
          </w:rPr>
          <w:tab/>
        </w:r>
        <w:r>
          <w:rPr>
            <w:noProof/>
          </w:rPr>
          <w:fldChar w:fldCharType="begin"/>
        </w:r>
        <w:r>
          <w:rPr>
            <w:noProof/>
          </w:rPr>
          <w:instrText xml:space="preserve"> PAGEREF _Toc256000046 \h </w:instrText>
        </w:r>
        <w:r>
          <w:rPr>
            <w:noProof/>
          </w:rPr>
          <w:fldChar w:fldCharType="separate"/>
        </w:r>
        <w:r>
          <w:rPr>
            <w:noProof/>
          </w:rPr>
          <w:t>4</w:t>
        </w:r>
        <w:r>
          <w:rPr>
            <w:noProof/>
          </w:rPr>
          <w:fldChar w:fldCharType="end"/>
        </w:r>
      </w:hyperlink>
    </w:p>
    <w:p w:rsidR="00976CDB" w14:paraId="142949B7" w14:textId="3160D715">
      <w:pPr>
        <w:pStyle w:val="TOC1"/>
        <w:tabs>
          <w:tab w:val="right" w:leader="dot" w:pos="9350"/>
        </w:tabs>
        <w:rPr>
          <w:rFonts w:asciiTheme="minorHAnsi" w:hAnsiTheme="minorHAnsi"/>
          <w:noProof/>
          <w:sz w:val="22"/>
        </w:rPr>
      </w:pPr>
      <w:hyperlink w:anchor="_Toc256000047" w:history="1">
        <w:r>
          <w:rPr>
            <w:rStyle w:val="Hyperlink"/>
            <w:noProof/>
          </w:rPr>
          <w:t>III. PROGRAM DESCRIPTION</w:t>
        </w:r>
        <w:r>
          <w:rPr>
            <w:noProof/>
          </w:rPr>
          <w:tab/>
        </w:r>
        <w:r>
          <w:rPr>
            <w:noProof/>
          </w:rPr>
          <w:fldChar w:fldCharType="begin"/>
        </w:r>
        <w:r>
          <w:rPr>
            <w:noProof/>
          </w:rPr>
          <w:instrText xml:space="preserve"> PAGEREF _Toc256000047 \h </w:instrText>
        </w:r>
        <w:r>
          <w:rPr>
            <w:noProof/>
          </w:rPr>
          <w:fldChar w:fldCharType="separate"/>
        </w:r>
        <w:r>
          <w:rPr>
            <w:noProof/>
          </w:rPr>
          <w:t>6</w:t>
        </w:r>
        <w:r>
          <w:rPr>
            <w:noProof/>
          </w:rPr>
          <w:fldChar w:fldCharType="end"/>
        </w:r>
      </w:hyperlink>
    </w:p>
    <w:p w:rsidR="00976CDB" w14:paraId="0EFD9D3E" w14:textId="4755613C">
      <w:pPr>
        <w:pStyle w:val="TOC2"/>
        <w:tabs>
          <w:tab w:val="right" w:leader="dot" w:pos="9350"/>
        </w:tabs>
        <w:rPr>
          <w:rFonts w:asciiTheme="minorHAnsi" w:hAnsiTheme="minorHAnsi"/>
          <w:noProof/>
          <w:sz w:val="22"/>
        </w:rPr>
      </w:pPr>
      <w:hyperlink w:anchor="_Toc256000048" w:history="1">
        <w:r>
          <w:rPr>
            <w:rStyle w:val="Hyperlink"/>
            <w:noProof/>
          </w:rPr>
          <w:t>A. Purpose</w:t>
        </w:r>
        <w:r>
          <w:rPr>
            <w:noProof/>
          </w:rPr>
          <w:tab/>
        </w:r>
        <w:r>
          <w:rPr>
            <w:noProof/>
          </w:rPr>
          <w:fldChar w:fldCharType="begin"/>
        </w:r>
        <w:r>
          <w:rPr>
            <w:noProof/>
          </w:rPr>
          <w:instrText xml:space="preserve"> PAGEREF _Toc256000048 \h </w:instrText>
        </w:r>
        <w:r>
          <w:rPr>
            <w:noProof/>
          </w:rPr>
          <w:fldChar w:fldCharType="separate"/>
        </w:r>
        <w:r>
          <w:rPr>
            <w:noProof/>
          </w:rPr>
          <w:t>6</w:t>
        </w:r>
        <w:r>
          <w:rPr>
            <w:noProof/>
          </w:rPr>
          <w:fldChar w:fldCharType="end"/>
        </w:r>
      </w:hyperlink>
    </w:p>
    <w:p w:rsidR="00976CDB" w14:paraId="328609FF" w14:textId="41644628">
      <w:pPr>
        <w:pStyle w:val="TOC2"/>
        <w:tabs>
          <w:tab w:val="right" w:leader="dot" w:pos="9350"/>
        </w:tabs>
        <w:rPr>
          <w:rFonts w:asciiTheme="minorHAnsi" w:hAnsiTheme="minorHAnsi"/>
          <w:noProof/>
          <w:sz w:val="22"/>
        </w:rPr>
      </w:pPr>
      <w:hyperlink w:anchor="_Toc256000049" w:history="1">
        <w:r>
          <w:rPr>
            <w:rStyle w:val="Hyperlink"/>
            <w:noProof/>
          </w:rPr>
          <w:t>B. Program Goals and Objectives</w:t>
        </w:r>
        <w:r>
          <w:rPr>
            <w:noProof/>
          </w:rPr>
          <w:tab/>
        </w:r>
        <w:r>
          <w:rPr>
            <w:noProof/>
          </w:rPr>
          <w:fldChar w:fldCharType="begin"/>
        </w:r>
        <w:r>
          <w:rPr>
            <w:noProof/>
          </w:rPr>
          <w:instrText xml:space="preserve"> PAGEREF _Toc256000049 \h </w:instrText>
        </w:r>
        <w:r>
          <w:rPr>
            <w:noProof/>
          </w:rPr>
          <w:fldChar w:fldCharType="separate"/>
        </w:r>
        <w:r>
          <w:rPr>
            <w:noProof/>
          </w:rPr>
          <w:t>8</w:t>
        </w:r>
        <w:r>
          <w:rPr>
            <w:noProof/>
          </w:rPr>
          <w:fldChar w:fldCharType="end"/>
        </w:r>
      </w:hyperlink>
    </w:p>
    <w:p w:rsidR="00976CDB" w14:paraId="5B3A577F" w14:textId="74E0AC99">
      <w:pPr>
        <w:pStyle w:val="TOC2"/>
        <w:tabs>
          <w:tab w:val="right" w:leader="dot" w:pos="9350"/>
        </w:tabs>
        <w:rPr>
          <w:rFonts w:asciiTheme="minorHAnsi" w:hAnsiTheme="minorHAnsi"/>
          <w:noProof/>
          <w:sz w:val="22"/>
        </w:rPr>
      </w:pPr>
      <w:hyperlink w:anchor="_Toc256000050" w:history="1">
        <w:r>
          <w:rPr>
            <w:rStyle w:val="Hyperlink"/>
            <w:noProof/>
          </w:rPr>
          <w:t>C. Expected Performance Outcomes</w:t>
        </w:r>
        <w:r>
          <w:rPr>
            <w:noProof/>
          </w:rPr>
          <w:tab/>
        </w:r>
        <w:r>
          <w:rPr>
            <w:noProof/>
          </w:rPr>
          <w:fldChar w:fldCharType="begin"/>
        </w:r>
        <w:r>
          <w:rPr>
            <w:noProof/>
          </w:rPr>
          <w:instrText xml:space="preserve"> PAGEREF _Toc256000050 \h </w:instrText>
        </w:r>
        <w:r>
          <w:rPr>
            <w:noProof/>
          </w:rPr>
          <w:fldChar w:fldCharType="separate"/>
        </w:r>
        <w:r>
          <w:rPr>
            <w:noProof/>
          </w:rPr>
          <w:t>8</w:t>
        </w:r>
        <w:r>
          <w:rPr>
            <w:noProof/>
          </w:rPr>
          <w:fldChar w:fldCharType="end"/>
        </w:r>
      </w:hyperlink>
    </w:p>
    <w:p w:rsidR="00976CDB" w14:paraId="683B9780" w14:textId="24BF708E">
      <w:pPr>
        <w:pStyle w:val="TOC2"/>
        <w:tabs>
          <w:tab w:val="right" w:leader="dot" w:pos="9350"/>
        </w:tabs>
        <w:rPr>
          <w:rFonts w:asciiTheme="minorHAnsi" w:hAnsiTheme="minorHAnsi"/>
          <w:noProof/>
          <w:sz w:val="22"/>
        </w:rPr>
      </w:pPr>
      <w:hyperlink w:anchor="_Toc256000051" w:history="1">
        <w:r>
          <w:rPr>
            <w:rStyle w:val="Hyperlink"/>
            <w:noProof/>
          </w:rPr>
          <w:t>D. Funding Type</w:t>
        </w:r>
        <w:r>
          <w:rPr>
            <w:noProof/>
          </w:rPr>
          <w:tab/>
        </w:r>
        <w:r>
          <w:rPr>
            <w:noProof/>
          </w:rPr>
          <w:fldChar w:fldCharType="begin"/>
        </w:r>
        <w:r>
          <w:rPr>
            <w:noProof/>
          </w:rPr>
          <w:instrText xml:space="preserve"> PAGEREF _Toc256000051 \h </w:instrText>
        </w:r>
        <w:r>
          <w:rPr>
            <w:noProof/>
          </w:rPr>
          <w:fldChar w:fldCharType="separate"/>
        </w:r>
        <w:r>
          <w:rPr>
            <w:noProof/>
          </w:rPr>
          <w:t>9</w:t>
        </w:r>
        <w:r>
          <w:rPr>
            <w:noProof/>
          </w:rPr>
          <w:fldChar w:fldCharType="end"/>
        </w:r>
      </w:hyperlink>
    </w:p>
    <w:p w:rsidR="00976CDB" w14:paraId="512FE6B6" w14:textId="01C13F95">
      <w:pPr>
        <w:pStyle w:val="TOC2"/>
        <w:tabs>
          <w:tab w:val="right" w:leader="dot" w:pos="9350"/>
        </w:tabs>
        <w:rPr>
          <w:rFonts w:asciiTheme="minorHAnsi" w:hAnsiTheme="minorHAnsi"/>
          <w:noProof/>
          <w:sz w:val="22"/>
        </w:rPr>
      </w:pPr>
      <w:hyperlink w:anchor="_Toc256000052" w:history="1">
        <w:r>
          <w:rPr>
            <w:rStyle w:val="Hyperlink"/>
            <w:noProof/>
          </w:rPr>
          <w:t>E. Eligible Participants</w:t>
        </w:r>
        <w:r>
          <w:rPr>
            <w:noProof/>
          </w:rPr>
          <w:tab/>
        </w:r>
        <w:r>
          <w:rPr>
            <w:noProof/>
          </w:rPr>
          <w:fldChar w:fldCharType="begin"/>
        </w:r>
        <w:r>
          <w:rPr>
            <w:noProof/>
          </w:rPr>
          <w:instrText xml:space="preserve"> PAGEREF _Toc256000052 \h </w:instrText>
        </w:r>
        <w:r>
          <w:rPr>
            <w:noProof/>
          </w:rPr>
          <w:fldChar w:fldCharType="separate"/>
        </w:r>
        <w:r>
          <w:rPr>
            <w:noProof/>
          </w:rPr>
          <w:t>9</w:t>
        </w:r>
        <w:r>
          <w:rPr>
            <w:noProof/>
          </w:rPr>
          <w:fldChar w:fldCharType="end"/>
        </w:r>
      </w:hyperlink>
    </w:p>
    <w:p w:rsidR="00976CDB" w14:paraId="35B2AC75" w14:textId="3D874FE0">
      <w:pPr>
        <w:pStyle w:val="TOC2"/>
        <w:tabs>
          <w:tab w:val="right" w:leader="dot" w:pos="9350"/>
        </w:tabs>
        <w:rPr>
          <w:rFonts w:asciiTheme="minorHAnsi" w:hAnsiTheme="minorHAnsi"/>
          <w:noProof/>
          <w:sz w:val="22"/>
        </w:rPr>
      </w:pPr>
      <w:hyperlink w:anchor="_Toc256000053" w:history="1">
        <w:r>
          <w:rPr>
            <w:rStyle w:val="Hyperlink"/>
            <w:noProof/>
          </w:rPr>
          <w:t>F. Program Authority</w:t>
        </w:r>
        <w:r>
          <w:rPr>
            <w:noProof/>
          </w:rPr>
          <w:tab/>
        </w:r>
        <w:r>
          <w:rPr>
            <w:noProof/>
          </w:rPr>
          <w:fldChar w:fldCharType="begin"/>
        </w:r>
        <w:r>
          <w:rPr>
            <w:noProof/>
          </w:rPr>
          <w:instrText xml:space="preserve"> PAGEREF _Toc256000053 \h </w:instrText>
        </w:r>
        <w:r>
          <w:rPr>
            <w:noProof/>
          </w:rPr>
          <w:fldChar w:fldCharType="separate"/>
        </w:r>
        <w:r>
          <w:rPr>
            <w:noProof/>
          </w:rPr>
          <w:t>10</w:t>
        </w:r>
        <w:r>
          <w:rPr>
            <w:noProof/>
          </w:rPr>
          <w:fldChar w:fldCharType="end"/>
        </w:r>
      </w:hyperlink>
    </w:p>
    <w:p w:rsidR="00976CDB" w14:paraId="228EE444" w14:textId="1A0062F0">
      <w:pPr>
        <w:pStyle w:val="TOC2"/>
        <w:tabs>
          <w:tab w:val="right" w:leader="dot" w:pos="9350"/>
        </w:tabs>
        <w:rPr>
          <w:rFonts w:asciiTheme="minorHAnsi" w:hAnsiTheme="minorHAnsi"/>
          <w:noProof/>
          <w:sz w:val="22"/>
        </w:rPr>
      </w:pPr>
      <w:hyperlink w:anchor="_Toc256000054" w:history="1">
        <w:r>
          <w:rPr>
            <w:rStyle w:val="Hyperlink"/>
            <w:noProof/>
          </w:rPr>
          <w:t>G. Definitions</w:t>
        </w:r>
        <w:r>
          <w:rPr>
            <w:noProof/>
          </w:rPr>
          <w:tab/>
        </w:r>
        <w:r>
          <w:rPr>
            <w:noProof/>
          </w:rPr>
          <w:fldChar w:fldCharType="begin"/>
        </w:r>
        <w:r>
          <w:rPr>
            <w:noProof/>
          </w:rPr>
          <w:instrText xml:space="preserve"> PAGEREF _Toc256000054 \h </w:instrText>
        </w:r>
        <w:r>
          <w:rPr>
            <w:noProof/>
          </w:rPr>
          <w:fldChar w:fldCharType="separate"/>
        </w:r>
        <w:r>
          <w:rPr>
            <w:noProof/>
          </w:rPr>
          <w:t>10</w:t>
        </w:r>
        <w:r>
          <w:rPr>
            <w:noProof/>
          </w:rPr>
          <w:fldChar w:fldCharType="end"/>
        </w:r>
      </w:hyperlink>
    </w:p>
    <w:p w:rsidR="00976CDB" w14:paraId="5ED7BD6C" w14:textId="22996A3E">
      <w:pPr>
        <w:pStyle w:val="TOC2"/>
        <w:tabs>
          <w:tab w:val="right" w:leader="dot" w:pos="9350"/>
        </w:tabs>
        <w:rPr>
          <w:rFonts w:asciiTheme="minorHAnsi" w:hAnsiTheme="minorHAnsi"/>
          <w:noProof/>
          <w:sz w:val="22"/>
        </w:rPr>
      </w:pPr>
      <w:hyperlink w:anchor="_Toc256000055" w:history="1">
        <w:r>
          <w:rPr>
            <w:rStyle w:val="Hyperlink"/>
            <w:noProof/>
          </w:rPr>
          <w:t>H. Funding Restrictions, Policies and Limitations</w:t>
        </w:r>
        <w:r>
          <w:rPr>
            <w:noProof/>
          </w:rPr>
          <w:tab/>
        </w:r>
        <w:r>
          <w:rPr>
            <w:noProof/>
          </w:rPr>
          <w:fldChar w:fldCharType="begin"/>
        </w:r>
        <w:r>
          <w:rPr>
            <w:noProof/>
          </w:rPr>
          <w:instrText xml:space="preserve"> PAGEREF _Toc256000055 \h </w:instrText>
        </w:r>
        <w:r>
          <w:rPr>
            <w:noProof/>
          </w:rPr>
          <w:fldChar w:fldCharType="separate"/>
        </w:r>
        <w:r>
          <w:rPr>
            <w:noProof/>
          </w:rPr>
          <w:t>12</w:t>
        </w:r>
        <w:r>
          <w:rPr>
            <w:noProof/>
          </w:rPr>
          <w:fldChar w:fldCharType="end"/>
        </w:r>
      </w:hyperlink>
    </w:p>
    <w:p w:rsidR="00976CDB" w14:paraId="158AC555" w14:textId="1F93D362">
      <w:pPr>
        <w:pStyle w:val="TOC2"/>
        <w:tabs>
          <w:tab w:val="right" w:leader="dot" w:pos="9350"/>
        </w:tabs>
        <w:rPr>
          <w:rFonts w:asciiTheme="minorHAnsi" w:hAnsiTheme="minorHAnsi"/>
          <w:noProof/>
          <w:sz w:val="22"/>
        </w:rPr>
      </w:pPr>
      <w:hyperlink w:anchor="_Toc256000056" w:history="1">
        <w:r>
          <w:rPr>
            <w:rStyle w:val="Hyperlink"/>
            <w:noProof/>
          </w:rPr>
          <w:t>I. Required Partnerships</w:t>
        </w:r>
        <w:r>
          <w:rPr>
            <w:noProof/>
          </w:rPr>
          <w:tab/>
        </w:r>
        <w:r>
          <w:rPr>
            <w:noProof/>
          </w:rPr>
          <w:fldChar w:fldCharType="begin"/>
        </w:r>
        <w:r>
          <w:rPr>
            <w:noProof/>
          </w:rPr>
          <w:instrText xml:space="preserve"> PAGEREF _Toc256000056 \h </w:instrText>
        </w:r>
        <w:r>
          <w:rPr>
            <w:noProof/>
          </w:rPr>
          <w:fldChar w:fldCharType="separate"/>
        </w:r>
        <w:r>
          <w:rPr>
            <w:noProof/>
          </w:rPr>
          <w:t>14</w:t>
        </w:r>
        <w:r>
          <w:rPr>
            <w:noProof/>
          </w:rPr>
          <w:fldChar w:fldCharType="end"/>
        </w:r>
      </w:hyperlink>
    </w:p>
    <w:p w:rsidR="00976CDB" w14:paraId="07C11357" w14:textId="21D54851">
      <w:pPr>
        <w:pStyle w:val="TOC1"/>
        <w:tabs>
          <w:tab w:val="right" w:leader="dot" w:pos="9350"/>
        </w:tabs>
        <w:rPr>
          <w:rFonts w:asciiTheme="minorHAnsi" w:hAnsiTheme="minorHAnsi"/>
          <w:noProof/>
          <w:sz w:val="22"/>
        </w:rPr>
      </w:pPr>
      <w:hyperlink w:anchor="_Toc256000057" w:history="1">
        <w:r>
          <w:rPr>
            <w:rStyle w:val="Hyperlink"/>
            <w:noProof/>
          </w:rPr>
          <w:t>IV. APPLICATION CONTENT AND FORMAT</w:t>
        </w:r>
        <w:r>
          <w:rPr>
            <w:noProof/>
          </w:rPr>
          <w:tab/>
        </w:r>
        <w:r>
          <w:rPr>
            <w:noProof/>
          </w:rPr>
          <w:fldChar w:fldCharType="begin"/>
        </w:r>
        <w:r>
          <w:rPr>
            <w:noProof/>
          </w:rPr>
          <w:instrText xml:space="preserve"> PAGEREF _Toc256000057 \h </w:instrText>
        </w:r>
        <w:r>
          <w:rPr>
            <w:noProof/>
          </w:rPr>
          <w:fldChar w:fldCharType="separate"/>
        </w:r>
        <w:r>
          <w:rPr>
            <w:noProof/>
          </w:rPr>
          <w:t>14</w:t>
        </w:r>
        <w:r>
          <w:rPr>
            <w:noProof/>
          </w:rPr>
          <w:fldChar w:fldCharType="end"/>
        </w:r>
      </w:hyperlink>
    </w:p>
    <w:p w:rsidR="00976CDB" w14:paraId="150FB2B2" w14:textId="000B4334">
      <w:pPr>
        <w:pStyle w:val="TOC2"/>
        <w:tabs>
          <w:tab w:val="right" w:leader="dot" w:pos="9350"/>
        </w:tabs>
        <w:rPr>
          <w:rFonts w:asciiTheme="minorHAnsi" w:hAnsiTheme="minorHAnsi"/>
          <w:noProof/>
          <w:sz w:val="22"/>
        </w:rPr>
      </w:pPr>
      <w:hyperlink w:anchor="_Toc256000058" w:history="1">
        <w:r>
          <w:rPr>
            <w:rStyle w:val="Hyperlink"/>
            <w:noProof/>
          </w:rPr>
          <w:t>A. SF-424, Application for Federal Assistance</w:t>
        </w:r>
        <w:r>
          <w:rPr>
            <w:noProof/>
          </w:rPr>
          <w:tab/>
        </w:r>
        <w:r>
          <w:rPr>
            <w:noProof/>
          </w:rPr>
          <w:fldChar w:fldCharType="begin"/>
        </w:r>
        <w:r>
          <w:rPr>
            <w:noProof/>
          </w:rPr>
          <w:instrText xml:space="preserve"> PAGEREF _Toc256000058 \h </w:instrText>
        </w:r>
        <w:r>
          <w:rPr>
            <w:noProof/>
          </w:rPr>
          <w:fldChar w:fldCharType="separate"/>
        </w:r>
        <w:r>
          <w:rPr>
            <w:noProof/>
          </w:rPr>
          <w:t>14</w:t>
        </w:r>
        <w:r>
          <w:rPr>
            <w:noProof/>
          </w:rPr>
          <w:fldChar w:fldCharType="end"/>
        </w:r>
      </w:hyperlink>
    </w:p>
    <w:p w:rsidR="00976CDB" w14:paraId="16471216" w14:textId="7416C7D1">
      <w:pPr>
        <w:pStyle w:val="TOC2"/>
        <w:tabs>
          <w:tab w:val="right" w:leader="dot" w:pos="9350"/>
        </w:tabs>
        <w:rPr>
          <w:rFonts w:asciiTheme="minorHAnsi" w:hAnsiTheme="minorHAnsi"/>
          <w:noProof/>
          <w:sz w:val="22"/>
        </w:rPr>
      </w:pPr>
      <w:hyperlink w:anchor="_Toc256000059" w:history="1">
        <w:r>
          <w:rPr>
            <w:rStyle w:val="Hyperlink"/>
            <w:noProof/>
          </w:rPr>
          <w:t>B. Project Budget, Composed of the SF-424A and Budget Narrative</w:t>
        </w:r>
        <w:r>
          <w:rPr>
            <w:noProof/>
          </w:rPr>
          <w:tab/>
        </w:r>
        <w:r>
          <w:rPr>
            <w:noProof/>
          </w:rPr>
          <w:fldChar w:fldCharType="begin"/>
        </w:r>
        <w:r>
          <w:rPr>
            <w:noProof/>
          </w:rPr>
          <w:instrText xml:space="preserve"> PAGEREF _Toc256000059 \h </w:instrText>
        </w:r>
        <w:r>
          <w:rPr>
            <w:noProof/>
          </w:rPr>
          <w:fldChar w:fldCharType="separate"/>
        </w:r>
        <w:r>
          <w:rPr>
            <w:noProof/>
          </w:rPr>
          <w:t>15</w:t>
        </w:r>
        <w:r>
          <w:rPr>
            <w:noProof/>
          </w:rPr>
          <w:fldChar w:fldCharType="end"/>
        </w:r>
      </w:hyperlink>
    </w:p>
    <w:p w:rsidR="00976CDB" w14:paraId="3F8D8B0B" w14:textId="42E66399">
      <w:pPr>
        <w:pStyle w:val="TOC2"/>
        <w:tabs>
          <w:tab w:val="right" w:leader="dot" w:pos="9350"/>
        </w:tabs>
        <w:rPr>
          <w:rFonts w:asciiTheme="minorHAnsi" w:hAnsiTheme="minorHAnsi"/>
          <w:noProof/>
          <w:sz w:val="22"/>
        </w:rPr>
      </w:pPr>
      <w:hyperlink w:anchor="_Toc256000060" w:history="1">
        <w:r>
          <w:rPr>
            <w:rStyle w:val="Hyperlink"/>
            <w:noProof/>
          </w:rPr>
          <w:t>C. Project Narrative</w:t>
        </w:r>
        <w:r>
          <w:rPr>
            <w:noProof/>
          </w:rPr>
          <w:tab/>
        </w:r>
        <w:r>
          <w:rPr>
            <w:noProof/>
          </w:rPr>
          <w:fldChar w:fldCharType="begin"/>
        </w:r>
        <w:r>
          <w:rPr>
            <w:noProof/>
          </w:rPr>
          <w:instrText xml:space="preserve"> PAGEREF _Toc256000060 \h </w:instrText>
        </w:r>
        <w:r>
          <w:rPr>
            <w:noProof/>
          </w:rPr>
          <w:fldChar w:fldCharType="separate"/>
        </w:r>
        <w:r>
          <w:rPr>
            <w:noProof/>
          </w:rPr>
          <w:t>15</w:t>
        </w:r>
        <w:r>
          <w:rPr>
            <w:noProof/>
          </w:rPr>
          <w:fldChar w:fldCharType="end"/>
        </w:r>
      </w:hyperlink>
    </w:p>
    <w:p w:rsidR="00976CDB" w14:paraId="341BEF8D" w14:textId="7313DC93">
      <w:pPr>
        <w:pStyle w:val="TOC2"/>
        <w:tabs>
          <w:tab w:val="right" w:leader="dot" w:pos="9350"/>
        </w:tabs>
        <w:rPr>
          <w:rFonts w:asciiTheme="minorHAnsi" w:hAnsiTheme="minorHAnsi"/>
          <w:noProof/>
          <w:sz w:val="22"/>
        </w:rPr>
      </w:pPr>
      <w:hyperlink w:anchor="_Toc256000061" w:history="1">
        <w:r>
          <w:rPr>
            <w:rStyle w:val="Hyperlink"/>
            <w:noProof/>
          </w:rPr>
          <w:t>D. Attachments to the Project Narrative</w:t>
        </w:r>
        <w:r>
          <w:rPr>
            <w:noProof/>
          </w:rPr>
          <w:tab/>
        </w:r>
        <w:r>
          <w:rPr>
            <w:noProof/>
          </w:rPr>
          <w:fldChar w:fldCharType="begin"/>
        </w:r>
        <w:r>
          <w:rPr>
            <w:noProof/>
          </w:rPr>
          <w:instrText xml:space="preserve"> PAGEREF _Toc256000061 \h </w:instrText>
        </w:r>
        <w:r>
          <w:rPr>
            <w:noProof/>
          </w:rPr>
          <w:fldChar w:fldCharType="separate"/>
        </w:r>
        <w:r>
          <w:rPr>
            <w:noProof/>
          </w:rPr>
          <w:t>27</w:t>
        </w:r>
        <w:r>
          <w:rPr>
            <w:noProof/>
          </w:rPr>
          <w:fldChar w:fldCharType="end"/>
        </w:r>
      </w:hyperlink>
    </w:p>
    <w:p w:rsidR="00976CDB" w14:paraId="2EC1C3CC" w14:textId="479195E3">
      <w:pPr>
        <w:pStyle w:val="TOC1"/>
        <w:tabs>
          <w:tab w:val="right" w:leader="dot" w:pos="9350"/>
        </w:tabs>
        <w:rPr>
          <w:rFonts w:asciiTheme="minorHAnsi" w:hAnsiTheme="minorHAnsi"/>
          <w:noProof/>
          <w:sz w:val="22"/>
        </w:rPr>
      </w:pPr>
      <w:hyperlink w:anchor="_Toc256000062" w:history="1">
        <w:r>
          <w:rPr>
            <w:rStyle w:val="Hyperlink"/>
            <w:noProof/>
          </w:rPr>
          <w:t>V. SUBMISSION REQUIREMENTS AND DEADLINES</w:t>
        </w:r>
        <w:r>
          <w:rPr>
            <w:noProof/>
          </w:rPr>
          <w:tab/>
        </w:r>
        <w:r>
          <w:rPr>
            <w:noProof/>
          </w:rPr>
          <w:fldChar w:fldCharType="begin"/>
        </w:r>
        <w:r>
          <w:rPr>
            <w:noProof/>
          </w:rPr>
          <w:instrText xml:space="preserve"> PAGEREF _Toc256000062 \h </w:instrText>
        </w:r>
        <w:r>
          <w:rPr>
            <w:noProof/>
          </w:rPr>
          <w:fldChar w:fldCharType="separate"/>
        </w:r>
        <w:r>
          <w:rPr>
            <w:noProof/>
          </w:rPr>
          <w:t>30</w:t>
        </w:r>
        <w:r>
          <w:rPr>
            <w:noProof/>
          </w:rPr>
          <w:fldChar w:fldCharType="end"/>
        </w:r>
      </w:hyperlink>
    </w:p>
    <w:p w:rsidR="00976CDB" w14:paraId="5A813F33" w14:textId="738B8F09">
      <w:pPr>
        <w:pStyle w:val="TOC2"/>
        <w:tabs>
          <w:tab w:val="right" w:leader="dot" w:pos="9350"/>
        </w:tabs>
        <w:rPr>
          <w:rFonts w:asciiTheme="minorHAnsi" w:hAnsiTheme="minorHAnsi"/>
          <w:noProof/>
          <w:sz w:val="22"/>
        </w:rPr>
      </w:pPr>
      <w:hyperlink w:anchor="_Toc256000063" w:history="1">
        <w:r>
          <w:rPr>
            <w:rStyle w:val="Hyperlink"/>
            <w:noProof/>
          </w:rPr>
          <w:t>A. How to Obtain an Application Package</w:t>
        </w:r>
        <w:r>
          <w:rPr>
            <w:noProof/>
          </w:rPr>
          <w:tab/>
        </w:r>
        <w:r>
          <w:rPr>
            <w:noProof/>
          </w:rPr>
          <w:fldChar w:fldCharType="begin"/>
        </w:r>
        <w:r>
          <w:rPr>
            <w:noProof/>
          </w:rPr>
          <w:instrText xml:space="preserve"> PAGEREF _Toc256000063 \h </w:instrText>
        </w:r>
        <w:r>
          <w:rPr>
            <w:noProof/>
          </w:rPr>
          <w:fldChar w:fldCharType="separate"/>
        </w:r>
        <w:r>
          <w:rPr>
            <w:noProof/>
          </w:rPr>
          <w:t>30</w:t>
        </w:r>
        <w:r>
          <w:rPr>
            <w:noProof/>
          </w:rPr>
          <w:fldChar w:fldCharType="end"/>
        </w:r>
      </w:hyperlink>
    </w:p>
    <w:p w:rsidR="00976CDB" w14:paraId="2B627C6B" w14:textId="77948543">
      <w:pPr>
        <w:pStyle w:val="TOC2"/>
        <w:tabs>
          <w:tab w:val="right" w:leader="dot" w:pos="9350"/>
        </w:tabs>
        <w:rPr>
          <w:rFonts w:asciiTheme="minorHAnsi" w:hAnsiTheme="minorHAnsi"/>
          <w:noProof/>
          <w:sz w:val="22"/>
        </w:rPr>
      </w:pPr>
      <w:hyperlink w:anchor="_Toc256000064" w:history="1">
        <w:r>
          <w:rPr>
            <w:rStyle w:val="Hyperlink"/>
            <w:noProof/>
          </w:rPr>
          <w:t>B. Unique Entity Identifier and System for Award Management</w:t>
        </w:r>
        <w:r>
          <w:rPr>
            <w:noProof/>
          </w:rPr>
          <w:tab/>
        </w:r>
        <w:r>
          <w:rPr>
            <w:noProof/>
          </w:rPr>
          <w:fldChar w:fldCharType="begin"/>
        </w:r>
        <w:r>
          <w:rPr>
            <w:noProof/>
          </w:rPr>
          <w:instrText xml:space="preserve"> PAGEREF _Toc256000064 \h </w:instrText>
        </w:r>
        <w:r>
          <w:rPr>
            <w:noProof/>
          </w:rPr>
          <w:fldChar w:fldCharType="separate"/>
        </w:r>
        <w:r>
          <w:rPr>
            <w:noProof/>
          </w:rPr>
          <w:t>30</w:t>
        </w:r>
        <w:r>
          <w:rPr>
            <w:noProof/>
          </w:rPr>
          <w:fldChar w:fldCharType="end"/>
        </w:r>
      </w:hyperlink>
    </w:p>
    <w:p w:rsidR="00976CDB" w14:paraId="7C4BD621" w14:textId="09404B00">
      <w:pPr>
        <w:pStyle w:val="TOC2"/>
        <w:tabs>
          <w:tab w:val="right" w:leader="dot" w:pos="9350"/>
        </w:tabs>
        <w:rPr>
          <w:rFonts w:asciiTheme="minorHAnsi" w:hAnsiTheme="minorHAnsi"/>
          <w:noProof/>
          <w:sz w:val="22"/>
        </w:rPr>
      </w:pPr>
      <w:hyperlink w:anchor="_Toc256000065" w:history="1">
        <w:r>
          <w:rPr>
            <w:rStyle w:val="Hyperlink"/>
            <w:noProof/>
          </w:rPr>
          <w:t>C. Submission Instructions</w:t>
        </w:r>
        <w:r>
          <w:rPr>
            <w:noProof/>
          </w:rPr>
          <w:tab/>
        </w:r>
        <w:r>
          <w:rPr>
            <w:noProof/>
          </w:rPr>
          <w:fldChar w:fldCharType="begin"/>
        </w:r>
        <w:r>
          <w:rPr>
            <w:noProof/>
          </w:rPr>
          <w:instrText xml:space="preserve"> PAGEREF _Toc256000065 \h </w:instrText>
        </w:r>
        <w:r>
          <w:rPr>
            <w:noProof/>
          </w:rPr>
          <w:fldChar w:fldCharType="separate"/>
        </w:r>
        <w:r>
          <w:rPr>
            <w:noProof/>
          </w:rPr>
          <w:t>30</w:t>
        </w:r>
        <w:r>
          <w:rPr>
            <w:noProof/>
          </w:rPr>
          <w:fldChar w:fldCharType="end"/>
        </w:r>
      </w:hyperlink>
    </w:p>
    <w:p w:rsidR="00976CDB" w14:paraId="0462B836" w14:textId="79B18B93">
      <w:pPr>
        <w:pStyle w:val="TOC2"/>
        <w:tabs>
          <w:tab w:val="right" w:leader="dot" w:pos="9350"/>
        </w:tabs>
        <w:rPr>
          <w:rFonts w:asciiTheme="minorHAnsi" w:hAnsiTheme="minorHAnsi"/>
          <w:noProof/>
          <w:sz w:val="22"/>
        </w:rPr>
      </w:pPr>
      <w:hyperlink w:anchor="_Toc256000066" w:history="1">
        <w:r>
          <w:rPr>
            <w:rStyle w:val="Hyperlink"/>
            <w:noProof/>
          </w:rPr>
          <w:t>D. Intergovernmental Review</w:t>
        </w:r>
        <w:r>
          <w:rPr>
            <w:noProof/>
          </w:rPr>
          <w:tab/>
        </w:r>
        <w:r>
          <w:rPr>
            <w:noProof/>
          </w:rPr>
          <w:fldChar w:fldCharType="begin"/>
        </w:r>
        <w:r>
          <w:rPr>
            <w:noProof/>
          </w:rPr>
          <w:instrText xml:space="preserve"> PAGEREF _Toc256000066 \h </w:instrText>
        </w:r>
        <w:r>
          <w:rPr>
            <w:noProof/>
          </w:rPr>
          <w:fldChar w:fldCharType="separate"/>
        </w:r>
        <w:r>
          <w:rPr>
            <w:noProof/>
          </w:rPr>
          <w:t>31</w:t>
        </w:r>
        <w:r>
          <w:rPr>
            <w:noProof/>
          </w:rPr>
          <w:fldChar w:fldCharType="end"/>
        </w:r>
      </w:hyperlink>
    </w:p>
    <w:p w:rsidR="00976CDB" w14:paraId="5A41ABC9" w14:textId="11E09FAD">
      <w:pPr>
        <w:pStyle w:val="TOC2"/>
        <w:tabs>
          <w:tab w:val="right" w:leader="dot" w:pos="9350"/>
        </w:tabs>
        <w:rPr>
          <w:rFonts w:asciiTheme="minorHAnsi" w:hAnsiTheme="minorHAnsi"/>
          <w:noProof/>
          <w:sz w:val="22"/>
        </w:rPr>
      </w:pPr>
      <w:hyperlink w:anchor="_Toc256000067" w:history="1">
        <w:r>
          <w:rPr>
            <w:rStyle w:val="Hyperlink"/>
            <w:noProof/>
          </w:rPr>
          <w:t>E. Other Submission Requirements</w:t>
        </w:r>
        <w:r>
          <w:rPr>
            <w:noProof/>
          </w:rPr>
          <w:tab/>
        </w:r>
        <w:r>
          <w:rPr>
            <w:noProof/>
          </w:rPr>
          <w:fldChar w:fldCharType="begin"/>
        </w:r>
        <w:r>
          <w:rPr>
            <w:noProof/>
          </w:rPr>
          <w:instrText xml:space="preserve"> PAGEREF _Toc256000067 \h </w:instrText>
        </w:r>
        <w:r>
          <w:rPr>
            <w:noProof/>
          </w:rPr>
          <w:fldChar w:fldCharType="separate"/>
        </w:r>
        <w:r>
          <w:rPr>
            <w:noProof/>
          </w:rPr>
          <w:t>31</w:t>
        </w:r>
        <w:r>
          <w:rPr>
            <w:noProof/>
          </w:rPr>
          <w:fldChar w:fldCharType="end"/>
        </w:r>
      </w:hyperlink>
    </w:p>
    <w:p w:rsidR="00976CDB" w14:paraId="24681264" w14:textId="11A8FECE">
      <w:pPr>
        <w:pStyle w:val="TOC1"/>
        <w:tabs>
          <w:tab w:val="right" w:leader="dot" w:pos="9350"/>
        </w:tabs>
        <w:rPr>
          <w:rFonts w:asciiTheme="minorHAnsi" w:hAnsiTheme="minorHAnsi"/>
          <w:noProof/>
          <w:sz w:val="22"/>
        </w:rPr>
      </w:pPr>
      <w:hyperlink w:anchor="_Toc256000068" w:history="1">
        <w:r>
          <w:rPr>
            <w:rStyle w:val="Hyperlink"/>
            <w:noProof/>
          </w:rPr>
          <w:t>VI. APPLICATION REVIEW INFORMATION</w:t>
        </w:r>
        <w:r>
          <w:rPr>
            <w:noProof/>
          </w:rPr>
          <w:tab/>
        </w:r>
        <w:r>
          <w:rPr>
            <w:noProof/>
          </w:rPr>
          <w:fldChar w:fldCharType="begin"/>
        </w:r>
        <w:r>
          <w:rPr>
            <w:noProof/>
          </w:rPr>
          <w:instrText xml:space="preserve"> PAGEREF _Toc256000068 \h </w:instrText>
        </w:r>
        <w:r>
          <w:rPr>
            <w:noProof/>
          </w:rPr>
          <w:fldChar w:fldCharType="separate"/>
        </w:r>
        <w:r>
          <w:rPr>
            <w:noProof/>
          </w:rPr>
          <w:t>31</w:t>
        </w:r>
        <w:r>
          <w:rPr>
            <w:noProof/>
          </w:rPr>
          <w:fldChar w:fldCharType="end"/>
        </w:r>
      </w:hyperlink>
    </w:p>
    <w:p w:rsidR="00976CDB" w14:paraId="47964E09" w14:textId="7E794631">
      <w:pPr>
        <w:pStyle w:val="TOC2"/>
        <w:tabs>
          <w:tab w:val="right" w:leader="dot" w:pos="9350"/>
        </w:tabs>
        <w:rPr>
          <w:rFonts w:asciiTheme="minorHAnsi" w:hAnsiTheme="minorHAnsi"/>
          <w:noProof/>
          <w:sz w:val="22"/>
        </w:rPr>
      </w:pPr>
      <w:hyperlink w:anchor="_Toc256000069" w:history="1">
        <w:r>
          <w:rPr>
            <w:rStyle w:val="Hyperlink"/>
            <w:noProof/>
          </w:rPr>
          <w:t>A. Responsiveness Review</w:t>
        </w:r>
        <w:r>
          <w:rPr>
            <w:noProof/>
          </w:rPr>
          <w:tab/>
        </w:r>
        <w:r>
          <w:rPr>
            <w:noProof/>
          </w:rPr>
          <w:fldChar w:fldCharType="begin"/>
        </w:r>
        <w:r>
          <w:rPr>
            <w:noProof/>
          </w:rPr>
          <w:instrText xml:space="preserve"> PAGEREF _Toc256000069 \h </w:instrText>
        </w:r>
        <w:r>
          <w:rPr>
            <w:noProof/>
          </w:rPr>
          <w:fldChar w:fldCharType="separate"/>
        </w:r>
        <w:r>
          <w:rPr>
            <w:noProof/>
          </w:rPr>
          <w:t>31</w:t>
        </w:r>
        <w:r>
          <w:rPr>
            <w:noProof/>
          </w:rPr>
          <w:fldChar w:fldCharType="end"/>
        </w:r>
      </w:hyperlink>
    </w:p>
    <w:p w:rsidR="00976CDB" w14:paraId="6C3C8296" w14:textId="0DACC367">
      <w:pPr>
        <w:pStyle w:val="TOC2"/>
        <w:tabs>
          <w:tab w:val="right" w:leader="dot" w:pos="9350"/>
        </w:tabs>
        <w:rPr>
          <w:rFonts w:asciiTheme="minorHAnsi" w:hAnsiTheme="minorHAnsi"/>
          <w:noProof/>
          <w:sz w:val="22"/>
        </w:rPr>
      </w:pPr>
      <w:hyperlink w:anchor="_Toc256000070" w:history="1">
        <w:r>
          <w:rPr>
            <w:rStyle w:val="Hyperlink"/>
            <w:noProof/>
          </w:rPr>
          <w:t>B. Review Criteria</w:t>
        </w:r>
        <w:r>
          <w:rPr>
            <w:noProof/>
          </w:rPr>
          <w:tab/>
        </w:r>
        <w:r>
          <w:rPr>
            <w:noProof/>
          </w:rPr>
          <w:fldChar w:fldCharType="begin"/>
        </w:r>
        <w:r>
          <w:rPr>
            <w:noProof/>
          </w:rPr>
          <w:instrText xml:space="preserve"> PAGEREF _Toc256000070 \h </w:instrText>
        </w:r>
        <w:r>
          <w:rPr>
            <w:noProof/>
          </w:rPr>
          <w:fldChar w:fldCharType="separate"/>
        </w:r>
        <w:r>
          <w:rPr>
            <w:noProof/>
          </w:rPr>
          <w:t>32</w:t>
        </w:r>
        <w:r>
          <w:rPr>
            <w:noProof/>
          </w:rPr>
          <w:fldChar w:fldCharType="end"/>
        </w:r>
      </w:hyperlink>
    </w:p>
    <w:p w:rsidR="00976CDB" w14:paraId="686AB418" w14:textId="7A86C5EB">
      <w:pPr>
        <w:pStyle w:val="TOC2"/>
        <w:tabs>
          <w:tab w:val="right" w:leader="dot" w:pos="9350"/>
        </w:tabs>
        <w:rPr>
          <w:rFonts w:asciiTheme="minorHAnsi" w:hAnsiTheme="minorHAnsi"/>
          <w:noProof/>
          <w:sz w:val="22"/>
        </w:rPr>
      </w:pPr>
      <w:hyperlink w:anchor="_Toc256000071" w:history="1">
        <w:r>
          <w:rPr>
            <w:rStyle w:val="Hyperlink"/>
            <w:noProof/>
          </w:rPr>
          <w:t>C. Review and Selection Process</w:t>
        </w:r>
        <w:r>
          <w:rPr>
            <w:noProof/>
          </w:rPr>
          <w:tab/>
        </w:r>
        <w:r>
          <w:rPr>
            <w:noProof/>
          </w:rPr>
          <w:fldChar w:fldCharType="begin"/>
        </w:r>
        <w:r>
          <w:rPr>
            <w:noProof/>
          </w:rPr>
          <w:instrText xml:space="preserve"> PAGEREF _Toc256000071 \h </w:instrText>
        </w:r>
        <w:r>
          <w:rPr>
            <w:noProof/>
          </w:rPr>
          <w:fldChar w:fldCharType="separate"/>
        </w:r>
        <w:r>
          <w:rPr>
            <w:noProof/>
          </w:rPr>
          <w:t>33</w:t>
        </w:r>
        <w:r>
          <w:rPr>
            <w:noProof/>
          </w:rPr>
          <w:fldChar w:fldCharType="end"/>
        </w:r>
      </w:hyperlink>
    </w:p>
    <w:p w:rsidR="00976CDB" w14:paraId="608BE372" w14:textId="78E42F9F">
      <w:pPr>
        <w:pStyle w:val="TOC2"/>
        <w:tabs>
          <w:tab w:val="right" w:leader="dot" w:pos="9350"/>
        </w:tabs>
        <w:rPr>
          <w:rFonts w:asciiTheme="minorHAnsi" w:hAnsiTheme="minorHAnsi"/>
          <w:noProof/>
          <w:sz w:val="22"/>
        </w:rPr>
      </w:pPr>
      <w:hyperlink w:anchor="_Toc256000072" w:history="1">
        <w:r>
          <w:rPr>
            <w:rStyle w:val="Hyperlink"/>
            <w:noProof/>
          </w:rPr>
          <w:t>D. Risk Review</w:t>
        </w:r>
        <w:r>
          <w:rPr>
            <w:noProof/>
          </w:rPr>
          <w:tab/>
        </w:r>
        <w:r>
          <w:rPr>
            <w:noProof/>
          </w:rPr>
          <w:fldChar w:fldCharType="begin"/>
        </w:r>
        <w:r>
          <w:rPr>
            <w:noProof/>
          </w:rPr>
          <w:instrText xml:space="preserve"> PAGEREF _Toc256000072 \h </w:instrText>
        </w:r>
        <w:r>
          <w:rPr>
            <w:noProof/>
          </w:rPr>
          <w:fldChar w:fldCharType="separate"/>
        </w:r>
        <w:r>
          <w:rPr>
            <w:noProof/>
          </w:rPr>
          <w:t>33</w:t>
        </w:r>
        <w:r>
          <w:rPr>
            <w:noProof/>
          </w:rPr>
          <w:fldChar w:fldCharType="end"/>
        </w:r>
      </w:hyperlink>
    </w:p>
    <w:p w:rsidR="00976CDB" w14:paraId="71A16760" w14:textId="1EAE29C9">
      <w:pPr>
        <w:pStyle w:val="TOC1"/>
        <w:tabs>
          <w:tab w:val="right" w:leader="dot" w:pos="9350"/>
        </w:tabs>
        <w:rPr>
          <w:rFonts w:asciiTheme="minorHAnsi" w:hAnsiTheme="minorHAnsi"/>
          <w:noProof/>
          <w:sz w:val="22"/>
        </w:rPr>
      </w:pPr>
      <w:hyperlink w:anchor="_Toc256000073" w:history="1">
        <w:r>
          <w:rPr>
            <w:rStyle w:val="Hyperlink"/>
            <w:noProof/>
          </w:rPr>
          <w:t>VII. AWARD NOTICES</w:t>
        </w:r>
        <w:r>
          <w:rPr>
            <w:noProof/>
          </w:rPr>
          <w:tab/>
        </w:r>
        <w:r>
          <w:rPr>
            <w:noProof/>
          </w:rPr>
          <w:fldChar w:fldCharType="begin"/>
        </w:r>
        <w:r>
          <w:rPr>
            <w:noProof/>
          </w:rPr>
          <w:instrText xml:space="preserve"> PAGEREF _Toc256000073 \h </w:instrText>
        </w:r>
        <w:r>
          <w:rPr>
            <w:noProof/>
          </w:rPr>
          <w:fldChar w:fldCharType="separate"/>
        </w:r>
        <w:r>
          <w:rPr>
            <w:noProof/>
          </w:rPr>
          <w:t>33</w:t>
        </w:r>
        <w:r>
          <w:rPr>
            <w:noProof/>
          </w:rPr>
          <w:fldChar w:fldCharType="end"/>
        </w:r>
      </w:hyperlink>
    </w:p>
    <w:p w:rsidR="00976CDB" w14:paraId="5807BB58" w14:textId="183C2235">
      <w:pPr>
        <w:pStyle w:val="TOC2"/>
        <w:tabs>
          <w:tab w:val="right" w:leader="dot" w:pos="9350"/>
        </w:tabs>
        <w:rPr>
          <w:rFonts w:asciiTheme="minorHAnsi" w:hAnsiTheme="minorHAnsi"/>
          <w:noProof/>
          <w:sz w:val="22"/>
        </w:rPr>
      </w:pPr>
      <w:hyperlink w:anchor="_Toc256000074" w:history="1">
        <w:r>
          <w:rPr>
            <w:rStyle w:val="Hyperlink"/>
            <w:noProof/>
          </w:rPr>
          <w:t>A. Award Document</w:t>
        </w:r>
        <w:r>
          <w:rPr>
            <w:noProof/>
          </w:rPr>
          <w:tab/>
        </w:r>
        <w:r>
          <w:rPr>
            <w:noProof/>
          </w:rPr>
          <w:fldChar w:fldCharType="begin"/>
        </w:r>
        <w:r>
          <w:rPr>
            <w:noProof/>
          </w:rPr>
          <w:instrText xml:space="preserve"> PAGEREF _Toc256000074 \h </w:instrText>
        </w:r>
        <w:r>
          <w:rPr>
            <w:noProof/>
          </w:rPr>
          <w:fldChar w:fldCharType="separate"/>
        </w:r>
        <w:r>
          <w:rPr>
            <w:noProof/>
          </w:rPr>
          <w:t>33</w:t>
        </w:r>
        <w:r>
          <w:rPr>
            <w:noProof/>
          </w:rPr>
          <w:fldChar w:fldCharType="end"/>
        </w:r>
      </w:hyperlink>
    </w:p>
    <w:p w:rsidR="00976CDB" w14:paraId="3BAB0758" w14:textId="12C9D15E">
      <w:pPr>
        <w:pStyle w:val="TOC2"/>
        <w:tabs>
          <w:tab w:val="right" w:leader="dot" w:pos="9350"/>
        </w:tabs>
        <w:rPr>
          <w:rFonts w:asciiTheme="minorHAnsi" w:hAnsiTheme="minorHAnsi"/>
          <w:noProof/>
          <w:sz w:val="22"/>
        </w:rPr>
      </w:pPr>
      <w:hyperlink w:anchor="_Toc256000075" w:history="1">
        <w:r>
          <w:rPr>
            <w:rStyle w:val="Hyperlink"/>
            <w:noProof/>
          </w:rPr>
          <w:t>B. Award Timing and Notification to Applicants</w:t>
        </w:r>
        <w:r>
          <w:rPr>
            <w:noProof/>
          </w:rPr>
          <w:tab/>
        </w:r>
        <w:r>
          <w:rPr>
            <w:noProof/>
          </w:rPr>
          <w:fldChar w:fldCharType="begin"/>
        </w:r>
        <w:r>
          <w:rPr>
            <w:noProof/>
          </w:rPr>
          <w:instrText xml:space="preserve"> PAGEREF _Toc256000075 \h </w:instrText>
        </w:r>
        <w:r>
          <w:rPr>
            <w:noProof/>
          </w:rPr>
          <w:fldChar w:fldCharType="separate"/>
        </w:r>
        <w:r>
          <w:rPr>
            <w:noProof/>
          </w:rPr>
          <w:t>34</w:t>
        </w:r>
        <w:r>
          <w:rPr>
            <w:noProof/>
          </w:rPr>
          <w:fldChar w:fldCharType="end"/>
        </w:r>
      </w:hyperlink>
    </w:p>
    <w:p w:rsidR="00976CDB" w14:paraId="2B4595C9" w14:textId="693560FB">
      <w:pPr>
        <w:pStyle w:val="TOC1"/>
        <w:tabs>
          <w:tab w:val="right" w:leader="dot" w:pos="9350"/>
        </w:tabs>
        <w:rPr>
          <w:rFonts w:asciiTheme="minorHAnsi" w:hAnsiTheme="minorHAnsi"/>
          <w:noProof/>
          <w:sz w:val="22"/>
        </w:rPr>
      </w:pPr>
      <w:hyperlink w:anchor="_Toc256000076" w:history="1">
        <w:r>
          <w:rPr>
            <w:rStyle w:val="Hyperlink"/>
            <w:noProof/>
          </w:rPr>
          <w:t>VIII. POST AWARD REQUIREMENTS AND ADMINISTRATION</w:t>
        </w:r>
        <w:r>
          <w:rPr>
            <w:noProof/>
          </w:rPr>
          <w:tab/>
        </w:r>
        <w:r>
          <w:rPr>
            <w:noProof/>
          </w:rPr>
          <w:fldChar w:fldCharType="begin"/>
        </w:r>
        <w:r>
          <w:rPr>
            <w:noProof/>
          </w:rPr>
          <w:instrText xml:space="preserve"> PAGEREF _Toc256000076 \h </w:instrText>
        </w:r>
        <w:r>
          <w:rPr>
            <w:noProof/>
          </w:rPr>
          <w:fldChar w:fldCharType="separate"/>
        </w:r>
        <w:r>
          <w:rPr>
            <w:noProof/>
          </w:rPr>
          <w:t>34</w:t>
        </w:r>
        <w:r>
          <w:rPr>
            <w:noProof/>
          </w:rPr>
          <w:fldChar w:fldCharType="end"/>
        </w:r>
      </w:hyperlink>
    </w:p>
    <w:p w:rsidR="00976CDB" w14:paraId="278FF931" w14:textId="31E8B7EB">
      <w:pPr>
        <w:pStyle w:val="TOC2"/>
        <w:tabs>
          <w:tab w:val="right" w:leader="dot" w:pos="9350"/>
        </w:tabs>
        <w:rPr>
          <w:rFonts w:asciiTheme="minorHAnsi" w:hAnsiTheme="minorHAnsi"/>
          <w:noProof/>
          <w:sz w:val="22"/>
        </w:rPr>
      </w:pPr>
      <w:hyperlink w:anchor="_Toc256000077" w:history="1">
        <w:r>
          <w:rPr>
            <w:rStyle w:val="Hyperlink"/>
            <w:noProof/>
          </w:rPr>
          <w:t>A. Administrative and National Policy Requirements</w:t>
        </w:r>
        <w:r>
          <w:rPr>
            <w:noProof/>
          </w:rPr>
          <w:tab/>
        </w:r>
        <w:r>
          <w:rPr>
            <w:noProof/>
          </w:rPr>
          <w:fldChar w:fldCharType="begin"/>
        </w:r>
        <w:r>
          <w:rPr>
            <w:noProof/>
          </w:rPr>
          <w:instrText xml:space="preserve"> PAGEREF _Toc256000077 \h </w:instrText>
        </w:r>
        <w:r>
          <w:rPr>
            <w:noProof/>
          </w:rPr>
          <w:fldChar w:fldCharType="separate"/>
        </w:r>
        <w:r>
          <w:rPr>
            <w:noProof/>
          </w:rPr>
          <w:t>34</w:t>
        </w:r>
        <w:r>
          <w:rPr>
            <w:noProof/>
          </w:rPr>
          <w:fldChar w:fldCharType="end"/>
        </w:r>
      </w:hyperlink>
    </w:p>
    <w:p w:rsidR="00976CDB" w14:paraId="595796FB" w14:textId="0D7B0424">
      <w:pPr>
        <w:pStyle w:val="TOC2"/>
        <w:tabs>
          <w:tab w:val="right" w:leader="dot" w:pos="9350"/>
        </w:tabs>
        <w:rPr>
          <w:rFonts w:asciiTheme="minorHAnsi" w:hAnsiTheme="minorHAnsi"/>
          <w:noProof/>
          <w:sz w:val="22"/>
        </w:rPr>
      </w:pPr>
      <w:hyperlink w:anchor="_Toc256000078" w:history="1">
        <w:r>
          <w:rPr>
            <w:rStyle w:val="Hyperlink"/>
            <w:noProof/>
          </w:rPr>
          <w:t>B. Reporting</w:t>
        </w:r>
        <w:r>
          <w:rPr>
            <w:noProof/>
          </w:rPr>
          <w:tab/>
        </w:r>
        <w:r>
          <w:rPr>
            <w:noProof/>
          </w:rPr>
          <w:fldChar w:fldCharType="begin"/>
        </w:r>
        <w:r>
          <w:rPr>
            <w:noProof/>
          </w:rPr>
          <w:instrText xml:space="preserve"> PAGEREF _Toc256000078 \h </w:instrText>
        </w:r>
        <w:r>
          <w:rPr>
            <w:noProof/>
          </w:rPr>
          <w:fldChar w:fldCharType="separate"/>
        </w:r>
        <w:r>
          <w:rPr>
            <w:noProof/>
          </w:rPr>
          <w:t>36</w:t>
        </w:r>
        <w:r>
          <w:rPr>
            <w:noProof/>
          </w:rPr>
          <w:fldChar w:fldCharType="end"/>
        </w:r>
      </w:hyperlink>
    </w:p>
    <w:p w:rsidR="00976CDB" w14:paraId="1047EE48" w14:textId="171864C1">
      <w:pPr>
        <w:pStyle w:val="TOC1"/>
        <w:tabs>
          <w:tab w:val="right" w:leader="dot" w:pos="9350"/>
        </w:tabs>
        <w:rPr>
          <w:rFonts w:asciiTheme="minorHAnsi" w:hAnsiTheme="minorHAnsi"/>
          <w:noProof/>
          <w:sz w:val="22"/>
        </w:rPr>
      </w:pPr>
      <w:hyperlink w:anchor="_Toc256000079" w:history="1">
        <w:r>
          <w:rPr>
            <w:rStyle w:val="Hyperlink"/>
            <w:noProof/>
          </w:rPr>
          <w:t>IX. RESOURCES</w:t>
        </w:r>
        <w:r>
          <w:rPr>
            <w:noProof/>
          </w:rPr>
          <w:tab/>
        </w:r>
        <w:r>
          <w:rPr>
            <w:noProof/>
          </w:rPr>
          <w:fldChar w:fldCharType="begin"/>
        </w:r>
        <w:r>
          <w:rPr>
            <w:noProof/>
          </w:rPr>
          <w:instrText xml:space="preserve"> PAGEREF _Toc256000079 \h </w:instrText>
        </w:r>
        <w:r>
          <w:rPr>
            <w:noProof/>
          </w:rPr>
          <w:fldChar w:fldCharType="separate"/>
        </w:r>
        <w:r>
          <w:rPr>
            <w:noProof/>
          </w:rPr>
          <w:t>36</w:t>
        </w:r>
        <w:r>
          <w:rPr>
            <w:noProof/>
          </w:rPr>
          <w:fldChar w:fldCharType="end"/>
        </w:r>
      </w:hyperlink>
    </w:p>
    <w:p w:rsidR="00976CDB" w14:paraId="328D047E" w14:textId="1E89B3FC">
      <w:pPr>
        <w:pStyle w:val="TOC1"/>
        <w:tabs>
          <w:tab w:val="right" w:leader="dot" w:pos="9350"/>
        </w:tabs>
        <w:rPr>
          <w:rFonts w:asciiTheme="minorHAnsi" w:hAnsiTheme="minorHAnsi"/>
          <w:noProof/>
          <w:sz w:val="22"/>
        </w:rPr>
      </w:pPr>
      <w:hyperlink w:anchor="_Toc256000080" w:history="1">
        <w:r>
          <w:rPr>
            <w:rStyle w:val="Hyperlink"/>
            <w:noProof/>
          </w:rPr>
          <w:t>X. OMB INFORMATION COLLECTION</w:t>
        </w:r>
        <w:r>
          <w:rPr>
            <w:noProof/>
          </w:rPr>
          <w:tab/>
        </w:r>
        <w:r>
          <w:rPr>
            <w:noProof/>
          </w:rPr>
          <w:fldChar w:fldCharType="begin"/>
        </w:r>
        <w:r>
          <w:rPr>
            <w:noProof/>
          </w:rPr>
          <w:instrText xml:space="preserve"> PAGEREF _Toc256000080 \h </w:instrText>
        </w:r>
        <w:r>
          <w:rPr>
            <w:noProof/>
          </w:rPr>
          <w:fldChar w:fldCharType="separate"/>
        </w:r>
        <w:r>
          <w:rPr>
            <w:noProof/>
          </w:rPr>
          <w:t>37</w:t>
        </w:r>
        <w:r>
          <w:rPr>
            <w:noProof/>
          </w:rPr>
          <w:fldChar w:fldCharType="end"/>
        </w:r>
      </w:hyperlink>
    </w:p>
    <w:p w:rsidR="00976CDB" w14:paraId="66F2226C" w14:textId="6E22C162">
      <w:pPr>
        <w:pStyle w:val="TOC2"/>
        <w:tabs>
          <w:tab w:val="right" w:leader="dot" w:pos="9350"/>
        </w:tabs>
        <w:rPr>
          <w:rFonts w:asciiTheme="minorHAnsi" w:hAnsiTheme="minorHAnsi"/>
          <w:noProof/>
          <w:sz w:val="22"/>
        </w:rPr>
      </w:pPr>
      <w:hyperlink w:anchor="_Toc256000081" w:history="1">
        <w:r>
          <w:rPr>
            <w:rStyle w:val="Hyperlink"/>
            <w:noProof/>
          </w:rPr>
          <w:t>APPENDIX A - Instructions for Finding Labor Force Participation Data Using the United States Census Bureau Data</w:t>
        </w:r>
        <w:r>
          <w:rPr>
            <w:noProof/>
          </w:rPr>
          <w:tab/>
        </w:r>
        <w:r>
          <w:rPr>
            <w:noProof/>
          </w:rPr>
          <w:fldChar w:fldCharType="begin"/>
        </w:r>
        <w:r>
          <w:rPr>
            <w:noProof/>
          </w:rPr>
          <w:instrText xml:space="preserve"> PAGEREF _Toc256000081 \h </w:instrText>
        </w:r>
        <w:r>
          <w:rPr>
            <w:noProof/>
          </w:rPr>
          <w:fldChar w:fldCharType="separate"/>
        </w:r>
        <w:r>
          <w:rPr>
            <w:noProof/>
          </w:rPr>
          <w:t>38</w:t>
        </w:r>
        <w:r>
          <w:rPr>
            <w:noProof/>
          </w:rPr>
          <w:fldChar w:fldCharType="end"/>
        </w:r>
      </w:hyperlink>
    </w:p>
    <w:p w:rsidR="00976CDB" w14:paraId="721F8277" w14:textId="3EF0E1A5">
      <w:pPr>
        <w:pStyle w:val="TOC2"/>
        <w:tabs>
          <w:tab w:val="right" w:leader="dot" w:pos="9350"/>
        </w:tabs>
        <w:rPr>
          <w:rFonts w:asciiTheme="minorHAnsi" w:hAnsiTheme="minorHAnsi"/>
          <w:noProof/>
          <w:sz w:val="22"/>
        </w:rPr>
      </w:pPr>
      <w:hyperlink w:anchor="_Toc256000082" w:history="1">
        <w:r>
          <w:rPr>
            <w:rStyle w:val="Hyperlink"/>
            <w:noProof/>
          </w:rPr>
          <w:t>APPENDIX B - Instructions for Finding Poverty Data Using the United States Census Bureau Data</w:t>
        </w:r>
        <w:r>
          <w:rPr>
            <w:noProof/>
          </w:rPr>
          <w:tab/>
        </w:r>
        <w:r>
          <w:rPr>
            <w:noProof/>
          </w:rPr>
          <w:fldChar w:fldCharType="begin"/>
        </w:r>
        <w:r>
          <w:rPr>
            <w:noProof/>
          </w:rPr>
          <w:instrText xml:space="preserve"> PAGEREF _Toc256000082 \h </w:instrText>
        </w:r>
        <w:r>
          <w:rPr>
            <w:noProof/>
          </w:rPr>
          <w:fldChar w:fldCharType="separate"/>
        </w:r>
        <w:r>
          <w:rPr>
            <w:noProof/>
          </w:rPr>
          <w:t>39</w:t>
        </w:r>
        <w:r>
          <w:rPr>
            <w:noProof/>
          </w:rPr>
          <w:fldChar w:fldCharType="end"/>
        </w:r>
      </w:hyperlink>
    </w:p>
    <w:p w:rsidR="00976CDB" w14:paraId="3DDD0B63" w14:textId="723E19FE">
      <w:pPr>
        <w:pStyle w:val="TOC2"/>
        <w:tabs>
          <w:tab w:val="right" w:leader="dot" w:pos="9350"/>
        </w:tabs>
        <w:rPr>
          <w:rFonts w:asciiTheme="minorHAnsi" w:hAnsiTheme="minorHAnsi"/>
          <w:noProof/>
          <w:sz w:val="22"/>
        </w:rPr>
      </w:pPr>
      <w:hyperlink w:anchor="_Toc256000083" w:history="1">
        <w:r>
          <w:rPr>
            <w:rStyle w:val="Hyperlink"/>
            <w:noProof/>
          </w:rPr>
          <w:t>APPENDIX C - Instructions for Finding Poverty Data Using the United States Census Bureau Data for Indian reservations, Oklahoma Tribal Statistical Areas, Native Alaskan Villages, or Native Hawaiian Homelands</w:t>
        </w:r>
        <w:r>
          <w:rPr>
            <w:noProof/>
          </w:rPr>
          <w:tab/>
        </w:r>
        <w:r>
          <w:rPr>
            <w:noProof/>
          </w:rPr>
          <w:fldChar w:fldCharType="begin"/>
        </w:r>
        <w:r>
          <w:rPr>
            <w:noProof/>
          </w:rPr>
          <w:instrText xml:space="preserve"> PAGEREF _Toc256000083 \h </w:instrText>
        </w:r>
        <w:r>
          <w:rPr>
            <w:noProof/>
          </w:rPr>
          <w:fldChar w:fldCharType="separate"/>
        </w:r>
        <w:r>
          <w:rPr>
            <w:noProof/>
          </w:rPr>
          <w:t>39</w:t>
        </w:r>
        <w:r>
          <w:rPr>
            <w:noProof/>
          </w:rPr>
          <w:fldChar w:fldCharType="end"/>
        </w:r>
      </w:hyperlink>
    </w:p>
    <w:p w:rsidR="00976CDB" w:rsidP="00632103" w14:paraId="640AAE0D" w14:textId="77777777">
      <w:pPr>
        <w:spacing w:before="20" w:after="20"/>
      </w:pPr>
      <w:r>
        <w:rPr>
          <w:b/>
          <w:sz w:val="32"/>
        </w:rPr>
        <w:fldChar w:fldCharType="end"/>
      </w:r>
      <w:r>
        <w:rPr>
          <w:b/>
          <w:sz w:val="32"/>
        </w:rPr>
        <w:br/>
      </w:r>
      <w:bookmarkStart w:id="2" w:name="_bookmark234600"/>
      <w:bookmarkEnd w:id="2"/>
    </w:p>
    <w:p w:rsidR="00976CDB" w:rsidP="00632103" w14:paraId="08C427CE" w14:textId="77777777">
      <w:pPr>
        <w:pStyle w:val="Heading1"/>
        <w:spacing w:before="20" w:after="20"/>
      </w:pPr>
      <w:r>
        <w:t xml:space="preserve"> </w:t>
      </w:r>
      <w:bookmarkStart w:id="3" w:name="_Toc256000042"/>
      <w:r>
        <w:t>I. EXECUTIVE SUMMARY</w:t>
      </w:r>
      <w:bookmarkEnd w:id="3"/>
    </w:p>
    <w:p w:rsidR="00976CDB" w:rsidP="00632103" w14:paraId="6837BFB5" w14:textId="77777777">
      <w:pPr>
        <w:spacing w:after="140"/>
        <w:rPr>
          <w:sz w:val="20"/>
          <w:szCs w:val="20"/>
        </w:rPr>
      </w:pPr>
      <w:bookmarkStart w:id="4" w:name="_bookmark234601"/>
      <w:bookmarkEnd w:id="4"/>
      <w:r>
        <w:rPr>
          <w:szCs w:val="20"/>
        </w:rPr>
        <w:t>The Employment and Training Administration (ETA), U.S. Department of Labor (DOL, or the Department, or we), announces the availability of grant funds for YouthBuild.</w:t>
      </w:r>
    </w:p>
    <w:p w:rsidR="00976CDB" w:rsidP="00632103" w14:paraId="3DC27399" w14:textId="77777777">
      <w:pPr>
        <w:spacing w:after="140"/>
        <w:rPr>
          <w:sz w:val="20"/>
          <w:szCs w:val="20"/>
        </w:rPr>
      </w:pPr>
      <w:bookmarkStart w:id="5" w:name="_bookmark234602"/>
      <w:bookmarkEnd w:id="5"/>
      <w:r>
        <w:rPr>
          <w:szCs w:val="20"/>
        </w:rPr>
        <w:t xml:space="preserve">Under this Funding Opportunity Announcement (FOA), the DOL will award grants through a competitive process to eligible public or private non-profit organizations or Tribal entities to provide pre-apprenticeship occupational skills training, education, and job placement services to disadvantaged and low-income youth. YouthBuild is a pre-apprenticeship program that prepares participants for quality jobs in various industry sectors and aligns with Executive Order 14278, “Preparing Americans for High-Paying Skilled Trade Jobs of the Future,” specifically by preparing participants to enter and succeed in Registered Apprenticeships. YouthBuild also includes wrap-around supportive services such as assistance in transportation, childcare, and housing. YouthBuild programs must offer participants construction training and hands-on experiences building affordable housing for their community. Programs may also include a Construction Plus component, providing vocational training in additional high-demand industries. </w:t>
      </w:r>
    </w:p>
    <w:p w:rsidR="00976CDB" w:rsidP="00632103" w14:paraId="67D97D2F" w14:textId="77777777">
      <w:pPr>
        <w:spacing w:after="140"/>
        <w:rPr>
          <w:sz w:val="20"/>
          <w:szCs w:val="20"/>
        </w:rPr>
      </w:pPr>
      <w:bookmarkStart w:id="6" w:name="_bookmark234603"/>
      <w:bookmarkEnd w:id="6"/>
      <w:r>
        <w:rPr>
          <w:szCs w:val="20"/>
        </w:rPr>
        <w:t>For further information or technical questions about this FOA, please contact Khanh Tran, Grants Management Specialist, Office of Grants Management, at YB_FOA-ETA-26-38@dol.gov and specifically reference FOA-ETA-26-38.  This Announcement is available on the ETA website at https://www.dol.gov/agencies/eta/grants and at https://www.grants.gov.</w:t>
      </w:r>
    </w:p>
    <w:p w:rsidR="00976CDB" w:rsidP="00632103" w14:paraId="1DA474A7" w14:textId="77777777">
      <w:pPr>
        <w:pStyle w:val="Heading1"/>
        <w:spacing w:before="20" w:after="20"/>
      </w:pPr>
      <w:bookmarkStart w:id="7" w:name="_bookmark234604"/>
      <w:bookmarkEnd w:id="7"/>
      <w:r>
        <w:t xml:space="preserve"> </w:t>
      </w:r>
      <w:bookmarkStart w:id="8" w:name="_Toc256000043"/>
      <w:r>
        <w:t>II. ELIGIBILITY</w:t>
      </w:r>
      <w:bookmarkEnd w:id="8"/>
    </w:p>
    <w:p w:rsidR="00976CDB" w:rsidP="00632103" w14:paraId="491BF8D1" w14:textId="77777777">
      <w:pPr>
        <w:pStyle w:val="Heading2"/>
        <w:spacing w:before="20" w:after="20"/>
      </w:pPr>
      <w:bookmarkStart w:id="9" w:name="_bookmark234605"/>
      <w:bookmarkEnd w:id="9"/>
      <w:r>
        <w:t xml:space="preserve"> </w:t>
      </w:r>
      <w:bookmarkStart w:id="10" w:name="_Toc256000044"/>
      <w:r>
        <w:t>A. Eligible Applicants</w:t>
      </w:r>
      <w:bookmarkEnd w:id="10"/>
    </w:p>
    <w:p w:rsidR="00976CDB" w:rsidP="00632103" w14:paraId="51255513" w14:textId="77777777">
      <w:pPr>
        <w:spacing w:after="140"/>
        <w:rPr>
          <w:sz w:val="20"/>
          <w:szCs w:val="20"/>
        </w:rPr>
      </w:pPr>
      <w:bookmarkStart w:id="11" w:name="_bookmark234607"/>
      <w:bookmarkEnd w:id="11"/>
      <w:r>
        <w:rPr>
          <w:b/>
          <w:bCs/>
          <w:szCs w:val="20"/>
          <w:u w:val="single"/>
        </w:rPr>
        <w:t>1. The following organizations are eligible to apply:</w:t>
      </w:r>
    </w:p>
    <w:p w:rsidR="00976CDB" w:rsidP="00632103" w14:paraId="203D8A01" w14:textId="77777777">
      <w:pPr>
        <w:numPr>
          <w:ilvl w:val="0"/>
          <w:numId w:val="4"/>
        </w:numPr>
        <w:spacing w:after="20"/>
      </w:pPr>
      <w:r>
        <w:t>State governments</w:t>
      </w:r>
    </w:p>
    <w:p w:rsidR="00976CDB" w:rsidP="00632103" w14:paraId="73E40281" w14:textId="77777777">
      <w:pPr>
        <w:numPr>
          <w:ilvl w:val="0"/>
          <w:numId w:val="4"/>
        </w:numPr>
        <w:spacing w:before="20" w:after="20"/>
      </w:pPr>
      <w:r>
        <w:t>County governments</w:t>
      </w:r>
    </w:p>
    <w:p w:rsidR="00976CDB" w:rsidP="00632103" w14:paraId="0D410D45" w14:textId="77777777">
      <w:pPr>
        <w:numPr>
          <w:ilvl w:val="0"/>
          <w:numId w:val="4"/>
        </w:numPr>
        <w:spacing w:before="20" w:after="20"/>
      </w:pPr>
      <w:r>
        <w:t>City or township governments</w:t>
      </w:r>
    </w:p>
    <w:p w:rsidR="00976CDB" w:rsidP="00632103" w14:paraId="13A6D408" w14:textId="77777777">
      <w:pPr>
        <w:numPr>
          <w:ilvl w:val="0"/>
          <w:numId w:val="4"/>
        </w:numPr>
        <w:spacing w:before="20" w:after="20"/>
      </w:pPr>
      <w:r>
        <w:t>Special district governments</w:t>
      </w:r>
    </w:p>
    <w:p w:rsidR="00976CDB" w:rsidP="00632103" w14:paraId="0220E0B8" w14:textId="77777777">
      <w:pPr>
        <w:numPr>
          <w:ilvl w:val="0"/>
          <w:numId w:val="4"/>
        </w:numPr>
        <w:spacing w:before="20" w:after="20"/>
      </w:pPr>
      <w:r>
        <w:t>Independent school districts</w:t>
      </w:r>
    </w:p>
    <w:p w:rsidR="00976CDB" w:rsidP="00632103" w14:paraId="4259B3F5" w14:textId="77777777">
      <w:pPr>
        <w:numPr>
          <w:ilvl w:val="0"/>
          <w:numId w:val="4"/>
        </w:numPr>
        <w:spacing w:before="20" w:after="20"/>
      </w:pPr>
      <w:r>
        <w:t>Public and State controlled institutions of higher education</w:t>
      </w:r>
    </w:p>
    <w:p w:rsidR="00976CDB" w:rsidP="00632103" w14:paraId="065991EE" w14:textId="77777777">
      <w:pPr>
        <w:numPr>
          <w:ilvl w:val="0"/>
          <w:numId w:val="4"/>
        </w:numPr>
        <w:spacing w:before="20" w:after="20"/>
      </w:pPr>
      <w:r>
        <w:t>Private non-profit institutions of higher education</w:t>
      </w:r>
    </w:p>
    <w:p w:rsidR="00976CDB" w:rsidP="00632103" w14:paraId="35400C5C" w14:textId="77777777">
      <w:pPr>
        <w:numPr>
          <w:ilvl w:val="0"/>
          <w:numId w:val="4"/>
        </w:numPr>
        <w:spacing w:before="20" w:after="20"/>
      </w:pPr>
      <w:r>
        <w:t>Native American tribal governments (Federally recognized)</w:t>
      </w:r>
    </w:p>
    <w:p w:rsidR="00976CDB" w:rsidP="00632103" w14:paraId="75270866" w14:textId="77777777">
      <w:pPr>
        <w:numPr>
          <w:ilvl w:val="0"/>
          <w:numId w:val="4"/>
        </w:numPr>
        <w:spacing w:before="20" w:after="20"/>
      </w:pPr>
      <w:r>
        <w:t>Public housing authorities/Indian housing authorities</w:t>
      </w:r>
    </w:p>
    <w:p w:rsidR="00976CDB" w:rsidP="00632103" w14:paraId="757A2F3B" w14:textId="77777777">
      <w:pPr>
        <w:numPr>
          <w:ilvl w:val="0"/>
          <w:numId w:val="4"/>
        </w:numPr>
        <w:spacing w:before="20" w:after="20"/>
      </w:pPr>
      <w:r>
        <w:t>Native American tribal organizations (other than Federally recognized tribal governments)</w:t>
      </w:r>
    </w:p>
    <w:p w:rsidR="00976CDB" w:rsidP="00632103" w14:paraId="6B72E623" w14:textId="77777777">
      <w:pPr>
        <w:numPr>
          <w:ilvl w:val="0"/>
          <w:numId w:val="4"/>
        </w:numPr>
        <w:spacing w:before="20" w:after="20"/>
      </w:pPr>
      <w:r>
        <w:t>Nonprofits having a 501(c)(3) status with the IRS, (including charter schools) other than institutions of higher education</w:t>
      </w:r>
    </w:p>
    <w:p w:rsidR="00976CDB" w:rsidP="00632103" w14:paraId="31F3C8B9" w14:textId="77777777">
      <w:pPr>
        <w:numPr>
          <w:ilvl w:val="0"/>
          <w:numId w:val="4"/>
        </w:numPr>
        <w:spacing w:before="20" w:after="150"/>
      </w:pPr>
      <w:r>
        <w:t>Nonprofits without 501(c)(3) status with the IRS, other than institutions of higher education</w:t>
      </w:r>
    </w:p>
    <w:p w:rsidR="00976CDB" w:rsidP="00632103" w14:paraId="70682C5C" w14:textId="77777777">
      <w:pPr>
        <w:spacing w:after="140"/>
        <w:rPr>
          <w:sz w:val="20"/>
          <w:szCs w:val="20"/>
        </w:rPr>
      </w:pPr>
      <w:bookmarkStart w:id="12" w:name="_bookmark234612"/>
      <w:bookmarkEnd w:id="12"/>
      <w:r>
        <w:rPr>
          <w:szCs w:val="20"/>
        </w:rPr>
        <w:t>Subject to the number of quality applications, DOL intends to award at least 50 percent of the total available grant competition funding to eligible applicants previously funded by the DOL YouthBuild program that have demonstrated success in the program, referred to as Category A. DOL will award the remainder of funds to other qualifying organizations, referred to as Category B. Category A applicants can request funding between $1,000,000 and $2,000,000; Category B applicants can request funding between $1,000,000 and $1,500,000.</w:t>
      </w:r>
    </w:p>
    <w:p w:rsidR="00976CDB" w:rsidP="00632103" w14:paraId="677AA661" w14:textId="77777777">
      <w:pPr>
        <w:spacing w:after="140"/>
        <w:rPr>
          <w:sz w:val="20"/>
          <w:szCs w:val="20"/>
        </w:rPr>
      </w:pPr>
      <w:r>
        <w:rPr>
          <w:szCs w:val="20"/>
        </w:rPr>
        <w:t>Entities that received funding from the FY 2024 YouthBuild competition [FOA-ETA-24-54] are ineligible to apply to this FOA. DOL assesses the eligibility of funding recipients based on an entity’s unique Employer Identification Number (EIN). Additionally, DOL will award only one grant to an organization, which must have a unique EIN, and must not administer its program services at the same location as any other YouthBuild grantee. For governmental or public sector entities that share an EIN but have multiple locations, DOL will consider these entities as different entities provided they have separate Unique Entity Identifiers (UEI) and an active SAM.gov registration. Please see Section IV.A for more information about UEI and SAM registration.</w:t>
      </w:r>
    </w:p>
    <w:p w:rsidR="00976CDB" w:rsidP="00632103" w14:paraId="674DB2E0" w14:textId="77777777">
      <w:pPr>
        <w:spacing w:after="140"/>
        <w:rPr>
          <w:sz w:val="20"/>
          <w:szCs w:val="20"/>
        </w:rPr>
      </w:pPr>
      <w:r>
        <w:rPr>
          <w:szCs w:val="20"/>
        </w:rPr>
        <w:t>Among eligible applicants listed above, the applicant agency or organization must also maintain a physical local presence in any identified target communities the applicant proposes to serve.</w:t>
      </w:r>
    </w:p>
    <w:p w:rsidR="00976CDB" w:rsidP="00632103" w14:paraId="2AD41AD6" w14:textId="77777777">
      <w:pPr>
        <w:spacing w:after="140"/>
        <w:rPr>
          <w:sz w:val="20"/>
          <w:szCs w:val="20"/>
        </w:rPr>
      </w:pPr>
      <w:bookmarkStart w:id="13" w:name="_bookmark234610"/>
      <w:bookmarkEnd w:id="13"/>
      <w:r>
        <w:rPr>
          <w:szCs w:val="20"/>
        </w:rPr>
        <w:t>Faith-based organizations are encouraged to apply, as are all organizations. Those that meet the eligibility requirements may receive awards under this funding opportunity. DOL will not, in the selection of recipients and administration of the grant, discriminate on the basis of an organization’s religious character, affiliation, exercise, or lack thereof, or on the basis of conduct that would not be considered grounds to favor or disfavor a similarly situated secular organization.</w:t>
      </w:r>
    </w:p>
    <w:p w:rsidR="00976CDB" w:rsidP="00632103" w14:paraId="261646F4" w14:textId="77777777">
      <w:pPr>
        <w:spacing w:after="140"/>
        <w:rPr>
          <w:sz w:val="20"/>
          <w:szCs w:val="20"/>
        </w:rPr>
      </w:pPr>
      <w:bookmarkStart w:id="14" w:name="_bookmark234615"/>
      <w:bookmarkEnd w:id="14"/>
      <w:r>
        <w:rPr>
          <w:b/>
          <w:bCs/>
          <w:szCs w:val="20"/>
          <w:u w:val="single"/>
        </w:rPr>
        <w:t>2. Number of Applications Applicants May Submit</w:t>
      </w:r>
    </w:p>
    <w:p w:rsidR="00976CDB" w:rsidP="00632103" w14:paraId="3FACD5DC" w14:textId="77777777">
      <w:pPr>
        <w:spacing w:after="140"/>
        <w:rPr>
          <w:sz w:val="20"/>
          <w:szCs w:val="20"/>
        </w:rPr>
      </w:pPr>
      <w:r>
        <w:rPr>
          <w:szCs w:val="20"/>
        </w:rPr>
        <w:t>We will consider only one application from each organization.  If an organization submits multiple applications, only the most recently received application that meets the deadline will be considered.  If the most recent application is disqualified for any reason, we will not replace it with an earlier application.</w:t>
      </w:r>
    </w:p>
    <w:p w:rsidR="00976CDB" w:rsidP="00632103" w14:paraId="64951CE1" w14:textId="77777777">
      <w:pPr>
        <w:pStyle w:val="Heading2"/>
        <w:spacing w:before="20" w:after="20"/>
      </w:pPr>
      <w:bookmarkStart w:id="15" w:name="_bookmark234616"/>
      <w:bookmarkStart w:id="16" w:name="_bookmark234617"/>
      <w:bookmarkEnd w:id="15"/>
      <w:bookmarkEnd w:id="16"/>
      <w:r>
        <w:t xml:space="preserve"> </w:t>
      </w:r>
      <w:bookmarkStart w:id="17" w:name="_Toc256000045"/>
      <w:r>
        <w:t>B. Cost Sharing</w:t>
      </w:r>
      <w:bookmarkEnd w:id="17"/>
    </w:p>
    <w:p w:rsidR="00976CDB" w:rsidP="00632103" w14:paraId="4781DA46" w14:textId="77777777">
      <w:pPr>
        <w:spacing w:before="20" w:after="20"/>
      </w:pPr>
      <w:bookmarkStart w:id="18" w:name="_bookmark234618"/>
      <w:bookmarkEnd w:id="18"/>
      <w:r>
        <w:rPr>
          <w:color w:val="auto"/>
          <w:szCs w:val="24"/>
        </w:rPr>
        <w:t xml:space="preserve"> </w:t>
      </w:r>
    </w:p>
    <w:p w:rsidR="00976CDB" w:rsidP="00632103" w14:paraId="37F98D27" w14:textId="77777777">
      <w:pPr>
        <w:spacing w:after="140"/>
        <w:rPr>
          <w:sz w:val="20"/>
          <w:szCs w:val="20"/>
        </w:rPr>
      </w:pPr>
      <w:r>
        <w:rPr>
          <w:szCs w:val="20"/>
        </w:rPr>
        <w:t xml:space="preserve">This program requires cost sharing (including matching) funds. These cost sharing funds may be in the form of cash or in-kind contributions and equal to </w:t>
      </w:r>
      <w:r>
        <w:rPr>
          <w:b/>
          <w:bCs/>
          <w:szCs w:val="20"/>
        </w:rPr>
        <w:t>25 percent</w:t>
      </w:r>
      <w:r>
        <w:rPr>
          <w:szCs w:val="20"/>
        </w:rPr>
        <w:t xml:space="preserve"> of the total federal share of costs. Any resources contributed to the project in addition to cost sharing funds will be considered leveraged resources. Section </w:t>
      </w:r>
      <w:hyperlink w:anchor="_bookmark234819" w:history="1">
        <w:r>
          <w:rPr>
            <w:rStyle w:val="ahref"/>
            <w:szCs w:val="20"/>
            <w:u w:val="single" w:color="0000FF"/>
          </w:rPr>
          <w:t>IV.B</w:t>
        </w:r>
      </w:hyperlink>
      <w:r>
        <w:rPr>
          <w:szCs w:val="20"/>
        </w:rPr>
        <w:t xml:space="preserve"> provides more information on leveraged resources.</w:t>
      </w:r>
    </w:p>
    <w:p w:rsidR="00976CDB" w:rsidP="00632103" w14:paraId="7BA8D6D9" w14:textId="77777777">
      <w:pPr>
        <w:spacing w:after="140"/>
        <w:rPr>
          <w:sz w:val="20"/>
          <w:szCs w:val="20"/>
        </w:rPr>
      </w:pPr>
      <w:r>
        <w:rPr>
          <w:szCs w:val="20"/>
        </w:rPr>
        <w:t>In accordance with 2 CFR 200.306, match amounts must be verifiable from the recipient's or sub-recipient's records, not included as contributions for any other federal award, necessary and reasonable for achieving the objectives of the federal award, and not provided by the Federal Government under another federal award.</w:t>
      </w:r>
    </w:p>
    <w:p w:rsidR="00976CDB" w:rsidP="00632103" w14:paraId="17474031" w14:textId="77777777">
      <w:pPr>
        <w:spacing w:after="140"/>
        <w:rPr>
          <w:sz w:val="20"/>
          <w:szCs w:val="20"/>
        </w:rPr>
      </w:pPr>
      <w:r>
        <w:rPr>
          <w:szCs w:val="20"/>
        </w:rPr>
        <w:t xml:space="preserve">Applicants should pay special attention to the requirements regarding match sources listed in </w:t>
      </w:r>
      <w:hyperlink r:id="rId15" w:history="1">
        <w:r>
          <w:rPr>
            <w:rStyle w:val="ahref"/>
            <w:szCs w:val="20"/>
            <w:u w:val="single" w:color="0000FF"/>
          </w:rPr>
          <w:t>TEGL 05-10, Change 1</w:t>
        </w:r>
      </w:hyperlink>
      <w:r>
        <w:rPr>
          <w:szCs w:val="20"/>
        </w:rPr>
        <w:t>, “Updated Guidance on Match and Allowable Construction and Other Capital Asset Costs for the YouthBuild Program,” as well as the YouthBuild Selected Cost Items attachment.</w:t>
      </w:r>
    </w:p>
    <w:p w:rsidR="00976CDB" w:rsidP="00632103" w14:paraId="237646EF" w14:textId="77777777">
      <w:pPr>
        <w:spacing w:after="140"/>
        <w:rPr>
          <w:sz w:val="20"/>
          <w:szCs w:val="20"/>
        </w:rPr>
      </w:pPr>
      <w:r>
        <w:rPr>
          <w:szCs w:val="20"/>
        </w:rPr>
        <w:t>Some examples of allowable match include commitments from non-federal public sources (e.g., states, municipalities, public school boards), charter schools, local trade or technical schools, and through the commitment of internal resources.</w:t>
      </w:r>
    </w:p>
    <w:p w:rsidR="00976CDB" w:rsidP="00632103" w14:paraId="0B8BFBF8" w14:textId="77777777">
      <w:pPr>
        <w:spacing w:after="140"/>
        <w:rPr>
          <w:sz w:val="20"/>
          <w:szCs w:val="20"/>
        </w:rPr>
      </w:pPr>
      <w:r>
        <w:rPr>
          <w:b/>
          <w:bCs/>
          <w:szCs w:val="20"/>
        </w:rPr>
        <w:t>Matching Waiver for U.S. Insular Areas, Pursuant to 48 U.S.C. §1469a(d):</w:t>
      </w:r>
      <w:r>
        <w:rPr>
          <w:szCs w:val="20"/>
        </w:rPr>
        <w:t xml:space="preserve"> For the purposes of this FOA, DOL does not require any match for grants made to the governments of American Samoa, Guam, the U.S. Virgin Islands, and the Commonwealth of the Northern Mariana Islands. Accordingly, DOL does not require these areas to include a match commitment in their applications, and DOL will not screen out these applications on that basis. However, even though DOL does not require matching funds from these areas, it encourages these areas to leverage resources, including dollars from federal sources.</w:t>
      </w:r>
      <w:r>
        <w:rPr>
          <w:szCs w:val="20"/>
        </w:rPr>
        <w:br/>
      </w:r>
      <w:r>
        <w:rPr>
          <w:szCs w:val="20"/>
        </w:rPr>
        <w:br/>
      </w:r>
      <w:r>
        <w:rPr>
          <w:b/>
          <w:bCs/>
          <w:szCs w:val="20"/>
        </w:rPr>
        <w:t>Matching Waiver for Tribal Entities</w:t>
      </w:r>
      <w:r>
        <w:rPr>
          <w:szCs w:val="20"/>
        </w:rPr>
        <w:t>: In addition to the above waiver, DOL does not require any match for YouthBuild grants made to: Indian and Native American entities eligible for grants under Sec. 166 of WIOA, including federally and other than federally recognized Tribes, Native American non-profit organizations, and Native Hawaiian and Alaska Native organizations. Accordingly, DOL does not require these entities to include a match commitment in their applications, and DOL will not screen out these applications on that basis. However, even though DOL does not require matching funds from these areas, these entities are required to commit additional resources to the grant project. These additional resources may be leveraged resources, including dollars from federal sources, or other types of contributions.</w:t>
      </w:r>
    </w:p>
    <w:p w:rsidR="00976CDB" w:rsidP="00632103" w14:paraId="144E14F7" w14:textId="77777777">
      <w:pPr>
        <w:spacing w:after="140"/>
        <w:rPr>
          <w:sz w:val="20"/>
          <w:szCs w:val="20"/>
        </w:rPr>
      </w:pPr>
      <w:bookmarkStart w:id="19" w:name="_bookmark234619"/>
      <w:bookmarkEnd w:id="19"/>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II.B Cost Sharing.</w:t>
      </w:r>
    </w:p>
    <w:p w:rsidR="00976CDB" w:rsidP="00632103" w14:paraId="1287003B" w14:textId="77777777">
      <w:pPr>
        <w:pStyle w:val="Heading2"/>
        <w:spacing w:before="20" w:after="20"/>
      </w:pPr>
      <w:bookmarkStart w:id="20" w:name="_bookmark234620"/>
      <w:bookmarkEnd w:id="20"/>
      <w:r>
        <w:t xml:space="preserve"> </w:t>
      </w:r>
      <w:bookmarkStart w:id="21" w:name="_Toc256000046"/>
      <w:r>
        <w:t>C. Period of Performance</w:t>
      </w:r>
      <w:bookmarkEnd w:id="21"/>
    </w:p>
    <w:p w:rsidR="00976CDB" w:rsidP="00632103" w14:paraId="60208942" w14:textId="77777777">
      <w:pPr>
        <w:spacing w:after="140"/>
        <w:rPr>
          <w:sz w:val="20"/>
          <w:szCs w:val="20"/>
        </w:rPr>
      </w:pPr>
      <w:bookmarkStart w:id="22" w:name="_bookmark234621"/>
      <w:bookmarkEnd w:id="22"/>
      <w:r>
        <w:rPr>
          <w:szCs w:val="20"/>
        </w:rPr>
        <w:t>The performance period on the front page of this FOA includes all necessary implementation and start-up activities.</w:t>
      </w:r>
    </w:p>
    <w:p w:rsidR="00976CDB" w:rsidP="00632103" w14:paraId="5B3EA129" w14:textId="77777777">
      <w:pPr>
        <w:spacing w:before="20" w:after="20"/>
      </w:pPr>
      <w:bookmarkStart w:id="23" w:name="_bookmark234622"/>
      <w:bookmarkEnd w:id="23"/>
    </w:p>
    <w:p w:rsidR="00976CDB" w:rsidP="00632103" w14:paraId="492E6EFD" w14:textId="77777777">
      <w:pPr>
        <w:spacing w:before="20" w:after="20"/>
      </w:pPr>
      <w:r>
        <w:t>The 40-month period of performance includes three phases:</w:t>
      </w:r>
    </w:p>
    <w:tbl>
      <w:tblPr>
        <w:tblStyle w:val="tableTable0"/>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1195"/>
        <w:gridCol w:w="1915"/>
        <w:gridCol w:w="6234"/>
      </w:tblGrid>
      <w:tr w14:paraId="62EEEA6C" w14:textId="77777777">
        <w:tblPrEx>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1564A8E5" w14:textId="77777777">
            <w:pPr>
              <w:spacing w:before="20" w:after="20"/>
            </w:pPr>
            <w:r>
              <w:t>Months</w:t>
            </w:r>
          </w:p>
          <w:p w:rsidR="00976CDB" w:rsidP="00632103" w14:paraId="51B00985" w14:textId="77777777">
            <w:pPr>
              <w:spacing w:before="20" w:after="20"/>
            </w:pPr>
            <w:r>
              <w:t>(Duration)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696A1339" w14:textId="77777777">
            <w:pPr>
              <w:spacing w:before="20" w:after="20"/>
            </w:pPr>
            <w:r>
              <w:t>Phase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5705EBB" w14:textId="77777777">
            <w:pPr>
              <w:spacing w:before="20" w:after="20"/>
            </w:pPr>
            <w:r>
              <w:t>Activities</w:t>
            </w:r>
          </w:p>
        </w:tc>
      </w:tr>
      <w:tr w14:paraId="13947CA4"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02A41DCF" w14:textId="77777777">
            <w:pPr>
              <w:spacing w:before="20" w:after="20"/>
            </w:pPr>
            <w:r>
              <w:t>1 through 4*</w:t>
            </w:r>
          </w:p>
          <w:p w:rsidR="00976CDB" w:rsidP="00632103" w14:paraId="6D18493E" w14:textId="77777777">
            <w:pPr>
              <w:spacing w:before="20" w:after="20"/>
            </w:pPr>
            <w:r>
              <w:t>(up to 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57BEAE75" w14:textId="77777777">
            <w:pPr>
              <w:spacing w:before="20" w:after="20"/>
            </w:pPr>
            <w:r>
              <w:t>Planning</w:t>
            </w:r>
          </w:p>
          <w:p w:rsidR="00976CDB" w:rsidP="00632103" w14:paraId="4937B4AA" w14:textId="77777777">
            <w:pPr>
              <w:spacing w:before="20" w:after="20"/>
            </w:pPr>
            <w:r>
              <w:t>(optional, no participants enrolled)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91AC8C1" w14:textId="77777777">
            <w:pPr>
              <w:spacing w:before="20" w:after="20"/>
            </w:pPr>
            <w:r>
              <w:t>Hiring staff, finalizing partnerships, revising budget, initiating participant recruitment plans, reconfirming work site financing and access, and reconfirming match funding</w:t>
            </w:r>
          </w:p>
        </w:tc>
      </w:tr>
      <w:tr w14:paraId="42B56641"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27E620A" w14:textId="77777777">
            <w:pPr>
              <w:spacing w:before="20" w:after="20"/>
            </w:pPr>
            <w:r>
              <w:t>5* through 28</w:t>
            </w:r>
          </w:p>
          <w:p w:rsidR="00976CDB" w:rsidP="00632103" w14:paraId="0583F7E6" w14:textId="77777777">
            <w:pPr>
              <w:spacing w:before="20" w:after="20"/>
            </w:pPr>
            <w:r>
              <w:t>(at least 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2C9D300" w14:textId="77777777">
            <w:pPr>
              <w:spacing w:before="20" w:after="20"/>
            </w:pPr>
            <w:r>
              <w:t>Active Program</w:t>
            </w:r>
          </w:p>
          <w:p w:rsidR="00976CDB" w:rsidP="00632103" w14:paraId="03B0736E" w14:textId="77777777">
            <w:pPr>
              <w:spacing w:before="20" w:after="20"/>
            </w:pPr>
            <w:r>
              <w:t>(required, participants enrolled)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34900EE" w14:textId="77777777">
            <w:pPr>
              <w:spacing w:before="20" w:after="20"/>
            </w:pPr>
            <w:r>
              <w:t>Education, occupational skills training, and youth leadership development activities</w:t>
            </w:r>
          </w:p>
        </w:tc>
      </w:tr>
      <w:tr w14:paraId="77914591"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420A381" w14:textId="77777777">
            <w:pPr>
              <w:spacing w:before="20" w:after="20"/>
            </w:pPr>
            <w:r>
              <w:t>29 through 40</w:t>
            </w:r>
          </w:p>
          <w:p w:rsidR="00976CDB" w:rsidP="00632103" w14:paraId="332D682D" w14:textId="77777777">
            <w:pPr>
              <w:spacing w:before="20" w:after="20"/>
            </w:pPr>
            <w: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00257CB" w14:textId="77777777">
            <w:pPr>
              <w:spacing w:before="20" w:after="20"/>
            </w:pPr>
            <w:r>
              <w:t>Follow-up</w:t>
            </w:r>
          </w:p>
          <w:p w:rsidR="00976CDB" w:rsidP="00632103" w14:paraId="24EEF199" w14:textId="77777777">
            <w:pPr>
              <w:spacing w:before="20" w:after="20"/>
            </w:pPr>
            <w:r>
              <w:t>(required, no participants enrolled)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DB72EF4" w14:textId="77777777">
            <w:pPr>
              <w:spacing w:before="20" w:after="20"/>
            </w:pPr>
            <w:r>
              <w:t>Supportive services and tracking of participant outcomes for each cohort of youth</w:t>
            </w:r>
          </w:p>
        </w:tc>
      </w:tr>
    </w:tbl>
    <w:p w:rsidR="00976CDB" w:rsidP="00632103" w14:paraId="1B26C07E" w14:textId="77777777">
      <w:pPr>
        <w:spacing w:before="20" w:after="20"/>
      </w:pPr>
      <w:r>
        <w:t>* Grantees may opt to reduce the optional planning phase and extend active program time, though follow-up must be 12 months and the grant period of performance must not exceed 40 months.</w:t>
      </w:r>
    </w:p>
    <w:p w:rsidR="00976CDB" w:rsidP="00632103" w14:paraId="38B35C25" w14:textId="77777777">
      <w:pPr>
        <w:spacing w:before="20" w:after="20"/>
      </w:pPr>
      <w:r>
        <w:t xml:space="preserve">Examples of a 40-month program planner can be found here: </w:t>
      </w:r>
      <w:hyperlink r:id="rId17" w:history="1">
        <w:r>
          <w:rPr>
            <w:rStyle w:val="ahref"/>
            <w:u w:val="single" w:color="0000FF"/>
          </w:rPr>
          <w:t>https://youthbuild.workforcegps.org/resources/2019/08/07/12/21/Program_Planner_Map</w:t>
        </w:r>
      </w:hyperlink>
      <w:r>
        <w:t xml:space="preserve"> .</w:t>
      </w:r>
    </w:p>
    <w:p w:rsidR="00976CDB" w:rsidP="00632103" w14:paraId="53E2BE06" w14:textId="77777777">
      <w:pPr>
        <w:spacing w:before="20" w:after="20"/>
      </w:pPr>
      <w:r>
        <w:t>1. Planning</w:t>
      </w:r>
    </w:p>
    <w:p w:rsidR="00976CDB" w:rsidP="00632103" w14:paraId="3CA0CA11" w14:textId="77777777">
      <w:pPr>
        <w:spacing w:before="20" w:after="20"/>
      </w:pPr>
      <w:r>
        <w:t>While this phase is optional, as grantees may instead choose to extend their active program, grantees must ensure the achievement of the following before enrolling participants:</w:t>
      </w:r>
    </w:p>
    <w:p w:rsidR="00976CDB" w:rsidP="00632103" w14:paraId="7F74B880" w14:textId="77777777">
      <w:pPr>
        <w:numPr>
          <w:ilvl w:val="0"/>
          <w:numId w:val="5"/>
        </w:numPr>
        <w:spacing w:before="20" w:after="20"/>
      </w:pPr>
      <w:r>
        <w:t>Hiring or committing of core program staff (including the three required core positions of Project Manager/Director, Case Manager, and Job Developer/Placement Specialist and Construction Trainer(s), Classroom Teacher(s), etc.), if not already hired;</w:t>
      </w:r>
    </w:p>
    <w:p w:rsidR="00976CDB" w:rsidP="00632103" w14:paraId="3BD70DE5" w14:textId="77777777">
      <w:pPr>
        <w:numPr>
          <w:ilvl w:val="0"/>
          <w:numId w:val="5"/>
        </w:numPr>
        <w:spacing w:before="20" w:after="20"/>
      </w:pPr>
      <w:r>
        <w:t>Contacting the local Workforce Development Board or American Job Center (AJC) to finalize Memoranda of Understanding (MOU) requirements, establish an infrastructure funding agreement, and make plans for collaborating with other required partners, including employers;</w:t>
      </w:r>
    </w:p>
    <w:p w:rsidR="00976CDB" w:rsidP="00632103" w14:paraId="443CECB9" w14:textId="77777777">
      <w:pPr>
        <w:numPr>
          <w:ilvl w:val="0"/>
          <w:numId w:val="5"/>
        </w:numPr>
        <w:spacing w:before="20" w:after="20"/>
      </w:pPr>
      <w:r>
        <w:t>Revising the program budget to reflect updates as necessary, e.g., contributions to AJC infrastructure costs;</w:t>
      </w:r>
    </w:p>
    <w:p w:rsidR="00976CDB" w:rsidP="00632103" w14:paraId="70524993" w14:textId="77777777">
      <w:pPr>
        <w:numPr>
          <w:ilvl w:val="0"/>
          <w:numId w:val="5"/>
        </w:numPr>
        <w:spacing w:before="20" w:after="20"/>
      </w:pPr>
      <w:r>
        <w:t>Solidifying relationships with all necessary partners for the successful delivery of services;</w:t>
      </w:r>
    </w:p>
    <w:p w:rsidR="00976CDB" w:rsidP="00632103" w14:paraId="1FDD7A79" w14:textId="77777777">
      <w:pPr>
        <w:numPr>
          <w:ilvl w:val="0"/>
          <w:numId w:val="5"/>
        </w:numPr>
        <w:spacing w:before="20" w:after="20"/>
      </w:pPr>
      <w:r>
        <w:t>Initiating recruitment and outreach efforts for enrollment of participants;</w:t>
      </w:r>
    </w:p>
    <w:p w:rsidR="00976CDB" w:rsidP="00632103" w14:paraId="0EB0475B" w14:textId="77777777">
      <w:pPr>
        <w:numPr>
          <w:ilvl w:val="0"/>
          <w:numId w:val="5"/>
        </w:numPr>
        <w:spacing w:before="20" w:after="20"/>
      </w:pPr>
      <w:r>
        <w:t>Reconfirming work site financing and access (; and</w:t>
      </w:r>
    </w:p>
    <w:p w:rsidR="00976CDB" w:rsidP="00632103" w14:paraId="1BAE27E8" w14:textId="77777777">
      <w:pPr>
        <w:numPr>
          <w:ilvl w:val="0"/>
          <w:numId w:val="5"/>
        </w:numPr>
        <w:spacing w:before="20" w:after="20"/>
      </w:pPr>
      <w:r>
        <w:t>Reconfirming match sources and amounts.</w:t>
      </w:r>
    </w:p>
    <w:p w:rsidR="00976CDB" w:rsidP="00632103" w14:paraId="033DAB74" w14:textId="77777777">
      <w:pPr>
        <w:spacing w:before="20" w:after="20"/>
      </w:pPr>
      <w:r>
        <w:t>Grantees should document any challenges (e.g., lack of response from a required partner) and share them with their Federal Project Officer (FPO) as early as possible.</w:t>
      </w:r>
    </w:p>
    <w:p w:rsidR="00976CDB" w:rsidP="00632103" w14:paraId="6FE72F25" w14:textId="77777777">
      <w:pPr>
        <w:spacing w:before="20" w:after="20"/>
      </w:pPr>
      <w:r>
        <w:t>2. Active Program</w:t>
      </w:r>
    </w:p>
    <w:p w:rsidR="00976CDB" w:rsidP="00632103" w14:paraId="13088C84" w14:textId="77777777">
      <w:pPr>
        <w:spacing w:before="20" w:after="20"/>
      </w:pPr>
      <w:r>
        <w:t>During this phase, grantees enroll and provide services for one or more cohorts of participants. As specified in 20 CFR 688.340, an eligible individual selected for participation in the program must be offered full-time participation in the program for not less than 6 months and not more than 24 months.</w:t>
      </w:r>
    </w:p>
    <w:p w:rsidR="00976CDB" w:rsidP="00632103" w14:paraId="4A0367EA" w14:textId="77777777">
      <w:pPr>
        <w:spacing w:before="20" w:after="20"/>
      </w:pPr>
      <w:r>
        <w:t>Grantees must structure their program to provide YouthBuild program participants education services and activities for at least 50 percent of the active program time. They must provide work and skill development activities in occupational skills training for at least 40 percent of the active program time, which includes both time spent on the construction work sites or other hands-on work experience, as well as classroom training related to the occupational field. The 50-40 percent time allocation applies to the grant program as a whole and not to how one participant spends time in a component. Grantees can use the remaining 10 percent to further strengthen the vocational training component or the education services, or they can use this time for a distinct youth leadership development or community service-learning component.</w:t>
      </w:r>
    </w:p>
    <w:p w:rsidR="00976CDB" w:rsidP="00632103" w14:paraId="7FB64C2D" w14:textId="77777777">
      <w:pPr>
        <w:spacing w:before="20" w:after="20"/>
      </w:pPr>
      <w:r>
        <w:t>3. Follow-Up</w:t>
      </w:r>
    </w:p>
    <w:p w:rsidR="00976CDB" w:rsidP="00632103" w14:paraId="0F956831" w14:textId="77777777">
      <w:pPr>
        <w:spacing w:before="20" w:after="20"/>
      </w:pPr>
      <w:r>
        <w:t>As each cohort of participants exits the program, grantee staff must track and report on individual participant outcomes and must make follow-up services available to all participants for 12 months. All participants must exit before the final 12 months of the overall period of performance, which is reserved for follow-up. Grantees may structure their program such that cohorts of participants exit before the final 12 months; in that case, some cohorts’ follow-up phases may finish before the end of the overall period of performance.</w:t>
      </w:r>
    </w:p>
    <w:p w:rsidR="00976CDB" w:rsidP="00632103" w14:paraId="71CACD6E" w14:textId="77777777">
      <w:pPr>
        <w:spacing w:before="20" w:after="20"/>
      </w:pPr>
      <w:r>
        <w:t>Participants may decline to receive follow-up services, but grantees must attempt contact with each exited participant more than once for securing documentation to report a performance outcome. Under YouthBuild, as defined in 20 CFR 688.120 and 688.560, allowable follow-up services may include:</w:t>
      </w:r>
    </w:p>
    <w:p w:rsidR="00976CDB" w:rsidP="00632103" w14:paraId="0C37E68E" w14:textId="77777777">
      <w:pPr>
        <w:numPr>
          <w:ilvl w:val="0"/>
          <w:numId w:val="6"/>
        </w:numPr>
        <w:spacing w:before="20" w:after="20"/>
      </w:pPr>
      <w:r>
        <w:t>Leadership development and supportive service activities;</w:t>
      </w:r>
    </w:p>
    <w:p w:rsidR="00976CDB" w:rsidP="00632103" w14:paraId="57949726" w14:textId="77777777">
      <w:pPr>
        <w:numPr>
          <w:ilvl w:val="0"/>
          <w:numId w:val="6"/>
        </w:numPr>
        <w:spacing w:before="20" w:after="20"/>
      </w:pPr>
      <w:r>
        <w:t>Regular contact with a participant's employer;</w:t>
      </w:r>
    </w:p>
    <w:p w:rsidR="00976CDB" w:rsidP="00632103" w14:paraId="7A77642B" w14:textId="77777777">
      <w:pPr>
        <w:numPr>
          <w:ilvl w:val="0"/>
          <w:numId w:val="6"/>
        </w:numPr>
        <w:spacing w:before="20" w:after="20"/>
      </w:pPr>
      <w:r>
        <w:t>Assistance in securing better paying jobs, career development, and further education;</w:t>
      </w:r>
    </w:p>
    <w:p w:rsidR="00976CDB" w:rsidP="00632103" w14:paraId="514ABDE1" w14:textId="77777777">
      <w:pPr>
        <w:numPr>
          <w:ilvl w:val="0"/>
          <w:numId w:val="6"/>
        </w:numPr>
        <w:spacing w:before="20" w:after="20"/>
      </w:pPr>
      <w:r>
        <w:t>Work-related peer support groups;</w:t>
      </w:r>
    </w:p>
    <w:p w:rsidR="00976CDB" w:rsidP="00632103" w14:paraId="3B634F1C" w14:textId="77777777">
      <w:pPr>
        <w:numPr>
          <w:ilvl w:val="0"/>
          <w:numId w:val="6"/>
        </w:numPr>
        <w:spacing w:before="20" w:after="20"/>
      </w:pPr>
      <w:r>
        <w:t>Adult mentoring;</w:t>
      </w:r>
    </w:p>
    <w:p w:rsidR="00976CDB" w:rsidP="00632103" w14:paraId="6BDEAE00" w14:textId="77777777">
      <w:pPr>
        <w:numPr>
          <w:ilvl w:val="0"/>
          <w:numId w:val="6"/>
        </w:numPr>
        <w:spacing w:before="20" w:after="20"/>
      </w:pPr>
      <w:r>
        <w:t>Services necessary to ensure the success of youth participants in employment and/or postsecondary education;</w:t>
      </w:r>
    </w:p>
    <w:p w:rsidR="00976CDB" w:rsidP="00632103" w14:paraId="58C6251E" w14:textId="77777777">
      <w:pPr>
        <w:numPr>
          <w:ilvl w:val="0"/>
          <w:numId w:val="6"/>
        </w:numPr>
        <w:spacing w:before="20" w:after="20"/>
      </w:pPr>
      <w:r>
        <w:t>Tuition assistance for obtaining college education credits or enrolling in a technical education; and</w:t>
      </w:r>
    </w:p>
    <w:p w:rsidR="00976CDB" w:rsidP="00632103" w14:paraId="448AD820" w14:textId="77777777">
      <w:pPr>
        <w:numPr>
          <w:ilvl w:val="0"/>
          <w:numId w:val="6"/>
        </w:numPr>
        <w:spacing w:before="20" w:after="20"/>
      </w:pPr>
      <w:r>
        <w:t>Scholarships to pay for Registered Apprenticeship related technical instruction or necessary supportive services.</w:t>
      </w:r>
    </w:p>
    <w:p w:rsidR="00976CDB" w:rsidP="00632103" w14:paraId="1D921081" w14:textId="77777777">
      <w:pPr>
        <w:spacing w:before="20" w:after="20"/>
      </w:pPr>
      <w:r>
        <w:rPr>
          <w:b/>
          <w:bCs/>
        </w:rPr>
        <w:t>Grantees must reserve a minimum of five percent of grant funds for the twelve-month follow-up phase.</w:t>
      </w:r>
      <w:r>
        <w:t xml:space="preserve"> Grantees must fully expend grant and match funds during the period of performance. </w:t>
      </w:r>
    </w:p>
    <w:p w:rsidR="00976CDB" w:rsidP="00632103" w14:paraId="078FE648" w14:textId="77777777">
      <w:pPr>
        <w:pStyle w:val="Heading1"/>
        <w:spacing w:before="20" w:after="20"/>
      </w:pPr>
      <w:bookmarkStart w:id="24" w:name="_bookmark234623"/>
      <w:bookmarkEnd w:id="24"/>
      <w:r>
        <w:t xml:space="preserve"> </w:t>
      </w:r>
      <w:bookmarkStart w:id="25" w:name="_Toc256000047"/>
      <w:r>
        <w:t>III. PROGRAM DESCRIPTION</w:t>
      </w:r>
      <w:bookmarkEnd w:id="25"/>
    </w:p>
    <w:p w:rsidR="00976CDB" w:rsidP="00632103" w14:paraId="3681FB39" w14:textId="77777777">
      <w:pPr>
        <w:pStyle w:val="Heading2"/>
        <w:spacing w:before="20" w:after="20"/>
      </w:pPr>
      <w:bookmarkStart w:id="26" w:name="_bookmark234624"/>
      <w:bookmarkEnd w:id="26"/>
      <w:r>
        <w:t xml:space="preserve"> </w:t>
      </w:r>
      <w:bookmarkStart w:id="27" w:name="_Toc256000048"/>
      <w:r>
        <w:t>A. Purpose</w:t>
      </w:r>
      <w:bookmarkEnd w:id="27"/>
    </w:p>
    <w:p w:rsidR="00976CDB" w:rsidP="00632103" w14:paraId="338F93D9" w14:textId="77777777">
      <w:pPr>
        <w:spacing w:before="20" w:after="20"/>
      </w:pPr>
      <w:bookmarkStart w:id="28" w:name="_bookmark234625"/>
      <w:bookmarkEnd w:id="28"/>
      <w:r>
        <w:rPr>
          <w:color w:val="auto"/>
          <w:szCs w:val="24"/>
        </w:rPr>
        <w:t xml:space="preserve"> </w:t>
      </w:r>
    </w:p>
    <w:p w:rsidR="00976CDB" w:rsidP="00632103" w14:paraId="3CD5BE25" w14:textId="77777777">
      <w:pPr>
        <w:spacing w:after="140"/>
        <w:rPr>
          <w:sz w:val="20"/>
          <w:szCs w:val="20"/>
        </w:rPr>
      </w:pPr>
      <w:r>
        <w:rPr>
          <w:szCs w:val="20"/>
        </w:rPr>
        <w:t>YouthBuild is a workforce development program that provides education, occupational training, and leadership development activities for disadvantaged and low income youth: individuals between the ages of 16 and 24, most who did not complete high school and face other barriers to employment. Eligibility requirements, including exceptions, are discussed below.</w:t>
      </w:r>
    </w:p>
    <w:p w:rsidR="00976CDB" w:rsidP="00632103" w14:paraId="6EEC7578" w14:textId="77777777">
      <w:pPr>
        <w:spacing w:after="140"/>
        <w:rPr>
          <w:sz w:val="20"/>
          <w:szCs w:val="20"/>
        </w:rPr>
      </w:pPr>
      <w:r>
        <w:rPr>
          <w:b/>
          <w:bCs/>
          <w:szCs w:val="20"/>
        </w:rPr>
        <w:t>Pre-apprenticeship</w:t>
      </w:r>
    </w:p>
    <w:p w:rsidR="00976CDB" w:rsidP="00632103" w14:paraId="0063693E" w14:textId="77777777">
      <w:pPr>
        <w:spacing w:after="140"/>
        <w:rPr>
          <w:sz w:val="20"/>
          <w:szCs w:val="20"/>
        </w:rPr>
      </w:pPr>
      <w:r>
        <w:rPr>
          <w:szCs w:val="20"/>
        </w:rPr>
        <w:t xml:space="preserve">The WIOA regulations at 20 CFR 688.120 recognize YouthBuild programs funded by DOL as pre-apprenticeship programs. Pre-apprenticeship, as defined in </w:t>
      </w:r>
      <w:hyperlink r:id="rId18" w:history="1">
        <w:r>
          <w:rPr>
            <w:rStyle w:val="ahref"/>
            <w:szCs w:val="20"/>
            <w:u w:val="single" w:color="0000FF"/>
          </w:rPr>
          <w:t>20 CFR 681.480</w:t>
        </w:r>
      </w:hyperlink>
      <w:r>
        <w:rPr>
          <w:szCs w:val="20"/>
        </w:rPr>
        <w:t>, means a program designed to prepare individuals to enter and succeed in a Registered Apprenticeship Program (RAP) and includes the following elements:</w:t>
      </w:r>
    </w:p>
    <w:p w:rsidR="00976CDB" w:rsidP="00632103" w14:paraId="00C931B0" w14:textId="77777777">
      <w:pPr>
        <w:numPr>
          <w:ilvl w:val="0"/>
          <w:numId w:val="7"/>
        </w:numPr>
        <w:spacing w:after="20"/>
      </w:pPr>
      <w:r>
        <w:t>Training and curriculum that aligns with the skill needs of employers in the economy of the state or region involved;</w:t>
      </w:r>
    </w:p>
    <w:p w:rsidR="00976CDB" w:rsidP="00632103" w14:paraId="4183EF53" w14:textId="77777777">
      <w:pPr>
        <w:numPr>
          <w:ilvl w:val="0"/>
          <w:numId w:val="7"/>
        </w:numPr>
        <w:spacing w:before="20" w:after="20"/>
      </w:pPr>
      <w:r>
        <w:t>Access to educational and career counseling and other supportive services, directly or indirectly;</w:t>
      </w:r>
    </w:p>
    <w:p w:rsidR="00976CDB" w:rsidP="00632103" w14:paraId="7D8128D0" w14:textId="77777777">
      <w:pPr>
        <w:numPr>
          <w:ilvl w:val="0"/>
          <w:numId w:val="7"/>
        </w:numPr>
        <w:spacing w:before="20" w:after="20"/>
      </w:pPr>
      <w:r>
        <w:t>Hands-on, meaningful learning activities that are connected to education and training activities, such as exploring career options, and understanding how the skills acquired through coursework can be applied toward a future career;</w:t>
      </w:r>
    </w:p>
    <w:p w:rsidR="00976CDB" w:rsidP="00632103" w14:paraId="5F07BB08" w14:textId="77777777">
      <w:pPr>
        <w:numPr>
          <w:ilvl w:val="0"/>
          <w:numId w:val="7"/>
        </w:numPr>
        <w:spacing w:before="20" w:after="20"/>
      </w:pPr>
      <w:r>
        <w:t>Opportunities to attain at least one industry-recognized credential; and</w:t>
      </w:r>
    </w:p>
    <w:p w:rsidR="00976CDB" w:rsidP="00632103" w14:paraId="469F0B55" w14:textId="77777777">
      <w:pPr>
        <w:numPr>
          <w:ilvl w:val="0"/>
          <w:numId w:val="7"/>
        </w:numPr>
        <w:spacing w:before="20" w:after="150"/>
      </w:pPr>
      <w:r>
        <w:t>A partnership with one or more RAPs that assists in placing individuals who complete the pre-apprenticeship program in a RAP.</w:t>
      </w:r>
    </w:p>
    <w:p w:rsidR="00976CDB" w:rsidP="00632103" w14:paraId="5E828528" w14:textId="77777777">
      <w:pPr>
        <w:spacing w:after="140"/>
        <w:rPr>
          <w:sz w:val="20"/>
          <w:szCs w:val="20"/>
        </w:rPr>
      </w:pPr>
      <w:r>
        <w:rPr>
          <w:szCs w:val="20"/>
        </w:rPr>
        <w:t>YouthBuild applicants must include construction skills training and may include occupational skills training in other in-demand industries. This expansion into additional in-demand industries is the Construction Plus component. For more information on Construction Plus please see Section III.G. Definitions.</w:t>
      </w:r>
    </w:p>
    <w:p w:rsidR="00976CDB" w:rsidP="00632103" w14:paraId="503B4219" w14:textId="77777777">
      <w:pPr>
        <w:spacing w:after="140"/>
        <w:rPr>
          <w:sz w:val="20"/>
          <w:szCs w:val="20"/>
        </w:rPr>
      </w:pPr>
      <w:r>
        <w:rPr>
          <w:b/>
          <w:bCs/>
          <w:szCs w:val="20"/>
        </w:rPr>
        <w:t>Construction Skills Training and Work Sites</w:t>
      </w:r>
    </w:p>
    <w:p w:rsidR="00976CDB" w:rsidP="00632103" w14:paraId="0C638882" w14:textId="77777777">
      <w:pPr>
        <w:spacing w:after="140"/>
        <w:rPr>
          <w:sz w:val="20"/>
          <w:szCs w:val="20"/>
        </w:rPr>
      </w:pPr>
      <w:r>
        <w:rPr>
          <w:szCs w:val="20"/>
        </w:rPr>
        <w:t xml:space="preserve">Applicants must describe their plans to provide construction skills training while participants build or substantially renovate at least one unit of housing during the grant period of performance. Housing built and/or renovated by YouthBuild participants must be available only for homeless and/or low-income individuals and families, with this requirement stated in a restrictive covenant lasting at least five years. For more details about the requirements for housing constructed by YouthBuild participants, see </w:t>
      </w:r>
      <w:hyperlink r:id="rId19" w:history="1">
        <w:r>
          <w:rPr>
            <w:rStyle w:val="ahref"/>
            <w:szCs w:val="20"/>
            <w:u w:val="single" w:color="0000FF"/>
          </w:rPr>
          <w:t>20 CFR 688.730</w:t>
        </w:r>
      </w:hyperlink>
      <w:r>
        <w:rPr>
          <w:szCs w:val="20"/>
        </w:rPr>
        <w:t>.</w:t>
      </w:r>
    </w:p>
    <w:p w:rsidR="00976CDB" w:rsidP="00632103" w14:paraId="6178AB61" w14:textId="77777777">
      <w:pPr>
        <w:spacing w:after="140"/>
        <w:rPr>
          <w:sz w:val="20"/>
          <w:szCs w:val="20"/>
        </w:rPr>
      </w:pPr>
      <w:r>
        <w:rPr>
          <w:szCs w:val="20"/>
        </w:rPr>
        <w:t xml:space="preserve">Substantial renovation includes activities that will provide YouthBuild participants with significant construction experience and knowledge which prepares them for employment in the construction industry. Applicants should use their selected construction curriculum as a planning resource to ensure alignment with the skills participants can learn in hands-on work site experiences. Painting, cleaning, and changing fixtures, for example, do not constitute a comprehensive level of construction training. For guidance on construction credentials, refer to </w:t>
      </w:r>
      <w:hyperlink r:id="rId20" w:history="1">
        <w:r>
          <w:rPr>
            <w:rStyle w:val="ahref"/>
            <w:szCs w:val="20"/>
            <w:u w:val="single" w:color="0000FF"/>
          </w:rPr>
          <w:t>TEGL 35-12</w:t>
        </w:r>
      </w:hyperlink>
      <w:r>
        <w:rPr>
          <w:szCs w:val="20"/>
        </w:rPr>
        <w:t xml:space="preserve">. For guidance on qualifying work sites, refer to </w:t>
      </w:r>
      <w:hyperlink r:id="rId21" w:history="1">
        <w:r>
          <w:rPr>
            <w:rStyle w:val="ahref"/>
            <w:szCs w:val="20"/>
            <w:u w:val="single" w:color="0000FF"/>
          </w:rPr>
          <w:t>TEGL 06-15</w:t>
        </w:r>
      </w:hyperlink>
      <w:r>
        <w:rPr>
          <w:szCs w:val="20"/>
        </w:rPr>
        <w:t>.</w:t>
      </w:r>
    </w:p>
    <w:p w:rsidR="00976CDB" w:rsidP="00632103" w14:paraId="6D53A55E" w14:textId="77777777">
      <w:pPr>
        <w:spacing w:after="140"/>
        <w:rPr>
          <w:sz w:val="20"/>
          <w:szCs w:val="20"/>
        </w:rPr>
      </w:pPr>
      <w:r>
        <w:rPr>
          <w:szCs w:val="20"/>
        </w:rPr>
        <w:t>Applicants must propose at least one construction work site and may propose no more than three with their grant application. Grantees may propose additional work sites during the grant period of performance.</w:t>
      </w:r>
    </w:p>
    <w:p w:rsidR="00976CDB" w:rsidP="00632103" w14:paraId="3CFBEE07" w14:textId="77777777">
      <w:pPr>
        <w:spacing w:after="140"/>
        <w:rPr>
          <w:sz w:val="20"/>
          <w:szCs w:val="20"/>
        </w:rPr>
      </w:pPr>
      <w:r>
        <w:rPr>
          <w:szCs w:val="20"/>
        </w:rPr>
        <w:t>Applicants must provide a separate, completed, and signed work site form (ETA-9143), with attachments, for each proposed work site. Applicants must include all ETA-9143 forms as attachments to the Project Narrative. These attachments do not count against page limitations. Attachment E of this FOA provides a link to download ETA-9143, as well as instructions for completion.</w:t>
      </w:r>
    </w:p>
    <w:p w:rsidR="00976CDB" w:rsidP="00632103" w14:paraId="27E74528" w14:textId="77777777">
      <w:pPr>
        <w:spacing w:after="140"/>
        <w:rPr>
          <w:sz w:val="20"/>
          <w:szCs w:val="20"/>
        </w:rPr>
      </w:pPr>
      <w:r>
        <w:rPr>
          <w:szCs w:val="20"/>
        </w:rPr>
        <w:t xml:space="preserve">Consistent with </w:t>
      </w:r>
      <w:hyperlink r:id="rId22" w:history="1">
        <w:r>
          <w:rPr>
            <w:rStyle w:val="ahref"/>
            <w:szCs w:val="20"/>
            <w:u w:val="single" w:color="0000FF"/>
          </w:rPr>
          <w:t>2 CFR 200.112</w:t>
        </w:r>
      </w:hyperlink>
      <w:r>
        <w:rPr>
          <w:szCs w:val="20"/>
        </w:rPr>
        <w:t xml:space="preserve">, DOL requires grantees and subrecipients to have a written policy in place on conflicts of interest, including organizational conflicts of interest. The policy </w:t>
      </w:r>
      <w:r>
        <w:rPr>
          <w:szCs w:val="20"/>
        </w:rPr>
        <w:t>must include the process the recipient or subrecipient will take to identify, avoid, remove, and remedy conflicts of interest. Applicants must ensure that no employee, officer, or agent, any member of their immediate family, or an organization which employs or is about to employ any of the individuals listed here, has a financial or other interest in or a tangible personal benefit from the YouthBuild construction project proposed in this application.</w:t>
      </w:r>
    </w:p>
    <w:p w:rsidR="00976CDB" w:rsidP="00632103" w14:paraId="6E54D55D" w14:textId="77777777">
      <w:pPr>
        <w:spacing w:after="140"/>
        <w:rPr>
          <w:sz w:val="20"/>
          <w:szCs w:val="20"/>
        </w:rPr>
      </w:pPr>
      <w:r>
        <w:rPr>
          <w:szCs w:val="20"/>
        </w:rPr>
        <w:t>Section 171(c)(2) permits YouthBuild grantees to use grant funds or other sources to pay for stipends or subsidized wages during the required construction component.</w:t>
      </w:r>
    </w:p>
    <w:p w:rsidR="00976CDB" w:rsidP="00632103" w14:paraId="478A35B7" w14:textId="77777777">
      <w:pPr>
        <w:spacing w:after="140"/>
        <w:rPr>
          <w:sz w:val="20"/>
          <w:szCs w:val="20"/>
        </w:rPr>
      </w:pPr>
      <w:r>
        <w:rPr>
          <w:szCs w:val="20"/>
        </w:rPr>
        <w:t xml:space="preserve">Applicants should also note that construction work sites that use funding from specific U.S. Department of Housing and Urban Development (HUD) programs may trigger Davis-Bacon and Related Acts (DBRA) requirements. DBRA prevailing wage rates generally equate to journeyman-level wages. For more information on DBRA generally, see </w:t>
      </w:r>
      <w:hyperlink r:id="rId23" w:history="1">
        <w:r>
          <w:rPr>
            <w:rStyle w:val="ahref"/>
            <w:szCs w:val="20"/>
            <w:u w:val="single" w:color="0000FF"/>
          </w:rPr>
          <w:t>Davis-Bacon and Related Acts</w:t>
        </w:r>
      </w:hyperlink>
      <w:r>
        <w:rPr>
          <w:szCs w:val="20"/>
        </w:rPr>
        <w:t xml:space="preserve">, and for YouthBuild compliance with DBRA, refer to </w:t>
      </w:r>
      <w:hyperlink r:id="rId24" w:history="1">
        <w:r>
          <w:rPr>
            <w:rStyle w:val="ahref"/>
            <w:szCs w:val="20"/>
            <w:u w:val="single" w:color="0000FF"/>
          </w:rPr>
          <w:t>TEGL 11-16</w:t>
        </w:r>
      </w:hyperlink>
      <w:r>
        <w:rPr>
          <w:szCs w:val="20"/>
        </w:rPr>
        <w:t>.</w:t>
      </w:r>
    </w:p>
    <w:p w:rsidR="00976CDB" w:rsidP="00632103" w14:paraId="1C3B7ABC" w14:textId="77777777">
      <w:pPr>
        <w:spacing w:after="140"/>
        <w:rPr>
          <w:sz w:val="20"/>
          <w:szCs w:val="20"/>
        </w:rPr>
      </w:pPr>
      <w:r>
        <w:rPr>
          <w:szCs w:val="20"/>
        </w:rPr>
        <w:t>To ensure that grantees are meeting the minimum construction requirement, and to aid in collecting data on the impact of the YouthBuild program on local communities, grantees must complete and submit at least four Annual Housing Census forms, one for each reporting period that overlaps with the grant period of performance.</w:t>
      </w:r>
    </w:p>
    <w:p w:rsidR="00976CDB" w:rsidP="00632103" w14:paraId="30E03C30" w14:textId="77777777">
      <w:pPr>
        <w:pStyle w:val="Heading2"/>
        <w:spacing w:before="20" w:after="20"/>
      </w:pPr>
      <w:bookmarkStart w:id="29" w:name="_bookmark234626"/>
      <w:bookmarkEnd w:id="29"/>
      <w:r>
        <w:t xml:space="preserve"> </w:t>
      </w:r>
      <w:bookmarkStart w:id="30" w:name="_Toc256000049"/>
      <w:r>
        <w:t>B. Program Goals and Objectives</w:t>
      </w:r>
      <w:bookmarkEnd w:id="30"/>
    </w:p>
    <w:p w:rsidR="00976CDB" w:rsidP="00632103" w14:paraId="2571D8A1" w14:textId="77777777">
      <w:pPr>
        <w:spacing w:after="140"/>
        <w:rPr>
          <w:sz w:val="20"/>
          <w:szCs w:val="20"/>
        </w:rPr>
      </w:pPr>
      <w:bookmarkStart w:id="31" w:name="_bookmark234627"/>
      <w:bookmarkEnd w:id="31"/>
      <w:r>
        <w:rPr>
          <w:szCs w:val="20"/>
        </w:rPr>
        <w:t>The goals of the YouthBuild program are to:</w:t>
      </w:r>
    </w:p>
    <w:p w:rsidR="00976CDB" w:rsidP="00632103" w14:paraId="1B904E24" w14:textId="77777777">
      <w:pPr>
        <w:numPr>
          <w:ilvl w:val="0"/>
          <w:numId w:val="8"/>
        </w:numPr>
        <w:spacing w:after="150"/>
      </w:pPr>
      <w:r>
        <w:t>Develop partnerships and pathways that lead directly to high-wage employment and placements in Registered Apprenticeship Programs (RAPs);</w:t>
      </w:r>
    </w:p>
    <w:p w:rsidR="00976CDB" w:rsidP="00632103" w14:paraId="0A1270A8" w14:textId="77777777">
      <w:pPr>
        <w:numPr>
          <w:ilvl w:val="0"/>
          <w:numId w:val="9"/>
        </w:numPr>
        <w:spacing w:after="20"/>
      </w:pPr>
      <w:r>
        <w:t>Provide youth with workforce readiness skills to achieve economic self-sufficiency through the pursuit of post-secondary education, training, RAPs, and employment in in-demand occupations;</w:t>
      </w:r>
    </w:p>
    <w:p w:rsidR="00976CDB" w:rsidP="00632103" w14:paraId="00788BA4" w14:textId="77777777">
      <w:pPr>
        <w:numPr>
          <w:ilvl w:val="0"/>
          <w:numId w:val="9"/>
        </w:numPr>
        <w:spacing w:before="20" w:after="20"/>
      </w:pPr>
      <w:r>
        <w:t>Expand the supply of permanent affordable housing for low-income or homeless individuals and families;</w:t>
      </w:r>
    </w:p>
    <w:p w:rsidR="00976CDB" w:rsidP="00632103" w14:paraId="2B91C54E" w14:textId="77777777">
      <w:pPr>
        <w:numPr>
          <w:ilvl w:val="0"/>
          <w:numId w:val="9"/>
        </w:numPr>
        <w:spacing w:before="20" w:after="20"/>
      </w:pPr>
      <w:r>
        <w:t xml:space="preserve">Encourage the alignment of the pre-apprenticeship model with training for construction industries, as well as in-demand industries through Construction Plus for participants who may not have an interest in a construction career or in local areas where construction may present less of a growth industry than other fields;   </w:t>
      </w:r>
    </w:p>
    <w:p w:rsidR="00976CDB" w:rsidP="00632103" w14:paraId="124B1A0E" w14:textId="77777777">
      <w:pPr>
        <w:numPr>
          <w:ilvl w:val="0"/>
          <w:numId w:val="9"/>
        </w:numPr>
        <w:spacing w:before="20" w:after="20"/>
      </w:pPr>
      <w:r>
        <w:t>Offer an educational alternative for young people interested in hands-on, meaningful learning activities, aligning with Executive Order 14191, “Expanding Educational Freedom and Opportunity for Families”</w:t>
      </w:r>
    </w:p>
    <w:p w:rsidR="00976CDB" w:rsidP="00632103" w14:paraId="66334C75" w14:textId="77777777">
      <w:pPr>
        <w:numPr>
          <w:ilvl w:val="0"/>
          <w:numId w:val="9"/>
        </w:numPr>
        <w:spacing w:before="20" w:after="20"/>
      </w:pPr>
      <w:r>
        <w:t>Prepare participants to enter and succeed in RAPs, aligning with Executive Order 14278, “Preparing Americans for High-Paying Skilled Trade Jobs of the Future”; and</w:t>
      </w:r>
    </w:p>
    <w:p w:rsidR="00976CDB" w:rsidP="00632103" w14:paraId="590923FE" w14:textId="77777777">
      <w:pPr>
        <w:numPr>
          <w:ilvl w:val="0"/>
          <w:numId w:val="9"/>
        </w:numPr>
        <w:spacing w:before="20" w:after="150"/>
      </w:pPr>
      <w:r>
        <w:t>Expand access to high-quality AI coursework and certifications, aligning with Executive Order 14277, “Advancing Artificial Intelligence Education for Youth”.</w:t>
      </w:r>
    </w:p>
    <w:p w:rsidR="00976CDB" w:rsidP="00632103" w14:paraId="4EB6B69E" w14:textId="77777777">
      <w:pPr>
        <w:pStyle w:val="Heading2"/>
        <w:spacing w:before="20" w:after="20"/>
      </w:pPr>
      <w:bookmarkStart w:id="32" w:name="_bookmark234628"/>
      <w:bookmarkEnd w:id="32"/>
      <w:r>
        <w:t xml:space="preserve"> </w:t>
      </w:r>
      <w:bookmarkStart w:id="33" w:name="_Toc256000050"/>
      <w:r>
        <w:t>C. Expected Performance Outcomes</w:t>
      </w:r>
      <w:bookmarkEnd w:id="33"/>
    </w:p>
    <w:p w:rsidR="00976CDB" w:rsidP="00632103" w14:paraId="5288A217" w14:textId="77777777">
      <w:pPr>
        <w:spacing w:before="20" w:after="20"/>
      </w:pPr>
      <w:bookmarkStart w:id="34" w:name="_bookmark234629"/>
      <w:bookmarkEnd w:id="34"/>
      <w:r>
        <w:t xml:space="preserve"> </w:t>
      </w:r>
    </w:p>
    <w:p w:rsidR="00976CDB" w:rsidP="00632103" w14:paraId="5EBF2C43" w14:textId="77777777">
      <w:pPr>
        <w:spacing w:before="20" w:after="20"/>
      </w:pPr>
      <w:r>
        <w:t xml:space="preserve">DOL expects YouthBuild grantees awarded under this FOA to track and report on the primary indicators of performance as listed in WIOA Section 116(b)(2)(A)(ii). The YouthBuild program </w:t>
      </w:r>
      <w:r>
        <w:t>is held to the six WIOA primary indicators of performance for youth, as well as an additional indicator established by DOL. These indicators are:</w:t>
      </w:r>
    </w:p>
    <w:p w:rsidR="00976CDB" w:rsidP="00632103" w14:paraId="6711F35C" w14:textId="77777777">
      <w:pPr>
        <w:numPr>
          <w:ilvl w:val="0"/>
          <w:numId w:val="10"/>
        </w:numPr>
        <w:spacing w:before="20" w:after="20"/>
      </w:pPr>
      <w:r>
        <w:t>Education and Employment Rate - Second Quarter After Exit;</w:t>
      </w:r>
    </w:p>
    <w:p w:rsidR="00976CDB" w:rsidP="00632103" w14:paraId="36B1F547" w14:textId="77777777">
      <w:pPr>
        <w:numPr>
          <w:ilvl w:val="0"/>
          <w:numId w:val="10"/>
        </w:numPr>
        <w:spacing w:before="20" w:after="20"/>
      </w:pPr>
      <w:r>
        <w:t>Education and Employment Rate - Fourth Quarter After Exit;</w:t>
      </w:r>
    </w:p>
    <w:p w:rsidR="00976CDB" w:rsidP="00632103" w14:paraId="641B6B00" w14:textId="77777777">
      <w:pPr>
        <w:numPr>
          <w:ilvl w:val="0"/>
          <w:numId w:val="10"/>
        </w:numPr>
        <w:spacing w:before="20" w:after="20"/>
      </w:pPr>
      <w:r>
        <w:t>Median Earnings - Second Quarter After Exit;</w:t>
      </w:r>
    </w:p>
    <w:p w:rsidR="00976CDB" w:rsidP="00632103" w14:paraId="0AE4C069" w14:textId="77777777">
      <w:pPr>
        <w:numPr>
          <w:ilvl w:val="0"/>
          <w:numId w:val="10"/>
        </w:numPr>
        <w:spacing w:before="20" w:after="20"/>
      </w:pPr>
      <w:r>
        <w:t>Credential Attainment;</w:t>
      </w:r>
    </w:p>
    <w:p w:rsidR="00976CDB" w:rsidP="00632103" w14:paraId="04B634B8" w14:textId="77777777">
      <w:pPr>
        <w:numPr>
          <w:ilvl w:val="0"/>
          <w:numId w:val="10"/>
        </w:numPr>
        <w:spacing w:before="20" w:after="20"/>
      </w:pPr>
      <w:r>
        <w:t>Measurable Skill Gains;</w:t>
      </w:r>
    </w:p>
    <w:p w:rsidR="00976CDB" w:rsidP="00632103" w14:paraId="5D112FA3" w14:textId="77777777">
      <w:pPr>
        <w:numPr>
          <w:ilvl w:val="0"/>
          <w:numId w:val="10"/>
        </w:numPr>
        <w:spacing w:before="20" w:after="20"/>
      </w:pPr>
      <w:r>
        <w:t>Effectiveness in Serving Employers; and</w:t>
      </w:r>
    </w:p>
    <w:p w:rsidR="00976CDB" w:rsidP="00632103" w14:paraId="775D7447" w14:textId="77777777">
      <w:pPr>
        <w:numPr>
          <w:ilvl w:val="0"/>
          <w:numId w:val="10"/>
        </w:numPr>
        <w:spacing w:before="20" w:after="20"/>
      </w:pPr>
      <w:r>
        <w:t xml:space="preserve">Percentage of participants that enter a Registered Apprenticeship within one year of exit. </w:t>
      </w:r>
    </w:p>
    <w:p w:rsidR="00976CDB" w:rsidP="00632103" w14:paraId="5742AF7E" w14:textId="77777777">
      <w:pPr>
        <w:spacing w:before="20" w:after="20"/>
      </w:pPr>
      <w:r>
        <w:t xml:space="preserve">Additional information on WIOA performance indicators (the first six above) can be found at </w:t>
      </w:r>
      <w:hyperlink r:id="rId25" w:history="1">
        <w:r>
          <w:rPr>
            <w:rStyle w:val="ahref"/>
            <w:u w:val="single" w:color="0000FF"/>
          </w:rPr>
          <w:t>Training and Employment Guidance Letter (TEGL) 10-16</w:t>
        </w:r>
      </w:hyperlink>
      <w:r>
        <w:t>: “Performance Accountability Guidance for Workforce Innovation and Opportunity Act (WIOA) Core Programs.” DOL has added the seventh indicator for grantees funded under this competition in alignment with Executive Order 14278, “Preparing Americans for High-Paying Skilled Trade Jobs of the Future,” and its stated goal of reaching and surpassing 1 million active apprentices.</w:t>
      </w:r>
    </w:p>
    <w:p w:rsidR="00976CDB" w:rsidP="00632103" w14:paraId="34535D99" w14:textId="77777777">
      <w:pPr>
        <w:spacing w:before="20" w:after="20"/>
      </w:pPr>
      <w:r>
        <w:t>This FOA evaluates the Category A applicants based on the performance indicators above. Applicants should be prepared to demonstrate success with the seven performance indicators above, which will be used to evaluate applicants in future grant competitions.</w:t>
      </w:r>
    </w:p>
    <w:p w:rsidR="00976CDB" w:rsidP="00632103" w14:paraId="7D3A94D7" w14:textId="77777777">
      <w:pPr>
        <w:spacing w:before="20" w:after="20"/>
      </w:pPr>
      <w:r>
        <w:t>The outcome goals for the successful applicants under this FOA are as follows:</w:t>
      </w:r>
    </w:p>
    <w:tbl>
      <w:tblPr>
        <w:tblStyle w:val="tablestylewidthtable"/>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7006"/>
        <w:gridCol w:w="2338"/>
      </w:tblGrid>
      <w:tr w14:paraId="64C3C98B" w14:textId="77777777">
        <w:tblPrEx>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B6CE947" w14:textId="77777777">
            <w:pPr>
              <w:spacing w:before="20" w:after="20"/>
              <w:jc w:val="center"/>
            </w:pPr>
            <w:r>
              <w:rPr>
                <w:b/>
                <w:bCs/>
              </w:rPr>
              <w:t>Performance Indicator</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C3E154C" w14:textId="77777777">
            <w:pPr>
              <w:spacing w:before="20" w:after="20"/>
              <w:jc w:val="center"/>
            </w:pPr>
            <w:r>
              <w:rPr>
                <w:b/>
                <w:bCs/>
              </w:rPr>
              <w:t>Outcome Goal</w:t>
            </w:r>
          </w:p>
        </w:tc>
      </w:tr>
      <w:tr w14:paraId="78680345"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617B788" w14:textId="77777777">
            <w:pPr>
              <w:spacing w:before="20" w:after="20"/>
            </w:pPr>
            <w:r>
              <w:t>Education and Employment Rate – Second Quarter After Exit</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16E8B4AD" w14:textId="77777777">
            <w:pPr>
              <w:spacing w:before="20" w:after="20"/>
            </w:pPr>
            <w:r>
              <w:t>75%</w:t>
            </w:r>
          </w:p>
        </w:tc>
      </w:tr>
      <w:tr w14:paraId="39D2C662"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95277A2" w14:textId="77777777">
            <w:pPr>
              <w:spacing w:before="20" w:after="20"/>
            </w:pPr>
            <w:r>
              <w:t>Education and Employment Rate – Fourth Quarter After Exit</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BC46E92" w14:textId="77777777">
            <w:pPr>
              <w:spacing w:before="20" w:after="20"/>
            </w:pPr>
            <w:r>
              <w:t>70%</w:t>
            </w:r>
          </w:p>
        </w:tc>
      </w:tr>
      <w:tr w14:paraId="760835F8"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66117471" w14:textId="77777777">
            <w:pPr>
              <w:spacing w:before="20" w:after="20"/>
            </w:pPr>
            <w:r>
              <w:t>Median Earnings – Second Quarter After Exit</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6AD00E5" w14:textId="77777777">
            <w:pPr>
              <w:spacing w:before="20" w:after="20"/>
            </w:pPr>
            <w:r>
              <w:t>$6,000*</w:t>
            </w:r>
          </w:p>
        </w:tc>
      </w:tr>
      <w:tr w14:paraId="3F12105C"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40B50B3" w14:textId="77777777">
            <w:pPr>
              <w:spacing w:before="20" w:after="20"/>
            </w:pPr>
            <w:r>
              <w:t>Credential Attainment</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123A231" w14:textId="77777777">
            <w:pPr>
              <w:spacing w:before="20" w:after="20"/>
            </w:pPr>
            <w:r>
              <w:t>80%</w:t>
            </w:r>
          </w:p>
        </w:tc>
      </w:tr>
      <w:tr w14:paraId="42935294"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30A7C1B" w14:textId="77777777">
            <w:pPr>
              <w:spacing w:before="20" w:after="20"/>
            </w:pPr>
            <w:r>
              <w:t>Measurable Skill Gains</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447D3C1" w14:textId="77777777">
            <w:pPr>
              <w:spacing w:before="20" w:after="20"/>
            </w:pPr>
            <w:r>
              <w:t>70%</w:t>
            </w:r>
          </w:p>
        </w:tc>
      </w:tr>
      <w:tr w14:paraId="045AB4FF"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8D3CBD6" w14:textId="77777777">
            <w:pPr>
              <w:spacing w:before="20" w:after="20"/>
            </w:pPr>
            <w:r>
              <w:t>Effectiveness in Serving Employers</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603FA2F0" w14:textId="77777777">
            <w:pPr>
              <w:spacing w:before="20" w:after="20"/>
            </w:pPr>
            <w:r>
              <w:t>50%</w:t>
            </w:r>
          </w:p>
        </w:tc>
      </w:tr>
      <w:tr w14:paraId="42FAB5B4"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374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6DE4C04" w14:textId="77777777">
            <w:pPr>
              <w:spacing w:before="20" w:after="20"/>
            </w:pPr>
            <w:r>
              <w:t>Percentage of participants that enter a Registered Apprenticeship within one year of exit</w:t>
            </w:r>
          </w:p>
        </w:tc>
        <w:tc>
          <w:tcPr>
            <w:tcW w:w="125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91703D4" w14:textId="77777777">
            <w:pPr>
              <w:spacing w:before="20" w:after="20"/>
            </w:pPr>
            <w:r>
              <w:t>10%</w:t>
            </w:r>
          </w:p>
        </w:tc>
      </w:tr>
    </w:tbl>
    <w:p w:rsidR="00976CDB" w:rsidP="00632103" w14:paraId="2719A47E" w14:textId="77777777">
      <w:pPr>
        <w:spacing w:before="20" w:after="20"/>
      </w:pPr>
      <w:r>
        <w:t xml:space="preserve">*ETA is reviewing data to determine ways to measure earnings for exiters in employment, and may require organizations awarded under this FOA to update employment data collection to assist with differentiating goals for exiters working part or full time. </w:t>
      </w:r>
    </w:p>
    <w:p w:rsidR="00976CDB" w:rsidP="00632103" w14:paraId="1DC8310B" w14:textId="77777777">
      <w:pPr>
        <w:pStyle w:val="Heading2"/>
        <w:spacing w:before="20" w:after="20"/>
      </w:pPr>
      <w:bookmarkStart w:id="35" w:name="_bookmark234630"/>
      <w:bookmarkEnd w:id="35"/>
      <w:r>
        <w:t xml:space="preserve"> </w:t>
      </w:r>
      <w:bookmarkStart w:id="36" w:name="_Toc256000051"/>
      <w:r>
        <w:t>D. Funding Type</w:t>
      </w:r>
      <w:bookmarkEnd w:id="36"/>
    </w:p>
    <w:p w:rsidR="00976CDB" w:rsidP="00632103" w14:paraId="240E4079" w14:textId="77777777">
      <w:pPr>
        <w:spacing w:after="140"/>
        <w:rPr>
          <w:sz w:val="20"/>
          <w:szCs w:val="20"/>
        </w:rPr>
      </w:pPr>
      <w:bookmarkStart w:id="37" w:name="_bookmark234631"/>
      <w:bookmarkEnd w:id="37"/>
      <w:r>
        <w:rPr>
          <w:szCs w:val="20"/>
        </w:rPr>
        <w:t>Funding will be provided in the form of a Grant.  Throughout this FOA, all references to grants are applicable to cooperative agreements.</w:t>
      </w:r>
    </w:p>
    <w:p w:rsidR="00976CDB" w:rsidP="00632103" w14:paraId="51CC34C1" w14:textId="77777777">
      <w:pPr>
        <w:pStyle w:val="Heading2"/>
        <w:spacing w:before="20" w:after="20"/>
      </w:pPr>
      <w:bookmarkStart w:id="38" w:name="_bookmark234962"/>
      <w:bookmarkStart w:id="39" w:name="_bookmark234632"/>
      <w:bookmarkEnd w:id="38"/>
      <w:bookmarkEnd w:id="39"/>
      <w:r>
        <w:t xml:space="preserve"> </w:t>
      </w:r>
      <w:bookmarkStart w:id="40" w:name="_Toc256000052"/>
      <w:r>
        <w:t>E. Eligible Participants</w:t>
      </w:r>
      <w:bookmarkEnd w:id="40"/>
    </w:p>
    <w:p w:rsidR="00976CDB" w:rsidP="00632103" w14:paraId="22109EF1" w14:textId="77777777">
      <w:pPr>
        <w:spacing w:after="140"/>
        <w:rPr>
          <w:sz w:val="20"/>
          <w:szCs w:val="20"/>
        </w:rPr>
      </w:pPr>
      <w:bookmarkStart w:id="41" w:name="_bookmark234633"/>
      <w:bookmarkEnd w:id="41"/>
      <w:r>
        <w:rPr>
          <w:szCs w:val="20"/>
        </w:rPr>
        <w:t xml:space="preserve">Per </w:t>
      </w:r>
      <w:hyperlink r:id="rId26" w:history="1">
        <w:r>
          <w:rPr>
            <w:rStyle w:val="ahref"/>
            <w:szCs w:val="20"/>
            <w:u w:val="single" w:color="0000FF"/>
          </w:rPr>
          <w:t>20 CFR 688.300</w:t>
        </w:r>
      </w:hyperlink>
      <w:r>
        <w:rPr>
          <w:szCs w:val="20"/>
        </w:rPr>
        <w:t>, an individual is eligible to participate in a YouthBuild program if the individual:</w:t>
      </w:r>
    </w:p>
    <w:p w:rsidR="00976CDB" w:rsidP="00632103" w14:paraId="72AE3A52" w14:textId="77777777">
      <w:pPr>
        <w:numPr>
          <w:ilvl w:val="0"/>
          <w:numId w:val="11"/>
        </w:numPr>
        <w:spacing w:after="20"/>
      </w:pPr>
      <w:r>
        <w:t>Is 16-24 years old on the date of enrollment;</w:t>
      </w:r>
    </w:p>
    <w:p w:rsidR="00976CDB" w:rsidP="00632103" w14:paraId="21005387" w14:textId="77777777">
      <w:pPr>
        <w:numPr>
          <w:ilvl w:val="0"/>
          <w:numId w:val="11"/>
        </w:numPr>
        <w:spacing w:before="20" w:after="20"/>
      </w:pPr>
      <w:r>
        <w:t>Left high school without a diploma, including an individual who left high school without a diploma and subsequently reenrolled; and</w:t>
      </w:r>
    </w:p>
    <w:p w:rsidR="00976CDB" w:rsidP="00632103" w14:paraId="24911FB6" w14:textId="77777777">
      <w:pPr>
        <w:numPr>
          <w:ilvl w:val="0"/>
          <w:numId w:val="11"/>
        </w:numPr>
        <w:spacing w:before="20" w:after="20"/>
      </w:pPr>
      <w:r>
        <w:t>Is one or more of the following:</w:t>
      </w:r>
    </w:p>
    <w:p w:rsidR="00976CDB" w:rsidP="00632103" w14:paraId="6E7A4F66" w14:textId="77777777">
      <w:pPr>
        <w:numPr>
          <w:ilvl w:val="1"/>
          <w:numId w:val="11"/>
        </w:numPr>
        <w:spacing w:after="20"/>
      </w:pPr>
      <w:r>
        <w:t>A member of a low-income family;</w:t>
      </w:r>
    </w:p>
    <w:p w:rsidR="00976CDB" w:rsidP="00632103" w14:paraId="6544E46E" w14:textId="77777777">
      <w:pPr>
        <w:numPr>
          <w:ilvl w:val="1"/>
          <w:numId w:val="11"/>
        </w:numPr>
        <w:spacing w:before="20" w:after="20"/>
      </w:pPr>
      <w:r>
        <w:t>In foster care (including youth who have aged out of foster care);</w:t>
      </w:r>
    </w:p>
    <w:p w:rsidR="00976CDB" w:rsidP="00632103" w14:paraId="1EFC2ADA" w14:textId="77777777">
      <w:pPr>
        <w:numPr>
          <w:ilvl w:val="1"/>
          <w:numId w:val="11"/>
        </w:numPr>
        <w:spacing w:before="20" w:after="20"/>
      </w:pPr>
      <w:r>
        <w:t>An offender;</w:t>
      </w:r>
    </w:p>
    <w:p w:rsidR="00976CDB" w:rsidP="00632103" w14:paraId="4B04AD55" w14:textId="77777777">
      <w:pPr>
        <w:numPr>
          <w:ilvl w:val="1"/>
          <w:numId w:val="11"/>
        </w:numPr>
        <w:spacing w:before="20" w:after="20"/>
      </w:pPr>
      <w:r>
        <w:t>An individual with a disability;</w:t>
      </w:r>
    </w:p>
    <w:p w:rsidR="00976CDB" w:rsidP="00632103" w14:paraId="0D7A824E" w14:textId="77777777">
      <w:pPr>
        <w:numPr>
          <w:ilvl w:val="1"/>
          <w:numId w:val="11"/>
        </w:numPr>
        <w:spacing w:before="20" w:after="20"/>
      </w:pPr>
      <w:r>
        <w:t>The child of an incarcerated parent; or</w:t>
      </w:r>
    </w:p>
    <w:p w:rsidR="00976CDB" w:rsidP="00632103" w14:paraId="2FE59772" w14:textId="77777777">
      <w:pPr>
        <w:numPr>
          <w:ilvl w:val="1"/>
          <w:numId w:val="11"/>
        </w:numPr>
        <w:spacing w:before="20" w:after="150"/>
      </w:pPr>
      <w:r>
        <w:t>A migrant youth.</w:t>
      </w:r>
    </w:p>
    <w:p w:rsidR="00976CDB" w:rsidP="00632103" w14:paraId="15EFB13B" w14:textId="77777777">
      <w:pPr>
        <w:spacing w:after="140"/>
        <w:rPr>
          <w:sz w:val="20"/>
          <w:szCs w:val="20"/>
        </w:rPr>
      </w:pPr>
      <w:r>
        <w:rPr>
          <w:szCs w:val="20"/>
        </w:rPr>
        <w:t>Not more than 25 percent of the participants in a YouthBuild program may be individuals who do not meet requirements 2 or 3 above, if such individuals:</w:t>
      </w:r>
    </w:p>
    <w:p w:rsidR="00976CDB" w:rsidP="00632103" w14:paraId="276EDC7B" w14:textId="77777777">
      <w:pPr>
        <w:numPr>
          <w:ilvl w:val="0"/>
          <w:numId w:val="12"/>
        </w:numPr>
        <w:spacing w:after="20"/>
      </w:pPr>
      <w:r>
        <w:t xml:space="preserve">Are basic skills deficient, as defined in </w:t>
      </w:r>
      <w:hyperlink r:id="rId27" w:history="1">
        <w:r>
          <w:rPr>
            <w:rStyle w:val="ahref"/>
            <w:u w:val="single" w:color="0000FF"/>
          </w:rPr>
          <w:t>§ 688.120</w:t>
        </w:r>
      </w:hyperlink>
      <w:r>
        <w:t>; or</w:t>
      </w:r>
    </w:p>
    <w:p w:rsidR="00976CDB" w:rsidP="00632103" w14:paraId="630D2F6D" w14:textId="77777777">
      <w:pPr>
        <w:numPr>
          <w:ilvl w:val="0"/>
          <w:numId w:val="12"/>
        </w:numPr>
        <w:spacing w:before="20" w:after="150"/>
      </w:pPr>
      <w:r>
        <w:t>Have been referred by a local secondary school for participation in a YouthBuild program.</w:t>
      </w:r>
    </w:p>
    <w:p w:rsidR="00976CDB" w:rsidP="00632103" w14:paraId="0BE15326" w14:textId="77777777">
      <w:pPr>
        <w:spacing w:before="20" w:after="20"/>
      </w:pPr>
      <w:bookmarkStart w:id="42" w:name="_bookmark234634"/>
      <w:bookmarkStart w:id="43" w:name="_bookmark234635"/>
      <w:bookmarkStart w:id="44" w:name="_bookmark234637"/>
      <w:bookmarkEnd w:id="42"/>
      <w:bookmarkEnd w:id="43"/>
      <w:bookmarkEnd w:id="44"/>
      <w:r>
        <w:rPr>
          <w:color w:val="auto"/>
          <w:szCs w:val="24"/>
        </w:rPr>
        <w:t xml:space="preserve"> </w:t>
      </w:r>
    </w:p>
    <w:p w:rsidR="00976CDB" w:rsidP="00632103" w14:paraId="6F44E501" w14:textId="77777777">
      <w:pPr>
        <w:spacing w:after="140"/>
        <w:rPr>
          <w:sz w:val="20"/>
          <w:szCs w:val="20"/>
        </w:rPr>
      </w:pPr>
      <w:r>
        <w:rPr>
          <w:b/>
          <w:bCs/>
          <w:szCs w:val="20"/>
        </w:rPr>
        <w:t>Veterans' Priority for Participants</w:t>
      </w:r>
    </w:p>
    <w:p w:rsidR="00976CDB" w:rsidP="00632103" w14:paraId="4112376C" w14:textId="77777777">
      <w:pPr>
        <w:spacing w:after="140"/>
        <w:rPr>
          <w:sz w:val="20"/>
          <w:szCs w:val="20"/>
        </w:rPr>
      </w:pPr>
      <w:hyperlink r:id="rId28" w:history="1">
        <w:r>
          <w:rPr>
            <w:rStyle w:val="ahref"/>
            <w:szCs w:val="20"/>
            <w:u w:val="single" w:color="0000FF"/>
          </w:rPr>
          <w:t>38 U.S.C. 4215</w:t>
        </w:r>
      </w:hyperlink>
      <w:r>
        <w:rPr>
          <w:szCs w:val="20"/>
        </w:rPr>
        <w:t xml:space="preserve"> requires DOL grantees to provide priority of service to veterans and spouses of certain veterans for employment, training, and placement services in any job training program directly funded, in whole or in part, by DOL.</w:t>
      </w:r>
    </w:p>
    <w:p w:rsidR="00976CDB" w:rsidP="00632103" w14:paraId="72E4FEFA"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III.E Veterans’ Priority for Participants.</w:t>
      </w:r>
    </w:p>
    <w:p w:rsidR="00976CDB" w:rsidP="00632103" w14:paraId="5616A75E" w14:textId="77777777">
      <w:pPr>
        <w:pStyle w:val="Heading2"/>
        <w:spacing w:before="20" w:after="20"/>
      </w:pPr>
      <w:bookmarkStart w:id="45" w:name="_bookmark234638"/>
      <w:bookmarkStart w:id="46" w:name="_bookmark234639"/>
      <w:bookmarkEnd w:id="45"/>
      <w:bookmarkEnd w:id="46"/>
      <w:r>
        <w:t xml:space="preserve"> </w:t>
      </w:r>
      <w:bookmarkStart w:id="47" w:name="_Toc256000053"/>
      <w:r>
        <w:t>F. Program Authority</w:t>
      </w:r>
      <w:bookmarkEnd w:id="47"/>
    </w:p>
    <w:p w:rsidR="00976CDB" w:rsidP="00632103" w14:paraId="3E1FA661" w14:textId="77777777">
      <w:pPr>
        <w:spacing w:after="140"/>
        <w:rPr>
          <w:sz w:val="20"/>
          <w:szCs w:val="20"/>
        </w:rPr>
      </w:pPr>
      <w:bookmarkStart w:id="48" w:name="_bookmark234640"/>
      <w:bookmarkEnd w:id="48"/>
      <w:r>
        <w:rPr>
          <w:szCs w:val="20"/>
        </w:rPr>
        <w:t xml:space="preserve">Section 171 of WIOA (Pub. L. 113-128) authorizes this program. </w:t>
      </w:r>
    </w:p>
    <w:p w:rsidR="00976CDB" w:rsidP="00632103" w14:paraId="5F3E99EC" w14:textId="77777777">
      <w:pPr>
        <w:pStyle w:val="Heading2"/>
        <w:spacing w:before="20" w:after="20"/>
      </w:pPr>
      <w:bookmarkStart w:id="49" w:name="_bookmark234641"/>
      <w:bookmarkEnd w:id="49"/>
      <w:r>
        <w:t xml:space="preserve"> </w:t>
      </w:r>
      <w:bookmarkStart w:id="50" w:name="_Toc256000054"/>
      <w:r>
        <w:t>G. Definitions</w:t>
      </w:r>
      <w:bookmarkEnd w:id="50"/>
    </w:p>
    <w:p w:rsidR="00976CDB" w:rsidP="00632103" w14:paraId="7FA3E5E5" w14:textId="77777777">
      <w:pPr>
        <w:spacing w:before="20" w:after="20"/>
      </w:pPr>
      <w:bookmarkStart w:id="51" w:name="_bookmark234642"/>
      <w:bookmarkEnd w:id="51"/>
      <w:r>
        <w:rPr>
          <w:color w:val="auto"/>
          <w:szCs w:val="24"/>
        </w:rPr>
        <w:t xml:space="preserve"> </w:t>
      </w:r>
    </w:p>
    <w:p w:rsidR="00976CDB" w:rsidP="00632103" w14:paraId="482AA379" w14:textId="77777777">
      <w:pPr>
        <w:spacing w:after="140"/>
        <w:rPr>
          <w:sz w:val="20"/>
          <w:szCs w:val="20"/>
        </w:rPr>
      </w:pPr>
      <w:r>
        <w:rPr>
          <w:b/>
          <w:bCs/>
          <w:szCs w:val="20"/>
        </w:rPr>
        <w:t>1. Construction Plus</w:t>
      </w:r>
    </w:p>
    <w:p w:rsidR="00976CDB" w:rsidP="00632103" w14:paraId="26CE26CF" w14:textId="77777777">
      <w:pPr>
        <w:spacing w:after="140"/>
        <w:rPr>
          <w:sz w:val="20"/>
          <w:szCs w:val="20"/>
        </w:rPr>
      </w:pPr>
      <w:r>
        <w:rPr>
          <w:szCs w:val="20"/>
        </w:rPr>
        <w:t>Construction Plus (C+) is optional expansion into additional occupational skills training. Grantees approved for C+ must still train participants in construction and fulfill the requirement to build or substantially renovate at least one unit of housing during the grant period of performance. Grantees may require all participants to complete construction training before beginning C+ training, or they may give participants the option to choose between construction and C+. Category A applicants may propose one or more C+ fields. Category B applicants may propose only one C+ field.</w:t>
      </w:r>
    </w:p>
    <w:p w:rsidR="00976CDB" w:rsidP="00632103" w14:paraId="4DB3A279" w14:textId="77777777">
      <w:pPr>
        <w:spacing w:after="140"/>
        <w:rPr>
          <w:sz w:val="20"/>
          <w:szCs w:val="20"/>
        </w:rPr>
      </w:pPr>
      <w:r>
        <w:rPr>
          <w:szCs w:val="20"/>
        </w:rPr>
        <w:t>C+ applicants must:</w:t>
      </w:r>
    </w:p>
    <w:p w:rsidR="00976CDB" w:rsidP="00632103" w14:paraId="7F6CDC89" w14:textId="77777777">
      <w:pPr>
        <w:numPr>
          <w:ilvl w:val="0"/>
          <w:numId w:val="13"/>
        </w:numPr>
        <w:spacing w:after="20"/>
      </w:pPr>
      <w:r>
        <w:t>Initiate relevant plans and partnerships at the time of grant application;</w:t>
      </w:r>
    </w:p>
    <w:p w:rsidR="00976CDB" w:rsidP="00632103" w14:paraId="0E557925" w14:textId="77777777">
      <w:pPr>
        <w:numPr>
          <w:ilvl w:val="1"/>
          <w:numId w:val="13"/>
        </w:numPr>
        <w:spacing w:after="150"/>
      </w:pPr>
      <w:r>
        <w:t>Grantees may not propose additional training fields after award</w:t>
      </w:r>
    </w:p>
    <w:p w:rsidR="00976CDB" w:rsidP="00632103" w14:paraId="00154036" w14:textId="77777777">
      <w:pPr>
        <w:numPr>
          <w:ilvl w:val="0"/>
          <w:numId w:val="13"/>
        </w:numPr>
        <w:spacing w:before="20" w:after="20"/>
      </w:pPr>
      <w:r>
        <w:t>Provide training either directly or through a contract;</w:t>
      </w:r>
    </w:p>
    <w:p w:rsidR="00976CDB" w:rsidP="00632103" w14:paraId="4A4CFAD5" w14:textId="77777777">
      <w:pPr>
        <w:numPr>
          <w:ilvl w:val="1"/>
          <w:numId w:val="13"/>
        </w:numPr>
        <w:spacing w:after="150"/>
      </w:pPr>
      <w:r>
        <w:t>Referring YouthBuild participants to training partners does not qualify as C+</w:t>
      </w:r>
    </w:p>
    <w:p w:rsidR="00976CDB" w:rsidP="00632103" w14:paraId="063FA576" w14:textId="77777777">
      <w:pPr>
        <w:numPr>
          <w:ilvl w:val="0"/>
          <w:numId w:val="13"/>
        </w:numPr>
        <w:spacing w:before="20" w:after="150"/>
      </w:pPr>
      <w:r>
        <w:t xml:space="preserve">Include as an attachment separate Construction Plus Proposals for each additional industry proposed. You can find the Construction Plus Field Proposal under FORMS: </w:t>
      </w:r>
      <w:hyperlink r:id="rId29" w:history="1">
        <w:r>
          <w:rPr>
            <w:rStyle w:val="ahref"/>
            <w:u w:val="single" w:color="0000FF"/>
          </w:rPr>
          <w:t>https://www.dol.gov/agencies/eta/youth/youthbuild</w:t>
        </w:r>
      </w:hyperlink>
      <w:r>
        <w:t>.</w:t>
      </w:r>
    </w:p>
    <w:p w:rsidR="00976CDB" w:rsidP="00632103" w14:paraId="52BB4614" w14:textId="77777777">
      <w:pPr>
        <w:spacing w:after="140"/>
        <w:rPr>
          <w:sz w:val="20"/>
          <w:szCs w:val="20"/>
        </w:rPr>
      </w:pPr>
      <w:r>
        <w:rPr>
          <w:szCs w:val="20"/>
        </w:rPr>
        <w:t>Each C+ Proposal must include:</w:t>
      </w:r>
    </w:p>
    <w:p w:rsidR="00976CDB" w:rsidP="00632103" w14:paraId="757C5F87" w14:textId="77777777">
      <w:pPr>
        <w:numPr>
          <w:ilvl w:val="0"/>
          <w:numId w:val="14"/>
        </w:numPr>
        <w:spacing w:after="20"/>
      </w:pPr>
      <w:r>
        <w:t>The field/industry proposed (e.g., advanced manufacturing, information technology including AI);</w:t>
      </w:r>
    </w:p>
    <w:p w:rsidR="00976CDB" w:rsidP="00632103" w14:paraId="3F69BE52" w14:textId="77777777">
      <w:pPr>
        <w:numPr>
          <w:ilvl w:val="1"/>
          <w:numId w:val="14"/>
        </w:numPr>
        <w:spacing w:after="150"/>
      </w:pPr>
      <w:r>
        <w:t>Specialized training within residential construction (e.g., weatherization) does not qualify as C+</w:t>
      </w:r>
    </w:p>
    <w:p w:rsidR="00976CDB" w:rsidP="00632103" w14:paraId="56B7286E" w14:textId="77777777">
      <w:pPr>
        <w:numPr>
          <w:ilvl w:val="0"/>
          <w:numId w:val="14"/>
        </w:numPr>
        <w:spacing w:before="20" w:after="20"/>
      </w:pPr>
      <w:r>
        <w:t>The projected labor market outlook demonstrating local need for proposed occupation;</w:t>
      </w:r>
    </w:p>
    <w:p w:rsidR="00976CDB" w:rsidP="00632103" w14:paraId="4B96D93B" w14:textId="77777777">
      <w:pPr>
        <w:numPr>
          <w:ilvl w:val="0"/>
          <w:numId w:val="14"/>
        </w:numPr>
        <w:spacing w:before="20" w:after="20"/>
      </w:pPr>
      <w:r>
        <w:t>Which industry-recognized credential(s) will result;</w:t>
      </w:r>
    </w:p>
    <w:p w:rsidR="00976CDB" w:rsidP="00632103" w14:paraId="75187B08" w14:textId="77777777">
      <w:pPr>
        <w:numPr>
          <w:ilvl w:val="1"/>
          <w:numId w:val="14"/>
        </w:numPr>
        <w:spacing w:after="150"/>
      </w:pPr>
      <w:r>
        <w:t>Single-skill certificates (e.g., cardiopulmonary resuscitation (CPR), SERV Safe, Occupational Safety and Health Administration (OSHA) Safety Cards) do not qualify as C+</w:t>
      </w:r>
    </w:p>
    <w:p w:rsidR="00976CDB" w:rsidP="00632103" w14:paraId="4734D080" w14:textId="77777777">
      <w:pPr>
        <w:numPr>
          <w:ilvl w:val="0"/>
          <w:numId w:val="14"/>
        </w:numPr>
        <w:spacing w:before="20" w:after="20"/>
      </w:pPr>
      <w:r>
        <w:t>How local Registered Apprenticeship Programs, employers, labor organizations, or unions will participate in training and hiring;</w:t>
      </w:r>
    </w:p>
    <w:p w:rsidR="00976CDB" w:rsidP="00632103" w14:paraId="502F9C3C" w14:textId="77777777">
      <w:pPr>
        <w:numPr>
          <w:ilvl w:val="0"/>
          <w:numId w:val="14"/>
        </w:numPr>
        <w:spacing w:before="20" w:after="20"/>
      </w:pPr>
      <w:r>
        <w:t>The curriculum or training plan;</w:t>
      </w:r>
    </w:p>
    <w:p w:rsidR="00976CDB" w:rsidP="00632103" w14:paraId="4D898C8D" w14:textId="77777777">
      <w:pPr>
        <w:numPr>
          <w:ilvl w:val="0"/>
          <w:numId w:val="14"/>
        </w:numPr>
        <w:spacing w:before="20" w:after="20"/>
      </w:pPr>
      <w:r>
        <w:t>How many participants the program anticipates training in the specific C+ industry;</w:t>
      </w:r>
    </w:p>
    <w:p w:rsidR="00976CDB" w:rsidP="00632103" w14:paraId="30E1E680" w14:textId="77777777">
      <w:pPr>
        <w:numPr>
          <w:ilvl w:val="0"/>
          <w:numId w:val="14"/>
        </w:numPr>
        <w:spacing w:before="20" w:after="20"/>
      </w:pPr>
      <w:r>
        <w:t>How the program will incorporate community service, youth leadership development, and work experience opportunities into the occupational skills training; and</w:t>
      </w:r>
    </w:p>
    <w:p w:rsidR="00976CDB" w:rsidP="00632103" w14:paraId="655477D7" w14:textId="77777777">
      <w:pPr>
        <w:numPr>
          <w:ilvl w:val="0"/>
          <w:numId w:val="14"/>
        </w:numPr>
        <w:spacing w:before="20" w:after="150"/>
      </w:pPr>
      <w:r>
        <w:t>Letters of commitment for any partners supporting the C+ pathway, including at a minimum the work experience employer partner.</w:t>
      </w:r>
    </w:p>
    <w:p w:rsidR="00976CDB" w:rsidP="00632103" w14:paraId="74866DE9" w14:textId="77777777">
      <w:pPr>
        <w:spacing w:after="140"/>
        <w:rPr>
          <w:sz w:val="20"/>
          <w:szCs w:val="20"/>
        </w:rPr>
      </w:pPr>
      <w:r>
        <w:rPr>
          <w:szCs w:val="20"/>
        </w:rPr>
        <w:t>Per Executive Order 14269, “Restoring America’s Maritime Dominance,” DOL encourages C+ proposals that support training for skills relevant to the shipbuilding industry, such as pipefitting, shipfitting, and welding.</w:t>
      </w:r>
    </w:p>
    <w:p w:rsidR="00976CDB" w:rsidP="00632103" w14:paraId="643378AE" w14:textId="77777777">
      <w:pPr>
        <w:spacing w:after="140"/>
        <w:rPr>
          <w:sz w:val="20"/>
          <w:szCs w:val="20"/>
        </w:rPr>
      </w:pPr>
      <w:r>
        <w:rPr>
          <w:szCs w:val="20"/>
        </w:rPr>
        <w:t>DOL encourages YouthBuild funds or other sources to also pay for stipends or subsidized wages during the C+ work experience.</w:t>
      </w:r>
    </w:p>
    <w:p w:rsidR="00976CDB" w:rsidP="00632103" w14:paraId="25A9A0ED" w14:textId="77777777">
      <w:pPr>
        <w:spacing w:after="140"/>
        <w:rPr>
          <w:sz w:val="20"/>
          <w:szCs w:val="20"/>
        </w:rPr>
      </w:pPr>
      <w:r>
        <w:rPr>
          <w:szCs w:val="20"/>
        </w:rPr>
        <w:t>DOL recommends that applicants review the following resources:</w:t>
      </w:r>
    </w:p>
    <w:p w:rsidR="00976CDB" w:rsidP="00632103" w14:paraId="778F6548" w14:textId="77777777">
      <w:pPr>
        <w:numPr>
          <w:ilvl w:val="0"/>
          <w:numId w:val="15"/>
        </w:numPr>
        <w:spacing w:after="20"/>
      </w:pPr>
      <w:hyperlink r:id="rId29" w:history="1">
        <w:r>
          <w:rPr>
            <w:rStyle w:val="ahref"/>
            <w:u w:val="single" w:color="0000FF"/>
          </w:rPr>
          <w:t>Construction Plus Field Proposal</w:t>
        </w:r>
      </w:hyperlink>
    </w:p>
    <w:p w:rsidR="00976CDB" w:rsidP="00632103" w14:paraId="532D7C68" w14:textId="77777777">
      <w:pPr>
        <w:numPr>
          <w:ilvl w:val="0"/>
          <w:numId w:val="15"/>
        </w:numPr>
        <w:spacing w:before="20" w:after="20"/>
      </w:pPr>
      <w:hyperlink r:id="rId30" w:history="1">
        <w:r>
          <w:rPr>
            <w:rStyle w:val="ahref"/>
            <w:u w:val="single" w:color="0000FF"/>
          </w:rPr>
          <w:t>TEN 25-19</w:t>
        </w:r>
      </w:hyperlink>
      <w:r>
        <w:t xml:space="preserve"> provides information on qualifying credentials.</w:t>
      </w:r>
    </w:p>
    <w:p w:rsidR="00976CDB" w:rsidP="00632103" w14:paraId="130A885C" w14:textId="77777777">
      <w:pPr>
        <w:numPr>
          <w:ilvl w:val="0"/>
          <w:numId w:val="15"/>
        </w:numPr>
        <w:spacing w:before="20" w:after="20"/>
      </w:pPr>
      <w:hyperlink r:id="rId31" w:history="1">
        <w:r>
          <w:rPr>
            <w:rStyle w:val="ahref"/>
            <w:u w:val="single" w:color="0000FF"/>
          </w:rPr>
          <w:t>TEGL 07-14, Change 1</w:t>
        </w:r>
      </w:hyperlink>
      <w:r>
        <w:t xml:space="preserve"> shares a synopsis of what C+ entails.</w:t>
      </w:r>
    </w:p>
    <w:p w:rsidR="00976CDB" w:rsidP="00632103" w14:paraId="161DFE73" w14:textId="77777777">
      <w:pPr>
        <w:numPr>
          <w:ilvl w:val="0"/>
          <w:numId w:val="15"/>
        </w:numPr>
        <w:spacing w:before="20" w:after="150"/>
      </w:pPr>
      <w:hyperlink r:id="rId32" w:history="1">
        <w:r>
          <w:rPr>
            <w:rStyle w:val="ahref"/>
            <w:u w:val="single" w:color="0000FF"/>
          </w:rPr>
          <w:t>WorkforceGPS - Construction Plus Framework</w:t>
        </w:r>
      </w:hyperlink>
      <w:r>
        <w:t xml:space="preserve"> provides more information about C+ programming and how it can support successful YouthBuild program outcomes.</w:t>
      </w:r>
    </w:p>
    <w:p w:rsidR="00976CDB" w:rsidP="00632103" w14:paraId="17B75121" w14:textId="77777777">
      <w:pPr>
        <w:spacing w:after="140"/>
        <w:rPr>
          <w:sz w:val="20"/>
          <w:szCs w:val="20"/>
        </w:rPr>
      </w:pPr>
      <w:r>
        <w:rPr>
          <w:b/>
          <w:bCs/>
          <w:szCs w:val="20"/>
        </w:rPr>
        <w:t>2. Service Area</w:t>
      </w:r>
    </w:p>
    <w:p w:rsidR="00976CDB" w:rsidP="00632103" w14:paraId="6EB0202C" w14:textId="77777777">
      <w:pPr>
        <w:spacing w:after="140"/>
        <w:rPr>
          <w:sz w:val="20"/>
          <w:szCs w:val="20"/>
        </w:rPr>
      </w:pPr>
      <w:r>
        <w:rPr>
          <w:szCs w:val="20"/>
        </w:rPr>
        <w:t>DOL evaluates applications on the need for program services and the need for affordable housing in the proposed service area, as determined by poverty and youth labor force participation rates across identified zip codes.</w:t>
      </w:r>
    </w:p>
    <w:p w:rsidR="00976CDB" w:rsidP="00632103" w14:paraId="75CF393C" w14:textId="77777777">
      <w:pPr>
        <w:spacing w:after="140"/>
        <w:rPr>
          <w:sz w:val="20"/>
          <w:szCs w:val="20"/>
        </w:rPr>
      </w:pPr>
      <w:r>
        <w:rPr>
          <w:szCs w:val="20"/>
        </w:rPr>
        <w:t>DOL expects grantees to recruit and enroll participants who reside within the service area, but up to 20 percent of enrolled participants may reside elsewhere. Work sites should be within the service area and must be within a reasonable commuting distance of the service area.</w:t>
      </w:r>
    </w:p>
    <w:p w:rsidR="00976CDB" w:rsidP="00632103" w14:paraId="29D39960" w14:textId="77777777">
      <w:pPr>
        <w:spacing w:after="140"/>
        <w:rPr>
          <w:sz w:val="20"/>
          <w:szCs w:val="20"/>
        </w:rPr>
      </w:pPr>
      <w:r>
        <w:rPr>
          <w:b/>
          <w:bCs/>
          <w:szCs w:val="20"/>
        </w:rPr>
        <w:t>3. Staffing</w:t>
      </w:r>
    </w:p>
    <w:p w:rsidR="00976CDB" w:rsidP="00632103" w14:paraId="35AFC4FA" w14:textId="77777777">
      <w:pPr>
        <w:spacing w:after="140"/>
        <w:rPr>
          <w:sz w:val="20"/>
          <w:szCs w:val="20"/>
        </w:rPr>
      </w:pPr>
      <w:r>
        <w:rPr>
          <w:szCs w:val="20"/>
        </w:rPr>
        <w:t>Grantees must have three core positions on staff for at least three years, i.e., 24 months of active programming and 12 months of follow-up. These positions may be part-time for some portion of that period, but the budget narrative should make their allocation to the program clear, e.g., the job developer may be 0.5 FTE during follow-up:</w:t>
      </w:r>
    </w:p>
    <w:p w:rsidR="00976CDB" w:rsidP="00632103" w14:paraId="33248124" w14:textId="77777777">
      <w:pPr>
        <w:numPr>
          <w:ilvl w:val="0"/>
          <w:numId w:val="16"/>
        </w:numPr>
        <w:spacing w:after="20"/>
      </w:pPr>
      <w:r>
        <w:t>The Project Manager/Director oversees all aspects of the grant, including staff supervision, program design, and required reporting.</w:t>
      </w:r>
    </w:p>
    <w:p w:rsidR="00976CDB" w:rsidP="00632103" w14:paraId="1A7AFF26" w14:textId="77777777">
      <w:pPr>
        <w:numPr>
          <w:ilvl w:val="0"/>
          <w:numId w:val="16"/>
        </w:numPr>
        <w:spacing w:before="20" w:after="20"/>
      </w:pPr>
      <w:r>
        <w:t>The Case Manager is responsible for participant files, including documentation of eligibility and services, and planning and documenting follow-up services.</w:t>
      </w:r>
    </w:p>
    <w:p w:rsidR="00976CDB" w:rsidP="00632103" w14:paraId="7B9B09B3" w14:textId="77777777">
      <w:pPr>
        <w:numPr>
          <w:ilvl w:val="0"/>
          <w:numId w:val="16"/>
        </w:numPr>
        <w:spacing w:before="20" w:after="150"/>
      </w:pPr>
      <w:r>
        <w:t>The Job Developer/Placement Specialist engages potential employers and ensures that youth that get employment placements are meeting employer expectations.</w:t>
      </w:r>
    </w:p>
    <w:p w:rsidR="00976CDB" w:rsidP="00632103" w14:paraId="05D02160" w14:textId="77777777">
      <w:pPr>
        <w:spacing w:after="140"/>
        <w:rPr>
          <w:sz w:val="20"/>
          <w:szCs w:val="20"/>
        </w:rPr>
      </w:pPr>
      <w:r>
        <w:rPr>
          <w:szCs w:val="20"/>
        </w:rPr>
        <w:t>The core program staff described above must be in place before the enrollment of any program participant, not at the time of application. Each core position must be held by different individuals.  DOL strongly encourages grantees to hire individuals with backgrounds relevant to the program purpose, such as individuals who have experienced housing instability or resided in low-income neighborhoods.</w:t>
      </w:r>
    </w:p>
    <w:p w:rsidR="00976CDB" w:rsidP="00632103" w14:paraId="1C9D1168" w14:textId="77777777">
      <w:pPr>
        <w:spacing w:after="140"/>
        <w:rPr>
          <w:sz w:val="20"/>
          <w:szCs w:val="20"/>
        </w:rPr>
      </w:pPr>
      <w:r>
        <w:rPr>
          <w:b/>
          <w:bCs/>
          <w:szCs w:val="20"/>
        </w:rPr>
        <w:t>4. Section 3 of the Housing and Urban Development Act of 1968 (12. U.S.C. 1701u)</w:t>
      </w:r>
    </w:p>
    <w:p w:rsidR="00976CDB" w:rsidP="00632103" w14:paraId="50B178BB" w14:textId="77777777">
      <w:pPr>
        <w:spacing w:after="140"/>
        <w:rPr>
          <w:sz w:val="20"/>
          <w:szCs w:val="20"/>
        </w:rPr>
      </w:pPr>
      <w:r>
        <w:rPr>
          <w:szCs w:val="20"/>
        </w:rPr>
        <w:t>Section 3 of the Housing and Urban Development Act of 1968 requires that certain public construction projects provide job training, employment, and/or contracting opportunities for certain populations, including YouthBuild participants.</w:t>
      </w:r>
    </w:p>
    <w:p w:rsidR="00976CDB" w:rsidP="00632103" w14:paraId="43716F61" w14:textId="77777777">
      <w:pPr>
        <w:spacing w:after="140"/>
        <w:rPr>
          <w:sz w:val="20"/>
          <w:szCs w:val="20"/>
        </w:rPr>
      </w:pPr>
      <w:r>
        <w:rPr>
          <w:szCs w:val="20"/>
        </w:rPr>
        <w:t xml:space="preserve">More information: </w:t>
      </w:r>
      <w:hyperlink r:id="rId33" w:history="1">
        <w:r>
          <w:rPr>
            <w:rStyle w:val="ahref"/>
            <w:szCs w:val="20"/>
            <w:u w:val="single" w:color="0000FF"/>
          </w:rPr>
          <w:t>WorkforceGPS - HUD Section 3 Partnership</w:t>
        </w:r>
      </w:hyperlink>
    </w:p>
    <w:p w:rsidR="00976CDB" w:rsidP="00632103" w14:paraId="71CAC715" w14:textId="77777777">
      <w:pPr>
        <w:spacing w:after="140"/>
        <w:rPr>
          <w:sz w:val="20"/>
          <w:szCs w:val="20"/>
        </w:rPr>
      </w:pPr>
      <w:bookmarkStart w:id="52" w:name="_bookmark234643"/>
      <w:bookmarkStart w:id="53" w:name="_bookmark234798"/>
      <w:bookmarkEnd w:id="52"/>
      <w:bookmarkEnd w:id="53"/>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VIII.G Definitions.</w:t>
      </w:r>
    </w:p>
    <w:p w:rsidR="00976CDB" w:rsidP="00632103" w14:paraId="0B447196" w14:textId="77777777">
      <w:pPr>
        <w:pStyle w:val="Heading2"/>
        <w:spacing w:before="20" w:after="20"/>
      </w:pPr>
      <w:bookmarkStart w:id="54" w:name="_bookmark234799"/>
      <w:bookmarkEnd w:id="54"/>
      <w:r>
        <w:t xml:space="preserve"> </w:t>
      </w:r>
      <w:bookmarkStart w:id="55" w:name="_Toc256000055"/>
      <w:r>
        <w:t>H. Funding Restrictions, Policies and Limitations</w:t>
      </w:r>
      <w:bookmarkEnd w:id="55"/>
    </w:p>
    <w:p w:rsidR="00976CDB" w:rsidP="00632103" w14:paraId="5BC62BD5" w14:textId="77777777">
      <w:pPr>
        <w:spacing w:after="140"/>
        <w:rPr>
          <w:sz w:val="20"/>
          <w:szCs w:val="20"/>
        </w:rPr>
      </w:pPr>
      <w:bookmarkStart w:id="56" w:name="_bookmark234800"/>
      <w:bookmarkEnd w:id="56"/>
      <w:r>
        <w:rPr>
          <w:szCs w:val="20"/>
        </w:rPr>
        <w:t>All proposed project costs must be necessary and reasonable and in accordance with federal guidelines.</w:t>
      </w:r>
    </w:p>
    <w:p w:rsidR="00976CDB" w:rsidP="00632103" w14:paraId="5C8C67E3" w14:textId="77777777">
      <w:pPr>
        <w:spacing w:after="140"/>
        <w:rPr>
          <w:sz w:val="20"/>
          <w:szCs w:val="20"/>
        </w:rPr>
      </w:pPr>
      <w:bookmarkStart w:id="57" w:name="_bookmark234801"/>
      <w:bookmarkStart w:id="58" w:name="_bookmark234802"/>
      <w:bookmarkEnd w:id="57"/>
      <w:bookmarkEnd w:id="58"/>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III.H Funding Restrictions, Policies and Limitations.</w:t>
      </w:r>
    </w:p>
    <w:p w:rsidR="00976CDB" w:rsidP="00632103" w14:paraId="117A63AF" w14:textId="77777777">
      <w:pPr>
        <w:spacing w:after="140"/>
        <w:rPr>
          <w:sz w:val="20"/>
          <w:szCs w:val="20"/>
        </w:rPr>
      </w:pPr>
      <w:bookmarkStart w:id="59" w:name="_bookmark234809"/>
      <w:bookmarkEnd w:id="59"/>
      <w:r>
        <w:rPr>
          <w:b/>
          <w:bCs/>
          <w:szCs w:val="20"/>
          <w:u w:val="single"/>
        </w:rPr>
        <w:t>Administrative Cost Limitation</w:t>
      </w:r>
    </w:p>
    <w:p w:rsidR="00976CDB" w:rsidP="00632103" w14:paraId="1F4ED97D" w14:textId="77777777">
      <w:pPr>
        <w:spacing w:after="140"/>
        <w:rPr>
          <w:sz w:val="20"/>
          <w:szCs w:val="20"/>
        </w:rPr>
      </w:pPr>
      <w:r>
        <w:rPr>
          <w:szCs w:val="20"/>
        </w:rPr>
        <w:t xml:space="preserve">Grantees are limited to </w:t>
      </w:r>
      <w:r>
        <w:rPr>
          <w:b/>
          <w:bCs/>
          <w:szCs w:val="20"/>
        </w:rPr>
        <w:t xml:space="preserve">10 percent </w:t>
      </w:r>
      <w:r>
        <w:rPr>
          <w:szCs w:val="20"/>
        </w:rPr>
        <w:t xml:space="preserve">of the grant to pay administrative costs that are associated with the program or project. Under </w:t>
      </w:r>
      <w:hyperlink r:id="rId34" w:history="1">
        <w:r>
          <w:rPr>
            <w:rStyle w:val="ahref"/>
            <w:szCs w:val="20"/>
            <w:u w:val="single" w:color="0000FF"/>
          </w:rPr>
          <w:t>20 CFR 683.215</w:t>
        </w:r>
      </w:hyperlink>
      <w:r>
        <w:rPr>
          <w:szCs w:val="20"/>
        </w:rPr>
        <w:t xml:space="preserve">, administrative costs include both personnel and non-personnel costs, as well as direct and indirect costs, in carrying out activities under Title I of WIOA that are not related to the direct provision of workforce investment services (including services to participants and employers). Administrative costs do not need to be identified separately from program costs on the SF-424A Budget Information Form, but they must be tracked through the recipient’s accounting system. To claim any administrative costs that are also indirect costs, the applicant must get an Indirect Cost Rate Agreement from its federal Cognizant Agency or be eligible to use the 15 percent de minimis rate (see the </w:t>
      </w:r>
      <w:hyperlink r:id="rId16" w:history="1">
        <w:r>
          <w:rPr>
            <w:rStyle w:val="ahref"/>
            <w:szCs w:val="20"/>
            <w:u w:val="single" w:color="0000FF"/>
          </w:rPr>
          <w:t>2025 Application Guide</w:t>
        </w:r>
      </w:hyperlink>
      <w:r>
        <w:rPr>
          <w:szCs w:val="20"/>
        </w:rPr>
        <w:t xml:space="preserve">, Section III.H Funding Restrictions, Policies and Limitations). For WIOA </w:t>
      </w:r>
      <w:r>
        <w:rPr>
          <w:szCs w:val="20"/>
        </w:rPr>
        <w:t>grants, all costs charged as a result of the de minimis rate will be counted towards the administrative cost limitation specified above.</w:t>
      </w:r>
    </w:p>
    <w:p w:rsidR="00976CDB" w:rsidP="00632103" w14:paraId="2EFA4AA1" w14:textId="77777777">
      <w:pPr>
        <w:spacing w:before="20" w:after="20"/>
      </w:pPr>
      <w:bookmarkStart w:id="60" w:name="_bookmark234810"/>
      <w:bookmarkEnd w:id="60"/>
      <w:r>
        <w:rPr>
          <w:color w:val="auto"/>
          <w:szCs w:val="24"/>
        </w:rPr>
        <w:t xml:space="preserve"> </w:t>
      </w:r>
    </w:p>
    <w:p w:rsidR="00976CDB" w:rsidP="00632103" w14:paraId="5690AB43" w14:textId="77777777">
      <w:pPr>
        <w:spacing w:after="140"/>
        <w:rPr>
          <w:sz w:val="20"/>
          <w:szCs w:val="20"/>
        </w:rPr>
      </w:pPr>
      <w:r>
        <w:rPr>
          <w:b/>
          <w:bCs/>
          <w:szCs w:val="20"/>
          <w:u w:val="single"/>
        </w:rPr>
        <w:t>Evaluation and Data-Related Costs</w:t>
      </w:r>
    </w:p>
    <w:p w:rsidR="00976CDB" w:rsidP="00632103" w14:paraId="07071949" w14:textId="77777777">
      <w:pPr>
        <w:spacing w:after="140"/>
        <w:rPr>
          <w:sz w:val="20"/>
          <w:szCs w:val="20"/>
        </w:rPr>
      </w:pPr>
      <w:r>
        <w:rPr>
          <w:szCs w:val="20"/>
        </w:rPr>
        <w:t>Labor and other costs related to data and evaluation are allowable, as defined in 2 CFR Part 200.455. Data and evaluation activities may include staff participating in interviews, focus groups, and surveys; staff working to execute data sharing agreements; staff preparing datasets required for an evaluation; staff participating in evaluation meetings; and other costs related to DOL’s evaluations and data-related activities.</w:t>
      </w:r>
    </w:p>
    <w:p w:rsidR="00976CDB" w:rsidP="00632103" w14:paraId="3661C73C" w14:textId="77777777">
      <w:pPr>
        <w:spacing w:after="140"/>
        <w:rPr>
          <w:sz w:val="20"/>
          <w:szCs w:val="20"/>
        </w:rPr>
      </w:pPr>
      <w:bookmarkStart w:id="61" w:name="_bookmark234811"/>
      <w:bookmarkEnd w:id="61"/>
      <w:r>
        <w:rPr>
          <w:b/>
          <w:bCs/>
          <w:szCs w:val="20"/>
          <w:u w:val="single"/>
        </w:rPr>
        <w:t>Use of Grant Funds for Participant Wages</w:t>
      </w:r>
    </w:p>
    <w:p w:rsidR="00976CDB" w:rsidP="00632103" w14:paraId="602507BC" w14:textId="77777777">
      <w:pPr>
        <w:spacing w:after="140"/>
        <w:rPr>
          <w:sz w:val="20"/>
          <w:szCs w:val="20"/>
        </w:rPr>
      </w:pPr>
      <w:r>
        <w:rPr>
          <w:szCs w:val="20"/>
        </w:rPr>
        <w:t>Section 171(c)(2) of WIOA permits YouthBuild grantees to use funds to provide needs-based payments, stipends, wages, including subsidized wages, or benefits to help enable program participants to participate in the program. Needs-based payments, stipends, wages, and benefits provided under YouthBuild grants must accord with the policies and procedures of the grantee organization. Wages can compensate youth at the same rates (including periodic increases) as similar trainees or employees in the construction fields, and rates must accord with all applicable laws. Stipends can provide a weekly living allowance to those participating in the program, designed to help with transportation, living expenses, day care, etc. Per Section 181(a)(2) of WIOA, payments to participants in the YouthBuild program do not count as income for the purposes of determining eligibility for and the amount of income transfer and in-kind aid provided to participants through any federal or federally-assisted program, except as provided under the Social Security Act.</w:t>
      </w:r>
    </w:p>
    <w:p w:rsidR="00976CDB" w:rsidP="00632103" w14:paraId="07A6A752" w14:textId="77777777">
      <w:pPr>
        <w:spacing w:after="140"/>
        <w:rPr>
          <w:sz w:val="20"/>
          <w:szCs w:val="20"/>
        </w:rPr>
      </w:pPr>
      <w:r>
        <w:rPr>
          <w:szCs w:val="20"/>
        </w:rPr>
        <w:t>Needs-based payments refer to additional payments (beyond regular stipends for program participation) that are based on defined needs that enable youth to participate in the program.</w:t>
      </w:r>
      <w:r>
        <w:rPr>
          <w:szCs w:val="20"/>
        </w:rPr>
        <w:br/>
        <w:t>Under 20 CFR 688.320(a)(7)(ii), to provide needs-based payments, the grantee must have a written policy in place which defines (1) eligibility; (2) the amounts; and (3) the required documentation and criteria for payments.  This policy must be applied consistently to all program participants.</w:t>
      </w:r>
      <w:r>
        <w:rPr>
          <w:szCs w:val="20"/>
        </w:rPr>
        <w:br/>
      </w:r>
      <w:r>
        <w:rPr>
          <w:szCs w:val="20"/>
        </w:rPr>
        <w:br/>
        <w:t>Please note that there are legal and financial obligations activated by paying participants wages or stipends. DOL encourages applicants to seek legal and/or accounting advice before setting up or changing the funding system to ensure compliance with IRS and DOL requirements, and to help participants determine their income tax liability.</w:t>
      </w:r>
    </w:p>
    <w:p w:rsidR="00976CDB" w:rsidP="00632103" w14:paraId="1F6D971C" w14:textId="77777777">
      <w:pPr>
        <w:spacing w:after="140"/>
        <w:rPr>
          <w:sz w:val="20"/>
          <w:szCs w:val="20"/>
        </w:rPr>
      </w:pPr>
      <w:bookmarkStart w:id="62" w:name="_bookmark234813"/>
      <w:bookmarkEnd w:id="62"/>
      <w:r>
        <w:rPr>
          <w:b/>
          <w:bCs/>
          <w:szCs w:val="20"/>
          <w:u w:val="single"/>
        </w:rPr>
        <w:t>Salary and Bonus Limitations</w:t>
      </w:r>
    </w:p>
    <w:p w:rsidR="00976CDB" w:rsidP="00632103" w14:paraId="4A4AC7FE" w14:textId="77777777">
      <w:pPr>
        <w:spacing w:after="140"/>
        <w:rPr>
          <w:sz w:val="20"/>
          <w:szCs w:val="20"/>
        </w:rPr>
      </w:pPr>
      <w:r>
        <w:rPr>
          <w:szCs w:val="20"/>
        </w:rPr>
        <w:t xml:space="preserve">By law, no “Employment and Training Administration” appropriated funds may be used by a recipient or subrecipient of such funds to pay the salary and bonuses of an individual, either as direct costs or indirect costs, at a rate in excess of Executive Level II.  The Executive Level II salary may change yearly and is located on the </w:t>
      </w:r>
      <w:hyperlink r:id="rId35" w:history="1">
        <w:r>
          <w:rPr>
            <w:rStyle w:val="ahref"/>
            <w:szCs w:val="20"/>
            <w:u w:val="single" w:color="0000FF"/>
          </w:rPr>
          <w:t>OPM.gov website</w:t>
        </w:r>
      </w:hyperlink>
      <w:r>
        <w:rPr>
          <w:szCs w:val="20"/>
        </w:rPr>
        <w:t xml:space="preserve">.  This limitation does not apply to contractors (vendors) providing goods and services as defined in 2 CFR 200.331.  Where states are recipients of such funds, states may establish a lower limit for salaries and bonuses paid by subrecipients.  To establish these limits, states may consider the relative cost of living in the state, the salary levels for comparable state or local government employees, and the size of </w:t>
      </w:r>
      <w:r>
        <w:rPr>
          <w:szCs w:val="20"/>
        </w:rPr>
        <w:t xml:space="preserve">the organizations that administer Federal programs involved, including ETA programs.  See the Section I.B and the </w:t>
      </w:r>
      <w:hyperlink r:id="rId36" w:history="1">
        <w:r>
          <w:rPr>
            <w:rStyle w:val="ahref"/>
            <w:szCs w:val="20"/>
            <w:u w:val="single" w:color="0000FF"/>
          </w:rPr>
          <w:t>Program Authority</w:t>
        </w:r>
      </w:hyperlink>
      <w:r>
        <w:rPr>
          <w:szCs w:val="20"/>
        </w:rPr>
        <w:t xml:space="preserve"> found in TEGL 10-24 for additional information.</w:t>
      </w:r>
    </w:p>
    <w:p w:rsidR="00976CDB" w:rsidP="00632103" w14:paraId="31E7254E" w14:textId="77777777">
      <w:pPr>
        <w:pStyle w:val="Heading2"/>
        <w:spacing w:before="20" w:after="20"/>
      </w:pPr>
      <w:bookmarkStart w:id="63" w:name="_bookmark234804"/>
      <w:bookmarkEnd w:id="63"/>
      <w:r>
        <w:t xml:space="preserve"> </w:t>
      </w:r>
      <w:bookmarkStart w:id="64" w:name="_Toc256000056"/>
      <w:r>
        <w:t>I. Required Partnerships</w:t>
      </w:r>
      <w:bookmarkEnd w:id="64"/>
    </w:p>
    <w:p w:rsidR="00976CDB" w:rsidP="00632103" w14:paraId="0B8EE680" w14:textId="77777777">
      <w:pPr>
        <w:spacing w:after="140"/>
        <w:rPr>
          <w:sz w:val="20"/>
          <w:szCs w:val="20"/>
        </w:rPr>
      </w:pPr>
      <w:bookmarkStart w:id="65" w:name="_bookmark234807"/>
      <w:bookmarkEnd w:id="65"/>
      <w:r>
        <w:rPr>
          <w:b/>
          <w:bCs/>
          <w:szCs w:val="20"/>
        </w:rPr>
        <w:t>American Job Centers</w:t>
      </w:r>
    </w:p>
    <w:p w:rsidR="00976CDB" w:rsidP="00632103" w14:paraId="042D62B8" w14:textId="77777777">
      <w:pPr>
        <w:spacing w:after="140"/>
        <w:rPr>
          <w:sz w:val="20"/>
          <w:szCs w:val="20"/>
        </w:rPr>
      </w:pPr>
      <w:r>
        <w:rPr>
          <w:szCs w:val="20"/>
        </w:rPr>
        <w:t>As described in 20 CFR 688.380, a grantee funded under this announcement is a required partner of the local American Job Center (AJC, also known as one-stop career center) and is subject to the provisions relating to such partners described in 20 CFR part 678. As a required partner, the grantee must:</w:t>
      </w:r>
    </w:p>
    <w:p w:rsidR="00976CDB" w:rsidP="00632103" w14:paraId="5C30D262" w14:textId="77777777">
      <w:pPr>
        <w:numPr>
          <w:ilvl w:val="0"/>
          <w:numId w:val="17"/>
        </w:numPr>
        <w:spacing w:after="20"/>
      </w:pPr>
      <w:r>
        <w:t>Provide access to its programs or activities at the AJC and any other appropriate locations;</w:t>
      </w:r>
    </w:p>
    <w:p w:rsidR="00976CDB" w:rsidP="00632103" w14:paraId="5803D384" w14:textId="77777777">
      <w:pPr>
        <w:numPr>
          <w:ilvl w:val="0"/>
          <w:numId w:val="17"/>
        </w:numPr>
        <w:spacing w:before="20" w:after="20"/>
      </w:pPr>
      <w:r>
        <w:t>Use a portion of funds to provide applicable career services, work collaboratively with Workforce Development Boards (WDBs), and jointly fund the one-stop infrastructure;</w:t>
      </w:r>
    </w:p>
    <w:p w:rsidR="00976CDB" w:rsidP="00632103" w14:paraId="25D64798" w14:textId="77777777">
      <w:pPr>
        <w:numPr>
          <w:ilvl w:val="0"/>
          <w:numId w:val="17"/>
        </w:numPr>
        <w:spacing w:before="20" w:after="20"/>
      </w:pPr>
      <w:r>
        <w:t>Enter into a memorandum of understanding (MOU) with the Local WDB;</w:t>
      </w:r>
    </w:p>
    <w:p w:rsidR="00976CDB" w:rsidP="00632103" w14:paraId="2885677D" w14:textId="77777777">
      <w:pPr>
        <w:numPr>
          <w:ilvl w:val="0"/>
          <w:numId w:val="17"/>
        </w:numPr>
        <w:spacing w:before="20" w:after="20"/>
      </w:pPr>
      <w:r>
        <w:t>Participate in the operation of the one-stop delivery system; and</w:t>
      </w:r>
    </w:p>
    <w:p w:rsidR="00976CDB" w:rsidP="00632103" w14:paraId="20DFF503" w14:textId="77777777">
      <w:pPr>
        <w:numPr>
          <w:ilvl w:val="0"/>
          <w:numId w:val="17"/>
        </w:numPr>
        <w:spacing w:before="20" w:after="150"/>
      </w:pPr>
      <w:r>
        <w:t>Provide representation on the WDBs as required and participate in Board committees as needed.</w:t>
      </w:r>
    </w:p>
    <w:p w:rsidR="00976CDB" w:rsidP="00632103" w14:paraId="4AC73C52" w14:textId="77777777">
      <w:pPr>
        <w:spacing w:after="140"/>
        <w:rPr>
          <w:sz w:val="20"/>
          <w:szCs w:val="20"/>
        </w:rPr>
      </w:pPr>
      <w:r>
        <w:rPr>
          <w:szCs w:val="20"/>
        </w:rPr>
        <w:t>Applicants should initiate the partnership conversation with their Local WDB prior to submitting their grant application to ensure that their proposed budget reflects likely infrastructure sharing costs, shared staffing (such as the job developer, if applicable), etc.</w:t>
      </w:r>
    </w:p>
    <w:p w:rsidR="00976CDB" w:rsidP="00632103" w14:paraId="5861F386" w14:textId="77777777">
      <w:pPr>
        <w:spacing w:after="140"/>
        <w:rPr>
          <w:sz w:val="20"/>
          <w:szCs w:val="20"/>
        </w:rPr>
      </w:pPr>
      <w:r>
        <w:rPr>
          <w:szCs w:val="20"/>
        </w:rPr>
        <w:t>This partnership is a shared responsibility between the AJC and the YouthBuild grantee. Grantees must document efforts to establish this partnership and any challenges (e.g., lack of response from American Job Center staff) and share them with their Federal Project Officer (FPO) as early as possible.</w:t>
      </w:r>
    </w:p>
    <w:p w:rsidR="00976CDB" w:rsidP="00632103" w14:paraId="40C83E6F" w14:textId="77777777">
      <w:pPr>
        <w:pStyle w:val="Heading1"/>
        <w:spacing w:before="20" w:after="20"/>
      </w:pPr>
      <w:bookmarkStart w:id="66" w:name="_bookmark234806"/>
      <w:bookmarkStart w:id="67" w:name="_bookmark234815"/>
      <w:bookmarkEnd w:id="66"/>
      <w:bookmarkEnd w:id="67"/>
      <w:r>
        <w:t xml:space="preserve"> </w:t>
      </w:r>
      <w:bookmarkStart w:id="68" w:name="_Toc256000057"/>
      <w:r>
        <w:t>IV. APPLICATION CONTENT AND FORMAT</w:t>
      </w:r>
      <w:bookmarkEnd w:id="68"/>
    </w:p>
    <w:p w:rsidR="00976CDB" w:rsidP="00632103" w14:paraId="5D101199" w14:textId="77777777">
      <w:pPr>
        <w:spacing w:after="140"/>
        <w:rPr>
          <w:sz w:val="20"/>
          <w:szCs w:val="20"/>
        </w:rPr>
      </w:pPr>
      <w:bookmarkStart w:id="69" w:name="_bookmark234814"/>
      <w:bookmarkEnd w:id="69"/>
      <w:r>
        <w:rPr>
          <w:szCs w:val="20"/>
        </w:rPr>
        <w:t>Applications submitted in response to this FOA must consist of four separate and distinct parts:</w:t>
      </w:r>
    </w:p>
    <w:p w:rsidR="00976CDB" w:rsidP="00632103" w14:paraId="4C7FFC4A" w14:textId="77777777">
      <w:pPr>
        <w:numPr>
          <w:ilvl w:val="0"/>
          <w:numId w:val="18"/>
        </w:numPr>
        <w:spacing w:after="20"/>
      </w:pPr>
      <w:r>
        <w:t>SF-424, “Application for Federal Assistance”;</w:t>
      </w:r>
    </w:p>
    <w:p w:rsidR="00976CDB" w:rsidP="00632103" w14:paraId="64FE7753" w14:textId="77777777">
      <w:pPr>
        <w:numPr>
          <w:ilvl w:val="0"/>
          <w:numId w:val="18"/>
        </w:numPr>
        <w:spacing w:before="20" w:after="20"/>
      </w:pPr>
      <w:r>
        <w:t>Project Budget, composed of the SF-424A and Budget Narrative;</w:t>
      </w:r>
    </w:p>
    <w:p w:rsidR="00976CDB" w:rsidP="00632103" w14:paraId="1134A032" w14:textId="77777777">
      <w:pPr>
        <w:numPr>
          <w:ilvl w:val="0"/>
          <w:numId w:val="18"/>
        </w:numPr>
        <w:spacing w:before="20" w:after="20"/>
      </w:pPr>
      <w:r>
        <w:t>Project Narrative; and</w:t>
      </w:r>
    </w:p>
    <w:p w:rsidR="00976CDB" w:rsidP="00632103" w14:paraId="2AF24700" w14:textId="77777777">
      <w:pPr>
        <w:numPr>
          <w:ilvl w:val="0"/>
          <w:numId w:val="18"/>
        </w:numPr>
        <w:spacing w:before="20" w:after="150"/>
      </w:pPr>
      <w:r>
        <w:t>Attachments to the Project Narrative.</w:t>
      </w:r>
    </w:p>
    <w:p w:rsidR="00976CDB" w:rsidP="00632103" w14:paraId="2B9AA49E" w14:textId="77777777">
      <w:pPr>
        <w:spacing w:after="140"/>
        <w:rPr>
          <w:sz w:val="20"/>
          <w:szCs w:val="20"/>
        </w:rPr>
      </w:pPr>
      <w:r>
        <w:rPr>
          <w:szCs w:val="20"/>
        </w:rPr>
        <w:t>You must make sure that the funding amount requested is consistent across all parts and sub-parts of the application.  You must submit your application in one package.  Documents received separately will be tracked separately and will not be attached to your application for review.</w:t>
      </w:r>
    </w:p>
    <w:p w:rsidR="00976CDB" w:rsidP="00632103" w14:paraId="66A9FE2A" w14:textId="77777777">
      <w:pPr>
        <w:pStyle w:val="Heading2"/>
        <w:spacing w:before="20" w:after="20"/>
      </w:pPr>
      <w:bookmarkStart w:id="70" w:name="_bookmark234816"/>
      <w:bookmarkEnd w:id="70"/>
      <w:r>
        <w:t xml:space="preserve"> </w:t>
      </w:r>
      <w:bookmarkStart w:id="71" w:name="_Toc256000058"/>
      <w:r>
        <w:t>A. SF-424, Application for Federal Assistance</w:t>
      </w:r>
      <w:bookmarkEnd w:id="71"/>
    </w:p>
    <w:p w:rsidR="00976CDB" w:rsidP="00632103" w14:paraId="22887703" w14:textId="77777777">
      <w:pPr>
        <w:spacing w:after="140"/>
        <w:rPr>
          <w:sz w:val="20"/>
          <w:szCs w:val="20"/>
        </w:rPr>
      </w:pPr>
      <w:bookmarkStart w:id="72" w:name="_bookmark234817"/>
      <w:bookmarkEnd w:id="72"/>
      <w:r>
        <w:rPr>
          <w:szCs w:val="20"/>
        </w:rPr>
        <w:t>You must complete the SF-424, “Application for Federal Assistance”</w:t>
      </w:r>
    </w:p>
    <w:p w:rsidR="00976CDB" w:rsidP="00632103" w14:paraId="684A7B30"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IV.A SF-424 Application for Federal Assistance</w:t>
      </w:r>
      <w:r>
        <w:rPr>
          <w:szCs w:val="20"/>
          <w:u w:val="single"/>
        </w:rPr>
        <w:t>.</w:t>
      </w:r>
    </w:p>
    <w:p w:rsidR="00976CDB" w:rsidP="00632103" w14:paraId="0C64DD1F" w14:textId="77777777">
      <w:pPr>
        <w:pStyle w:val="Heading2"/>
        <w:spacing w:before="20" w:after="20"/>
      </w:pPr>
      <w:bookmarkStart w:id="73" w:name="_bookmark234818"/>
      <w:bookmarkStart w:id="74" w:name="_bookmark234819"/>
      <w:bookmarkEnd w:id="73"/>
      <w:bookmarkEnd w:id="74"/>
      <w:r>
        <w:t xml:space="preserve"> </w:t>
      </w:r>
      <w:bookmarkStart w:id="75" w:name="_Toc256000059"/>
      <w:r>
        <w:t>B. Project Budget, Composed of the SF-424A and Budget Narrative</w:t>
      </w:r>
      <w:bookmarkEnd w:id="75"/>
    </w:p>
    <w:p w:rsidR="00976CDB" w:rsidP="00632103" w14:paraId="1483AB55" w14:textId="77777777">
      <w:pPr>
        <w:spacing w:after="140"/>
        <w:rPr>
          <w:sz w:val="20"/>
          <w:szCs w:val="20"/>
        </w:rPr>
      </w:pPr>
      <w:bookmarkStart w:id="76" w:name="_bookmark234820"/>
      <w:bookmarkEnd w:id="76"/>
      <w:r>
        <w:rPr>
          <w:szCs w:val="20"/>
        </w:rPr>
        <w:t>You must complete the SF-424A Budget Information Form and a Budget Narrative.  The Budget and Budget Narrative do not count against the page limit requirements for the Project Narrative.</w:t>
      </w:r>
    </w:p>
    <w:p w:rsidR="00976CDB" w:rsidP="00632103" w14:paraId="1A5090C8" w14:textId="77777777">
      <w:pPr>
        <w:spacing w:after="140"/>
        <w:rPr>
          <w:sz w:val="20"/>
          <w:szCs w:val="20"/>
        </w:rPr>
      </w:pPr>
      <w:bookmarkStart w:id="77" w:name="_bookmark234821"/>
      <w:bookmarkEnd w:id="77"/>
      <w:r>
        <w:rPr>
          <w:szCs w:val="20"/>
        </w:rPr>
        <w:t>The Budget Narrative must have a cost-per-participant at or under $23,000.</w:t>
      </w:r>
    </w:p>
    <w:p w:rsidR="00976CDB" w:rsidP="00632103" w14:paraId="1FCF0547" w14:textId="77777777">
      <w:pPr>
        <w:spacing w:after="140"/>
        <w:rPr>
          <w:sz w:val="20"/>
          <w:szCs w:val="20"/>
        </w:rPr>
      </w:pPr>
      <w:r>
        <w:rPr>
          <w:b/>
          <w:bCs/>
          <w:szCs w:val="20"/>
          <w:u w:val="single"/>
        </w:rPr>
        <w:t>Participant Enrollment</w:t>
      </w:r>
    </w:p>
    <w:p w:rsidR="00976CDB" w:rsidP="00632103" w14:paraId="640A263E" w14:textId="77777777">
      <w:pPr>
        <w:spacing w:after="140"/>
        <w:rPr>
          <w:sz w:val="20"/>
          <w:szCs w:val="20"/>
        </w:rPr>
      </w:pPr>
      <w:r>
        <w:rPr>
          <w:szCs w:val="20"/>
        </w:rPr>
        <w:t>Applicants must propose the number of participants that they will enroll and serve if funded under this announcement. DOL will divide the amount of funds requested (not including match funds) by this enrollment goal to estimate the cost per participant, which may not exceed $23,000 at the time of application. For example, a grantee that receives $1,500,000 must enroll no fewer than 66 participants but may enroll more than 66 participants. The cost per participant creates a minimum goal for participant enrollment during the period of performance; it is not a limit on enrollment or the kinds of supports a grantee can offer any individual participant.</w:t>
      </w:r>
    </w:p>
    <w:p w:rsidR="00976CDB" w:rsidP="00632103" w14:paraId="746A143A" w14:textId="77777777">
      <w:pPr>
        <w:spacing w:after="140"/>
        <w:rPr>
          <w:sz w:val="20"/>
          <w:szCs w:val="20"/>
        </w:rPr>
      </w:pPr>
      <w:bookmarkStart w:id="78" w:name="_bookmark234822"/>
      <w:bookmarkEnd w:id="78"/>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IV.B Project Budget, Composed of the SF-424A and Budget Narrative.</w:t>
      </w:r>
    </w:p>
    <w:p w:rsidR="00976CDB" w:rsidP="00632103" w14:paraId="2496F101" w14:textId="77777777">
      <w:pPr>
        <w:pStyle w:val="Heading2"/>
        <w:spacing w:before="20" w:after="20"/>
      </w:pPr>
      <w:bookmarkStart w:id="79" w:name="_bookmark234823"/>
      <w:bookmarkStart w:id="80" w:name="_bookmark234824"/>
      <w:bookmarkEnd w:id="79"/>
      <w:bookmarkEnd w:id="80"/>
      <w:r>
        <w:t xml:space="preserve"> </w:t>
      </w:r>
      <w:bookmarkStart w:id="81" w:name="_Toc256000060"/>
      <w:r>
        <w:t>C. Project Narrative</w:t>
      </w:r>
      <w:bookmarkEnd w:id="81"/>
    </w:p>
    <w:p w:rsidR="00976CDB" w:rsidP="00632103" w14:paraId="4DA8779F" w14:textId="77777777">
      <w:pPr>
        <w:spacing w:after="140"/>
        <w:rPr>
          <w:sz w:val="20"/>
          <w:szCs w:val="20"/>
        </w:rPr>
      </w:pPr>
      <w:bookmarkStart w:id="82" w:name="_bookmark234825"/>
      <w:bookmarkEnd w:id="82"/>
      <w:r>
        <w:rPr>
          <w:szCs w:val="20"/>
        </w:rPr>
        <w:t xml:space="preserve">You must include a Project Narrative with your application.  The Project Narrative shows that the applicant can implement the grant project explained in this Announcement.  Applicants must describe how they will meet the requirements listed below.  Applicants must show that their planned activities will meet the project goals.  As appropriate, applicants should see Section </w:t>
      </w:r>
      <w:hyperlink w:anchor="_bookmark234881" w:history="1">
        <w:r>
          <w:rPr>
            <w:rStyle w:val="ahref"/>
            <w:szCs w:val="20"/>
            <w:u w:val="single" w:color="0000FF"/>
          </w:rPr>
          <w:t>IX</w:t>
        </w:r>
      </w:hyperlink>
      <w:r>
        <w:rPr>
          <w:szCs w:val="20"/>
        </w:rPr>
        <w:t>. Resources, E. DOL’s Clearinghouse for Evaluation and Research (CLEAR) and DOL’s Chief Evaluation Office as well as F. Data and Other Evidence Resources for starting places to find research that could provide evidence of a sound approach.</w:t>
      </w:r>
    </w:p>
    <w:p w:rsidR="00976CDB" w:rsidP="00632103" w14:paraId="5301FACF" w14:textId="77777777">
      <w:pPr>
        <w:spacing w:after="140"/>
        <w:rPr>
          <w:sz w:val="20"/>
          <w:szCs w:val="20"/>
        </w:rPr>
      </w:pPr>
      <w:r>
        <w:rPr>
          <w:szCs w:val="20"/>
        </w:rPr>
        <w:t xml:space="preserve">The Project Narrative is limited to 25 double-spaced single-sided 8.5 x 11-inch pages with Times New Roman 12-point text font and 1-inch margins.  It must include the section headers listed below.  The agency will evaluate the Project Narrative using the evaluation criteria identified in Section </w:t>
      </w:r>
      <w:hyperlink w:anchor="_bookmark234937" w:history="1">
        <w:r>
          <w:rPr>
            <w:rStyle w:val="ahref"/>
            <w:szCs w:val="20"/>
            <w:u w:val="single" w:color="0000FF"/>
          </w:rPr>
          <w:t>VI.B</w:t>
        </w:r>
      </w:hyperlink>
      <w:r>
        <w:rPr>
          <w:szCs w:val="20"/>
        </w:rPr>
        <w:t xml:space="preserve">.  We will not read or consider any materials beyond the specified page limit (except for attachments listed in Section </w:t>
      </w:r>
      <w:hyperlink w:anchor="_bookmark234827" w:history="1">
        <w:r>
          <w:rPr>
            <w:rStyle w:val="ahref"/>
            <w:szCs w:val="20"/>
            <w:u w:val="single" w:color="0000FF"/>
          </w:rPr>
          <w:t>IV.D</w:t>
        </w:r>
      </w:hyperlink>
      <w:r>
        <w:rPr>
          <w:szCs w:val="20"/>
        </w:rPr>
        <w:t xml:space="preserve"> that impact the scoring of the application).</w:t>
      </w:r>
    </w:p>
    <w:p w:rsidR="00976CDB" w:rsidP="00632103" w14:paraId="0DFFAE32" w14:textId="77777777">
      <w:pPr>
        <w:spacing w:before="20" w:after="20"/>
      </w:pPr>
      <w:bookmarkStart w:id="83" w:name="_bookmark234826"/>
      <w:bookmarkEnd w:id="83"/>
      <w:r>
        <w:rPr>
          <w:color w:val="auto"/>
          <w:szCs w:val="24"/>
        </w:rPr>
        <w:t xml:space="preserve"> </w:t>
      </w:r>
      <w:bookmarkStart w:id="84" w:name="_bookmark234852"/>
      <w:bookmarkEnd w:id="84"/>
      <w:r>
        <w:rPr>
          <w:color w:val="auto"/>
          <w:szCs w:val="24"/>
        </w:rPr>
        <w:t xml:space="preserve"> </w:t>
      </w:r>
    </w:p>
    <w:p w:rsidR="00976CDB" w:rsidP="00632103" w14:paraId="38B45BD2" w14:textId="77777777">
      <w:pPr>
        <w:spacing w:after="140"/>
        <w:rPr>
          <w:sz w:val="20"/>
          <w:szCs w:val="20"/>
        </w:rPr>
      </w:pPr>
      <w:r>
        <w:rPr>
          <w:b/>
          <w:bCs/>
          <w:szCs w:val="20"/>
        </w:rPr>
        <w:t>a. Service Area (Up to 12 Points)</w:t>
      </w:r>
    </w:p>
    <w:p w:rsidR="00976CDB" w:rsidP="00632103" w14:paraId="7A3364A6" w14:textId="77777777">
      <w:pPr>
        <w:spacing w:after="140"/>
        <w:rPr>
          <w:sz w:val="20"/>
          <w:szCs w:val="20"/>
        </w:rPr>
      </w:pPr>
      <w:r>
        <w:rPr>
          <w:b/>
          <w:bCs/>
          <w:szCs w:val="20"/>
        </w:rPr>
        <w:t>1. Youth Labor Force Participation Rate (Maximum 6 Points)</w:t>
      </w:r>
    </w:p>
    <w:p w:rsidR="00976CDB" w:rsidP="00632103" w14:paraId="20A91A96" w14:textId="77777777">
      <w:pPr>
        <w:spacing w:after="140"/>
        <w:rPr>
          <w:sz w:val="20"/>
          <w:szCs w:val="20"/>
        </w:rPr>
      </w:pPr>
      <w:r>
        <w:rPr>
          <w:szCs w:val="20"/>
        </w:rPr>
        <w:t>The applicant must provide, across all zip codes that make up the proposed service area, the weighted average labor force participation (LFP) rate (rounded to one decimal place) from the American Community Survey (ACS) LFP data available at http://www.census.gov. The national LFP rate for youth ages 16–24 against which DOL will evaluate applicants is 59.2 percent (using 5-year ACS weighted average estimates as of 2023).</w:t>
      </w:r>
    </w:p>
    <w:p w:rsidR="00976CDB" w:rsidP="00632103" w14:paraId="126D9DB9" w14:textId="77777777">
      <w:pPr>
        <w:spacing w:after="140"/>
        <w:rPr>
          <w:sz w:val="20"/>
          <w:szCs w:val="20"/>
        </w:rPr>
      </w:pPr>
      <w:r>
        <w:rPr>
          <w:szCs w:val="20"/>
        </w:rPr>
        <w:t>These data are broken into two youth age subsets: 16–19 and 20–24.  Applicants must provide, as an attachment, a print-out or screenshot of the ACS data source information used that shows a link to the specific data source. Applicants that fail to provide an attachment showing the ACS data source information used will receive 0 points for the LFP Rate rating factor.</w:t>
      </w:r>
    </w:p>
    <w:p w:rsidR="00976CDB" w:rsidP="00632103" w14:paraId="124882A6" w14:textId="77777777">
      <w:pPr>
        <w:spacing w:after="140"/>
        <w:rPr>
          <w:sz w:val="20"/>
          <w:szCs w:val="20"/>
        </w:rPr>
      </w:pPr>
      <w:r>
        <w:rPr>
          <w:szCs w:val="20"/>
        </w:rPr>
        <w:t xml:space="preserve">For specific instructions on how to locate and calculate the information requested here, see Appendix A. Additionally, to assist with the weighted average calculations, applicants are encouraged to use the “Weighted Average Worksheet”, a formatted Excel spreadsheet available for download at </w:t>
      </w:r>
      <w:hyperlink r:id="rId37" w:history="1">
        <w:r>
          <w:rPr>
            <w:rStyle w:val="ahref"/>
            <w:szCs w:val="20"/>
            <w:u w:val="single" w:color="0000FF"/>
          </w:rPr>
          <w:t>https://www.dol.gov/agencies/eta/youth/youthbuild/</w:t>
        </w:r>
      </w:hyperlink>
      <w:r>
        <w:rPr>
          <w:szCs w:val="20"/>
        </w:rPr>
        <w:t xml:space="preserve"> under the “Forms” section.</w:t>
      </w:r>
    </w:p>
    <w:p w:rsidR="00976CDB" w:rsidP="00632103" w14:paraId="02C8D5E0" w14:textId="77777777">
      <w:pPr>
        <w:spacing w:after="140"/>
        <w:rPr>
          <w:sz w:val="20"/>
          <w:szCs w:val="20"/>
        </w:rPr>
      </w:pPr>
      <w:r>
        <w:rPr>
          <w:szCs w:val="20"/>
        </w:rPr>
        <w:t>DOL will score applicants based on the weighted average youth LFP rate across the zip codes that the applicant proposes to serve. If the weighted average LFP rate for youth ages 16 to 24 years for the proposed zip code is:</w:t>
      </w:r>
    </w:p>
    <w:p w:rsidR="00976CDB" w:rsidP="00632103" w14:paraId="6DC1B55C" w14:textId="77777777">
      <w:pPr>
        <w:numPr>
          <w:ilvl w:val="0"/>
          <w:numId w:val="19"/>
        </w:numPr>
        <w:spacing w:after="20"/>
      </w:pPr>
      <w:r>
        <w:t>less than 59.2 percent: 6 Points.</w:t>
      </w:r>
    </w:p>
    <w:p w:rsidR="00976CDB" w:rsidP="00632103" w14:paraId="3B57731A" w14:textId="77777777">
      <w:pPr>
        <w:numPr>
          <w:ilvl w:val="0"/>
          <w:numId w:val="19"/>
        </w:numPr>
        <w:spacing w:before="20" w:after="20"/>
      </w:pPr>
      <w:r>
        <w:t>between 59.2 and 62.2 percent: 4 Points.</w:t>
      </w:r>
    </w:p>
    <w:p w:rsidR="00976CDB" w:rsidP="00632103" w14:paraId="24E76D69" w14:textId="77777777">
      <w:pPr>
        <w:numPr>
          <w:ilvl w:val="0"/>
          <w:numId w:val="19"/>
        </w:numPr>
        <w:spacing w:before="20" w:after="20"/>
      </w:pPr>
      <w:r>
        <w:t>between 62.2 and 65.2 percent: 2 Points.</w:t>
      </w:r>
    </w:p>
    <w:p w:rsidR="00976CDB" w:rsidP="00632103" w14:paraId="5D5D1B20" w14:textId="77777777">
      <w:pPr>
        <w:numPr>
          <w:ilvl w:val="0"/>
          <w:numId w:val="19"/>
        </w:numPr>
        <w:spacing w:before="20" w:after="150"/>
      </w:pPr>
      <w:r>
        <w:t>greater than 65.2 percent: 0 Points.</w:t>
      </w:r>
    </w:p>
    <w:p w:rsidR="00976CDB" w:rsidP="00632103" w14:paraId="57E68D7D" w14:textId="77777777">
      <w:pPr>
        <w:spacing w:after="140"/>
        <w:rPr>
          <w:sz w:val="20"/>
          <w:szCs w:val="20"/>
        </w:rPr>
      </w:pPr>
      <w:r>
        <w:rPr>
          <w:b/>
          <w:bCs/>
          <w:szCs w:val="20"/>
        </w:rPr>
        <w:t>2. Poverty Rate (Maximum 6 Points)</w:t>
      </w:r>
    </w:p>
    <w:p w:rsidR="00976CDB" w:rsidP="00632103" w14:paraId="42CEDFB5" w14:textId="77777777">
      <w:pPr>
        <w:spacing w:after="140"/>
        <w:rPr>
          <w:sz w:val="20"/>
          <w:szCs w:val="20"/>
        </w:rPr>
      </w:pPr>
      <w:r>
        <w:rPr>
          <w:szCs w:val="20"/>
        </w:rPr>
        <w:t xml:space="preserve">The applicant must provide, across all zip codes that make up the proposed service area, the weighted average poverty rate from the ACS poverty data available at </w:t>
      </w:r>
      <w:hyperlink r:id="rId38" w:history="1">
        <w:r>
          <w:rPr>
            <w:rStyle w:val="ahref"/>
            <w:szCs w:val="20"/>
            <w:u w:val="single" w:color="0000FF"/>
          </w:rPr>
          <w:t>http://www.census.gov</w:t>
        </w:r>
      </w:hyperlink>
      <w:r>
        <w:rPr>
          <w:szCs w:val="20"/>
        </w:rPr>
        <w:t>. The national poverty rate against which DOL will evaluate applicants is 12.8 percent (using 5-year ACS estimates as of 2023).</w:t>
      </w:r>
    </w:p>
    <w:p w:rsidR="00976CDB" w:rsidP="00632103" w14:paraId="156900CB" w14:textId="77777777">
      <w:pPr>
        <w:spacing w:after="140"/>
        <w:rPr>
          <w:sz w:val="20"/>
          <w:szCs w:val="20"/>
        </w:rPr>
      </w:pPr>
      <w:r>
        <w:rPr>
          <w:szCs w:val="20"/>
        </w:rPr>
        <w:t>Applicants must provide, as an attachment, the print-out or screenshot of the ACS data source information used. Applicants that fail to provide as an attachment, containing the ACS data source information used will receive 0 points for the Poverty Rate rating factor.</w:t>
      </w:r>
    </w:p>
    <w:p w:rsidR="00976CDB" w:rsidP="00632103" w14:paraId="78501DA5" w14:textId="77777777">
      <w:pPr>
        <w:spacing w:after="140"/>
        <w:rPr>
          <w:sz w:val="20"/>
          <w:szCs w:val="20"/>
        </w:rPr>
      </w:pPr>
      <w:r>
        <w:rPr>
          <w:szCs w:val="20"/>
        </w:rPr>
        <w:t xml:space="preserve">For specific instructions on how to locate and calculate the information requested here, see Appendix B and C. Additionally, to assist with the weighted average calculations, applicants are encouraged to use the “Weighted Average Worksheet”, a formatted Excel spreadsheet available for download at </w:t>
      </w:r>
      <w:hyperlink r:id="rId37" w:history="1">
        <w:r>
          <w:rPr>
            <w:rStyle w:val="ahref"/>
            <w:szCs w:val="20"/>
            <w:u w:val="single" w:color="0000FF"/>
          </w:rPr>
          <w:t>https://www.dol.gov/agencies/eta/youth/youthbuild/</w:t>
        </w:r>
      </w:hyperlink>
      <w:r>
        <w:rPr>
          <w:szCs w:val="20"/>
        </w:rPr>
        <w:t xml:space="preserve"> under the “Forms” section.</w:t>
      </w:r>
    </w:p>
    <w:p w:rsidR="00976CDB" w:rsidP="00632103" w14:paraId="348E4219" w14:textId="77777777">
      <w:pPr>
        <w:spacing w:after="140"/>
        <w:rPr>
          <w:sz w:val="20"/>
          <w:szCs w:val="20"/>
        </w:rPr>
      </w:pPr>
      <w:r>
        <w:rPr>
          <w:szCs w:val="20"/>
        </w:rPr>
        <w:t>DOL will score applicants based on the weighted average poverty rate across all zip codes that the applicant proposes to serve. If the weighted average poverty rate is:</w:t>
      </w:r>
    </w:p>
    <w:p w:rsidR="00976CDB" w:rsidP="00632103" w14:paraId="508A7600" w14:textId="77777777">
      <w:pPr>
        <w:numPr>
          <w:ilvl w:val="0"/>
          <w:numId w:val="20"/>
        </w:numPr>
        <w:spacing w:after="20"/>
      </w:pPr>
      <w:r>
        <w:t>12.8 percent or more across all zip codes to be served: 6 Points.</w:t>
      </w:r>
    </w:p>
    <w:p w:rsidR="00976CDB" w:rsidP="00632103" w14:paraId="6ADDAB53" w14:textId="77777777">
      <w:pPr>
        <w:numPr>
          <w:ilvl w:val="0"/>
          <w:numId w:val="20"/>
        </w:numPr>
        <w:spacing w:before="20" w:after="20"/>
      </w:pPr>
      <w:r>
        <w:t>between 9.8 percent and 12.7 percent across all zip codes to be served: 4 Points.</w:t>
      </w:r>
    </w:p>
    <w:p w:rsidR="00976CDB" w:rsidP="00632103" w14:paraId="55027A60" w14:textId="77777777">
      <w:pPr>
        <w:numPr>
          <w:ilvl w:val="0"/>
          <w:numId w:val="20"/>
        </w:numPr>
        <w:spacing w:before="20" w:after="20"/>
      </w:pPr>
      <w:r>
        <w:t>between 6.8 percent and 9.7 percent across all zip codes to be served: 2 Points.</w:t>
      </w:r>
    </w:p>
    <w:p w:rsidR="00976CDB" w:rsidP="00632103" w14:paraId="5B1D8C04" w14:textId="77777777">
      <w:pPr>
        <w:numPr>
          <w:ilvl w:val="0"/>
          <w:numId w:val="20"/>
        </w:numPr>
        <w:spacing w:before="20" w:after="150"/>
      </w:pPr>
      <w:r>
        <w:t>less than 6.7 percent across all zip codes to be served: 0 Points</w:t>
      </w:r>
    </w:p>
    <w:p w:rsidR="00976CDB" w:rsidP="00632103" w14:paraId="179158D0" w14:textId="77777777">
      <w:pPr>
        <w:spacing w:after="140"/>
        <w:rPr>
          <w:sz w:val="20"/>
          <w:szCs w:val="20"/>
        </w:rPr>
      </w:pPr>
      <w:bookmarkStart w:id="85" w:name="_bookmark234944"/>
      <w:bookmarkEnd w:id="85"/>
      <w:r>
        <w:rPr>
          <w:b/>
          <w:bCs/>
          <w:szCs w:val="20"/>
        </w:rPr>
        <w:t>b. Education (Up to 14 Points)</w:t>
      </w:r>
    </w:p>
    <w:p w:rsidR="00976CDB" w:rsidP="00632103" w14:paraId="3E08D17E" w14:textId="77777777">
      <w:pPr>
        <w:spacing w:after="140"/>
        <w:rPr>
          <w:sz w:val="20"/>
          <w:szCs w:val="20"/>
        </w:rPr>
      </w:pPr>
      <w:r>
        <w:rPr>
          <w:b/>
          <w:bCs/>
          <w:szCs w:val="20"/>
        </w:rPr>
        <w:t>As described in Section II.B.2 grantees must offer education services and related activities to participants during at least 50 percent of their active program time.</w:t>
      </w:r>
    </w:p>
    <w:p w:rsidR="00976CDB" w:rsidP="00632103" w14:paraId="7359B5DF" w14:textId="77777777">
      <w:pPr>
        <w:spacing w:after="140"/>
        <w:rPr>
          <w:sz w:val="20"/>
          <w:szCs w:val="20"/>
        </w:rPr>
      </w:pPr>
      <w:r>
        <w:rPr>
          <w:szCs w:val="20"/>
        </w:rPr>
        <w:t>To receive full points for this section, applicants must fully address each of the following:</w:t>
      </w:r>
    </w:p>
    <w:p w:rsidR="00976CDB" w:rsidP="00632103" w14:paraId="53A329D1" w14:textId="77777777">
      <w:pPr>
        <w:numPr>
          <w:ilvl w:val="0"/>
          <w:numId w:val="21"/>
        </w:numPr>
        <w:spacing w:after="20"/>
      </w:pPr>
      <w:r>
        <w:t xml:space="preserve">The applicant must describe the academic services that it will offer to YouthBuild participants, including how it will provide participants with opportunities to develop AI literacy skills.       </w:t>
      </w:r>
    </w:p>
    <w:p w:rsidR="00976CDB" w:rsidP="00632103" w14:paraId="35880FDE" w14:textId="77777777">
      <w:pPr>
        <w:numPr>
          <w:ilvl w:val="0"/>
          <w:numId w:val="21"/>
        </w:numPr>
        <w:spacing w:before="20" w:after="20"/>
      </w:pPr>
      <w:r>
        <w:t>The applicant must describe how it will provide participants with opportunities to transition to post-secondary education and/or advanced occupational skills training.</w:t>
      </w:r>
    </w:p>
    <w:p w:rsidR="00976CDB" w:rsidP="00632103" w14:paraId="3FD5826D" w14:textId="77777777">
      <w:pPr>
        <w:numPr>
          <w:ilvl w:val="0"/>
          <w:numId w:val="21"/>
        </w:numPr>
        <w:spacing w:before="20" w:after="20"/>
      </w:pPr>
      <w:r>
        <w:t>The applicant must describe the qualifications and experience of education staff and the use of partner organizations, where appropriate, for the education component; and how it will determine whether a student has mastered a skill.</w:t>
      </w:r>
    </w:p>
    <w:p w:rsidR="00976CDB" w:rsidP="00632103" w14:paraId="7CF97413" w14:textId="77777777">
      <w:pPr>
        <w:numPr>
          <w:ilvl w:val="0"/>
          <w:numId w:val="21"/>
        </w:numPr>
        <w:spacing w:before="20" w:after="150"/>
      </w:pPr>
      <w:r>
        <w:t>The applicant must describe how the education services align with the hands-on skill training for the construction component of the program and, if applicable, the Construction Plus component. They must include the training strategy, the training schedule and explain the integration between classroom based and hands-on skills training.</w:t>
      </w:r>
    </w:p>
    <w:p w:rsidR="00976CDB" w:rsidP="00632103" w14:paraId="08E6ED00" w14:textId="77777777">
      <w:pPr>
        <w:spacing w:before="20" w:after="20"/>
      </w:pPr>
      <w:bookmarkStart w:id="86" w:name="_bookmark234945"/>
      <w:bookmarkEnd w:id="86"/>
      <w:r>
        <w:rPr>
          <w:color w:val="auto"/>
          <w:szCs w:val="24"/>
        </w:rPr>
        <w:t xml:space="preserve"> </w:t>
      </w:r>
    </w:p>
    <w:p w:rsidR="00976CDB" w:rsidP="00632103" w14:paraId="3356EB06" w14:textId="77777777">
      <w:pPr>
        <w:spacing w:after="140"/>
        <w:rPr>
          <w:sz w:val="20"/>
          <w:szCs w:val="20"/>
        </w:rPr>
      </w:pPr>
      <w:r>
        <w:rPr>
          <w:b/>
          <w:bCs/>
          <w:szCs w:val="20"/>
        </w:rPr>
        <w:t>c. Construction and Other Occupational Skills Training (Up to 10Points)</w:t>
      </w:r>
    </w:p>
    <w:p w:rsidR="00976CDB" w:rsidP="00632103" w14:paraId="288325C4" w14:textId="77777777">
      <w:pPr>
        <w:spacing w:after="140"/>
        <w:rPr>
          <w:sz w:val="20"/>
          <w:szCs w:val="20"/>
        </w:rPr>
      </w:pPr>
      <w:r>
        <w:rPr>
          <w:b/>
          <w:bCs/>
          <w:szCs w:val="20"/>
        </w:rPr>
        <w:t>As described in Section II.B.2, grantees must offer at least 40 percent of their active program time on providing work and skills development activities in occupational skills training.</w:t>
      </w:r>
    </w:p>
    <w:p w:rsidR="00976CDB" w:rsidP="00632103" w14:paraId="4A4C88D9" w14:textId="77777777">
      <w:pPr>
        <w:spacing w:after="140"/>
        <w:rPr>
          <w:sz w:val="20"/>
          <w:szCs w:val="20"/>
        </w:rPr>
      </w:pPr>
      <w:r>
        <w:rPr>
          <w:b/>
          <w:bCs/>
          <w:szCs w:val="20"/>
        </w:rPr>
        <w:t>1. Hands-on Meaningful Learning Activities (Maximum 6 Points)</w:t>
      </w:r>
    </w:p>
    <w:p w:rsidR="00976CDB" w:rsidP="00632103" w14:paraId="752AD2F5" w14:textId="77777777">
      <w:pPr>
        <w:spacing w:after="140"/>
        <w:rPr>
          <w:sz w:val="20"/>
          <w:szCs w:val="20"/>
        </w:rPr>
      </w:pPr>
      <w:r>
        <w:rPr>
          <w:szCs w:val="20"/>
        </w:rPr>
        <w:t>To receive full points for this section, applicants must fully address each of the following:</w:t>
      </w:r>
    </w:p>
    <w:p w:rsidR="00976CDB" w:rsidP="00632103" w14:paraId="06EBF0F3" w14:textId="77777777">
      <w:pPr>
        <w:numPr>
          <w:ilvl w:val="0"/>
          <w:numId w:val="22"/>
        </w:numPr>
        <w:spacing w:after="20"/>
      </w:pPr>
      <w:r>
        <w:t>Applicants must describe their plan to ensure that sufficient youth will participate in the construction skills training to build or renovate at least one unit of housing over the grant period of performance.  The applicant must also describe the primary construction training curriculum that will be offered and the credential the youth will be receiving.</w:t>
      </w:r>
    </w:p>
    <w:p w:rsidR="00976CDB" w:rsidP="00632103" w14:paraId="24875C24" w14:textId="77777777">
      <w:pPr>
        <w:numPr>
          <w:ilvl w:val="0"/>
          <w:numId w:val="22"/>
        </w:numPr>
        <w:spacing w:before="20" w:after="20"/>
      </w:pPr>
      <w:r>
        <w:t xml:space="preserve">The applicant must describe the use of work site safety training as outlined by OSHA to ensure youth safety and responsibility on work sites.      Applicants may refer to OSHA's Youth Safety page available at </w:t>
      </w:r>
      <w:hyperlink r:id="rId39" w:history="1">
        <w:r>
          <w:rPr>
            <w:rStyle w:val="ahref"/>
            <w:u w:val="single" w:color="0000FF"/>
          </w:rPr>
          <w:t>https://www.osha.gov/young-workers</w:t>
        </w:r>
      </w:hyperlink>
      <w:r>
        <w:t>. Applicants must describe how it will provide participants with information on their rights under labor and employment laws, including the Fair Labor Standards Act and the Occupational Safety and Health Act.</w:t>
      </w:r>
    </w:p>
    <w:p w:rsidR="00976CDB" w:rsidP="00632103" w14:paraId="77E69DF4" w14:textId="77777777">
      <w:pPr>
        <w:numPr>
          <w:ilvl w:val="0"/>
          <w:numId w:val="22"/>
        </w:numPr>
        <w:spacing w:before="20" w:after="150"/>
      </w:pPr>
      <w:r>
        <w:t>The roles and responsibilities for all the staff involved in preparing and conducting the trainings, including ensuring the certification of trainers.</w:t>
      </w:r>
    </w:p>
    <w:p w:rsidR="00976CDB" w:rsidP="00632103" w14:paraId="6546816A" w14:textId="77777777">
      <w:pPr>
        <w:spacing w:after="140"/>
        <w:rPr>
          <w:sz w:val="20"/>
          <w:szCs w:val="20"/>
        </w:rPr>
      </w:pPr>
      <w:r>
        <w:rPr>
          <w:b/>
          <w:bCs/>
          <w:szCs w:val="20"/>
        </w:rPr>
        <w:t>2. Connecting Education and Training (Maximum 4 Points)</w:t>
      </w:r>
    </w:p>
    <w:p w:rsidR="00976CDB" w:rsidP="00632103" w14:paraId="5CDFAF60" w14:textId="77777777">
      <w:pPr>
        <w:spacing w:after="140"/>
        <w:rPr>
          <w:sz w:val="20"/>
          <w:szCs w:val="20"/>
        </w:rPr>
      </w:pPr>
      <w:r>
        <w:rPr>
          <w:szCs w:val="20"/>
        </w:rPr>
        <w:t>To receive full points for this section, applicants must fully address each of the following:</w:t>
      </w:r>
    </w:p>
    <w:p w:rsidR="00976CDB" w:rsidP="00632103" w14:paraId="0C57D6FC" w14:textId="77777777">
      <w:pPr>
        <w:numPr>
          <w:ilvl w:val="0"/>
          <w:numId w:val="23"/>
        </w:numPr>
        <w:spacing w:after="20"/>
      </w:pPr>
      <w:r>
        <w:t>The applicant must describe the curriculum and training plan for each industry training offered (construction and Construction Plus, if applicable), including shadowing employees in their specialized areas, the plan for ensuring sufficient class and hands-on training hours, and the testing and certification process to achieve the credentials to all participants.</w:t>
      </w:r>
    </w:p>
    <w:p w:rsidR="00976CDB" w:rsidP="00632103" w14:paraId="20DF449C" w14:textId="77777777">
      <w:pPr>
        <w:numPr>
          <w:ilvl w:val="0"/>
          <w:numId w:val="23"/>
        </w:numPr>
        <w:spacing w:before="20" w:after="20"/>
      </w:pPr>
      <w:r>
        <w:t>Applicants must describe how they will ensure program activities are directly connected to and lead to high-quality post-program placements that include: Registered Apprenticeship, employment that has high growth potential, and/or career pathways.</w:t>
      </w:r>
    </w:p>
    <w:p w:rsidR="00976CDB" w:rsidP="00632103" w14:paraId="3057DDF4" w14:textId="77777777">
      <w:pPr>
        <w:numPr>
          <w:ilvl w:val="0"/>
          <w:numId w:val="23"/>
        </w:numPr>
        <w:spacing w:before="20" w:after="150"/>
      </w:pPr>
      <w:r>
        <w:t xml:space="preserve">The applicant must describe the industry-recognized credentialing opportunities that it will offer to participants, how these credentials align with the industry training's provided, and the accrediting agency that supports the recognition of the credential, as </w:t>
      </w:r>
      <w:r>
        <w:t>described in section 7.D of TEGL 10-16, Change 3 (</w:t>
      </w:r>
      <w:hyperlink r:id="rId25" w:history="1">
        <w:r>
          <w:rPr>
            <w:rStyle w:val="ahref"/>
            <w:u w:val="single" w:color="0000FF"/>
          </w:rPr>
          <w:t>https://www.dol.gov/agencies/eta/advisories/tegl-10-16-change-3</w:t>
        </w:r>
      </w:hyperlink>
      <w:r>
        <w:t>)</w:t>
      </w:r>
    </w:p>
    <w:p w:rsidR="00976CDB" w:rsidP="00632103" w14:paraId="35EAA5D8" w14:textId="77777777">
      <w:pPr>
        <w:spacing w:after="140"/>
        <w:rPr>
          <w:sz w:val="20"/>
          <w:szCs w:val="20"/>
        </w:rPr>
      </w:pPr>
      <w:bookmarkStart w:id="87" w:name="_bookmark234946"/>
      <w:bookmarkEnd w:id="87"/>
      <w:r>
        <w:rPr>
          <w:b/>
          <w:bCs/>
          <w:szCs w:val="20"/>
        </w:rPr>
        <w:t>d. Leadership Development and Community Service (Up to 4 Points)</w:t>
      </w:r>
    </w:p>
    <w:p w:rsidR="00976CDB" w:rsidP="00632103" w14:paraId="05E91EE6" w14:textId="77777777">
      <w:pPr>
        <w:spacing w:after="140"/>
        <w:rPr>
          <w:sz w:val="20"/>
          <w:szCs w:val="20"/>
        </w:rPr>
      </w:pPr>
      <w:r>
        <w:rPr>
          <w:b/>
          <w:bCs/>
          <w:szCs w:val="20"/>
        </w:rPr>
        <w:t>One of the goals of the YouthBuild program is to foster the development of employment and leadership skills and commitment to community development among youth in low-income communities. As described in Section II.B.2, applicants may allocate up to 10% of their program time on community service and youth leadership opportunities alongside the education and occupational skills training components of the program.</w:t>
      </w:r>
    </w:p>
    <w:p w:rsidR="00976CDB" w:rsidP="00632103" w14:paraId="5B52FF59" w14:textId="77777777">
      <w:pPr>
        <w:spacing w:after="140"/>
        <w:rPr>
          <w:sz w:val="20"/>
          <w:szCs w:val="20"/>
        </w:rPr>
      </w:pPr>
      <w:r>
        <w:rPr>
          <w:szCs w:val="20"/>
        </w:rPr>
        <w:t>To receive full points for this section, applicants must fully address each of the following:</w:t>
      </w:r>
    </w:p>
    <w:p w:rsidR="00976CDB" w:rsidP="00632103" w14:paraId="1A1AD01A" w14:textId="77777777">
      <w:pPr>
        <w:numPr>
          <w:ilvl w:val="0"/>
          <w:numId w:val="24"/>
        </w:numPr>
        <w:spacing w:after="20"/>
      </w:pPr>
      <w:r>
        <w:t>The applicant must describe the community service learning and/or leadership development opportunities it will offer participants.</w:t>
      </w:r>
    </w:p>
    <w:p w:rsidR="00976CDB" w:rsidP="00632103" w14:paraId="11AE35F6" w14:textId="77777777">
      <w:pPr>
        <w:numPr>
          <w:ilvl w:val="0"/>
          <w:numId w:val="24"/>
        </w:numPr>
        <w:spacing w:before="20" w:after="150"/>
      </w:pPr>
      <w:r>
        <w:t>The applicant must describe how it will train staff to incorporate principles of youth leadership development, and how to encourage youth participant input in program activities.</w:t>
      </w:r>
    </w:p>
    <w:p w:rsidR="00976CDB" w:rsidP="00632103" w14:paraId="6358E0E7" w14:textId="77777777">
      <w:pPr>
        <w:spacing w:before="20" w:after="20"/>
      </w:pPr>
      <w:bookmarkStart w:id="88" w:name="_bookmark234947"/>
      <w:bookmarkEnd w:id="88"/>
      <w:r>
        <w:rPr>
          <w:color w:val="auto"/>
          <w:szCs w:val="24"/>
        </w:rPr>
        <w:t xml:space="preserve"> </w:t>
      </w:r>
    </w:p>
    <w:p w:rsidR="00976CDB" w:rsidP="00632103" w14:paraId="56CD0D93" w14:textId="77777777">
      <w:pPr>
        <w:spacing w:after="140"/>
        <w:rPr>
          <w:sz w:val="20"/>
          <w:szCs w:val="20"/>
        </w:rPr>
      </w:pPr>
      <w:r>
        <w:rPr>
          <w:b/>
          <w:bCs/>
          <w:szCs w:val="20"/>
        </w:rPr>
        <w:t>e. Program Planning (Up to 8 Points)</w:t>
      </w:r>
    </w:p>
    <w:p w:rsidR="00976CDB" w:rsidP="00632103" w14:paraId="138EA136" w14:textId="77777777">
      <w:pPr>
        <w:spacing w:after="140"/>
        <w:rPr>
          <w:sz w:val="20"/>
          <w:szCs w:val="20"/>
        </w:rPr>
      </w:pPr>
      <w:r>
        <w:rPr>
          <w:b/>
          <w:bCs/>
          <w:szCs w:val="20"/>
        </w:rPr>
        <w:t>1. Staffing Strategy (Maximum 4 Points)</w:t>
      </w:r>
    </w:p>
    <w:p w:rsidR="00976CDB" w:rsidP="00632103" w14:paraId="61CB622B" w14:textId="77777777">
      <w:pPr>
        <w:spacing w:after="140"/>
        <w:rPr>
          <w:sz w:val="20"/>
          <w:szCs w:val="20"/>
        </w:rPr>
      </w:pPr>
      <w:r>
        <w:rPr>
          <w:szCs w:val="20"/>
        </w:rPr>
        <w:t>To receive full points for this section, applicants must fully address each of the following:</w:t>
      </w:r>
    </w:p>
    <w:p w:rsidR="00976CDB" w:rsidP="00632103" w14:paraId="5281E562" w14:textId="77777777">
      <w:pPr>
        <w:numPr>
          <w:ilvl w:val="0"/>
          <w:numId w:val="25"/>
        </w:numPr>
        <w:spacing w:after="20"/>
      </w:pPr>
      <w:r>
        <w:t>Describe the staffing strategy during all three program phases (start-up, active program services, and follow-up), how the applicant will retain staff, and address staff turnover if the need arises.</w:t>
      </w:r>
    </w:p>
    <w:p w:rsidR="00976CDB" w:rsidP="00632103" w14:paraId="5C49D1AB" w14:textId="77777777">
      <w:pPr>
        <w:numPr>
          <w:ilvl w:val="0"/>
          <w:numId w:val="25"/>
        </w:numPr>
        <w:spacing w:before="20" w:after="20"/>
      </w:pPr>
      <w:r>
        <w:t>Where staff are shared among multiple programs of an organization, applicants must indicate in the staffing plan how the organization will track staff time and ensure sufficient resources for the effort.</w:t>
      </w:r>
    </w:p>
    <w:p w:rsidR="00976CDB" w:rsidP="00632103" w14:paraId="16FD6AA2" w14:textId="77777777">
      <w:pPr>
        <w:numPr>
          <w:ilvl w:val="0"/>
          <w:numId w:val="25"/>
        </w:numPr>
        <w:spacing w:before="20" w:after="150"/>
      </w:pPr>
      <w:r>
        <w:t>The applicant must describe the contingency plan to ensure that alternative services can be quickly implemented should barriers arise, such as inclement weather, loss of worksites, or the loss of certified trainers or program partners.</w:t>
      </w:r>
    </w:p>
    <w:p w:rsidR="00976CDB" w:rsidP="00632103" w14:paraId="12F096B5" w14:textId="77777777">
      <w:pPr>
        <w:spacing w:after="140"/>
        <w:rPr>
          <w:sz w:val="20"/>
          <w:szCs w:val="20"/>
        </w:rPr>
      </w:pPr>
      <w:r>
        <w:rPr>
          <w:b/>
          <w:bCs/>
          <w:szCs w:val="20"/>
        </w:rPr>
        <w:t>2. Program Implementation (Maximum 4 Points)</w:t>
      </w:r>
    </w:p>
    <w:p w:rsidR="00976CDB" w:rsidP="00632103" w14:paraId="32D246AA" w14:textId="77777777">
      <w:pPr>
        <w:spacing w:after="140"/>
        <w:rPr>
          <w:sz w:val="20"/>
          <w:szCs w:val="20"/>
        </w:rPr>
      </w:pPr>
      <w:r>
        <w:rPr>
          <w:szCs w:val="20"/>
        </w:rPr>
        <w:t>To receive full points for this section, applicants must fully address each of the following:</w:t>
      </w:r>
    </w:p>
    <w:p w:rsidR="00976CDB" w:rsidP="00632103" w14:paraId="47EDC857" w14:textId="77777777">
      <w:pPr>
        <w:numPr>
          <w:ilvl w:val="0"/>
          <w:numId w:val="26"/>
        </w:numPr>
        <w:spacing w:after="20"/>
      </w:pPr>
      <w:r>
        <w:t>Describe how the applicant will document efforts to offer participants the required allotment of activities, i.e., education during at least 50 percent of program time, skills development during at least 40 percent of program time, and leadership development for up to 10 percent of program time.</w:t>
      </w:r>
    </w:p>
    <w:p w:rsidR="00976CDB" w:rsidP="00632103" w14:paraId="082B909E" w14:textId="77777777">
      <w:pPr>
        <w:numPr>
          <w:ilvl w:val="0"/>
          <w:numId w:val="26"/>
        </w:numPr>
        <w:spacing w:before="20" w:after="20"/>
      </w:pPr>
      <w:r>
        <w:t>The applicant must describe the approach for recruiting, assessing, and supporting the training of participants.</w:t>
      </w:r>
    </w:p>
    <w:p w:rsidR="00976CDB" w:rsidP="00632103" w14:paraId="0A57BD2B" w14:textId="77777777">
      <w:pPr>
        <w:numPr>
          <w:ilvl w:val="0"/>
          <w:numId w:val="26"/>
        </w:numPr>
        <w:spacing w:before="20" w:after="150"/>
      </w:pPr>
      <w:r>
        <w:t>The applicant must describe the integrated approach to post-program placement planning and follow-up period. These descriptions must include how the applicant plans to minimize the number of participants who cannot be located or contacted during the follow-up period.</w:t>
      </w:r>
    </w:p>
    <w:p w:rsidR="00976CDB" w:rsidP="00632103" w14:paraId="6300BDD6" w14:textId="77777777">
      <w:pPr>
        <w:spacing w:before="20" w:after="20"/>
      </w:pPr>
      <w:bookmarkStart w:id="89" w:name="_bookmark234858"/>
      <w:bookmarkEnd w:id="89"/>
      <w:r>
        <w:rPr>
          <w:color w:val="auto"/>
          <w:szCs w:val="24"/>
        </w:rPr>
        <w:t xml:space="preserve"> </w:t>
      </w:r>
    </w:p>
    <w:p w:rsidR="00976CDB" w:rsidP="00632103" w14:paraId="2BC74753" w14:textId="77777777">
      <w:pPr>
        <w:spacing w:after="140"/>
        <w:rPr>
          <w:sz w:val="20"/>
          <w:szCs w:val="20"/>
        </w:rPr>
      </w:pPr>
      <w:r>
        <w:rPr>
          <w:b/>
          <w:bCs/>
          <w:szCs w:val="20"/>
        </w:rPr>
        <w:t>f. Supportive Services and Post Program Follow-Up (Up to 8 Points)</w:t>
      </w:r>
    </w:p>
    <w:p w:rsidR="00976CDB" w:rsidP="00632103" w14:paraId="17080110" w14:textId="77777777">
      <w:pPr>
        <w:spacing w:after="140"/>
        <w:rPr>
          <w:sz w:val="20"/>
          <w:szCs w:val="20"/>
        </w:rPr>
      </w:pPr>
      <w:r>
        <w:rPr>
          <w:szCs w:val="20"/>
        </w:rPr>
        <w:t>Applicants must describe the supportive services they will offer participants. Under YouthBuild, as defined in 20 CFR 681.570, allowable supportive services during the active program time and during the required 12-month follow-up period may include the following program elements:</w:t>
      </w:r>
    </w:p>
    <w:p w:rsidR="00976CDB" w:rsidP="00632103" w14:paraId="291D8859" w14:textId="77777777">
      <w:pPr>
        <w:numPr>
          <w:ilvl w:val="0"/>
          <w:numId w:val="27"/>
        </w:numPr>
        <w:spacing w:after="20"/>
      </w:pPr>
      <w:r>
        <w:t>Linkages to community services;</w:t>
      </w:r>
    </w:p>
    <w:p w:rsidR="00976CDB" w:rsidP="00632103" w14:paraId="6D048762" w14:textId="77777777">
      <w:pPr>
        <w:numPr>
          <w:ilvl w:val="0"/>
          <w:numId w:val="27"/>
        </w:numPr>
        <w:spacing w:before="20" w:after="20"/>
      </w:pPr>
      <w:r>
        <w:t>Assistance with transportation, childcare, housing, education testing, work attire and work-related tools, books, fees, and school supplies;</w:t>
      </w:r>
    </w:p>
    <w:p w:rsidR="00976CDB" w:rsidP="00632103" w14:paraId="61CABEA0" w14:textId="77777777">
      <w:pPr>
        <w:numPr>
          <w:ilvl w:val="0"/>
          <w:numId w:val="27"/>
        </w:numPr>
        <w:spacing w:before="20" w:after="20"/>
      </w:pPr>
      <w:r>
        <w:t>Needs-related payments;</w:t>
      </w:r>
    </w:p>
    <w:p w:rsidR="00976CDB" w:rsidP="00632103" w14:paraId="39FFDC10" w14:textId="77777777">
      <w:pPr>
        <w:numPr>
          <w:ilvl w:val="0"/>
          <w:numId w:val="27"/>
        </w:numPr>
        <w:spacing w:before="20" w:after="20"/>
      </w:pPr>
      <w:r>
        <w:t>Reasonable accommodations for youth with disabilities;</w:t>
      </w:r>
    </w:p>
    <w:p w:rsidR="00976CDB" w:rsidP="00632103" w14:paraId="27AA26C8" w14:textId="77777777">
      <w:pPr>
        <w:numPr>
          <w:ilvl w:val="0"/>
          <w:numId w:val="27"/>
        </w:numPr>
        <w:spacing w:before="20" w:after="20"/>
      </w:pPr>
      <w:r>
        <w:t>Referrals to health care; and</w:t>
      </w:r>
    </w:p>
    <w:p w:rsidR="00976CDB" w:rsidP="00632103" w14:paraId="459E9FBF" w14:textId="77777777">
      <w:pPr>
        <w:numPr>
          <w:ilvl w:val="0"/>
          <w:numId w:val="27"/>
        </w:numPr>
        <w:spacing w:before="20" w:after="150"/>
      </w:pPr>
      <w:r>
        <w:t>Payments and fees for employment and training-related applications, tests, and certifications.</w:t>
      </w:r>
    </w:p>
    <w:p w:rsidR="00976CDB" w:rsidP="00632103" w14:paraId="71633B19" w14:textId="77777777">
      <w:pPr>
        <w:spacing w:after="140"/>
        <w:rPr>
          <w:sz w:val="20"/>
          <w:szCs w:val="20"/>
        </w:rPr>
      </w:pPr>
      <w:r>
        <w:rPr>
          <w:szCs w:val="20"/>
        </w:rPr>
        <w:t>To receive full points for this section, applicants must fully address each of the below items in all industries in which they provide training:</w:t>
      </w:r>
    </w:p>
    <w:p w:rsidR="00976CDB" w:rsidP="00632103" w14:paraId="06DF30B0" w14:textId="77777777">
      <w:pPr>
        <w:numPr>
          <w:ilvl w:val="0"/>
          <w:numId w:val="28"/>
        </w:numPr>
        <w:spacing w:after="20"/>
      </w:pPr>
      <w:r>
        <w:t>The applicant must describe how it will ensure that all youth participants are offered supportive services during active program time and in an ongoing manner during the twelve-month post exit period.</w:t>
      </w:r>
    </w:p>
    <w:p w:rsidR="00976CDB" w:rsidP="00632103" w14:paraId="3B5B7421" w14:textId="77777777">
      <w:pPr>
        <w:numPr>
          <w:ilvl w:val="0"/>
          <w:numId w:val="28"/>
        </w:numPr>
        <w:spacing w:before="20" w:after="20"/>
      </w:pPr>
      <w:r>
        <w:t>The applicant must describe work readiness and career exploration opportunities offered to youth and how it will provide educational and career counseling.</w:t>
      </w:r>
    </w:p>
    <w:p w:rsidR="00976CDB" w:rsidP="00632103" w14:paraId="3E82E590" w14:textId="77777777">
      <w:pPr>
        <w:numPr>
          <w:ilvl w:val="0"/>
          <w:numId w:val="28"/>
        </w:numPr>
        <w:spacing w:before="20" w:after="20"/>
      </w:pPr>
      <w:r>
        <w:t>The applicant must describe the post-program transition services that it will offer to prepare youth for employment placements (including Registered Apprenticeship) and/or educational placements, including the use of tuition assistance, scholarships, assessments of college and career readiness, the need for ongoing supportive and post-program services, and opportunities for advanced training.</w:t>
      </w:r>
    </w:p>
    <w:p w:rsidR="00976CDB" w:rsidP="00632103" w14:paraId="3EAD9B68" w14:textId="77777777">
      <w:pPr>
        <w:numPr>
          <w:ilvl w:val="0"/>
          <w:numId w:val="28"/>
        </w:numPr>
        <w:spacing w:before="20" w:after="20"/>
      </w:pPr>
      <w:r>
        <w:t>The applicant must describe how it will link participants to opportunities with apprenticeship programs, local community colleges, or four-year colleges, particularly for youth who may receive a state-recognized high school equivalency degree rather than a traditional high school diploma.</w:t>
      </w:r>
    </w:p>
    <w:p w:rsidR="00976CDB" w:rsidP="00632103" w14:paraId="252FB34F" w14:textId="77777777">
      <w:pPr>
        <w:numPr>
          <w:ilvl w:val="0"/>
          <w:numId w:val="28"/>
        </w:numPr>
        <w:spacing w:before="20" w:after="150"/>
      </w:pPr>
      <w:r>
        <w:t>The applicant must describe a clear and feasible plan that ensures the placement of participants into post-program employment, which includes the Job Developer engaging potential employers, ensuring that youth that get employment placements are meeting employer expectations, and creating a network of employment opportunities, including internships and unsubsidized employment.</w:t>
      </w:r>
    </w:p>
    <w:p w:rsidR="00976CDB" w:rsidP="00632103" w14:paraId="31FE9EF7" w14:textId="77777777">
      <w:pPr>
        <w:spacing w:after="140"/>
        <w:rPr>
          <w:sz w:val="20"/>
          <w:szCs w:val="20"/>
        </w:rPr>
      </w:pPr>
      <w:r>
        <w:rPr>
          <w:b/>
          <w:bCs/>
          <w:szCs w:val="20"/>
        </w:rPr>
        <w:t>g. Partners and Partnership Engagement Strategies (Up to 16 Points)</w:t>
      </w:r>
    </w:p>
    <w:p w:rsidR="00976CDB" w:rsidP="00632103" w14:paraId="1025253A" w14:textId="77777777">
      <w:pPr>
        <w:spacing w:after="140"/>
        <w:rPr>
          <w:sz w:val="20"/>
          <w:szCs w:val="20"/>
        </w:rPr>
      </w:pPr>
      <w:r>
        <w:rPr>
          <w:szCs w:val="20"/>
        </w:rPr>
        <w:t>Applicants must identify and describe the key partners whom the applicant anticipates will help implement and operate the proposed YouthBuild project in all industries in which they provide training.  The roles for key partners must be verified through a signed letter of commitment submitted by each partner including any resources committed, match or otherwise, as appropriate.  For more details on what match commitment letters must contain, see Section III.B. Letters of commitment will not count against the 25-page limit of the Project Narrative.</w:t>
      </w:r>
    </w:p>
    <w:p w:rsidR="00976CDB" w:rsidP="00632103" w14:paraId="7C11DE16" w14:textId="77777777">
      <w:pPr>
        <w:spacing w:after="140"/>
        <w:rPr>
          <w:sz w:val="20"/>
          <w:szCs w:val="20"/>
        </w:rPr>
      </w:pPr>
      <w:r>
        <w:rPr>
          <w:b/>
          <w:bCs/>
          <w:szCs w:val="20"/>
        </w:rPr>
        <w:t>1. Partnerships (Maximum 6 Points)</w:t>
      </w:r>
    </w:p>
    <w:p w:rsidR="00976CDB" w:rsidP="00632103" w14:paraId="5481DECA" w14:textId="77777777">
      <w:pPr>
        <w:spacing w:after="140"/>
        <w:rPr>
          <w:sz w:val="20"/>
          <w:szCs w:val="20"/>
        </w:rPr>
      </w:pPr>
      <w:r>
        <w:rPr>
          <w:szCs w:val="20"/>
        </w:rPr>
        <w:t>To receive full points for this section, applicants must fully address each of the following:</w:t>
      </w:r>
    </w:p>
    <w:p w:rsidR="00976CDB" w:rsidP="00632103" w14:paraId="154CBB56" w14:textId="77777777">
      <w:pPr>
        <w:numPr>
          <w:ilvl w:val="0"/>
          <w:numId w:val="29"/>
        </w:numPr>
        <w:spacing w:after="20"/>
      </w:pPr>
      <w:r>
        <w:t>The applicant must identify partners and describe how each will support planning, implementation, operation, and meeting the goals of the program.  The applicant must include a letter of commitment or an MOU from each partner that clearly specifies their role, contribution(s), associated timeline(s) and, if applicable, any participant activities the partner will oversee.</w:t>
      </w:r>
    </w:p>
    <w:p w:rsidR="00976CDB" w:rsidP="00632103" w14:paraId="3BBB7E73" w14:textId="77777777">
      <w:pPr>
        <w:numPr>
          <w:ilvl w:val="0"/>
          <w:numId w:val="29"/>
        </w:numPr>
        <w:spacing w:before="20" w:after="20"/>
      </w:pPr>
      <w:r>
        <w:t>The applicant must describe how it will fulfill the responsibilities of being a required one-stop partner, including making services available through an American Job Center.  Additionally, applicants must describe their approach to accessing industry employers through the Business Services Representatives or other relevant job developer staff at American Job Centers.</w:t>
      </w:r>
    </w:p>
    <w:p w:rsidR="00976CDB" w:rsidP="00632103" w14:paraId="22EEE210" w14:textId="77777777">
      <w:pPr>
        <w:numPr>
          <w:ilvl w:val="0"/>
          <w:numId w:val="29"/>
        </w:numPr>
        <w:spacing w:before="20" w:after="20"/>
      </w:pPr>
      <w:r>
        <w:t>The applicant must describe how it will connect with community colleges, four-year universities, and trade schools to assist youth in applying, enrolling, and seeking financial aid to support continuing post-secondary education.</w:t>
      </w:r>
    </w:p>
    <w:p w:rsidR="00976CDB" w:rsidP="00632103" w14:paraId="416342F3" w14:textId="77777777">
      <w:pPr>
        <w:numPr>
          <w:ilvl w:val="0"/>
          <w:numId w:val="29"/>
        </w:numPr>
        <w:spacing w:before="20" w:after="150"/>
      </w:pPr>
      <w:r>
        <w:t>The applicant must describe how it will connect with community-based organizations and programs such as Temporary Assistance for Needy Families (TANF), Supplemental Nutrition Assistance Program (SNAP), the WIOA Title II (Adult Education and Family Literacy) and the Title IV (Vocational Rehabilitation) programs.  If applicable, the applicant must describe its approach to co-enrolling participants in the WIOA Title I Youth or Adult programs for access to additional resources.</w:t>
      </w:r>
    </w:p>
    <w:p w:rsidR="00976CDB" w:rsidP="00632103" w14:paraId="180C3487" w14:textId="77777777">
      <w:pPr>
        <w:spacing w:before="20" w:after="20"/>
      </w:pPr>
      <w:bookmarkStart w:id="90" w:name="_bookmark234948"/>
      <w:bookmarkEnd w:id="90"/>
    </w:p>
    <w:p w:rsidR="00976CDB" w:rsidP="00632103" w14:paraId="5383C83B" w14:textId="77777777">
      <w:pPr>
        <w:spacing w:after="140"/>
        <w:rPr>
          <w:sz w:val="20"/>
          <w:szCs w:val="20"/>
        </w:rPr>
      </w:pPr>
      <w:r>
        <w:rPr>
          <w:b/>
          <w:bCs/>
          <w:szCs w:val="20"/>
        </w:rPr>
        <w:t>2. Employer Engagement Strategies (Maximum 6 Points)</w:t>
      </w:r>
    </w:p>
    <w:p w:rsidR="00976CDB" w:rsidP="00632103" w14:paraId="01A567F6" w14:textId="77777777">
      <w:pPr>
        <w:spacing w:after="140"/>
        <w:rPr>
          <w:sz w:val="20"/>
          <w:szCs w:val="20"/>
        </w:rPr>
      </w:pPr>
      <w:r>
        <w:rPr>
          <w:szCs w:val="20"/>
        </w:rPr>
        <w:t>To receive full points for this section, applicants must fully address each of the following:</w:t>
      </w:r>
    </w:p>
    <w:p w:rsidR="00976CDB" w:rsidP="00632103" w14:paraId="41920AC1" w14:textId="77777777">
      <w:pPr>
        <w:numPr>
          <w:ilvl w:val="0"/>
          <w:numId w:val="30"/>
        </w:numPr>
        <w:spacing w:after="20"/>
      </w:pPr>
      <w:r>
        <w:t>The applicant must describe its approach for targeting employers, including any distinct approaches used to target specific industry employers (e.g., information technology or healthcare), including through Registered Apprenticeship Programs.</w:t>
      </w:r>
    </w:p>
    <w:p w:rsidR="00976CDB" w:rsidP="00632103" w14:paraId="1AB36569" w14:textId="77777777">
      <w:pPr>
        <w:numPr>
          <w:ilvl w:val="0"/>
          <w:numId w:val="30"/>
        </w:numPr>
        <w:spacing w:before="20" w:after="20"/>
      </w:pPr>
      <w:r>
        <w:t>The Applicants must also describe their outreach strategy to engage with employers. The strategy must include how applicants will engage employers to provide youth participants with work experience and career exploration activities, and their approach to working with the local workforce development board to leverage employer partnerships through board members.</w:t>
      </w:r>
    </w:p>
    <w:p w:rsidR="00976CDB" w:rsidP="00632103" w14:paraId="6F461D2C" w14:textId="77777777">
      <w:pPr>
        <w:numPr>
          <w:ilvl w:val="0"/>
          <w:numId w:val="30"/>
        </w:numPr>
        <w:spacing w:before="20" w:after="150"/>
      </w:pPr>
      <w:r>
        <w:t>The applicant must describe the approach for ongoing communication with, and feedback from, employers, to ensure the program’s engagement strategy meets their needs.</w:t>
      </w:r>
    </w:p>
    <w:p w:rsidR="00976CDB" w:rsidP="00632103" w14:paraId="6FDA0B61" w14:textId="77777777">
      <w:pPr>
        <w:spacing w:after="140"/>
        <w:rPr>
          <w:sz w:val="20"/>
          <w:szCs w:val="20"/>
        </w:rPr>
      </w:pPr>
      <w:r>
        <w:rPr>
          <w:b/>
          <w:bCs/>
          <w:szCs w:val="20"/>
        </w:rPr>
        <w:t>3. Apprenticeship Connections (Maximum 4 Points)</w:t>
      </w:r>
    </w:p>
    <w:p w:rsidR="00976CDB" w:rsidP="00632103" w14:paraId="1AF385BF" w14:textId="77777777">
      <w:pPr>
        <w:spacing w:after="140"/>
        <w:rPr>
          <w:sz w:val="20"/>
          <w:szCs w:val="20"/>
        </w:rPr>
      </w:pPr>
      <w:r>
        <w:rPr>
          <w:szCs w:val="20"/>
        </w:rPr>
        <w:t xml:space="preserve">To receive four points for this section, applicants must provide documentation (i.e., memorandum of understanding or letter of commitment) of a partnership with a Registered Apprenticeship Program (RAP) that provides opportunities for direct entry to qualified exited participants. Alternatively, applicants may receive two points for this section if they provide documentation of engagement (e.g., email communication) with the relevant state apprenticeship agency/office to achieve a partnership with a RAP. To receive two points, documentation must include agency/office commitment to facilitate connections with other state apprenticeship </w:t>
      </w:r>
      <w:r>
        <w:rPr>
          <w:szCs w:val="20"/>
        </w:rPr>
        <w:t>stakeholders within four months of award. Documentation without such a commitment will receive zero points. This documentation must be provided as an attachment to the application.</w:t>
      </w:r>
    </w:p>
    <w:p w:rsidR="00976CDB" w:rsidP="00632103" w14:paraId="0B5EAD75" w14:textId="77777777">
      <w:pPr>
        <w:spacing w:after="140"/>
        <w:rPr>
          <w:sz w:val="20"/>
          <w:szCs w:val="20"/>
        </w:rPr>
      </w:pPr>
      <w:r>
        <w:rPr>
          <w:b/>
          <w:bCs/>
          <w:szCs w:val="20"/>
        </w:rPr>
        <w:t>h. Budget, Budget Narrative, and Match Narrative (Up to 4 Points)</w:t>
      </w:r>
    </w:p>
    <w:p w:rsidR="00976CDB" w:rsidP="00632103" w14:paraId="4A311667" w14:textId="77777777">
      <w:pPr>
        <w:spacing w:after="140"/>
        <w:rPr>
          <w:sz w:val="20"/>
          <w:szCs w:val="20"/>
        </w:rPr>
      </w:pPr>
      <w:r>
        <w:rPr>
          <w:szCs w:val="20"/>
        </w:rPr>
        <w:t>The budget and Budget Narrative provided as attachments to the application are used to evaluate this section. Please see Section IV.B for information on the requirements. The Budget and Budget Narrative do not count against the page limit requirements for the Project Narrative.</w:t>
      </w:r>
    </w:p>
    <w:p w:rsidR="00976CDB" w:rsidP="00632103" w14:paraId="58355066" w14:textId="77777777">
      <w:pPr>
        <w:spacing w:after="140"/>
        <w:rPr>
          <w:sz w:val="20"/>
          <w:szCs w:val="20"/>
        </w:rPr>
      </w:pPr>
      <w:r>
        <w:rPr>
          <w:szCs w:val="20"/>
        </w:rPr>
        <w:t>To receive full points for this section, applicants must fully address each of the below items:</w:t>
      </w:r>
    </w:p>
    <w:p w:rsidR="00976CDB" w:rsidP="00632103" w14:paraId="105A30E0" w14:textId="77777777">
      <w:pPr>
        <w:numPr>
          <w:ilvl w:val="0"/>
          <w:numId w:val="31"/>
        </w:numPr>
        <w:spacing w:after="20"/>
      </w:pPr>
      <w:r>
        <w:t>The applicant must provide a budget narrative that describes all the costs associated with each line item on the SF-424A. Unless the applicant is eligible for waiver of match, as described in section III.B of the FOA, the applicant must also provide a Match Narrative that describes the projected match funds expenditures, delineated by the same expenditure categories as on the budget narrative. If applicable, both the Budget Narrative and Match Narrative must include a description of leveraged resources provided to support grant activities.</w:t>
      </w:r>
    </w:p>
    <w:p w:rsidR="00976CDB" w:rsidP="00632103" w14:paraId="6F11B05A" w14:textId="77777777">
      <w:pPr>
        <w:numPr>
          <w:ilvl w:val="0"/>
          <w:numId w:val="31"/>
        </w:numPr>
        <w:spacing w:before="20" w:after="20"/>
      </w:pPr>
      <w:r>
        <w:t>The totals on the SF-424A and the Budget Narrative must align.</w:t>
      </w:r>
    </w:p>
    <w:p w:rsidR="00976CDB" w:rsidP="00632103" w14:paraId="14A768A1" w14:textId="77777777">
      <w:pPr>
        <w:numPr>
          <w:ilvl w:val="0"/>
          <w:numId w:val="31"/>
        </w:numPr>
        <w:spacing w:before="20" w:after="20"/>
      </w:pPr>
      <w:r>
        <w:t>Applicants must include, at a minimum, a Project Manager/Director, a Case Manager, and a Job Developer/Placement Specialist, either through direct employment or contracting for some portion of an FTE for all 24 months of active programming and 12 months of follow-up within the period of performance.</w:t>
      </w:r>
    </w:p>
    <w:p w:rsidR="00976CDB" w:rsidP="00632103" w14:paraId="7565ACBF" w14:textId="77777777">
      <w:pPr>
        <w:numPr>
          <w:ilvl w:val="0"/>
          <w:numId w:val="31"/>
        </w:numPr>
        <w:spacing w:before="20" w:after="150"/>
      </w:pPr>
      <w:r>
        <w:t>If including Construction Plus, the applicant must clearly document in the budget narrative/match narrative that grant and/or match funds will support the Construction Plus component of the program, either through the cost of the instructor, the cost of tuition at a community college partner, or some other substantial direct training-related cost.</w:t>
      </w:r>
    </w:p>
    <w:p w:rsidR="00976CDB" w:rsidP="00632103" w14:paraId="58A1076F" w14:textId="77777777">
      <w:pPr>
        <w:spacing w:before="20" w:after="20"/>
      </w:pPr>
      <w:bookmarkStart w:id="91" w:name="_bookmark234949"/>
      <w:bookmarkEnd w:id="91"/>
      <w:r>
        <w:rPr>
          <w:color w:val="auto"/>
          <w:szCs w:val="24"/>
        </w:rPr>
        <w:t xml:space="preserve"> </w:t>
      </w:r>
    </w:p>
    <w:p w:rsidR="00976CDB" w:rsidP="00632103" w14:paraId="25B24ACA" w14:textId="77777777">
      <w:pPr>
        <w:spacing w:after="140"/>
        <w:rPr>
          <w:sz w:val="20"/>
          <w:szCs w:val="20"/>
        </w:rPr>
      </w:pPr>
      <w:r>
        <w:rPr>
          <w:b/>
          <w:bCs/>
          <w:szCs w:val="20"/>
        </w:rPr>
        <w:t>i. Past Performance - Category A Programmatic Capability (Up to 24 Points)</w:t>
      </w:r>
    </w:p>
    <w:p w:rsidR="00976CDB" w:rsidP="00632103" w14:paraId="43EBE81F" w14:textId="77777777">
      <w:pPr>
        <w:spacing w:after="140"/>
        <w:rPr>
          <w:sz w:val="20"/>
          <w:szCs w:val="20"/>
        </w:rPr>
      </w:pPr>
      <w:r>
        <w:rPr>
          <w:szCs w:val="20"/>
        </w:rPr>
        <w:t>Organizations that have previously received and completed a 2017 (FOA-ETA-17-03, 2018 (FOA-ETA-18-04), or 2019 (FOA-ETA-19-04) YouthBuild grant award from DOL will receive points based on past performance demonstrated by their quarterly performance report submissions. DOL will review the WIOA measures, using the outcomes reported in the WIOA Supplemental Report and the Quarterly Financial Report (ETA-9130). Applicants do not need to submit these reports as attachments; DOL will use data previously submitted through the YouthBuild MIS and the DOL financial reporting system. In the event that the requested quarterly report is not submitted or available, the most recent previous report will serve this purpose.</w:t>
      </w:r>
      <w:r>
        <w:rPr>
          <w:szCs w:val="20"/>
        </w:rPr>
        <w:br/>
      </w:r>
      <w:r>
        <w:rPr>
          <w:szCs w:val="20"/>
        </w:rPr>
        <w:br/>
        <w:t>For Category A applicants, DOL will evaluate the three performance measures below for this criterion:</w:t>
      </w:r>
    </w:p>
    <w:p w:rsidR="00976CDB" w:rsidP="00632103" w14:paraId="4C34C4B4" w14:textId="77777777">
      <w:pPr>
        <w:numPr>
          <w:ilvl w:val="0"/>
          <w:numId w:val="32"/>
        </w:numPr>
        <w:spacing w:after="20"/>
      </w:pPr>
      <w:r>
        <w:t>placement in education or employment in the second quarter after exit;</w:t>
      </w:r>
    </w:p>
    <w:p w:rsidR="00976CDB" w:rsidP="00632103" w14:paraId="1F6B0642" w14:textId="77777777">
      <w:pPr>
        <w:numPr>
          <w:ilvl w:val="0"/>
          <w:numId w:val="32"/>
        </w:numPr>
        <w:spacing w:before="20" w:after="20"/>
      </w:pPr>
      <w:r>
        <w:t>placement in education or employment in the fourth quarter after exit;</w:t>
      </w:r>
    </w:p>
    <w:p w:rsidR="00976CDB" w:rsidP="00632103" w14:paraId="67DBD5C9" w14:textId="77777777">
      <w:pPr>
        <w:numPr>
          <w:ilvl w:val="0"/>
          <w:numId w:val="32"/>
        </w:numPr>
        <w:spacing w:before="20" w:after="150"/>
      </w:pPr>
      <w:r>
        <w:t>credential attainment</w:t>
      </w:r>
    </w:p>
    <w:p w:rsidR="00976CDB" w:rsidP="00632103" w14:paraId="77A5689E" w14:textId="77777777">
      <w:pPr>
        <w:spacing w:after="140"/>
        <w:rPr>
          <w:sz w:val="20"/>
          <w:szCs w:val="20"/>
        </w:rPr>
      </w:pPr>
      <w:r>
        <w:rPr>
          <w:b/>
          <w:bCs/>
          <w:szCs w:val="20"/>
        </w:rPr>
        <w:t>If the applicant's organization received multiple YouthBuild awards within the relevant Category A funding years, the applicant's abstract must indicate which grant DOL should evaluate. If the abstract does not indicate a grant, DOL will evaluate the criteria in this section for the most recently awarded grant from the Fiscal Years described above. DOL will review the final quarterly performance report submitted.</w:t>
      </w:r>
    </w:p>
    <w:p w:rsidR="00976CDB" w:rsidP="00632103" w14:paraId="1FAB651E" w14:textId="77777777">
      <w:pPr>
        <w:spacing w:after="140"/>
        <w:rPr>
          <w:sz w:val="20"/>
          <w:szCs w:val="20"/>
        </w:rPr>
      </w:pPr>
      <w:r>
        <w:rPr>
          <w:szCs w:val="20"/>
        </w:rPr>
        <w:t>Please note: Performance Goals will be scored based on the percentage of the target achieved.</w:t>
      </w:r>
    </w:p>
    <w:p w:rsidR="00976CDB" w:rsidP="00632103" w14:paraId="0D530326" w14:textId="77777777">
      <w:pPr>
        <w:spacing w:after="140"/>
        <w:rPr>
          <w:sz w:val="20"/>
          <w:szCs w:val="20"/>
        </w:rPr>
      </w:pPr>
      <w:r>
        <w:rPr>
          <w:szCs w:val="20"/>
        </w:rPr>
        <w:t>DOL will evaluate Category A applicants using the following criteria:</w:t>
      </w:r>
    </w:p>
    <w:p w:rsidR="00976CDB" w:rsidP="00632103" w14:paraId="44AC74B6" w14:textId="77777777">
      <w:pPr>
        <w:spacing w:after="140"/>
        <w:rPr>
          <w:sz w:val="20"/>
          <w:szCs w:val="20"/>
        </w:rPr>
      </w:pPr>
      <w:r>
        <w:rPr>
          <w:b/>
          <w:bCs/>
          <w:szCs w:val="20"/>
        </w:rPr>
        <w:t>(1) Performance Outcomes (Maximum 21 Points)</w:t>
      </w:r>
      <w:r>
        <w:rPr>
          <w:b/>
          <w:bCs/>
          <w:szCs w:val="20"/>
        </w:rPr>
        <w:br/>
      </w:r>
      <w:r>
        <w:rPr>
          <w:szCs w:val="20"/>
        </w:rPr>
        <w:t xml:space="preserve"> </w:t>
      </w:r>
    </w:p>
    <w:p w:rsidR="00976CDB" w:rsidP="00632103" w14:paraId="270654E4" w14:textId="77777777">
      <w:pPr>
        <w:spacing w:after="140"/>
        <w:rPr>
          <w:sz w:val="20"/>
          <w:szCs w:val="20"/>
        </w:rPr>
      </w:pPr>
      <w:r>
        <w:rPr>
          <w:szCs w:val="20"/>
        </w:rPr>
        <w:t>Category A applicants that met less than 70% of their qualifying grant’s minimum enrollment will receive 0 points for this section.</w:t>
      </w:r>
    </w:p>
    <w:p w:rsidR="00976CDB" w:rsidP="00632103" w14:paraId="38F38273" w14:textId="77777777">
      <w:pPr>
        <w:spacing w:after="140"/>
        <w:rPr>
          <w:sz w:val="20"/>
          <w:szCs w:val="20"/>
        </w:rPr>
      </w:pPr>
      <w:r>
        <w:rPr>
          <w:szCs w:val="20"/>
        </w:rPr>
        <w:br/>
        <w:t xml:space="preserve">i. Placement in Education or Employment in the Second Quarter rate, as defined under WIOA </w:t>
      </w:r>
      <w:r>
        <w:rPr>
          <w:b/>
          <w:bCs/>
          <w:szCs w:val="20"/>
        </w:rPr>
        <w:t>(Maximum 7 Points)</w:t>
      </w:r>
      <w:r>
        <w:rPr>
          <w:szCs w:val="20"/>
        </w:rPr>
        <w:t>:</w:t>
      </w:r>
    </w:p>
    <w:p w:rsidR="00976CDB" w:rsidP="00632103" w14:paraId="70E04486" w14:textId="77777777">
      <w:pPr>
        <w:numPr>
          <w:ilvl w:val="0"/>
          <w:numId w:val="33"/>
        </w:numPr>
        <w:spacing w:after="20"/>
      </w:pPr>
      <w:r>
        <w:t>70.00 percent or higher will receive 7 points.</w:t>
      </w:r>
    </w:p>
    <w:p w:rsidR="00976CDB" w:rsidP="00632103" w14:paraId="66B1C535" w14:textId="77777777">
      <w:pPr>
        <w:numPr>
          <w:ilvl w:val="0"/>
          <w:numId w:val="33"/>
        </w:numPr>
        <w:spacing w:before="20" w:after="20"/>
      </w:pPr>
      <w:r>
        <w:t>65.00 percent – 69.99 percent will receive 6 points.</w:t>
      </w:r>
    </w:p>
    <w:p w:rsidR="00976CDB" w:rsidP="00632103" w14:paraId="4CE77E42" w14:textId="77777777">
      <w:pPr>
        <w:numPr>
          <w:ilvl w:val="0"/>
          <w:numId w:val="33"/>
        </w:numPr>
        <w:spacing w:before="20" w:after="20"/>
      </w:pPr>
      <w:r>
        <w:t>60.00 percent – 64.99 percent will receive 5 points.</w:t>
      </w:r>
    </w:p>
    <w:p w:rsidR="00976CDB" w:rsidP="00632103" w14:paraId="67E39B6A" w14:textId="77777777">
      <w:pPr>
        <w:numPr>
          <w:ilvl w:val="0"/>
          <w:numId w:val="33"/>
        </w:numPr>
        <w:spacing w:before="20" w:after="20"/>
      </w:pPr>
      <w:r>
        <w:t>55.00 percent – 59.99 percent will receive 4 points.</w:t>
      </w:r>
    </w:p>
    <w:p w:rsidR="00976CDB" w:rsidP="00632103" w14:paraId="21CE31DD" w14:textId="77777777">
      <w:pPr>
        <w:numPr>
          <w:ilvl w:val="0"/>
          <w:numId w:val="33"/>
        </w:numPr>
        <w:spacing w:before="20" w:after="20"/>
      </w:pPr>
      <w:r>
        <w:t>50.00 percent – 54.99 percent will receive 3 points.</w:t>
      </w:r>
    </w:p>
    <w:p w:rsidR="00976CDB" w:rsidP="00632103" w14:paraId="7E5BA487" w14:textId="77777777">
      <w:pPr>
        <w:numPr>
          <w:ilvl w:val="0"/>
          <w:numId w:val="33"/>
        </w:numPr>
        <w:spacing w:before="20" w:after="20"/>
      </w:pPr>
      <w:r>
        <w:t>45.00 percent – 49.99 percent will receive 2 points.</w:t>
      </w:r>
    </w:p>
    <w:p w:rsidR="00976CDB" w:rsidP="00632103" w14:paraId="1CC3C68E" w14:textId="77777777">
      <w:pPr>
        <w:numPr>
          <w:ilvl w:val="0"/>
          <w:numId w:val="33"/>
        </w:numPr>
        <w:spacing w:before="20" w:after="20"/>
      </w:pPr>
      <w:r>
        <w:t>40.00 percent – 44.99 percent will receive 1 point.</w:t>
      </w:r>
    </w:p>
    <w:p w:rsidR="00976CDB" w:rsidP="00632103" w14:paraId="1DA504A3" w14:textId="77777777">
      <w:pPr>
        <w:numPr>
          <w:ilvl w:val="0"/>
          <w:numId w:val="33"/>
        </w:numPr>
        <w:spacing w:before="20" w:after="150"/>
      </w:pPr>
      <w:r>
        <w:t>39.99 percent or below will receive 0 points.</w:t>
      </w:r>
    </w:p>
    <w:p w:rsidR="00976CDB" w:rsidP="00632103" w14:paraId="5EAFACE4" w14:textId="77777777">
      <w:pPr>
        <w:spacing w:after="140"/>
        <w:rPr>
          <w:sz w:val="20"/>
          <w:szCs w:val="20"/>
        </w:rPr>
      </w:pPr>
      <w:r>
        <w:rPr>
          <w:szCs w:val="20"/>
        </w:rPr>
        <w:t xml:space="preserve">ii. Placement in Education or Employment in the Fourth Quarter, as defined under WIOA </w:t>
      </w:r>
      <w:r>
        <w:rPr>
          <w:b/>
          <w:bCs/>
          <w:szCs w:val="20"/>
        </w:rPr>
        <w:t>(Maximum 7 Points)</w:t>
      </w:r>
      <w:r>
        <w:rPr>
          <w:szCs w:val="20"/>
        </w:rPr>
        <w:t>:</w:t>
      </w:r>
    </w:p>
    <w:p w:rsidR="00976CDB" w:rsidP="00632103" w14:paraId="14889234" w14:textId="77777777">
      <w:pPr>
        <w:numPr>
          <w:ilvl w:val="0"/>
          <w:numId w:val="34"/>
        </w:numPr>
        <w:spacing w:after="20"/>
      </w:pPr>
      <w:r>
        <w:t>70.00 percent or higher will receive 7 points.</w:t>
      </w:r>
    </w:p>
    <w:p w:rsidR="00976CDB" w:rsidP="00632103" w14:paraId="565D9388" w14:textId="77777777">
      <w:pPr>
        <w:numPr>
          <w:ilvl w:val="0"/>
          <w:numId w:val="34"/>
        </w:numPr>
        <w:spacing w:before="20" w:after="20"/>
      </w:pPr>
      <w:r>
        <w:t>65.00 percent – 69.99 percent will receive 6 points.</w:t>
      </w:r>
    </w:p>
    <w:p w:rsidR="00976CDB" w:rsidP="00632103" w14:paraId="5EF19C8D" w14:textId="77777777">
      <w:pPr>
        <w:numPr>
          <w:ilvl w:val="0"/>
          <w:numId w:val="34"/>
        </w:numPr>
        <w:spacing w:before="20" w:after="20"/>
      </w:pPr>
      <w:r>
        <w:t>60.00 percent – 64.99 percent will receive 5 points.</w:t>
      </w:r>
    </w:p>
    <w:p w:rsidR="00976CDB" w:rsidP="00632103" w14:paraId="760FA662" w14:textId="77777777">
      <w:pPr>
        <w:numPr>
          <w:ilvl w:val="0"/>
          <w:numId w:val="34"/>
        </w:numPr>
        <w:spacing w:before="20" w:after="20"/>
      </w:pPr>
      <w:r>
        <w:t>55.00 percent – 59.99 percent will receive 4 points.</w:t>
      </w:r>
    </w:p>
    <w:p w:rsidR="00976CDB" w:rsidP="00632103" w14:paraId="516F03A6" w14:textId="77777777">
      <w:pPr>
        <w:numPr>
          <w:ilvl w:val="0"/>
          <w:numId w:val="34"/>
        </w:numPr>
        <w:spacing w:before="20" w:after="20"/>
      </w:pPr>
      <w:r>
        <w:t>50.00 percent – 54.99 percent will receive 3 points.</w:t>
      </w:r>
    </w:p>
    <w:p w:rsidR="00976CDB" w:rsidP="00632103" w14:paraId="2AEBCF7F" w14:textId="77777777">
      <w:pPr>
        <w:numPr>
          <w:ilvl w:val="0"/>
          <w:numId w:val="34"/>
        </w:numPr>
        <w:spacing w:before="20" w:after="20"/>
      </w:pPr>
      <w:r>
        <w:t>45.00 percent – 49.99 percent will receive 3 points.</w:t>
      </w:r>
    </w:p>
    <w:p w:rsidR="00976CDB" w:rsidP="00632103" w14:paraId="33840CF6" w14:textId="77777777">
      <w:pPr>
        <w:numPr>
          <w:ilvl w:val="0"/>
          <w:numId w:val="34"/>
        </w:numPr>
        <w:spacing w:before="20" w:after="20"/>
      </w:pPr>
      <w:r>
        <w:t>40.00 percent – 44.99 percent will receive 1 point.</w:t>
      </w:r>
    </w:p>
    <w:p w:rsidR="00976CDB" w:rsidP="00632103" w14:paraId="6BF1FA54" w14:textId="77777777">
      <w:pPr>
        <w:numPr>
          <w:ilvl w:val="0"/>
          <w:numId w:val="34"/>
        </w:numPr>
        <w:spacing w:before="20" w:after="150"/>
      </w:pPr>
      <w:r>
        <w:t>39.99 percent or below will receive 0 points.</w:t>
      </w:r>
    </w:p>
    <w:p w:rsidR="00976CDB" w:rsidP="00632103" w14:paraId="3D1D54DD" w14:textId="77777777">
      <w:pPr>
        <w:spacing w:after="140"/>
        <w:rPr>
          <w:sz w:val="20"/>
          <w:szCs w:val="20"/>
        </w:rPr>
      </w:pPr>
      <w:r>
        <w:rPr>
          <w:szCs w:val="20"/>
        </w:rPr>
        <w:t xml:space="preserve">iii. Credential Attainment rate, as defined under WIOA </w:t>
      </w:r>
      <w:r>
        <w:rPr>
          <w:b/>
          <w:bCs/>
          <w:szCs w:val="20"/>
        </w:rPr>
        <w:t>(Maximum 7 Points)</w:t>
      </w:r>
      <w:r>
        <w:rPr>
          <w:szCs w:val="20"/>
        </w:rPr>
        <w:t>:</w:t>
      </w:r>
    </w:p>
    <w:p w:rsidR="00976CDB" w:rsidP="00632103" w14:paraId="294D6EF0" w14:textId="77777777">
      <w:pPr>
        <w:numPr>
          <w:ilvl w:val="0"/>
          <w:numId w:val="35"/>
        </w:numPr>
        <w:spacing w:after="20"/>
      </w:pPr>
      <w:r>
        <w:t>80.00 percent or higher will receive 7 points</w:t>
      </w:r>
    </w:p>
    <w:p w:rsidR="00976CDB" w:rsidP="00632103" w14:paraId="1AA5C010" w14:textId="77777777">
      <w:pPr>
        <w:numPr>
          <w:ilvl w:val="0"/>
          <w:numId w:val="35"/>
        </w:numPr>
        <w:spacing w:before="20" w:after="20"/>
      </w:pPr>
      <w:r>
        <w:t>75.00 percent – 79.99 percent will receive 6 points.</w:t>
      </w:r>
    </w:p>
    <w:p w:rsidR="00976CDB" w:rsidP="00632103" w14:paraId="63C5D53E" w14:textId="77777777">
      <w:pPr>
        <w:numPr>
          <w:ilvl w:val="0"/>
          <w:numId w:val="35"/>
        </w:numPr>
        <w:spacing w:before="20" w:after="20"/>
      </w:pPr>
      <w:r>
        <w:t>70.00 percent – 74.99 percent will receive 5 points.</w:t>
      </w:r>
    </w:p>
    <w:p w:rsidR="00976CDB" w:rsidP="00632103" w14:paraId="3792848A" w14:textId="77777777">
      <w:pPr>
        <w:numPr>
          <w:ilvl w:val="0"/>
          <w:numId w:val="35"/>
        </w:numPr>
        <w:spacing w:before="20" w:after="20"/>
      </w:pPr>
      <w:r>
        <w:t>65.00 percent – 69.99 percent will receive 4 points.</w:t>
      </w:r>
    </w:p>
    <w:p w:rsidR="00976CDB" w:rsidP="00632103" w14:paraId="0AF373E2" w14:textId="77777777">
      <w:pPr>
        <w:numPr>
          <w:ilvl w:val="0"/>
          <w:numId w:val="35"/>
        </w:numPr>
        <w:spacing w:before="20" w:after="20"/>
      </w:pPr>
      <w:r>
        <w:t>60.00 percent – 64.99 percent will receive 3 points.</w:t>
      </w:r>
    </w:p>
    <w:p w:rsidR="00976CDB" w:rsidP="00632103" w14:paraId="38B15F19" w14:textId="77777777">
      <w:pPr>
        <w:numPr>
          <w:ilvl w:val="0"/>
          <w:numId w:val="35"/>
        </w:numPr>
        <w:spacing w:before="20" w:after="20"/>
      </w:pPr>
      <w:r>
        <w:t>55.00 percent – 59.99 percent will receive 2 points.</w:t>
      </w:r>
    </w:p>
    <w:p w:rsidR="00976CDB" w:rsidP="00632103" w14:paraId="079A0C31" w14:textId="77777777">
      <w:pPr>
        <w:numPr>
          <w:ilvl w:val="0"/>
          <w:numId w:val="35"/>
        </w:numPr>
        <w:spacing w:before="20" w:after="20"/>
      </w:pPr>
      <w:r>
        <w:t>50.00 percent – 54.99 percent will receive 1 point.</w:t>
      </w:r>
    </w:p>
    <w:p w:rsidR="00976CDB" w:rsidP="00632103" w14:paraId="3BD25991" w14:textId="77777777">
      <w:pPr>
        <w:numPr>
          <w:ilvl w:val="0"/>
          <w:numId w:val="35"/>
        </w:numPr>
        <w:spacing w:before="20" w:after="150"/>
      </w:pPr>
      <w:r>
        <w:t>49.99 percent or below will receive 0 points.</w:t>
      </w:r>
    </w:p>
    <w:p w:rsidR="00976CDB" w:rsidP="00632103" w14:paraId="0FC2D822" w14:textId="77777777">
      <w:pPr>
        <w:spacing w:after="140"/>
        <w:rPr>
          <w:sz w:val="20"/>
          <w:szCs w:val="20"/>
        </w:rPr>
      </w:pPr>
      <w:r>
        <w:rPr>
          <w:b/>
          <w:bCs/>
          <w:szCs w:val="20"/>
        </w:rPr>
        <w:t>(2) Spending Rate Analysis During the Original Period of Performance (Maximum 2 Points):</w:t>
      </w:r>
      <w:r>
        <w:rPr>
          <w:b/>
          <w:bCs/>
          <w:szCs w:val="20"/>
        </w:rPr>
        <w:br/>
      </w:r>
      <w:r>
        <w:rPr>
          <w:b/>
          <w:bCs/>
          <w:szCs w:val="20"/>
        </w:rPr>
        <w:br/>
      </w:r>
      <w:r>
        <w:rPr>
          <w:szCs w:val="20"/>
        </w:rPr>
        <w:t>For Organizations that received a YouthBuild award in FY 2017, 2018, or 2019, DOL will award points as follows:</w:t>
      </w:r>
      <w:r>
        <w:rPr>
          <w:szCs w:val="20"/>
        </w:rPr>
        <w:br/>
      </w:r>
      <w:r>
        <w:rPr>
          <w:szCs w:val="20"/>
        </w:rPr>
        <w:br/>
        <w:t>Category A applicants that expended, during the original period of performance:</w:t>
      </w:r>
    </w:p>
    <w:p w:rsidR="00976CDB" w:rsidP="00632103" w14:paraId="40EA5CA1" w14:textId="77777777">
      <w:pPr>
        <w:numPr>
          <w:ilvl w:val="0"/>
          <w:numId w:val="36"/>
        </w:numPr>
        <w:spacing w:after="20"/>
      </w:pPr>
      <w:r>
        <w:t>at least 90 percent of grant funds and met 100 percent of their match requirement (25 percent of the grant award) will receive 2 points.</w:t>
      </w:r>
    </w:p>
    <w:p w:rsidR="00976CDB" w:rsidP="00632103" w14:paraId="79F062E1" w14:textId="77777777">
      <w:pPr>
        <w:numPr>
          <w:ilvl w:val="0"/>
          <w:numId w:val="36"/>
        </w:numPr>
        <w:spacing w:before="20" w:after="20"/>
      </w:pPr>
      <w:r>
        <w:t>at least 80 percent but less than 90 percent of grant funds and met 100 percent of their match requirement (25 percent of the grant award) will receive 1 point.</w:t>
      </w:r>
    </w:p>
    <w:p w:rsidR="00976CDB" w:rsidP="00632103" w14:paraId="160E3C24" w14:textId="77777777">
      <w:pPr>
        <w:numPr>
          <w:ilvl w:val="0"/>
          <w:numId w:val="36"/>
        </w:numPr>
        <w:spacing w:before="20" w:after="20"/>
      </w:pPr>
      <w:r>
        <w:t>less than 80 percent of grant funds, even if they expended 100 percent of match funds, will receive 0 points.</w:t>
      </w:r>
    </w:p>
    <w:p w:rsidR="00976CDB" w:rsidP="00632103" w14:paraId="3B25E1DB" w14:textId="77777777">
      <w:pPr>
        <w:numPr>
          <w:ilvl w:val="0"/>
          <w:numId w:val="36"/>
        </w:numPr>
        <w:spacing w:before="20" w:after="150"/>
      </w:pPr>
      <w:r>
        <w:t>did not meet 100 percent of their match requirement (25 percent of the grant award), regardless of the percentage of funds expended, will also receive 0 points.</w:t>
      </w:r>
    </w:p>
    <w:p w:rsidR="00976CDB" w:rsidP="00632103" w14:paraId="375671EA" w14:textId="77777777">
      <w:pPr>
        <w:spacing w:after="140"/>
        <w:rPr>
          <w:sz w:val="20"/>
          <w:szCs w:val="20"/>
        </w:rPr>
      </w:pPr>
      <w:r>
        <w:rPr>
          <w:b/>
          <w:bCs/>
          <w:szCs w:val="20"/>
        </w:rPr>
        <w:t>(1) Proof of Completed Unit of Housing (1 Point or No Points))</w:t>
      </w:r>
    </w:p>
    <w:p w:rsidR="00976CDB" w:rsidP="00632103" w14:paraId="0A5CF24E" w14:textId="77777777">
      <w:pPr>
        <w:spacing w:after="140"/>
        <w:rPr>
          <w:sz w:val="20"/>
          <w:szCs w:val="20"/>
        </w:rPr>
      </w:pPr>
      <w:r>
        <w:rPr>
          <w:szCs w:val="20"/>
        </w:rPr>
        <w:t>Submit one Annual Housing Census form that shows the completion of at least one unit of housing from the YouthBuild grant award that qualified your organization as Category A. The form is available for download at https://www.dol.gov/agencies/eta/youth/youthbuild.</w:t>
      </w:r>
    </w:p>
    <w:p w:rsidR="00976CDB" w:rsidP="00632103" w14:paraId="2AC85B13" w14:textId="77777777">
      <w:pPr>
        <w:spacing w:after="140"/>
        <w:rPr>
          <w:sz w:val="20"/>
          <w:szCs w:val="20"/>
        </w:rPr>
      </w:pPr>
      <w:r>
        <w:rPr>
          <w:szCs w:val="20"/>
        </w:rPr>
        <w:t xml:space="preserve"> </w:t>
      </w:r>
    </w:p>
    <w:p w:rsidR="00976CDB" w:rsidP="00632103" w14:paraId="635ABF58" w14:textId="77777777">
      <w:pPr>
        <w:spacing w:before="20" w:after="20"/>
        <w:ind w:left="375"/>
      </w:pPr>
      <w:bookmarkStart w:id="92" w:name="_bookmark234861"/>
      <w:bookmarkEnd w:id="92"/>
      <w:r>
        <w:rPr>
          <w:b/>
          <w:bCs/>
        </w:rPr>
        <w:t>j. Past Performance - Category B Programmatic Capability (Up to 34 Points)</w:t>
      </w:r>
    </w:p>
    <w:p w:rsidR="00976CDB" w:rsidP="00632103" w14:paraId="2B6B6BD6" w14:textId="77777777">
      <w:pPr>
        <w:spacing w:before="20" w:after="20"/>
        <w:ind w:left="375"/>
      </w:pPr>
      <w:r>
        <w:t>Category B applicants must provide data from a previous project, according to the following guidelines:</w:t>
      </w:r>
      <w:r>
        <w:br/>
      </w:r>
      <w:r>
        <w:br/>
        <w:t>The Category B applicant must have completed a project similar in size, scope, and outcomes to the YouthBuild program within 5 years of the closing date of this announcement. The applicant may have funded this project directly or through a grant, including DOL grants for which they were a sub-recipient and other federally or non-federally funded assistance agreements. Federally funded assistance agreements include federal grants and cooperative agreements but not federal contracts. Applicants whose role in a grant was as a subgrantee must request verification directly from the grant recipient. It is the responsibility of the applicant to request past grant performance verification, and to do so in a timely manner that allows for response.</w:t>
      </w:r>
      <w:r>
        <w:br/>
      </w:r>
      <w:r>
        <w:br/>
        <w:t xml:space="preserve">Category B applicants must submit a chart of past performance for the most recently completed relevant project that identifies and describes three performance metrics, listed below, and the performance outcomes. Applicants must include the metric of employment/education placement and choose at least one of the two other metrics (or substantially similar metrics) in demonstrating past performance. For the third metric, the applicant may substitute a different metric in lieu of either credential attainment or retention in education or employment, if data for one of these metrics is not available. If the applicant </w:t>
      </w:r>
      <w:r>
        <w:t xml:space="preserve">uses a substitute metric, it must have been a requirement established by the applicant's grantor.  </w:t>
      </w:r>
      <w:r>
        <w:br/>
      </w:r>
      <w:r>
        <w:br/>
        <w:t>The metrics include:</w:t>
      </w:r>
    </w:p>
    <w:p w:rsidR="00976CDB" w:rsidP="00632103" w14:paraId="5314B48D" w14:textId="77777777">
      <w:pPr>
        <w:numPr>
          <w:ilvl w:val="0"/>
          <w:numId w:val="37"/>
        </w:numPr>
        <w:spacing w:before="20" w:after="20"/>
      </w:pPr>
      <w:r>
        <w:t>Employment or education placement (required);</w:t>
      </w:r>
    </w:p>
    <w:p w:rsidR="00976CDB" w:rsidP="00632103" w14:paraId="5C5F6DD2" w14:textId="77777777">
      <w:pPr>
        <w:numPr>
          <w:ilvl w:val="0"/>
          <w:numId w:val="37"/>
        </w:numPr>
        <w:spacing w:before="20" w:after="20"/>
      </w:pPr>
      <w:r>
        <w:t>Credential attainment (or similar); and</w:t>
      </w:r>
    </w:p>
    <w:p w:rsidR="00976CDB" w:rsidP="00632103" w14:paraId="54050102" w14:textId="77777777">
      <w:pPr>
        <w:numPr>
          <w:ilvl w:val="0"/>
          <w:numId w:val="37"/>
        </w:numPr>
        <w:spacing w:before="20" w:after="20"/>
      </w:pPr>
      <w:r>
        <w:t>Retention in education or employment (or similar)</w:t>
      </w:r>
    </w:p>
    <w:p w:rsidR="00976CDB" w:rsidP="00632103" w14:paraId="5F047CE5" w14:textId="77777777">
      <w:pPr>
        <w:spacing w:before="20" w:after="20"/>
        <w:ind w:left="375"/>
      </w:pPr>
      <w:r>
        <w:t>In the past performance chart, Category B applicants must provide information in the sample chart below:</w:t>
      </w:r>
    </w:p>
    <w:tbl>
      <w:tblPr>
        <w:tblStyle w:val="tableTable0"/>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3013"/>
        <w:gridCol w:w="569"/>
        <w:gridCol w:w="1009"/>
        <w:gridCol w:w="1471"/>
        <w:gridCol w:w="3282"/>
      </w:tblGrid>
      <w:tr w14:paraId="6D361673" w14:textId="77777777">
        <w:tblPrEx>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4A384EDB" w14:textId="77777777">
            <w:pPr>
              <w:spacing w:before="20" w:after="20"/>
            </w:pPr>
            <w:r>
              <w:rPr>
                <w:b/>
                <w:bCs/>
              </w:rPr>
              <w:t>Name of Previous Grantor Organization:</w:t>
            </w:r>
          </w:p>
        </w:tc>
      </w:tr>
      <w:tr w14:paraId="08A82F51"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4F083363" w14:textId="77777777">
            <w:pPr>
              <w:spacing w:before="20" w:after="20"/>
            </w:pPr>
            <w:r>
              <w:rPr>
                <w:b/>
                <w:bCs/>
              </w:rPr>
              <w:t>Grantor Contact - Name, Title, Signature (if non-ETA grant), E-mail Address, and Telephone Number:</w:t>
            </w:r>
          </w:p>
        </w:tc>
      </w:tr>
      <w:tr w14:paraId="288E4D8D"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72BDB71" w14:textId="77777777">
            <w:pPr>
              <w:spacing w:before="20" w:after="20"/>
            </w:pPr>
            <w:r>
              <w:rPr>
                <w:b/>
                <w:bCs/>
              </w:rPr>
              <w:t>Project Title and Grant Number:</w:t>
            </w:r>
          </w:p>
        </w:tc>
      </w:tr>
      <w:tr w14:paraId="59A1CDFA"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641E958" w14:textId="77777777">
            <w:pPr>
              <w:spacing w:before="20" w:after="20"/>
            </w:pPr>
            <w:r>
              <w:rPr>
                <w:b/>
                <w:bCs/>
              </w:rPr>
              <w:t>Project Period of Performance:</w:t>
            </w:r>
          </w:p>
        </w:tc>
      </w:tr>
      <w:tr w14:paraId="3DB592CA"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F67D726" w14:textId="77777777">
            <w:pPr>
              <w:spacing w:before="20" w:after="20"/>
            </w:pPr>
            <w:r>
              <w:rPr>
                <w:b/>
                <w:bCs/>
              </w:rPr>
              <w:t>Number of Participants Enrolled:</w:t>
            </w:r>
          </w:p>
        </w:tc>
      </w:tr>
      <w:tr w14:paraId="4CB39866"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9CD1BE2" w14:textId="77777777">
            <w:pPr>
              <w:spacing w:before="20" w:after="20"/>
            </w:pPr>
            <w:r>
              <w:rPr>
                <w:b/>
                <w:bCs/>
              </w:rPr>
              <w:t>Population Served:</w:t>
            </w:r>
          </w:p>
        </w:tc>
      </w:tr>
      <w:tr w14:paraId="5A4ECD9F"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0EA5F18" w14:textId="77777777">
            <w:pPr>
              <w:spacing w:before="20" w:after="20"/>
            </w:pPr>
            <w:r>
              <w:rPr>
                <w:b/>
                <w:bCs/>
              </w:rPr>
              <w:t>Performance Goals</w:t>
            </w:r>
          </w:p>
        </w:tc>
      </w:tr>
      <w:tr w14:paraId="0A5ABB67"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C33258E" w14:textId="77777777">
            <w:pPr>
              <w:spacing w:before="20" w:after="20"/>
            </w:pPr>
            <w:r>
              <w:rPr>
                <w:b/>
                <w:bCs/>
              </w:rPr>
              <w:t>Performance Indicator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134756D" w14:textId="77777777">
            <w:pPr>
              <w:spacing w:before="20" w:after="20"/>
            </w:pPr>
            <w:r>
              <w:rPr>
                <w:b/>
                <w:bCs/>
              </w:rPr>
              <w:t>Goal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0489C353" w14:textId="77777777">
            <w:pPr>
              <w:spacing w:before="20" w:after="20"/>
            </w:pPr>
            <w:r>
              <w:rPr>
                <w:b/>
                <w:bCs/>
              </w:rPr>
              <w:t>Outcome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416E9D8" w14:textId="77777777">
            <w:pPr>
              <w:spacing w:before="20" w:after="20"/>
            </w:pPr>
            <w:r>
              <w:rPr>
                <w:b/>
                <w:bCs/>
              </w:rPr>
              <w:t>Outcome /Goal</w:t>
            </w:r>
          </w:p>
          <w:p w:rsidR="00976CDB" w:rsidP="00632103" w14:paraId="6E15E120" w14:textId="77777777">
            <w:pPr>
              <w:spacing w:before="20" w:after="20"/>
            </w:pPr>
            <w:r>
              <w:rPr>
                <w:b/>
                <w:bCs/>
              </w:rPr>
              <w:t>(Fraction)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586A8AC6" w14:textId="77777777">
            <w:pPr>
              <w:spacing w:before="20" w:after="20"/>
            </w:pPr>
            <w:r>
              <w:rPr>
                <w:b/>
                <w:bCs/>
              </w:rPr>
              <w:t>Rate of Goal Achievement (Percentage)</w:t>
            </w:r>
          </w:p>
        </w:tc>
      </w:tr>
      <w:tr w14:paraId="739322F3"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55D4205B" w14:textId="77777777">
            <w:pPr>
              <w:spacing w:before="20" w:after="20"/>
            </w:pPr>
            <w:r>
              <w:rPr>
                <w:i/>
                <w:iCs/>
              </w:rPr>
              <w:t>Employment/education placement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45EA16E7" w14:textId="77777777">
            <w:pPr>
              <w:spacing w:before="20" w:after="20"/>
            </w:pPr>
            <w:r>
              <w:rPr>
                <w:i/>
                <w:iCs/>
              </w:rPr>
              <w:t>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407D7F93" w14:textId="77777777">
            <w:pPr>
              <w:spacing w:before="20" w:after="20"/>
            </w:pPr>
            <w:r>
              <w:rPr>
                <w:i/>
                <w:iCs/>
              </w:rPr>
              <w:t>58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993F435" w14:textId="77777777">
            <w:pPr>
              <w:spacing w:before="20" w:after="20"/>
            </w:pPr>
            <w:r>
              <w:rPr>
                <w:i/>
                <w:iCs/>
              </w:rPr>
              <w:t>58/60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C0C6BDF" w14:textId="77777777">
            <w:pPr>
              <w:spacing w:before="20" w:after="20"/>
            </w:pPr>
            <w:r>
              <w:rPr>
                <w:i/>
                <w:iCs/>
              </w:rPr>
              <w:t>97%</w:t>
            </w:r>
          </w:p>
        </w:tc>
      </w:tr>
      <w:tr w14:paraId="2629A5A0"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EB0B56B" w14:textId="77777777">
            <w:pPr>
              <w:spacing w:before="20" w:after="20"/>
            </w:pPr>
            <w:r>
              <w:rPr>
                <w:i/>
                <w:iCs/>
              </w:rPr>
              <w:t>Credential/degree attainment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0C2CAE81" w14:textId="77777777">
            <w:pPr>
              <w:spacing w:before="20" w:after="20"/>
            </w:pPr>
            <w:r>
              <w:rPr>
                <w:i/>
                <w:iCs/>
              </w:rPr>
              <w:t>100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92F3C3E" w14:textId="77777777">
            <w:pPr>
              <w:spacing w:before="20" w:after="20"/>
            </w:pPr>
            <w:r>
              <w:rPr>
                <w:i/>
                <w:iCs/>
              </w:rPr>
              <w:t>105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426E4E7" w14:textId="77777777">
            <w:pPr>
              <w:spacing w:before="20" w:after="20"/>
            </w:pPr>
            <w:r>
              <w:rPr>
                <w:i/>
                <w:iCs/>
              </w:rPr>
              <w:t>105/100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328253F" w14:textId="77777777">
            <w:pPr>
              <w:spacing w:before="20" w:after="20"/>
            </w:pPr>
            <w:r>
              <w:rPr>
                <w:i/>
                <w:iCs/>
              </w:rPr>
              <w:t>105%</w:t>
            </w:r>
          </w:p>
        </w:tc>
      </w:tr>
    </w:tbl>
    <w:p w:rsidR="00976CDB" w14:paraId="26C3A665" w14:textId="77777777">
      <w:pPr>
        <w:rPr>
          <w:vanish/>
        </w:rPr>
      </w:pPr>
    </w:p>
    <w:tbl>
      <w:tblPr>
        <w:tblStyle w:val="tableTable0"/>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1869"/>
        <w:gridCol w:w="3607"/>
        <w:gridCol w:w="1621"/>
        <w:gridCol w:w="2247"/>
      </w:tblGrid>
      <w:tr w14:paraId="5504CA6A" w14:textId="77777777">
        <w:tblPrEx>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AD33E2B" w14:textId="77777777">
            <w:pPr>
              <w:spacing w:before="20" w:after="20"/>
            </w:pPr>
            <w:r>
              <w:rPr>
                <w:b/>
                <w:bCs/>
              </w:rPr>
              <w:t>Spending Rate Analysis</w:t>
            </w:r>
          </w:p>
        </w:tc>
      </w:tr>
      <w:tr w14:paraId="0C2ACE41"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3D639B2" w14:textId="77777777">
            <w:pPr>
              <w:spacing w:before="20" w:after="20"/>
            </w:pPr>
            <w:r>
              <w:rPr>
                <w:b/>
                <w:bCs/>
              </w:rPr>
              <w:t>Grant Funds Received: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C703ECD" w14:textId="77777777">
            <w:pPr>
              <w:spacing w:before="20" w:after="20"/>
            </w:pPr>
            <w:r>
              <w:rPr>
                <w:b/>
                <w:bCs/>
              </w:rPr>
              <w:t>Grant Funds Spent by end of the Original Period of</w:t>
            </w:r>
            <w:r>
              <w:rPr>
                <w:b/>
                <w:bCs/>
              </w:rPr>
              <w:br/>
              <w:t>Performance: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9260FD8" w14:textId="77777777">
            <w:pPr>
              <w:spacing w:before="20" w:after="20"/>
            </w:pPr>
            <w:r>
              <w:rPr>
                <w:b/>
                <w:bCs/>
              </w:rPr>
              <w:t>Total Spent /</w:t>
            </w:r>
          </w:p>
          <w:p w:rsidR="00976CDB" w:rsidP="00632103" w14:paraId="043AB55A" w14:textId="77777777">
            <w:pPr>
              <w:spacing w:before="20" w:after="20"/>
            </w:pPr>
            <w:r>
              <w:rPr>
                <w:b/>
                <w:bCs/>
              </w:rPr>
              <w:t>Total Grant Funds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5B4BF60A" w14:textId="77777777">
            <w:pPr>
              <w:spacing w:before="20" w:after="20"/>
            </w:pPr>
            <w:r>
              <w:rPr>
                <w:b/>
                <w:bCs/>
              </w:rPr>
              <w:t>Percentage Rate of Spending:</w:t>
            </w:r>
          </w:p>
        </w:tc>
      </w:tr>
      <w:tr w14:paraId="77927204"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1374750" w14:textId="77777777">
            <w:pPr>
              <w:spacing w:before="20" w:after="20"/>
            </w:pPr>
            <w:r>
              <w:rPr>
                <w:i/>
                <w:iCs/>
              </w:rPr>
              <w:t>Example: $1,000,000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0B7AEA4" w14:textId="77777777">
            <w:pPr>
              <w:spacing w:before="20" w:after="20"/>
            </w:pPr>
            <w:r>
              <w:rPr>
                <w:i/>
                <w:iCs/>
              </w:rPr>
              <w:t>$800,000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41B3969B" w14:textId="77777777">
            <w:pPr>
              <w:spacing w:before="20" w:after="20"/>
            </w:pPr>
            <w:r>
              <w:rPr>
                <w:i/>
                <w:iCs/>
              </w:rPr>
              <w:t>$800,000/</w:t>
            </w:r>
          </w:p>
          <w:p w:rsidR="00976CDB" w:rsidP="00632103" w14:paraId="21A587A9" w14:textId="77777777">
            <w:pPr>
              <w:spacing w:before="20" w:after="20"/>
            </w:pPr>
            <w:r>
              <w:rPr>
                <w:i/>
                <w:iCs/>
              </w:rPr>
              <w:t>$1,000,000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6521F95" w14:textId="77777777">
            <w:pPr>
              <w:spacing w:before="20" w:after="20"/>
            </w:pPr>
            <w:r>
              <w:rPr>
                <w:i/>
                <w:iCs/>
              </w:rPr>
              <w:t>80%</w:t>
            </w:r>
          </w:p>
        </w:tc>
      </w:tr>
    </w:tbl>
    <w:p w:rsidR="00976CDB" w:rsidP="00632103" w14:paraId="482CE9F4" w14:textId="77777777">
      <w:pPr>
        <w:spacing w:before="20" w:after="20"/>
        <w:ind w:left="375"/>
      </w:pPr>
      <w:r>
        <w:t>The performance outcomes must be displayed as both a fraction (i.e., the numerator equal to the number of program participants who achieved the identified metric and the denominator equal to the total program participants eligible for the identified metric) and a percentage.</w:t>
      </w:r>
    </w:p>
    <w:p w:rsidR="00976CDB" w:rsidP="00632103" w14:paraId="7E18220F" w14:textId="77777777">
      <w:pPr>
        <w:spacing w:before="20" w:after="20"/>
        <w:ind w:left="375"/>
      </w:pPr>
      <w:r>
        <w:t xml:space="preserve">For non-ETA grants, the chart must be signed by the grantor or a signed letter must be provided from the grantor verifying the past performance data on grantor letterhead. Additionally, applicants who funded their own project must provide two points of contact for verification. Category B applicants will receive points based on past performance demonstrated in the performance chart attachment. The performance chart attachment must clearly identify the three metrics and must include a definition for how each outcome is calculated (i.e., the numerator and denominator for the outcome). DOL reserves the right to </w:t>
      </w:r>
      <w:r>
        <w:t>disqualify any metrics provided which DOL determines are not sufficiently similar to the metrics required above and to award zero points for the non-qualifying metric(s).</w:t>
      </w:r>
    </w:p>
    <w:p w:rsidR="00976CDB" w:rsidP="00632103" w14:paraId="7EDF9347" w14:textId="77777777">
      <w:pPr>
        <w:spacing w:before="20" w:after="20"/>
        <w:ind w:left="375"/>
      </w:pPr>
      <w:r>
        <w:t>DOL expects, at a minimum, that the description of performance metrics will specify the population and outcome of the numerator and those eligible for the outcome in the denominator. For example, if using the employment/education placement metric, a clear performance metric description is: Participants ages 18-21 placed into unsubsidized jobs within one year of program completion divided by all participants ages 18-21 served by the program that completed the program within the past year.</w:t>
      </w:r>
      <w:r>
        <w:br/>
      </w:r>
      <w:r>
        <w:br/>
        <w:t xml:space="preserve">All Category B applicants must provide a performance chart. If a Category B applicant is submitting past performance information about a project it directly funded, the performance chart must clearly state that and list the names and contact information of at least two associated personnel who can verify the performance data. If submitting a grant-funded project, the chart must include </w:t>
      </w:r>
      <w:r>
        <w:rPr>
          <w:b/>
          <w:bCs/>
        </w:rPr>
        <w:t>previous grantor contact information</w:t>
      </w:r>
      <w:r>
        <w:t xml:space="preserve"> and a </w:t>
      </w:r>
      <w:r>
        <w:rPr>
          <w:b/>
          <w:bCs/>
        </w:rPr>
        <w:t>signed past performance chart or a signed grantor verification letter on the grantor’s letterhead</w:t>
      </w:r>
      <w:r>
        <w:t xml:space="preserve">. </w:t>
      </w:r>
      <w:r>
        <w:rPr>
          <w:b/>
          <w:bCs/>
        </w:rPr>
        <w:t>Category B applicants that do not provide these items will receive 0 points for rating factors 1-2 below.</w:t>
      </w:r>
      <w:r>
        <w:rPr>
          <w:b/>
          <w:bCs/>
        </w:rPr>
        <w:br/>
      </w:r>
      <w:r>
        <w:t>Please note: Performance Goals will be scored based on the percentage of the target achieved.</w:t>
      </w:r>
    </w:p>
    <w:p w:rsidR="00976CDB" w:rsidP="00632103" w14:paraId="6222187B" w14:textId="77777777">
      <w:pPr>
        <w:spacing w:after="140"/>
        <w:ind w:left="375"/>
        <w:rPr>
          <w:sz w:val="20"/>
          <w:szCs w:val="20"/>
        </w:rPr>
      </w:pPr>
      <w:bookmarkStart w:id="93" w:name="_bookmark234950"/>
      <w:bookmarkEnd w:id="93"/>
      <w:r>
        <w:rPr>
          <w:szCs w:val="20"/>
        </w:rPr>
        <w:t>DOL will evaluate Category B Applicants using the following criteria:</w:t>
      </w:r>
    </w:p>
    <w:p w:rsidR="00976CDB" w:rsidP="00632103" w14:paraId="5112131B" w14:textId="77777777">
      <w:pPr>
        <w:spacing w:after="140"/>
        <w:ind w:left="375"/>
        <w:rPr>
          <w:sz w:val="20"/>
          <w:szCs w:val="20"/>
        </w:rPr>
      </w:pPr>
      <w:r>
        <w:rPr>
          <w:b/>
          <w:bCs/>
          <w:szCs w:val="20"/>
        </w:rPr>
        <w:t>(1) Size and Scope (6 Points or No Points)</w:t>
      </w:r>
    </w:p>
    <w:p w:rsidR="00976CDB" w:rsidP="00632103" w14:paraId="3D73C647" w14:textId="77777777">
      <w:pPr>
        <w:spacing w:after="140"/>
        <w:ind w:left="375"/>
        <w:rPr>
          <w:sz w:val="20"/>
          <w:szCs w:val="20"/>
        </w:rPr>
      </w:pPr>
      <w:r>
        <w:rPr>
          <w:szCs w:val="20"/>
        </w:rPr>
        <w:t>As stated, the applicant must have completed a grant similar in size and scope to the YouthBuild program within the last five years. Applicants that have not completed a grant similar in size and scope to the YouthBuild program within the last five years will receive 0 points for this rating factor and will receive 0 points for the Performance Goals rating factor below.</w:t>
      </w:r>
    </w:p>
    <w:p w:rsidR="00976CDB" w:rsidP="00632103" w14:paraId="1D8A78F9" w14:textId="77777777">
      <w:pPr>
        <w:numPr>
          <w:ilvl w:val="0"/>
          <w:numId w:val="38"/>
        </w:numPr>
        <w:spacing w:after="20"/>
      </w:pPr>
      <w:r>
        <w:t>Awarded funding amount of the completed grant is at least $500,000.</w:t>
      </w:r>
    </w:p>
    <w:p w:rsidR="00976CDB" w:rsidP="00632103" w14:paraId="644FA080" w14:textId="77777777">
      <w:pPr>
        <w:numPr>
          <w:ilvl w:val="0"/>
          <w:numId w:val="38"/>
        </w:numPr>
        <w:spacing w:before="20" w:after="20"/>
      </w:pPr>
      <w:r>
        <w:t>Must have enrolled at least 30 participants during the grant period.</w:t>
      </w:r>
    </w:p>
    <w:p w:rsidR="00976CDB" w:rsidP="00632103" w14:paraId="5DCD499B" w14:textId="77777777">
      <w:pPr>
        <w:numPr>
          <w:ilvl w:val="0"/>
          <w:numId w:val="38"/>
        </w:numPr>
        <w:spacing w:before="20" w:after="150"/>
      </w:pPr>
      <w:r>
        <w:t>Must have provided education and workforce development and training services.</w:t>
      </w:r>
    </w:p>
    <w:p w:rsidR="00976CDB" w:rsidP="00632103" w14:paraId="278DA9DC" w14:textId="77777777">
      <w:pPr>
        <w:spacing w:after="140"/>
        <w:ind w:left="375"/>
        <w:rPr>
          <w:sz w:val="20"/>
          <w:szCs w:val="20"/>
        </w:rPr>
      </w:pPr>
      <w:r>
        <w:rPr>
          <w:b/>
          <w:bCs/>
          <w:szCs w:val="20"/>
        </w:rPr>
        <w:t>(2) Performance Goals (Maximum 28 Points)</w:t>
      </w:r>
    </w:p>
    <w:p w:rsidR="00976CDB" w:rsidP="00632103" w14:paraId="00BA1BA4" w14:textId="77777777">
      <w:pPr>
        <w:spacing w:after="140"/>
        <w:ind w:left="375"/>
        <w:rPr>
          <w:sz w:val="20"/>
          <w:szCs w:val="20"/>
        </w:rPr>
      </w:pPr>
      <w:r>
        <w:rPr>
          <w:szCs w:val="20"/>
        </w:rPr>
        <w:t>The applicant must choose employment/education placement and at least one of the two other metrics, credential attainment or retention in education/employment (or substantially similar metrics) in demonstrating past performance. For the third metric, the applicant must provide another performance metric, which may be the third metric from the list specified above or a similar metric from their grantor. The applicant will receive 0 points for any metric that does not meet these requirements.</w:t>
      </w:r>
    </w:p>
    <w:p w:rsidR="00976CDB" w:rsidP="00632103" w14:paraId="7EC31753" w14:textId="77777777">
      <w:pPr>
        <w:spacing w:after="140"/>
        <w:ind w:left="375"/>
        <w:rPr>
          <w:sz w:val="20"/>
          <w:szCs w:val="20"/>
        </w:rPr>
      </w:pPr>
      <w:r>
        <w:rPr>
          <w:szCs w:val="20"/>
        </w:rPr>
        <w:br/>
        <w:t xml:space="preserve">i. Employment/Education Placement </w:t>
      </w:r>
      <w:r>
        <w:rPr>
          <w:b/>
          <w:bCs/>
          <w:szCs w:val="20"/>
        </w:rPr>
        <w:t>(Maximum 10 points)</w:t>
      </w:r>
      <w:r>
        <w:rPr>
          <w:szCs w:val="20"/>
        </w:rPr>
        <w:t>. Category B applicants with a placement outcome rate of:</w:t>
      </w:r>
    </w:p>
    <w:p w:rsidR="00976CDB" w:rsidP="00632103" w14:paraId="1D62C690" w14:textId="77777777">
      <w:pPr>
        <w:numPr>
          <w:ilvl w:val="0"/>
          <w:numId w:val="39"/>
        </w:numPr>
        <w:spacing w:after="20"/>
      </w:pPr>
      <w:r>
        <w:t>75.00 percent or higher will receive 10 points.</w:t>
      </w:r>
    </w:p>
    <w:p w:rsidR="00976CDB" w:rsidP="00632103" w14:paraId="7168479E" w14:textId="77777777">
      <w:pPr>
        <w:numPr>
          <w:ilvl w:val="0"/>
          <w:numId w:val="39"/>
        </w:numPr>
        <w:spacing w:before="20" w:after="20"/>
      </w:pPr>
      <w:r>
        <w:t>70.00 percent – 74.99 percent will receive 8 points.</w:t>
      </w:r>
    </w:p>
    <w:p w:rsidR="00976CDB" w:rsidP="00632103" w14:paraId="48907946" w14:textId="77777777">
      <w:pPr>
        <w:numPr>
          <w:ilvl w:val="0"/>
          <w:numId w:val="39"/>
        </w:numPr>
        <w:spacing w:before="20" w:after="20"/>
      </w:pPr>
      <w:r>
        <w:t>65.00 percent – 69.99 percent will receive 6 points.</w:t>
      </w:r>
    </w:p>
    <w:p w:rsidR="00976CDB" w:rsidP="00632103" w14:paraId="69895C73" w14:textId="77777777">
      <w:pPr>
        <w:numPr>
          <w:ilvl w:val="0"/>
          <w:numId w:val="39"/>
        </w:numPr>
        <w:spacing w:before="20" w:after="20"/>
      </w:pPr>
      <w:r>
        <w:t>60.00 percent – 64.99 percent will receive 4 points.</w:t>
      </w:r>
    </w:p>
    <w:p w:rsidR="00976CDB" w:rsidP="00632103" w14:paraId="55ACA8CE" w14:textId="77777777">
      <w:pPr>
        <w:numPr>
          <w:ilvl w:val="0"/>
          <w:numId w:val="39"/>
        </w:numPr>
        <w:spacing w:before="20" w:after="20"/>
      </w:pPr>
      <w:r>
        <w:t>55.00 percent – 59.99 percent will receive 2 points.</w:t>
      </w:r>
    </w:p>
    <w:p w:rsidR="00976CDB" w:rsidP="00632103" w14:paraId="5BD4B86E" w14:textId="77777777">
      <w:pPr>
        <w:numPr>
          <w:ilvl w:val="0"/>
          <w:numId w:val="39"/>
        </w:numPr>
        <w:spacing w:before="20" w:after="20"/>
      </w:pPr>
      <w:r>
        <w:t>50.00 percent – 54.99 percent will receive 1 point.</w:t>
      </w:r>
    </w:p>
    <w:p w:rsidR="00976CDB" w:rsidP="00632103" w14:paraId="0AB44CC0" w14:textId="77777777">
      <w:pPr>
        <w:numPr>
          <w:ilvl w:val="0"/>
          <w:numId w:val="39"/>
        </w:numPr>
        <w:spacing w:before="20" w:after="150"/>
      </w:pPr>
      <w:r>
        <w:t>49.99 percent or below will receive 0 points.</w:t>
      </w:r>
    </w:p>
    <w:p w:rsidR="00976CDB" w:rsidP="00632103" w14:paraId="41F10DBC" w14:textId="77777777">
      <w:pPr>
        <w:spacing w:after="140"/>
        <w:ind w:left="375"/>
        <w:rPr>
          <w:sz w:val="20"/>
          <w:szCs w:val="20"/>
        </w:rPr>
      </w:pPr>
      <w:r>
        <w:rPr>
          <w:szCs w:val="20"/>
        </w:rPr>
        <w:t>ii. Metric 2 (i.e., Credential)</w:t>
      </w:r>
      <w:r>
        <w:rPr>
          <w:b/>
          <w:bCs/>
          <w:szCs w:val="20"/>
        </w:rPr>
        <w:t xml:space="preserve"> (Maximum 9 points)</w:t>
      </w:r>
      <w:r>
        <w:rPr>
          <w:szCs w:val="20"/>
        </w:rPr>
        <w:t>. Category B applicants with a Metric 2 outcome rate of:</w:t>
      </w:r>
    </w:p>
    <w:p w:rsidR="00976CDB" w:rsidP="00632103" w14:paraId="57A8B0AC" w14:textId="77777777">
      <w:pPr>
        <w:numPr>
          <w:ilvl w:val="0"/>
          <w:numId w:val="40"/>
        </w:numPr>
        <w:spacing w:after="20"/>
      </w:pPr>
      <w:r>
        <w:t>75.00 percent or higher will receive 9 points.</w:t>
      </w:r>
    </w:p>
    <w:p w:rsidR="00976CDB" w:rsidP="00632103" w14:paraId="7D8EAC58" w14:textId="77777777">
      <w:pPr>
        <w:numPr>
          <w:ilvl w:val="0"/>
          <w:numId w:val="40"/>
        </w:numPr>
        <w:spacing w:before="20" w:after="20"/>
      </w:pPr>
      <w:r>
        <w:t>70.00 percent – 74.99 percent will receive 7 points.</w:t>
      </w:r>
    </w:p>
    <w:p w:rsidR="00976CDB" w:rsidP="00632103" w14:paraId="6576A174" w14:textId="77777777">
      <w:pPr>
        <w:numPr>
          <w:ilvl w:val="0"/>
          <w:numId w:val="40"/>
        </w:numPr>
        <w:spacing w:before="20" w:after="20"/>
      </w:pPr>
      <w:r>
        <w:t>65.00 percent – 69.99 percent will receive 5 points.</w:t>
      </w:r>
    </w:p>
    <w:p w:rsidR="00976CDB" w:rsidP="00632103" w14:paraId="131CD827" w14:textId="77777777">
      <w:pPr>
        <w:numPr>
          <w:ilvl w:val="0"/>
          <w:numId w:val="40"/>
        </w:numPr>
        <w:spacing w:before="20" w:after="20"/>
      </w:pPr>
      <w:r>
        <w:t>60.00 percent – 64.99 percent will receive 3 points.</w:t>
      </w:r>
    </w:p>
    <w:p w:rsidR="00976CDB" w:rsidP="00632103" w14:paraId="549D110E" w14:textId="77777777">
      <w:pPr>
        <w:numPr>
          <w:ilvl w:val="0"/>
          <w:numId w:val="40"/>
        </w:numPr>
        <w:spacing w:before="20" w:after="20"/>
      </w:pPr>
      <w:r>
        <w:t>55.00 percent – 59.99 percent will receive 1 point.</w:t>
      </w:r>
    </w:p>
    <w:p w:rsidR="00976CDB" w:rsidP="00632103" w14:paraId="28A42B77" w14:textId="77777777">
      <w:pPr>
        <w:numPr>
          <w:ilvl w:val="0"/>
          <w:numId w:val="40"/>
        </w:numPr>
        <w:spacing w:before="20" w:after="150"/>
      </w:pPr>
      <w:r>
        <w:t>54.99 percent or below will receive 0 points.</w:t>
      </w:r>
    </w:p>
    <w:p w:rsidR="00976CDB" w:rsidP="00632103" w14:paraId="3D2444DB" w14:textId="77777777">
      <w:pPr>
        <w:spacing w:after="140"/>
        <w:ind w:left="375"/>
        <w:rPr>
          <w:sz w:val="20"/>
          <w:szCs w:val="20"/>
        </w:rPr>
      </w:pPr>
      <w:r>
        <w:rPr>
          <w:szCs w:val="20"/>
        </w:rPr>
        <w:t xml:space="preserve">iii. Metric 3 (i.e., Retention in Education or Employment) </w:t>
      </w:r>
      <w:r>
        <w:rPr>
          <w:b/>
          <w:bCs/>
          <w:szCs w:val="20"/>
        </w:rPr>
        <w:t>(Maximum 9 points)</w:t>
      </w:r>
      <w:r>
        <w:rPr>
          <w:szCs w:val="20"/>
        </w:rPr>
        <w:t>. Category B applicants with a Metric 3 outcome rate of:</w:t>
      </w:r>
    </w:p>
    <w:p w:rsidR="00976CDB" w:rsidP="00632103" w14:paraId="33724A1E" w14:textId="77777777">
      <w:pPr>
        <w:numPr>
          <w:ilvl w:val="0"/>
          <w:numId w:val="41"/>
        </w:numPr>
        <w:spacing w:after="20"/>
      </w:pPr>
      <w:r>
        <w:t>75.00 percent or higher will receive 9 points.</w:t>
      </w:r>
    </w:p>
    <w:p w:rsidR="00976CDB" w:rsidP="00632103" w14:paraId="42924275" w14:textId="77777777">
      <w:pPr>
        <w:numPr>
          <w:ilvl w:val="0"/>
          <w:numId w:val="41"/>
        </w:numPr>
        <w:spacing w:before="20" w:after="20"/>
      </w:pPr>
      <w:r>
        <w:t>70.00 percent – 74.99 percent will receive 7 points.</w:t>
      </w:r>
    </w:p>
    <w:p w:rsidR="00976CDB" w:rsidP="00632103" w14:paraId="000C4904" w14:textId="77777777">
      <w:pPr>
        <w:numPr>
          <w:ilvl w:val="0"/>
          <w:numId w:val="41"/>
        </w:numPr>
        <w:spacing w:before="20" w:after="20"/>
      </w:pPr>
      <w:r>
        <w:t>65.00 percent - 69.99 percent will receive 5 points.</w:t>
      </w:r>
    </w:p>
    <w:p w:rsidR="00976CDB" w:rsidP="00632103" w14:paraId="7259CF01" w14:textId="77777777">
      <w:pPr>
        <w:numPr>
          <w:ilvl w:val="0"/>
          <w:numId w:val="41"/>
        </w:numPr>
        <w:spacing w:before="20" w:after="20"/>
      </w:pPr>
      <w:r>
        <w:t>60.00 percent – 64.99 percent will receive 3 points.</w:t>
      </w:r>
    </w:p>
    <w:p w:rsidR="00976CDB" w:rsidP="00632103" w14:paraId="7A674E2D" w14:textId="77777777">
      <w:pPr>
        <w:numPr>
          <w:ilvl w:val="0"/>
          <w:numId w:val="41"/>
        </w:numPr>
        <w:spacing w:before="20" w:after="20"/>
      </w:pPr>
      <w:r>
        <w:t>55.00 percent – 59.99 percent will receive 1 point.</w:t>
      </w:r>
    </w:p>
    <w:p w:rsidR="00976CDB" w:rsidP="00632103" w14:paraId="682F02B7" w14:textId="77777777">
      <w:pPr>
        <w:numPr>
          <w:ilvl w:val="0"/>
          <w:numId w:val="41"/>
        </w:numPr>
        <w:spacing w:before="20" w:after="150"/>
      </w:pPr>
      <w:r>
        <w:t>54.99 percent or below will receive 0 points.</w:t>
      </w:r>
    </w:p>
    <w:p w:rsidR="00976CDB" w:rsidP="00632103" w14:paraId="6E8815BF" w14:textId="77777777">
      <w:pPr>
        <w:spacing w:after="140"/>
        <w:rPr>
          <w:sz w:val="20"/>
          <w:szCs w:val="20"/>
        </w:rPr>
      </w:pPr>
      <w:r>
        <w:rPr>
          <w:b/>
          <w:bCs/>
          <w:szCs w:val="20"/>
        </w:rPr>
        <w:t>k. Priority Consideration Points - Educational Freedom (2 Points or No Points)</w:t>
      </w:r>
    </w:p>
    <w:p w:rsidR="00976CDB" w:rsidP="00632103" w14:paraId="75B73679" w14:textId="77777777">
      <w:pPr>
        <w:spacing w:after="140"/>
        <w:rPr>
          <w:sz w:val="20"/>
          <w:szCs w:val="20"/>
        </w:rPr>
      </w:pPr>
      <w:r>
        <w:rPr>
          <w:szCs w:val="20"/>
        </w:rPr>
        <w:t>To receive 2 additional bonus points, applicants must demonstrate in the Abstract;</w:t>
      </w:r>
    </w:p>
    <w:p w:rsidR="00976CDB" w:rsidP="00632103" w14:paraId="10B1A3FD" w14:textId="77777777">
      <w:pPr>
        <w:numPr>
          <w:ilvl w:val="0"/>
          <w:numId w:val="42"/>
        </w:numPr>
        <w:spacing w:after="20"/>
      </w:pPr>
      <w:r>
        <w:t>they are a private, faith-based, or public charter school (based on Unique Entity Identifier) in the project narrative or abstract; or</w:t>
      </w:r>
    </w:p>
    <w:p w:rsidR="00976CDB" w:rsidP="00632103" w14:paraId="09ECE745" w14:textId="77777777">
      <w:pPr>
        <w:numPr>
          <w:ilvl w:val="0"/>
          <w:numId w:val="42"/>
        </w:numPr>
        <w:spacing w:before="20" w:after="150"/>
      </w:pPr>
      <w:r>
        <w:t>they have a partnership (e.g., through a memorandum of understanding) with a private, faith-based, or public charter school that includes the provision of education services, such as those specified in 20 CFR 688.320(a)(4) through (7).</w:t>
      </w:r>
    </w:p>
    <w:p w:rsidR="00976CDB" w:rsidP="00632103" w14:paraId="60710B0B" w14:textId="77777777">
      <w:pPr>
        <w:spacing w:after="140"/>
        <w:rPr>
          <w:sz w:val="20"/>
          <w:szCs w:val="20"/>
        </w:rPr>
      </w:pPr>
      <w:r>
        <w:rPr>
          <w:b/>
          <w:bCs/>
          <w:szCs w:val="20"/>
        </w:rPr>
        <w:t>l. Priority Consideration Points - Digital Literacy (2 Points or No Points)</w:t>
      </w:r>
    </w:p>
    <w:p w:rsidR="00976CDB" w:rsidP="00632103" w14:paraId="6BC1A20D" w14:textId="77777777">
      <w:pPr>
        <w:spacing w:after="140"/>
        <w:rPr>
          <w:sz w:val="20"/>
          <w:szCs w:val="20"/>
        </w:rPr>
      </w:pPr>
      <w:r>
        <w:rPr>
          <w:szCs w:val="20"/>
        </w:rPr>
        <w:t>To receive 2 additional bonus points, applicants must:</w:t>
      </w:r>
    </w:p>
    <w:p w:rsidR="00976CDB" w:rsidP="00632103" w14:paraId="7E72ACA1" w14:textId="77777777">
      <w:pPr>
        <w:numPr>
          <w:ilvl w:val="0"/>
          <w:numId w:val="43"/>
        </w:numPr>
        <w:spacing w:after="20"/>
      </w:pPr>
      <w:r>
        <w:t>identify specific software that they will incorporate within occupational skills training (construction and/or Construction Plus),</w:t>
      </w:r>
    </w:p>
    <w:p w:rsidR="00976CDB" w:rsidP="00632103" w14:paraId="10558983" w14:textId="77777777">
      <w:pPr>
        <w:numPr>
          <w:ilvl w:val="0"/>
          <w:numId w:val="43"/>
        </w:numPr>
        <w:spacing w:before="20" w:after="20"/>
      </w:pPr>
      <w:r>
        <w:t>describe the application of that software within the related occupation, and</w:t>
      </w:r>
    </w:p>
    <w:p w:rsidR="00976CDB" w:rsidP="00632103" w14:paraId="3C892528" w14:textId="77777777">
      <w:pPr>
        <w:numPr>
          <w:ilvl w:val="0"/>
          <w:numId w:val="43"/>
        </w:numPr>
        <w:spacing w:before="20" w:after="150"/>
      </w:pPr>
      <w:r>
        <w:t>describe how occupational skills training will include digital literacy and artificial intelligence (AI) skills, including AI safety, applications, and concepts (e.g., effective prompting and interpretation, natural language processing, computer vision, machine learning, deep learning, chatbots, and neural networks).</w:t>
      </w:r>
    </w:p>
    <w:p w:rsidR="00976CDB" w:rsidP="00632103" w14:paraId="74633CB4" w14:textId="77777777">
      <w:pPr>
        <w:spacing w:after="140"/>
        <w:rPr>
          <w:sz w:val="20"/>
          <w:szCs w:val="20"/>
        </w:rPr>
      </w:pPr>
      <w:r>
        <w:rPr>
          <w:szCs w:val="20"/>
        </w:rPr>
        <w:t>It is not sufficient to refer to digital literacy, software, or AI generally; applicants must include specific industry-related software and training plans.</w:t>
      </w:r>
    </w:p>
    <w:p w:rsidR="00976CDB" w:rsidP="00632103" w14:paraId="1E1CC90B" w14:textId="77777777">
      <w:pPr>
        <w:spacing w:after="140"/>
        <w:rPr>
          <w:sz w:val="20"/>
          <w:szCs w:val="20"/>
        </w:rPr>
      </w:pPr>
      <w:r>
        <w:rPr>
          <w:szCs w:val="20"/>
        </w:rPr>
        <w:t>It is not sufficient to identify software without describing its application within the related occupation; applicants must summarize how workers use the software on the job.</w:t>
      </w:r>
      <w:r>
        <w:rPr>
          <w:szCs w:val="20"/>
        </w:rPr>
        <w:br/>
        <w:t xml:space="preserve"> </w:t>
      </w:r>
    </w:p>
    <w:p w:rsidR="00976CDB" w:rsidP="00632103" w14:paraId="51596404" w14:textId="77777777">
      <w:pPr>
        <w:pStyle w:val="Heading2"/>
        <w:spacing w:before="20" w:after="20"/>
      </w:pPr>
      <w:bookmarkStart w:id="94" w:name="_bookmark234827"/>
      <w:bookmarkEnd w:id="94"/>
      <w:r>
        <w:t xml:space="preserve"> </w:t>
      </w:r>
      <w:bookmarkStart w:id="95" w:name="_Toc256000061"/>
      <w:r>
        <w:t>D. Attachments to the Project Narrative</w:t>
      </w:r>
      <w:bookmarkEnd w:id="95"/>
    </w:p>
    <w:p w:rsidR="00976CDB" w:rsidP="00632103" w14:paraId="6D5ED00E" w14:textId="77777777">
      <w:pPr>
        <w:spacing w:after="140"/>
        <w:rPr>
          <w:sz w:val="20"/>
          <w:szCs w:val="20"/>
        </w:rPr>
      </w:pPr>
      <w:bookmarkStart w:id="96" w:name="_bookmark234828"/>
      <w:bookmarkEnd w:id="96"/>
      <w:r>
        <w:rPr>
          <w:szCs w:val="20"/>
        </w:rPr>
        <w:t xml:space="preserve">In addition to the Project Narrative, the application also includes required and requested attachments as explained below (see Section </w:t>
      </w:r>
      <w:hyperlink w:anchor="_bookmark234878" w:history="1">
        <w:r>
          <w:rPr>
            <w:rStyle w:val="ahref"/>
            <w:szCs w:val="20"/>
            <w:u w:val="single" w:color="0000FF"/>
          </w:rPr>
          <w:t>VI.A</w:t>
        </w:r>
      </w:hyperlink>
      <w:r>
        <w:rPr>
          <w:szCs w:val="20"/>
        </w:rPr>
        <w:t xml:space="preserve"> on which required attachments must be submitted in order for the application to be reviewed).  These attachments must be clearly labeled and do not count toward the Project Narrative page limit.  Any other attachments included beyond those listed below will not be reviewed in the scoring of the application.</w:t>
      </w:r>
    </w:p>
    <w:p w:rsidR="00976CDB" w:rsidP="00632103" w14:paraId="6960AAC9" w14:textId="77777777">
      <w:pPr>
        <w:spacing w:after="140"/>
        <w:rPr>
          <w:sz w:val="20"/>
          <w:szCs w:val="20"/>
        </w:rPr>
      </w:pPr>
      <w:r>
        <w:rPr>
          <w:szCs w:val="20"/>
        </w:rPr>
        <w:t>We encourage applicants to name the files using the document names listed below.  Do not include special characters (e.g. &amp;,–,*,%,/,#).  However, underscores (for example: My_Attached_File.pdf) to separate a file name are acceptable.</w:t>
      </w:r>
    </w:p>
    <w:p w:rsidR="00976CDB" w:rsidP="00632103" w14:paraId="3C84CB0B" w14:textId="77777777">
      <w:pPr>
        <w:spacing w:after="140"/>
        <w:rPr>
          <w:sz w:val="20"/>
          <w:szCs w:val="20"/>
        </w:rPr>
      </w:pPr>
      <w:bookmarkStart w:id="97" w:name="_bookmark234829"/>
      <w:bookmarkStart w:id="98" w:name="_bookmark234832"/>
      <w:bookmarkEnd w:id="97"/>
      <w:bookmarkEnd w:id="98"/>
      <w:r>
        <w:rPr>
          <w:b/>
          <w:bCs/>
          <w:szCs w:val="20"/>
        </w:rPr>
        <w:t>1. Required Attachments</w:t>
      </w:r>
    </w:p>
    <w:p w:rsidR="00976CDB" w:rsidP="00632103" w14:paraId="4D6E3FA9" w14:textId="77777777">
      <w:pPr>
        <w:spacing w:after="140"/>
        <w:ind w:left="360"/>
        <w:rPr>
          <w:sz w:val="20"/>
          <w:szCs w:val="20"/>
        </w:rPr>
      </w:pPr>
      <w:r>
        <w:rPr>
          <w:b/>
          <w:bCs/>
          <w:szCs w:val="20"/>
        </w:rPr>
        <w:t>a. Abstract</w:t>
      </w:r>
    </w:p>
    <w:p w:rsidR="00976CDB" w:rsidP="00632103" w14:paraId="198D07FE" w14:textId="77777777">
      <w:pPr>
        <w:spacing w:after="140"/>
        <w:ind w:left="360"/>
        <w:rPr>
          <w:sz w:val="20"/>
          <w:szCs w:val="20"/>
        </w:rPr>
      </w:pPr>
      <w:r>
        <w:rPr>
          <w:szCs w:val="20"/>
        </w:rPr>
        <w:t>You must submit an up to three-page abstract summarizing the proposed project. If you do not submit the abstract, your application will still be reviewed, but it may impact your score. See Section VI.A for a list of items that will result in the disqualification of your application.  If you are selected for an award, the information provided in your abstract may be published to a public facing website as a summary of your project.  The abstract must include the following:</w:t>
      </w:r>
    </w:p>
    <w:p w:rsidR="00976CDB" w:rsidP="00632103" w14:paraId="52786DB2" w14:textId="77777777">
      <w:pPr>
        <w:numPr>
          <w:ilvl w:val="0"/>
          <w:numId w:val="44"/>
        </w:numPr>
        <w:spacing w:after="20"/>
      </w:pPr>
      <w:bookmarkStart w:id="99" w:name="_bookmark234833"/>
      <w:bookmarkEnd w:id="99"/>
      <w:r>
        <w:t>the applicant's name;</w:t>
      </w:r>
    </w:p>
    <w:p w:rsidR="00976CDB" w:rsidP="00632103" w14:paraId="71151802" w14:textId="77777777">
      <w:pPr>
        <w:numPr>
          <w:ilvl w:val="0"/>
          <w:numId w:val="44"/>
        </w:numPr>
        <w:spacing w:before="20" w:after="20"/>
      </w:pPr>
      <w:r>
        <w:t>the project title;</w:t>
      </w:r>
    </w:p>
    <w:p w:rsidR="00976CDB" w:rsidP="00632103" w14:paraId="5146F678" w14:textId="77777777">
      <w:pPr>
        <w:numPr>
          <w:ilvl w:val="0"/>
          <w:numId w:val="44"/>
        </w:numPr>
        <w:spacing w:before="20" w:after="20"/>
      </w:pPr>
      <w:r>
        <w:t>the funding level requested;</w:t>
      </w:r>
    </w:p>
    <w:p w:rsidR="00976CDB" w:rsidP="00632103" w14:paraId="2A6A293F" w14:textId="77777777">
      <w:pPr>
        <w:numPr>
          <w:ilvl w:val="0"/>
          <w:numId w:val="44"/>
        </w:numPr>
        <w:spacing w:before="20" w:after="20"/>
      </w:pPr>
      <w:r>
        <w:t>the cost sharing or matching funds amount;</w:t>
      </w:r>
    </w:p>
    <w:p w:rsidR="00976CDB" w:rsidP="00632103" w14:paraId="45BD0C96" w14:textId="77777777">
      <w:pPr>
        <w:numPr>
          <w:ilvl w:val="1"/>
          <w:numId w:val="44"/>
        </w:numPr>
        <w:spacing w:after="150"/>
      </w:pPr>
      <w:r>
        <w:t>if the applicant is eligible for the matching waiver as described in Section III.B.Matching and intends to waive match, please state so.</w:t>
      </w:r>
    </w:p>
    <w:p w:rsidR="00976CDB" w:rsidP="00632103" w14:paraId="0098A0E6" w14:textId="77777777">
      <w:pPr>
        <w:numPr>
          <w:ilvl w:val="0"/>
          <w:numId w:val="44"/>
        </w:numPr>
        <w:spacing w:before="20" w:after="20"/>
      </w:pPr>
      <w:r>
        <w:t>whether the applicant is applying as a Category A (previously-funded) or Category B (new) applicant;</w:t>
      </w:r>
    </w:p>
    <w:p w:rsidR="00976CDB" w:rsidP="00632103" w14:paraId="7A615930" w14:textId="77777777">
      <w:pPr>
        <w:numPr>
          <w:ilvl w:val="0"/>
          <w:numId w:val="44"/>
        </w:numPr>
        <w:spacing w:before="20" w:after="20"/>
      </w:pPr>
      <w:r>
        <w:t>for a Category A (previously-funded) applicant, the previous YouthBuild grant number that demonstrates qualification of the applicant (i.e., the applicant's grant number from any of the FY 2017 (FOA-ETA-17-03), FY 2018 (FOA-ETA-18-04), or FY 2019 (FOA-ETA-19-04) grant cycles);</w:t>
      </w:r>
    </w:p>
    <w:p w:rsidR="00976CDB" w:rsidP="00632103" w14:paraId="03A78B24" w14:textId="77777777">
      <w:pPr>
        <w:numPr>
          <w:ilvl w:val="0"/>
          <w:numId w:val="44"/>
        </w:numPr>
        <w:spacing w:before="20" w:after="20"/>
      </w:pPr>
      <w:r>
        <w:t>the number of participants to be served;</w:t>
      </w:r>
    </w:p>
    <w:p w:rsidR="00976CDB" w:rsidP="00632103" w14:paraId="4D91971B" w14:textId="77777777">
      <w:pPr>
        <w:numPr>
          <w:ilvl w:val="0"/>
          <w:numId w:val="44"/>
        </w:numPr>
        <w:spacing w:before="20" w:after="20"/>
      </w:pPr>
      <w:r>
        <w:t>the cost-per-participant;</w:t>
      </w:r>
    </w:p>
    <w:p w:rsidR="00976CDB" w:rsidP="00632103" w14:paraId="655EB508" w14:textId="77777777">
      <w:pPr>
        <w:numPr>
          <w:ilvl w:val="0"/>
          <w:numId w:val="44"/>
        </w:numPr>
        <w:spacing w:before="20" w:after="20"/>
      </w:pPr>
      <w:r>
        <w:t>construction credential offered (e.g., HBI Pact, MC3, NCCER);</w:t>
      </w:r>
    </w:p>
    <w:p w:rsidR="00976CDB" w:rsidP="00632103" w14:paraId="7D53E605" w14:textId="77777777">
      <w:pPr>
        <w:numPr>
          <w:ilvl w:val="0"/>
          <w:numId w:val="44"/>
        </w:numPr>
        <w:spacing w:before="20" w:after="20"/>
      </w:pPr>
      <w:r>
        <w:t>whether the applicant is applying for Construction Plus;</w:t>
      </w:r>
    </w:p>
    <w:p w:rsidR="00976CDB" w:rsidP="00632103" w14:paraId="16AC4029" w14:textId="77777777">
      <w:pPr>
        <w:numPr>
          <w:ilvl w:val="0"/>
          <w:numId w:val="44"/>
        </w:numPr>
        <w:spacing w:before="20" w:after="20"/>
      </w:pPr>
      <w:r>
        <w:t>whether the target service area is urban, rural, or Native American or Tribal</w:t>
      </w:r>
    </w:p>
    <w:p w:rsidR="00976CDB" w:rsidP="00632103" w14:paraId="69261F90" w14:textId="77777777">
      <w:pPr>
        <w:numPr>
          <w:ilvl w:val="0"/>
          <w:numId w:val="44"/>
        </w:numPr>
        <w:spacing w:before="20" w:after="20"/>
      </w:pPr>
      <w:r>
        <w:t>list of zip codes to be served;</w:t>
      </w:r>
    </w:p>
    <w:p w:rsidR="00976CDB" w:rsidP="00632103" w14:paraId="7695B9C4" w14:textId="77777777">
      <w:pPr>
        <w:numPr>
          <w:ilvl w:val="0"/>
          <w:numId w:val="44"/>
        </w:numPr>
        <w:spacing w:before="20" w:after="20"/>
      </w:pPr>
      <w:r>
        <w:t>a brief summary of the proposed project;</w:t>
      </w:r>
    </w:p>
    <w:p w:rsidR="00976CDB" w:rsidP="00632103" w14:paraId="690487F7" w14:textId="77777777">
      <w:pPr>
        <w:numPr>
          <w:ilvl w:val="0"/>
          <w:numId w:val="44"/>
        </w:numPr>
        <w:spacing w:before="20" w:after="20"/>
      </w:pPr>
      <w:r>
        <w:t>priority consideration – provide the Educational Freedom information described in section IV.C.k. of the Project Narrative above;</w:t>
      </w:r>
    </w:p>
    <w:p w:rsidR="00976CDB" w:rsidP="00632103" w14:paraId="6DE100FE" w14:textId="77777777">
      <w:pPr>
        <w:numPr>
          <w:ilvl w:val="0"/>
          <w:numId w:val="44"/>
        </w:numPr>
        <w:spacing w:before="20" w:after="150"/>
      </w:pPr>
      <w:r>
        <w:t>priority consideration – provide the AI Literacy and Application in Occupational Skills Training and/or Shipbuilding Trades information described in section IV.C.l. of the Project Narrative above.</w:t>
      </w:r>
    </w:p>
    <w:p w:rsidR="00976CDB" w:rsidP="00632103" w14:paraId="6BF0108C" w14:textId="77777777">
      <w:pPr>
        <w:spacing w:after="140"/>
        <w:ind w:left="375"/>
        <w:rPr>
          <w:sz w:val="20"/>
          <w:szCs w:val="20"/>
        </w:rPr>
      </w:pPr>
      <w:bookmarkStart w:id="100" w:name="_bookmark234834"/>
      <w:bookmarkEnd w:id="100"/>
      <w:r>
        <w:rPr>
          <w:b/>
          <w:bCs/>
          <w:szCs w:val="20"/>
        </w:rPr>
        <w:t>b. Work Site Form</w:t>
      </w:r>
    </w:p>
    <w:p w:rsidR="00976CDB" w:rsidP="00632103" w14:paraId="73B7C9DC" w14:textId="77777777">
      <w:pPr>
        <w:spacing w:after="140"/>
        <w:ind w:left="375"/>
        <w:rPr>
          <w:sz w:val="20"/>
          <w:szCs w:val="20"/>
        </w:rPr>
      </w:pPr>
      <w:r>
        <w:rPr>
          <w:szCs w:val="20"/>
        </w:rPr>
        <w:t xml:space="preserve">The applicant must submit a minimum of one and a maximum of three signed Work Site Form(s) (ETA-9143) including all required attachments, which describes the planned work site(s) that the applicant will use for on-site housing rehabilitation and construction training for youth participants. If your application does not include at least one Work Site Form, it will be disqualified and will not move forward through the merit review process. Find this form at </w:t>
      </w:r>
      <w:hyperlink r:id="rId37" w:history="1">
        <w:r>
          <w:rPr>
            <w:rStyle w:val="ahref"/>
            <w:szCs w:val="20"/>
            <w:u w:val="single" w:color="0000FF"/>
          </w:rPr>
          <w:t>https://www.dol.gov/agencies/eta/youth/youthbuild/</w:t>
        </w:r>
      </w:hyperlink>
      <w:r>
        <w:rPr>
          <w:szCs w:val="20"/>
        </w:rPr>
        <w:t xml:space="preserve"> by selecting “Form ETA-9143 – Work Site and Annual Housing Census” under the Forms section. All applicants must use the ETA-9143 form available at the above website, which as of the date of this FOA has an expiration date of 11/30/2024, and will be updated after that date.</w:t>
      </w:r>
      <w:r>
        <w:rPr>
          <w:szCs w:val="20"/>
        </w:rPr>
        <w:br/>
      </w:r>
      <w:r>
        <w:rPr>
          <w:szCs w:val="20"/>
        </w:rPr>
        <w:br/>
        <w:t>DOL will not accept previous versions of the work site form. Applicants should submit up to three separate work site forms for consideration; DOL will not review more than three work site forms. Note that Attachment E provides instructions for completing the ETA-9143 form and all required attachments.</w:t>
      </w:r>
    </w:p>
    <w:p w:rsidR="00976CDB" w:rsidP="00632103" w14:paraId="6CC7F8A0" w14:textId="77777777">
      <w:pPr>
        <w:numPr>
          <w:ilvl w:val="0"/>
          <w:numId w:val="45"/>
        </w:numPr>
        <w:spacing w:after="20"/>
      </w:pPr>
      <w:r>
        <w:t>Prior to finalization of the grant award document, and before DOL releases grant funds, grantees must reconfirm information about the work site(s) and the applicant’s access to the property(ies). DOL may also require this same re-verification process of grantees after their first year of performance to ensure that necessary work sites remain available during the grant cycle.</w:t>
      </w:r>
    </w:p>
    <w:p w:rsidR="00976CDB" w:rsidP="00632103" w14:paraId="4E9A0E21" w14:textId="77777777">
      <w:pPr>
        <w:numPr>
          <w:ilvl w:val="0"/>
          <w:numId w:val="45"/>
        </w:numPr>
        <w:spacing w:before="20" w:after="150"/>
      </w:pPr>
      <w:r>
        <w:t>Applicants should note that there is a second section of the Work Site Form, called the “Housing Census Form.”  Applicants do not need to fill out this portion of the form at the time of application or award. DOL will require this census from awarded applicants in August of each year for the previous 12-month period, as a means of tracking the total units of housing completed by YouthBuild programs.</w:t>
      </w:r>
    </w:p>
    <w:p w:rsidR="00976CDB" w:rsidP="00632103" w14:paraId="071CF982" w14:textId="77777777">
      <w:pPr>
        <w:spacing w:after="140"/>
        <w:rPr>
          <w:sz w:val="20"/>
          <w:szCs w:val="20"/>
        </w:rPr>
      </w:pPr>
      <w:bookmarkStart w:id="101" w:name="_bookmark234836"/>
      <w:bookmarkEnd w:id="101"/>
      <w:r>
        <w:rPr>
          <w:b/>
          <w:bCs/>
          <w:szCs w:val="20"/>
        </w:rPr>
        <w:t>2. Requested Attachments</w:t>
      </w:r>
    </w:p>
    <w:p w:rsidR="00976CDB" w:rsidP="00632103" w14:paraId="7D9CAAD1" w14:textId="77777777">
      <w:pPr>
        <w:spacing w:after="140"/>
        <w:rPr>
          <w:sz w:val="20"/>
          <w:szCs w:val="20"/>
        </w:rPr>
      </w:pPr>
      <w:r>
        <w:rPr>
          <w:szCs w:val="20"/>
        </w:rPr>
        <w:t>We request the following attachments.  If you do not submit the attachments, your application will still be reviewed, but it will impact your score, unless otherwise noted.</w:t>
      </w:r>
    </w:p>
    <w:p w:rsidR="00976CDB" w:rsidP="00632103" w14:paraId="7E5215C6" w14:textId="77777777">
      <w:pPr>
        <w:spacing w:before="20" w:after="20"/>
      </w:pPr>
      <w:bookmarkStart w:id="102" w:name="_bookmark234837"/>
      <w:bookmarkStart w:id="103" w:name="_bookmark234839"/>
      <w:bookmarkEnd w:id="102"/>
      <w:bookmarkEnd w:id="103"/>
      <w:r>
        <w:rPr>
          <w:color w:val="auto"/>
          <w:szCs w:val="24"/>
        </w:rPr>
        <w:t xml:space="preserve"> </w:t>
      </w:r>
    </w:p>
    <w:p w:rsidR="00976CDB" w:rsidP="00632103" w14:paraId="40D1B153" w14:textId="77777777">
      <w:pPr>
        <w:spacing w:after="140"/>
        <w:ind w:left="360"/>
        <w:rPr>
          <w:sz w:val="20"/>
          <w:szCs w:val="20"/>
        </w:rPr>
      </w:pPr>
      <w:r>
        <w:rPr>
          <w:b/>
          <w:bCs/>
          <w:szCs w:val="20"/>
        </w:rPr>
        <w:t>a. Past Performance Documentation (Category B applicants only)</w:t>
      </w:r>
    </w:p>
    <w:p w:rsidR="00976CDB" w:rsidP="00632103" w14:paraId="478C9677" w14:textId="77777777">
      <w:pPr>
        <w:spacing w:after="140"/>
        <w:ind w:left="360"/>
        <w:rPr>
          <w:sz w:val="20"/>
          <w:szCs w:val="20"/>
        </w:rPr>
      </w:pPr>
      <w:r>
        <w:rPr>
          <w:szCs w:val="20"/>
        </w:rPr>
        <w:t>This attachment must include both the Past Performance Chart and the Grantor Verification Letter (if the chart is not signed by the Grantor).</w:t>
      </w:r>
    </w:p>
    <w:p w:rsidR="00976CDB" w:rsidP="00632103" w14:paraId="777540D9" w14:textId="77777777">
      <w:pPr>
        <w:spacing w:after="140"/>
        <w:ind w:left="375"/>
        <w:rPr>
          <w:sz w:val="20"/>
          <w:szCs w:val="20"/>
        </w:rPr>
      </w:pPr>
      <w:bookmarkStart w:id="104" w:name="_bookmark234840"/>
      <w:bookmarkEnd w:id="104"/>
      <w:r>
        <w:rPr>
          <w:szCs w:val="20"/>
        </w:rPr>
        <w:t>See Section IV.C.j for requirements and sample format chart. Category B applicants that are using a grant provided directly from ETA should not request or provide a grantor signature on the Past Performance Chart.</w:t>
      </w:r>
    </w:p>
    <w:p w:rsidR="00976CDB" w:rsidP="00632103" w14:paraId="6845BB11" w14:textId="77777777">
      <w:pPr>
        <w:spacing w:after="140"/>
        <w:ind w:left="375"/>
        <w:rPr>
          <w:sz w:val="20"/>
          <w:szCs w:val="20"/>
        </w:rPr>
      </w:pPr>
      <w:bookmarkStart w:id="105" w:name="_bookmark234841"/>
      <w:bookmarkEnd w:id="105"/>
      <w:r>
        <w:rPr>
          <w:szCs w:val="20"/>
        </w:rPr>
        <w:t>These documents must be uploaded as an attachment to the application package and labeled “Past Performance.”</w:t>
      </w:r>
    </w:p>
    <w:p w:rsidR="00976CDB" w:rsidP="00632103" w14:paraId="56266D4A" w14:textId="77777777">
      <w:pPr>
        <w:spacing w:after="140"/>
        <w:ind w:left="375"/>
        <w:rPr>
          <w:sz w:val="20"/>
          <w:szCs w:val="20"/>
        </w:rPr>
      </w:pPr>
      <w:bookmarkStart w:id="106" w:name="_bookmark234843"/>
      <w:bookmarkEnd w:id="106"/>
      <w:r>
        <w:rPr>
          <w:b/>
          <w:bCs/>
          <w:szCs w:val="20"/>
        </w:rPr>
        <w:t>b. Letters of Commitment of MOUs</w:t>
      </w:r>
    </w:p>
    <w:p w:rsidR="00976CDB" w:rsidP="00632103" w14:paraId="1B3BA23A" w14:textId="77777777">
      <w:pPr>
        <w:spacing w:after="140"/>
        <w:ind w:left="375"/>
        <w:rPr>
          <w:sz w:val="20"/>
          <w:szCs w:val="20"/>
        </w:rPr>
      </w:pPr>
      <w:r>
        <w:rPr>
          <w:szCs w:val="20"/>
        </w:rPr>
        <w:t>Submit signed and dated Letters of Commitment or Memoranda of Understanding between the applicant and partner organizations described in IV.C.g.1 of the Project Narrative and/or sub-grantees that propose to provide services to support or evaluate the program model and lead to the identified outcomes.</w:t>
      </w:r>
    </w:p>
    <w:p w:rsidR="00976CDB" w:rsidP="00632103" w14:paraId="59CB4597" w14:textId="77777777">
      <w:pPr>
        <w:spacing w:after="140"/>
        <w:ind w:left="375"/>
        <w:rPr>
          <w:sz w:val="20"/>
          <w:szCs w:val="20"/>
        </w:rPr>
      </w:pPr>
      <w:r>
        <w:rPr>
          <w:szCs w:val="20"/>
        </w:rPr>
        <w:t>Additionally, as stated in Section IV.C.g.3 of the Project Narrative, applicants must provide documentation (i.e., memorandum of understanding or letter of commitment) of a partnership with a Registered Apprenticeship Program that provides opportunities for direct entry to qualified exited participants. Alternatively, applicants may provide documentation of engagement (e.g., email communication) with the relevant state apprenticeship agency/office to achieve a partnership with a Registered Apprenticeship.</w:t>
      </w:r>
    </w:p>
    <w:p w:rsidR="00976CDB" w:rsidP="00632103" w14:paraId="6639865F" w14:textId="77777777">
      <w:pPr>
        <w:spacing w:after="140"/>
        <w:ind w:left="375"/>
        <w:rPr>
          <w:sz w:val="20"/>
          <w:szCs w:val="20"/>
        </w:rPr>
      </w:pPr>
      <w:r>
        <w:rPr>
          <w:szCs w:val="20"/>
        </w:rPr>
        <w:t>These letters must be uploaded as an attachment to the application package and labeled “Letters of Commitment.”</w:t>
      </w:r>
    </w:p>
    <w:p w:rsidR="00976CDB" w:rsidP="00632103" w14:paraId="47E4E685" w14:textId="77777777">
      <w:pPr>
        <w:spacing w:after="140"/>
        <w:ind w:left="375"/>
        <w:rPr>
          <w:sz w:val="20"/>
          <w:szCs w:val="20"/>
        </w:rPr>
      </w:pPr>
      <w:bookmarkStart w:id="107" w:name="_bookmark234845"/>
      <w:bookmarkEnd w:id="107"/>
      <w:r>
        <w:rPr>
          <w:b/>
          <w:bCs/>
          <w:szCs w:val="20"/>
        </w:rPr>
        <w:t>c. Indirect Cost Rate Agreement</w:t>
      </w:r>
    </w:p>
    <w:p w:rsidR="00976CDB" w:rsidP="00632103" w14:paraId="336C4765" w14:textId="77777777">
      <w:pPr>
        <w:spacing w:after="140"/>
        <w:ind w:left="375"/>
        <w:rPr>
          <w:sz w:val="20"/>
          <w:szCs w:val="20"/>
        </w:rPr>
      </w:pPr>
      <w:r>
        <w:rPr>
          <w:szCs w:val="20"/>
        </w:rPr>
        <w:t xml:space="preserve">If you are requesting indirect costs based on a Negotiated Indirect Cost Rate Agreement approved by your federal Cognizant Agency, then attach the most recently approved Agreement.  For a complete understanding of this application requirement, see the </w:t>
      </w:r>
      <w:hyperlink r:id="rId16" w:history="1">
        <w:r>
          <w:rPr>
            <w:rStyle w:val="ahref"/>
            <w:szCs w:val="20"/>
            <w:u w:val="single" w:color="0000FF"/>
          </w:rPr>
          <w:t>2025 Application Guide</w:t>
        </w:r>
      </w:hyperlink>
      <w:r>
        <w:rPr>
          <w:szCs w:val="20"/>
        </w:rPr>
        <w:t xml:space="preserve">, Section III.H Funding Restrictions, Policies and Limitations.  This attachment does not impact scoring of the application.  This document must be uploaded as an attachment to the application package and labeled “NICRA.” </w:t>
      </w:r>
    </w:p>
    <w:p w:rsidR="00976CDB" w:rsidP="00632103" w14:paraId="5BFBC7AE" w14:textId="77777777">
      <w:pPr>
        <w:spacing w:after="140"/>
        <w:ind w:left="375"/>
        <w:rPr>
          <w:sz w:val="20"/>
          <w:szCs w:val="20"/>
        </w:rPr>
      </w:pPr>
      <w:bookmarkStart w:id="108" w:name="_bookmark234846"/>
      <w:bookmarkStart w:id="109" w:name="_bookmark234848"/>
      <w:bookmarkEnd w:id="108"/>
      <w:bookmarkEnd w:id="109"/>
      <w:r>
        <w:rPr>
          <w:b/>
          <w:bCs/>
          <w:szCs w:val="20"/>
        </w:rPr>
        <w:t>d. Financial System Risk Assessment Information</w:t>
      </w:r>
    </w:p>
    <w:p w:rsidR="00976CDB" w:rsidP="00632103" w14:paraId="65283DD1" w14:textId="77777777">
      <w:pPr>
        <w:spacing w:after="140"/>
        <w:ind w:left="375"/>
        <w:rPr>
          <w:sz w:val="20"/>
          <w:szCs w:val="20"/>
        </w:rPr>
      </w:pPr>
      <w:r>
        <w:rPr>
          <w:szCs w:val="20"/>
        </w:rPr>
        <w:t xml:space="preserve">All applicants are requested to submit Funding Opportunity Announcement Financial System Risk Assessment Information.  See Section </w:t>
      </w:r>
      <w:hyperlink w:anchor="_bookmark234951" w:history="1">
        <w:r>
          <w:rPr>
            <w:rStyle w:val="ahref"/>
            <w:szCs w:val="20"/>
            <w:u w:val="single" w:color="0000FF"/>
          </w:rPr>
          <w:t>VI.D</w:t>
        </w:r>
      </w:hyperlink>
      <w:r>
        <w:rPr>
          <w:szCs w:val="20"/>
        </w:rPr>
        <w:t xml:space="preserve"> for additional instructions.  This attachment does not impact the scoring of the application.</w:t>
      </w:r>
    </w:p>
    <w:p w:rsidR="00976CDB" w:rsidP="00632103" w14:paraId="53D8726F" w14:textId="77777777">
      <w:pPr>
        <w:spacing w:before="20" w:after="20"/>
      </w:pPr>
      <w:bookmarkStart w:id="110" w:name="_bookmark234849"/>
      <w:bookmarkEnd w:id="110"/>
      <w:r>
        <w:rPr>
          <w:color w:val="auto"/>
          <w:szCs w:val="24"/>
        </w:rPr>
        <w:t xml:space="preserve"> </w:t>
      </w:r>
    </w:p>
    <w:p w:rsidR="00976CDB" w:rsidP="00632103" w14:paraId="233813BA" w14:textId="77777777">
      <w:pPr>
        <w:spacing w:after="140"/>
        <w:ind w:left="375"/>
        <w:rPr>
          <w:sz w:val="20"/>
          <w:szCs w:val="20"/>
        </w:rPr>
      </w:pPr>
      <w:r>
        <w:rPr>
          <w:b/>
          <w:bCs/>
          <w:szCs w:val="20"/>
        </w:rPr>
        <w:t>e. Source Documentation for Service Area Data</w:t>
      </w:r>
      <w:r>
        <w:rPr>
          <w:b/>
          <w:bCs/>
          <w:szCs w:val="20"/>
        </w:rPr>
        <w:br/>
      </w:r>
      <w:r>
        <w:rPr>
          <w:szCs w:val="20"/>
        </w:rPr>
        <w:t xml:space="preserve"> Applicants must provide print-outs or screenshots of the sources of all data (including American Community Survey data and the Attachment D Excel spreadsheet) used for the youth unemployment rate and poverty rate so that DOL may validate data and calculations. If an applicant must use alternate sources, the applicant must explain this in the project narrative, along with the citation used and the print-out for that data source. This attachment impacts scoring of the application as discussed in the evaluation criteria in Section IV.C.a.</w:t>
      </w:r>
      <w:r>
        <w:rPr>
          <w:szCs w:val="20"/>
        </w:rPr>
        <w:br/>
      </w:r>
      <w:r>
        <w:rPr>
          <w:szCs w:val="20"/>
        </w:rPr>
        <w:br/>
      </w:r>
      <w:r>
        <w:rPr>
          <w:b/>
          <w:bCs/>
          <w:szCs w:val="20"/>
        </w:rPr>
        <w:t>f. Proof of 501(c)(3) or other Non-Profit Status</w:t>
      </w:r>
    </w:p>
    <w:p w:rsidR="00976CDB" w:rsidP="00632103" w14:paraId="395984D6" w14:textId="77777777">
      <w:pPr>
        <w:spacing w:after="140"/>
        <w:ind w:left="375"/>
        <w:rPr>
          <w:sz w:val="20"/>
          <w:szCs w:val="20"/>
        </w:rPr>
      </w:pPr>
      <w:r>
        <w:rPr>
          <w:szCs w:val="20"/>
        </w:rPr>
        <w:t>We encourage entities applying as a non-profit organization to provide verification of 501(c)(3) or other non-profit status. This attachment does not impact scoring of the application.</w:t>
      </w:r>
      <w:r>
        <w:rPr>
          <w:szCs w:val="20"/>
        </w:rPr>
        <w:br/>
      </w:r>
      <w:r>
        <w:rPr>
          <w:szCs w:val="20"/>
        </w:rPr>
        <w:br/>
      </w:r>
      <w:r>
        <w:rPr>
          <w:b/>
          <w:bCs/>
          <w:szCs w:val="20"/>
        </w:rPr>
        <w:t>g. Construction Plus Description</w:t>
      </w:r>
    </w:p>
    <w:p w:rsidR="00976CDB" w:rsidP="00632103" w14:paraId="3A49DD69" w14:textId="77777777">
      <w:pPr>
        <w:spacing w:after="140"/>
        <w:ind w:left="375"/>
        <w:rPr>
          <w:sz w:val="20"/>
          <w:szCs w:val="20"/>
        </w:rPr>
      </w:pPr>
      <w:r>
        <w:rPr>
          <w:szCs w:val="20"/>
        </w:rPr>
        <w:t xml:space="preserve">Applicants pursuing Construction Plus training must attach the Construction Plus Field Proposal or an alternative document that contains all requested information from the Construction Plus Proposal template for each Construction Plus industry proposed. Category A applicants may propose multiple Construction Plus industries; Category B applicants may </w:t>
      </w:r>
      <w:r>
        <w:rPr>
          <w:szCs w:val="20"/>
        </w:rPr>
        <w:t xml:space="preserve">propose no more than one Construction Plus industry. Each attached template or alternative document must not exceed two pages. For any applicant proposing a Construction Plus program, it must include the Construction Plus Field Proposal as an attachment and must describe all additional skills training beyond construction skills training. The Construction Plus Field Proposal Template is available to applicants online under the Forms section: </w:t>
      </w:r>
      <w:hyperlink r:id="rId37" w:history="1">
        <w:r>
          <w:rPr>
            <w:rStyle w:val="ahref"/>
            <w:szCs w:val="20"/>
            <w:u w:val="single" w:color="0000FF"/>
          </w:rPr>
          <w:t>https://www.dol.gov/agencies/eta/youth/youthbuild/</w:t>
        </w:r>
      </w:hyperlink>
      <w:r>
        <w:rPr>
          <w:szCs w:val="20"/>
        </w:rPr>
        <w:t>.  Please note that the Construction Plus Field Proposal Template includes an example of a competed template filled in by a fictional applicant proposing a fictional construction program. As stated, construction training is part of every YouthBuild program application and does not require a separate proposal, this is only an example. This attachment impacts scoring as specified in Section III.G.1.</w:t>
      </w:r>
      <w:r>
        <w:rPr>
          <w:szCs w:val="20"/>
        </w:rPr>
        <w:br/>
      </w:r>
      <w:r>
        <w:rPr>
          <w:szCs w:val="20"/>
        </w:rPr>
        <w:br/>
      </w:r>
      <w:r>
        <w:rPr>
          <w:b/>
          <w:bCs/>
          <w:szCs w:val="20"/>
        </w:rPr>
        <w:t>h. Zip Code Map</w:t>
      </w:r>
    </w:p>
    <w:p w:rsidR="00976CDB" w:rsidP="00632103" w14:paraId="3EBFCC8D" w14:textId="77777777">
      <w:pPr>
        <w:spacing w:after="140"/>
        <w:ind w:left="375"/>
        <w:rPr>
          <w:sz w:val="20"/>
          <w:szCs w:val="20"/>
        </w:rPr>
      </w:pPr>
      <w:r>
        <w:rPr>
          <w:szCs w:val="20"/>
        </w:rPr>
        <w:t xml:space="preserve">Please provide a map of the proposed service area zip codes, as produced by </w:t>
      </w:r>
      <w:hyperlink r:id="rId40" w:history="1">
        <w:r>
          <w:rPr>
            <w:rStyle w:val="ahref"/>
            <w:szCs w:val="20"/>
            <w:u w:val="single" w:color="0000FF"/>
          </w:rPr>
          <w:t>https://www.unitedstateszipcodes.org/</w:t>
        </w:r>
      </w:hyperlink>
      <w:r>
        <w:rPr>
          <w:szCs w:val="20"/>
        </w:rPr>
        <w:t xml:space="preserve"> or a similar web site that can map zip code areas. This attachment does not impact scoring of the application.</w:t>
      </w:r>
      <w:r>
        <w:rPr>
          <w:szCs w:val="20"/>
        </w:rPr>
        <w:br/>
      </w:r>
      <w:r>
        <w:rPr>
          <w:szCs w:val="20"/>
        </w:rPr>
        <w:br/>
      </w:r>
      <w:r>
        <w:rPr>
          <w:b/>
          <w:bCs/>
          <w:szCs w:val="20"/>
        </w:rPr>
        <w:t>i. Proof of Local Presence for Non-Contiguous Service Areas (if applicable)</w:t>
      </w:r>
    </w:p>
    <w:p w:rsidR="00976CDB" w:rsidP="00632103" w14:paraId="5F171B08" w14:textId="77777777">
      <w:pPr>
        <w:spacing w:after="140"/>
        <w:ind w:left="375"/>
        <w:rPr>
          <w:sz w:val="20"/>
          <w:szCs w:val="20"/>
        </w:rPr>
      </w:pPr>
      <w:r>
        <w:rPr>
          <w:szCs w:val="20"/>
        </w:rPr>
        <w:t>If applicants propose to serve multiple service areas that are not contiguous or closely located, they must provide as documentation of local organizational presence such as a rental agreement or proof of ownership of office space in each separate service area. This documentation must include the address of each property and the property must not be co-located with other existing YouthBuild programs. The address(es) should correspond to service area(s) identified throughout the application. This attachment does not impact scoring of the application.</w:t>
      </w:r>
    </w:p>
    <w:p w:rsidR="00976CDB" w:rsidP="00632103" w14:paraId="1474EBA2" w14:textId="77777777">
      <w:pPr>
        <w:pStyle w:val="Heading1"/>
        <w:spacing w:before="20" w:after="20"/>
      </w:pPr>
      <w:bookmarkStart w:id="111" w:name="_bookmark234850"/>
      <w:bookmarkEnd w:id="111"/>
      <w:r>
        <w:t xml:space="preserve"> </w:t>
      </w:r>
      <w:bookmarkStart w:id="112" w:name="_Toc256000062"/>
      <w:r>
        <w:t>V. SUBMISSION REQUIREMENTS AND DEADLINES</w:t>
      </w:r>
      <w:bookmarkEnd w:id="112"/>
    </w:p>
    <w:p w:rsidR="00976CDB" w:rsidP="00632103" w14:paraId="648064A4" w14:textId="77777777">
      <w:pPr>
        <w:pStyle w:val="Heading2"/>
        <w:spacing w:before="20" w:after="20"/>
      </w:pPr>
      <w:bookmarkStart w:id="113" w:name="_bookmark234863"/>
      <w:bookmarkEnd w:id="113"/>
      <w:r>
        <w:t xml:space="preserve"> </w:t>
      </w:r>
      <w:bookmarkStart w:id="114" w:name="_Toc256000063"/>
      <w:r>
        <w:t>A. How to Obtain an Application Package</w:t>
      </w:r>
      <w:bookmarkEnd w:id="114"/>
    </w:p>
    <w:p w:rsidR="00976CDB" w:rsidP="00632103" w14:paraId="2CA1C9A9" w14:textId="77777777">
      <w:pPr>
        <w:spacing w:after="140"/>
        <w:rPr>
          <w:sz w:val="20"/>
          <w:szCs w:val="20"/>
        </w:rPr>
      </w:pPr>
      <w:bookmarkStart w:id="115" w:name="_bookmark234864"/>
      <w:bookmarkEnd w:id="115"/>
      <w:r>
        <w:rPr>
          <w:szCs w:val="20"/>
        </w:rPr>
        <w:t xml:space="preserve">This FOA, found at </w:t>
      </w:r>
      <w:hyperlink r:id="rId41" w:history="1">
        <w:r>
          <w:rPr>
            <w:rStyle w:val="ahref"/>
            <w:szCs w:val="20"/>
            <w:u w:val="single" w:color="0000FF"/>
          </w:rPr>
          <w:t>www.Grants.gov</w:t>
        </w:r>
      </w:hyperlink>
      <w:r>
        <w:rPr>
          <w:szCs w:val="20"/>
        </w:rPr>
        <w:t xml:space="preserve"> and </w:t>
      </w:r>
      <w:hyperlink r:id="rId42" w:history="1">
        <w:r>
          <w:rPr>
            <w:rStyle w:val="ahref"/>
            <w:szCs w:val="20"/>
            <w:u w:val="single" w:color="0000FF"/>
          </w:rPr>
          <w:t>https://www.dol.gov/agencies/eta/grants/apply/find-opportunities</w:t>
        </w:r>
      </w:hyperlink>
      <w:r>
        <w:rPr>
          <w:szCs w:val="20"/>
        </w:rPr>
        <w:t xml:space="preserve"> contains all of the information and links to forms needed to apply for grant funding.</w:t>
      </w:r>
    </w:p>
    <w:p w:rsidR="00976CDB" w:rsidP="00632103" w14:paraId="55C22951" w14:textId="77777777">
      <w:pPr>
        <w:pStyle w:val="Heading2"/>
        <w:spacing w:before="20" w:after="20"/>
      </w:pPr>
      <w:bookmarkStart w:id="116" w:name="_bookmark234865"/>
      <w:bookmarkStart w:id="117" w:name="_bookmark234866"/>
      <w:bookmarkEnd w:id="116"/>
      <w:bookmarkEnd w:id="117"/>
      <w:r>
        <w:t xml:space="preserve"> </w:t>
      </w:r>
      <w:bookmarkStart w:id="118" w:name="_Toc256000064"/>
      <w:r>
        <w:t>B. Unique Entity Identifier and System for Award Management</w:t>
      </w:r>
      <w:bookmarkEnd w:id="118"/>
    </w:p>
    <w:p w:rsidR="00976CDB" w:rsidP="00632103" w14:paraId="14B7E8DD" w14:textId="77777777">
      <w:pPr>
        <w:spacing w:after="140"/>
        <w:rPr>
          <w:sz w:val="20"/>
          <w:szCs w:val="20"/>
        </w:rPr>
      </w:pPr>
      <w:bookmarkStart w:id="119" w:name="_bookmark234867"/>
      <w:bookmarkEnd w:id="119"/>
      <w:r>
        <w:rPr>
          <w:szCs w:val="20"/>
        </w:rPr>
        <w:t>All applicants for Federal grant funding must have a Unique Entity Identifier and be registered in the System for Award Management.</w:t>
      </w:r>
    </w:p>
    <w:p w:rsidR="00976CDB" w:rsidP="00632103" w14:paraId="6E6D10FE"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V.B Unique Entity Identifier and System for Award Management.</w:t>
      </w:r>
    </w:p>
    <w:p w:rsidR="00976CDB" w:rsidP="00632103" w14:paraId="6931CEA4" w14:textId="77777777">
      <w:pPr>
        <w:pStyle w:val="Heading2"/>
        <w:spacing w:before="20" w:after="20"/>
      </w:pPr>
      <w:bookmarkStart w:id="120" w:name="_bookmark234868"/>
      <w:bookmarkStart w:id="121" w:name="_bookmark234869"/>
      <w:bookmarkEnd w:id="120"/>
      <w:bookmarkEnd w:id="121"/>
      <w:r>
        <w:t xml:space="preserve"> </w:t>
      </w:r>
      <w:bookmarkStart w:id="122" w:name="_Toc256000065"/>
      <w:r>
        <w:t>C. Submission Instructions</w:t>
      </w:r>
      <w:bookmarkEnd w:id="122"/>
    </w:p>
    <w:p w:rsidR="00976CDB" w:rsidP="00632103" w14:paraId="36D158D9" w14:textId="1F08E140">
      <w:pPr>
        <w:spacing w:after="140"/>
        <w:rPr>
          <w:sz w:val="20"/>
          <w:szCs w:val="20"/>
        </w:rPr>
      </w:pPr>
      <w:bookmarkStart w:id="123" w:name="_bookmark234871"/>
      <w:bookmarkEnd w:id="123"/>
      <w:r>
        <w:rPr>
          <w:szCs w:val="20"/>
        </w:rPr>
        <w:t xml:space="preserve">Applicants must electronically submit their application through </w:t>
      </w:r>
      <w:hyperlink r:id="rId43" w:history="1">
        <w:r>
          <w:rPr>
            <w:rStyle w:val="ahref"/>
            <w:szCs w:val="20"/>
            <w:u w:val="single" w:color="0000FF"/>
          </w:rPr>
          <w:t>Grants.gov</w:t>
        </w:r>
      </w:hyperlink>
      <w:r>
        <w:rPr>
          <w:szCs w:val="20"/>
        </w:rPr>
        <w:t xml:space="preserve"> by 11:59 p.m. Eastern Time on</w:t>
      </w:r>
      <w:r w:rsidR="00C64657">
        <w:rPr>
          <w:szCs w:val="20"/>
        </w:rPr>
        <w:t xml:space="preserve"> 02/18/2026</w:t>
      </w:r>
      <w:r>
        <w:rPr>
          <w:szCs w:val="20"/>
        </w:rPr>
        <w:t xml:space="preserve"> . We will not review applications received after 11:59 p.m. Eastern Time on the closing date.  We will not accept applications sent by hardcopy (mail or hand delivery), e-mail, telegram, or facsimile (FAX).</w:t>
      </w:r>
    </w:p>
    <w:p w:rsidR="00976CDB" w:rsidP="00632103" w14:paraId="184A4C8F"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V.C Submission Instructions.</w:t>
      </w:r>
    </w:p>
    <w:p w:rsidR="00976CDB" w:rsidP="00632103" w14:paraId="7567C79D" w14:textId="77777777">
      <w:pPr>
        <w:pStyle w:val="Heading2"/>
        <w:spacing w:before="20" w:after="20"/>
      </w:pPr>
      <w:bookmarkStart w:id="124" w:name="_bookmark234872"/>
      <w:bookmarkStart w:id="125" w:name="_bookmark234873"/>
      <w:bookmarkEnd w:id="124"/>
      <w:bookmarkEnd w:id="125"/>
      <w:r>
        <w:t xml:space="preserve"> </w:t>
      </w:r>
      <w:bookmarkStart w:id="126" w:name="_Toc256000066"/>
      <w:r>
        <w:t>D. Intergovernmental Review</w:t>
      </w:r>
      <w:bookmarkEnd w:id="126"/>
    </w:p>
    <w:p w:rsidR="00976CDB" w:rsidP="00632103" w14:paraId="2961BEAF" w14:textId="77777777">
      <w:pPr>
        <w:spacing w:after="140"/>
        <w:rPr>
          <w:sz w:val="20"/>
          <w:szCs w:val="20"/>
        </w:rPr>
      </w:pPr>
      <w:bookmarkStart w:id="127" w:name="_bookmark234874"/>
      <w:bookmarkEnd w:id="127"/>
      <w:r>
        <w:rPr>
          <w:szCs w:val="20"/>
        </w:rPr>
        <w:t>This funding opportunity is not subject to Executive Order 12372, “Intergovernmental Review of Federal Programs.”</w:t>
      </w:r>
    </w:p>
    <w:p w:rsidR="00976CDB" w:rsidP="00632103" w14:paraId="25DD01BD" w14:textId="77777777">
      <w:pPr>
        <w:pStyle w:val="Heading2"/>
        <w:spacing w:before="20" w:after="20"/>
      </w:pPr>
      <w:bookmarkStart w:id="128" w:name="_bookmark234875"/>
      <w:bookmarkEnd w:id="128"/>
      <w:r>
        <w:t xml:space="preserve"> </w:t>
      </w:r>
      <w:bookmarkStart w:id="129" w:name="_Toc256000067"/>
      <w:r>
        <w:t>E. Other Submission Requirements</w:t>
      </w:r>
      <w:bookmarkEnd w:id="129"/>
    </w:p>
    <w:p w:rsidR="00976CDB" w:rsidP="00632103" w14:paraId="2A98720C" w14:textId="77777777">
      <w:pPr>
        <w:spacing w:after="140"/>
        <w:rPr>
          <w:sz w:val="20"/>
          <w:szCs w:val="20"/>
        </w:rPr>
      </w:pPr>
      <w:bookmarkStart w:id="130" w:name="_bookmark234876"/>
      <w:bookmarkEnd w:id="130"/>
      <w:r>
        <w:rPr>
          <w:szCs w:val="20"/>
        </w:rPr>
        <w:t xml:space="preserve">If you encounter a problem with Grants.gov and do not find an answer in any of the other resources, call 1-800-518-4726 or 606-545-5035 to speak to a Customer Support Representative or email </w:t>
      </w:r>
      <w:hyperlink r:id="rId44" w:history="1">
        <w:r>
          <w:rPr>
            <w:rStyle w:val="ahref"/>
            <w:szCs w:val="20"/>
            <w:u w:val="single" w:color="0000FF"/>
          </w:rPr>
          <w:t>support@grants.gov.</w:t>
        </w:r>
      </w:hyperlink>
    </w:p>
    <w:p w:rsidR="00976CDB" w:rsidP="00632103" w14:paraId="355C0DA7" w14:textId="77777777">
      <w:pPr>
        <w:pStyle w:val="Heading1"/>
        <w:spacing w:before="20" w:after="20"/>
      </w:pPr>
      <w:bookmarkStart w:id="131" w:name="_bookmark234877"/>
      <w:bookmarkEnd w:id="131"/>
      <w:r>
        <w:t xml:space="preserve"> </w:t>
      </w:r>
      <w:bookmarkStart w:id="132" w:name="_Toc256000068"/>
      <w:r>
        <w:t>VI. APPLICATION REVIEW INFORMATION</w:t>
      </w:r>
      <w:bookmarkEnd w:id="132"/>
    </w:p>
    <w:p w:rsidR="00976CDB" w:rsidP="00632103" w14:paraId="27848A99" w14:textId="77777777">
      <w:pPr>
        <w:pStyle w:val="Heading2"/>
        <w:spacing w:before="20" w:after="20"/>
      </w:pPr>
      <w:bookmarkStart w:id="133" w:name="_bookmark234878"/>
      <w:bookmarkEnd w:id="133"/>
      <w:r>
        <w:t xml:space="preserve"> </w:t>
      </w:r>
      <w:bookmarkStart w:id="134" w:name="_Toc256000069"/>
      <w:r>
        <w:t>A. Responsiveness Review</w:t>
      </w:r>
      <w:bookmarkEnd w:id="134"/>
    </w:p>
    <w:p w:rsidR="00976CDB" w:rsidP="00632103" w14:paraId="22C5DBA3" w14:textId="77777777">
      <w:pPr>
        <w:spacing w:after="140"/>
        <w:rPr>
          <w:sz w:val="20"/>
          <w:szCs w:val="20"/>
        </w:rPr>
      </w:pPr>
      <w:bookmarkStart w:id="135" w:name="_bookmark234934"/>
      <w:bookmarkEnd w:id="135"/>
      <w:r>
        <w:rPr>
          <w:b/>
          <w:bCs/>
          <w:szCs w:val="20"/>
          <w:u w:val="single"/>
        </w:rPr>
        <w:t>Application Screening Criteria</w:t>
      </w:r>
    </w:p>
    <w:p w:rsidR="00976CDB" w:rsidP="00632103" w14:paraId="1B87BDB4" w14:textId="77777777">
      <w:pPr>
        <w:spacing w:after="140"/>
        <w:rPr>
          <w:sz w:val="20"/>
          <w:szCs w:val="20"/>
        </w:rPr>
      </w:pPr>
      <w:r>
        <w:rPr>
          <w:szCs w:val="20"/>
        </w:rPr>
        <w:t>Use the checklist below as a guide when preparing your application package to ensure your application meets all of the screening criteria and contains all required items.  Applicants should not include the checklist in the application package.  Applications that do not meet all the requirements in the table below will not move forward through the merit review process or be considered for an award.</w:t>
      </w:r>
    </w:p>
    <w:tbl>
      <w:tblPr>
        <w:tblStyle w:val="tablestylewidthtable"/>
        <w:tblpPr w:leftFromText="600" w:rightFromText="600" w:vertAnchor="text" w:tblpY="1"/>
        <w:tblOverlap w:val="never"/>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6848"/>
        <w:gridCol w:w="1315"/>
        <w:gridCol w:w="1181"/>
      </w:tblGrid>
      <w:tr w14:paraId="6FE84734" w14:textId="77777777">
        <w:tblPrEx>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976CDB" w:rsidP="00632103" w14:paraId="418572CA" w14:textId="77777777">
            <w:pPr>
              <w:spacing w:before="20" w:after="20"/>
              <w:ind w:left="375"/>
              <w:jc w:val="center"/>
            </w:pPr>
            <w:r>
              <w:rPr>
                <w:b/>
                <w:bCs/>
              </w:rPr>
              <w:t>Application Requirement</w:t>
            </w:r>
          </w:p>
        </w:tc>
        <w:tc>
          <w:tcPr>
            <w:tcW w:w="306" w:type="pct"/>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976CDB" w:rsidP="00632103" w14:paraId="37918567" w14:textId="77777777">
            <w:pPr>
              <w:spacing w:before="20" w:after="20"/>
              <w:jc w:val="center"/>
            </w:pPr>
            <w:r>
              <w:rPr>
                <w:b/>
                <w:bCs/>
              </w:rPr>
              <w:t>Instructions</w:t>
            </w:r>
          </w:p>
        </w:tc>
        <w:tc>
          <w:tcPr>
            <w:tcW w:w="278" w:type="pct"/>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976CDB" w:rsidP="00632103" w14:paraId="64B787F9" w14:textId="77777777">
            <w:pPr>
              <w:spacing w:before="20" w:after="20"/>
              <w:jc w:val="center"/>
            </w:pPr>
            <w:r>
              <w:rPr>
                <w:b/>
                <w:bCs/>
              </w:rPr>
              <w:t>Complete?</w:t>
            </w:r>
          </w:p>
        </w:tc>
      </w:tr>
      <w:tr w14:paraId="7848E0D2"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D00775F" w14:textId="77777777">
            <w:pPr>
              <w:spacing w:before="20" w:after="20"/>
            </w:pPr>
            <w:r>
              <w:t>Submission requirements are met</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55F05D7D" w14:textId="77777777">
            <w:pPr>
              <w:spacing w:before="20" w:after="20"/>
            </w:pPr>
            <w:r>
              <w:t xml:space="preserve">Section </w:t>
            </w:r>
            <w:hyperlink w:anchor="_bookmark234869" w:history="1">
              <w:r>
                <w:rPr>
                  <w:rStyle w:val="ahref"/>
                  <w:u w:val="single" w:color="0000FF"/>
                </w:rPr>
                <w:t>V.C</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013F666C" w14:textId="77777777">
            <w:pPr>
              <w:spacing w:before="20" w:after="20"/>
            </w:pPr>
            <w:r>
              <w:t xml:space="preserve"> </w:t>
            </w:r>
          </w:p>
        </w:tc>
      </w:tr>
      <w:tr w14:paraId="07A3665F"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EE5E336" w14:textId="77777777">
            <w:pPr>
              <w:spacing w:before="20" w:after="20"/>
            </w:pPr>
            <w:r>
              <w:t>Eligibility criteria are met</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44A447D" w14:textId="77777777">
            <w:pPr>
              <w:spacing w:before="20" w:after="20"/>
            </w:pPr>
            <w:r>
              <w:t xml:space="preserve">Section </w:t>
            </w:r>
            <w:hyperlink w:anchor="_bookmark234605" w:history="1">
              <w:r>
                <w:rPr>
                  <w:rStyle w:val="ahref"/>
                  <w:u w:val="single" w:color="0000FF"/>
                </w:rPr>
                <w:t>II.A</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0326040" w14:textId="77777777">
            <w:pPr>
              <w:spacing w:before="20" w:after="20"/>
            </w:pPr>
            <w:r>
              <w:t xml:space="preserve"> </w:t>
            </w:r>
          </w:p>
        </w:tc>
      </w:tr>
      <w:tr w14:paraId="4318B045"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29B0C4D" w14:textId="77777777">
            <w:pPr>
              <w:spacing w:before="20" w:after="20"/>
            </w:pPr>
            <w:r>
              <w:t>Components of the application are saved in one of the specified formats and are not corrupt. (</w:t>
            </w:r>
            <w:r>
              <w:rPr>
                <w:i/>
                <w:iCs/>
              </w:rPr>
              <w:t>We will attempt to open the document but will not take any additional measures in the event of problems with opening</w:t>
            </w:r>
            <w:r>
              <w:t>.)</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133ABE2" w14:textId="77777777">
            <w:pPr>
              <w:spacing w:before="20" w:after="20"/>
            </w:pPr>
            <w:r>
              <w:t xml:space="preserve">Section </w:t>
            </w:r>
            <w:hyperlink w:anchor="_bookmark234869" w:history="1">
              <w:r>
                <w:rPr>
                  <w:rStyle w:val="ahref"/>
                  <w:u w:val="single" w:color="0000FF"/>
                </w:rPr>
                <w:t>V.C</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655C2A3" w14:textId="77777777">
            <w:pPr>
              <w:spacing w:before="20" w:after="20"/>
            </w:pPr>
            <w:r>
              <w:t xml:space="preserve"> </w:t>
            </w:r>
          </w:p>
        </w:tc>
      </w:tr>
      <w:tr w14:paraId="093A1A7A"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52F24BB" w14:textId="77777777">
            <w:pPr>
              <w:spacing w:before="20" w:after="20"/>
            </w:pPr>
            <w:r>
              <w:t>SAM Registration</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CA0CF5C" w14:textId="77777777">
            <w:pPr>
              <w:spacing w:before="20" w:after="20"/>
            </w:pPr>
            <w:r>
              <w:t xml:space="preserve">Section </w:t>
            </w:r>
            <w:hyperlink w:anchor="_bookmark234866" w:history="1">
              <w:r>
                <w:rPr>
                  <w:rStyle w:val="ahref"/>
                  <w:u w:val="single" w:color="0000FF"/>
                </w:rPr>
                <w:t>V.B</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03FC374" w14:textId="77777777">
            <w:pPr>
              <w:spacing w:before="20" w:after="20"/>
            </w:pPr>
            <w:r>
              <w:t xml:space="preserve"> </w:t>
            </w:r>
          </w:p>
        </w:tc>
      </w:tr>
      <w:tr w14:paraId="0214EB85"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5166BED" w14:textId="77777777">
            <w:pPr>
              <w:spacing w:before="20" w:after="20"/>
            </w:pPr>
            <w:r>
              <w:t>SF-424 includes a Unique Entity Identifier (UEI) and line 18a. is within the grant award range of $1 million to $2 million for Category A applicants and $1 million to $1.5 million for Category B applicants.</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8372004" w14:textId="77777777">
            <w:pPr>
              <w:spacing w:before="20" w:after="20"/>
            </w:pPr>
            <w:r>
              <w:t xml:space="preserve">Section </w:t>
            </w:r>
            <w:hyperlink w:anchor="_bookmark234866" w:history="1">
              <w:r>
                <w:rPr>
                  <w:rStyle w:val="ahref"/>
                  <w:u w:val="single" w:color="0000FF"/>
                </w:rPr>
                <w:t>V.B</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5D406C8" w14:textId="77777777">
            <w:pPr>
              <w:spacing w:before="20" w:after="20"/>
            </w:pPr>
            <w:r>
              <w:t xml:space="preserve"> </w:t>
            </w:r>
          </w:p>
        </w:tc>
      </w:tr>
      <w:tr w14:paraId="4193B85C"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79BFE04" w14:textId="77777777">
            <w:pPr>
              <w:spacing w:before="20" w:after="20"/>
            </w:pPr>
            <w:r>
              <w:t>SF-424 lists the 25% cost sharing amount on line 18b, if applicable</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66CE235" w14:textId="77777777">
            <w:pPr>
              <w:spacing w:before="20" w:after="20"/>
            </w:pPr>
            <w:r>
              <w:t xml:space="preserve">Section </w:t>
            </w:r>
            <w:hyperlink w:anchor="_bookmark234819" w:history="1">
              <w:r>
                <w:rPr>
                  <w:rStyle w:val="ahref"/>
                  <w:u w:val="single" w:color="0000FF"/>
                </w:rPr>
                <w:t>IV.B</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0A2ED450" w14:textId="77777777">
            <w:pPr>
              <w:spacing w:before="20" w:after="20"/>
            </w:pPr>
            <w:r>
              <w:t xml:space="preserve"> </w:t>
            </w:r>
          </w:p>
        </w:tc>
      </w:tr>
      <w:tr w14:paraId="2FD9212F"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5B147D35" w14:textId="77777777">
            <w:pPr>
              <w:spacing w:before="20" w:after="20"/>
            </w:pPr>
            <w:r>
              <w:t>SF-424A, Budget Information Form</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C1447A6" w14:textId="77777777">
            <w:pPr>
              <w:spacing w:before="20" w:after="20"/>
            </w:pPr>
            <w:r>
              <w:t xml:space="preserve">Section </w:t>
            </w:r>
            <w:hyperlink w:anchor="_bookmark234819" w:history="1">
              <w:r>
                <w:rPr>
                  <w:rStyle w:val="ahref"/>
                  <w:u w:val="single" w:color="0000FF"/>
                </w:rPr>
                <w:t>IV.B</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10D8CA2" w14:textId="77777777">
            <w:pPr>
              <w:spacing w:before="20" w:after="20"/>
            </w:pPr>
            <w:r>
              <w:t xml:space="preserve"> </w:t>
            </w:r>
          </w:p>
        </w:tc>
      </w:tr>
      <w:tr w14:paraId="2758274F"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7DAC524" w14:textId="77777777">
            <w:pPr>
              <w:spacing w:before="20" w:after="20"/>
            </w:pPr>
            <w:r>
              <w:t>Budget Narrative</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5EC9D157" w14:textId="77777777">
            <w:pPr>
              <w:spacing w:before="20" w:after="20"/>
            </w:pPr>
            <w:r>
              <w:t xml:space="preserve">Section </w:t>
            </w:r>
            <w:hyperlink w:anchor="_bookmark234819" w:history="1">
              <w:r>
                <w:rPr>
                  <w:rStyle w:val="ahref"/>
                  <w:u w:val="single" w:color="0000FF"/>
                </w:rPr>
                <w:t>IV.B</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F70D995" w14:textId="77777777">
            <w:pPr>
              <w:spacing w:before="20" w:after="20"/>
            </w:pPr>
            <w:r>
              <w:t xml:space="preserve"> </w:t>
            </w:r>
          </w:p>
        </w:tc>
      </w:tr>
      <w:tr w14:paraId="521E48DF"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BE8D70A" w14:textId="77777777">
            <w:pPr>
              <w:spacing w:before="20" w:after="20"/>
            </w:pPr>
            <w:r>
              <w:t>Match Narrative</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E8E9691" w14:textId="77777777">
            <w:pPr>
              <w:spacing w:before="20" w:after="20"/>
            </w:pPr>
            <w:r>
              <w:t>Section II.B</w:t>
            </w:r>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2F32FCF0" w14:textId="77777777">
            <w:pPr>
              <w:spacing w:before="20" w:after="20"/>
            </w:pPr>
            <w:r>
              <w:t xml:space="preserve"> </w:t>
            </w:r>
          </w:p>
        </w:tc>
      </w:tr>
      <w:tr w14:paraId="37E9C427"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EDE6A00" w14:textId="77777777">
            <w:pPr>
              <w:spacing w:before="20" w:after="20"/>
            </w:pPr>
            <w:r>
              <w:t>Project Narrative</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5957DC8" w14:textId="77777777">
            <w:pPr>
              <w:spacing w:before="20" w:after="20"/>
            </w:pPr>
            <w:r>
              <w:t xml:space="preserve">Section </w:t>
            </w:r>
            <w:hyperlink w:anchor="_bookmark234824" w:history="1">
              <w:r>
                <w:rPr>
                  <w:rStyle w:val="ahref"/>
                  <w:u w:val="single" w:color="0000FF"/>
                </w:rPr>
                <w:t>IV.C</w:t>
              </w:r>
            </w:hyperlink>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3073E32" w14:textId="77777777">
            <w:pPr>
              <w:spacing w:before="20" w:after="20"/>
            </w:pPr>
            <w:r>
              <w:t xml:space="preserve"> </w:t>
            </w:r>
          </w:p>
        </w:tc>
      </w:tr>
      <w:tr w14:paraId="4872B649" w14:textId="77777777">
        <w:tblPrEx>
          <w:tblW w:w="5000" w:type="pct"/>
          <w:tblCellSpacing w:w="0" w:type="dxa"/>
          <w:tblCellMar>
            <w:top w:w="15" w:type="dxa"/>
            <w:left w:w="15" w:type="dxa"/>
            <w:bottom w:w="15" w:type="dxa"/>
            <w:right w:w="15" w:type="dxa"/>
          </w:tblCellMar>
          <w:tblLook w:val="05E0"/>
        </w:tblPrEx>
        <w:trPr>
          <w:tblCellSpacing w:w="0" w:type="dxa"/>
        </w:trPr>
        <w:tc>
          <w:tcPr>
            <w:tcW w:w="44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1E16EAA8" w14:textId="77777777">
            <w:pPr>
              <w:spacing w:before="20" w:after="20"/>
            </w:pPr>
            <w:r>
              <w:t>Work Site Form(s) (ETA-9143) for each work site (may submit up to three separate work site forms with attachments; only three work site forms will be reviewed)</w:t>
            </w:r>
          </w:p>
        </w:tc>
        <w:tc>
          <w:tcPr>
            <w:tcW w:w="30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7034E461" w14:textId="77777777">
            <w:pPr>
              <w:spacing w:before="20" w:after="20"/>
            </w:pPr>
            <w:r>
              <w:t>Section IV.D</w:t>
            </w:r>
          </w:p>
        </w:tc>
        <w:tc>
          <w:tcPr>
            <w:tcW w:w="27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82A43AB" w14:textId="77777777">
            <w:pPr>
              <w:spacing w:before="20" w:after="20"/>
            </w:pPr>
            <w:r>
              <w:t xml:space="preserve"> </w:t>
            </w:r>
          </w:p>
        </w:tc>
      </w:tr>
    </w:tbl>
    <w:p w:rsidR="00976CDB" w:rsidP="00632103" w14:paraId="73C7ED14" w14:textId="77777777">
      <w:pPr>
        <w:spacing w:before="20" w:after="20"/>
      </w:pPr>
      <w:r>
        <w:t xml:space="preserve"> </w:t>
      </w:r>
    </w:p>
    <w:p w:rsidR="00976CDB" w:rsidP="00632103" w14:paraId="57DEFAF2" w14:textId="77777777">
      <w:pPr>
        <w:spacing w:before="20" w:after="20"/>
      </w:pPr>
      <w:r>
        <w:t xml:space="preserve"> </w:t>
      </w:r>
    </w:p>
    <w:p w:rsidR="00976CDB" w:rsidP="00632103" w14:paraId="204DF84C" w14:textId="77777777">
      <w:pPr>
        <w:pStyle w:val="Heading2"/>
        <w:spacing w:before="20" w:after="20"/>
      </w:pPr>
      <w:bookmarkStart w:id="136" w:name="_bookmark234937"/>
      <w:bookmarkEnd w:id="136"/>
      <w:r>
        <w:t xml:space="preserve"> </w:t>
      </w:r>
      <w:bookmarkStart w:id="137" w:name="_Toc256000070"/>
      <w:r>
        <w:t>B. Review Criteria</w:t>
      </w:r>
      <w:bookmarkEnd w:id="137"/>
    </w:p>
    <w:tbl>
      <w:tblPr>
        <w:tblStyle w:val="tableTable0"/>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6829"/>
        <w:gridCol w:w="2515"/>
      </w:tblGrid>
      <w:tr w14:paraId="7B10697B" w14:textId="77777777">
        <w:tblPrEx>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6A3B420A" w14:textId="77777777">
            <w:pPr>
              <w:spacing w:before="20" w:after="20"/>
            </w:pPr>
            <w:r>
              <w:rPr>
                <w:b/>
                <w:bCs/>
              </w:rPr>
              <w:t>Criterion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E616FF1" w14:textId="77777777">
            <w:pPr>
              <w:spacing w:before="20" w:after="20"/>
            </w:pPr>
            <w:r>
              <w:rPr>
                <w:b/>
                <w:bCs/>
              </w:rPr>
              <w:t>Points (Maximum)</w:t>
            </w:r>
          </w:p>
        </w:tc>
      </w:tr>
      <w:tr w14:paraId="1A9E8D6B"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FAB9A7B" w14:textId="77777777">
            <w:pPr>
              <w:spacing w:before="20" w:after="20"/>
            </w:pPr>
            <w:r>
              <w:rPr>
                <w:b/>
                <w:bCs/>
              </w:rPr>
              <w:t>a. Service Area</w:t>
            </w:r>
          </w:p>
          <w:p w:rsidR="00976CDB" w:rsidP="00632103" w14:paraId="355231D5" w14:textId="77777777">
            <w:pPr>
              <w:spacing w:before="20" w:after="20"/>
            </w:pPr>
            <w:r>
              <w:t>1. Youth Unemployment Rate</w:t>
            </w:r>
          </w:p>
          <w:p w:rsidR="00976CDB" w:rsidP="00632103" w14:paraId="2D4E875B" w14:textId="77777777">
            <w:pPr>
              <w:spacing w:before="20" w:after="20"/>
            </w:pPr>
            <w:r>
              <w:t>2. Poverty Rate</w:t>
            </w:r>
          </w:p>
          <w:p w:rsidR="00976CDB" w:rsidP="00632103" w14:paraId="38AB72C5" w14:textId="77777777">
            <w:pPr>
              <w:spacing w:before="20" w:after="20"/>
            </w:pPr>
            <w:r>
              <w:t>(See Section IV.C.a)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45EB8B3" w14:textId="77777777">
            <w:pPr>
              <w:spacing w:before="20" w:after="20"/>
            </w:pPr>
            <w:r>
              <w:rPr>
                <w:b/>
                <w:bCs/>
              </w:rPr>
              <w:t>12 Points Total</w:t>
            </w:r>
          </w:p>
          <w:p w:rsidR="00976CDB" w:rsidP="00632103" w14:paraId="60E0694B" w14:textId="77777777">
            <w:pPr>
              <w:spacing w:before="20" w:after="20"/>
            </w:pPr>
            <w:r>
              <w:t>6 Points</w:t>
            </w:r>
          </w:p>
          <w:p w:rsidR="00976CDB" w:rsidP="00632103" w14:paraId="1C3439EA" w14:textId="77777777">
            <w:pPr>
              <w:spacing w:before="20" w:after="20"/>
            </w:pPr>
            <w:r>
              <w:t>6 Points</w:t>
            </w:r>
          </w:p>
        </w:tc>
      </w:tr>
      <w:tr w14:paraId="0F362917"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FA3F951" w14:textId="77777777">
            <w:pPr>
              <w:spacing w:before="20" w:after="20"/>
            </w:pPr>
            <w:r>
              <w:rPr>
                <w:b/>
                <w:bCs/>
              </w:rPr>
              <w:t>b. Education</w:t>
            </w:r>
          </w:p>
          <w:p w:rsidR="00976CDB" w:rsidP="00632103" w14:paraId="60A08226" w14:textId="77777777">
            <w:pPr>
              <w:spacing w:before="20" w:after="20"/>
            </w:pPr>
            <w:r>
              <w:t>(See Section IV.C.b)</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08ADD0F6" w14:textId="77777777">
            <w:pPr>
              <w:spacing w:before="20" w:after="20"/>
            </w:pPr>
            <w:r>
              <w:rPr>
                <w:b/>
                <w:bCs/>
              </w:rPr>
              <w:t>14 Points</w:t>
            </w:r>
          </w:p>
        </w:tc>
      </w:tr>
      <w:tr w14:paraId="35D149E7"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BD301EB" w14:textId="77777777">
            <w:pPr>
              <w:spacing w:before="20" w:after="20"/>
            </w:pPr>
            <w:r>
              <w:rPr>
                <w:b/>
                <w:bCs/>
              </w:rPr>
              <w:t>c. Construction and Other Occupational Skills</w:t>
            </w:r>
          </w:p>
          <w:p w:rsidR="00976CDB" w:rsidP="00632103" w14:paraId="58FD4E70" w14:textId="77777777">
            <w:pPr>
              <w:spacing w:before="20" w:after="20"/>
            </w:pPr>
            <w:r>
              <w:t>1. Hands-On Meaningful Learning Activities</w:t>
            </w:r>
          </w:p>
          <w:p w:rsidR="00976CDB" w:rsidP="00632103" w14:paraId="08B71620" w14:textId="77777777">
            <w:pPr>
              <w:spacing w:before="20" w:after="20"/>
            </w:pPr>
            <w:r>
              <w:t>2. Connecting Education and Training</w:t>
            </w:r>
          </w:p>
          <w:p w:rsidR="00976CDB" w:rsidP="00632103" w14:paraId="72D891A1" w14:textId="77777777">
            <w:pPr>
              <w:spacing w:before="20" w:after="20"/>
            </w:pPr>
            <w:r>
              <w:t>(See Section IV.C.c)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957BCAE" w14:textId="77777777">
            <w:pPr>
              <w:spacing w:before="20" w:after="20"/>
            </w:pPr>
            <w:r>
              <w:rPr>
                <w:b/>
                <w:bCs/>
              </w:rPr>
              <w:t>10 Points Total</w:t>
            </w:r>
          </w:p>
          <w:p w:rsidR="00976CDB" w:rsidP="00632103" w14:paraId="35EE4E55" w14:textId="77777777">
            <w:pPr>
              <w:spacing w:before="20" w:after="20"/>
            </w:pPr>
            <w:r>
              <w:t>6 Points</w:t>
            </w:r>
          </w:p>
          <w:p w:rsidR="00976CDB" w:rsidP="00632103" w14:paraId="123FD4BE" w14:textId="77777777">
            <w:pPr>
              <w:spacing w:before="20" w:after="20"/>
            </w:pPr>
            <w:r>
              <w:t>4 Points</w:t>
            </w:r>
          </w:p>
        </w:tc>
      </w:tr>
      <w:tr w14:paraId="519D9949"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90CE455" w14:textId="77777777">
            <w:pPr>
              <w:spacing w:before="20" w:after="20"/>
            </w:pPr>
            <w:r>
              <w:rPr>
                <w:b/>
                <w:bCs/>
              </w:rPr>
              <w:t>d. Leadership Development and Community Service</w:t>
            </w:r>
          </w:p>
          <w:p w:rsidR="00976CDB" w:rsidP="00632103" w14:paraId="3EA05A4F" w14:textId="77777777">
            <w:pPr>
              <w:spacing w:before="20" w:after="20"/>
            </w:pPr>
            <w:r>
              <w:t>(See Section IV.C.d)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8B562D7" w14:textId="77777777">
            <w:pPr>
              <w:spacing w:before="20" w:after="20"/>
            </w:pPr>
            <w:r>
              <w:rPr>
                <w:b/>
                <w:bCs/>
              </w:rPr>
              <w:t>4 Points Total</w:t>
            </w:r>
          </w:p>
        </w:tc>
      </w:tr>
      <w:tr w14:paraId="34A7345E"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60E74CA" w14:textId="77777777">
            <w:pPr>
              <w:spacing w:before="20" w:after="20"/>
            </w:pPr>
            <w:r>
              <w:rPr>
                <w:b/>
                <w:bCs/>
              </w:rPr>
              <w:t>e. Program Planning</w:t>
            </w:r>
          </w:p>
          <w:p w:rsidR="00976CDB" w:rsidP="00632103" w14:paraId="13A3391C" w14:textId="77777777">
            <w:pPr>
              <w:spacing w:before="20" w:after="20"/>
            </w:pPr>
            <w:r>
              <w:t>1.Staffing Strategy</w:t>
            </w:r>
          </w:p>
          <w:p w:rsidR="00976CDB" w:rsidP="00632103" w14:paraId="77D2A4D6" w14:textId="77777777">
            <w:pPr>
              <w:spacing w:before="20" w:after="20"/>
            </w:pPr>
            <w:r>
              <w:t>2. Program Implementation</w:t>
            </w:r>
          </w:p>
          <w:p w:rsidR="00976CDB" w:rsidP="00632103" w14:paraId="670A9263" w14:textId="77777777">
            <w:pPr>
              <w:spacing w:before="20" w:after="20"/>
            </w:pPr>
            <w:r>
              <w:t>(See Section IV.C.e)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1B9EC87E" w14:textId="77777777">
            <w:pPr>
              <w:spacing w:before="20" w:after="20"/>
            </w:pPr>
            <w:r>
              <w:rPr>
                <w:b/>
                <w:bCs/>
              </w:rPr>
              <w:t>8 Points Total</w:t>
            </w:r>
          </w:p>
          <w:p w:rsidR="00976CDB" w:rsidP="00632103" w14:paraId="357E4C29" w14:textId="77777777">
            <w:pPr>
              <w:spacing w:before="20" w:after="20"/>
            </w:pPr>
            <w:r>
              <w:t>4 Points</w:t>
            </w:r>
          </w:p>
          <w:p w:rsidR="00976CDB" w:rsidP="00632103" w14:paraId="493C9830" w14:textId="77777777">
            <w:pPr>
              <w:spacing w:before="20" w:after="20"/>
            </w:pPr>
            <w:r>
              <w:t>4 Points</w:t>
            </w:r>
          </w:p>
        </w:tc>
      </w:tr>
      <w:tr w14:paraId="764C623B"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0D90C634" w14:textId="77777777">
            <w:pPr>
              <w:spacing w:before="20" w:after="20"/>
            </w:pPr>
            <w:r>
              <w:rPr>
                <w:b/>
                <w:bCs/>
              </w:rPr>
              <w:t>f. Supportive Services and Post-Program Follow-up</w:t>
            </w:r>
          </w:p>
          <w:p w:rsidR="00976CDB" w:rsidP="00632103" w14:paraId="06107A62" w14:textId="77777777">
            <w:pPr>
              <w:spacing w:before="20" w:after="20"/>
            </w:pPr>
            <w:r>
              <w:t>(See Section IV.C.f)</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133ABA3" w14:textId="77777777">
            <w:pPr>
              <w:spacing w:before="20" w:after="20"/>
            </w:pPr>
            <w:r>
              <w:rPr>
                <w:b/>
                <w:bCs/>
              </w:rPr>
              <w:t>8 Points Total</w:t>
            </w:r>
          </w:p>
        </w:tc>
      </w:tr>
      <w:tr w14:paraId="1B05D819"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6B615F5A" w14:textId="77777777">
            <w:pPr>
              <w:spacing w:before="20" w:after="20"/>
            </w:pPr>
            <w:r>
              <w:rPr>
                <w:b/>
                <w:bCs/>
              </w:rPr>
              <w:t>g. Partners</w:t>
            </w:r>
          </w:p>
          <w:p w:rsidR="00976CDB" w:rsidP="00632103" w14:paraId="1193EB85" w14:textId="77777777">
            <w:pPr>
              <w:spacing w:before="20" w:after="20"/>
            </w:pPr>
            <w:r>
              <w:t>1. Partnerships</w:t>
            </w:r>
          </w:p>
          <w:p w:rsidR="00976CDB" w:rsidP="00632103" w14:paraId="72BF0F7A" w14:textId="77777777">
            <w:pPr>
              <w:spacing w:before="20" w:after="20"/>
            </w:pPr>
            <w:r>
              <w:t>2. Employer Engagement Strategies</w:t>
            </w:r>
          </w:p>
          <w:p w:rsidR="00976CDB" w:rsidP="00632103" w14:paraId="26C1A412" w14:textId="77777777">
            <w:pPr>
              <w:spacing w:before="20" w:after="20"/>
            </w:pPr>
            <w:r>
              <w:t>3. Apprenticeship Connections</w:t>
            </w:r>
          </w:p>
          <w:p w:rsidR="00976CDB" w:rsidP="00632103" w14:paraId="6DC01DFA" w14:textId="77777777">
            <w:pPr>
              <w:spacing w:before="20" w:after="20"/>
            </w:pPr>
            <w:r>
              <w:t>(See Section IV.Cg)</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E4AFF0C" w14:textId="77777777">
            <w:pPr>
              <w:spacing w:before="20" w:after="20"/>
            </w:pPr>
            <w:r>
              <w:rPr>
                <w:b/>
                <w:bCs/>
              </w:rPr>
              <w:t>16 Points Total</w:t>
            </w:r>
          </w:p>
          <w:p w:rsidR="00976CDB" w:rsidP="00632103" w14:paraId="1E2759AF" w14:textId="77777777">
            <w:pPr>
              <w:spacing w:before="20" w:after="20"/>
            </w:pPr>
            <w:r>
              <w:t>6 Points</w:t>
            </w:r>
          </w:p>
          <w:p w:rsidR="00976CDB" w:rsidP="00632103" w14:paraId="66A85ED2" w14:textId="77777777">
            <w:pPr>
              <w:spacing w:before="20" w:after="20"/>
            </w:pPr>
            <w:r>
              <w:t>6 Points</w:t>
            </w:r>
          </w:p>
          <w:p w:rsidR="00976CDB" w:rsidP="00632103" w14:paraId="644A8CBB" w14:textId="77777777">
            <w:pPr>
              <w:spacing w:before="20" w:after="20"/>
            </w:pPr>
            <w:r>
              <w:t>4 Points</w:t>
            </w:r>
          </w:p>
        </w:tc>
      </w:tr>
      <w:tr w14:paraId="33CD46D4"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A3FFBB7" w14:textId="77777777">
            <w:pPr>
              <w:spacing w:before="20" w:after="20"/>
            </w:pPr>
            <w:r>
              <w:rPr>
                <w:b/>
                <w:bCs/>
              </w:rPr>
              <w:t>h. Budget, Budget Narrative, and Match Narrative</w:t>
            </w:r>
          </w:p>
          <w:p w:rsidR="00976CDB" w:rsidP="00632103" w14:paraId="13A88402" w14:textId="77777777">
            <w:pPr>
              <w:spacing w:before="20" w:after="20"/>
            </w:pPr>
            <w:r>
              <w:t>(See Section IV.C.h)</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2DD031D" w14:textId="77777777">
            <w:pPr>
              <w:spacing w:before="20" w:after="20"/>
            </w:pPr>
            <w:r>
              <w:rPr>
                <w:b/>
                <w:bCs/>
              </w:rPr>
              <w:t>4 Points Total</w:t>
            </w:r>
          </w:p>
        </w:tc>
      </w:tr>
      <w:tr w14:paraId="28DB0063"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6522FDF1" w14:textId="77777777">
            <w:pPr>
              <w:spacing w:before="20" w:after="20"/>
            </w:pPr>
            <w:r>
              <w:rPr>
                <w:b/>
                <w:bCs/>
              </w:rPr>
              <w:t>i. Past Performance Category A</w:t>
            </w:r>
          </w:p>
          <w:p w:rsidR="00976CDB" w:rsidP="00632103" w14:paraId="0A74F8F8" w14:textId="77777777">
            <w:pPr>
              <w:spacing w:before="20" w:after="20"/>
            </w:pPr>
            <w:r>
              <w:t>1. Performance Outcomes</w:t>
            </w:r>
          </w:p>
          <w:p w:rsidR="00976CDB" w:rsidP="00632103" w14:paraId="44800395" w14:textId="77777777">
            <w:pPr>
              <w:spacing w:before="20" w:after="20"/>
            </w:pPr>
            <w:r>
              <w:t>3. Spending Rate Analysis</w:t>
            </w:r>
          </w:p>
          <w:p w:rsidR="00976CDB" w:rsidP="00632103" w14:paraId="7E163B86" w14:textId="77777777">
            <w:pPr>
              <w:spacing w:before="20" w:after="20"/>
            </w:pPr>
            <w:r>
              <w:t>3. Proof of Completed Unit of Housing</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5F68010" w14:textId="77777777">
            <w:pPr>
              <w:spacing w:before="20" w:after="20"/>
            </w:pPr>
            <w:r>
              <w:rPr>
                <w:b/>
                <w:bCs/>
              </w:rPr>
              <w:t>24 Points Total</w:t>
            </w:r>
          </w:p>
          <w:p w:rsidR="00976CDB" w:rsidP="00632103" w14:paraId="4C9BAD5E" w14:textId="77777777">
            <w:pPr>
              <w:spacing w:before="20" w:after="20"/>
            </w:pPr>
            <w:r>
              <w:t>21 Points</w:t>
            </w:r>
          </w:p>
          <w:p w:rsidR="00976CDB" w:rsidP="00632103" w14:paraId="0B56DAE6" w14:textId="77777777">
            <w:pPr>
              <w:spacing w:before="20" w:after="20"/>
            </w:pPr>
            <w:r>
              <w:t>2 Points</w:t>
            </w:r>
          </w:p>
          <w:p w:rsidR="00976CDB" w:rsidP="00632103" w14:paraId="1E1864AD" w14:textId="77777777">
            <w:pPr>
              <w:spacing w:before="20" w:after="20"/>
            </w:pPr>
            <w:r>
              <w:t>1 Points</w:t>
            </w:r>
          </w:p>
        </w:tc>
      </w:tr>
      <w:tr w14:paraId="7BE94492"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74AAB100" w14:textId="77777777">
            <w:pPr>
              <w:spacing w:before="20" w:after="20"/>
            </w:pPr>
            <w:r>
              <w:rPr>
                <w:b/>
                <w:bCs/>
              </w:rPr>
              <w:t>j. Past Performance Category B</w:t>
            </w:r>
          </w:p>
          <w:p w:rsidR="00976CDB" w:rsidP="00632103" w14:paraId="53554170" w14:textId="77777777">
            <w:pPr>
              <w:spacing w:before="20" w:after="20"/>
            </w:pPr>
            <w:r>
              <w:t>1. Size and Scope</w:t>
            </w:r>
          </w:p>
          <w:p w:rsidR="00976CDB" w:rsidP="00632103" w14:paraId="08BC4A05" w14:textId="77777777">
            <w:pPr>
              <w:spacing w:before="20" w:after="20"/>
            </w:pPr>
            <w:r>
              <w:t>2. Performance Outcomes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3A705D9C" w14:textId="77777777">
            <w:pPr>
              <w:spacing w:before="20" w:after="20"/>
            </w:pPr>
            <w:r>
              <w:rPr>
                <w:b/>
                <w:bCs/>
              </w:rPr>
              <w:t>34 Points Total</w:t>
            </w:r>
          </w:p>
          <w:p w:rsidR="00976CDB" w:rsidP="00632103" w14:paraId="03C40191" w14:textId="77777777">
            <w:pPr>
              <w:spacing w:before="20" w:after="20"/>
            </w:pPr>
            <w:r>
              <w:t>3 Points</w:t>
            </w:r>
          </w:p>
          <w:p w:rsidR="00976CDB" w:rsidP="00632103" w14:paraId="117CCDA1" w14:textId="77777777">
            <w:pPr>
              <w:spacing w:before="20" w:after="20"/>
            </w:pPr>
            <w:r>
              <w:t>21 Points</w:t>
            </w:r>
          </w:p>
        </w:tc>
      </w:tr>
      <w:tr w14:paraId="18145D75"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3EF87FE3" w14:textId="77777777">
            <w:pPr>
              <w:spacing w:before="20" w:after="20"/>
            </w:pPr>
            <w:r>
              <w:rPr>
                <w:b/>
                <w:bCs/>
              </w:rPr>
              <w:t>k. Priority Consideration - Educational Freedom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5E4F0234" w14:textId="77777777">
            <w:pPr>
              <w:spacing w:before="20" w:after="20"/>
            </w:pPr>
            <w:r>
              <w:rPr>
                <w:b/>
                <w:bCs/>
              </w:rPr>
              <w:t>2 Points Total</w:t>
            </w:r>
          </w:p>
        </w:tc>
      </w:tr>
      <w:tr w14:paraId="58A4D9CE"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60521FCD" w14:textId="77777777">
            <w:pPr>
              <w:spacing w:before="20" w:after="20"/>
            </w:pPr>
            <w:r>
              <w:rPr>
                <w:b/>
                <w:bCs/>
              </w:rPr>
              <w:t>l. Priority Consideration - Digital Literacy</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76CDB" w:rsidP="00632103" w14:paraId="499AF48E" w14:textId="77777777">
            <w:pPr>
              <w:spacing w:before="20" w:after="20"/>
            </w:pPr>
            <w:r>
              <w:rPr>
                <w:b/>
                <w:bCs/>
              </w:rPr>
              <w:t>2 Points Total</w:t>
            </w:r>
          </w:p>
        </w:tc>
      </w:tr>
      <w:tr w14:paraId="218E75E2" w14:textId="77777777">
        <w:tblPrEx>
          <w:tblW w:w="5000" w:type="pct"/>
          <w:jc w:val="center"/>
          <w:tblCellSpacing w:w="0" w:type="dxa"/>
          <w:tblCellMar>
            <w:top w:w="15" w:type="dxa"/>
            <w:left w:w="15" w:type="dxa"/>
            <w:bottom w:w="15" w:type="dxa"/>
            <w:right w:w="15" w:type="dxa"/>
          </w:tblCellMar>
          <w:tblLook w:val="05E0"/>
        </w:tblPrEx>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47449518" w14:textId="77777777">
            <w:pPr>
              <w:spacing w:before="20" w:after="20"/>
              <w:jc w:val="right"/>
            </w:pPr>
            <w:r>
              <w:rPr>
                <w:b/>
                <w:bCs/>
              </w:rPr>
              <w:t>Total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6CDB" w:rsidP="00632103" w14:paraId="2D188AB8" w14:textId="77777777">
            <w:pPr>
              <w:spacing w:before="20" w:after="20"/>
            </w:pPr>
            <w:r>
              <w:rPr>
                <w:b/>
                <w:bCs/>
              </w:rPr>
              <w:t>104</w:t>
            </w:r>
          </w:p>
        </w:tc>
      </w:tr>
    </w:tbl>
    <w:p w:rsidR="00976CDB" w:rsidP="00632103" w14:paraId="714D2C0D" w14:textId="77777777">
      <w:pPr>
        <w:spacing w:after="140"/>
        <w:rPr>
          <w:sz w:val="20"/>
          <w:szCs w:val="20"/>
        </w:rPr>
      </w:pPr>
      <w:bookmarkStart w:id="138" w:name="_bookmark234939"/>
      <w:bookmarkEnd w:id="138"/>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VI.B Review Criteria.</w:t>
      </w:r>
    </w:p>
    <w:p w:rsidR="00976CDB" w:rsidP="00632103" w14:paraId="389FDD78" w14:textId="77777777">
      <w:pPr>
        <w:pStyle w:val="Heading2"/>
        <w:spacing w:before="20" w:after="20"/>
      </w:pPr>
      <w:bookmarkStart w:id="139" w:name="_bookmark234940"/>
      <w:bookmarkEnd w:id="139"/>
      <w:r>
        <w:t xml:space="preserve"> </w:t>
      </w:r>
      <w:bookmarkStart w:id="140" w:name="_Toc256000071"/>
      <w:r>
        <w:t>C. Review and Selection Process</w:t>
      </w:r>
      <w:bookmarkEnd w:id="140"/>
    </w:p>
    <w:p w:rsidR="00976CDB" w:rsidP="00632103" w14:paraId="68000A0D" w14:textId="77777777">
      <w:pPr>
        <w:spacing w:after="140"/>
        <w:rPr>
          <w:sz w:val="20"/>
          <w:szCs w:val="20"/>
        </w:rPr>
      </w:pPr>
      <w:bookmarkStart w:id="141" w:name="_bookmark234942"/>
      <w:bookmarkEnd w:id="141"/>
      <w:r>
        <w:rPr>
          <w:b/>
          <w:bCs/>
          <w:szCs w:val="20"/>
          <w:u w:val="single"/>
        </w:rPr>
        <w:t>Merit Review and Selection Process</w:t>
      </w:r>
    </w:p>
    <w:p w:rsidR="00976CDB" w:rsidP="00632103" w14:paraId="648E7D2C" w14:textId="77777777">
      <w:pPr>
        <w:spacing w:after="140"/>
        <w:rPr>
          <w:sz w:val="20"/>
          <w:szCs w:val="20"/>
        </w:rPr>
      </w:pPr>
      <w:r>
        <w:rPr>
          <w:szCs w:val="20"/>
        </w:rPr>
        <w:t xml:space="preserve">A technical merit review panel will carefully evaluate applications based on the selection criteria.  As outlined in section </w:t>
      </w:r>
      <w:hyperlink w:anchor="_bookmark234937" w:history="1">
        <w:r>
          <w:rPr>
            <w:rStyle w:val="ahref"/>
            <w:szCs w:val="20"/>
            <w:u w:val="single" w:color="0000FF"/>
          </w:rPr>
          <w:t>VI.B</w:t>
        </w:r>
      </w:hyperlink>
      <w:r>
        <w:rPr>
          <w:szCs w:val="20"/>
        </w:rPr>
        <w:t xml:space="preserve"> above, the selection criteria are based on the policy goals, and priorities explained in this FOA.</w:t>
      </w:r>
    </w:p>
    <w:p w:rsidR="00976CDB" w:rsidP="00632103" w14:paraId="4964E2C4" w14:textId="77777777">
      <w:pPr>
        <w:spacing w:after="140"/>
        <w:rPr>
          <w:sz w:val="20"/>
          <w:szCs w:val="20"/>
        </w:rPr>
      </w:pPr>
      <w:r>
        <w:rPr>
          <w:szCs w:val="20"/>
        </w:rPr>
        <w:t>Up to 100 points may be awarded to an applicant, depending on the quality of the responses provided.  The final scores (which may include the mathematical normalization of review panels) will serve as the primary basis for selecting applications for funding.  The panel results are advisory in nature and not binding on the Grant Officer.  The Grant Officer can make selections based solely on the final scores or to take into consideration other relevant factors when applicable.  Such factors may include the geographic distribution of funds, availability of funds and other relevant factors.  The Grant Officer may consider any information that comes to their attention.</w:t>
      </w:r>
    </w:p>
    <w:p w:rsidR="00976CDB" w:rsidP="00632103" w14:paraId="3E5C549E" w14:textId="77777777">
      <w:pPr>
        <w:spacing w:after="140"/>
        <w:rPr>
          <w:sz w:val="20"/>
          <w:szCs w:val="20"/>
        </w:rPr>
      </w:pPr>
      <w:r>
        <w:rPr>
          <w:szCs w:val="20"/>
        </w:rPr>
        <w:t>The government may elect to award the grant(s) with or without discussion with the applicant.  If a grant is awarded without discussion, the award will be based on the applicant’s signature on the SF-424, including electronic signature via E-Authentication on https://www.grants.gov, which constitutes a binding offer by the applicant.</w:t>
      </w:r>
    </w:p>
    <w:p w:rsidR="00976CDB" w:rsidP="00632103" w14:paraId="7726FBF3" w14:textId="77777777">
      <w:pPr>
        <w:pStyle w:val="Heading2"/>
        <w:spacing w:before="20" w:after="20"/>
      </w:pPr>
      <w:bookmarkStart w:id="142" w:name="_bookmark234943"/>
      <w:bookmarkStart w:id="143" w:name="_bookmark234951"/>
      <w:bookmarkEnd w:id="142"/>
      <w:bookmarkEnd w:id="143"/>
      <w:r>
        <w:t xml:space="preserve"> </w:t>
      </w:r>
      <w:bookmarkStart w:id="144" w:name="_Toc256000072"/>
      <w:r>
        <w:t>D. Risk Review</w:t>
      </w:r>
      <w:bookmarkEnd w:id="144"/>
    </w:p>
    <w:p w:rsidR="00976CDB" w:rsidP="00632103" w14:paraId="2D9C8F37" w14:textId="77777777">
      <w:pPr>
        <w:spacing w:after="140"/>
        <w:rPr>
          <w:sz w:val="20"/>
          <w:szCs w:val="20"/>
        </w:rPr>
      </w:pPr>
      <w:bookmarkStart w:id="145" w:name="_bookmark234953"/>
      <w:bookmarkEnd w:id="145"/>
      <w:r>
        <w:rPr>
          <w:b/>
          <w:bCs/>
          <w:szCs w:val="20"/>
          <w:u w:val="single"/>
        </w:rPr>
        <w:t>Risk Review Process</w:t>
      </w:r>
    </w:p>
    <w:p w:rsidR="00976CDB" w:rsidP="00632103" w14:paraId="6A2F0738" w14:textId="77777777">
      <w:pPr>
        <w:spacing w:after="140"/>
        <w:rPr>
          <w:sz w:val="20"/>
          <w:szCs w:val="20"/>
        </w:rPr>
      </w:pPr>
      <w:r>
        <w:rPr>
          <w:szCs w:val="20"/>
        </w:rPr>
        <w:t>Before making an award, ETA will consider any information about the applicant that is in the responsibility/qualification records available in SAM.gov (see 41 U.S.C. 2313).  For ETA to assess the applicant’s Financial System, all applicants need to submit the Financial Risk Assessment explained in the application guide (Section VI.D) at the link below.</w:t>
      </w:r>
      <w:r>
        <w:rPr>
          <w:szCs w:val="20"/>
        </w:rPr>
        <w:br/>
        <w:t xml:space="preserve">For a complete understanding of this application requirement, see the </w:t>
      </w:r>
      <w:hyperlink r:id="rId16" w:history="1">
        <w:r>
          <w:rPr>
            <w:rStyle w:val="ahref"/>
            <w:szCs w:val="20"/>
            <w:u w:val="single" w:color="0000FF"/>
          </w:rPr>
          <w:t>2025 Application Guide</w:t>
        </w:r>
      </w:hyperlink>
      <w:r>
        <w:rPr>
          <w:szCs w:val="20"/>
        </w:rPr>
        <w:t>, Section VI.D Risk Review.</w:t>
      </w:r>
    </w:p>
    <w:p w:rsidR="00976CDB" w:rsidP="00632103" w14:paraId="2934F22C" w14:textId="77777777">
      <w:pPr>
        <w:spacing w:after="140"/>
        <w:rPr>
          <w:sz w:val="20"/>
          <w:szCs w:val="20"/>
        </w:rPr>
      </w:pPr>
      <w:bookmarkStart w:id="146" w:name="_bookmark234954"/>
      <w:bookmarkEnd w:id="146"/>
      <w:r>
        <w:rPr>
          <w:szCs w:val="20"/>
        </w:rPr>
        <w:t>A Financial System Assessment template can be found in the Related Documents tab under this announcement on Grants.gov</w:t>
      </w:r>
    </w:p>
    <w:p w:rsidR="00976CDB" w:rsidP="00632103" w14:paraId="6F3B3B01" w14:textId="77777777">
      <w:pPr>
        <w:pStyle w:val="Heading1"/>
        <w:spacing w:before="20" w:after="20"/>
      </w:pPr>
      <w:bookmarkStart w:id="147" w:name="_bookmark234879"/>
      <w:bookmarkEnd w:id="147"/>
      <w:r>
        <w:t xml:space="preserve"> </w:t>
      </w:r>
      <w:bookmarkStart w:id="148" w:name="_Toc256000073"/>
      <w:r>
        <w:t>VII. AWARD NOTICES</w:t>
      </w:r>
      <w:bookmarkEnd w:id="148"/>
    </w:p>
    <w:p w:rsidR="00976CDB" w:rsidP="00632103" w14:paraId="4E5377F8" w14:textId="77777777">
      <w:pPr>
        <w:pStyle w:val="Heading2"/>
        <w:spacing w:before="20" w:after="20"/>
      </w:pPr>
      <w:bookmarkStart w:id="149" w:name="_bookmark234928"/>
      <w:bookmarkEnd w:id="149"/>
      <w:r>
        <w:t xml:space="preserve"> </w:t>
      </w:r>
      <w:bookmarkStart w:id="150" w:name="_Toc256000074"/>
      <w:r>
        <w:t>A. Award Document</w:t>
      </w:r>
      <w:bookmarkEnd w:id="150"/>
    </w:p>
    <w:p w:rsidR="00976CDB" w:rsidP="00632103" w14:paraId="732E406E" w14:textId="77777777">
      <w:pPr>
        <w:spacing w:after="140"/>
        <w:rPr>
          <w:sz w:val="20"/>
          <w:szCs w:val="20"/>
        </w:rPr>
      </w:pPr>
      <w:bookmarkStart w:id="151" w:name="_bookmark234929"/>
      <w:bookmarkEnd w:id="151"/>
      <w:r>
        <w:rPr>
          <w:szCs w:val="20"/>
        </w:rPr>
        <w:t>A Federal Notice of Award document, signed by the Grant Officer, is the official document that obligates funds.  If selected, this document will be provided electronically.</w:t>
      </w:r>
    </w:p>
    <w:p w:rsidR="00976CDB" w:rsidP="00632103" w14:paraId="506AA5E9" w14:textId="77777777">
      <w:pPr>
        <w:pStyle w:val="Heading2"/>
        <w:spacing w:before="20" w:after="20"/>
      </w:pPr>
      <w:bookmarkStart w:id="152" w:name="_bookmark234930"/>
      <w:bookmarkEnd w:id="152"/>
      <w:r>
        <w:t xml:space="preserve"> </w:t>
      </w:r>
      <w:bookmarkStart w:id="153" w:name="_Toc256000075"/>
      <w:r>
        <w:t>B. Award Timing and Notification to Applicants</w:t>
      </w:r>
      <w:bookmarkEnd w:id="153"/>
    </w:p>
    <w:p w:rsidR="00976CDB" w:rsidP="00632103" w14:paraId="266BAF7E" w14:textId="77777777">
      <w:pPr>
        <w:spacing w:after="140"/>
        <w:rPr>
          <w:sz w:val="20"/>
          <w:szCs w:val="20"/>
        </w:rPr>
      </w:pPr>
      <w:bookmarkStart w:id="154" w:name="_bookmark234931"/>
      <w:bookmarkEnd w:id="154"/>
      <w:r>
        <w:rPr>
          <w:szCs w:val="20"/>
        </w:rPr>
        <w:t xml:space="preserve">All award notifications will be posted on the ETA Homepage at </w:t>
      </w:r>
      <w:hyperlink r:id="rId45" w:history="1">
        <w:r>
          <w:rPr>
            <w:rStyle w:val="ahref"/>
            <w:szCs w:val="20"/>
            <w:u w:val="single" w:color="0000FF"/>
          </w:rPr>
          <w:t>https://www.dol.gov/agencies/eta/.</w:t>
        </w:r>
      </w:hyperlink>
      <w:r>
        <w:rPr>
          <w:szCs w:val="20"/>
        </w:rPr>
        <w:t xml:space="preserve">  Applicants selected for award will be contacted directly before the grant’s execution.  Non-selected applicants will be notified by email and may request a written debriefing on the significant weaknesses of their application.</w:t>
      </w:r>
    </w:p>
    <w:p w:rsidR="00976CDB" w:rsidP="00632103" w14:paraId="0C383211" w14:textId="77777777">
      <w:pPr>
        <w:spacing w:after="140"/>
        <w:rPr>
          <w:sz w:val="20"/>
          <w:szCs w:val="20"/>
        </w:rPr>
      </w:pPr>
      <w:r>
        <w:rPr>
          <w:szCs w:val="20"/>
        </w:rPr>
        <w:t>Selection of an organization as a recipient does not mean that their grant application is approved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to fund any application related to this FOA.</w:t>
      </w:r>
    </w:p>
    <w:p w:rsidR="00976CDB" w:rsidP="00632103" w14:paraId="62E57FFA" w14:textId="77777777">
      <w:pPr>
        <w:pStyle w:val="Heading1"/>
        <w:spacing w:before="20" w:after="20"/>
      </w:pPr>
      <w:bookmarkStart w:id="155" w:name="_bookmark234932"/>
      <w:bookmarkStart w:id="156" w:name="_bookmark234880"/>
      <w:bookmarkEnd w:id="155"/>
      <w:bookmarkEnd w:id="156"/>
      <w:r>
        <w:t xml:space="preserve"> </w:t>
      </w:r>
      <w:bookmarkStart w:id="157" w:name="_Toc256000076"/>
      <w:r>
        <w:t>VIII. POST AWARD REQUIREMENTS AND ADMINISTRATION</w:t>
      </w:r>
      <w:bookmarkEnd w:id="157"/>
    </w:p>
    <w:p w:rsidR="00976CDB" w:rsidP="00632103" w14:paraId="196B96CE" w14:textId="77777777">
      <w:pPr>
        <w:pStyle w:val="Heading2"/>
        <w:spacing w:before="20" w:after="20"/>
      </w:pPr>
      <w:bookmarkStart w:id="158" w:name="_bookmark234898"/>
      <w:bookmarkEnd w:id="158"/>
      <w:r>
        <w:t xml:space="preserve"> </w:t>
      </w:r>
      <w:bookmarkStart w:id="159" w:name="_Toc256000077"/>
      <w:r>
        <w:t>A. Administrative and National Policy Requirements</w:t>
      </w:r>
      <w:bookmarkEnd w:id="159"/>
    </w:p>
    <w:p w:rsidR="00976CDB" w:rsidP="00632103" w14:paraId="4F850F69" w14:textId="77777777">
      <w:pPr>
        <w:spacing w:after="140"/>
        <w:rPr>
          <w:sz w:val="20"/>
          <w:szCs w:val="20"/>
        </w:rPr>
      </w:pPr>
      <w:bookmarkStart w:id="160" w:name="_bookmark234900"/>
      <w:bookmarkEnd w:id="160"/>
      <w:r>
        <w:rPr>
          <w:b/>
          <w:bCs/>
          <w:szCs w:val="20"/>
        </w:rPr>
        <w:t>1. Administrative Program Requirements</w:t>
      </w:r>
    </w:p>
    <w:p w:rsidR="00976CDB" w:rsidP="00632103" w14:paraId="3EAD2049" w14:textId="77777777">
      <w:pPr>
        <w:spacing w:after="140"/>
        <w:rPr>
          <w:sz w:val="20"/>
          <w:szCs w:val="20"/>
        </w:rPr>
      </w:pPr>
      <w:r>
        <w:rPr>
          <w:szCs w:val="20"/>
        </w:rPr>
        <w:t xml:space="preserve">All grantees will be subject to all applicable federal laws and regulations, including the OMB Uniform Guidance, and the terms and conditions of the award.  </w:t>
      </w:r>
    </w:p>
    <w:p w:rsidR="00976CDB" w:rsidP="00632103" w14:paraId="12BC7500"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62E14ABA" w14:textId="77777777">
      <w:pPr>
        <w:spacing w:before="20" w:after="20"/>
      </w:pPr>
      <w:bookmarkStart w:id="161" w:name="_bookmark234902"/>
      <w:bookmarkStart w:id="162" w:name="_bookmark235714"/>
      <w:bookmarkStart w:id="163" w:name="_bookmark234936"/>
      <w:bookmarkEnd w:id="161"/>
      <w:bookmarkEnd w:id="162"/>
      <w:bookmarkEnd w:id="163"/>
      <w:r>
        <w:rPr>
          <w:color w:val="auto"/>
          <w:szCs w:val="24"/>
        </w:rPr>
        <w:t xml:space="preserve"> </w:t>
      </w:r>
    </w:p>
    <w:p w:rsidR="00976CDB" w:rsidP="00632103" w14:paraId="01A99E5C" w14:textId="77777777">
      <w:pPr>
        <w:spacing w:after="140"/>
        <w:rPr>
          <w:sz w:val="20"/>
          <w:szCs w:val="20"/>
        </w:rPr>
      </w:pPr>
      <w:r>
        <w:rPr>
          <w:b/>
          <w:bCs/>
          <w:szCs w:val="20"/>
        </w:rPr>
        <w:t>2. Religious Activities</w:t>
      </w:r>
    </w:p>
    <w:p w:rsidR="00976CDB" w:rsidP="00632103" w14:paraId="632CD8A1" w14:textId="77777777">
      <w:pPr>
        <w:spacing w:after="140"/>
        <w:rPr>
          <w:sz w:val="20"/>
          <w:szCs w:val="20"/>
        </w:rPr>
      </w:pPr>
      <w:r>
        <w:rPr>
          <w:szCs w:val="20"/>
        </w:rPr>
        <w:t>Faith-based organizations are encouraged to apply, as are all organizations. Those that meet the eligibility requirements may receive awards under this funding opportunity. DOL will not, in the selection of recipients and administration of the grant, discriminate on the basis of an organization’s religious character, affiliation, exercise, or lack thereof, or on the basis of conduct that would not be considered grounds to favor or disfavor a similarly situated secular organization.</w:t>
      </w:r>
    </w:p>
    <w:p w:rsidR="00976CDB" w:rsidP="00632103" w14:paraId="4A7F94F2"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1B81E1E8" w14:textId="77777777">
      <w:pPr>
        <w:spacing w:after="140"/>
        <w:rPr>
          <w:sz w:val="20"/>
          <w:szCs w:val="20"/>
        </w:rPr>
      </w:pPr>
      <w:bookmarkStart w:id="164" w:name="_bookmark234904"/>
      <w:bookmarkEnd w:id="164"/>
      <w:r>
        <w:rPr>
          <w:b/>
          <w:bCs/>
          <w:szCs w:val="20"/>
        </w:rPr>
        <w:t>3. Other Legal Requirements</w:t>
      </w:r>
    </w:p>
    <w:p w:rsidR="00976CDB" w:rsidP="00632103" w14:paraId="60C43A86" w14:textId="77777777">
      <w:pPr>
        <w:spacing w:after="140"/>
        <w:rPr>
          <w:sz w:val="20"/>
          <w:szCs w:val="20"/>
        </w:rPr>
      </w:pPr>
      <w:r>
        <w:rPr>
          <w:szCs w:val="20"/>
        </w:rPr>
        <w:t xml:space="preserve">For a complete understanding of the application requirements on Lobbying or Fundraising with Federal Funds; Transparency Act; Safeguarding Data Including Personally Identifiable Information (PII); Record Retention; Use of Contracts and Subawards; and Grant Closeout,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63061E30" w14:textId="77777777">
      <w:pPr>
        <w:spacing w:after="140"/>
        <w:rPr>
          <w:sz w:val="20"/>
          <w:szCs w:val="20"/>
        </w:rPr>
      </w:pPr>
      <w:bookmarkStart w:id="165" w:name="_bookmark234906"/>
      <w:bookmarkEnd w:id="165"/>
      <w:r>
        <w:rPr>
          <w:b/>
          <w:bCs/>
          <w:szCs w:val="20"/>
        </w:rPr>
        <w:t>4. Other Administrative Standards and Provisions</w:t>
      </w:r>
    </w:p>
    <w:p w:rsidR="00976CDB" w:rsidP="00632103" w14:paraId="7CC10CC6" w14:textId="77777777">
      <w:pPr>
        <w:spacing w:after="140"/>
        <w:rPr>
          <w:sz w:val="20"/>
          <w:szCs w:val="20"/>
        </w:rPr>
      </w:pPr>
      <w:r>
        <w:rPr>
          <w:szCs w:val="20"/>
        </w:rPr>
        <w:t xml:space="preserve">Except as specifically provided in this FOA, our acceptance of an application and an award of federal funds to sponsor any program(s) does not provide a waiver of any grant requirements and/or procedures.  For example, the OMB Uniform Guidance requires that an entity’s procurement procedures ensure that all procurement transactions are conducted, as much as </w:t>
      </w:r>
      <w:r>
        <w:rPr>
          <w:szCs w:val="20"/>
        </w:rPr>
        <w:t>practical, to provide full and open competition.  If an application identifies a specific entity to provide goods or services, the award does not provide the justification or basis to sole source the procurement (i.e., avoid competition).</w:t>
      </w:r>
    </w:p>
    <w:p w:rsidR="00976CDB" w:rsidP="00632103" w14:paraId="1513F301"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395E3692" w14:textId="77777777">
      <w:pPr>
        <w:spacing w:after="140"/>
        <w:rPr>
          <w:sz w:val="20"/>
          <w:szCs w:val="20"/>
        </w:rPr>
      </w:pPr>
      <w:bookmarkStart w:id="166" w:name="_bookmark234907"/>
      <w:bookmarkStart w:id="167" w:name="_bookmark234909"/>
      <w:bookmarkEnd w:id="166"/>
      <w:bookmarkEnd w:id="167"/>
      <w:r>
        <w:rPr>
          <w:b/>
          <w:bCs/>
          <w:szCs w:val="20"/>
          <w:u w:val="single"/>
        </w:rPr>
        <w:t>DOL Disclaimer</w:t>
      </w:r>
    </w:p>
    <w:p w:rsidR="00976CDB" w:rsidP="00632103" w14:paraId="6E604445" w14:textId="77777777">
      <w:pPr>
        <w:spacing w:after="140"/>
        <w:rPr>
          <w:sz w:val="20"/>
          <w:szCs w:val="20"/>
        </w:rPr>
      </w:pPr>
      <w:r>
        <w:rPr>
          <w:szCs w:val="20"/>
        </w:rPr>
        <w:t>If applicable, a standard ETA disclaimer needs to be on all products developed in whole or in part with grant funds.</w:t>
      </w:r>
    </w:p>
    <w:p w:rsidR="00976CDB" w:rsidP="00632103" w14:paraId="7E2804F9"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6053B2AD" w14:textId="77777777">
      <w:pPr>
        <w:spacing w:after="140"/>
        <w:rPr>
          <w:sz w:val="20"/>
          <w:szCs w:val="20"/>
        </w:rPr>
      </w:pPr>
      <w:bookmarkStart w:id="168" w:name="_bookmark234910"/>
      <w:bookmarkStart w:id="169" w:name="_bookmark234912"/>
      <w:bookmarkEnd w:id="168"/>
      <w:bookmarkEnd w:id="169"/>
      <w:r>
        <w:rPr>
          <w:b/>
          <w:bCs/>
          <w:szCs w:val="20"/>
          <w:u w:val="single"/>
        </w:rPr>
        <w:t>Intellectual Property Rights and Open Licensing</w:t>
      </w:r>
    </w:p>
    <w:p w:rsidR="00976CDB" w:rsidP="00632103" w14:paraId="05FA782F" w14:textId="77777777">
      <w:pPr>
        <w:spacing w:after="140"/>
        <w:rPr>
          <w:sz w:val="20"/>
          <w:szCs w:val="20"/>
        </w:rPr>
      </w:pPr>
      <w:r>
        <w:rPr>
          <w:szCs w:val="20"/>
        </w:rPr>
        <w:t>All work created using grant funds must be in a format that is readily accessible and available for open licensing to the public.  This is required by 2 CFR Part 2900.13, and 2 CFR 200.315(d) to ensure DOL funds have as broad an impact as possible and to encourage innovation and the development of new learning materials.</w:t>
      </w:r>
    </w:p>
    <w:p w:rsidR="00976CDB" w:rsidP="00632103" w14:paraId="74E154AD"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037A5422" w14:textId="77777777">
      <w:pPr>
        <w:spacing w:after="140"/>
        <w:rPr>
          <w:sz w:val="20"/>
          <w:szCs w:val="20"/>
        </w:rPr>
      </w:pPr>
      <w:bookmarkStart w:id="170" w:name="_bookmark234913"/>
      <w:bookmarkStart w:id="171" w:name="_bookmark234915"/>
      <w:bookmarkEnd w:id="170"/>
      <w:bookmarkEnd w:id="171"/>
      <w:r>
        <w:rPr>
          <w:b/>
          <w:bCs/>
          <w:szCs w:val="20"/>
          <w:u w:val="single"/>
        </w:rPr>
        <w:t>Credential Transparency</w:t>
      </w:r>
    </w:p>
    <w:p w:rsidR="00976CDB" w:rsidP="00632103" w14:paraId="06FA4365" w14:textId="77777777">
      <w:pPr>
        <w:spacing w:after="140"/>
        <w:rPr>
          <w:sz w:val="20"/>
          <w:szCs w:val="20"/>
        </w:rPr>
      </w:pPr>
      <w:r>
        <w:rPr>
          <w:szCs w:val="20"/>
        </w:rPr>
        <w:t>DOL requires that grantees make publicly available information about industry-recognized credentials using linked open data formats that support full transparency and interoperability.  This ensures individuals, employers, educators, and training providers have access to the most complete, current and beneficial information about providers, programs credentials, and competencies supported by federal funds.</w:t>
      </w:r>
    </w:p>
    <w:p w:rsidR="00976CDB" w:rsidP="00632103" w14:paraId="49F81F28"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4ED0147A" w14:textId="77777777">
      <w:pPr>
        <w:spacing w:after="140"/>
        <w:rPr>
          <w:sz w:val="20"/>
          <w:szCs w:val="20"/>
        </w:rPr>
      </w:pPr>
      <w:bookmarkStart w:id="172" w:name="_bookmark234916"/>
      <w:bookmarkStart w:id="173" w:name="_bookmark234918"/>
      <w:bookmarkEnd w:id="172"/>
      <w:bookmarkEnd w:id="173"/>
      <w:r>
        <w:rPr>
          <w:b/>
          <w:bCs/>
          <w:szCs w:val="20"/>
          <w:u w:val="single"/>
        </w:rPr>
        <w:t>WIOA Infrastructure</w:t>
      </w:r>
    </w:p>
    <w:p w:rsidR="00976CDB" w:rsidP="00632103" w14:paraId="1FAE6915" w14:textId="77777777">
      <w:pPr>
        <w:spacing w:after="140"/>
        <w:rPr>
          <w:sz w:val="20"/>
          <w:szCs w:val="20"/>
        </w:rPr>
      </w:pPr>
      <w:r>
        <w:rPr>
          <w:szCs w:val="20"/>
        </w:rPr>
        <w:t>All one-stop partner programs including all programs funded under title I of WIOA are required to contribute to the infrastructure costs and certain additional costs of the one-stop delivery system in proportion to their use and relative benefits received as required in 20 CFR 678.700 and 678.760. The sharing and allocation of infrastructure costs between one-stop partners is governed by WIOA sec. 121(h), WIOA’s implementing regulations, and the federal Cost Principles contained in the Uniform Administrative Requirements, Cost Principles, and Audit Requirements for Federal Awards at 2 CFR Part 200 (Uniform Guidance). The federal Cost Principles state that a partner’s contribution is an allowable, reasonable, necessary, and allocable cost to the program and is consistent with other legal requirements. A list of the required One-Stop partner programs is available at 20 CFR 678.400.</w:t>
      </w:r>
    </w:p>
    <w:p w:rsidR="00976CDB" w:rsidP="00632103" w14:paraId="01021F87" w14:textId="77777777">
      <w:pPr>
        <w:spacing w:after="140"/>
        <w:rPr>
          <w:sz w:val="20"/>
          <w:szCs w:val="20"/>
        </w:rPr>
      </w:pPr>
      <w:bookmarkStart w:id="174" w:name="_bookmark234921"/>
      <w:bookmarkEnd w:id="174"/>
      <w:r>
        <w:rPr>
          <w:b/>
          <w:bCs/>
          <w:szCs w:val="20"/>
          <w:u w:val="single"/>
        </w:rPr>
        <w:t>5. Special Program Requirements</w:t>
      </w:r>
    </w:p>
    <w:p w:rsidR="00976CDB" w:rsidP="00632103" w14:paraId="498029CD" w14:textId="77777777">
      <w:pPr>
        <w:spacing w:after="140"/>
        <w:ind w:left="360"/>
        <w:rPr>
          <w:sz w:val="20"/>
          <w:szCs w:val="20"/>
        </w:rPr>
      </w:pPr>
      <w:r>
        <w:rPr>
          <w:b/>
          <w:bCs/>
          <w:szCs w:val="20"/>
        </w:rPr>
        <w:t>a. DOL Evaluation</w:t>
      </w:r>
    </w:p>
    <w:p w:rsidR="00976CDB" w:rsidP="00632103" w14:paraId="54D07A4F" w14:textId="77777777">
      <w:pPr>
        <w:spacing w:after="140"/>
        <w:ind w:left="375"/>
        <w:rPr>
          <w:sz w:val="20"/>
          <w:szCs w:val="20"/>
        </w:rPr>
      </w:pPr>
      <w:r>
        <w:rPr>
          <w:szCs w:val="20"/>
        </w:rPr>
        <w:t>As a condition of grant award, as per 2 CFR Part 200.301, grantees are required to participate in an evaluation, if undertaken by DOL.</w:t>
      </w:r>
    </w:p>
    <w:p w:rsidR="00976CDB" w:rsidP="00632103" w14:paraId="5CF11006" w14:textId="77777777">
      <w:pPr>
        <w:spacing w:after="140"/>
        <w:ind w:left="375"/>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VIII.A Administrative and National Policy Requirements.</w:t>
      </w:r>
    </w:p>
    <w:p w:rsidR="00976CDB" w:rsidP="00632103" w14:paraId="2700A287" w14:textId="77777777">
      <w:pPr>
        <w:spacing w:after="140"/>
        <w:ind w:left="375"/>
        <w:rPr>
          <w:sz w:val="20"/>
          <w:szCs w:val="20"/>
        </w:rPr>
      </w:pPr>
      <w:r>
        <w:rPr>
          <w:b/>
          <w:bCs/>
          <w:szCs w:val="20"/>
        </w:rPr>
        <w:t>b. Performance Goals</w:t>
      </w:r>
    </w:p>
    <w:p w:rsidR="00976CDB" w:rsidP="00632103" w14:paraId="5E67E18B" w14:textId="77777777">
      <w:pPr>
        <w:spacing w:after="140"/>
        <w:ind w:left="375"/>
        <w:rPr>
          <w:sz w:val="20"/>
          <w:szCs w:val="20"/>
        </w:rPr>
      </w:pPr>
      <w:r>
        <w:rPr>
          <w:szCs w:val="20"/>
        </w:rPr>
        <w:t>Applicants will be held to outcomes provided in their application. Failure to meet outcomes may result in technical assistance, intervention by ETA, or may have a significant impact on future grants with ETA.</w:t>
      </w:r>
    </w:p>
    <w:p w:rsidR="00976CDB" w:rsidP="00632103" w14:paraId="52447CCB" w14:textId="77777777">
      <w:pPr>
        <w:pStyle w:val="Heading2"/>
        <w:spacing w:before="20" w:after="20"/>
      </w:pPr>
      <w:bookmarkStart w:id="175" w:name="_bookmark234924"/>
      <w:bookmarkStart w:id="176" w:name="_bookmark234925"/>
      <w:bookmarkEnd w:id="175"/>
      <w:bookmarkEnd w:id="176"/>
      <w:r>
        <w:t xml:space="preserve"> </w:t>
      </w:r>
      <w:bookmarkStart w:id="177" w:name="_Toc256000078"/>
      <w:r>
        <w:t>B. Reporting</w:t>
      </w:r>
      <w:bookmarkEnd w:id="177"/>
    </w:p>
    <w:p w:rsidR="00976CDB" w:rsidP="00632103" w14:paraId="287455C8" w14:textId="77777777">
      <w:pPr>
        <w:spacing w:after="140"/>
        <w:rPr>
          <w:sz w:val="20"/>
          <w:szCs w:val="20"/>
        </w:rPr>
      </w:pPr>
      <w:bookmarkStart w:id="178" w:name="_bookmark234926"/>
      <w:bookmarkEnd w:id="178"/>
      <w:r>
        <w:rPr>
          <w:szCs w:val="20"/>
        </w:rPr>
        <w:t>You must meet DOL reporting requirements for quarterly financial and performance reports.</w:t>
      </w:r>
    </w:p>
    <w:p w:rsidR="00976CDB" w:rsidP="00632103" w14:paraId="120BB1ED" w14:textId="77777777">
      <w:pPr>
        <w:spacing w:after="140"/>
        <w:rPr>
          <w:sz w:val="20"/>
          <w:szCs w:val="20"/>
        </w:rPr>
      </w:pPr>
      <w:r>
        <w:rPr>
          <w:szCs w:val="20"/>
        </w:rPr>
        <w:t xml:space="preserve">For a complete understanding of this application requirement, see the </w:t>
      </w:r>
      <w:hyperlink r:id="rId16" w:history="1">
        <w:r>
          <w:rPr>
            <w:rStyle w:val="ahref"/>
            <w:szCs w:val="20"/>
            <w:u w:val="single" w:color="0000FF"/>
          </w:rPr>
          <w:t>2025 Application Guide</w:t>
        </w:r>
      </w:hyperlink>
      <w:r>
        <w:rPr>
          <w:szCs w:val="20"/>
        </w:rPr>
        <w:t>, Section VIII.B Reporting.</w:t>
      </w:r>
    </w:p>
    <w:p w:rsidR="00976CDB" w:rsidP="00632103" w14:paraId="65B58386" w14:textId="77777777">
      <w:pPr>
        <w:pStyle w:val="Heading1"/>
        <w:spacing w:before="20" w:after="20"/>
      </w:pPr>
      <w:bookmarkStart w:id="179" w:name="_bookmark234927"/>
      <w:bookmarkStart w:id="180" w:name="_bookmark234881"/>
      <w:bookmarkEnd w:id="179"/>
      <w:bookmarkEnd w:id="180"/>
      <w:r>
        <w:t xml:space="preserve"> </w:t>
      </w:r>
      <w:bookmarkStart w:id="181" w:name="_Toc256000079"/>
      <w:r>
        <w:t>IX. RESOURCES</w:t>
      </w:r>
      <w:bookmarkEnd w:id="181"/>
    </w:p>
    <w:p w:rsidR="00976CDB" w:rsidP="00632103" w14:paraId="7F838EE2" w14:textId="77777777">
      <w:pPr>
        <w:spacing w:after="140"/>
        <w:rPr>
          <w:sz w:val="20"/>
          <w:szCs w:val="20"/>
        </w:rPr>
      </w:pPr>
      <w:bookmarkStart w:id="182" w:name="_bookmark234896"/>
      <w:bookmarkEnd w:id="182"/>
      <w:r>
        <w:rPr>
          <w:szCs w:val="20"/>
        </w:rPr>
        <w:t xml:space="preserve">For additional information on A. Web-Based Resources; B. Industry Competency Models and Career Clusters; C. WorkforceGPS; D. SkillsCommons; E. DOL’s Clearinghouse for Evaluation and Research (CLEAR); and F. Data and Other Evidence Research Resources, see the </w:t>
      </w:r>
      <w:hyperlink r:id="rId16" w:history="1">
        <w:r>
          <w:rPr>
            <w:rStyle w:val="ahref"/>
            <w:szCs w:val="20"/>
            <w:u w:val="single" w:color="0000FF"/>
          </w:rPr>
          <w:t>2025 Application Guide</w:t>
        </w:r>
      </w:hyperlink>
      <w:r>
        <w:rPr>
          <w:szCs w:val="20"/>
        </w:rPr>
        <w:t>, Section IX External Resources.</w:t>
      </w:r>
    </w:p>
    <w:p w:rsidR="00976CDB" w:rsidP="00632103" w14:paraId="750D60D2" w14:textId="77777777">
      <w:pPr>
        <w:spacing w:after="140"/>
        <w:rPr>
          <w:sz w:val="20"/>
          <w:szCs w:val="20"/>
        </w:rPr>
      </w:pPr>
      <w:bookmarkStart w:id="183" w:name="_bookmark234897"/>
      <w:bookmarkEnd w:id="183"/>
      <w:r>
        <w:rPr>
          <w:szCs w:val="20"/>
        </w:rPr>
        <w:t>YouthBuild - Related Guidance Resources</w:t>
      </w:r>
    </w:p>
    <w:p w:rsidR="00976CDB" w:rsidP="00632103" w14:paraId="1D4847B6" w14:textId="77777777">
      <w:pPr>
        <w:spacing w:after="140"/>
        <w:rPr>
          <w:sz w:val="20"/>
          <w:szCs w:val="20"/>
        </w:rPr>
      </w:pPr>
      <w:r>
        <w:rPr>
          <w:szCs w:val="20"/>
        </w:rPr>
        <w:t xml:space="preserve">Applicants should refer to the following advisories for policy and guidance related to YouthBuild. All documents are available at </w:t>
      </w:r>
      <w:hyperlink r:id="rId46" w:history="1">
        <w:r>
          <w:rPr>
            <w:rStyle w:val="ahref"/>
            <w:szCs w:val="20"/>
            <w:u w:val="single" w:color="0000FF"/>
          </w:rPr>
          <w:t>https://www.dol.gov/agencies/eta/advisories</w:t>
        </w:r>
      </w:hyperlink>
      <w:r>
        <w:rPr>
          <w:szCs w:val="20"/>
        </w:rPr>
        <w:t>.</w:t>
      </w:r>
      <w:r>
        <w:rPr>
          <w:szCs w:val="20"/>
        </w:rPr>
        <w:br/>
      </w:r>
      <w:r>
        <w:rPr>
          <w:szCs w:val="20"/>
        </w:rPr>
        <w:br/>
        <w:t>TEGL 12-22 – Award Closeout Process for Expired Grants and Agreements</w:t>
      </w:r>
    </w:p>
    <w:p w:rsidR="00976CDB" w:rsidP="00632103" w14:paraId="78F3C87C" w14:textId="77777777">
      <w:pPr>
        <w:spacing w:after="140"/>
        <w:rPr>
          <w:sz w:val="20"/>
          <w:szCs w:val="20"/>
        </w:rPr>
      </w:pPr>
      <w:r>
        <w:rPr>
          <w:szCs w:val="20"/>
        </w:rPr>
        <w:t>TEGL 09-22 – Workforce Innovation and Opportunity Act Title I Youth Formula Program Guidance</w:t>
      </w:r>
    </w:p>
    <w:p w:rsidR="00976CDB" w:rsidP="00632103" w14:paraId="3B5F462B" w14:textId="77777777">
      <w:pPr>
        <w:spacing w:after="140"/>
        <w:rPr>
          <w:sz w:val="20"/>
          <w:szCs w:val="20"/>
        </w:rPr>
      </w:pPr>
      <w:r>
        <w:rPr>
          <w:szCs w:val="20"/>
        </w:rPr>
        <w:t>TEGL 23-19, Change 2– Guidance for Validating Required Performance Data Submitted by Grant Recipients of U.S. Department of Labor (DOL) Workforce Programs</w:t>
      </w:r>
    </w:p>
    <w:p w:rsidR="00976CDB" w:rsidP="00632103" w14:paraId="5113A2AE" w14:textId="77777777">
      <w:pPr>
        <w:spacing w:after="140"/>
        <w:rPr>
          <w:sz w:val="20"/>
          <w:szCs w:val="20"/>
        </w:rPr>
      </w:pPr>
      <w:r>
        <w:rPr>
          <w:szCs w:val="20"/>
        </w:rPr>
        <w:t>TEN 25-19 – Understanding Postsecondary Credentials in the Public Workforce System</w:t>
      </w:r>
    </w:p>
    <w:p w:rsidR="00976CDB" w:rsidP="00632103" w14:paraId="7954DCDA" w14:textId="77777777">
      <w:pPr>
        <w:spacing w:after="140"/>
        <w:rPr>
          <w:sz w:val="20"/>
          <w:szCs w:val="20"/>
        </w:rPr>
      </w:pPr>
      <w:r>
        <w:rPr>
          <w:szCs w:val="20"/>
        </w:rPr>
        <w:t>TEGL 14-18 – Aligning Performance Accountability Reporting, Definitions, and Policies Across Workforce Employment and Training Programs Administered by the</w:t>
      </w:r>
      <w:r>
        <w:rPr>
          <w:szCs w:val="20"/>
        </w:rPr>
        <w:br/>
        <w:t>U.S. Department of Labor (DOL)</w:t>
      </w:r>
    </w:p>
    <w:p w:rsidR="00976CDB" w:rsidP="00632103" w14:paraId="47A989C3" w14:textId="77777777">
      <w:pPr>
        <w:spacing w:after="140"/>
        <w:rPr>
          <w:sz w:val="20"/>
          <w:szCs w:val="20"/>
        </w:rPr>
      </w:pPr>
      <w:r>
        <w:rPr>
          <w:szCs w:val="20"/>
        </w:rPr>
        <w:t>TEGL 26-16 – Guidance on the use of Supplemental Wage Information to implement the Performance Accountability Requirements under the Workforce Innovation and Opportunity Act</w:t>
      </w:r>
    </w:p>
    <w:p w:rsidR="00976CDB" w:rsidP="00632103" w14:paraId="4E16CD57" w14:textId="77777777">
      <w:pPr>
        <w:spacing w:after="140"/>
        <w:rPr>
          <w:sz w:val="20"/>
          <w:szCs w:val="20"/>
        </w:rPr>
      </w:pPr>
      <w:r>
        <w:rPr>
          <w:szCs w:val="20"/>
        </w:rPr>
        <w:t>TEGL 17-16 – Infrastructure Funding of the One-Stop Delivery System</w:t>
      </w:r>
    </w:p>
    <w:p w:rsidR="00976CDB" w:rsidP="00632103" w14:paraId="5BD051BA" w14:textId="77777777">
      <w:pPr>
        <w:spacing w:after="140"/>
        <w:rPr>
          <w:sz w:val="20"/>
          <w:szCs w:val="20"/>
        </w:rPr>
      </w:pPr>
      <w:r>
        <w:rPr>
          <w:szCs w:val="20"/>
        </w:rPr>
        <w:t>TEGL 16-16 – One-Stop Operations Guidance for the American Job Center Network</w:t>
      </w:r>
    </w:p>
    <w:p w:rsidR="00976CDB" w:rsidP="00632103" w14:paraId="61DC4594" w14:textId="77777777">
      <w:pPr>
        <w:spacing w:after="140"/>
        <w:rPr>
          <w:sz w:val="20"/>
          <w:szCs w:val="20"/>
        </w:rPr>
      </w:pPr>
      <w:r>
        <w:rPr>
          <w:szCs w:val="20"/>
        </w:rPr>
        <w:t>TEGL 11-16, Change 1 – YouthBuild Compliance with Davis-Bacon and Related Acts (DBRA)</w:t>
      </w:r>
    </w:p>
    <w:p w:rsidR="00976CDB" w:rsidP="00632103" w14:paraId="5A662604" w14:textId="77777777">
      <w:pPr>
        <w:spacing w:after="140"/>
        <w:rPr>
          <w:sz w:val="20"/>
          <w:szCs w:val="20"/>
        </w:rPr>
      </w:pPr>
      <w:r>
        <w:rPr>
          <w:szCs w:val="20"/>
        </w:rPr>
        <w:t>TEGL 10-16, Change 3 – Performance Accountability Guidance for Workforce Innovation and Opportunity Act (WIOA) Title I, Title II, Title III and Title IV Core Programs</w:t>
      </w:r>
    </w:p>
    <w:p w:rsidR="00976CDB" w:rsidP="00632103" w14:paraId="1BCD4CD5" w14:textId="77777777">
      <w:pPr>
        <w:spacing w:after="140"/>
        <w:rPr>
          <w:sz w:val="20"/>
          <w:szCs w:val="20"/>
        </w:rPr>
      </w:pPr>
      <w:r>
        <w:rPr>
          <w:szCs w:val="20"/>
        </w:rPr>
        <w:t>TEN 08-16 – Implementation of an Integrated Performance Reporting System for Multiple Employment and Training Administration (ETA) and Veterans' Employment and Training Service (VETS) Administered Programs</w:t>
      </w:r>
    </w:p>
    <w:p w:rsidR="00976CDB" w:rsidP="00632103" w14:paraId="2E095801" w14:textId="77777777">
      <w:pPr>
        <w:spacing w:after="140"/>
        <w:rPr>
          <w:sz w:val="20"/>
          <w:szCs w:val="20"/>
        </w:rPr>
      </w:pPr>
      <w:r>
        <w:rPr>
          <w:szCs w:val="20"/>
        </w:rPr>
        <w:t>TEGL 06-15 – Qualifying Work Sites and Construction Projects for YouthBuild Grantees</w:t>
      </w:r>
    </w:p>
    <w:p w:rsidR="00976CDB" w:rsidP="00632103" w14:paraId="3781E2EC" w14:textId="77777777">
      <w:pPr>
        <w:spacing w:after="140"/>
        <w:rPr>
          <w:sz w:val="20"/>
          <w:szCs w:val="20"/>
        </w:rPr>
      </w:pPr>
      <w:r>
        <w:rPr>
          <w:szCs w:val="20"/>
        </w:rPr>
        <w:t>TEGL 07-14, Change 1 – Updated Guidance for Implementing the “Construction Plus” Component of the YouthBuild Program, as authorized by the Workforce Innovation and Opportunity Act (WIOA)</w:t>
      </w:r>
    </w:p>
    <w:p w:rsidR="00976CDB" w:rsidP="00632103" w14:paraId="0CEB594B" w14:textId="77777777">
      <w:pPr>
        <w:spacing w:after="140"/>
        <w:rPr>
          <w:sz w:val="20"/>
          <w:szCs w:val="20"/>
        </w:rPr>
      </w:pPr>
      <w:r>
        <w:rPr>
          <w:szCs w:val="20"/>
        </w:rPr>
        <w:t>TEGL 35-12 – Definition and Guidance on Allowable Construction Credentials for YouthBuild Programs</w:t>
      </w:r>
    </w:p>
    <w:p w:rsidR="00976CDB" w:rsidP="00632103" w14:paraId="3BCD58C1" w14:textId="77777777">
      <w:pPr>
        <w:spacing w:after="140"/>
        <w:rPr>
          <w:sz w:val="20"/>
          <w:szCs w:val="20"/>
        </w:rPr>
      </w:pPr>
      <w:r>
        <w:rPr>
          <w:szCs w:val="20"/>
        </w:rPr>
        <w:t>TEGL 05-10, Change 1 – Updated Guidance on Match and Allowable Construction and Other Capital Asset Costs for the YouthBuild Program</w:t>
      </w:r>
    </w:p>
    <w:p w:rsidR="00976CDB" w:rsidP="00632103" w14:paraId="4FD2BB08" w14:textId="77777777">
      <w:pPr>
        <w:spacing w:after="140"/>
        <w:rPr>
          <w:sz w:val="20"/>
          <w:szCs w:val="20"/>
        </w:rPr>
      </w:pPr>
      <w:r>
        <w:rPr>
          <w:szCs w:val="20"/>
        </w:rPr>
        <w:t>TEGL 14-09 – Mental Toughness/Orientation Allowable Costs in a YouthBuild Program</w:t>
      </w:r>
    </w:p>
    <w:p w:rsidR="00976CDB" w:rsidP="00632103" w14:paraId="625DF05B" w14:textId="77777777">
      <w:pPr>
        <w:spacing w:after="140"/>
        <w:rPr>
          <w:sz w:val="20"/>
          <w:szCs w:val="20"/>
        </w:rPr>
      </w:pPr>
      <w:r>
        <w:rPr>
          <w:szCs w:val="20"/>
        </w:rPr>
        <w:t>TEN 44-07 – Providing Strategies to the One-Stop Career Center System on Collaborating with YouthBuild Programs.</w:t>
      </w:r>
      <w:r>
        <w:rPr>
          <w:szCs w:val="20"/>
        </w:rPr>
        <w:br/>
      </w:r>
      <w:r>
        <w:rPr>
          <w:szCs w:val="20"/>
        </w:rPr>
        <w:br/>
        <w:t xml:space="preserve">The following reports are available at </w:t>
      </w:r>
      <w:hyperlink r:id="rId47" w:history="1">
        <w:r>
          <w:rPr>
            <w:rStyle w:val="ahref"/>
            <w:szCs w:val="20"/>
            <w:u w:val="single" w:color="0000FF"/>
          </w:rPr>
          <w:t>https://www.dol.gov/agencies/eta/research/publications</w:t>
        </w:r>
      </w:hyperlink>
    </w:p>
    <w:p w:rsidR="00976CDB" w:rsidP="00632103" w14:paraId="48DAB3B7" w14:textId="77777777">
      <w:pPr>
        <w:spacing w:after="140"/>
        <w:rPr>
          <w:sz w:val="20"/>
          <w:szCs w:val="20"/>
        </w:rPr>
      </w:pPr>
      <w:r>
        <w:rPr>
          <w:szCs w:val="20"/>
        </w:rPr>
        <w:t>Research Report: Laying a Foundation: Four-Year Results from the National YouthBuild Evaluation</w:t>
      </w:r>
    </w:p>
    <w:p w:rsidR="00976CDB" w:rsidP="00632103" w14:paraId="092D5976" w14:textId="77777777">
      <w:pPr>
        <w:spacing w:after="140"/>
        <w:rPr>
          <w:sz w:val="20"/>
          <w:szCs w:val="20"/>
        </w:rPr>
      </w:pPr>
      <w:r>
        <w:rPr>
          <w:szCs w:val="20"/>
        </w:rPr>
        <w:t>Research Report: Building a Future: Interim Impact Findings from the YouthBuild Evaluation</w:t>
      </w:r>
    </w:p>
    <w:p w:rsidR="00976CDB" w:rsidP="00632103" w14:paraId="2BCDBF83" w14:textId="77777777">
      <w:pPr>
        <w:spacing w:after="140"/>
        <w:rPr>
          <w:sz w:val="20"/>
          <w:szCs w:val="20"/>
        </w:rPr>
      </w:pPr>
      <w:r>
        <w:rPr>
          <w:szCs w:val="20"/>
        </w:rPr>
        <w:t>Research Report: Adapting to Local Context: Findings from the YouthBuild Evaluation Implementation Study</w:t>
      </w:r>
    </w:p>
    <w:p w:rsidR="00976CDB" w:rsidP="00632103" w14:paraId="0F38CE8C" w14:textId="77777777">
      <w:pPr>
        <w:spacing w:after="140"/>
        <w:rPr>
          <w:sz w:val="20"/>
          <w:szCs w:val="20"/>
        </w:rPr>
      </w:pPr>
      <w:r>
        <w:rPr>
          <w:szCs w:val="20"/>
        </w:rPr>
        <w:t>Research Report: Models of Youth Registered Apprenticeship Expansion</w:t>
      </w:r>
    </w:p>
    <w:p w:rsidR="00976CDB" w:rsidP="00632103" w14:paraId="11588F0E" w14:textId="77777777">
      <w:pPr>
        <w:pStyle w:val="Heading1"/>
        <w:spacing w:before="20" w:after="20"/>
      </w:pPr>
      <w:bookmarkStart w:id="184" w:name="_bookmark234882"/>
      <w:bookmarkEnd w:id="184"/>
      <w:r>
        <w:t xml:space="preserve"> </w:t>
      </w:r>
      <w:bookmarkStart w:id="185" w:name="_Toc256000080"/>
      <w:r>
        <w:t>X. OMB INFORMATION COLLECTION</w:t>
      </w:r>
      <w:bookmarkEnd w:id="185"/>
    </w:p>
    <w:p w:rsidR="00976CDB" w:rsidP="00632103" w14:paraId="0D74B66D" w14:textId="6B0647D8">
      <w:pPr>
        <w:spacing w:after="140"/>
        <w:rPr>
          <w:sz w:val="20"/>
          <w:szCs w:val="20"/>
        </w:rPr>
      </w:pPr>
      <w:bookmarkStart w:id="186" w:name="_bookmark234883"/>
      <w:bookmarkEnd w:id="186"/>
      <w:r>
        <w:rPr>
          <w:szCs w:val="20"/>
        </w:rPr>
        <w:t>OMB Information Collection No 1225-0086, Expires J</w:t>
      </w:r>
      <w:r w:rsidR="006A7F03">
        <w:rPr>
          <w:szCs w:val="20"/>
        </w:rPr>
        <w:t>une 30</w:t>
      </w:r>
      <w:r>
        <w:rPr>
          <w:szCs w:val="20"/>
        </w:rPr>
        <w:t>, 202</w:t>
      </w:r>
      <w:r w:rsidR="006A7F03">
        <w:rPr>
          <w:szCs w:val="20"/>
        </w:rPr>
        <w:t>8</w:t>
      </w:r>
      <w:r>
        <w:rPr>
          <w:szCs w:val="20"/>
        </w:rPr>
        <w:t>.</w:t>
      </w:r>
    </w:p>
    <w:p w:rsidR="00976CDB" w:rsidP="00632103" w14:paraId="518718C3" w14:textId="77777777">
      <w:pPr>
        <w:spacing w:after="140"/>
        <w:rPr>
          <w:sz w:val="20"/>
          <w:szCs w:val="20"/>
        </w:rPr>
      </w:pPr>
      <w:r>
        <w:rPr>
          <w:szCs w:val="20"/>
        </w:rPr>
        <w:t>According to the Paperwork Reduction Act of 1995, no persons are required to respond to a collection of information unless such collection displays a valid OMB control number.  Public reporting burden for this collection of information is estimated to average 50 hours per response, including time for reviewing instructions, searching existing data sources, gathering and maintaining the data needed, and completing and reviewing the collection of information.</w:t>
      </w:r>
    </w:p>
    <w:p w:rsidR="00976CDB" w:rsidP="00632103" w14:paraId="46CDCE46" w14:textId="77777777">
      <w:pPr>
        <w:spacing w:after="140"/>
        <w:rPr>
          <w:sz w:val="20"/>
          <w:szCs w:val="20"/>
        </w:rPr>
      </w:pPr>
      <w:r>
        <w:rPr>
          <w:szCs w:val="20"/>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w:t>
      </w:r>
    </w:p>
    <w:p w:rsidR="00976CDB" w:rsidP="00632103" w14:paraId="606F40AC" w14:textId="77777777">
      <w:pPr>
        <w:spacing w:after="140"/>
        <w:rPr>
          <w:sz w:val="20"/>
          <w:szCs w:val="20"/>
        </w:rPr>
      </w:pPr>
      <w:r>
        <w:rPr>
          <w:szCs w:val="20"/>
        </w:rPr>
        <w:t>PLEASE DO NOT RETURN YOUR GRANT APPLICATION TO THIS ADDRESS.  SEND ONLY COMMENTS ABOUT THE BURDEN CAUSED BY THE COLLECTION OF INFORMATION TO THIS ADDRESS.  SEND YOUR GRANT APPLICATION TO THE SPONSORING AGENCY AS SPECIFIED EARLIER IN THIS ANNOUNCEMENT.</w:t>
      </w:r>
    </w:p>
    <w:p w:rsidR="00976CDB" w:rsidP="00632103" w14:paraId="2711003F" w14:textId="77777777">
      <w:pPr>
        <w:spacing w:after="140"/>
        <w:rPr>
          <w:sz w:val="20"/>
          <w:szCs w:val="20"/>
        </w:rPr>
      </w:pPr>
      <w:r>
        <w:rPr>
          <w:szCs w:val="20"/>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976CDB" w:rsidP="00632103" w14:paraId="52432ABB" w14:textId="10AD85E1">
      <w:pPr>
        <w:spacing w:after="140"/>
        <w:rPr>
          <w:sz w:val="20"/>
          <w:szCs w:val="20"/>
        </w:rPr>
      </w:pPr>
      <w:r>
        <w:rPr>
          <w:szCs w:val="20"/>
        </w:rPr>
        <w:t xml:space="preserve">Signed </w:t>
      </w:r>
      <w:r w:rsidR="002F21C7">
        <w:rPr>
          <w:szCs w:val="20"/>
        </w:rPr>
        <w:t>________________</w:t>
      </w:r>
      <w:r>
        <w:rPr>
          <w:szCs w:val="20"/>
        </w:rPr>
        <w:t xml:space="preserve"> in Washington, D.C. by:</w:t>
      </w:r>
    </w:p>
    <w:p w:rsidR="00976CDB" w:rsidP="00632103" w14:paraId="75CB2A76" w14:textId="77777777">
      <w:pPr>
        <w:spacing w:after="140"/>
        <w:rPr>
          <w:sz w:val="20"/>
          <w:szCs w:val="20"/>
        </w:rPr>
      </w:pPr>
      <w:r>
        <w:rPr>
          <w:szCs w:val="20"/>
        </w:rPr>
        <w:t>_________</w:t>
      </w:r>
      <w:r>
        <w:rPr>
          <w:szCs w:val="20"/>
        </w:rPr>
        <w:br/>
        <w:t>Grant Officer, Employment and Training Administration</w:t>
      </w:r>
    </w:p>
    <w:p w:rsidR="00976CDB" w:rsidP="00632103" w14:paraId="0E28EB9A" w14:textId="77777777">
      <w:pPr>
        <w:spacing w:after="140"/>
        <w:rPr>
          <w:sz w:val="20"/>
          <w:szCs w:val="20"/>
        </w:rPr>
      </w:pPr>
      <w:bookmarkStart w:id="187" w:name="_bookmark234884"/>
      <w:bookmarkStart w:id="188" w:name="_bookmark234885"/>
      <w:bookmarkEnd w:id="187"/>
      <w:bookmarkEnd w:id="188"/>
      <w:r>
        <w:rPr>
          <w:szCs w:val="20"/>
        </w:rPr>
        <w:t xml:space="preserve"> </w:t>
      </w:r>
    </w:p>
    <w:p w:rsidR="00976CDB" w:rsidP="00632103" w14:paraId="52E33ACD" w14:textId="77777777">
      <w:pPr>
        <w:pStyle w:val="Heading2"/>
        <w:spacing w:before="20" w:after="20"/>
      </w:pPr>
      <w:r>
        <w:t xml:space="preserve"> </w:t>
      </w:r>
      <w:bookmarkStart w:id="189" w:name="_Toc256000081"/>
      <w:r>
        <w:t>APPENDIX A - Instructions for Finding Labor Force Participation Data Using the United States Census Bureau Data</w:t>
      </w:r>
      <w:bookmarkEnd w:id="189"/>
      <w:r>
        <w:t xml:space="preserve"> </w:t>
      </w:r>
    </w:p>
    <w:p w:rsidR="00976CDB" w:rsidP="00632103" w14:paraId="7253ABBA" w14:textId="77777777">
      <w:pPr>
        <w:spacing w:after="140"/>
        <w:rPr>
          <w:sz w:val="20"/>
          <w:szCs w:val="20"/>
        </w:rPr>
      </w:pPr>
      <w:r>
        <w:rPr>
          <w:szCs w:val="20"/>
        </w:rPr>
        <w:t xml:space="preserve">Please find the Weighted Average Unemployment Rate Worksheet at </w:t>
      </w:r>
      <w:hyperlink r:id="rId29" w:history="1">
        <w:r>
          <w:rPr>
            <w:rStyle w:val="ahref"/>
            <w:szCs w:val="20"/>
            <w:u w:val="single" w:color="0000FF"/>
          </w:rPr>
          <w:t>YouthBuild | U.S. Department of Labor (dol.gov)</w:t>
        </w:r>
      </w:hyperlink>
      <w:r>
        <w:rPr>
          <w:szCs w:val="20"/>
        </w:rPr>
        <w:t xml:space="preserve"> under Forms.</w:t>
      </w:r>
    </w:p>
    <w:p w:rsidR="00976CDB" w:rsidP="00632103" w14:paraId="0EEFF5EF" w14:textId="77777777">
      <w:pPr>
        <w:numPr>
          <w:ilvl w:val="0"/>
          <w:numId w:val="46"/>
        </w:numPr>
        <w:spacing w:after="20"/>
      </w:pPr>
      <w:r>
        <w:t xml:space="preserve">Go to </w:t>
      </w:r>
      <w:hyperlink r:id="rId48" w:history="1">
        <w:r>
          <w:rPr>
            <w:rStyle w:val="ahref"/>
            <w:u w:val="single" w:color="0000FF"/>
          </w:rPr>
          <w:t>https://data.census.gov/</w:t>
        </w:r>
      </w:hyperlink>
      <w:r>
        <w:t xml:space="preserve"> </w:t>
      </w:r>
    </w:p>
    <w:p w:rsidR="00976CDB" w:rsidP="00632103" w14:paraId="26BA92F0" w14:textId="77777777">
      <w:pPr>
        <w:numPr>
          <w:ilvl w:val="0"/>
          <w:numId w:val="46"/>
        </w:numPr>
        <w:spacing w:before="20" w:after="20"/>
      </w:pPr>
      <w:r>
        <w:t xml:space="preserve">Type: S2301 in the box and click the first “S2301: Employment Status”.  </w:t>
      </w:r>
    </w:p>
    <w:p w:rsidR="00976CDB" w:rsidP="00632103" w14:paraId="5EA3D51B" w14:textId="77777777">
      <w:pPr>
        <w:numPr>
          <w:ilvl w:val="0"/>
          <w:numId w:val="46"/>
        </w:numPr>
        <w:spacing w:before="20" w:after="20"/>
      </w:pPr>
      <w:r>
        <w:t>At the top of the table, beneath the table name, click on the box that says “2024: ACS 1-Year Estimates Subject Tables’ and switch to ‘2023: ACS 5-Year Estimates Subject Tables’.</w:t>
      </w:r>
    </w:p>
    <w:p w:rsidR="00976CDB" w:rsidP="00632103" w14:paraId="4E33576E" w14:textId="77777777">
      <w:pPr>
        <w:numPr>
          <w:ilvl w:val="0"/>
          <w:numId w:val="46"/>
        </w:numPr>
        <w:spacing w:before="20" w:after="20"/>
      </w:pPr>
      <w:r>
        <w:t xml:space="preserve">Next, on the left hand side of the page, under Geographies, click “Zip Code Tabulation Area”  </w:t>
      </w:r>
    </w:p>
    <w:p w:rsidR="00976CDB" w:rsidP="00632103" w14:paraId="22AE0302" w14:textId="77777777">
      <w:pPr>
        <w:numPr>
          <w:ilvl w:val="0"/>
          <w:numId w:val="46"/>
        </w:numPr>
        <w:spacing w:before="20" w:after="20"/>
      </w:pPr>
      <w:r>
        <w:t>Select your state.</w:t>
      </w:r>
    </w:p>
    <w:p w:rsidR="00976CDB" w:rsidP="00632103" w14:paraId="08B63AB9" w14:textId="77777777">
      <w:pPr>
        <w:numPr>
          <w:ilvl w:val="0"/>
          <w:numId w:val="46"/>
        </w:numPr>
        <w:spacing w:before="20" w:after="20"/>
      </w:pPr>
      <w:r>
        <w:t>Search for your zip code then select your zip code, or if using multiple zip codes, select all applicable zip codes.</w:t>
      </w:r>
    </w:p>
    <w:p w:rsidR="00976CDB" w:rsidP="00632103" w14:paraId="51F77A43" w14:textId="77777777">
      <w:pPr>
        <w:numPr>
          <w:ilvl w:val="0"/>
          <w:numId w:val="46"/>
        </w:numPr>
        <w:spacing w:before="20" w:after="20"/>
      </w:pPr>
      <w:r>
        <w:t>Once you select the applicable zip code(s) click the X at the top right of the box.</w:t>
      </w:r>
    </w:p>
    <w:p w:rsidR="00976CDB" w:rsidP="00632103" w14:paraId="1E1A38E1" w14:textId="77777777">
      <w:pPr>
        <w:numPr>
          <w:ilvl w:val="0"/>
          <w:numId w:val="46"/>
        </w:numPr>
        <w:spacing w:before="20" w:after="20"/>
      </w:pPr>
      <w:r>
        <w:t>First determine the civilian labor force for each age group. To find the civilian labor force for each age group, use the labor force participation rate estimate for the populations aged 16 to 19 and 20 to 24 (Scroll right on the table to find the labor force participation rate estimate). Multiply the total estimated population of that age group by the labor force participation rate for the same population to determine the civilian labor force number.</w:t>
      </w:r>
    </w:p>
    <w:p w:rsidR="00976CDB" w:rsidP="00632103" w14:paraId="6F04CFB9" w14:textId="77777777">
      <w:pPr>
        <w:numPr>
          <w:ilvl w:val="0"/>
          <w:numId w:val="46"/>
        </w:numPr>
        <w:spacing w:before="20" w:after="20"/>
      </w:pPr>
      <w:r>
        <w:t>Next, to determine the total number of unemployed youth in each age group, use the labor force participation rate estimate for the populations 16 to 19 years and 20 to 24.      Multiply the civilian labor force of that age group by the labor force participation rate for the same population.      Add the two numbers together to determine the total number of youth aged 16 to 24 that are unemployed within the zip code.</w:t>
      </w:r>
    </w:p>
    <w:p w:rsidR="00976CDB" w:rsidP="00632103" w14:paraId="26A1F10F" w14:textId="77777777">
      <w:pPr>
        <w:numPr>
          <w:ilvl w:val="0"/>
          <w:numId w:val="46"/>
        </w:numPr>
        <w:spacing w:before="20" w:after="20"/>
      </w:pPr>
      <w:r>
        <w:t>Divide the total unemployed population aged 16 to 24 by the total civilian labor force aged 16 to 24 (as determined by adding the total civilian labor force value for 16 to 19 and 20 to 24) to provide a weighted average rate of youth labor force participation in the targeted area(s).</w:t>
      </w:r>
    </w:p>
    <w:p w:rsidR="00976CDB" w:rsidP="00632103" w14:paraId="2DA981E0" w14:textId="77777777">
      <w:pPr>
        <w:numPr>
          <w:ilvl w:val="0"/>
          <w:numId w:val="46"/>
        </w:numPr>
        <w:spacing w:before="20" w:after="150"/>
      </w:pPr>
      <w:r>
        <w:t>If serving an area that encompasses multiple zip codes, add together the total estimated number of unemployed youths in each age group for each zip code and divide this total number by the total civilian labor force value for 16 to 24 for all zip codes. Divide the total number of youth unemployed across all zip codes by the total civilian labor force across all zip codes to determine the weighted average labor force participation rate for the proposed service area.</w:t>
      </w:r>
    </w:p>
    <w:p w:rsidR="00976CDB" w:rsidP="00632103" w14:paraId="5AE83568" w14:textId="77777777">
      <w:pPr>
        <w:pStyle w:val="Heading2"/>
        <w:spacing w:before="20" w:after="20"/>
      </w:pPr>
      <w:bookmarkStart w:id="190" w:name="_bookmark234886"/>
      <w:bookmarkEnd w:id="190"/>
      <w:r>
        <w:t xml:space="preserve"> </w:t>
      </w:r>
      <w:bookmarkStart w:id="191" w:name="_Toc256000082"/>
      <w:r>
        <w:t>APPENDIX B - Instructions for Finding Poverty Data Using the United States Census Bureau Data</w:t>
      </w:r>
      <w:bookmarkEnd w:id="191"/>
    </w:p>
    <w:p w:rsidR="00976CDB" w:rsidP="00632103" w14:paraId="1955B81E" w14:textId="77777777">
      <w:pPr>
        <w:spacing w:after="140"/>
        <w:rPr>
          <w:sz w:val="20"/>
          <w:szCs w:val="20"/>
        </w:rPr>
      </w:pPr>
      <w:r>
        <w:rPr>
          <w:szCs w:val="20"/>
        </w:rPr>
        <w:t xml:space="preserve">Please find the Poverty Data Worksheet at </w:t>
      </w:r>
      <w:hyperlink r:id="rId29" w:history="1">
        <w:r>
          <w:rPr>
            <w:rStyle w:val="ahref"/>
            <w:szCs w:val="20"/>
            <w:u w:val="single" w:color="0000FF"/>
          </w:rPr>
          <w:t>YouthBuild | U.S. Department of Labor (dol.gov)</w:t>
        </w:r>
      </w:hyperlink>
      <w:r>
        <w:rPr>
          <w:szCs w:val="20"/>
        </w:rPr>
        <w:t xml:space="preserve"> under Forms.</w:t>
      </w:r>
    </w:p>
    <w:p w:rsidR="00976CDB" w:rsidP="00632103" w14:paraId="08850881" w14:textId="77777777">
      <w:pPr>
        <w:numPr>
          <w:ilvl w:val="0"/>
          <w:numId w:val="47"/>
        </w:numPr>
        <w:spacing w:after="20"/>
      </w:pPr>
      <w:r>
        <w:t xml:space="preserve">Go to </w:t>
      </w:r>
      <w:hyperlink r:id="rId48" w:history="1">
        <w:r>
          <w:rPr>
            <w:rStyle w:val="ahref"/>
            <w:u w:val="single" w:color="0000FF"/>
          </w:rPr>
          <w:t>https://data.census.gov/</w:t>
        </w:r>
      </w:hyperlink>
      <w:r>
        <w:t xml:space="preserve"> </w:t>
      </w:r>
    </w:p>
    <w:p w:rsidR="00976CDB" w:rsidP="00632103" w14:paraId="72A3F9C7" w14:textId="77777777">
      <w:pPr>
        <w:numPr>
          <w:ilvl w:val="0"/>
          <w:numId w:val="47"/>
        </w:numPr>
        <w:spacing w:before="20" w:after="20"/>
      </w:pPr>
      <w:r>
        <w:t>Type: S1701 in the box and click the first “S1701: Poverty Status in the Past 12 Months”</w:t>
      </w:r>
    </w:p>
    <w:p w:rsidR="00976CDB" w:rsidP="00632103" w14:paraId="17B23AFC" w14:textId="77777777">
      <w:pPr>
        <w:numPr>
          <w:ilvl w:val="0"/>
          <w:numId w:val="47"/>
        </w:numPr>
        <w:spacing w:before="20" w:after="20"/>
      </w:pPr>
      <w:r>
        <w:t>At the top of the table, beneath the table name, click on the box that says “2024: ACS 1-Year Estimates Subject Tables’ and switch to ‘2023: ACS 5-Year Estimates Subject Tables’.</w:t>
      </w:r>
    </w:p>
    <w:p w:rsidR="00976CDB" w:rsidP="00632103" w14:paraId="2B8D9A68" w14:textId="77777777">
      <w:pPr>
        <w:numPr>
          <w:ilvl w:val="0"/>
          <w:numId w:val="47"/>
        </w:numPr>
        <w:spacing w:before="20" w:after="20"/>
      </w:pPr>
      <w:r>
        <w:t>Next, on the left hand side of the page, under Geographies, click “Zip Code Tabulation Area”</w:t>
      </w:r>
    </w:p>
    <w:p w:rsidR="00976CDB" w:rsidP="00632103" w14:paraId="72695ED8" w14:textId="77777777">
      <w:pPr>
        <w:numPr>
          <w:ilvl w:val="0"/>
          <w:numId w:val="47"/>
        </w:numPr>
        <w:spacing w:before="20" w:after="20"/>
      </w:pPr>
      <w:r>
        <w:t>Select your state.</w:t>
      </w:r>
    </w:p>
    <w:p w:rsidR="00976CDB" w:rsidP="00632103" w14:paraId="4F688738" w14:textId="77777777">
      <w:pPr>
        <w:numPr>
          <w:ilvl w:val="0"/>
          <w:numId w:val="47"/>
        </w:numPr>
        <w:spacing w:before="20" w:after="20"/>
      </w:pPr>
      <w:r>
        <w:t>Select your zip code, or if using multiple zip codes, select all applicable zip codes.</w:t>
      </w:r>
    </w:p>
    <w:p w:rsidR="00976CDB" w:rsidP="00632103" w14:paraId="781847D5" w14:textId="77777777">
      <w:pPr>
        <w:numPr>
          <w:ilvl w:val="0"/>
          <w:numId w:val="47"/>
        </w:numPr>
        <w:spacing w:before="20" w:after="20"/>
      </w:pPr>
      <w:r>
        <w:t>Once you select the applicable zip code(s) click the X at the top right of the box.</w:t>
      </w:r>
    </w:p>
    <w:p w:rsidR="00976CDB" w:rsidP="00632103" w14:paraId="5688A413" w14:textId="77777777">
      <w:pPr>
        <w:numPr>
          <w:ilvl w:val="0"/>
          <w:numId w:val="47"/>
        </w:numPr>
        <w:spacing w:before="20" w:after="20"/>
      </w:pPr>
      <w:r>
        <w:t>To determine poverty rates, use the “percent below poverty level” estimate for the total population for your target service area.</w:t>
      </w:r>
    </w:p>
    <w:p w:rsidR="00976CDB" w:rsidP="00632103" w14:paraId="530B43BE" w14:textId="77777777">
      <w:pPr>
        <w:numPr>
          <w:ilvl w:val="0"/>
          <w:numId w:val="47"/>
        </w:numPr>
        <w:spacing w:before="20" w:after="150"/>
      </w:pPr>
      <w:r>
        <w:t>If serving an area that encompasses multiple zip codes, add the below poverty level estimate for the total population for whom poverty status is determined for each zip code to be served.  Add the total estimated population for whom poverty status is determined for each zip code. Divide the total number below poverty level across the zip codes being targeted by the total population for whom poverty status is determined. This is your weighted average poverty rate for the proposed service area.</w:t>
      </w:r>
    </w:p>
    <w:p w:rsidR="00976CDB" w:rsidP="00632103" w14:paraId="7232BDDE" w14:textId="77777777">
      <w:pPr>
        <w:pStyle w:val="Heading2"/>
        <w:spacing w:before="20" w:after="20"/>
      </w:pPr>
      <w:bookmarkStart w:id="192" w:name="_bookmark234887"/>
      <w:bookmarkEnd w:id="192"/>
      <w:r>
        <w:t xml:space="preserve"> </w:t>
      </w:r>
      <w:bookmarkStart w:id="193" w:name="_Toc256000083"/>
      <w:r>
        <w:t>APPENDIX C - Instructions for Finding Poverty Data Using the United States Census Bureau Data for Indian reservations, Oklahoma Tribal Statistical Areas, Native Alaskan Villages, or Native Hawaiian Homelands</w:t>
      </w:r>
      <w:bookmarkEnd w:id="193"/>
    </w:p>
    <w:p w:rsidR="00976CDB" w:rsidP="00632103" w14:paraId="1FAAD26E" w14:textId="77777777">
      <w:pPr>
        <w:spacing w:after="140"/>
        <w:rPr>
          <w:sz w:val="20"/>
          <w:szCs w:val="20"/>
        </w:rPr>
      </w:pPr>
      <w:r>
        <w:rPr>
          <w:szCs w:val="20"/>
        </w:rPr>
        <w:t xml:space="preserve">Please find the Poverty Data Worksheet at </w:t>
      </w:r>
      <w:hyperlink r:id="rId29" w:history="1">
        <w:r>
          <w:rPr>
            <w:rStyle w:val="ahref"/>
            <w:szCs w:val="20"/>
            <w:u w:val="single" w:color="0000FF"/>
          </w:rPr>
          <w:t>YouthBuild | U.S. Department of Labor (dol.gov)</w:t>
        </w:r>
      </w:hyperlink>
      <w:r>
        <w:rPr>
          <w:szCs w:val="20"/>
        </w:rPr>
        <w:t xml:space="preserve"> under Forms.</w:t>
      </w:r>
    </w:p>
    <w:p w:rsidR="00976CDB" w:rsidP="00632103" w14:paraId="77578546" w14:textId="77777777">
      <w:pPr>
        <w:numPr>
          <w:ilvl w:val="0"/>
          <w:numId w:val="48"/>
        </w:numPr>
        <w:spacing w:after="20"/>
      </w:pPr>
      <w:r>
        <w:t xml:space="preserve">Go to </w:t>
      </w:r>
      <w:hyperlink r:id="rId49" w:history="1">
        <w:r>
          <w:rPr>
            <w:rStyle w:val="ahref"/>
            <w:u w:val="single" w:color="0000FF"/>
          </w:rPr>
          <w:t>https://data.census.gov/advanced</w:t>
        </w:r>
      </w:hyperlink>
      <w:r>
        <w:t xml:space="preserve"> </w:t>
      </w:r>
    </w:p>
    <w:p w:rsidR="00976CDB" w:rsidP="00632103" w14:paraId="73A0BAEC" w14:textId="77777777">
      <w:pPr>
        <w:numPr>
          <w:ilvl w:val="0"/>
          <w:numId w:val="48"/>
        </w:numPr>
        <w:spacing w:before="20" w:after="20"/>
      </w:pPr>
      <w:r>
        <w:t>On the left-hand side of the page, under the Topics heading click on “Income and Poverty”</w:t>
      </w:r>
    </w:p>
    <w:p w:rsidR="00976CDB" w:rsidP="00632103" w14:paraId="782FF088" w14:textId="77777777">
      <w:pPr>
        <w:numPr>
          <w:ilvl w:val="0"/>
          <w:numId w:val="48"/>
        </w:numPr>
        <w:spacing w:before="20" w:after="20"/>
      </w:pPr>
      <w:r>
        <w:t>In the middle of the page, select "Poverty." It has a little arrow icon next to it. Then select the "Poverty" check box and click "Search" on the bottom right of the screen.</w:t>
      </w:r>
    </w:p>
    <w:p w:rsidR="00976CDB" w:rsidP="00632103" w14:paraId="622B9AE6" w14:textId="77777777">
      <w:pPr>
        <w:numPr>
          <w:ilvl w:val="0"/>
          <w:numId w:val="48"/>
        </w:numPr>
        <w:spacing w:before="20" w:after="20"/>
      </w:pPr>
      <w:r>
        <w:t>Go to the left-hand side of the screen under “Geographies”. Click on “All Geography” and select ”American Indian Area/Alaska Native Area/Hawiian Homeland".</w:t>
      </w:r>
    </w:p>
    <w:p w:rsidR="00976CDB" w:rsidP="00632103" w14:paraId="3DE24F62" w14:textId="77777777">
      <w:pPr>
        <w:numPr>
          <w:ilvl w:val="0"/>
          <w:numId w:val="48"/>
        </w:numPr>
        <w:spacing w:before="20" w:after="20"/>
      </w:pPr>
      <w:r>
        <w:t>Here is where you can select a reservation, Oklahoma Tribal Statistical Area, or Hawaiian Homeland.</w:t>
      </w:r>
    </w:p>
    <w:p w:rsidR="00976CDB" w:rsidP="00632103" w14:paraId="2E0C36AC" w14:textId="77777777">
      <w:pPr>
        <w:numPr>
          <w:ilvl w:val="0"/>
          <w:numId w:val="48"/>
        </w:numPr>
        <w:spacing w:before="20" w:after="20"/>
      </w:pPr>
      <w:r>
        <w:t>At the very top of the dropdown menu you can use the search function to search for a specific reservation, Oklahoma Tribal Statistical Area, or Hawaiian Home Land. In this example, the search function was used for the White Earth Reservation in Minnesota.</w:t>
      </w:r>
    </w:p>
    <w:p w:rsidR="00976CDB" w:rsidP="00632103" w14:paraId="259A36AF" w14:textId="77777777">
      <w:pPr>
        <w:numPr>
          <w:ilvl w:val="0"/>
          <w:numId w:val="48"/>
        </w:numPr>
        <w:spacing w:before="20" w:after="20"/>
      </w:pPr>
      <w:r>
        <w:t>After selecting the White Earth Reservation, click on the “Search” button at the very bottom right hand corner of the screen.</w:t>
      </w:r>
    </w:p>
    <w:p w:rsidR="00976CDB" w:rsidP="00632103" w14:paraId="28309504" w14:textId="77777777">
      <w:pPr>
        <w:numPr>
          <w:ilvl w:val="0"/>
          <w:numId w:val="48"/>
        </w:numPr>
        <w:spacing w:before="20" w:after="20"/>
      </w:pPr>
      <w:r>
        <w:t>The 24.4% poverty rate shown is the poverty rate for all people on the White Earth Reservation. To show the poverty for American Indians alone living on the White Earth Reservation click on “Explore Data” underlined in red immediately above the 24.4%.</w:t>
      </w:r>
    </w:p>
    <w:p w:rsidR="00976CDB" w:rsidP="00632103" w14:paraId="6AD19231" w14:textId="77777777">
      <w:pPr>
        <w:numPr>
          <w:ilvl w:val="0"/>
          <w:numId w:val="48"/>
        </w:numPr>
        <w:spacing w:before="20" w:after="150"/>
      </w:pPr>
      <w:r>
        <w:t>In the table that comes up, scroll down to American Indian and Native Alaskan alone and to the right to see the which is the poverty rate to submit in your application.</w:t>
      </w:r>
    </w:p>
    <w:p w:rsidR="00976CDB" w:rsidP="00632103" w14:paraId="04E2568B" w14:textId="77777777">
      <w:pPr>
        <w:spacing w:before="20" w:after="20"/>
      </w:pPr>
      <w:bookmarkStart w:id="194" w:name="_bookmark234888"/>
      <w:bookmarkStart w:id="195" w:name="_bookmark234889"/>
      <w:bookmarkStart w:id="196" w:name="_bookmark234890"/>
      <w:bookmarkStart w:id="197" w:name="_bookmark234891"/>
      <w:bookmarkStart w:id="198" w:name="_bookmark234892"/>
      <w:bookmarkStart w:id="199" w:name="_bookmark234893"/>
      <w:bookmarkStart w:id="200" w:name="_bookmark234894"/>
      <w:bookmarkEnd w:id="194"/>
      <w:bookmarkEnd w:id="195"/>
      <w:bookmarkEnd w:id="196"/>
      <w:bookmarkEnd w:id="197"/>
      <w:bookmarkEnd w:id="198"/>
      <w:bookmarkEnd w:id="199"/>
      <w:bookmarkEnd w:id="200"/>
    </w:p>
    <w:sectPr w:rsidSect="00F51971">
      <w:footerReference w:type="default" r:id="rId5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1E25E549-0EB0-42C8-AB98-B7C5C6F279C9}"/>
    <w:embedBold r:id="rId2" w:subsetted="1" w:fontKey="{4E78DE76-E31D-4D87-82A8-6D67C4EE8B65}"/>
    <w:embedItalic r:id="rId3" w:subsetted="1" w:fontKey="{49550048-90F8-4A57-A566-9F70D49A1683}"/>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C5749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06F02D5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5FDCBADF"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2547F1C5" w14:textId="77777777">
      <w:tblPrEx>
        <w:tblW w:w="5000" w:type="pct"/>
        <w:tblLook w:val="04A0"/>
      </w:tblPrEx>
      <w:tc>
        <w:tcPr>
          <w:tcW w:w="1650" w:type="pct"/>
        </w:tcPr>
        <w:p w:rsidR="00976CDB" w14:paraId="099DB322" w14:textId="77777777">
          <w:pPr>
            <w:jc w:val="center"/>
          </w:pPr>
        </w:p>
      </w:tc>
      <w:tc>
        <w:tcPr>
          <w:tcW w:w="1650" w:type="pct"/>
        </w:tcPr>
        <w:p w:rsidR="00976CDB" w14:paraId="01EDD288" w14:textId="77777777">
          <w:pPr>
            <w:jc w:val="center"/>
          </w:pPr>
        </w:p>
      </w:tc>
      <w:tc>
        <w:tcPr>
          <w:tcW w:w="1650" w:type="pct"/>
        </w:tcPr>
        <w:p w:rsidR="00976CDB" w14:paraId="1BB26135" w14:textId="26F30D6C">
          <w:pPr>
            <w:jc w:val="center"/>
          </w:pPr>
          <w:r>
            <w:t xml:space="preserve">Page </w:t>
          </w:r>
          <w:r>
            <w:fldChar w:fldCharType="begin"/>
          </w:r>
          <w:r>
            <w:instrText xml:space="preserve"> PAGE </w:instrText>
          </w:r>
          <w:r>
            <w:fldChar w:fldCharType="separate"/>
          </w:r>
          <w:r>
            <w:t>39</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142706">
            <w:rPr>
              <w:noProof/>
            </w:rPr>
            <w:instrText>41</w:instrText>
          </w:r>
          <w:r>
            <w:fldChar w:fldCharType="end"/>
          </w:r>
          <w:r>
            <w:instrText xml:space="preserve"> - 1 </w:instrText>
          </w:r>
          <w:r>
            <w:fldChar w:fldCharType="separate"/>
          </w:r>
          <w:r w:rsidR="00142706">
            <w:rPr>
              <w:noProof/>
            </w:rPr>
            <w:t>40</w:t>
          </w:r>
          <w:r>
            <w:fldChar w:fldCharType="end"/>
          </w:r>
        </w:p>
      </w:tc>
    </w:tr>
  </w:tbl>
  <w:p w:rsidR="00976CDB" w14:paraId="5412CFE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F2F4F0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CE0A1E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69B0EC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3">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59B0054E"/>
    <w:multiLevelType w:val="hybridMultilevel"/>
    <w:tmpl w:val="59B005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59B0054F"/>
    <w:multiLevelType w:val="multilevel"/>
    <w:tmpl w:val="59B005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9B00550"/>
    <w:multiLevelType w:val="hybridMultilevel"/>
    <w:tmpl w:val="59B0055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59B00552"/>
    <w:multiLevelType w:val="multilevel"/>
    <w:tmpl w:val="59B00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9B00553"/>
    <w:multiLevelType w:val="multilevel"/>
    <w:tmpl w:val="59B0055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B00554"/>
    <w:multiLevelType w:val="multilevel"/>
    <w:tmpl w:val="59B0055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59B00556"/>
    <w:multiLevelType w:val="hybridMultilevel"/>
    <w:tmpl w:val="59B0055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59B00558"/>
    <w:multiLevelType w:val="hybridMultilevel"/>
    <w:tmpl w:val="59B005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9B00559"/>
    <w:multiLevelType w:val="hybridMultilevel"/>
    <w:tmpl w:val="59B005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59B0055A"/>
    <w:multiLevelType w:val="multilevel"/>
    <w:tmpl w:val="59B0055A"/>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B0055B"/>
    <w:multiLevelType w:val="hybridMultilevel"/>
    <w:tmpl w:val="59B005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59B0055C"/>
    <w:multiLevelType w:val="hybridMultilevel"/>
    <w:tmpl w:val="59B005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D"/>
    <w:multiLevelType w:val="hybridMultilevel"/>
    <w:tmpl w:val="59B0055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59B0055E"/>
    <w:multiLevelType w:val="hybridMultilevel"/>
    <w:tmpl w:val="59B005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F"/>
    <w:multiLevelType w:val="hybridMultilevel"/>
    <w:tmpl w:val="59B0055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59B00560"/>
    <w:multiLevelType w:val="hybridMultilevel"/>
    <w:tmpl w:val="59B0056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59B00561"/>
    <w:multiLevelType w:val="hybridMultilevel"/>
    <w:tmpl w:val="59B0056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59B00562"/>
    <w:multiLevelType w:val="hybridMultilevel"/>
    <w:tmpl w:val="59B0056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59B00563"/>
    <w:multiLevelType w:val="hybridMultilevel"/>
    <w:tmpl w:val="59B0056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59B00564"/>
    <w:multiLevelType w:val="hybridMultilevel"/>
    <w:tmpl w:val="59B005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59B00565"/>
    <w:multiLevelType w:val="hybridMultilevel"/>
    <w:tmpl w:val="59B0056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59B00566"/>
    <w:multiLevelType w:val="hybridMultilevel"/>
    <w:tmpl w:val="59B005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59B00567"/>
    <w:multiLevelType w:val="hybridMultilevel"/>
    <w:tmpl w:val="59B005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59B00568"/>
    <w:multiLevelType w:val="hybridMultilevel"/>
    <w:tmpl w:val="59B005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59B00569"/>
    <w:multiLevelType w:val="hybridMultilevel"/>
    <w:tmpl w:val="59B005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59B0056A"/>
    <w:multiLevelType w:val="hybridMultilevel"/>
    <w:tmpl w:val="59B0056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59B0056B"/>
    <w:multiLevelType w:val="hybridMultilevel"/>
    <w:tmpl w:val="59B005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59B0056C"/>
    <w:multiLevelType w:val="hybridMultilevel"/>
    <w:tmpl w:val="59B005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59B0056D"/>
    <w:multiLevelType w:val="hybridMultilevel"/>
    <w:tmpl w:val="59B005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59B0056E"/>
    <w:multiLevelType w:val="hybridMultilevel"/>
    <w:tmpl w:val="59B005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59B0056F"/>
    <w:multiLevelType w:val="hybridMultilevel"/>
    <w:tmpl w:val="59B005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59B00570"/>
    <w:multiLevelType w:val="hybridMultilevel"/>
    <w:tmpl w:val="59B005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59B00571"/>
    <w:multiLevelType w:val="hybridMultilevel"/>
    <w:tmpl w:val="59B005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59B00572"/>
    <w:multiLevelType w:val="hybridMultilevel"/>
    <w:tmpl w:val="59B005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59B00573"/>
    <w:multiLevelType w:val="hybridMultilevel"/>
    <w:tmpl w:val="59B0057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59B00574"/>
    <w:multiLevelType w:val="hybridMultilevel"/>
    <w:tmpl w:val="59B0057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59B00575"/>
    <w:multiLevelType w:val="hybridMultilevel"/>
    <w:tmpl w:val="59B0057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59B00576"/>
    <w:multiLevelType w:val="multilevel"/>
    <w:tmpl w:val="59B0057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9B00577"/>
    <w:multiLevelType w:val="multilevel"/>
    <w:tmpl w:val="59B0057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9B00578"/>
    <w:multiLevelType w:val="multilevel"/>
    <w:tmpl w:val="59B0057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9602291">
    <w:abstractNumId w:val="1"/>
  </w:num>
  <w:num w:numId="2" w16cid:durableId="539559322">
    <w:abstractNumId w:val="0"/>
  </w:num>
  <w:num w:numId="3" w16cid:durableId="1663653878">
    <w:abstractNumId w:val="2"/>
  </w:num>
  <w:num w:numId="4" w16cid:durableId="383872298">
    <w:abstractNumId w:val="3"/>
  </w:num>
  <w:num w:numId="5" w16cid:durableId="613907574">
    <w:abstractNumId w:val="4"/>
  </w:num>
  <w:num w:numId="6" w16cid:durableId="1106121028">
    <w:abstractNumId w:val="5"/>
  </w:num>
  <w:num w:numId="7" w16cid:durableId="1915042415">
    <w:abstractNumId w:val="6"/>
  </w:num>
  <w:num w:numId="8" w16cid:durableId="1018199285">
    <w:abstractNumId w:val="7"/>
  </w:num>
  <w:num w:numId="9" w16cid:durableId="1899707401">
    <w:abstractNumId w:val="8"/>
  </w:num>
  <w:num w:numId="10" w16cid:durableId="472144214">
    <w:abstractNumId w:val="9"/>
  </w:num>
  <w:num w:numId="11" w16cid:durableId="529343562">
    <w:abstractNumId w:val="10"/>
  </w:num>
  <w:num w:numId="12" w16cid:durableId="1044909978">
    <w:abstractNumId w:val="11"/>
  </w:num>
  <w:num w:numId="13" w16cid:durableId="1658996043">
    <w:abstractNumId w:val="12"/>
  </w:num>
  <w:num w:numId="14" w16cid:durableId="2124766266">
    <w:abstractNumId w:val="13"/>
  </w:num>
  <w:num w:numId="15" w16cid:durableId="660351387">
    <w:abstractNumId w:val="14"/>
  </w:num>
  <w:num w:numId="16" w16cid:durableId="112216575">
    <w:abstractNumId w:val="15"/>
  </w:num>
  <w:num w:numId="17" w16cid:durableId="1777478941">
    <w:abstractNumId w:val="16"/>
  </w:num>
  <w:num w:numId="18" w16cid:durableId="1998341510">
    <w:abstractNumId w:val="17"/>
  </w:num>
  <w:num w:numId="19" w16cid:durableId="1928926615">
    <w:abstractNumId w:val="18"/>
  </w:num>
  <w:num w:numId="20" w16cid:durableId="1096364956">
    <w:abstractNumId w:val="19"/>
  </w:num>
  <w:num w:numId="21" w16cid:durableId="1740521668">
    <w:abstractNumId w:val="20"/>
  </w:num>
  <w:num w:numId="22" w16cid:durableId="161287673">
    <w:abstractNumId w:val="21"/>
  </w:num>
  <w:num w:numId="23" w16cid:durableId="977612665">
    <w:abstractNumId w:val="22"/>
  </w:num>
  <w:num w:numId="24" w16cid:durableId="464541410">
    <w:abstractNumId w:val="23"/>
  </w:num>
  <w:num w:numId="25" w16cid:durableId="1561014935">
    <w:abstractNumId w:val="24"/>
  </w:num>
  <w:num w:numId="26" w16cid:durableId="1276710437">
    <w:abstractNumId w:val="25"/>
  </w:num>
  <w:num w:numId="27" w16cid:durableId="1551771862">
    <w:abstractNumId w:val="26"/>
  </w:num>
  <w:num w:numId="28" w16cid:durableId="1055739831">
    <w:abstractNumId w:val="27"/>
  </w:num>
  <w:num w:numId="29" w16cid:durableId="444619379">
    <w:abstractNumId w:val="28"/>
  </w:num>
  <w:num w:numId="30" w16cid:durableId="1433622178">
    <w:abstractNumId w:val="29"/>
  </w:num>
  <w:num w:numId="31" w16cid:durableId="920261405">
    <w:abstractNumId w:val="30"/>
  </w:num>
  <w:num w:numId="32" w16cid:durableId="699432244">
    <w:abstractNumId w:val="31"/>
  </w:num>
  <w:num w:numId="33" w16cid:durableId="873810599">
    <w:abstractNumId w:val="32"/>
  </w:num>
  <w:num w:numId="34" w16cid:durableId="1816986523">
    <w:abstractNumId w:val="33"/>
  </w:num>
  <w:num w:numId="35" w16cid:durableId="1062171575">
    <w:abstractNumId w:val="34"/>
  </w:num>
  <w:num w:numId="36" w16cid:durableId="1150825040">
    <w:abstractNumId w:val="35"/>
  </w:num>
  <w:num w:numId="37" w16cid:durableId="1165826919">
    <w:abstractNumId w:val="36"/>
  </w:num>
  <w:num w:numId="38" w16cid:durableId="1836650688">
    <w:abstractNumId w:val="37"/>
  </w:num>
  <w:num w:numId="39" w16cid:durableId="656229267">
    <w:abstractNumId w:val="38"/>
  </w:num>
  <w:num w:numId="40" w16cid:durableId="368455935">
    <w:abstractNumId w:val="39"/>
  </w:num>
  <w:num w:numId="41" w16cid:durableId="2066174199">
    <w:abstractNumId w:val="40"/>
  </w:num>
  <w:num w:numId="42" w16cid:durableId="798492374">
    <w:abstractNumId w:val="41"/>
  </w:num>
  <w:num w:numId="43" w16cid:durableId="1866093599">
    <w:abstractNumId w:val="42"/>
  </w:num>
  <w:num w:numId="44" w16cid:durableId="61611201">
    <w:abstractNumId w:val="43"/>
  </w:num>
  <w:num w:numId="45" w16cid:durableId="679165451">
    <w:abstractNumId w:val="44"/>
  </w:num>
  <w:num w:numId="46" w16cid:durableId="129637495">
    <w:abstractNumId w:val="45"/>
  </w:num>
  <w:num w:numId="47" w16cid:durableId="2108653466">
    <w:abstractNumId w:val="46"/>
  </w:num>
  <w:num w:numId="48" w16cid:durableId="1507548997">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706"/>
    <w:rsid w:val="00142CCE"/>
    <w:rsid w:val="001461F5"/>
    <w:rsid w:val="00146DDF"/>
    <w:rsid w:val="00146EFC"/>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1AF"/>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21C7"/>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A7F03"/>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6CDB"/>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061"/>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0A4B"/>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465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4BE"/>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442F"/>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C7775"/>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div">
    <w:name w:val="div"/>
    <w:basedOn w:val="Normal"/>
  </w:style>
  <w:style w:type="paragraph" w:customStyle="1" w:styleId="p">
    <w:name w:val="p"/>
    <w:basedOn w:val="Normal"/>
    <w:rPr>
      <w:rFonts w:ascii="Roboto" w:eastAsia="Roboto" w:hAnsi="Roboto" w:cs="Roboto"/>
      <w:sz w:val="20"/>
      <w:szCs w:val="20"/>
    </w:rPr>
  </w:style>
  <w:style w:type="paragraph" w:customStyle="1" w:styleId="table">
    <w:name w:val="table"/>
    <w:basedOn w:val="Normal"/>
  </w:style>
  <w:style w:type="table" w:customStyle="1" w:styleId="tabletable">
    <w:name w:val="table_table"/>
    <w:basedOn w:val="TableNormal"/>
    <w:tblPr/>
  </w:style>
  <w:style w:type="character" w:customStyle="1" w:styleId="ahref">
    <w:name w:val="a_href"/>
    <w:basedOn w:val="DefaultParagraphFont"/>
    <w:rPr>
      <w:color w:val="0000FF"/>
    </w:rPr>
  </w:style>
  <w:style w:type="table" w:customStyle="1" w:styleId="tableTable0">
    <w:name w:val="table Table"/>
    <w:basedOn w:val="TableNormal"/>
    <w:tblPr/>
  </w:style>
  <w:style w:type="table" w:customStyle="1" w:styleId="tablestylewidthtable">
    <w:name w:val="table_style*=width: &gt; 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dol.gov/agencies/eta/advisories/training-and-employment-guidance-letter-no-05-10-change-1" TargetMode="External" /><Relationship Id="rId16" Type="http://schemas.openxmlformats.org/officeDocument/2006/relationships/hyperlink" Target="https://www.dol.gov/agencies/eta/grants/resources" TargetMode="External" /><Relationship Id="rId17" Type="http://schemas.openxmlformats.org/officeDocument/2006/relationships/hyperlink" Target="https://youthbuild.workforcegps.org/resources/2019/08/07/12/21/Program_Planner_Map" TargetMode="External" /><Relationship Id="rId18" Type="http://schemas.openxmlformats.org/officeDocument/2006/relationships/hyperlink" Target="https://www.ecfr.gov/current/title-20/chapter-V/part-681/subpart-C/section-681.480" TargetMode="External" /><Relationship Id="rId19" Type="http://schemas.openxmlformats.org/officeDocument/2006/relationships/hyperlink" Target="https://www.ecfr.gov/current/title-20/chapter-V/part-688/subpart-F/section-688.730" TargetMode="External" /><Relationship Id="rId2" Type="http://schemas.openxmlformats.org/officeDocument/2006/relationships/webSettings" Target="webSettings.xml" /><Relationship Id="rId20" Type="http://schemas.openxmlformats.org/officeDocument/2006/relationships/hyperlink" Target="https://www.dol.gov/agencies/eta/advisories/training-and-employment-guidance-letter-no-35-12" TargetMode="External" /><Relationship Id="rId21" Type="http://schemas.openxmlformats.org/officeDocument/2006/relationships/hyperlink" Target="https://www.dol.gov/agencies/eta/advisories/training-and-employment-guidance-letter-no-06-15" TargetMode="External" /><Relationship Id="rId22" Type="http://schemas.openxmlformats.org/officeDocument/2006/relationships/hyperlink" Target="https://www.ecfr.gov/current/title-2/subtitle-A/chapter-II/part-200/subpart-B/section-200.112" TargetMode="External" /><Relationship Id="rId23" Type="http://schemas.openxmlformats.org/officeDocument/2006/relationships/hyperlink" Target="https://www.dol.gov/agencies/whd/government-contracts/construction" TargetMode="External" /><Relationship Id="rId24" Type="http://schemas.openxmlformats.org/officeDocument/2006/relationships/hyperlink" Target="https://www.dol.gov/agencies/eta/advisories/training-and-employment-guidance-letter-no-11-16" TargetMode="External" /><Relationship Id="rId25" Type="http://schemas.openxmlformats.org/officeDocument/2006/relationships/hyperlink" Target="https://www.dol.gov/agencies/eta/advisories/tegl-10-16-change-3" TargetMode="External" /><Relationship Id="rId26" Type="http://schemas.openxmlformats.org/officeDocument/2006/relationships/hyperlink" Target="https://www.ecfr.gov/current/title-20/section-688.300" TargetMode="External" /><Relationship Id="rId27" Type="http://schemas.openxmlformats.org/officeDocument/2006/relationships/hyperlink" Target="https://www.ecfr.gov/current/title-20/section-688.120" TargetMode="External" /><Relationship Id="rId28" Type="http://schemas.openxmlformats.org/officeDocument/2006/relationships/hyperlink" Target="https://uscode.house.gov/view.xhtml?req=granuleid:USC-prelim-title38-section4215&amp;num=0&amp;edition=prelim" TargetMode="External" /><Relationship Id="rId29" Type="http://schemas.openxmlformats.org/officeDocument/2006/relationships/hyperlink" Target="https://www.dol.gov/agencies/eta/youth/youthbuild" TargetMode="External" /><Relationship Id="rId3" Type="http://schemas.openxmlformats.org/officeDocument/2006/relationships/fontTable" Target="fontTable.xml" /><Relationship Id="rId30" Type="http://schemas.openxmlformats.org/officeDocument/2006/relationships/hyperlink" Target="https://www.dol.gov/agencies/eta/advisories/training-and-employment-notice-no-25-19" TargetMode="External" /><Relationship Id="rId31" Type="http://schemas.openxmlformats.org/officeDocument/2006/relationships/hyperlink" Target="https://www.dol.gov/agencies/eta/advisories/training-and-employment-guidance-letter-no-07-14-change-1" TargetMode="External" /><Relationship Id="rId32" Type="http://schemas.openxmlformats.org/officeDocument/2006/relationships/hyperlink" Target="https://www.workforcegps.org/events/2018/05/01/12/18/YouthBuild-Series-Construction-Plus-Framework-Overview-and-Strategies-for-Program-Alignment" TargetMode="External" /><Relationship Id="rId33" Type="http://schemas.openxmlformats.org/officeDocument/2006/relationships/hyperlink" Target="https://youthbuild.workforcegps.org/resources/2022/12/20/13/02/Housing-and-Urban-Development-40-HUD-41-Section-3-Partnerships" TargetMode="External" /><Relationship Id="rId34" Type="http://schemas.openxmlformats.org/officeDocument/2006/relationships/hyperlink" Target="https://www.ecfr.gov/current/title-20/chapter-V/part-683/subpart-B/section-683.215" TargetMode="External" /><Relationship Id="rId35" Type="http://schemas.openxmlformats.org/officeDocument/2006/relationships/hyperlink" Target="https://www.opm.gov/policy-data-oversight/pay-leave/salaries-wages/" TargetMode="External" /><Relationship Id="rId36" Type="http://schemas.openxmlformats.org/officeDocument/2006/relationships/hyperlink" Target="https://www.dol.gov/agencies/eta/advisories/tegl-10-24" TargetMode="External" /><Relationship Id="rId37" Type="http://schemas.openxmlformats.org/officeDocument/2006/relationships/hyperlink" Target="https://www.dol.gov/agencies/eta/youth/youthbuild/" TargetMode="External" /><Relationship Id="rId38" Type="http://schemas.openxmlformats.org/officeDocument/2006/relationships/hyperlink" Target="http://www.census.gov" TargetMode="External" /><Relationship Id="rId39" Type="http://schemas.openxmlformats.org/officeDocument/2006/relationships/hyperlink" Target="https://www.osha.gov/young-workers" TargetMode="External" /><Relationship Id="rId4" Type="http://schemas.openxmlformats.org/officeDocument/2006/relationships/customXml" Target="../customXml/item1.xml" /><Relationship Id="rId40" Type="http://schemas.openxmlformats.org/officeDocument/2006/relationships/hyperlink" Target="https://www.unitedstateszipcodes.org/" TargetMode="External" /><Relationship Id="rId41" Type="http://schemas.openxmlformats.org/officeDocument/2006/relationships/hyperlink" Target="http://www.grants.gov/" TargetMode="External" /><Relationship Id="rId42" Type="http://schemas.openxmlformats.org/officeDocument/2006/relationships/hyperlink" Target="https://www.dol.gov/agencies/eta/grants/apply/find-opportunities" TargetMode="External" /><Relationship Id="rId43" Type="http://schemas.openxmlformats.org/officeDocument/2006/relationships/hyperlink" Target="https://www.grants.gov/" TargetMode="External" /><Relationship Id="rId44" Type="http://schemas.openxmlformats.org/officeDocument/2006/relationships/hyperlink" Target="mailto:support@grants.gov" TargetMode="External" /><Relationship Id="rId45" Type="http://schemas.openxmlformats.org/officeDocument/2006/relationships/hyperlink" Target="https://www.dol.gov/agencies/eta/" TargetMode="External" /><Relationship Id="rId46" Type="http://schemas.openxmlformats.org/officeDocument/2006/relationships/hyperlink" Target="https://www.dol.gov/agencies/eta/advisories" TargetMode="External" /><Relationship Id="rId47" Type="http://schemas.openxmlformats.org/officeDocument/2006/relationships/hyperlink" Target="https://www.dol.gov/agencies/eta/research/publications" TargetMode="External" /><Relationship Id="rId48" Type="http://schemas.openxmlformats.org/officeDocument/2006/relationships/hyperlink" Target="https://data.census.gov/" TargetMode="External" /><Relationship Id="rId49" Type="http://schemas.openxmlformats.org/officeDocument/2006/relationships/hyperlink" Target="https://data.census.gov/advanced" TargetMode="External" /><Relationship Id="rId5" Type="http://schemas.openxmlformats.org/officeDocument/2006/relationships/customXml" Target="../customXml/item2.xml" /><Relationship Id="rId50" Type="http://schemas.openxmlformats.org/officeDocument/2006/relationships/footer" Target="footer4.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3.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4.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16670</Words>
  <Characters>95024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111472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YouthBuild</dc:title>
  <dc:creator>Adetayo, Kemi (NIH/OD) [C]</dc:creator>
  <cp:lastModifiedBy>Hernandez, Nora - OASAM OCIO</cp:lastModifiedBy>
  <cp:revision>2</cp:revision>
  <cp:lastPrinted>2015-12-22T13:15:00Z</cp:lastPrinted>
  <dcterms:created xsi:type="dcterms:W3CDTF">2025-12-10T21:19:00Z</dcterms:created>
  <dcterms:modified xsi:type="dcterms:W3CDTF">2025-12-10T21:19:00Z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