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9C6" w:rsidRPr="00FF0904" w14:paraId="339D3345" w14:textId="3DC1ABBC">
      <w:pPr>
        <w:jc w:val="center"/>
        <w:rPr>
          <w:rFonts w:ascii="Times New Roman" w:hAnsi="Times New Roman"/>
          <w:b/>
          <w:color w:val="000000"/>
          <w:szCs w:val="22"/>
        </w:rPr>
      </w:pPr>
      <w:r w:rsidRPr="00FF0904">
        <w:rPr>
          <w:rFonts w:ascii="Times New Roman" w:hAnsi="Times New Roman"/>
          <w:b/>
          <w:color w:val="000000"/>
          <w:szCs w:val="22"/>
        </w:rPr>
        <w:t>Funding</w:t>
      </w:r>
      <w:r w:rsidRPr="00FF0904" w:rsidR="00460899">
        <w:rPr>
          <w:rFonts w:ascii="Times New Roman" w:hAnsi="Times New Roman"/>
          <w:b/>
          <w:color w:val="000000"/>
          <w:szCs w:val="22"/>
        </w:rPr>
        <w:t xml:space="preserve"> Opportunity Announcement </w:t>
      </w:r>
      <w:r w:rsidRPr="00FF0904">
        <w:rPr>
          <w:rFonts w:ascii="Times New Roman" w:hAnsi="Times New Roman"/>
          <w:b/>
          <w:color w:val="000000"/>
          <w:szCs w:val="22"/>
        </w:rPr>
        <w:t>for Grant Applications</w:t>
      </w:r>
    </w:p>
    <w:p w:rsidR="00C649C6" w:rsidRPr="00FF0904" w14:paraId="30C4ACAB" w14:textId="554635C6">
      <w:pPr>
        <w:jc w:val="center"/>
        <w:rPr>
          <w:rFonts w:ascii="Times New Roman" w:hAnsi="Times New Roman"/>
          <w:b/>
          <w:color w:val="000000"/>
        </w:rPr>
      </w:pPr>
      <w:r w:rsidRPr="00FF0904">
        <w:rPr>
          <w:rFonts w:ascii="Times New Roman" w:hAnsi="Times New Roman"/>
          <w:b/>
          <w:color w:val="000000"/>
        </w:rPr>
        <w:t xml:space="preserve">OMB </w:t>
      </w:r>
      <w:r w:rsidRPr="00FF0904">
        <w:rPr>
          <w:rFonts w:ascii="Times New Roman" w:hAnsi="Times New Roman"/>
          <w:b/>
          <w:color w:val="000000"/>
        </w:rPr>
        <w:t>Control Number 1225-0086</w:t>
      </w:r>
    </w:p>
    <w:p w:rsidR="00C649C6" w:rsidRPr="00FF0904" w14:paraId="0420E45B" w14:textId="1D6581A3">
      <w:pPr>
        <w:jc w:val="center"/>
        <w:rPr>
          <w:rFonts w:ascii="Times New Roman" w:hAnsi="Times New Roman"/>
          <w:b/>
          <w:color w:val="000000"/>
        </w:rPr>
      </w:pPr>
      <w:r w:rsidRPr="00FF0904">
        <w:rPr>
          <w:rFonts w:ascii="Times New Roman" w:hAnsi="Times New Roman"/>
          <w:b/>
          <w:color w:val="000000"/>
        </w:rPr>
        <w:t>202</w:t>
      </w:r>
      <w:r w:rsidRPr="00FF0904" w:rsidR="0028294C">
        <w:rPr>
          <w:rFonts w:ascii="Times New Roman" w:hAnsi="Times New Roman"/>
          <w:b/>
          <w:color w:val="000000"/>
        </w:rPr>
        <w:t>5</w:t>
      </w:r>
      <w:r w:rsidRPr="00FF0904">
        <w:rPr>
          <w:rFonts w:ascii="Times New Roman" w:hAnsi="Times New Roman"/>
          <w:b/>
          <w:color w:val="000000"/>
        </w:rPr>
        <w:t xml:space="preserve"> </w:t>
      </w:r>
      <w:r w:rsidRPr="00FF0904" w:rsidR="00AB4E82">
        <w:rPr>
          <w:rFonts w:ascii="Times New Roman" w:hAnsi="Times New Roman"/>
          <w:b/>
          <w:color w:val="000000"/>
        </w:rPr>
        <w:t>Brookwood-Sago Mine Safety Grants Program</w:t>
      </w:r>
      <w:r w:rsidRPr="00FF0904">
        <w:rPr>
          <w:rFonts w:ascii="Times New Roman" w:hAnsi="Times New Roman"/>
          <w:b/>
          <w:color w:val="000000"/>
        </w:rPr>
        <w:t xml:space="preserve"> Justification</w:t>
      </w:r>
    </w:p>
    <w:p w:rsidR="00C649C6" w:rsidRPr="00FF0904" w14:paraId="7CE52E6D" w14:textId="77777777">
      <w:pPr>
        <w:rPr>
          <w:rFonts w:ascii="Times New Roman" w:hAnsi="Times New Roman"/>
          <w:color w:val="000000"/>
        </w:rPr>
      </w:pPr>
    </w:p>
    <w:p w:rsidR="00C649C6" w:rsidRPr="00FF0904" w14:paraId="7F3314B7" w14:textId="77777777">
      <w:pPr>
        <w:autoSpaceDE w:val="0"/>
        <w:autoSpaceDN w:val="0"/>
        <w:adjustRightInd w:val="0"/>
        <w:rPr>
          <w:rFonts w:ascii="Times New Roman" w:hAnsi="Times New Roman"/>
          <w:b/>
          <w:color w:val="000000"/>
          <w:u w:val="single"/>
        </w:rPr>
      </w:pPr>
      <w:r w:rsidRPr="00FF0904">
        <w:rPr>
          <w:rFonts w:ascii="Times New Roman" w:hAnsi="Times New Roman"/>
          <w:b/>
          <w:color w:val="000000"/>
          <w:u w:val="single"/>
        </w:rPr>
        <w:t>Abstract:</w:t>
      </w:r>
    </w:p>
    <w:p w:rsidR="00C649C6" w:rsidRPr="00FF0904" w14:paraId="65AE99E7" w14:textId="77777777">
      <w:pPr>
        <w:autoSpaceDE w:val="0"/>
        <w:autoSpaceDN w:val="0"/>
        <w:adjustRightInd w:val="0"/>
        <w:rPr>
          <w:rFonts w:ascii="Times New Roman" w:hAnsi="Times New Roman"/>
          <w:color w:val="000000"/>
        </w:rPr>
      </w:pPr>
    </w:p>
    <w:p w:rsidR="009230AA" w:rsidP="004B725F" w14:paraId="19A20A21" w14:textId="5F74A905">
      <w:pPr>
        <w:autoSpaceDE w:val="0"/>
        <w:autoSpaceDN w:val="0"/>
        <w:adjustRightInd w:val="0"/>
        <w:rPr>
          <w:rFonts w:ascii="Times New Roman" w:hAnsi="Times New Roman"/>
          <w:color w:val="000000"/>
        </w:rPr>
      </w:pPr>
      <w:r w:rsidRPr="009230AA">
        <w:rPr>
          <w:rFonts w:ascii="Times New Roman" w:hAnsi="Times New Roman"/>
          <w:color w:val="000000"/>
        </w:rPr>
        <w:t>The U.S. Department of Labor (DOL or the Department, or we), Mine Safety and Health Administration (MSHA), is providing notice of the availability of up to $250,000 available in grant funds for education and training programs to help the mining community identify, avoid, and prevent unsafe and unhealthy working conditions in and around mines.</w:t>
      </w:r>
    </w:p>
    <w:p w:rsidR="009230AA" w:rsidP="004B725F" w14:paraId="2A61BFFE" w14:textId="77777777">
      <w:pPr>
        <w:autoSpaceDE w:val="0"/>
        <w:autoSpaceDN w:val="0"/>
        <w:adjustRightInd w:val="0"/>
        <w:rPr>
          <w:rFonts w:ascii="Times New Roman" w:hAnsi="Times New Roman"/>
          <w:color w:val="000000"/>
        </w:rPr>
      </w:pPr>
    </w:p>
    <w:p w:rsidR="009230AA" w:rsidP="004B725F" w14:paraId="1B848704" w14:textId="6FDCEA41">
      <w:pPr>
        <w:autoSpaceDE w:val="0"/>
        <w:autoSpaceDN w:val="0"/>
        <w:adjustRightInd w:val="0"/>
        <w:rPr>
          <w:rFonts w:ascii="Times New Roman" w:hAnsi="Times New Roman"/>
          <w:color w:val="000000"/>
        </w:rPr>
      </w:pPr>
      <w:r w:rsidRPr="009230AA">
        <w:rPr>
          <w:rFonts w:ascii="Times New Roman" w:hAnsi="Times New Roman"/>
          <w:color w:val="000000"/>
        </w:rPr>
        <w:t>The program uses grant funds to establish and implement education and training programs, to create training materials and programs, or both. Section 14 of the Mine Improvement and New Emergency Response Act of 2006 (MINER Act) requires the Secretary of Labor (Secretary) to give priority to mine safety demonstrations and pilot projects with broad applicability. The MINER Act also mandates that the Secretary emphasize programs and materials that target miners in smaller mines, including training mine operators and miners about new MSHA standards, high-risk activities, and other identified safety and health priorities.</w:t>
      </w:r>
    </w:p>
    <w:p w:rsidR="00625FE8" w:rsidP="004B725F" w14:paraId="20FD4DAE" w14:textId="77777777">
      <w:pPr>
        <w:autoSpaceDE w:val="0"/>
        <w:autoSpaceDN w:val="0"/>
        <w:adjustRightInd w:val="0"/>
        <w:rPr>
          <w:rFonts w:ascii="Times New Roman" w:hAnsi="Times New Roman"/>
          <w:color w:val="000000"/>
        </w:rPr>
      </w:pPr>
    </w:p>
    <w:p w:rsidR="009230AA" w:rsidP="004B725F" w14:paraId="65EE9DCA" w14:textId="1B0E07CD">
      <w:pPr>
        <w:autoSpaceDE w:val="0"/>
        <w:autoSpaceDN w:val="0"/>
        <w:adjustRightInd w:val="0"/>
        <w:rPr>
          <w:rFonts w:ascii="Times New Roman" w:hAnsi="Times New Roman"/>
          <w:color w:val="000000"/>
        </w:rPr>
      </w:pPr>
      <w:r w:rsidRPr="009230AA">
        <w:rPr>
          <w:rFonts w:ascii="Times New Roman" w:hAnsi="Times New Roman"/>
          <w:color w:val="000000"/>
        </w:rPr>
        <w:t>Applicants may be states, territories and tribal governments (including the District of Columbia, the Commonwealth of Puerto Rico, the Virgin Islands, American Samoa, Guam, the Commonwealth of the Northern Mariana Islands, and Federally recognized tribes) and private or public nonprofit entities (this includes tribal organizations, Alaska Native entities, Indian-controlled organizations serving Native Americans and Native Hawaiians). Eligible entities may apply for funding independently or in partnership with other eligible organizations. For partnerships, a lead organization must be identified.</w:t>
      </w:r>
      <w:r w:rsidR="00FE01B6">
        <w:rPr>
          <w:rFonts w:ascii="Times New Roman" w:hAnsi="Times New Roman"/>
          <w:color w:val="000000"/>
        </w:rPr>
        <w:t xml:space="preserve"> </w:t>
      </w:r>
    </w:p>
    <w:p w:rsidR="00FE01B6" w:rsidP="004B725F" w14:paraId="2AF13518" w14:textId="77777777">
      <w:pPr>
        <w:autoSpaceDE w:val="0"/>
        <w:autoSpaceDN w:val="0"/>
        <w:adjustRightInd w:val="0"/>
        <w:rPr>
          <w:rFonts w:ascii="Times New Roman" w:hAnsi="Times New Roman"/>
          <w:color w:val="000000"/>
        </w:rPr>
      </w:pPr>
    </w:p>
    <w:p w:rsidR="00FE01B6" w:rsidP="00FE01B6" w14:paraId="121E2F10" w14:textId="77777777">
      <w:pPr>
        <w:pStyle w:val="BodyText"/>
        <w:ind w:left="0"/>
      </w:pPr>
      <w:r>
        <w:t>Applicants other than states, state-supported or local government-supported</w:t>
      </w:r>
      <w:r>
        <w:rPr>
          <w:spacing w:val="1"/>
        </w:rPr>
        <w:t xml:space="preserve"> </w:t>
      </w:r>
      <w:r>
        <w:t>institutions of higher education, territories, tribal governments, and territorial or tribal government-supported institutions of</w:t>
      </w:r>
      <w:r>
        <w:rPr>
          <w:spacing w:val="1"/>
        </w:rPr>
        <w:t xml:space="preserve"> </w:t>
      </w:r>
      <w:r>
        <w:t>higher education will be required to submit evidence of nonprofit status, preferably from the</w:t>
      </w:r>
      <w:r>
        <w:rPr>
          <w:spacing w:val="1"/>
        </w:rPr>
        <w:t xml:space="preserve"> </w:t>
      </w:r>
      <w:r>
        <w:t>Internal Revenue Service (IRS).</w:t>
      </w:r>
      <w:r>
        <w:rPr>
          <w:spacing w:val="1"/>
        </w:rPr>
        <w:t xml:space="preserve"> </w:t>
      </w:r>
      <w:r>
        <w:t>A nonprofit entity as described in 26 U.S.C. § 501(c)(4), which</w:t>
      </w:r>
      <w:r>
        <w:rPr>
          <w:spacing w:val="-58"/>
        </w:rPr>
        <w:t xml:space="preserve">                           </w:t>
      </w:r>
      <w:r>
        <w:t>engages</w:t>
      </w:r>
      <w:r>
        <w:rPr>
          <w:spacing w:val="-2"/>
        </w:rPr>
        <w:t xml:space="preserve"> </w:t>
      </w:r>
      <w:r>
        <w:t>in</w:t>
      </w:r>
      <w:r>
        <w:rPr>
          <w:spacing w:val="-1"/>
        </w:rPr>
        <w:t xml:space="preserve"> </w:t>
      </w:r>
      <w:r>
        <w:t>lobbying</w:t>
      </w:r>
      <w:r>
        <w:rPr>
          <w:spacing w:val="-1"/>
        </w:rPr>
        <w:t xml:space="preserve"> </w:t>
      </w:r>
      <w:r>
        <w:t>activities,</w:t>
      </w:r>
      <w:r>
        <w:rPr>
          <w:spacing w:val="-1"/>
        </w:rPr>
        <w:t xml:space="preserve"> </w:t>
      </w:r>
      <w:r>
        <w:t>is</w:t>
      </w:r>
      <w:r>
        <w:rPr>
          <w:spacing w:val="-1"/>
        </w:rPr>
        <w:t xml:space="preserve"> </w:t>
      </w:r>
      <w:r>
        <w:t>not eligible for</w:t>
      </w:r>
      <w:r>
        <w:rPr>
          <w:spacing w:val="-1"/>
        </w:rPr>
        <w:t xml:space="preserve"> </w:t>
      </w:r>
      <w:r>
        <w:t>a grant award.</w:t>
      </w:r>
      <w:r>
        <w:rPr>
          <w:spacing w:val="58"/>
        </w:rPr>
        <w:t xml:space="preserve"> </w:t>
      </w:r>
      <w:r>
        <w:t>See 2 U.S.C. §</w:t>
      </w:r>
      <w:r>
        <w:rPr>
          <w:spacing w:val="-1"/>
        </w:rPr>
        <w:t xml:space="preserve"> </w:t>
      </w:r>
      <w:r>
        <w:t>1611.</w:t>
      </w:r>
    </w:p>
    <w:p w:rsidR="009230AA" w14:paraId="125136DC" w14:textId="77777777">
      <w:pPr>
        <w:autoSpaceDE w:val="0"/>
        <w:autoSpaceDN w:val="0"/>
        <w:adjustRightInd w:val="0"/>
        <w:rPr>
          <w:rFonts w:ascii="Times New Roman" w:hAnsi="Times New Roman"/>
          <w:color w:val="000000"/>
        </w:rPr>
      </w:pPr>
    </w:p>
    <w:p w:rsidR="00C649C6" w:rsidRPr="00FF0904" w14:paraId="66BB4669" w14:textId="35331736">
      <w:pPr>
        <w:autoSpaceDE w:val="0"/>
        <w:autoSpaceDN w:val="0"/>
        <w:adjustRightInd w:val="0"/>
        <w:rPr>
          <w:rFonts w:ascii="Times New Roman" w:hAnsi="Times New Roman"/>
          <w:color w:val="000000"/>
        </w:rPr>
      </w:pPr>
      <w:r w:rsidRPr="009230AA">
        <w:rPr>
          <w:rFonts w:ascii="Times New Roman" w:hAnsi="Times New Roman"/>
          <w:color w:val="000000"/>
        </w:rPr>
        <w:t>MSHA will award up to $250,000 for this grant program. The minimum award for an individual grant is $50,000 and the maximum award is $250,000. Applicants requesting less than $50,000 or more than $250,000 for a 12-month performance period will not be considered.</w:t>
      </w:r>
      <w:r w:rsidRPr="00FF0904">
        <w:rPr>
          <w:rFonts w:ascii="Times New Roman" w:hAnsi="Times New Roman"/>
          <w:color w:val="000000"/>
        </w:rPr>
        <w:tab/>
      </w:r>
      <w:r w:rsidRPr="00FF0904">
        <w:rPr>
          <w:rFonts w:ascii="Times New Roman" w:hAnsi="Times New Roman"/>
          <w:color w:val="000000"/>
        </w:rPr>
        <w:tab/>
      </w:r>
      <w:r w:rsidRPr="00FF0904">
        <w:rPr>
          <w:rFonts w:ascii="Times New Roman" w:hAnsi="Times New Roman"/>
          <w:color w:val="000000"/>
        </w:rPr>
        <w:tab/>
      </w:r>
    </w:p>
    <w:p w:rsidR="004B725F" w:rsidRPr="00FF0904" w14:paraId="5CFC9795" w14:textId="77777777">
      <w:pPr>
        <w:rPr>
          <w:rFonts w:ascii="Times New Roman" w:hAnsi="Times New Roman"/>
          <w:color w:val="000000"/>
        </w:rPr>
      </w:pPr>
    </w:p>
    <w:p w:rsidR="00C649C6" w:rsidRPr="00FF0904" w14:paraId="6150133B" w14:textId="77777777">
      <w:pPr>
        <w:rPr>
          <w:rFonts w:ascii="Times New Roman" w:hAnsi="Times New Roman"/>
          <w:b/>
          <w:color w:val="000000"/>
        </w:rPr>
      </w:pPr>
      <w:r w:rsidRPr="00FF0904">
        <w:rPr>
          <w:rFonts w:ascii="Times New Roman" w:hAnsi="Times New Roman"/>
          <w:b/>
          <w:color w:val="000000"/>
          <w:u w:val="single"/>
        </w:rPr>
        <w:t>Electronic A</w:t>
      </w:r>
      <w:r w:rsidRPr="00FF0904">
        <w:rPr>
          <w:rFonts w:ascii="Times New Roman" w:hAnsi="Times New Roman"/>
          <w:b/>
          <w:color w:val="000000"/>
          <w:u w:val="single"/>
        </w:rPr>
        <w:t>vailability</w:t>
      </w:r>
      <w:r w:rsidRPr="00FF0904">
        <w:rPr>
          <w:rFonts w:ascii="Times New Roman" w:hAnsi="Times New Roman"/>
          <w:b/>
          <w:color w:val="000000"/>
        </w:rPr>
        <w:t>:</w:t>
      </w:r>
    </w:p>
    <w:p w:rsidR="00C649C6" w:rsidRPr="00FF0904" w14:paraId="57FEB20C" w14:textId="77777777">
      <w:pPr>
        <w:rPr>
          <w:rFonts w:ascii="Times New Roman" w:hAnsi="Times New Roman"/>
          <w:color w:val="000000"/>
        </w:rPr>
      </w:pPr>
    </w:p>
    <w:p w:rsidR="00C649C6" w:rsidRPr="00FF0904" w14:paraId="61015A9D" w14:textId="1EB3D7C3">
      <w:pPr>
        <w:rPr>
          <w:rFonts w:ascii="Times New Roman" w:hAnsi="Times New Roman"/>
          <w:color w:val="000000"/>
        </w:rPr>
      </w:pPr>
      <w:r w:rsidRPr="00FF0904">
        <w:rPr>
          <w:rFonts w:ascii="Times New Roman" w:hAnsi="Times New Roman"/>
          <w:color w:val="000000"/>
        </w:rPr>
        <w:t xml:space="preserve">This grant solicitation </w:t>
      </w:r>
      <w:r w:rsidRPr="00FF0904" w:rsidR="00035EBA">
        <w:rPr>
          <w:rFonts w:ascii="Times New Roman" w:hAnsi="Times New Roman"/>
          <w:color w:val="000000"/>
        </w:rPr>
        <w:t xml:space="preserve">is available on the </w:t>
      </w:r>
      <w:hyperlink r:id="rId9" w:history="1">
        <w:r w:rsidRPr="00FF0904" w:rsidR="00E535FB">
          <w:rPr>
            <w:rStyle w:val="Hyperlink"/>
            <w:rFonts w:ascii="Times New Roman" w:hAnsi="Times New Roman"/>
          </w:rPr>
          <w:t>Grants</w:t>
        </w:r>
        <w:r w:rsidRPr="00FF0904" w:rsidR="00035EBA">
          <w:rPr>
            <w:rStyle w:val="Hyperlink"/>
            <w:rFonts w:ascii="Times New Roman" w:hAnsi="Times New Roman"/>
          </w:rPr>
          <w:t>.gov</w:t>
        </w:r>
      </w:hyperlink>
      <w:r w:rsidRPr="00FF0904" w:rsidR="00035EBA">
        <w:rPr>
          <w:rFonts w:ascii="Times New Roman" w:hAnsi="Times New Roman"/>
          <w:color w:val="000000"/>
        </w:rPr>
        <w:t xml:space="preserve"> w</w:t>
      </w:r>
      <w:r w:rsidRPr="00FF0904">
        <w:rPr>
          <w:rFonts w:ascii="Times New Roman" w:hAnsi="Times New Roman"/>
          <w:color w:val="000000"/>
        </w:rPr>
        <w:t>ebsite.</w:t>
      </w:r>
      <w:r w:rsidRPr="00FF0904" w:rsidR="008267D0">
        <w:rPr>
          <w:rFonts w:ascii="Times New Roman" w:hAnsi="Times New Roman"/>
          <w:color w:val="000000"/>
        </w:rPr>
        <w:t xml:space="preserve"> </w:t>
      </w:r>
      <w:r w:rsidRPr="00FF0904">
        <w:rPr>
          <w:rFonts w:ascii="Times New Roman" w:hAnsi="Times New Roman"/>
          <w:color w:val="000000"/>
        </w:rPr>
        <w:t xml:space="preserve">Based on past DOL experience, the Department anticipates </w:t>
      </w:r>
      <w:r w:rsidRPr="00FF0904" w:rsidR="009F0FCE">
        <w:rPr>
          <w:rFonts w:ascii="Times New Roman" w:hAnsi="Times New Roman"/>
          <w:color w:val="000000"/>
        </w:rPr>
        <w:t>100</w:t>
      </w:r>
      <w:r w:rsidRPr="00FF0904">
        <w:rPr>
          <w:rFonts w:ascii="Times New Roman" w:hAnsi="Times New Roman"/>
          <w:color w:val="000000"/>
        </w:rPr>
        <w:t xml:space="preserve"> percent of responses will be submitted electronically.</w:t>
      </w:r>
      <w:r w:rsidRPr="00FF0904" w:rsidR="008267D0">
        <w:rPr>
          <w:rFonts w:ascii="Times New Roman" w:hAnsi="Times New Roman"/>
          <w:color w:val="000000"/>
        </w:rPr>
        <w:t xml:space="preserve"> </w:t>
      </w:r>
    </w:p>
    <w:p w:rsidR="002E046D" w:rsidRPr="00FF0904" w14:paraId="1BBA111B" w14:textId="77777777">
      <w:pPr>
        <w:rPr>
          <w:rFonts w:ascii="Times New Roman" w:hAnsi="Times New Roman"/>
          <w:b/>
          <w:color w:val="000000"/>
          <w:u w:val="single"/>
        </w:rPr>
      </w:pPr>
    </w:p>
    <w:p w:rsidR="00FE01B6" w14:paraId="19F2E463" w14:textId="77777777">
      <w:pPr>
        <w:rPr>
          <w:rFonts w:ascii="Times New Roman" w:hAnsi="Times New Roman"/>
          <w:b/>
          <w:color w:val="000000"/>
          <w:u w:val="single"/>
        </w:rPr>
      </w:pPr>
    </w:p>
    <w:p w:rsidR="00C649C6" w:rsidRPr="00FF0904" w14:paraId="2D5AAAB8" w14:textId="5F534E62">
      <w:pPr>
        <w:rPr>
          <w:rFonts w:ascii="Times New Roman" w:hAnsi="Times New Roman"/>
          <w:b/>
          <w:color w:val="000000"/>
          <w:u w:val="single"/>
        </w:rPr>
      </w:pPr>
      <w:r w:rsidRPr="00FF0904">
        <w:rPr>
          <w:rFonts w:ascii="Times New Roman" w:hAnsi="Times New Roman"/>
          <w:b/>
          <w:color w:val="000000"/>
          <w:u w:val="single"/>
        </w:rPr>
        <w:t>Small Entities:</w:t>
      </w:r>
    </w:p>
    <w:p w:rsidR="00C649C6" w:rsidRPr="00FF0904" w14:paraId="0A5430C9" w14:textId="77777777">
      <w:pPr>
        <w:rPr>
          <w:rFonts w:ascii="Times New Roman" w:hAnsi="Times New Roman"/>
          <w:color w:val="000000"/>
        </w:rPr>
      </w:pPr>
    </w:p>
    <w:p w:rsidR="00C649C6" w:rsidRPr="00FF0904" w14:paraId="5AE03DA0" w14:textId="77777777">
      <w:pPr>
        <w:rPr>
          <w:rFonts w:ascii="Times New Roman" w:hAnsi="Times New Roman"/>
          <w:color w:val="000000"/>
        </w:rPr>
      </w:pPr>
      <w:r w:rsidRPr="00FF0904">
        <w:rPr>
          <w:rFonts w:ascii="Times New Roman" w:hAnsi="Times New Roman"/>
          <w:color w:val="000000"/>
        </w:rPr>
        <w:t>This information collection will not have a significant impact on a substantial number of small entities.</w:t>
      </w:r>
    </w:p>
    <w:p w:rsidR="00D9654B" w14:paraId="67B62FF4" w14:textId="16307B31">
      <w:pPr>
        <w:rPr>
          <w:rFonts w:ascii="Times New Roman" w:hAnsi="Times New Roman"/>
          <w:b/>
          <w:color w:val="000000"/>
          <w:u w:val="single"/>
        </w:rPr>
      </w:pPr>
    </w:p>
    <w:p w:rsidR="00C649C6" w:rsidRPr="00FF0904" w14:paraId="58E0A2B2" w14:textId="2A9315C0">
      <w:pPr>
        <w:autoSpaceDE w:val="0"/>
        <w:autoSpaceDN w:val="0"/>
        <w:adjustRightInd w:val="0"/>
        <w:rPr>
          <w:rFonts w:ascii="Times New Roman" w:hAnsi="Times New Roman"/>
          <w:b/>
          <w:color w:val="000000"/>
          <w:u w:val="single"/>
        </w:rPr>
      </w:pPr>
      <w:r w:rsidRPr="00FF0904">
        <w:rPr>
          <w:rFonts w:ascii="Times New Roman" w:hAnsi="Times New Roman"/>
          <w:b/>
          <w:color w:val="000000"/>
          <w:u w:val="single"/>
        </w:rPr>
        <w:t xml:space="preserve">Assurances of </w:t>
      </w:r>
      <w:r w:rsidRPr="00FF0904" w:rsidR="002300F6">
        <w:rPr>
          <w:rFonts w:ascii="Times New Roman" w:hAnsi="Times New Roman"/>
          <w:b/>
          <w:color w:val="000000"/>
          <w:u w:val="single"/>
        </w:rPr>
        <w:t>C</w:t>
      </w:r>
      <w:r w:rsidRPr="00FF0904">
        <w:rPr>
          <w:rFonts w:ascii="Times New Roman" w:hAnsi="Times New Roman"/>
          <w:b/>
          <w:color w:val="000000"/>
          <w:u w:val="single"/>
        </w:rPr>
        <w:t>onfidentiality:</w:t>
      </w:r>
    </w:p>
    <w:p w:rsidR="00C649C6" w:rsidRPr="00FF0904" w14:paraId="3CCE62E7" w14:textId="77777777">
      <w:pPr>
        <w:rPr>
          <w:rFonts w:ascii="Times New Roman" w:hAnsi="Times New Roman"/>
          <w:color w:val="000000"/>
        </w:rPr>
      </w:pPr>
    </w:p>
    <w:p w:rsidR="00C649C6" w:rsidRPr="00FF0904" w14:paraId="54B50265" w14:textId="77777777">
      <w:pPr>
        <w:rPr>
          <w:rFonts w:ascii="Times New Roman" w:hAnsi="Times New Roman"/>
          <w:color w:val="000000"/>
        </w:rPr>
      </w:pPr>
      <w:r w:rsidRPr="00FF0904">
        <w:rPr>
          <w:rFonts w:ascii="Times New Roman" w:hAnsi="Times New Roman"/>
          <w:color w:val="000000"/>
        </w:rPr>
        <w:t>The</w:t>
      </w:r>
      <w:r w:rsidRPr="00FF0904">
        <w:rPr>
          <w:rFonts w:ascii="Times New Roman" w:hAnsi="Times New Roman"/>
          <w:color w:val="000000"/>
        </w:rPr>
        <w:t xml:space="preserve"> grant solicitations do not offer applicants assurances of confidentiality.</w:t>
      </w:r>
    </w:p>
    <w:p w:rsidR="00C649C6" w:rsidRPr="00FF0904" w14:paraId="3F29CBA9" w14:textId="77777777">
      <w:pPr>
        <w:rPr>
          <w:rFonts w:ascii="Times New Roman" w:hAnsi="Times New Roman"/>
          <w:color w:val="000000"/>
        </w:rPr>
      </w:pPr>
    </w:p>
    <w:p w:rsidR="00C649C6" w:rsidRPr="00FF0904" w14:paraId="4176EC9C" w14:textId="77777777">
      <w:pPr>
        <w:rPr>
          <w:rFonts w:ascii="Times New Roman" w:hAnsi="Times New Roman"/>
          <w:b/>
          <w:color w:val="000000"/>
          <w:u w:val="single"/>
        </w:rPr>
      </w:pPr>
      <w:r w:rsidRPr="00FF0904">
        <w:rPr>
          <w:rFonts w:ascii="Times New Roman" w:hAnsi="Times New Roman"/>
          <w:b/>
          <w:color w:val="000000"/>
          <w:u w:val="single"/>
        </w:rPr>
        <w:t>Special C</w:t>
      </w:r>
      <w:r w:rsidRPr="00FF0904">
        <w:rPr>
          <w:rFonts w:ascii="Times New Roman" w:hAnsi="Times New Roman"/>
          <w:b/>
          <w:color w:val="000000"/>
          <w:u w:val="single"/>
        </w:rPr>
        <w:t>ircumstances:</w:t>
      </w:r>
    </w:p>
    <w:p w:rsidR="00C649C6" w:rsidRPr="00FF0904" w14:paraId="0A5FEAD3" w14:textId="77777777">
      <w:pPr>
        <w:rPr>
          <w:rFonts w:ascii="Times New Roman" w:hAnsi="Times New Roman"/>
          <w:color w:val="000000"/>
        </w:rPr>
      </w:pPr>
    </w:p>
    <w:p w:rsidR="00C649C6" w:rsidRPr="00FF0904" w14:paraId="1CC06570" w14:textId="77777777">
      <w:pPr>
        <w:rPr>
          <w:rFonts w:ascii="Times New Roman" w:hAnsi="Times New Roman"/>
          <w:color w:val="000000"/>
        </w:rPr>
      </w:pPr>
      <w:r w:rsidRPr="00FF0904">
        <w:rPr>
          <w:rFonts w:ascii="Times New Roman" w:hAnsi="Times New Roman"/>
          <w:color w:val="000000"/>
        </w:rPr>
        <w:t>This information collection complies with 5 CFR 1320.5</w:t>
      </w:r>
      <w:r w:rsidRPr="00FF0904" w:rsidR="009F73B2">
        <w:rPr>
          <w:rFonts w:ascii="Times New Roman" w:hAnsi="Times New Roman"/>
          <w:color w:val="000000"/>
        </w:rPr>
        <w:t>.</w:t>
      </w:r>
    </w:p>
    <w:p w:rsidR="00C649C6" w:rsidRPr="00FF0904" w14:paraId="1C0049CA" w14:textId="77777777">
      <w:pPr>
        <w:rPr>
          <w:rFonts w:ascii="Times New Roman" w:hAnsi="Times New Roman"/>
          <w:color w:val="000000"/>
        </w:rPr>
      </w:pPr>
    </w:p>
    <w:p w:rsidR="00A8790A" w:rsidRPr="00FF0904" w:rsidP="00A8790A" w14:paraId="521B8487" w14:textId="42428741">
      <w:pPr>
        <w:rPr>
          <w:rFonts w:ascii="Times New Roman" w:hAnsi="Times New Roman"/>
          <w:b/>
          <w:color w:val="000000"/>
          <w:u w:val="single"/>
        </w:rPr>
      </w:pPr>
      <w:r w:rsidRPr="00FF0904">
        <w:rPr>
          <w:rFonts w:ascii="Times New Roman" w:hAnsi="Times New Roman"/>
          <w:b/>
          <w:color w:val="000000"/>
          <w:u w:val="single"/>
        </w:rPr>
        <w:t>Brookwood-Sago Mine Safety Grants Program</w:t>
      </w:r>
      <w:r w:rsidRPr="00FF0904" w:rsidR="004C4703">
        <w:rPr>
          <w:rFonts w:ascii="Times New Roman" w:hAnsi="Times New Roman"/>
          <w:b/>
          <w:color w:val="000000"/>
          <w:u w:val="single"/>
        </w:rPr>
        <w:t xml:space="preserve"> Applications</w:t>
      </w:r>
      <w:r w:rsidRPr="00FF0904" w:rsidR="009F73B2">
        <w:rPr>
          <w:rFonts w:ascii="Times New Roman" w:hAnsi="Times New Roman"/>
          <w:b/>
          <w:color w:val="000000"/>
          <w:u w:val="single"/>
        </w:rPr>
        <w:t>:</w:t>
      </w:r>
    </w:p>
    <w:p w:rsidR="00C649C6" w:rsidRPr="00FF0904" w14:paraId="04B80716" w14:textId="77777777">
      <w:pPr>
        <w:rPr>
          <w:rFonts w:ascii="Times New Roman" w:hAnsi="Times New Roman"/>
          <w:color w:val="000000"/>
        </w:rPr>
      </w:pPr>
    </w:p>
    <w:p w:rsidR="00B86ECA" w:rsidRPr="00FF0904" w:rsidP="004B725F" w14:paraId="22F49AE1" w14:textId="5AFC5BDB">
      <w:pPr>
        <w:rPr>
          <w:rFonts w:ascii="Times New Roman" w:hAnsi="Times New Roman"/>
          <w:color w:val="000000"/>
        </w:rPr>
      </w:pPr>
      <w:r w:rsidRPr="00FF0904">
        <w:rPr>
          <w:rFonts w:ascii="Times New Roman" w:hAnsi="Times New Roman"/>
          <w:color w:val="000000"/>
        </w:rPr>
        <w:t>For t</w:t>
      </w:r>
      <w:r w:rsidRPr="00FF0904" w:rsidR="00C47A54">
        <w:rPr>
          <w:rFonts w:ascii="Times New Roman" w:hAnsi="Times New Roman"/>
          <w:color w:val="000000"/>
        </w:rPr>
        <w:t xml:space="preserve">he </w:t>
      </w:r>
      <w:r w:rsidRPr="00FF0904" w:rsidR="00AB4E82">
        <w:rPr>
          <w:rFonts w:ascii="Times New Roman" w:hAnsi="Times New Roman"/>
          <w:color w:val="000000"/>
        </w:rPr>
        <w:t>Brookwood-Sago Mine Safety Grants Program</w:t>
      </w:r>
      <w:r w:rsidRPr="00FF0904" w:rsidR="00C47A54">
        <w:rPr>
          <w:rFonts w:ascii="Times New Roman" w:hAnsi="Times New Roman"/>
          <w:color w:val="000000"/>
        </w:rPr>
        <w:t xml:space="preserve">, </w:t>
      </w:r>
      <w:r w:rsidRPr="00FF0904" w:rsidR="0059201B">
        <w:rPr>
          <w:rFonts w:ascii="Times New Roman" w:hAnsi="Times New Roman"/>
          <w:color w:val="000000"/>
        </w:rPr>
        <w:t xml:space="preserve">MSHA </w:t>
      </w:r>
      <w:r w:rsidRPr="00FF0904" w:rsidR="00A744B9">
        <w:rPr>
          <w:rFonts w:ascii="Times New Roman" w:hAnsi="Times New Roman"/>
          <w:color w:val="000000"/>
        </w:rPr>
        <w:t xml:space="preserve">anticipants receiving approximately </w:t>
      </w:r>
      <w:r w:rsidRPr="00FF0904" w:rsidR="004B725F">
        <w:rPr>
          <w:rFonts w:ascii="Times New Roman" w:hAnsi="Times New Roman"/>
          <w:color w:val="000000"/>
        </w:rPr>
        <w:t>25 applications.</w:t>
      </w:r>
    </w:p>
    <w:p w:rsidR="00B86ECA" w:rsidRPr="00FF0904" w:rsidP="004B725F" w14:paraId="1CE672F2" w14:textId="77777777">
      <w:pPr>
        <w:rPr>
          <w:rFonts w:ascii="Times New Roman" w:hAnsi="Times New Roman"/>
          <w:color w:val="000000"/>
        </w:rPr>
      </w:pPr>
    </w:p>
    <w:p w:rsidR="00FF0904" w:rsidRPr="00FF0904" w:rsidP="00FF0904" w14:paraId="1419E6C7" w14:textId="73F1A10E">
      <w:pPr>
        <w:rPr>
          <w:rFonts w:ascii="Times New Roman" w:hAnsi="Times New Roman"/>
          <w:b/>
        </w:rPr>
      </w:pPr>
      <w:bookmarkStart w:id="0" w:name="_Hlk189056310"/>
      <w:bookmarkStart w:id="1" w:name="_Hlk158986045"/>
      <w:r w:rsidRPr="00FF0904">
        <w:rPr>
          <w:rFonts w:ascii="Times New Roman" w:hAnsi="Times New Roman"/>
          <w:b/>
        </w:rPr>
        <w:t>Wage Rates Determination</w:t>
      </w:r>
      <w:r>
        <w:rPr>
          <w:rFonts w:ascii="Times New Roman" w:hAnsi="Times New Roman"/>
          <w:b/>
          <w:bCs/>
          <w:vertAlign w:val="superscript"/>
        </w:rPr>
        <w:footnoteReference w:id="2"/>
      </w:r>
    </w:p>
    <w:p w:rsidR="008F7836" w:rsidRPr="00FF0904" w:rsidP="008F7836" w14:paraId="1A9D0AF0" w14:textId="6A638964">
      <w:pPr>
        <w:rPr>
          <w:rFonts w:ascii="Times New Roman" w:hAnsi="Times New Roman"/>
        </w:rPr>
      </w:pPr>
      <w:bookmarkStart w:id="2" w:name="_Hlk130456869"/>
      <w:r w:rsidRPr="00FF0904">
        <w:rPr>
          <w:rFonts w:ascii="Times New Roman" w:hAnsi="Times New Roman"/>
        </w:rPr>
        <w:t>MSHA use</w:t>
      </w:r>
      <w:r w:rsidRPr="00FF0904">
        <w:rPr>
          <w:rFonts w:ascii="Times New Roman" w:hAnsi="Times New Roman"/>
        </w:rPr>
        <w:t>s</w:t>
      </w:r>
      <w:r w:rsidRPr="00FF0904">
        <w:rPr>
          <w:rFonts w:ascii="Times New Roman" w:hAnsi="Times New Roman"/>
        </w:rPr>
        <w:t xml:space="preserve"> data from the May 202</w:t>
      </w:r>
      <w:r w:rsidRPr="00FF0904" w:rsidR="00C170D5">
        <w:rPr>
          <w:rFonts w:ascii="Times New Roman" w:hAnsi="Times New Roman"/>
        </w:rPr>
        <w:t>3</w:t>
      </w:r>
      <w:r w:rsidRPr="00FF0904">
        <w:rPr>
          <w:rFonts w:ascii="Times New Roman" w:hAnsi="Times New Roman"/>
        </w:rPr>
        <w:t xml:space="preserve"> Occupational Employment and Wage Statistics (OEWS) </w:t>
      </w:r>
      <w:bookmarkEnd w:id="2"/>
      <w:r w:rsidRPr="00FF0904">
        <w:rPr>
          <w:rFonts w:ascii="Times New Roman" w:hAnsi="Times New Roman"/>
        </w:rPr>
        <w:t>published by the Bureau of Labor Statistics (BLS) for hourly wage rates</w:t>
      </w:r>
      <w:r>
        <w:rPr>
          <w:rFonts w:ascii="Times New Roman" w:hAnsi="Times New Roman"/>
          <w:vertAlign w:val="superscript"/>
        </w:rPr>
        <w:footnoteReference w:id="3"/>
      </w:r>
      <w:r w:rsidRPr="00FF0904">
        <w:rPr>
          <w:rFonts w:ascii="Times New Roman" w:hAnsi="Times New Roman"/>
        </w:rPr>
        <w:t xml:space="preserve"> and adjusted the rates </w:t>
      </w:r>
      <w:r w:rsidRPr="00FF0904">
        <w:rPr>
          <w:rFonts w:ascii="Times New Roman" w:hAnsi="Times New Roman"/>
        </w:rPr>
        <w:t>for benefits,</w:t>
      </w:r>
      <w:r>
        <w:rPr>
          <w:rFonts w:ascii="Times New Roman" w:hAnsi="Times New Roman"/>
          <w:vertAlign w:val="superscript"/>
        </w:rPr>
        <w:footnoteReference w:id="4"/>
      </w:r>
      <w:r w:rsidRPr="00FF0904">
        <w:rPr>
          <w:rFonts w:ascii="Times New Roman" w:hAnsi="Times New Roman"/>
        </w:rPr>
        <w:t xml:space="preserve"> wage inflation,</w:t>
      </w:r>
      <w:r>
        <w:rPr>
          <w:rFonts w:ascii="Times New Roman" w:hAnsi="Times New Roman"/>
          <w:vertAlign w:val="superscript"/>
        </w:rPr>
        <w:footnoteReference w:id="5"/>
      </w:r>
      <w:r w:rsidRPr="00FF0904">
        <w:rPr>
          <w:rFonts w:ascii="Times New Roman" w:hAnsi="Times New Roman"/>
        </w:rPr>
        <w:t xml:space="preserve"> and overhead costs</w:t>
      </w:r>
      <w:bookmarkStart w:id="3" w:name="_Hlk137116777"/>
      <w:r w:rsidRPr="00FF0904">
        <w:rPr>
          <w:rFonts w:ascii="Times New Roman" w:hAnsi="Times New Roman"/>
        </w:rPr>
        <w:t>.</w:t>
      </w:r>
      <w:r>
        <w:rPr>
          <w:rFonts w:ascii="Times New Roman" w:hAnsi="Times New Roman"/>
          <w:vertAlign w:val="superscript"/>
        </w:rPr>
        <w:footnoteReference w:id="6"/>
      </w:r>
      <w:bookmarkEnd w:id="3"/>
      <w:r w:rsidRPr="00FF0904">
        <w:rPr>
          <w:rFonts w:ascii="Times New Roman" w:hAnsi="Times New Roman"/>
        </w:rPr>
        <w:t xml:space="preserve"> </w:t>
      </w:r>
      <w:r w:rsidRPr="00FF0904">
        <w:rPr>
          <w:rFonts w:ascii="Times New Roman" w:hAnsi="Times New Roman"/>
        </w:rPr>
        <w:t>The occupations listed below in Table 1 are those that were determined to be relevant for the cost calculations.</w:t>
      </w:r>
    </w:p>
    <w:bookmarkEnd w:id="0"/>
    <w:bookmarkEnd w:id="1"/>
    <w:p w:rsidR="00D9654B" w14:paraId="7CBA1DDC" w14:textId="5CF2B661">
      <w:pPr>
        <w:rPr>
          <w:rFonts w:ascii="Times New Roman" w:hAnsi="Times New Roman"/>
          <w:b/>
          <w:bCs/>
          <w:color w:val="000000"/>
        </w:rPr>
      </w:pPr>
    </w:p>
    <w:p w:rsidR="008267D0" w:rsidRPr="00FF0904" w:rsidP="008267D0" w14:paraId="5E90AC05" w14:textId="078E64B5">
      <w:pPr>
        <w:rPr>
          <w:rFonts w:ascii="Times New Roman" w:hAnsi="Times New Roman"/>
          <w:b/>
          <w:bCs/>
          <w:color w:val="000000"/>
        </w:rPr>
      </w:pPr>
      <w:r w:rsidRPr="00FF0904">
        <w:rPr>
          <w:rFonts w:ascii="Times New Roman" w:hAnsi="Times New Roman"/>
          <w:b/>
          <w:bCs/>
          <w:color w:val="000000"/>
        </w:rPr>
        <w:t>Table 1. Hourly Wage Rate</w:t>
      </w:r>
    </w:p>
    <w:tbl>
      <w:tblPr>
        <w:tblStyle w:val="TableGrid1"/>
        <w:tblW w:w="9450" w:type="dxa"/>
        <w:tblInd w:w="-5" w:type="dxa"/>
        <w:tblLook w:val="04A0"/>
      </w:tblPr>
      <w:tblGrid>
        <w:gridCol w:w="1980"/>
        <w:gridCol w:w="900"/>
        <w:gridCol w:w="1170"/>
        <w:gridCol w:w="1170"/>
        <w:gridCol w:w="1170"/>
        <w:gridCol w:w="1530"/>
        <w:gridCol w:w="1530"/>
      </w:tblGrid>
      <w:tr w14:paraId="4FEF8FF2" w14:textId="77777777" w:rsidTr="00D57A85">
        <w:tblPrEx>
          <w:tblW w:w="9450" w:type="dxa"/>
          <w:tblInd w:w="-5" w:type="dxa"/>
          <w:tblLook w:val="04A0"/>
        </w:tblPrEx>
        <w:trPr>
          <w:trHeight w:val="600"/>
        </w:trPr>
        <w:tc>
          <w:tcPr>
            <w:tcW w:w="1980" w:type="dxa"/>
            <w:shd w:val="clear" w:color="auto" w:fill="95B3D7"/>
            <w:noWrap/>
            <w:vAlign w:val="center"/>
            <w:hideMark/>
          </w:tcPr>
          <w:p w:rsidR="008267D0" w:rsidRPr="00FF0904" w:rsidP="008267D0" w14:paraId="6F24180D" w14:textId="77777777">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Occupation</w:t>
            </w:r>
          </w:p>
        </w:tc>
        <w:tc>
          <w:tcPr>
            <w:tcW w:w="900" w:type="dxa"/>
            <w:shd w:val="clear" w:color="auto" w:fill="95B3D7"/>
            <w:vAlign w:val="center"/>
          </w:tcPr>
          <w:p w:rsidR="008267D0" w:rsidRPr="00FF0904" w:rsidP="008267D0" w14:paraId="56BB9B90"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NAICS Code</w:t>
            </w:r>
          </w:p>
        </w:tc>
        <w:tc>
          <w:tcPr>
            <w:tcW w:w="1170" w:type="dxa"/>
            <w:shd w:val="clear" w:color="auto" w:fill="95B3D7"/>
            <w:noWrap/>
            <w:vAlign w:val="center"/>
            <w:hideMark/>
          </w:tcPr>
          <w:p w:rsidR="008267D0" w:rsidRPr="00FF0904" w:rsidP="008267D0" w14:paraId="764BD26E"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Mean Wage Rate</w:t>
            </w:r>
          </w:p>
        </w:tc>
        <w:tc>
          <w:tcPr>
            <w:tcW w:w="1170" w:type="dxa"/>
            <w:shd w:val="clear" w:color="auto" w:fill="95B3D7"/>
            <w:noWrap/>
            <w:vAlign w:val="center"/>
            <w:hideMark/>
          </w:tcPr>
          <w:p w:rsidR="008267D0" w:rsidRPr="00FF0904" w:rsidP="008267D0" w14:paraId="55D4AE1C"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Benefit Multiplier</w:t>
            </w:r>
          </w:p>
        </w:tc>
        <w:tc>
          <w:tcPr>
            <w:tcW w:w="1170" w:type="dxa"/>
            <w:shd w:val="clear" w:color="auto" w:fill="95B3D7"/>
            <w:noWrap/>
            <w:vAlign w:val="center"/>
            <w:hideMark/>
          </w:tcPr>
          <w:p w:rsidR="008267D0" w:rsidRPr="00FF0904" w:rsidP="008267D0" w14:paraId="5B285497"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Inflation Multiplier</w:t>
            </w:r>
          </w:p>
        </w:tc>
        <w:tc>
          <w:tcPr>
            <w:tcW w:w="1530" w:type="dxa"/>
            <w:shd w:val="clear" w:color="auto" w:fill="95B3D7"/>
            <w:vAlign w:val="center"/>
            <w:hideMark/>
          </w:tcPr>
          <w:p w:rsidR="008267D0" w:rsidRPr="00FF0904" w:rsidP="008267D0" w14:paraId="35421EB1"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Overhead Cost Multiplier</w:t>
            </w:r>
          </w:p>
        </w:tc>
        <w:tc>
          <w:tcPr>
            <w:tcW w:w="1530" w:type="dxa"/>
            <w:shd w:val="clear" w:color="auto" w:fill="95B3D7"/>
            <w:vAlign w:val="center"/>
            <w:hideMark/>
          </w:tcPr>
          <w:p w:rsidR="008267D0" w:rsidRPr="00FF0904" w:rsidP="008267D0" w14:paraId="44A02D1D"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Loaded Hourly Wage Rate</w:t>
            </w:r>
          </w:p>
        </w:tc>
      </w:tr>
      <w:tr w14:paraId="2213975C" w14:textId="77777777" w:rsidTr="00D57A85">
        <w:tblPrEx>
          <w:tblW w:w="9450" w:type="dxa"/>
          <w:tblInd w:w="-5" w:type="dxa"/>
          <w:tblLook w:val="04A0"/>
        </w:tblPrEx>
        <w:trPr>
          <w:trHeight w:val="315"/>
        </w:trPr>
        <w:tc>
          <w:tcPr>
            <w:tcW w:w="1980" w:type="dxa"/>
            <w:shd w:val="clear" w:color="auto" w:fill="95B3D7"/>
            <w:noWrap/>
            <w:vAlign w:val="center"/>
            <w:hideMark/>
          </w:tcPr>
          <w:p w:rsidR="008267D0" w:rsidRPr="00FF0904" w:rsidP="008267D0" w14:paraId="34720BA9" w14:textId="77777777">
            <w:pPr>
              <w:autoSpaceDE w:val="0"/>
              <w:autoSpaceDN w:val="0"/>
              <w:adjustRightInd w:val="0"/>
              <w:jc w:val="center"/>
              <w:rPr>
                <w:rFonts w:ascii="Times New Roman" w:hAnsi="Times New Roman"/>
                <w:snapToGrid w:val="0"/>
                <w:color w:val="000000"/>
                <w:sz w:val="20"/>
                <w:szCs w:val="22"/>
              </w:rPr>
            </w:pPr>
          </w:p>
        </w:tc>
        <w:tc>
          <w:tcPr>
            <w:tcW w:w="900" w:type="dxa"/>
            <w:shd w:val="clear" w:color="auto" w:fill="95B3D7"/>
          </w:tcPr>
          <w:p w:rsidR="008267D0" w:rsidRPr="00FF0904" w:rsidP="008267D0" w14:paraId="16361695" w14:textId="77777777">
            <w:pPr>
              <w:autoSpaceDE w:val="0"/>
              <w:autoSpaceDN w:val="0"/>
              <w:adjustRightInd w:val="0"/>
              <w:jc w:val="center"/>
              <w:rPr>
                <w:rFonts w:ascii="Times New Roman" w:hAnsi="Times New Roman"/>
                <w:snapToGrid w:val="0"/>
                <w:color w:val="000000"/>
                <w:sz w:val="20"/>
                <w:szCs w:val="22"/>
              </w:rPr>
            </w:pPr>
          </w:p>
        </w:tc>
        <w:tc>
          <w:tcPr>
            <w:tcW w:w="1170" w:type="dxa"/>
            <w:shd w:val="clear" w:color="auto" w:fill="95B3D7"/>
            <w:noWrap/>
            <w:vAlign w:val="center"/>
            <w:hideMark/>
          </w:tcPr>
          <w:p w:rsidR="008267D0" w:rsidRPr="00FF0904" w:rsidP="008267D0" w14:paraId="340D10D8"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A</w:t>
            </w:r>
          </w:p>
        </w:tc>
        <w:tc>
          <w:tcPr>
            <w:tcW w:w="1170" w:type="dxa"/>
            <w:shd w:val="clear" w:color="auto" w:fill="95B3D7"/>
            <w:noWrap/>
            <w:vAlign w:val="center"/>
            <w:hideMark/>
          </w:tcPr>
          <w:p w:rsidR="008267D0" w:rsidRPr="00FF0904" w:rsidP="008267D0" w14:paraId="744C0994"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B</w:t>
            </w:r>
          </w:p>
        </w:tc>
        <w:tc>
          <w:tcPr>
            <w:tcW w:w="1170" w:type="dxa"/>
            <w:shd w:val="clear" w:color="auto" w:fill="95B3D7"/>
            <w:noWrap/>
            <w:vAlign w:val="center"/>
            <w:hideMark/>
          </w:tcPr>
          <w:p w:rsidR="008267D0" w:rsidRPr="00FF0904" w:rsidP="008267D0" w14:paraId="24186E2D"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C</w:t>
            </w:r>
          </w:p>
        </w:tc>
        <w:tc>
          <w:tcPr>
            <w:tcW w:w="1530" w:type="dxa"/>
            <w:shd w:val="clear" w:color="auto" w:fill="95B3D7"/>
            <w:vAlign w:val="center"/>
            <w:hideMark/>
          </w:tcPr>
          <w:p w:rsidR="008267D0" w:rsidRPr="00FF0904" w:rsidP="008267D0" w14:paraId="58476E1E"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D</w:t>
            </w:r>
          </w:p>
        </w:tc>
        <w:tc>
          <w:tcPr>
            <w:tcW w:w="1530" w:type="dxa"/>
            <w:shd w:val="clear" w:color="auto" w:fill="95B3D7"/>
            <w:vAlign w:val="center"/>
            <w:hideMark/>
          </w:tcPr>
          <w:p w:rsidR="008267D0" w:rsidRPr="00FF0904" w:rsidP="008267D0" w14:paraId="47585076" w14:textId="77777777">
            <w:pPr>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A x B x C x D</w:t>
            </w:r>
          </w:p>
        </w:tc>
      </w:tr>
      <w:tr w14:paraId="33E7AE19" w14:textId="77777777" w:rsidTr="00D57A85">
        <w:tblPrEx>
          <w:tblW w:w="9450" w:type="dxa"/>
          <w:tblInd w:w="-5" w:type="dxa"/>
          <w:tblLook w:val="04A0"/>
        </w:tblPrEx>
        <w:trPr>
          <w:trHeight w:val="31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4DC6" w:rsidRPr="00FF0904" w:rsidP="009D4DC6" w14:paraId="64A26BC0" w14:textId="1A49D639">
            <w:pPr>
              <w:autoSpaceDE w:val="0"/>
              <w:autoSpaceDN w:val="0"/>
              <w:adjustRightInd w:val="0"/>
              <w:rPr>
                <w:rFonts w:ascii="Times New Roman" w:hAnsi="Times New Roman"/>
                <w:snapToGrid w:val="0"/>
                <w:color w:val="000000"/>
                <w:sz w:val="20"/>
                <w:szCs w:val="22"/>
              </w:rPr>
            </w:pPr>
            <w:r w:rsidRPr="00FF0904">
              <w:rPr>
                <w:rFonts w:ascii="Times New Roman" w:hAnsi="Times New Roman"/>
                <w:snapToGrid w:val="0"/>
                <w:color w:val="000000"/>
                <w:sz w:val="20"/>
                <w:szCs w:val="22"/>
              </w:rPr>
              <w:t>Administrative support worker</w:t>
            </w:r>
            <w:r w:rsidR="00FF0904">
              <w:rPr>
                <w:rFonts w:ascii="Times New Roman" w:hAnsi="Times New Roman"/>
                <w:snapToGrid w:val="0"/>
                <w:color w:val="000000"/>
                <w:sz w:val="20"/>
                <w:szCs w:val="22"/>
              </w:rPr>
              <w:t xml:space="preserve"> [a]</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9D4DC6" w:rsidRPr="00FF0904" w:rsidP="009D4DC6" w14:paraId="460CA1F5" w14:textId="77777777">
            <w:pPr>
              <w:autoSpaceDE w:val="0"/>
              <w:autoSpaceDN w:val="0"/>
              <w:adjustRightInd w:val="0"/>
              <w:jc w:val="center"/>
              <w:rPr>
                <w:rFonts w:ascii="Times New Roman" w:hAnsi="Times New Roman"/>
                <w:snapToGrid w:val="0"/>
                <w:color w:val="000000"/>
                <w:sz w:val="20"/>
                <w:szCs w:val="20"/>
              </w:rPr>
            </w:pPr>
            <w:r w:rsidRPr="00FF0904">
              <w:rPr>
                <w:rFonts w:ascii="Times New Roman" w:hAnsi="Times New Roman"/>
                <w:color w:val="000000"/>
                <w:sz w:val="20"/>
                <w:szCs w:val="20"/>
              </w:rPr>
              <w:t>611200</w:t>
            </w:r>
            <w:r w:rsidRPr="00FF0904">
              <w:rPr>
                <w:rFonts w:ascii="Times New Roman" w:hAnsi="Times New Roman"/>
                <w:color w:val="000000"/>
                <w:sz w:val="20"/>
                <w:szCs w:val="20"/>
              </w:rPr>
              <w:br/>
              <w:t>611300</w:t>
            </w:r>
            <w:r w:rsidRPr="00FF0904">
              <w:rPr>
                <w:rFonts w:ascii="Times New Roman" w:hAnsi="Times New Roman"/>
                <w:color w:val="000000"/>
                <w:sz w:val="20"/>
                <w:szCs w:val="20"/>
              </w:rPr>
              <w:br/>
              <w:t>999200</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D4DC6" w:rsidRPr="00FF0904" w:rsidP="009D4DC6" w14:paraId="6DADFB7C" w14:textId="691912B4">
            <w:pPr>
              <w:autoSpaceDE w:val="0"/>
              <w:autoSpaceDN w:val="0"/>
              <w:adjustRightInd w:val="0"/>
              <w:jc w:val="center"/>
              <w:rPr>
                <w:rFonts w:ascii="Times New Roman" w:hAnsi="Times New Roman"/>
                <w:snapToGrid w:val="0"/>
                <w:color w:val="000000"/>
                <w:sz w:val="20"/>
                <w:szCs w:val="20"/>
              </w:rPr>
            </w:pPr>
            <w:r w:rsidRPr="00D9654B">
              <w:rPr>
                <w:rFonts w:ascii="Times New Roman" w:hAnsi="Times New Roman"/>
                <w:color w:val="000000"/>
                <w:sz w:val="22"/>
                <w:szCs w:val="22"/>
              </w:rPr>
              <w:t xml:space="preserve">$22.41 </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D4DC6" w:rsidRPr="00FF0904" w:rsidP="009D4DC6" w14:paraId="4695A8D3" w14:textId="5856C0E7">
            <w:pPr>
              <w:autoSpaceDE w:val="0"/>
              <w:autoSpaceDN w:val="0"/>
              <w:adjustRightInd w:val="0"/>
              <w:jc w:val="center"/>
              <w:rPr>
                <w:rFonts w:ascii="Times New Roman" w:hAnsi="Times New Roman"/>
                <w:snapToGrid w:val="0"/>
                <w:color w:val="000000"/>
                <w:sz w:val="20"/>
                <w:szCs w:val="20"/>
              </w:rPr>
            </w:pPr>
            <w:r w:rsidRPr="00D9654B">
              <w:rPr>
                <w:rFonts w:ascii="Times New Roman" w:hAnsi="Times New Roman"/>
                <w:color w:val="000000"/>
                <w:sz w:val="22"/>
                <w:szCs w:val="22"/>
              </w:rPr>
              <w:t>1.566</w:t>
            </w:r>
          </w:p>
        </w:tc>
        <w:tc>
          <w:tcPr>
            <w:tcW w:w="1170" w:type="dxa"/>
            <w:tcBorders>
              <w:top w:val="single" w:sz="4" w:space="0" w:color="auto"/>
              <w:left w:val="nil"/>
              <w:bottom w:val="single" w:sz="4" w:space="0" w:color="auto"/>
              <w:right w:val="single" w:sz="4" w:space="0" w:color="auto"/>
            </w:tcBorders>
            <w:shd w:val="clear" w:color="auto" w:fill="auto"/>
            <w:noWrap/>
            <w:vAlign w:val="center"/>
          </w:tcPr>
          <w:p w:rsidR="009D4DC6" w:rsidRPr="00FF0904" w:rsidP="009D4DC6" w14:paraId="767A8C54" w14:textId="32F6E7B9">
            <w:pPr>
              <w:autoSpaceDE w:val="0"/>
              <w:autoSpaceDN w:val="0"/>
              <w:adjustRightInd w:val="0"/>
              <w:jc w:val="center"/>
              <w:rPr>
                <w:rFonts w:ascii="Times New Roman" w:hAnsi="Times New Roman"/>
                <w:snapToGrid w:val="0"/>
                <w:color w:val="000000"/>
                <w:sz w:val="20"/>
                <w:szCs w:val="20"/>
              </w:rPr>
            </w:pPr>
            <w:r w:rsidRPr="00D9654B">
              <w:rPr>
                <w:rFonts w:ascii="Times New Roman" w:hAnsi="Times New Roman"/>
                <w:color w:val="000000"/>
                <w:sz w:val="22"/>
                <w:szCs w:val="22"/>
              </w:rPr>
              <w:t>1.071</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9D4DC6" w:rsidRPr="00FF0904" w:rsidP="009D4DC6" w14:paraId="56665F03" w14:textId="4524853D">
            <w:pPr>
              <w:autoSpaceDE w:val="0"/>
              <w:autoSpaceDN w:val="0"/>
              <w:adjustRightInd w:val="0"/>
              <w:jc w:val="center"/>
              <w:rPr>
                <w:rFonts w:ascii="Times New Roman" w:hAnsi="Times New Roman"/>
                <w:snapToGrid w:val="0"/>
                <w:color w:val="000000"/>
                <w:sz w:val="20"/>
                <w:szCs w:val="20"/>
              </w:rPr>
            </w:pPr>
            <w:r w:rsidRPr="00D9654B">
              <w:rPr>
                <w:rFonts w:ascii="Times New Roman" w:hAnsi="Times New Roman"/>
                <w:color w:val="000000"/>
                <w:sz w:val="22"/>
                <w:szCs w:val="22"/>
              </w:rPr>
              <w:t>1.17</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9D4DC6" w:rsidRPr="00FF0904" w:rsidP="009D4DC6" w14:paraId="3057D088" w14:textId="31E615CD">
            <w:pPr>
              <w:autoSpaceDE w:val="0"/>
              <w:autoSpaceDN w:val="0"/>
              <w:adjustRightInd w:val="0"/>
              <w:jc w:val="center"/>
              <w:rPr>
                <w:rFonts w:ascii="Times New Roman" w:hAnsi="Times New Roman"/>
                <w:snapToGrid w:val="0"/>
                <w:color w:val="000000"/>
                <w:sz w:val="20"/>
                <w:szCs w:val="20"/>
              </w:rPr>
            </w:pPr>
            <w:r w:rsidRPr="00D9654B">
              <w:rPr>
                <w:rFonts w:ascii="Times New Roman" w:hAnsi="Times New Roman"/>
                <w:color w:val="000000"/>
                <w:sz w:val="22"/>
                <w:szCs w:val="22"/>
              </w:rPr>
              <w:t xml:space="preserve">$43.97 </w:t>
            </w:r>
          </w:p>
        </w:tc>
      </w:tr>
    </w:tbl>
    <w:p w:rsidR="005C1393" w:rsidRPr="00FF0904" w:rsidP="005C1393" w14:paraId="527D02F0" w14:textId="77777777">
      <w:pPr>
        <w:widowControl w:val="0"/>
        <w:autoSpaceDE w:val="0"/>
        <w:autoSpaceDN w:val="0"/>
        <w:adjustRightInd w:val="0"/>
        <w:rPr>
          <w:rFonts w:ascii="Times New Roman" w:hAnsi="Times New Roman"/>
          <w:sz w:val="20"/>
          <w:szCs w:val="20"/>
        </w:rPr>
      </w:pPr>
      <w:r w:rsidRPr="00FF0904">
        <w:rPr>
          <w:rFonts w:ascii="Times New Roman" w:hAnsi="Times New Roman"/>
          <w:sz w:val="20"/>
          <w:szCs w:val="20"/>
        </w:rPr>
        <w:t xml:space="preserve">Notes: </w:t>
      </w:r>
    </w:p>
    <w:p w:rsidR="005C1393" w:rsidRPr="00FF0904" w:rsidP="005C1393" w14:paraId="20E68DA7" w14:textId="00A859BD">
      <w:pPr>
        <w:widowControl w:val="0"/>
        <w:autoSpaceDE w:val="0"/>
        <w:autoSpaceDN w:val="0"/>
        <w:adjustRightInd w:val="0"/>
        <w:rPr>
          <w:rFonts w:ascii="Times New Roman" w:hAnsi="Times New Roman"/>
          <w:sz w:val="20"/>
          <w:szCs w:val="20"/>
        </w:rPr>
      </w:pPr>
      <w:bookmarkStart w:id="4" w:name="_Hlk189055510"/>
      <w:r w:rsidRPr="00FF0904">
        <w:rPr>
          <w:rFonts w:ascii="Times New Roman" w:hAnsi="Times New Roman"/>
          <w:sz w:val="20"/>
          <w:szCs w:val="20"/>
        </w:rPr>
        <w:t xml:space="preserve">Benefit Multiplier – </w:t>
      </w:r>
      <w:bookmarkEnd w:id="4"/>
      <w:r w:rsidRPr="00FF0904">
        <w:rPr>
          <w:rFonts w:ascii="Times New Roman" w:hAnsi="Times New Roman"/>
          <w:sz w:val="20"/>
          <w:szCs w:val="20"/>
        </w:rPr>
        <w:t>MSHA use</w:t>
      </w:r>
      <w:r w:rsidR="00FF0904">
        <w:rPr>
          <w:rFonts w:ascii="Times New Roman" w:hAnsi="Times New Roman"/>
          <w:sz w:val="20"/>
          <w:szCs w:val="20"/>
        </w:rPr>
        <w:t>s</w:t>
      </w:r>
      <w:r w:rsidRPr="00FF0904">
        <w:rPr>
          <w:rFonts w:ascii="Times New Roman" w:hAnsi="Times New Roman"/>
          <w:sz w:val="20"/>
          <w:szCs w:val="20"/>
        </w:rPr>
        <w:t xml:space="preserve"> the latest 4-quarter moving average 2023Q4-2024Q3 to determine that 36.1 percent of total loaded wages are benefits for state and local government workers in management, professional, and related occupations. The benefit multiplier is 1.566= 1+ (0.361/(1-0.361)). </w:t>
      </w:r>
    </w:p>
    <w:p w:rsidR="005C1393" w:rsidRPr="00FF0904" w:rsidP="005C1393" w14:paraId="47D4F8B0" w14:textId="5C227ED5">
      <w:pPr>
        <w:widowControl w:val="0"/>
        <w:autoSpaceDE w:val="0"/>
        <w:autoSpaceDN w:val="0"/>
        <w:adjustRightInd w:val="0"/>
        <w:rPr>
          <w:rFonts w:ascii="Times New Roman" w:hAnsi="Times New Roman"/>
          <w:sz w:val="20"/>
          <w:szCs w:val="20"/>
        </w:rPr>
      </w:pPr>
      <w:bookmarkStart w:id="5" w:name="_Hlk189055548"/>
      <w:r w:rsidRPr="00FF0904">
        <w:rPr>
          <w:rFonts w:ascii="Times New Roman" w:hAnsi="Times New Roman"/>
          <w:sz w:val="20"/>
          <w:szCs w:val="20"/>
        </w:rPr>
        <w:t xml:space="preserve">Inflation Multiplier – </w:t>
      </w:r>
      <w:bookmarkEnd w:id="5"/>
      <w:r w:rsidRPr="00FF0904">
        <w:rPr>
          <w:rFonts w:ascii="Times New Roman" w:hAnsi="Times New Roman"/>
          <w:sz w:val="20"/>
          <w:szCs w:val="20"/>
        </w:rPr>
        <w:t xml:space="preserve">The inflation multiplier </w:t>
      </w:r>
      <w:r w:rsidR="00FF0904">
        <w:rPr>
          <w:rFonts w:ascii="Times New Roman" w:hAnsi="Times New Roman"/>
          <w:sz w:val="20"/>
          <w:szCs w:val="20"/>
        </w:rPr>
        <w:t>i</w:t>
      </w:r>
      <w:r w:rsidRPr="00FF0904">
        <w:rPr>
          <w:rFonts w:ascii="Times New Roman" w:hAnsi="Times New Roman"/>
          <w:sz w:val="20"/>
          <w:szCs w:val="20"/>
        </w:rPr>
        <w:t xml:space="preserve">s determined by using the employment price index from the most current quarter data is available, 2024Q3, divided by the base year and quarter of the OEWS employment and wage statistics, 2023Q2, for state and local government workers in management, professional, and related occupations, current dollar index. The inflation multiplier is 1.071 = 166.2/155.2. </w:t>
      </w:r>
    </w:p>
    <w:p w:rsidR="005C1393" w:rsidRPr="00FF0904" w:rsidP="005C1393" w14:paraId="50555A8B" w14:textId="77777777">
      <w:pPr>
        <w:widowControl w:val="0"/>
        <w:autoSpaceDE w:val="0"/>
        <w:autoSpaceDN w:val="0"/>
        <w:adjustRightInd w:val="0"/>
        <w:rPr>
          <w:rFonts w:ascii="Times New Roman" w:hAnsi="Times New Roman"/>
          <w:sz w:val="20"/>
          <w:szCs w:val="20"/>
        </w:rPr>
      </w:pPr>
      <w:bookmarkStart w:id="6" w:name="_Hlk189055647"/>
      <w:r w:rsidRPr="00FF0904">
        <w:rPr>
          <w:rFonts w:ascii="Times New Roman" w:hAnsi="Times New Roman"/>
          <w:sz w:val="20"/>
          <w:szCs w:val="20"/>
        </w:rPr>
        <w:t xml:space="preserve">Overhead Multiplier – </w:t>
      </w:r>
      <w:bookmarkEnd w:id="6"/>
      <w:r w:rsidRPr="00FF0904">
        <w:rPr>
          <w:rFonts w:ascii="Times New Roman" w:hAnsi="Times New Roman"/>
          <w:sz w:val="20"/>
          <w:szCs w:val="20"/>
        </w:rPr>
        <w:t>MSHA uses the overhead multiplier of 1.17 for non-mining industries.</w:t>
      </w:r>
    </w:p>
    <w:p w:rsidR="005C1393" w:rsidRPr="00FF0904" w:rsidP="005C1393" w14:paraId="757F61D5" w14:textId="24F6019C">
      <w:pPr>
        <w:widowControl w:val="0"/>
        <w:autoSpaceDE w:val="0"/>
        <w:autoSpaceDN w:val="0"/>
        <w:adjustRightInd w:val="0"/>
        <w:rPr>
          <w:rFonts w:ascii="Times New Roman" w:hAnsi="Times New Roman"/>
          <w:sz w:val="20"/>
          <w:szCs w:val="20"/>
        </w:rPr>
      </w:pPr>
      <w:r>
        <w:rPr>
          <w:rFonts w:ascii="Times New Roman" w:hAnsi="Times New Roman"/>
          <w:sz w:val="20"/>
          <w:szCs w:val="20"/>
        </w:rPr>
        <w:t>[a]</w:t>
      </w:r>
      <w:r w:rsidR="00CC1962">
        <w:rPr>
          <w:rFonts w:ascii="Times New Roman" w:hAnsi="Times New Roman"/>
          <w:sz w:val="20"/>
          <w:szCs w:val="20"/>
        </w:rPr>
        <w:t xml:space="preserve"> </w:t>
      </w:r>
      <w:r w:rsidRPr="00FF0904">
        <w:rPr>
          <w:rFonts w:ascii="Times New Roman" w:hAnsi="Times New Roman"/>
          <w:sz w:val="20"/>
          <w:szCs w:val="20"/>
        </w:rPr>
        <w:t xml:space="preserve">The Standard Occupation Codes (SOCs) used for this occupation are (43-6011), (43-6014), and (43-9000). </w:t>
      </w:r>
    </w:p>
    <w:p w:rsidR="00FF0904" w:rsidP="00AC6D50" w14:paraId="111E9790" w14:textId="77777777">
      <w:pPr>
        <w:rPr>
          <w:rFonts w:ascii="Times New Roman" w:hAnsi="Times New Roman"/>
          <w:sz w:val="20"/>
          <w:szCs w:val="20"/>
        </w:rPr>
      </w:pPr>
    </w:p>
    <w:p w:rsidR="002C7B1E" w:rsidP="002C7B1E" w14:paraId="63F341AB" w14:textId="4B36F0E0">
      <w:pPr>
        <w:rPr>
          <w:rFonts w:ascii="Times New Roman" w:hAnsi="Times New Roman"/>
        </w:rPr>
      </w:pPr>
      <w:r w:rsidRPr="00FF0904">
        <w:rPr>
          <w:rFonts w:ascii="Times New Roman" w:hAnsi="Times New Roman"/>
        </w:rPr>
        <w:t xml:space="preserve">MSHA estimates </w:t>
      </w:r>
      <w:r w:rsidRPr="00FF0904">
        <w:rPr>
          <w:rFonts w:ascii="Times New Roman" w:hAnsi="Times New Roman"/>
        </w:rPr>
        <w:t>average</w:t>
      </w:r>
      <w:r w:rsidRPr="00FF0904">
        <w:rPr>
          <w:rFonts w:ascii="Times New Roman" w:hAnsi="Times New Roman"/>
        </w:rPr>
        <w:t xml:space="preserve"> public reporting burden to be 18 hours for each grant application, includ</w:t>
      </w:r>
      <w:r w:rsidR="00CC1962">
        <w:rPr>
          <w:rFonts w:ascii="Times New Roman" w:hAnsi="Times New Roman"/>
        </w:rPr>
        <w:t>ing</w:t>
      </w:r>
      <w:r w:rsidRPr="00FF0904">
        <w:rPr>
          <w:rFonts w:ascii="Times New Roman" w:hAnsi="Times New Roman"/>
        </w:rPr>
        <w:t xml:space="preserve"> activities such as reviewing instructions, searching existing data sources, gathering and maintaining the data needed, completing and reviewing the collection of information, and </w:t>
      </w:r>
      <w:r w:rsidRPr="00FF0904">
        <w:rPr>
          <w:rFonts w:ascii="Times New Roman" w:hAnsi="Times New Roman"/>
        </w:rPr>
        <w:t>to prepare</w:t>
      </w:r>
      <w:r w:rsidRPr="00FF0904">
        <w:rPr>
          <w:rFonts w:ascii="Times New Roman" w:hAnsi="Times New Roman"/>
        </w:rPr>
        <w:t xml:space="preserve"> and </w:t>
      </w:r>
      <w:r w:rsidRPr="00FF0904">
        <w:rPr>
          <w:rFonts w:ascii="Times New Roman" w:hAnsi="Times New Roman"/>
        </w:rPr>
        <w:t>submit an application</w:t>
      </w:r>
      <w:r w:rsidRPr="00FF0904">
        <w:rPr>
          <w:rFonts w:ascii="Times New Roman" w:hAnsi="Times New Roman"/>
        </w:rPr>
        <w:t xml:space="preserve"> in response to a Funding Opportunity Announcement. </w:t>
      </w:r>
    </w:p>
    <w:p w:rsidR="002C7B1E" w:rsidP="002C7B1E" w14:paraId="18D3419E" w14:textId="77777777">
      <w:pPr>
        <w:rPr>
          <w:rFonts w:ascii="Times New Roman" w:hAnsi="Times New Roman"/>
        </w:rPr>
      </w:pPr>
    </w:p>
    <w:p w:rsidR="008F7836" w:rsidRPr="00FF0904" w:rsidP="002C7B1E" w14:paraId="0F872A1C" w14:textId="5E4336EB">
      <w:pPr>
        <w:rPr>
          <w:rFonts w:ascii="Times New Roman" w:hAnsi="Times New Roman"/>
          <w:b/>
          <w:bCs/>
          <w:color w:val="000000"/>
        </w:rPr>
      </w:pPr>
      <w:r>
        <w:rPr>
          <w:rFonts w:ascii="Times New Roman" w:hAnsi="Times New Roman"/>
        </w:rPr>
        <w:t>MSHA</w:t>
      </w:r>
      <w:r w:rsidRPr="00FF0904">
        <w:rPr>
          <w:rFonts w:ascii="Times New Roman" w:hAnsi="Times New Roman"/>
        </w:rPr>
        <w:t xml:space="preserve"> assumes that </w:t>
      </w:r>
      <w:r>
        <w:rPr>
          <w:rFonts w:ascii="Times New Roman" w:hAnsi="Times New Roman"/>
        </w:rPr>
        <w:t xml:space="preserve">it takes </w:t>
      </w:r>
      <w:r w:rsidRPr="00FF0904">
        <w:rPr>
          <w:rFonts w:ascii="Times New Roman" w:hAnsi="Times New Roman"/>
        </w:rPr>
        <w:t>an administrative support worker, earning $43.97 per hour,</w:t>
      </w:r>
      <w:r w:rsidRPr="00D9654B">
        <w:rPr>
          <w:rFonts w:ascii="Times New Roman" w:hAnsi="Times New Roman"/>
        </w:rPr>
        <w:t xml:space="preserve"> </w:t>
      </w:r>
      <w:r w:rsidRPr="00D9654B">
        <w:rPr>
          <w:rFonts w:ascii="Times New Roman" w:hAnsi="Times New Roman"/>
        </w:rPr>
        <w:t>to</w:t>
      </w:r>
      <w:r>
        <w:rPr>
          <w:rFonts w:ascii="Times New Roman" w:hAnsi="Times New Roman"/>
          <w:color w:val="000000"/>
          <w:vertAlign w:val="superscript"/>
        </w:rPr>
        <w:t xml:space="preserve"> </w:t>
      </w:r>
      <w:r w:rsidRPr="00FF0904">
        <w:rPr>
          <w:rFonts w:ascii="Times New Roman" w:hAnsi="Times New Roman"/>
        </w:rPr>
        <w:t>prepare an application. Therefore, the burden for these reporting activities is a total of 450 hours and $19,787 (see Table 2).</w:t>
      </w:r>
    </w:p>
    <w:p w:rsidR="003D7249" w:rsidRPr="00FF0904" w:rsidP="00AC6D50" w14:paraId="1F7EC52C" w14:textId="77777777">
      <w:pPr>
        <w:rPr>
          <w:rFonts w:ascii="Times New Roman" w:hAnsi="Times New Roman"/>
          <w:color w:val="000000"/>
        </w:rPr>
      </w:pPr>
    </w:p>
    <w:p w:rsidR="00FE01B6" w14:paraId="518FC104" w14:textId="77777777">
      <w:pPr>
        <w:rPr>
          <w:rFonts w:ascii="Times New Roman" w:hAnsi="Times New Roman"/>
          <w:b/>
          <w:bCs/>
          <w:color w:val="000000"/>
        </w:rPr>
      </w:pPr>
      <w:r>
        <w:rPr>
          <w:rFonts w:ascii="Times New Roman" w:hAnsi="Times New Roman"/>
          <w:b/>
          <w:bCs/>
          <w:color w:val="000000"/>
        </w:rPr>
        <w:br w:type="page"/>
      </w:r>
    </w:p>
    <w:p w:rsidR="00E73538" w:rsidRPr="00FF0904" w:rsidP="00E73538" w14:paraId="09E2CB61" w14:textId="195AF5AE">
      <w:pPr>
        <w:rPr>
          <w:rFonts w:ascii="Times New Roman" w:hAnsi="Times New Roman"/>
          <w:b/>
          <w:bCs/>
          <w:color w:val="000000"/>
        </w:rPr>
      </w:pPr>
      <w:r w:rsidRPr="00FF0904">
        <w:rPr>
          <w:rFonts w:ascii="Times New Roman" w:hAnsi="Times New Roman"/>
          <w:b/>
          <w:bCs/>
          <w:color w:val="000000"/>
        </w:rPr>
        <w:t>Table 2</w:t>
      </w:r>
      <w:r w:rsidRPr="00FF0904" w:rsidR="008267D0">
        <w:rPr>
          <w:rFonts w:ascii="Times New Roman" w:hAnsi="Times New Roman"/>
          <w:b/>
          <w:bCs/>
          <w:color w:val="000000"/>
        </w:rPr>
        <w:t>.</w:t>
      </w:r>
      <w:r w:rsidRPr="00FF0904">
        <w:rPr>
          <w:rFonts w:ascii="Times New Roman" w:hAnsi="Times New Roman"/>
          <w:b/>
          <w:bCs/>
          <w:color w:val="000000"/>
          <w:sz w:val="28"/>
          <w:szCs w:val="28"/>
        </w:rPr>
        <w:t xml:space="preserve"> </w:t>
      </w:r>
      <w:r w:rsidRPr="00FF0904">
        <w:rPr>
          <w:rFonts w:ascii="Times New Roman" w:hAnsi="Times New Roman"/>
          <w:b/>
          <w:bCs/>
          <w:color w:val="000000"/>
        </w:rPr>
        <w:t xml:space="preserve">Estimated Annual Hour and Cost Burden, </w:t>
      </w:r>
      <w:r w:rsidRPr="00FF0904" w:rsidR="00C22837">
        <w:rPr>
          <w:rFonts w:ascii="Times New Roman" w:hAnsi="Times New Roman"/>
          <w:b/>
          <w:bCs/>
          <w:color w:val="000000"/>
        </w:rPr>
        <w:t xml:space="preserve">Brookwood-Sago Mine Safety Grants </w:t>
      </w:r>
      <w:r w:rsidRPr="00FF0904" w:rsidR="005C1393">
        <w:rPr>
          <w:rFonts w:ascii="Times New Roman" w:hAnsi="Times New Roman"/>
          <w:b/>
          <w:bCs/>
          <w:color w:val="000000"/>
        </w:rPr>
        <w:t>Applications</w:t>
      </w:r>
    </w:p>
    <w:tbl>
      <w:tblPr>
        <w:tblW w:w="9720" w:type="dxa"/>
        <w:tblInd w:w="-5" w:type="dxa"/>
        <w:tblLayout w:type="fixed"/>
        <w:tblLook w:val="0000"/>
      </w:tblPr>
      <w:tblGrid>
        <w:gridCol w:w="1620"/>
        <w:gridCol w:w="1260"/>
        <w:gridCol w:w="1170"/>
        <w:gridCol w:w="1440"/>
        <w:gridCol w:w="990"/>
        <w:gridCol w:w="990"/>
        <w:gridCol w:w="900"/>
        <w:gridCol w:w="1350"/>
      </w:tblGrid>
      <w:tr w14:paraId="321EE685" w14:textId="77777777" w:rsidTr="00D9654B">
        <w:tblPrEx>
          <w:tblW w:w="9720" w:type="dxa"/>
          <w:tblInd w:w="-5" w:type="dxa"/>
          <w:tblLayout w:type="fixed"/>
          <w:tblLook w:val="0000"/>
        </w:tblPrEx>
        <w:trPr>
          <w:trHeight w:val="566"/>
        </w:trPr>
        <w:tc>
          <w:tcPr>
            <w:tcW w:w="1620" w:type="dxa"/>
            <w:tcBorders>
              <w:top w:val="single" w:sz="4" w:space="0" w:color="auto"/>
              <w:left w:val="single" w:sz="4" w:space="0" w:color="auto"/>
              <w:bottom w:val="single" w:sz="4" w:space="0" w:color="auto"/>
              <w:right w:val="single" w:sz="4" w:space="0" w:color="auto"/>
            </w:tcBorders>
            <w:shd w:val="clear" w:color="auto" w:fill="95B3D7"/>
          </w:tcPr>
          <w:p w:rsidR="00AD1F46" w:rsidRPr="00FF0904" w:rsidP="0062032F" w14:paraId="79BF1EE0" w14:textId="77777777">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Activity</w:t>
            </w:r>
          </w:p>
        </w:tc>
        <w:tc>
          <w:tcPr>
            <w:tcW w:w="1260" w:type="dxa"/>
            <w:tcBorders>
              <w:top w:val="single" w:sz="4" w:space="0" w:color="auto"/>
              <w:left w:val="single" w:sz="4" w:space="0" w:color="auto"/>
              <w:bottom w:val="single" w:sz="4" w:space="0" w:color="auto"/>
              <w:right w:val="single" w:sz="4" w:space="0" w:color="auto"/>
            </w:tcBorders>
            <w:shd w:val="clear" w:color="auto" w:fill="95B3D7"/>
          </w:tcPr>
          <w:p w:rsidR="00AD1F46" w:rsidRPr="00FF0904" w:rsidP="0062032F" w14:paraId="34107BED" w14:textId="09077D30">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N</w:t>
            </w:r>
            <w:r w:rsidRPr="00FF0904" w:rsidR="008F3619">
              <w:rPr>
                <w:rFonts w:ascii="Times New Roman" w:hAnsi="Times New Roman"/>
                <w:snapToGrid w:val="0"/>
                <w:color w:val="000000"/>
                <w:sz w:val="20"/>
                <w:szCs w:val="22"/>
              </w:rPr>
              <w:t>umber</w:t>
            </w:r>
            <w:r w:rsidRPr="00FF0904">
              <w:rPr>
                <w:rFonts w:ascii="Times New Roman" w:hAnsi="Times New Roman"/>
                <w:snapToGrid w:val="0"/>
                <w:color w:val="000000"/>
                <w:sz w:val="20"/>
                <w:szCs w:val="22"/>
              </w:rPr>
              <w:t xml:space="preserve"> of Respondents (Applicants)</w:t>
            </w:r>
          </w:p>
        </w:tc>
        <w:tc>
          <w:tcPr>
            <w:tcW w:w="1170" w:type="dxa"/>
            <w:tcBorders>
              <w:top w:val="single" w:sz="4" w:space="0" w:color="auto"/>
              <w:left w:val="single" w:sz="4" w:space="0" w:color="auto"/>
              <w:bottom w:val="single" w:sz="4" w:space="0" w:color="auto"/>
              <w:right w:val="single" w:sz="4" w:space="0" w:color="auto"/>
            </w:tcBorders>
            <w:shd w:val="clear" w:color="auto" w:fill="95B3D7"/>
          </w:tcPr>
          <w:p w:rsidR="00AD1F46" w:rsidRPr="00FF0904" w:rsidP="0062032F" w14:paraId="776EF302" w14:textId="56E682D0">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N</w:t>
            </w:r>
            <w:r w:rsidRPr="00FF0904" w:rsidR="008F3619">
              <w:rPr>
                <w:rFonts w:ascii="Times New Roman" w:hAnsi="Times New Roman"/>
                <w:snapToGrid w:val="0"/>
                <w:color w:val="000000"/>
                <w:sz w:val="20"/>
                <w:szCs w:val="22"/>
              </w:rPr>
              <w:t>umber</w:t>
            </w:r>
            <w:r w:rsidRPr="00FF0904">
              <w:rPr>
                <w:rFonts w:ascii="Times New Roman" w:hAnsi="Times New Roman"/>
                <w:snapToGrid w:val="0"/>
                <w:color w:val="000000"/>
                <w:sz w:val="20"/>
                <w:szCs w:val="22"/>
              </w:rPr>
              <w:t xml:space="preserve">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95B3D7"/>
          </w:tcPr>
          <w:p w:rsidR="00AD1F46" w:rsidRPr="00FF0904" w:rsidP="0062032F" w14:paraId="766D919A" w14:textId="46CB7652">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Total Responses (Applications)</w:t>
            </w:r>
          </w:p>
        </w:tc>
        <w:tc>
          <w:tcPr>
            <w:tcW w:w="990" w:type="dxa"/>
            <w:tcBorders>
              <w:top w:val="single" w:sz="4" w:space="0" w:color="auto"/>
              <w:left w:val="single" w:sz="4" w:space="0" w:color="auto"/>
              <w:bottom w:val="single" w:sz="4" w:space="0" w:color="auto"/>
              <w:right w:val="single" w:sz="4" w:space="0" w:color="auto"/>
            </w:tcBorders>
            <w:shd w:val="clear" w:color="auto" w:fill="95B3D7"/>
          </w:tcPr>
          <w:p w:rsidR="00AD1F46" w:rsidRPr="00FF0904" w:rsidP="0062032F" w14:paraId="6477C724" w14:textId="068707C7">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95B3D7"/>
          </w:tcPr>
          <w:p w:rsidR="00AD1F46" w:rsidRPr="00FF0904" w:rsidP="0062032F" w14:paraId="621F9634" w14:textId="0542048F">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95B3D7"/>
          </w:tcPr>
          <w:p w:rsidR="00AD1F46" w:rsidRPr="00FF0904" w:rsidP="0062032F" w14:paraId="70D238D5" w14:textId="50B59C51">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Hourly Wage Rate</w:t>
            </w:r>
          </w:p>
        </w:tc>
        <w:tc>
          <w:tcPr>
            <w:tcW w:w="1350" w:type="dxa"/>
            <w:tcBorders>
              <w:top w:val="single" w:sz="4" w:space="0" w:color="auto"/>
              <w:left w:val="single" w:sz="4" w:space="0" w:color="auto"/>
              <w:bottom w:val="single" w:sz="4" w:space="0" w:color="auto"/>
              <w:right w:val="single" w:sz="4" w:space="0" w:color="auto"/>
            </w:tcBorders>
            <w:shd w:val="clear" w:color="auto" w:fill="95B3D7"/>
          </w:tcPr>
          <w:p w:rsidR="00AD1F46" w:rsidRPr="00FF0904" w:rsidP="0062032F" w14:paraId="4BDB2B74" w14:textId="623ABC5F">
            <w:pPr>
              <w:widowControl w:val="0"/>
              <w:autoSpaceDE w:val="0"/>
              <w:autoSpaceDN w:val="0"/>
              <w:adjustRightInd w:val="0"/>
              <w:jc w:val="center"/>
              <w:rPr>
                <w:rFonts w:ascii="Times New Roman" w:hAnsi="Times New Roman"/>
                <w:snapToGrid w:val="0"/>
                <w:color w:val="000000"/>
                <w:sz w:val="20"/>
                <w:szCs w:val="22"/>
              </w:rPr>
            </w:pPr>
            <w:r w:rsidRPr="00FF0904">
              <w:rPr>
                <w:rFonts w:ascii="Times New Roman" w:hAnsi="Times New Roman"/>
                <w:snapToGrid w:val="0"/>
                <w:color w:val="000000"/>
                <w:sz w:val="20"/>
                <w:szCs w:val="22"/>
              </w:rPr>
              <w:t>Total Burden Cost</w:t>
            </w:r>
          </w:p>
        </w:tc>
      </w:tr>
      <w:tr w14:paraId="137C0A31" w14:textId="77777777" w:rsidTr="00D9654B">
        <w:tblPrEx>
          <w:tblW w:w="9720" w:type="dxa"/>
          <w:tblInd w:w="-5" w:type="dxa"/>
          <w:tblLayout w:type="fixed"/>
          <w:tblLook w:val="0000"/>
        </w:tblPrEx>
        <w:trPr>
          <w:trHeight w:val="186"/>
        </w:trPr>
        <w:tc>
          <w:tcPr>
            <w:tcW w:w="1620" w:type="dxa"/>
            <w:tcBorders>
              <w:top w:val="single" w:sz="4" w:space="0" w:color="auto"/>
              <w:left w:val="single" w:sz="6" w:space="0" w:color="auto"/>
              <w:bottom w:val="single" w:sz="6" w:space="0" w:color="auto"/>
              <w:right w:val="single" w:sz="6" w:space="0" w:color="auto"/>
            </w:tcBorders>
            <w:vAlign w:val="center"/>
          </w:tcPr>
          <w:p w:rsidR="00467056" w:rsidRPr="00FF0904" w:rsidP="00467056" w14:paraId="667E4CF0" w14:textId="375794F0">
            <w:pPr>
              <w:rPr>
                <w:rFonts w:ascii="Times New Roman" w:hAnsi="Times New Roman"/>
                <w:color w:val="000000"/>
                <w:sz w:val="20"/>
                <w:szCs w:val="20"/>
              </w:rPr>
            </w:pPr>
            <w:r w:rsidRPr="00FF0904">
              <w:rPr>
                <w:rFonts w:ascii="Times New Roman" w:hAnsi="Times New Roman"/>
                <w:color w:val="000000"/>
                <w:sz w:val="20"/>
                <w:szCs w:val="20"/>
              </w:rPr>
              <w:t xml:space="preserve">Grant </w:t>
            </w:r>
            <w:r w:rsidR="00CC1962">
              <w:rPr>
                <w:rFonts w:ascii="Times New Roman" w:hAnsi="Times New Roman"/>
                <w:color w:val="000000"/>
                <w:sz w:val="20"/>
                <w:szCs w:val="20"/>
              </w:rPr>
              <w:t>A</w:t>
            </w:r>
            <w:r w:rsidRPr="00FF0904">
              <w:rPr>
                <w:rFonts w:ascii="Times New Roman" w:hAnsi="Times New Roman"/>
                <w:color w:val="000000"/>
                <w:sz w:val="20"/>
                <w:szCs w:val="20"/>
              </w:rPr>
              <w:t>pplication</w:t>
            </w:r>
          </w:p>
        </w:tc>
        <w:tc>
          <w:tcPr>
            <w:tcW w:w="1260" w:type="dxa"/>
            <w:tcBorders>
              <w:top w:val="single" w:sz="4" w:space="0" w:color="auto"/>
              <w:left w:val="single" w:sz="6" w:space="0" w:color="auto"/>
              <w:bottom w:val="single" w:sz="6" w:space="0" w:color="auto"/>
              <w:right w:val="single" w:sz="6" w:space="0" w:color="auto"/>
            </w:tcBorders>
            <w:vAlign w:val="center"/>
          </w:tcPr>
          <w:p w:rsidR="00467056" w:rsidRPr="00FF0904" w:rsidP="00467056" w14:paraId="165A7E1D" w14:textId="35F98691">
            <w:pPr>
              <w:jc w:val="center"/>
              <w:rPr>
                <w:rFonts w:ascii="Times New Roman" w:hAnsi="Times New Roman"/>
                <w:color w:val="000000"/>
                <w:sz w:val="20"/>
                <w:szCs w:val="20"/>
              </w:rPr>
            </w:pPr>
            <w:r w:rsidRPr="00D9654B">
              <w:rPr>
                <w:rFonts w:ascii="Times New Roman" w:hAnsi="Times New Roman"/>
                <w:color w:val="000000"/>
                <w:sz w:val="22"/>
                <w:szCs w:val="22"/>
              </w:rPr>
              <w:t>25</w:t>
            </w:r>
          </w:p>
        </w:tc>
        <w:tc>
          <w:tcPr>
            <w:tcW w:w="1170" w:type="dxa"/>
            <w:tcBorders>
              <w:top w:val="single" w:sz="4" w:space="0" w:color="auto"/>
              <w:left w:val="single" w:sz="6" w:space="0" w:color="auto"/>
              <w:bottom w:val="single" w:sz="6" w:space="0" w:color="auto"/>
              <w:right w:val="single" w:sz="6" w:space="0" w:color="auto"/>
            </w:tcBorders>
            <w:vAlign w:val="center"/>
          </w:tcPr>
          <w:p w:rsidR="00467056" w:rsidRPr="00FF0904" w:rsidP="00467056" w14:paraId="28A4D9BB" w14:textId="40AC382D">
            <w:pPr>
              <w:jc w:val="center"/>
              <w:rPr>
                <w:rFonts w:ascii="Times New Roman" w:hAnsi="Times New Roman"/>
                <w:color w:val="000000"/>
                <w:sz w:val="20"/>
                <w:szCs w:val="20"/>
              </w:rPr>
            </w:pPr>
            <w:r w:rsidRPr="00D9654B">
              <w:rPr>
                <w:rFonts w:ascii="Times New Roman" w:hAnsi="Times New Roman"/>
                <w:color w:val="000000"/>
                <w:sz w:val="22"/>
                <w:szCs w:val="22"/>
              </w:rPr>
              <w:t>1</w:t>
            </w:r>
          </w:p>
        </w:tc>
        <w:tc>
          <w:tcPr>
            <w:tcW w:w="1440" w:type="dxa"/>
            <w:tcBorders>
              <w:top w:val="single" w:sz="4" w:space="0" w:color="auto"/>
              <w:left w:val="single" w:sz="6" w:space="0" w:color="auto"/>
              <w:bottom w:val="single" w:sz="6" w:space="0" w:color="auto"/>
              <w:right w:val="single" w:sz="6" w:space="0" w:color="auto"/>
            </w:tcBorders>
            <w:vAlign w:val="center"/>
          </w:tcPr>
          <w:p w:rsidR="00467056" w:rsidRPr="00FF0904" w:rsidP="00467056" w14:paraId="5741A171" w14:textId="29F3E579">
            <w:pPr>
              <w:jc w:val="center"/>
              <w:rPr>
                <w:rFonts w:ascii="Times New Roman" w:hAnsi="Times New Roman"/>
                <w:color w:val="000000"/>
                <w:sz w:val="20"/>
                <w:szCs w:val="20"/>
              </w:rPr>
            </w:pPr>
            <w:r w:rsidRPr="00D9654B">
              <w:rPr>
                <w:rFonts w:ascii="Times New Roman" w:hAnsi="Times New Roman"/>
                <w:color w:val="000000"/>
                <w:sz w:val="22"/>
                <w:szCs w:val="22"/>
              </w:rPr>
              <w:t>25</w:t>
            </w:r>
          </w:p>
        </w:tc>
        <w:tc>
          <w:tcPr>
            <w:tcW w:w="990" w:type="dxa"/>
            <w:tcBorders>
              <w:top w:val="single" w:sz="4" w:space="0" w:color="auto"/>
              <w:left w:val="single" w:sz="6" w:space="0" w:color="auto"/>
              <w:bottom w:val="single" w:sz="6" w:space="0" w:color="auto"/>
              <w:right w:val="single" w:sz="6" w:space="0" w:color="auto"/>
            </w:tcBorders>
            <w:vAlign w:val="center"/>
          </w:tcPr>
          <w:p w:rsidR="00467056" w:rsidRPr="00FF0904" w:rsidP="00467056" w14:paraId="0BDB42F9" w14:textId="0CB7259B">
            <w:pPr>
              <w:jc w:val="center"/>
              <w:rPr>
                <w:rFonts w:ascii="Times New Roman" w:hAnsi="Times New Roman"/>
                <w:color w:val="000000"/>
                <w:sz w:val="20"/>
                <w:szCs w:val="20"/>
              </w:rPr>
            </w:pPr>
            <w:r w:rsidRPr="00D9654B">
              <w:rPr>
                <w:rFonts w:ascii="Times New Roman" w:hAnsi="Times New Roman"/>
                <w:color w:val="000000"/>
                <w:sz w:val="22"/>
                <w:szCs w:val="22"/>
              </w:rPr>
              <w:t>18</w:t>
            </w:r>
          </w:p>
        </w:tc>
        <w:tc>
          <w:tcPr>
            <w:tcW w:w="990" w:type="dxa"/>
            <w:tcBorders>
              <w:top w:val="single" w:sz="4" w:space="0" w:color="auto"/>
              <w:left w:val="single" w:sz="6" w:space="0" w:color="auto"/>
              <w:bottom w:val="single" w:sz="6" w:space="0" w:color="auto"/>
              <w:right w:val="single" w:sz="6" w:space="0" w:color="auto"/>
            </w:tcBorders>
            <w:vAlign w:val="center"/>
          </w:tcPr>
          <w:p w:rsidR="00467056" w:rsidRPr="00FF0904" w:rsidP="00467056" w14:paraId="75A4F28A" w14:textId="692A6C32">
            <w:pPr>
              <w:jc w:val="center"/>
              <w:rPr>
                <w:rFonts w:ascii="Times New Roman" w:hAnsi="Times New Roman"/>
                <w:color w:val="000000"/>
                <w:sz w:val="20"/>
                <w:szCs w:val="20"/>
              </w:rPr>
            </w:pPr>
            <w:r w:rsidRPr="00D9654B">
              <w:rPr>
                <w:rFonts w:ascii="Times New Roman" w:hAnsi="Times New Roman"/>
                <w:color w:val="000000"/>
                <w:sz w:val="22"/>
                <w:szCs w:val="22"/>
              </w:rPr>
              <w:t>450</w:t>
            </w:r>
          </w:p>
        </w:tc>
        <w:tc>
          <w:tcPr>
            <w:tcW w:w="900" w:type="dxa"/>
            <w:tcBorders>
              <w:top w:val="single" w:sz="4" w:space="0" w:color="auto"/>
              <w:left w:val="single" w:sz="6" w:space="0" w:color="auto"/>
              <w:bottom w:val="single" w:sz="6" w:space="0" w:color="auto"/>
              <w:right w:val="single" w:sz="6" w:space="0" w:color="auto"/>
            </w:tcBorders>
            <w:vAlign w:val="center"/>
          </w:tcPr>
          <w:p w:rsidR="00467056" w:rsidRPr="00FF0904" w:rsidP="00467056" w14:paraId="53F99F27" w14:textId="1B859F8B">
            <w:pPr>
              <w:jc w:val="center"/>
              <w:rPr>
                <w:rFonts w:ascii="Times New Roman" w:hAnsi="Times New Roman"/>
                <w:color w:val="000000"/>
                <w:sz w:val="22"/>
                <w:szCs w:val="22"/>
              </w:rPr>
            </w:pPr>
            <w:r w:rsidRPr="00D9654B">
              <w:rPr>
                <w:rFonts w:ascii="Times New Roman" w:hAnsi="Times New Roman"/>
                <w:color w:val="000000"/>
                <w:sz w:val="22"/>
                <w:szCs w:val="22"/>
              </w:rPr>
              <w:t xml:space="preserve">$43.97 </w:t>
            </w:r>
          </w:p>
        </w:tc>
        <w:tc>
          <w:tcPr>
            <w:tcW w:w="1350" w:type="dxa"/>
            <w:tcBorders>
              <w:top w:val="single" w:sz="4" w:space="0" w:color="auto"/>
              <w:left w:val="single" w:sz="6" w:space="0" w:color="auto"/>
              <w:bottom w:val="single" w:sz="6" w:space="0" w:color="auto"/>
              <w:right w:val="single" w:sz="6" w:space="0" w:color="auto"/>
            </w:tcBorders>
            <w:vAlign w:val="center"/>
          </w:tcPr>
          <w:p w:rsidR="00467056" w:rsidRPr="00FF0904" w:rsidP="00467056" w14:paraId="2A5B814C" w14:textId="7046681E">
            <w:pPr>
              <w:jc w:val="center"/>
              <w:rPr>
                <w:rFonts w:ascii="Times New Roman" w:hAnsi="Times New Roman"/>
                <w:color w:val="000000"/>
                <w:sz w:val="22"/>
                <w:szCs w:val="22"/>
              </w:rPr>
            </w:pPr>
            <w:r w:rsidRPr="00D9654B">
              <w:rPr>
                <w:rFonts w:ascii="Times New Roman" w:hAnsi="Times New Roman"/>
                <w:color w:val="000000"/>
                <w:sz w:val="22"/>
                <w:szCs w:val="22"/>
              </w:rPr>
              <w:t xml:space="preserve">$19,786.50 </w:t>
            </w:r>
          </w:p>
        </w:tc>
      </w:tr>
      <w:tr w14:paraId="104F138A" w14:textId="77777777" w:rsidTr="00D9654B">
        <w:tblPrEx>
          <w:tblW w:w="9720" w:type="dxa"/>
          <w:tblInd w:w="-5" w:type="dxa"/>
          <w:tblLayout w:type="fixed"/>
          <w:tblLook w:val="0000"/>
        </w:tblPrEx>
        <w:trPr>
          <w:trHeight w:val="186"/>
        </w:trPr>
        <w:tc>
          <w:tcPr>
            <w:tcW w:w="1620" w:type="dxa"/>
            <w:tcBorders>
              <w:top w:val="single" w:sz="6" w:space="0" w:color="auto"/>
              <w:left w:val="single" w:sz="6" w:space="0" w:color="auto"/>
              <w:bottom w:val="single" w:sz="6" w:space="0" w:color="auto"/>
              <w:right w:val="single" w:sz="6" w:space="0" w:color="auto"/>
            </w:tcBorders>
            <w:vAlign w:val="center"/>
          </w:tcPr>
          <w:p w:rsidR="00467056" w:rsidRPr="00FF0904" w:rsidP="00D9654B" w14:paraId="189FBB84" w14:textId="51CDCFC1">
            <w:pPr>
              <w:jc w:val="right"/>
              <w:rPr>
                <w:rFonts w:ascii="Times New Roman" w:hAnsi="Times New Roman"/>
                <w:b/>
                <w:bCs/>
                <w:i/>
                <w:iCs/>
                <w:color w:val="000000"/>
                <w:sz w:val="20"/>
                <w:szCs w:val="20"/>
              </w:rPr>
            </w:pPr>
            <w:r w:rsidRPr="00FF0904">
              <w:rPr>
                <w:rFonts w:ascii="Times New Roman" w:hAnsi="Times New Roman"/>
                <w:b/>
                <w:bCs/>
                <w:i/>
                <w:iCs/>
                <w:color w:val="000000"/>
                <w:sz w:val="20"/>
                <w:szCs w:val="20"/>
              </w:rPr>
              <w:t>Total (Rounded)</w:t>
            </w:r>
          </w:p>
        </w:tc>
        <w:tc>
          <w:tcPr>
            <w:tcW w:w="1260" w:type="dxa"/>
            <w:tcBorders>
              <w:top w:val="nil"/>
              <w:left w:val="single" w:sz="6" w:space="0" w:color="auto"/>
              <w:bottom w:val="single" w:sz="6" w:space="0" w:color="auto"/>
              <w:right w:val="single" w:sz="6" w:space="0" w:color="auto"/>
            </w:tcBorders>
            <w:vAlign w:val="center"/>
          </w:tcPr>
          <w:p w:rsidR="00467056" w:rsidRPr="00FF0904" w:rsidP="00467056" w14:paraId="42E975E5" w14:textId="581531D2">
            <w:pPr>
              <w:jc w:val="center"/>
              <w:rPr>
                <w:rFonts w:ascii="Times New Roman" w:hAnsi="Times New Roman"/>
                <w:b/>
                <w:bCs/>
                <w:color w:val="000000"/>
                <w:sz w:val="22"/>
                <w:szCs w:val="22"/>
              </w:rPr>
            </w:pPr>
            <w:r w:rsidRPr="00D9654B">
              <w:rPr>
                <w:rFonts w:ascii="Times New Roman" w:hAnsi="Times New Roman"/>
                <w:b/>
                <w:bCs/>
                <w:i/>
                <w:iCs/>
                <w:color w:val="000000"/>
                <w:sz w:val="22"/>
                <w:szCs w:val="22"/>
              </w:rPr>
              <w:t>25</w:t>
            </w:r>
          </w:p>
        </w:tc>
        <w:tc>
          <w:tcPr>
            <w:tcW w:w="1170" w:type="dxa"/>
            <w:tcBorders>
              <w:top w:val="nil"/>
              <w:left w:val="single" w:sz="6" w:space="0" w:color="auto"/>
              <w:bottom w:val="single" w:sz="6" w:space="0" w:color="auto"/>
              <w:right w:val="single" w:sz="6" w:space="0" w:color="auto"/>
            </w:tcBorders>
            <w:shd w:val="solid" w:color="000000" w:fill="auto"/>
            <w:vAlign w:val="center"/>
          </w:tcPr>
          <w:p w:rsidR="00467056" w:rsidRPr="00FF0904" w:rsidP="00467056" w14:paraId="115C9BD9" w14:textId="402526EC">
            <w:pPr>
              <w:jc w:val="center"/>
              <w:rPr>
                <w:rFonts w:ascii="Times New Roman" w:hAnsi="Times New Roman"/>
                <w:b/>
                <w:bCs/>
                <w:color w:val="000000"/>
                <w:sz w:val="20"/>
                <w:szCs w:val="20"/>
              </w:rPr>
            </w:pPr>
            <w:r w:rsidRPr="00D9654B">
              <w:rPr>
                <w:rFonts w:ascii="Times New Roman" w:hAnsi="Times New Roman"/>
                <w:b/>
                <w:bCs/>
                <w:i/>
                <w:iCs/>
                <w:color w:val="000000"/>
                <w:sz w:val="22"/>
                <w:szCs w:val="22"/>
              </w:rPr>
              <w:t> </w:t>
            </w:r>
          </w:p>
        </w:tc>
        <w:tc>
          <w:tcPr>
            <w:tcW w:w="1440" w:type="dxa"/>
            <w:tcBorders>
              <w:top w:val="nil"/>
              <w:left w:val="single" w:sz="6" w:space="0" w:color="auto"/>
              <w:bottom w:val="single" w:sz="6" w:space="0" w:color="auto"/>
              <w:right w:val="single" w:sz="6" w:space="0" w:color="auto"/>
            </w:tcBorders>
            <w:vAlign w:val="center"/>
          </w:tcPr>
          <w:p w:rsidR="00467056" w:rsidRPr="00FF0904" w:rsidP="00467056" w14:paraId="28D39C84" w14:textId="6C52F935">
            <w:pPr>
              <w:jc w:val="center"/>
              <w:rPr>
                <w:rFonts w:ascii="Times New Roman" w:hAnsi="Times New Roman"/>
                <w:b/>
                <w:bCs/>
                <w:color w:val="000000"/>
                <w:sz w:val="22"/>
                <w:szCs w:val="22"/>
              </w:rPr>
            </w:pPr>
            <w:r w:rsidRPr="00D9654B">
              <w:rPr>
                <w:rFonts w:ascii="Times New Roman" w:hAnsi="Times New Roman"/>
                <w:b/>
                <w:bCs/>
                <w:i/>
                <w:iCs/>
                <w:color w:val="000000"/>
                <w:sz w:val="22"/>
                <w:szCs w:val="22"/>
              </w:rPr>
              <w:t>25</w:t>
            </w:r>
          </w:p>
        </w:tc>
        <w:tc>
          <w:tcPr>
            <w:tcW w:w="990" w:type="dxa"/>
            <w:tcBorders>
              <w:top w:val="nil"/>
              <w:left w:val="single" w:sz="6" w:space="0" w:color="auto"/>
              <w:bottom w:val="single" w:sz="6" w:space="0" w:color="auto"/>
              <w:right w:val="single" w:sz="6" w:space="0" w:color="auto"/>
            </w:tcBorders>
            <w:shd w:val="solid" w:color="000000" w:fill="auto"/>
            <w:vAlign w:val="center"/>
          </w:tcPr>
          <w:p w:rsidR="00467056" w:rsidRPr="00FF0904" w:rsidP="00467056" w14:paraId="59282EC5" w14:textId="462F5F6A">
            <w:pPr>
              <w:jc w:val="center"/>
              <w:rPr>
                <w:rFonts w:ascii="Times New Roman" w:hAnsi="Times New Roman"/>
                <w:b/>
                <w:bCs/>
                <w:color w:val="000000"/>
                <w:sz w:val="20"/>
                <w:szCs w:val="20"/>
              </w:rPr>
            </w:pPr>
            <w:r w:rsidRPr="00D9654B">
              <w:rPr>
                <w:rFonts w:ascii="Times New Roman" w:hAnsi="Times New Roman"/>
                <w:b/>
                <w:bCs/>
                <w:i/>
                <w:iCs/>
                <w:color w:val="000000"/>
                <w:sz w:val="22"/>
                <w:szCs w:val="22"/>
              </w:rPr>
              <w:t> </w:t>
            </w:r>
          </w:p>
        </w:tc>
        <w:tc>
          <w:tcPr>
            <w:tcW w:w="990" w:type="dxa"/>
            <w:tcBorders>
              <w:top w:val="nil"/>
              <w:left w:val="single" w:sz="6" w:space="0" w:color="auto"/>
              <w:bottom w:val="single" w:sz="6" w:space="0" w:color="auto"/>
              <w:right w:val="single" w:sz="6" w:space="0" w:color="auto"/>
            </w:tcBorders>
            <w:vAlign w:val="center"/>
          </w:tcPr>
          <w:p w:rsidR="00467056" w:rsidRPr="00FF0904" w:rsidP="00467056" w14:paraId="75972BF5" w14:textId="226C3469">
            <w:pPr>
              <w:jc w:val="center"/>
              <w:rPr>
                <w:rFonts w:ascii="Times New Roman" w:hAnsi="Times New Roman"/>
                <w:b/>
                <w:bCs/>
                <w:color w:val="000000"/>
                <w:sz w:val="20"/>
                <w:szCs w:val="20"/>
              </w:rPr>
            </w:pPr>
            <w:r w:rsidRPr="00D9654B">
              <w:rPr>
                <w:rFonts w:ascii="Times New Roman" w:hAnsi="Times New Roman"/>
                <w:b/>
                <w:bCs/>
                <w:i/>
                <w:iCs/>
                <w:color w:val="000000"/>
                <w:sz w:val="22"/>
                <w:szCs w:val="22"/>
              </w:rPr>
              <w:t>450</w:t>
            </w:r>
          </w:p>
        </w:tc>
        <w:tc>
          <w:tcPr>
            <w:tcW w:w="900" w:type="dxa"/>
            <w:tcBorders>
              <w:top w:val="nil"/>
              <w:left w:val="single" w:sz="6" w:space="0" w:color="auto"/>
              <w:bottom w:val="single" w:sz="6" w:space="0" w:color="auto"/>
              <w:right w:val="single" w:sz="6" w:space="0" w:color="auto"/>
            </w:tcBorders>
            <w:shd w:val="solid" w:color="000000" w:fill="auto"/>
            <w:vAlign w:val="center"/>
          </w:tcPr>
          <w:p w:rsidR="00467056" w:rsidRPr="00FF0904" w:rsidP="00467056" w14:paraId="437E4187" w14:textId="2C235DE3">
            <w:pPr>
              <w:jc w:val="center"/>
              <w:rPr>
                <w:rFonts w:ascii="Times New Roman" w:hAnsi="Times New Roman"/>
                <w:color w:val="000000"/>
                <w:sz w:val="20"/>
                <w:szCs w:val="20"/>
              </w:rPr>
            </w:pPr>
            <w:r w:rsidRPr="00D9654B">
              <w:rPr>
                <w:rFonts w:ascii="Times New Roman" w:hAnsi="Times New Roman"/>
                <w:b/>
                <w:bCs/>
                <w:i/>
                <w:iCs/>
                <w:color w:val="000000"/>
                <w:sz w:val="22"/>
                <w:szCs w:val="22"/>
              </w:rPr>
              <w:t> </w:t>
            </w:r>
          </w:p>
        </w:tc>
        <w:tc>
          <w:tcPr>
            <w:tcW w:w="1350" w:type="dxa"/>
            <w:tcBorders>
              <w:top w:val="nil"/>
              <w:left w:val="single" w:sz="6" w:space="0" w:color="auto"/>
              <w:bottom w:val="single" w:sz="6" w:space="0" w:color="auto"/>
              <w:right w:val="single" w:sz="6" w:space="0" w:color="auto"/>
            </w:tcBorders>
            <w:vAlign w:val="center"/>
          </w:tcPr>
          <w:p w:rsidR="00467056" w:rsidRPr="00FF0904" w:rsidP="00467056" w14:paraId="5DA4A4B1" w14:textId="63D59AB7">
            <w:pPr>
              <w:jc w:val="center"/>
              <w:rPr>
                <w:rFonts w:ascii="Times New Roman" w:hAnsi="Times New Roman"/>
                <w:b/>
                <w:bCs/>
                <w:color w:val="000000"/>
                <w:sz w:val="20"/>
                <w:szCs w:val="20"/>
              </w:rPr>
            </w:pPr>
            <w:r w:rsidRPr="00D9654B">
              <w:rPr>
                <w:rFonts w:ascii="Times New Roman" w:hAnsi="Times New Roman"/>
                <w:b/>
                <w:bCs/>
                <w:i/>
                <w:iCs/>
                <w:color w:val="000000"/>
                <w:sz w:val="22"/>
                <w:szCs w:val="22"/>
              </w:rPr>
              <w:t>$19,787</w:t>
            </w:r>
          </w:p>
        </w:tc>
      </w:tr>
    </w:tbl>
    <w:p w:rsidR="008267D0" w:rsidRPr="00FF0904" w:rsidP="00E73538" w14:paraId="437784BE" w14:textId="77777777">
      <w:pPr>
        <w:rPr>
          <w:rFonts w:ascii="Times New Roman" w:hAnsi="Times New Roman"/>
          <w:i/>
          <w:iCs/>
          <w:color w:val="000000"/>
          <w:sz w:val="22"/>
          <w:szCs w:val="22"/>
        </w:rPr>
      </w:pPr>
    </w:p>
    <w:p w:rsidR="00C649C6" w:rsidRPr="00FF0904" w14:paraId="0EF89B26" w14:textId="265C401D">
      <w:pPr>
        <w:rPr>
          <w:rFonts w:ascii="Times New Roman" w:hAnsi="Times New Roman"/>
          <w:color w:val="000000"/>
        </w:rPr>
      </w:pPr>
      <w:r w:rsidRPr="00FF0904">
        <w:rPr>
          <w:rFonts w:ascii="Times New Roman" w:hAnsi="Times New Roman"/>
          <w:color w:val="000000"/>
        </w:rPr>
        <w:t>DOL associates no other burden costs with this information collection.</w:t>
      </w:r>
    </w:p>
    <w:p w:rsidR="00C649C6" w:rsidRPr="00FF0904" w14:paraId="7264C549" w14:textId="77777777">
      <w:pPr>
        <w:rPr>
          <w:rFonts w:ascii="Times New Roman" w:hAnsi="Times New Roman"/>
          <w:color w:val="000000"/>
        </w:rPr>
      </w:pPr>
    </w:p>
    <w:p w:rsidR="00C649C6" w:rsidRPr="00FF0904" w14:paraId="1EF18279" w14:textId="149D42BD">
      <w:pPr>
        <w:rPr>
          <w:rFonts w:ascii="Times New Roman" w:hAnsi="Times New Roman"/>
          <w:i/>
          <w:color w:val="000000"/>
        </w:rPr>
      </w:pPr>
      <w:r w:rsidRPr="00FF0904">
        <w:rPr>
          <w:rFonts w:ascii="Times New Roman" w:hAnsi="Times New Roman"/>
          <w:i/>
          <w:color w:val="000000"/>
        </w:rPr>
        <w:t xml:space="preserve">Total burden: </w:t>
      </w:r>
      <w:r w:rsidRPr="00FF0904" w:rsidR="00304C6E">
        <w:rPr>
          <w:rFonts w:ascii="Times New Roman" w:hAnsi="Times New Roman"/>
          <w:i/>
          <w:color w:val="000000"/>
        </w:rPr>
        <w:t xml:space="preserve">25 </w:t>
      </w:r>
      <w:r w:rsidRPr="00FF0904">
        <w:rPr>
          <w:rFonts w:ascii="Times New Roman" w:hAnsi="Times New Roman"/>
          <w:i/>
          <w:color w:val="000000"/>
        </w:rPr>
        <w:t xml:space="preserve">respondents, </w:t>
      </w:r>
      <w:r w:rsidRPr="00FF0904" w:rsidR="00A016EC">
        <w:rPr>
          <w:rFonts w:ascii="Times New Roman" w:hAnsi="Times New Roman"/>
          <w:i/>
          <w:color w:val="000000"/>
        </w:rPr>
        <w:t>25</w:t>
      </w:r>
      <w:r w:rsidRPr="00FF0904" w:rsidR="003D29BE">
        <w:rPr>
          <w:rFonts w:ascii="Times New Roman" w:hAnsi="Times New Roman"/>
          <w:i/>
          <w:color w:val="000000"/>
        </w:rPr>
        <w:t xml:space="preserve"> </w:t>
      </w:r>
      <w:r w:rsidRPr="00FF0904">
        <w:rPr>
          <w:rFonts w:ascii="Times New Roman" w:hAnsi="Times New Roman"/>
          <w:i/>
          <w:color w:val="000000"/>
        </w:rPr>
        <w:t>responses</w:t>
      </w:r>
      <w:r w:rsidRPr="00FF0904" w:rsidR="003F6CF9">
        <w:rPr>
          <w:rFonts w:ascii="Times New Roman" w:hAnsi="Times New Roman"/>
          <w:i/>
          <w:color w:val="000000"/>
        </w:rPr>
        <w:t>;</w:t>
      </w:r>
      <w:r w:rsidRPr="00FF0904">
        <w:rPr>
          <w:rFonts w:ascii="Times New Roman" w:hAnsi="Times New Roman"/>
          <w:i/>
          <w:color w:val="000000"/>
        </w:rPr>
        <w:t xml:space="preserve"> </w:t>
      </w:r>
      <w:r w:rsidRPr="00FF0904" w:rsidR="002C01F0">
        <w:rPr>
          <w:rFonts w:ascii="Times New Roman" w:hAnsi="Times New Roman"/>
          <w:i/>
          <w:color w:val="000000"/>
        </w:rPr>
        <w:t>45</w:t>
      </w:r>
      <w:r w:rsidRPr="00FF0904" w:rsidR="00304C6E">
        <w:rPr>
          <w:rFonts w:ascii="Times New Roman" w:hAnsi="Times New Roman"/>
          <w:i/>
          <w:color w:val="000000"/>
        </w:rPr>
        <w:t>0</w:t>
      </w:r>
      <w:r w:rsidRPr="00FF0904">
        <w:rPr>
          <w:rFonts w:ascii="Times New Roman" w:hAnsi="Times New Roman"/>
          <w:i/>
          <w:color w:val="000000"/>
        </w:rPr>
        <w:t xml:space="preserve"> hours</w:t>
      </w:r>
      <w:r w:rsidRPr="00FF0904" w:rsidR="003F6CF9">
        <w:rPr>
          <w:rFonts w:ascii="Times New Roman" w:hAnsi="Times New Roman"/>
          <w:i/>
          <w:color w:val="000000"/>
        </w:rPr>
        <w:t>;</w:t>
      </w:r>
      <w:r w:rsidRPr="00FF0904">
        <w:rPr>
          <w:rFonts w:ascii="Times New Roman" w:hAnsi="Times New Roman"/>
          <w:i/>
          <w:color w:val="000000"/>
        </w:rPr>
        <w:t xml:space="preserve"> $</w:t>
      </w:r>
      <w:r w:rsidRPr="00FF0904" w:rsidR="007D5423">
        <w:rPr>
          <w:rFonts w:ascii="Times New Roman" w:hAnsi="Times New Roman"/>
          <w:i/>
          <w:color w:val="000000"/>
        </w:rPr>
        <w:t>0</w:t>
      </w:r>
      <w:r w:rsidRPr="00FF0904">
        <w:rPr>
          <w:rFonts w:ascii="Times New Roman" w:hAnsi="Times New Roman"/>
          <w:i/>
          <w:color w:val="000000"/>
        </w:rPr>
        <w:t xml:space="preserve"> other cost burden.</w:t>
      </w:r>
    </w:p>
    <w:p w:rsidR="00FA2B70" w:rsidRPr="00FF0904" w14:paraId="44F9D822" w14:textId="77777777">
      <w:pPr>
        <w:rPr>
          <w:rFonts w:ascii="Times New Roman" w:hAnsi="Times New Roman"/>
          <w:b/>
          <w:color w:val="000000"/>
          <w:u w:val="single"/>
        </w:rPr>
      </w:pPr>
    </w:p>
    <w:p w:rsidR="00F1787D" w:rsidRPr="00FF0904" w14:paraId="3FE55FA0" w14:textId="77777777">
      <w:pPr>
        <w:rPr>
          <w:rFonts w:ascii="Times New Roman" w:hAnsi="Times New Roman"/>
          <w:b/>
          <w:color w:val="000000"/>
          <w:u w:val="single"/>
        </w:rPr>
      </w:pPr>
      <w:r w:rsidRPr="00FF0904">
        <w:rPr>
          <w:rFonts w:ascii="Times New Roman" w:hAnsi="Times New Roman"/>
          <w:b/>
          <w:color w:val="000000"/>
          <w:u w:val="single"/>
        </w:rPr>
        <w:t>Supporting Statement B; Statistical Methods</w:t>
      </w:r>
      <w:r w:rsidRPr="00FF0904" w:rsidR="00D016A2">
        <w:rPr>
          <w:rFonts w:ascii="Times New Roman" w:hAnsi="Times New Roman"/>
          <w:b/>
          <w:color w:val="000000"/>
          <w:u w:val="single"/>
        </w:rPr>
        <w:t>:</w:t>
      </w:r>
    </w:p>
    <w:p w:rsidR="006E4839" w:rsidRPr="00FF0904" w14:paraId="728FBD4B" w14:textId="77777777">
      <w:pPr>
        <w:rPr>
          <w:rFonts w:ascii="Times New Roman" w:hAnsi="Times New Roman"/>
          <w:color w:val="000000"/>
        </w:rPr>
      </w:pPr>
    </w:p>
    <w:p w:rsidR="00C649C6" w:rsidRPr="00FF0904" w:rsidP="005179FE" w14:paraId="5321C7C3" w14:textId="7016017B">
      <w:pPr>
        <w:rPr>
          <w:rFonts w:ascii="Times New Roman" w:hAnsi="Times New Roman"/>
          <w:color w:val="000000"/>
        </w:rPr>
      </w:pPr>
      <w:r w:rsidRPr="00FF0904">
        <w:rPr>
          <w:rFonts w:ascii="Times New Roman" w:hAnsi="Times New Roman"/>
          <w:color w:val="000000"/>
        </w:rPr>
        <w:t>There are no statistical methods.</w:t>
      </w:r>
    </w:p>
    <w:sectPr w:rsidSect="00833F3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9C6" w14:paraId="51E3C04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9C6" w14:paraId="295401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9C6" w14:paraId="23D2E986" w14:textId="1F44F1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592A">
      <w:rPr>
        <w:rStyle w:val="PageNumber"/>
        <w:noProof/>
      </w:rPr>
      <w:t>1</w:t>
    </w:r>
    <w:r>
      <w:rPr>
        <w:rStyle w:val="PageNumber"/>
      </w:rPr>
      <w:fldChar w:fldCharType="end"/>
    </w:r>
    <w:r>
      <w:rPr>
        <w:rStyle w:val="PageNumber"/>
      </w:rPr>
      <w:t xml:space="preserve"> </w:t>
    </w:r>
  </w:p>
  <w:p w:rsidR="00C649C6" w14:paraId="6D558B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727A" w14:paraId="7F7EC662" w14:textId="77777777">
      <w:r>
        <w:separator/>
      </w:r>
    </w:p>
  </w:footnote>
  <w:footnote w:type="continuationSeparator" w:id="1">
    <w:p w:rsidR="008E727A" w14:paraId="7998DFDC" w14:textId="77777777">
      <w:r>
        <w:continuationSeparator/>
      </w:r>
    </w:p>
  </w:footnote>
  <w:footnote w:id="2">
    <w:p w:rsidR="00FF0904" w:rsidRPr="0062032F" w:rsidP="00FF0904" w14:paraId="69141CB5"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Style w:val="FootnoteReference"/>
          <w:rFonts w:ascii="Times New Roman" w:hAnsi="Times New Roman"/>
        </w:rPr>
        <w:t xml:space="preserve"> </w:t>
      </w:r>
      <w:r w:rsidRPr="00CC24AF">
        <w:rPr>
          <w:rFonts w:ascii="Times New Roman" w:hAnsi="Times New Roman"/>
        </w:rPr>
        <w:t>For all wage rates, including Federal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FF0904" w:rsidRPr="0062032F" w:rsidP="00FF0904" w14:paraId="439E3866" w14:textId="77777777">
      <w:pPr>
        <w:pStyle w:val="FootnoteText"/>
        <w:rPr>
          <w:rFonts w:ascii="Times New Roman" w:hAnsi="Times New Roman"/>
        </w:rPr>
      </w:pPr>
    </w:p>
  </w:footnote>
  <w:footnote w:id="3">
    <w:p w:rsidR="008267D0" w:rsidRPr="0062032F" w:rsidP="008267D0" w14:paraId="6BF6A70D" w14:textId="5BCE7DB9">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Style w:val="FootnoteReference"/>
          <w:rFonts w:ascii="Times New Roman" w:hAnsi="Times New Roman"/>
        </w:rPr>
        <w:t xml:space="preserve"> </w:t>
      </w:r>
      <w:r w:rsidRPr="00CC24AF" w:rsidR="00CC24AF">
        <w:rPr>
          <w:rFonts w:ascii="Times New Roman" w:hAnsi="Times New Roman"/>
        </w:rPr>
        <w:t>To obtain OEWS data, follow BLS’s directions in its Frequently Asked Questions: “E. How to get OEWS data. 4. What are the different ways to obtain OEWS estimates from this website?” at</w:t>
      </w:r>
      <w:r w:rsidR="00CC24AF">
        <w:rPr>
          <w:rFonts w:ascii="Times New Roman" w:hAnsi="Times New Roman"/>
        </w:rPr>
        <w:t xml:space="preserve"> </w:t>
      </w:r>
      <w:hyperlink r:id="rId1" w:history="1">
        <w:r w:rsidRPr="00CC24AF" w:rsidR="00CC24AF">
          <w:rPr>
            <w:rStyle w:val="Hyperlink"/>
            <w:rFonts w:ascii="Times New Roman" w:hAnsi="Times New Roman"/>
          </w:rPr>
          <w:t>https://www.bls.gov/oes/oes_ques.htm</w:t>
        </w:r>
      </w:hyperlink>
      <w:r w:rsidRPr="00CC24AF" w:rsidR="00CC24AF">
        <w:rPr>
          <w:rFonts w:ascii="Times New Roman" w:hAnsi="Times New Roman"/>
        </w:rPr>
        <w:t>. The average wage rate is calculated as the employment-weighted average of hourly mean wages for the occupation.</w:t>
      </w:r>
    </w:p>
    <w:p w:rsidR="008267D0" w:rsidRPr="0062032F" w:rsidP="008267D0" w14:paraId="70739502" w14:textId="77777777">
      <w:pPr>
        <w:pStyle w:val="FootnoteText"/>
        <w:rPr>
          <w:rFonts w:ascii="Times New Roman" w:hAnsi="Times New Roman"/>
        </w:rPr>
      </w:pPr>
    </w:p>
  </w:footnote>
  <w:footnote w:id="4">
    <w:p w:rsidR="008267D0" w:rsidRPr="0062032F" w:rsidP="008267D0" w14:paraId="1D284E29"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Fonts w:ascii="Times New Roman" w:hAnsi="Times New Roman"/>
        </w:rPr>
        <w:t xml:space="preserve"> The benefit multiplier comes from BLS Employer Costs for Employee Compensation accessed by menu at </w:t>
      </w:r>
    </w:p>
    <w:p w:rsidR="00FF0904" w:rsidRPr="0062032F" w:rsidP="008267D0" w14:paraId="2D785415" w14:textId="65268E52">
      <w:pPr>
        <w:pStyle w:val="FootnoteText"/>
        <w:rPr>
          <w:rFonts w:ascii="Times New Roman" w:hAnsi="Times New Roman"/>
        </w:rPr>
      </w:pPr>
      <w:hyperlink r:id="rId2" w:history="1">
        <w:r w:rsidRPr="0062032F">
          <w:rPr>
            <w:rStyle w:val="Hyperlink"/>
            <w:rFonts w:ascii="Times New Roman" w:hAnsi="Times New Roman"/>
          </w:rPr>
          <w:t>http://data.bls.gov/cgi-bin/srgate</w:t>
        </w:r>
      </w:hyperlink>
      <w:r w:rsidRPr="0062032F">
        <w:rPr>
          <w:rFonts w:ascii="Times New Roman" w:hAnsi="Times New Roman"/>
        </w:rPr>
        <w:t xml:space="preserve"> or directly </w:t>
      </w:r>
      <w:r w:rsidR="00CC24AF">
        <w:rPr>
          <w:rFonts w:ascii="Times New Roman" w:hAnsi="Times New Roman"/>
        </w:rPr>
        <w:t>at</w:t>
      </w:r>
      <w:r w:rsidRPr="0062032F" w:rsidR="00CC24AF">
        <w:rPr>
          <w:rFonts w:ascii="Times New Roman" w:hAnsi="Times New Roman"/>
        </w:rPr>
        <w:t xml:space="preserve"> </w:t>
      </w:r>
      <w:hyperlink r:id="rId3" w:history="1">
        <w:r w:rsidRPr="0062032F">
          <w:rPr>
            <w:rStyle w:val="Hyperlink"/>
            <w:rFonts w:ascii="Times New Roman" w:hAnsi="Times New Roman"/>
          </w:rPr>
          <w:t>http://download.bls.gov/pub/time.series/cm/cm.data.0.Current</w:t>
        </w:r>
      </w:hyperlink>
      <w:r w:rsidRPr="0062032F">
        <w:rPr>
          <w:rFonts w:ascii="Times New Roman" w:hAnsi="Times New Roman"/>
        </w:rPr>
        <w:t xml:space="preserve">. Insert series ID </w:t>
      </w:r>
      <w:r w:rsidRPr="00F963A8" w:rsidR="00F963A8">
        <w:rPr>
          <w:rFonts w:ascii="Times New Roman" w:hAnsi="Times New Roman"/>
        </w:rPr>
        <w:t>CMU3030000100000D</w:t>
      </w:r>
      <w:r w:rsidR="00F963A8">
        <w:rPr>
          <w:rFonts w:ascii="Times New Roman" w:hAnsi="Times New Roman"/>
        </w:rPr>
        <w:t xml:space="preserve"> </w:t>
      </w:r>
      <w:r w:rsidRPr="0062032F">
        <w:rPr>
          <w:rFonts w:ascii="Times New Roman" w:hAnsi="Times New Roman"/>
        </w:rPr>
        <w:t xml:space="preserve">and </w:t>
      </w:r>
      <w:r w:rsidRPr="0062032F">
        <w:rPr>
          <w:rStyle w:val="Hyperlink"/>
          <w:rFonts w:ascii="Times New Roman" w:hAnsi="Times New Roman"/>
          <w:color w:val="auto"/>
          <w:u w:val="none"/>
        </w:rPr>
        <w:t>CMU3030000100000P, s</w:t>
      </w:r>
      <w:r w:rsidRPr="0062032F">
        <w:rPr>
          <w:rFonts w:ascii="Times New Roman" w:hAnsi="Times New Roman"/>
        </w:rPr>
        <w:t>tate and local government workers in management, professional, and related occupations,</w:t>
      </w:r>
      <w:r w:rsidRPr="0062032F">
        <w:rPr>
          <w:rStyle w:val="Hyperlink"/>
          <w:rFonts w:ascii="Times New Roman" w:hAnsi="Times New Roman"/>
        </w:rPr>
        <w:t xml:space="preserve"> </w:t>
      </w:r>
      <w:r w:rsidRPr="0062032F">
        <w:rPr>
          <w:rStyle w:val="Hyperlink"/>
          <w:rFonts w:ascii="Times New Roman" w:hAnsi="Times New Roman"/>
          <w:color w:val="auto"/>
          <w:u w:val="none"/>
        </w:rPr>
        <w:t>which is divided by 100 to convert to a decimal value.</w:t>
      </w:r>
      <w:r w:rsidRPr="0062032F">
        <w:rPr>
          <w:rStyle w:val="Hyperlink"/>
          <w:rFonts w:ascii="Times New Roman" w:hAnsi="Times New Roman"/>
          <w:color w:val="auto"/>
        </w:rPr>
        <w:t xml:space="preserve"> </w:t>
      </w:r>
      <w:r w:rsidRPr="0062032F">
        <w:rPr>
          <w:rFonts w:ascii="Times New Roman" w:hAnsi="Times New Roman"/>
        </w:rPr>
        <w:t>MSHA used the latest</w:t>
      </w:r>
      <w:r w:rsidR="000B4489">
        <w:rPr>
          <w:rFonts w:ascii="Times New Roman" w:hAnsi="Times New Roman"/>
        </w:rPr>
        <w:t xml:space="preserve"> </w:t>
      </w:r>
      <w:r w:rsidRPr="0062032F">
        <w:rPr>
          <w:rFonts w:ascii="Times New Roman" w:hAnsi="Times New Roman"/>
        </w:rPr>
        <w:t>4-quarter moving average to determine what percent of total loaded wages are benefits. MSHA computes the benefit multiplier with a number of detailed calculations, but it may be approximated with the formula 1 + (benefit percentage/(1-benefit percentage)).</w:t>
      </w:r>
    </w:p>
    <w:p w:rsidR="008267D0" w:rsidRPr="0062032F" w:rsidP="008267D0" w14:paraId="19B110F9" w14:textId="77777777">
      <w:pPr>
        <w:pStyle w:val="FootnoteText"/>
        <w:rPr>
          <w:rFonts w:ascii="Times New Roman" w:hAnsi="Times New Roman"/>
        </w:rPr>
      </w:pPr>
    </w:p>
  </w:footnote>
  <w:footnote w:id="5">
    <w:p w:rsidR="000B4489" w:rsidRPr="0062032F" w:rsidP="008267D0" w14:paraId="54A1578F" w14:textId="629A6A5C">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Fonts w:ascii="Times New Roman" w:hAnsi="Times New Roman"/>
        </w:rPr>
        <w:t xml:space="preserve"> Wage inflation is the change in Series ID: </w:t>
      </w:r>
      <w:r w:rsidRPr="004B4BBA" w:rsidR="004B4BBA">
        <w:rPr>
          <w:rFonts w:ascii="Times New Roman" w:hAnsi="Times New Roman"/>
        </w:rPr>
        <w:t>CIU3010000100000I</w:t>
      </w:r>
      <w:r w:rsidRPr="0062032F">
        <w:rPr>
          <w:rFonts w:ascii="Times New Roman" w:hAnsi="Times New Roman"/>
        </w:rPr>
        <w:t xml:space="preserve">; Seasonally adjusted; Series Title: Wages and salaries for State and local government workers in Management, professional, and related occupations, Index at </w:t>
      </w:r>
      <w:hyperlink r:id="rId4" w:history="1">
        <w:r w:rsidRPr="0062032F">
          <w:rPr>
            <w:rStyle w:val="Hyperlink"/>
            <w:rFonts w:ascii="Times New Roman" w:hAnsi="Times New Roman"/>
          </w:rPr>
          <w:t>https://data.bls.gov/cgi-bin/srgate</w:t>
        </w:r>
      </w:hyperlink>
      <w:r w:rsidRPr="0062032F">
        <w:rPr>
          <w:rStyle w:val="Hyperlink"/>
          <w:rFonts w:ascii="Times New Roman" w:hAnsi="Times New Roman"/>
        </w:rPr>
        <w:t>.</w:t>
      </w:r>
      <w:r w:rsidRPr="0062032F">
        <w:rPr>
          <w:rFonts w:ascii="Times New Roman" w:hAnsi="Times New Roman"/>
        </w:rPr>
        <w:t xml:space="preserve"> </w:t>
      </w:r>
      <w:r w:rsidRPr="000B4489">
        <w:rPr>
          <w:rFonts w:ascii="Times New Roman" w:hAnsi="Times New Roman"/>
        </w:rPr>
        <w:t>Inflation Multiplier = (Current Quarter Cost Index Value / OEWS Wage Base Quarter Index Value).</w:t>
      </w:r>
    </w:p>
    <w:p w:rsidR="008267D0" w:rsidRPr="0062032F" w:rsidP="008267D0" w14:paraId="40386BC0" w14:textId="77777777">
      <w:pPr>
        <w:pStyle w:val="FootnoteText"/>
        <w:rPr>
          <w:rFonts w:ascii="Times New Roman" w:hAnsi="Times New Roman"/>
        </w:rPr>
      </w:pPr>
    </w:p>
  </w:footnote>
  <w:footnote w:id="6">
    <w:p w:rsidR="008267D0" w:rsidRPr="00EB76D6" w:rsidP="005C1393" w14:paraId="10C525E8" w14:textId="6A752180">
      <w:pPr>
        <w:pStyle w:val="FootnoteText"/>
      </w:pPr>
      <w:r w:rsidRPr="0062032F">
        <w:rPr>
          <w:rStyle w:val="FootnoteReference"/>
          <w:rFonts w:ascii="Times New Roman" w:hAnsi="Times New Roman"/>
          <w:vertAlign w:val="superscript"/>
        </w:rPr>
        <w:footnoteRef/>
      </w:r>
      <w:r w:rsidRPr="0062032F">
        <w:rPr>
          <w:rFonts w:ascii="Times New Roman" w:hAnsi="Times New Roman"/>
        </w:rPr>
        <w:t xml:space="preserve"> MSHA use</w:t>
      </w:r>
      <w:r w:rsidR="000B4489">
        <w:rPr>
          <w:rFonts w:ascii="Times New Roman" w:hAnsi="Times New Roman"/>
        </w:rPr>
        <w:t>s</w:t>
      </w:r>
      <w:r w:rsidRPr="0062032F">
        <w:rPr>
          <w:rFonts w:ascii="Times New Roman" w:hAnsi="Times New Roman"/>
        </w:rPr>
        <w:t xml:space="preserve"> an overhead rate of 17 percent</w:t>
      </w:r>
      <w:r w:rsidR="004B4BBA">
        <w:rPr>
          <w:rFonts w:ascii="Times New Roman" w:hAnsi="Times New Roman"/>
        </w:rPr>
        <w:t xml:space="preserve"> for non-mining industries</w:t>
      </w:r>
      <w:r w:rsidRPr="0062032F">
        <w:rPr>
          <w:rFonts w:ascii="Times New Roman" w:hAnsi="Times New Roman"/>
        </w:rPr>
        <w:t xml:space="preserve">. This overhead rate is based on a 2002 EPA report by Cody Rice, "Wage Rates for Economic Analysis of the Toxics Release Inventory Program", available at </w:t>
      </w:r>
      <w:hyperlink r:id="rId5" w:history="1">
        <w:r w:rsidRPr="0062032F">
          <w:rPr>
            <w:rStyle w:val="Hyperlink"/>
            <w:rFonts w:ascii="Times New Roman" w:hAnsi="Times New Roman"/>
          </w:rPr>
          <w:t>https://www.regulations.gov/document/EPA-HQ-OPPT-2016-0387-0064</w:t>
        </w:r>
      </w:hyperlink>
      <w:r w:rsidRPr="0062032F">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5EE" w:rsidRPr="0062032F" w:rsidP="000865EE" w14:paraId="74CEA53E" w14:textId="40C304E9">
    <w:pPr>
      <w:pStyle w:val="Header"/>
      <w:rPr>
        <w:rFonts w:ascii="Times New Roman" w:hAnsi="Times New Roman"/>
      </w:rPr>
    </w:pPr>
    <w:r w:rsidRPr="0062032F">
      <w:rPr>
        <w:rFonts w:ascii="Times New Roman" w:hAnsi="Times New Roman"/>
      </w:rPr>
      <w:t>ICR Title:</w:t>
    </w:r>
    <w:r w:rsidRPr="0062032F" w:rsidR="008267D0">
      <w:rPr>
        <w:rFonts w:ascii="Times New Roman" w:hAnsi="Times New Roman"/>
      </w:rPr>
      <w:t xml:space="preserve"> </w:t>
    </w:r>
    <w:r w:rsidRPr="0062032F">
      <w:rPr>
        <w:rFonts w:ascii="Times New Roman" w:hAnsi="Times New Roman"/>
      </w:rPr>
      <w:t>DOL Generic Solution for Funding Opportunity Announcements</w:t>
    </w:r>
    <w:r w:rsidRPr="0062032F" w:rsidR="00885FC8">
      <w:rPr>
        <w:rFonts w:ascii="Times New Roman" w:hAnsi="Times New Roman"/>
      </w:rPr>
      <w:t xml:space="preserve"> - MSHA 202</w:t>
    </w:r>
    <w:r w:rsidR="00EB1756">
      <w:rPr>
        <w:rFonts w:ascii="Times New Roman" w:hAnsi="Times New Roman"/>
      </w:rPr>
      <w:t>5</w:t>
    </w:r>
    <w:r w:rsidRPr="0062032F" w:rsidR="00885FC8">
      <w:rPr>
        <w:rFonts w:ascii="Times New Roman" w:hAnsi="Times New Roman"/>
      </w:rPr>
      <w:t xml:space="preserve"> </w:t>
    </w:r>
    <w:r w:rsidRPr="0062032F" w:rsidR="00AB4E82">
      <w:rPr>
        <w:rFonts w:ascii="Times New Roman" w:hAnsi="Times New Roman"/>
      </w:rPr>
      <w:t>Brookwood-Sago Mine Safety Grants Program</w:t>
    </w:r>
    <w:r w:rsidRPr="0062032F" w:rsidR="00885FC8">
      <w:rPr>
        <w:rFonts w:ascii="Times New Roman" w:hAnsi="Times New Roman"/>
      </w:rPr>
      <w:t xml:space="preserve"> Justification</w:t>
    </w:r>
  </w:p>
  <w:p w:rsidR="00532A90" w:rsidRPr="0062032F" w14:paraId="37DA68E2" w14:textId="77777777">
    <w:pPr>
      <w:pStyle w:val="Header"/>
      <w:rPr>
        <w:rFonts w:ascii="Times New Roman" w:hAnsi="Times New Roman"/>
      </w:rPr>
    </w:pPr>
    <w:r w:rsidRPr="0062032F">
      <w:rPr>
        <w:rFonts w:ascii="Times New Roman" w:hAnsi="Times New Roman"/>
      </w:rPr>
      <w:t xml:space="preserve">OMB Control Number: </w:t>
    </w:r>
    <w:r w:rsidRPr="0062032F">
      <w:rPr>
        <w:rFonts w:ascii="Times New Roman" w:hAnsi="Times New Roman"/>
      </w:rPr>
      <w:t>1225-0086</w:t>
    </w:r>
  </w:p>
  <w:p w:rsidR="00532A90" w:rsidRPr="0062032F" w14:paraId="50F6657D" w14:textId="617E2C08">
    <w:pPr>
      <w:pStyle w:val="Header"/>
      <w:rPr>
        <w:rFonts w:ascii="Times New Roman" w:hAnsi="Times New Roman"/>
      </w:rPr>
    </w:pPr>
    <w:r w:rsidRPr="0062032F">
      <w:rPr>
        <w:rFonts w:ascii="Times New Roman" w:hAnsi="Times New Roman"/>
      </w:rPr>
      <w:t xml:space="preserve">OMB </w:t>
    </w:r>
    <w:r w:rsidRPr="0062032F">
      <w:rPr>
        <w:rFonts w:ascii="Times New Roman" w:hAnsi="Times New Roman"/>
      </w:rPr>
      <w:t>Ex</w:t>
    </w:r>
    <w:r w:rsidRPr="0062032F">
      <w:rPr>
        <w:rFonts w:ascii="Times New Roman" w:hAnsi="Times New Roman"/>
      </w:rPr>
      <w:t>piration</w:t>
    </w:r>
    <w:r w:rsidRPr="0062032F" w:rsidR="00561DC2">
      <w:rPr>
        <w:rFonts w:ascii="Times New Roman" w:hAnsi="Times New Roman"/>
      </w:rPr>
      <w:t xml:space="preserve"> Date</w:t>
    </w:r>
    <w:r w:rsidRPr="0062032F">
      <w:rPr>
        <w:rFonts w:ascii="Times New Roman" w:hAnsi="Times New Roman"/>
      </w:rPr>
      <w:t>:</w:t>
    </w:r>
    <w:r w:rsidRPr="0062032F" w:rsidR="008267D0">
      <w:rPr>
        <w:rFonts w:ascii="Times New Roman" w:hAnsi="Times New Roman"/>
      </w:rPr>
      <w:t xml:space="preserve"> </w:t>
    </w:r>
    <w:r w:rsidR="00374C96">
      <w:rPr>
        <w:rFonts w:ascii="Times New Roman" w:hAnsi="Times New Roman"/>
      </w:rPr>
      <w:t>6</w:t>
    </w:r>
    <w:r w:rsidRPr="0062032F">
      <w:rPr>
        <w:rFonts w:ascii="Times New Roman" w:hAnsi="Times New Roman"/>
      </w:rPr>
      <w:t>/3</w:t>
    </w:r>
    <w:r w:rsidR="00374C96">
      <w:rPr>
        <w:rFonts w:ascii="Times New Roman" w:hAnsi="Times New Roman"/>
      </w:rPr>
      <w:t>0</w:t>
    </w:r>
    <w:r w:rsidRPr="0062032F">
      <w:rPr>
        <w:rFonts w:ascii="Times New Roman" w:hAnsi="Times New Roman"/>
      </w:rPr>
      <w:t>/202</w:t>
    </w:r>
    <w:r w:rsidR="00374C96">
      <w:rPr>
        <w:rFonts w:ascii="Times New Roman" w:hAnsi="Times New Roman"/>
      </w:rPr>
      <w:t>8</w:t>
    </w:r>
  </w:p>
  <w:p w:rsidR="00532A90" w:rsidRPr="0062032F" w14:paraId="7E8AEAB0"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B1612"/>
    <w:multiLevelType w:val="hybridMultilevel"/>
    <w:tmpl w:val="A2EA5B30"/>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38995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efaultTableStyle w:val="Normal"/>
  <w:characterSpacingControl w:val="doNotCompress"/>
  <w:doNotEmbedSmartTags/>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D09"/>
    <w:rsid w:val="00007FC0"/>
    <w:rsid w:val="00016B50"/>
    <w:rsid w:val="000251AD"/>
    <w:rsid w:val="00032D31"/>
    <w:rsid w:val="00035EBA"/>
    <w:rsid w:val="0004379B"/>
    <w:rsid w:val="00043EAD"/>
    <w:rsid w:val="00050985"/>
    <w:rsid w:val="00077DC0"/>
    <w:rsid w:val="00083B9F"/>
    <w:rsid w:val="000865EE"/>
    <w:rsid w:val="00097E43"/>
    <w:rsid w:val="000A3354"/>
    <w:rsid w:val="000B4489"/>
    <w:rsid w:val="000B4B76"/>
    <w:rsid w:val="000B5AD0"/>
    <w:rsid w:val="000C1DCF"/>
    <w:rsid w:val="000C6FF7"/>
    <w:rsid w:val="000E0750"/>
    <w:rsid w:val="000E45B7"/>
    <w:rsid w:val="000F18A9"/>
    <w:rsid w:val="001049C4"/>
    <w:rsid w:val="00124F0A"/>
    <w:rsid w:val="00145612"/>
    <w:rsid w:val="00165DBE"/>
    <w:rsid w:val="00166AFB"/>
    <w:rsid w:val="00175C58"/>
    <w:rsid w:val="001828D4"/>
    <w:rsid w:val="00184380"/>
    <w:rsid w:val="001934C0"/>
    <w:rsid w:val="001C3D7A"/>
    <w:rsid w:val="001C40C5"/>
    <w:rsid w:val="001C426B"/>
    <w:rsid w:val="001C7FCE"/>
    <w:rsid w:val="001D5B8E"/>
    <w:rsid w:val="001D70F6"/>
    <w:rsid w:val="001E32A7"/>
    <w:rsid w:val="001E7BA1"/>
    <w:rsid w:val="001F0AD6"/>
    <w:rsid w:val="001F26DA"/>
    <w:rsid w:val="002300F6"/>
    <w:rsid w:val="00235D68"/>
    <w:rsid w:val="00243B84"/>
    <w:rsid w:val="002450ED"/>
    <w:rsid w:val="00253C21"/>
    <w:rsid w:val="00253C2F"/>
    <w:rsid w:val="00263A11"/>
    <w:rsid w:val="002726CF"/>
    <w:rsid w:val="00274468"/>
    <w:rsid w:val="002800D1"/>
    <w:rsid w:val="0028225F"/>
    <w:rsid w:val="0028294C"/>
    <w:rsid w:val="00286FD9"/>
    <w:rsid w:val="00287A93"/>
    <w:rsid w:val="00291DF6"/>
    <w:rsid w:val="0029451E"/>
    <w:rsid w:val="002A7C4E"/>
    <w:rsid w:val="002B2C36"/>
    <w:rsid w:val="002B79E9"/>
    <w:rsid w:val="002C01F0"/>
    <w:rsid w:val="002C7B1E"/>
    <w:rsid w:val="002D592A"/>
    <w:rsid w:val="002D779C"/>
    <w:rsid w:val="002E046D"/>
    <w:rsid w:val="002E316F"/>
    <w:rsid w:val="002E5D3A"/>
    <w:rsid w:val="002F00E3"/>
    <w:rsid w:val="002F2781"/>
    <w:rsid w:val="002F6B8F"/>
    <w:rsid w:val="00304310"/>
    <w:rsid w:val="00304C6E"/>
    <w:rsid w:val="00305B4A"/>
    <w:rsid w:val="00310149"/>
    <w:rsid w:val="00317C3D"/>
    <w:rsid w:val="003212A9"/>
    <w:rsid w:val="00331492"/>
    <w:rsid w:val="00333C6C"/>
    <w:rsid w:val="00334106"/>
    <w:rsid w:val="00335E4E"/>
    <w:rsid w:val="00355139"/>
    <w:rsid w:val="00364B53"/>
    <w:rsid w:val="00374C96"/>
    <w:rsid w:val="00392B91"/>
    <w:rsid w:val="003A1172"/>
    <w:rsid w:val="003B54C4"/>
    <w:rsid w:val="003B56B3"/>
    <w:rsid w:val="003C3D22"/>
    <w:rsid w:val="003D062F"/>
    <w:rsid w:val="003D15FD"/>
    <w:rsid w:val="003D29BE"/>
    <w:rsid w:val="003D2AEC"/>
    <w:rsid w:val="003D7249"/>
    <w:rsid w:val="003F6CF9"/>
    <w:rsid w:val="0040793B"/>
    <w:rsid w:val="0041458B"/>
    <w:rsid w:val="00432183"/>
    <w:rsid w:val="00432D55"/>
    <w:rsid w:val="00445337"/>
    <w:rsid w:val="00450DBD"/>
    <w:rsid w:val="00451ABE"/>
    <w:rsid w:val="00460605"/>
    <w:rsid w:val="00460899"/>
    <w:rsid w:val="00462012"/>
    <w:rsid w:val="00463B46"/>
    <w:rsid w:val="00467056"/>
    <w:rsid w:val="00474F4F"/>
    <w:rsid w:val="004B2B6F"/>
    <w:rsid w:val="004B4BBA"/>
    <w:rsid w:val="004B725F"/>
    <w:rsid w:val="004C4703"/>
    <w:rsid w:val="004C7DCF"/>
    <w:rsid w:val="004D1719"/>
    <w:rsid w:val="004E532E"/>
    <w:rsid w:val="00505465"/>
    <w:rsid w:val="005054B3"/>
    <w:rsid w:val="00506F0A"/>
    <w:rsid w:val="00513082"/>
    <w:rsid w:val="0051423C"/>
    <w:rsid w:val="005149B9"/>
    <w:rsid w:val="005179FE"/>
    <w:rsid w:val="00532A90"/>
    <w:rsid w:val="00536758"/>
    <w:rsid w:val="00561DC2"/>
    <w:rsid w:val="00584B6D"/>
    <w:rsid w:val="0059201B"/>
    <w:rsid w:val="00596AC9"/>
    <w:rsid w:val="005B2D8A"/>
    <w:rsid w:val="005C01CC"/>
    <w:rsid w:val="005C1393"/>
    <w:rsid w:val="005D4894"/>
    <w:rsid w:val="005E1149"/>
    <w:rsid w:val="005E3635"/>
    <w:rsid w:val="005E7ED2"/>
    <w:rsid w:val="005F2608"/>
    <w:rsid w:val="005F4E56"/>
    <w:rsid w:val="006027D6"/>
    <w:rsid w:val="00606C9F"/>
    <w:rsid w:val="00607BD1"/>
    <w:rsid w:val="006143FD"/>
    <w:rsid w:val="0061478D"/>
    <w:rsid w:val="00614F8B"/>
    <w:rsid w:val="006156F9"/>
    <w:rsid w:val="0062032F"/>
    <w:rsid w:val="00622A3D"/>
    <w:rsid w:val="00625320"/>
    <w:rsid w:val="00625FE8"/>
    <w:rsid w:val="006262EA"/>
    <w:rsid w:val="006269FF"/>
    <w:rsid w:val="00630FE9"/>
    <w:rsid w:val="0064781E"/>
    <w:rsid w:val="006577C6"/>
    <w:rsid w:val="006715C7"/>
    <w:rsid w:val="00672F5E"/>
    <w:rsid w:val="0067532E"/>
    <w:rsid w:val="00691F57"/>
    <w:rsid w:val="006A1FFC"/>
    <w:rsid w:val="006A3B74"/>
    <w:rsid w:val="006B5C5C"/>
    <w:rsid w:val="006B7877"/>
    <w:rsid w:val="006C5DC5"/>
    <w:rsid w:val="006E46BE"/>
    <w:rsid w:val="006E4839"/>
    <w:rsid w:val="006E5ACF"/>
    <w:rsid w:val="006E6C21"/>
    <w:rsid w:val="006F4803"/>
    <w:rsid w:val="006F4CAD"/>
    <w:rsid w:val="00706469"/>
    <w:rsid w:val="00721BB5"/>
    <w:rsid w:val="007225F1"/>
    <w:rsid w:val="00726362"/>
    <w:rsid w:val="007278CC"/>
    <w:rsid w:val="00734830"/>
    <w:rsid w:val="007443CE"/>
    <w:rsid w:val="00746707"/>
    <w:rsid w:val="0076021A"/>
    <w:rsid w:val="00784B8A"/>
    <w:rsid w:val="007970B2"/>
    <w:rsid w:val="00797D8D"/>
    <w:rsid w:val="007A044C"/>
    <w:rsid w:val="007B4273"/>
    <w:rsid w:val="007D5423"/>
    <w:rsid w:val="007E0B19"/>
    <w:rsid w:val="007E5A2C"/>
    <w:rsid w:val="00815968"/>
    <w:rsid w:val="008267D0"/>
    <w:rsid w:val="00833F36"/>
    <w:rsid w:val="00837912"/>
    <w:rsid w:val="00840578"/>
    <w:rsid w:val="00841054"/>
    <w:rsid w:val="0085344E"/>
    <w:rsid w:val="008643BE"/>
    <w:rsid w:val="00865F76"/>
    <w:rsid w:val="00871B8C"/>
    <w:rsid w:val="00885FC8"/>
    <w:rsid w:val="00895A0E"/>
    <w:rsid w:val="008C1377"/>
    <w:rsid w:val="008E727A"/>
    <w:rsid w:val="008F32BF"/>
    <w:rsid w:val="008F3619"/>
    <w:rsid w:val="008F7836"/>
    <w:rsid w:val="00905A88"/>
    <w:rsid w:val="00907232"/>
    <w:rsid w:val="0091254B"/>
    <w:rsid w:val="0091598F"/>
    <w:rsid w:val="009216FA"/>
    <w:rsid w:val="009230AA"/>
    <w:rsid w:val="00924A42"/>
    <w:rsid w:val="00925689"/>
    <w:rsid w:val="00927169"/>
    <w:rsid w:val="009277FB"/>
    <w:rsid w:val="00927F93"/>
    <w:rsid w:val="00933178"/>
    <w:rsid w:val="00952404"/>
    <w:rsid w:val="00964E03"/>
    <w:rsid w:val="009819EC"/>
    <w:rsid w:val="00984AAC"/>
    <w:rsid w:val="009853F1"/>
    <w:rsid w:val="009D3FDC"/>
    <w:rsid w:val="009D46A6"/>
    <w:rsid w:val="009D4DC6"/>
    <w:rsid w:val="009E64E7"/>
    <w:rsid w:val="009F0FCE"/>
    <w:rsid w:val="009F2865"/>
    <w:rsid w:val="009F691B"/>
    <w:rsid w:val="009F6E5A"/>
    <w:rsid w:val="009F7194"/>
    <w:rsid w:val="009F73B2"/>
    <w:rsid w:val="00A016EC"/>
    <w:rsid w:val="00A118C3"/>
    <w:rsid w:val="00A16961"/>
    <w:rsid w:val="00A2735F"/>
    <w:rsid w:val="00A4484A"/>
    <w:rsid w:val="00A534E1"/>
    <w:rsid w:val="00A73CAB"/>
    <w:rsid w:val="00A744B9"/>
    <w:rsid w:val="00A8790A"/>
    <w:rsid w:val="00AA3F04"/>
    <w:rsid w:val="00AB361A"/>
    <w:rsid w:val="00AB4B9D"/>
    <w:rsid w:val="00AB4E82"/>
    <w:rsid w:val="00AB74AF"/>
    <w:rsid w:val="00AB74F6"/>
    <w:rsid w:val="00AC40B9"/>
    <w:rsid w:val="00AC6D50"/>
    <w:rsid w:val="00AD1F46"/>
    <w:rsid w:val="00AD2515"/>
    <w:rsid w:val="00AE1C41"/>
    <w:rsid w:val="00AE56C5"/>
    <w:rsid w:val="00B221E0"/>
    <w:rsid w:val="00B30D7E"/>
    <w:rsid w:val="00B43A8F"/>
    <w:rsid w:val="00B56BDE"/>
    <w:rsid w:val="00B720BA"/>
    <w:rsid w:val="00B81929"/>
    <w:rsid w:val="00B86ECA"/>
    <w:rsid w:val="00BA1BAF"/>
    <w:rsid w:val="00BC18E5"/>
    <w:rsid w:val="00BC44CF"/>
    <w:rsid w:val="00BC6D09"/>
    <w:rsid w:val="00BD1C26"/>
    <w:rsid w:val="00BF18D9"/>
    <w:rsid w:val="00BF27E4"/>
    <w:rsid w:val="00BF4F93"/>
    <w:rsid w:val="00BF740E"/>
    <w:rsid w:val="00C170D5"/>
    <w:rsid w:val="00C21ED7"/>
    <w:rsid w:val="00C22837"/>
    <w:rsid w:val="00C47A54"/>
    <w:rsid w:val="00C55140"/>
    <w:rsid w:val="00C649C6"/>
    <w:rsid w:val="00C7071C"/>
    <w:rsid w:val="00C751C4"/>
    <w:rsid w:val="00C75CCD"/>
    <w:rsid w:val="00CA0211"/>
    <w:rsid w:val="00CB598F"/>
    <w:rsid w:val="00CC1962"/>
    <w:rsid w:val="00CC24AF"/>
    <w:rsid w:val="00CD6AB8"/>
    <w:rsid w:val="00D016A2"/>
    <w:rsid w:val="00D43EF4"/>
    <w:rsid w:val="00D53F0E"/>
    <w:rsid w:val="00D55612"/>
    <w:rsid w:val="00D6018C"/>
    <w:rsid w:val="00D81017"/>
    <w:rsid w:val="00D9654B"/>
    <w:rsid w:val="00D97F86"/>
    <w:rsid w:val="00DA4085"/>
    <w:rsid w:val="00DA471E"/>
    <w:rsid w:val="00DA5CA2"/>
    <w:rsid w:val="00DC17FE"/>
    <w:rsid w:val="00DD76DE"/>
    <w:rsid w:val="00DF4667"/>
    <w:rsid w:val="00E0282F"/>
    <w:rsid w:val="00E05B59"/>
    <w:rsid w:val="00E13E42"/>
    <w:rsid w:val="00E14E4F"/>
    <w:rsid w:val="00E207BD"/>
    <w:rsid w:val="00E535FB"/>
    <w:rsid w:val="00E72939"/>
    <w:rsid w:val="00E73538"/>
    <w:rsid w:val="00E83A72"/>
    <w:rsid w:val="00EB1756"/>
    <w:rsid w:val="00EB38DF"/>
    <w:rsid w:val="00EB76D6"/>
    <w:rsid w:val="00EC3995"/>
    <w:rsid w:val="00ED1A6C"/>
    <w:rsid w:val="00ED3EDA"/>
    <w:rsid w:val="00EF01E6"/>
    <w:rsid w:val="00F16D58"/>
    <w:rsid w:val="00F1787D"/>
    <w:rsid w:val="00F241D2"/>
    <w:rsid w:val="00F3118C"/>
    <w:rsid w:val="00F50194"/>
    <w:rsid w:val="00F64666"/>
    <w:rsid w:val="00F73012"/>
    <w:rsid w:val="00F826B6"/>
    <w:rsid w:val="00F84878"/>
    <w:rsid w:val="00F963A8"/>
    <w:rsid w:val="00FA104D"/>
    <w:rsid w:val="00FA2B70"/>
    <w:rsid w:val="00FB12A1"/>
    <w:rsid w:val="00FB2D5E"/>
    <w:rsid w:val="00FB4A7E"/>
    <w:rsid w:val="00FC1B30"/>
    <w:rsid w:val="00FE01B6"/>
    <w:rsid w:val="00FF0904"/>
    <w:rsid w:val="00FF53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C699820"/>
  <w15:docId w15:val="{73278F94-B60B-4F48-9A61-469E8962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semiHidden/>
    <w:rPr>
      <w:rFonts w:ascii="Book Antiqua" w:hAnsi="Book Antiqua"/>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CommentReference">
    <w:name w:val="annotation reference"/>
    <w:rsid w:val="00B221E0"/>
    <w:rPr>
      <w:sz w:val="16"/>
      <w:szCs w:val="16"/>
    </w:rPr>
  </w:style>
  <w:style w:type="paragraph" w:styleId="CommentText">
    <w:name w:val="annotation text"/>
    <w:basedOn w:val="Normal"/>
    <w:link w:val="CommentTextChar"/>
    <w:rsid w:val="00B221E0"/>
    <w:rPr>
      <w:sz w:val="20"/>
      <w:szCs w:val="20"/>
    </w:rPr>
  </w:style>
  <w:style w:type="character" w:customStyle="1" w:styleId="CommentTextChar">
    <w:name w:val="Comment Text Char"/>
    <w:link w:val="CommentText"/>
    <w:rsid w:val="00B221E0"/>
    <w:rPr>
      <w:rFonts w:ascii="Book Antiqua" w:hAnsi="Book Antiqua"/>
    </w:rPr>
  </w:style>
  <w:style w:type="paragraph" w:styleId="CommentSubject">
    <w:name w:val="annotation subject"/>
    <w:basedOn w:val="CommentText"/>
    <w:next w:val="CommentText"/>
    <w:link w:val="CommentSubjectChar"/>
    <w:rsid w:val="00B221E0"/>
    <w:rPr>
      <w:b/>
      <w:bCs/>
    </w:rPr>
  </w:style>
  <w:style w:type="character" w:customStyle="1" w:styleId="CommentSubjectChar">
    <w:name w:val="Comment Subject Char"/>
    <w:link w:val="CommentSubject"/>
    <w:rsid w:val="00B221E0"/>
    <w:rPr>
      <w:rFonts w:ascii="Book Antiqua" w:hAnsi="Book Antiqua"/>
      <w:b/>
      <w:bCs/>
    </w:rPr>
  </w:style>
  <w:style w:type="character" w:styleId="FootnoteReference">
    <w:name w:val="footnote reference"/>
    <w:unhideWhenUsed/>
    <w:rsid w:val="00286FD9"/>
  </w:style>
  <w:style w:type="paragraph" w:styleId="FootnoteText">
    <w:name w:val="footnote text"/>
    <w:basedOn w:val="Normal"/>
    <w:link w:val="FootnoteTextChar"/>
    <w:rsid w:val="006143FD"/>
    <w:rPr>
      <w:sz w:val="20"/>
      <w:szCs w:val="20"/>
    </w:rPr>
  </w:style>
  <w:style w:type="character" w:customStyle="1" w:styleId="FootnoteTextChar">
    <w:name w:val="Footnote Text Char"/>
    <w:link w:val="FootnoteText"/>
    <w:rsid w:val="006143FD"/>
    <w:rPr>
      <w:rFonts w:ascii="Book Antiqua" w:hAnsi="Book Antiqua"/>
    </w:rPr>
  </w:style>
  <w:style w:type="character" w:customStyle="1" w:styleId="HeaderChar">
    <w:name w:val="Header Char"/>
    <w:basedOn w:val="DefaultParagraphFont"/>
    <w:link w:val="Header"/>
    <w:uiPriority w:val="99"/>
    <w:rsid w:val="00532A90"/>
    <w:rPr>
      <w:rFonts w:ascii="Book Antiqua" w:hAnsi="Book Antiqua"/>
      <w:sz w:val="24"/>
      <w:szCs w:val="24"/>
    </w:rPr>
  </w:style>
  <w:style w:type="character" w:styleId="UnresolvedMention">
    <w:name w:val="Unresolved Mention"/>
    <w:basedOn w:val="DefaultParagraphFont"/>
    <w:uiPriority w:val="99"/>
    <w:semiHidden/>
    <w:unhideWhenUsed/>
    <w:rsid w:val="0028225F"/>
    <w:rPr>
      <w:color w:val="605E5C"/>
      <w:shd w:val="clear" w:color="auto" w:fill="E1DFDD"/>
    </w:rPr>
  </w:style>
  <w:style w:type="table" w:styleId="TableGrid">
    <w:name w:val="Table Grid"/>
    <w:basedOn w:val="TableNormal"/>
    <w:rsid w:val="00E7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267D0"/>
    <w:rPr>
      <w:rFonts w:ascii="Book Antiqua" w:eastAsia="Calibri" w:hAnsi="Book Antiqua"/>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07232"/>
    <w:pPr>
      <w:widowControl w:val="0"/>
      <w:autoSpaceDE w:val="0"/>
      <w:autoSpaceDN w:val="0"/>
      <w:ind w:left="140"/>
    </w:pPr>
    <w:rPr>
      <w:rFonts w:ascii="Times New Roman" w:hAnsi="Times New Roman"/>
    </w:rPr>
  </w:style>
  <w:style w:type="character" w:customStyle="1" w:styleId="BodyTextChar">
    <w:name w:val="Body Text Char"/>
    <w:basedOn w:val="DefaultParagraphFont"/>
    <w:link w:val="BodyText"/>
    <w:uiPriority w:val="1"/>
    <w:rsid w:val="00907232"/>
    <w:rPr>
      <w:sz w:val="24"/>
      <w:szCs w:val="24"/>
    </w:rPr>
  </w:style>
  <w:style w:type="character" w:customStyle="1" w:styleId="ui-provider">
    <w:name w:val="ui-provider"/>
    <w:basedOn w:val="DefaultParagraphFont"/>
    <w:rsid w:val="008F7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ran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133AF-3629-41B1-A8F2-8E582AB17D9E}">
  <ds:schemaRefs>
    <ds:schemaRef ds:uri="http://schemas.openxmlformats.org/officeDocument/2006/bibliography"/>
  </ds:schemaRefs>
</ds:datastoreItem>
</file>

<file path=customXml/itemProps2.xml><?xml version="1.0" encoding="utf-8"?>
<ds:datastoreItem xmlns:ds="http://schemas.openxmlformats.org/officeDocument/2006/customXml" ds:itemID="{05729249-3395-4AD9-8A5B-3FBF0F9A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DEA29C-23BF-466B-AF00-E50CA32F2875}">
  <ds:schemaRefs>
    <ds:schemaRef ds:uri="http://schemas.microsoft.com/sharepoint/v3/contenttype/forms"/>
  </ds:schemaRefs>
</ds:datastoreItem>
</file>

<file path=customXml/itemProps4.xml><?xml version="1.0" encoding="utf-8"?>
<ds:datastoreItem xmlns:ds="http://schemas.openxmlformats.org/officeDocument/2006/customXml" ds:itemID="{8BF7ADF2-02B8-4408-99FA-E575730B08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Howell, Michael D - OASAM OCIO</cp:lastModifiedBy>
  <cp:revision>2</cp:revision>
  <cp:lastPrinted>2020-03-16T14:12:00Z</cp:lastPrinted>
  <dcterms:created xsi:type="dcterms:W3CDTF">2025-08-14T18:20:00Z</dcterms:created>
  <dcterms:modified xsi:type="dcterms:W3CDTF">2025-08-14T18:20:00Z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