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056B" w:rsidP="0013056B" w14:paraId="5A004DEA" w14:textId="3DB4B937">
      <w:pPr>
        <w:widowControl w:val="0"/>
        <w:tabs>
          <w:tab w:val="left" w:pos="1920"/>
          <w:tab w:val="center" w:pos="4680"/>
        </w:tabs>
        <w:contextualSpacing/>
        <w:jc w:val="center"/>
        <w:rPr>
          <w:rFonts w:ascii="Times New Roman Bold" w:hAnsi="Times New Roman Bold" w:cs="Arial"/>
          <w:b/>
          <w:color w:val="000000"/>
          <w:szCs w:val="22"/>
        </w:rPr>
      </w:pPr>
      <w:r>
        <w:rPr>
          <w:rFonts w:ascii="Times New Roman Bold" w:hAnsi="Times New Roman Bold" w:cs="Arial"/>
          <w:b/>
          <w:color w:val="000000"/>
          <w:szCs w:val="22"/>
        </w:rPr>
        <w:t>Targeted Topic Instructions</w:t>
      </w:r>
    </w:p>
    <w:p w:rsidR="002E75E4" w:rsidP="0013056B" w14:paraId="46C3AA6F" w14:textId="661BA94B">
      <w:pPr>
        <w:widowControl w:val="0"/>
        <w:tabs>
          <w:tab w:val="left" w:pos="1920"/>
          <w:tab w:val="center" w:pos="4680"/>
        </w:tabs>
        <w:contextualSpacing/>
        <w:jc w:val="center"/>
        <w:rPr>
          <w:b/>
        </w:rPr>
      </w:pPr>
      <w:r>
        <w:rPr>
          <w:rFonts w:ascii="Times New Roman" w:hAnsi="Times New Roman"/>
          <w:b/>
        </w:rPr>
        <w:t>Susan Harwood Training</w:t>
      </w:r>
      <w:r w:rsidRPr="00FA74AB">
        <w:rPr>
          <w:rFonts w:ascii="Times New Roman" w:hAnsi="Times New Roman"/>
          <w:b/>
        </w:rPr>
        <w:t xml:space="preserve"> </w:t>
      </w:r>
      <w:r w:rsidRPr="002A2A43" w:rsidR="002A2A43">
        <w:rPr>
          <w:rFonts w:ascii="Times New Roman" w:hAnsi="Times New Roman"/>
          <w:b/>
        </w:rPr>
        <w:t>Grant</w:t>
      </w:r>
      <w:r w:rsidR="002A2A43">
        <w:rPr>
          <w:rFonts w:ascii="Times New Roman" w:hAnsi="Times New Roman"/>
          <w:b/>
        </w:rPr>
        <w:t xml:space="preserve"> </w:t>
      </w:r>
      <w:r w:rsidRPr="00EA59C0" w:rsidR="004028FC">
        <w:rPr>
          <w:b/>
        </w:rPr>
        <w:t>Program</w:t>
      </w:r>
    </w:p>
    <w:p w:rsidR="007E1A3C" w:rsidP="002A2A43" w14:paraId="5B6E2FA0" w14:textId="4FAD6970">
      <w:pPr>
        <w:widowControl w:val="0"/>
        <w:contextualSpacing/>
        <w:jc w:val="center"/>
        <w:rPr>
          <w:rFonts w:ascii="Times New Roman" w:hAnsi="Times New Roman"/>
          <w:b/>
        </w:rPr>
      </w:pPr>
      <w:r w:rsidRPr="00351071">
        <w:rPr>
          <w:rFonts w:ascii="Times New Roman" w:hAnsi="Times New Roman"/>
          <w:b/>
        </w:rPr>
        <w:t xml:space="preserve">Supplemental </w:t>
      </w:r>
      <w:r w:rsidR="00A4030B">
        <w:rPr>
          <w:rFonts w:ascii="Times New Roman" w:hAnsi="Times New Roman"/>
          <w:b/>
        </w:rPr>
        <w:t>Justification</w:t>
      </w:r>
      <w:r w:rsidR="008E6367">
        <w:rPr>
          <w:rFonts w:ascii="Times New Roman" w:hAnsi="Times New Roman"/>
          <w:b/>
        </w:rPr>
        <w:t xml:space="preserve"> </w:t>
      </w:r>
    </w:p>
    <w:p w:rsidR="00DB37E9" w:rsidRPr="007E1A3C" w:rsidP="002A2A43" w14:paraId="4AB2CCB2" w14:textId="540C8352">
      <w:pPr>
        <w:widowControl w:val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OMB Control Number 1225-0086</w:t>
      </w:r>
      <w:r w:rsidR="00261D44">
        <w:rPr>
          <w:rFonts w:ascii="Times New Roman" w:hAnsi="Times New Roman"/>
          <w:b/>
        </w:rPr>
        <w:t xml:space="preserve">, Exp. Date </w:t>
      </w:r>
      <w:r w:rsidR="00556E9C">
        <w:rPr>
          <w:rFonts w:ascii="Times New Roman" w:hAnsi="Times New Roman"/>
          <w:b/>
        </w:rPr>
        <w:t>06/30/2028</w:t>
      </w:r>
    </w:p>
    <w:p w:rsidR="006607D9" w:rsidP="007A6BC1" w14:paraId="2F625EF9" w14:textId="77777777">
      <w:pPr>
        <w:autoSpaceDE w:val="0"/>
        <w:autoSpaceDN w:val="0"/>
        <w:adjustRightInd w:val="0"/>
        <w:rPr>
          <w:rFonts w:ascii="Times New Roman" w:hAnsi="Times New Roman" w:cs="BookAntiqua"/>
          <w:b/>
          <w:i/>
          <w:color w:val="000000"/>
          <w:u w:val="single"/>
        </w:rPr>
      </w:pPr>
    </w:p>
    <w:p w:rsidR="007A6BC1" w:rsidP="007A6BC1" w14:paraId="25421F10" w14:textId="5F508746">
      <w:pPr>
        <w:autoSpaceDE w:val="0"/>
        <w:autoSpaceDN w:val="0"/>
        <w:adjustRightInd w:val="0"/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Supporting Statement </w:t>
      </w:r>
      <w:r>
        <w:rPr>
          <w:rFonts w:ascii="Times New Roman" w:hAnsi="Times New Roman" w:cs="BookAntiqua"/>
          <w:b/>
          <w:i/>
          <w:color w:val="000000"/>
          <w:u w:val="single"/>
        </w:rPr>
        <w:t>A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: </w:t>
      </w:r>
      <w:r>
        <w:rPr>
          <w:rFonts w:ascii="Times New Roman" w:hAnsi="Times New Roman" w:cs="BookAntiqua"/>
          <w:b/>
          <w:i/>
          <w:color w:val="000000"/>
          <w:u w:val="single"/>
        </w:rPr>
        <w:t>Justification</w:t>
      </w:r>
    </w:p>
    <w:p w:rsidR="0076657B" w:rsidP="007A6BC1" w14:paraId="74AE7B15" w14:textId="77777777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FC05C2" w:rsidP="00650617" w14:paraId="051FA61E" w14:textId="0D93AE0F">
      <w:pPr>
        <w:rPr>
          <w:rFonts w:ascii="Times New Roman" w:hAnsi="Times New Roman"/>
        </w:rPr>
      </w:pPr>
      <w:bookmarkStart w:id="0" w:name="_Toc229889134"/>
      <w:bookmarkStart w:id="1" w:name="_Toc228885476"/>
      <w:bookmarkStart w:id="2" w:name="_Toc208654602"/>
      <w:bookmarkStart w:id="3" w:name="_Toc207778202"/>
      <w:r w:rsidRPr="00AE5967">
        <w:rPr>
          <w:rFonts w:ascii="Times New Roman" w:hAnsi="Times New Roman"/>
        </w:rPr>
        <w:t xml:space="preserve">This request seeks OMB approval under the Paperwork Reduction Act for the unique information collection requirements in the </w:t>
      </w:r>
      <w:r w:rsidRPr="00AE5967" w:rsidR="008844B8">
        <w:rPr>
          <w:rFonts w:ascii="Times New Roman" w:hAnsi="Times New Roman"/>
        </w:rPr>
        <w:t>Susan Harwood Training Grant Program</w:t>
      </w:r>
      <w:r w:rsidRPr="00AE5967">
        <w:rPr>
          <w:rFonts w:ascii="Times New Roman" w:hAnsi="Times New Roman"/>
        </w:rPr>
        <w:t xml:space="preserve"> </w:t>
      </w:r>
      <w:r w:rsidR="009E093D">
        <w:rPr>
          <w:rFonts w:ascii="Times New Roman" w:hAnsi="Times New Roman"/>
        </w:rPr>
        <w:t>Instruction</w:t>
      </w:r>
      <w:r w:rsidRPr="00AE5967" w:rsidR="0048497B">
        <w:rPr>
          <w:rFonts w:ascii="Times New Roman" w:hAnsi="Times New Roman"/>
        </w:rPr>
        <w:t xml:space="preserve">. </w:t>
      </w:r>
      <w:r w:rsidRPr="00F0752B" w:rsidR="00261D44">
        <w:rPr>
          <w:rFonts w:ascii="Times New Roman" w:hAnsi="Times New Roman"/>
        </w:rPr>
        <w:t xml:space="preserve">The </w:t>
      </w:r>
      <w:r w:rsidR="00261D44">
        <w:rPr>
          <w:rFonts w:ascii="Times New Roman" w:hAnsi="Times New Roman"/>
        </w:rPr>
        <w:t>Occupational Safety and Health Administration (OSHA</w:t>
      </w:r>
      <w:r w:rsidRPr="00F0752B" w:rsidR="00261D44">
        <w:rPr>
          <w:rFonts w:ascii="Times New Roman" w:hAnsi="Times New Roman"/>
        </w:rPr>
        <w:t>), U.S. Department of Labor</w:t>
      </w:r>
      <w:r w:rsidRPr="00FC05C2" w:rsidR="00261D44">
        <w:rPr>
          <w:rFonts w:ascii="Times New Roman" w:hAnsi="Times New Roman"/>
        </w:rPr>
        <w:t xml:space="preserve">, </w:t>
      </w:r>
      <w:r w:rsidR="00261D44">
        <w:rPr>
          <w:rFonts w:ascii="Times New Roman" w:hAnsi="Times New Roman"/>
        </w:rPr>
        <w:t xml:space="preserve">will </w:t>
      </w:r>
      <w:r w:rsidR="006723E4">
        <w:rPr>
          <w:rFonts w:ascii="Times New Roman" w:hAnsi="Times New Roman"/>
        </w:rPr>
        <w:t>award</w:t>
      </w:r>
      <w:r w:rsidR="00261D44">
        <w:rPr>
          <w:rFonts w:ascii="Times New Roman" w:hAnsi="Times New Roman"/>
        </w:rPr>
        <w:t xml:space="preserve"> approximately $</w:t>
      </w:r>
      <w:r w:rsidR="003332DF">
        <w:rPr>
          <w:rFonts w:ascii="Times New Roman" w:hAnsi="Times New Roman"/>
        </w:rPr>
        <w:t>12</w:t>
      </w:r>
      <w:r w:rsidR="00261D44">
        <w:rPr>
          <w:rFonts w:ascii="Times New Roman" w:hAnsi="Times New Roman"/>
        </w:rPr>
        <w:t>.7</w:t>
      </w:r>
      <w:r w:rsidRPr="00FC05C2" w:rsidR="00261D44">
        <w:rPr>
          <w:rFonts w:ascii="Times New Roman" w:hAnsi="Times New Roman"/>
        </w:rPr>
        <w:t xml:space="preserve"> million in grant</w:t>
      </w:r>
      <w:r w:rsidR="006723E4">
        <w:rPr>
          <w:rFonts w:ascii="Times New Roman" w:hAnsi="Times New Roman"/>
        </w:rPr>
        <w:t>s</w:t>
      </w:r>
      <w:r w:rsidR="008E1ED9">
        <w:rPr>
          <w:rFonts w:ascii="Times New Roman" w:hAnsi="Times New Roman"/>
        </w:rPr>
        <w:t xml:space="preserve"> as</w:t>
      </w:r>
      <w:r w:rsidRPr="00FC05C2" w:rsidR="00261D44">
        <w:rPr>
          <w:rFonts w:ascii="Times New Roman" w:hAnsi="Times New Roman"/>
        </w:rPr>
        <w:t xml:space="preserve"> </w:t>
      </w:r>
      <w:r w:rsidR="00261D44">
        <w:rPr>
          <w:rFonts w:ascii="Times New Roman" w:hAnsi="Times New Roman"/>
        </w:rPr>
        <w:t>authorized by Section 21</w:t>
      </w:r>
      <w:r w:rsidRPr="008844B8" w:rsidR="00261D44">
        <w:rPr>
          <w:rFonts w:ascii="Times New Roman" w:hAnsi="Times New Roman"/>
        </w:rPr>
        <w:t xml:space="preserve"> of the</w:t>
      </w:r>
      <w:r w:rsidRPr="00A52DC8" w:rsidR="00261D44">
        <w:rPr>
          <w:rFonts w:ascii="Times New Roman" w:hAnsi="Times New Roman"/>
        </w:rPr>
        <w:t xml:space="preserve"> Occupational Safety and Health Act of 1970 </w:t>
      </w:r>
      <w:r w:rsidR="00261D44">
        <w:rPr>
          <w:rFonts w:ascii="Times New Roman" w:hAnsi="Times New Roman"/>
        </w:rPr>
        <w:t xml:space="preserve">(the </w:t>
      </w:r>
      <w:r w:rsidR="00B87625">
        <w:rPr>
          <w:rFonts w:ascii="Times New Roman" w:hAnsi="Times New Roman"/>
        </w:rPr>
        <w:t>"</w:t>
      </w:r>
      <w:r w:rsidR="00261D44">
        <w:rPr>
          <w:rFonts w:ascii="Times New Roman" w:hAnsi="Times New Roman"/>
        </w:rPr>
        <w:t>OSH Act</w:t>
      </w:r>
      <w:r w:rsidR="00B87625">
        <w:rPr>
          <w:rFonts w:ascii="Times New Roman" w:hAnsi="Times New Roman"/>
        </w:rPr>
        <w:t>"</w:t>
      </w:r>
      <w:r w:rsidR="00261D44">
        <w:rPr>
          <w:rFonts w:ascii="Times New Roman" w:hAnsi="Times New Roman"/>
        </w:rPr>
        <w:t>) (29 U.S.C. 670</w:t>
      </w:r>
      <w:r w:rsidRPr="00277709" w:rsidR="00261D44">
        <w:rPr>
          <w:rFonts w:ascii="Times New Roman" w:hAnsi="Times New Roman"/>
        </w:rPr>
        <w:t xml:space="preserve">). We expect to fund </w:t>
      </w:r>
      <w:r w:rsidR="0096592B">
        <w:rPr>
          <w:rFonts w:ascii="Times New Roman" w:hAnsi="Times New Roman"/>
        </w:rPr>
        <w:t xml:space="preserve">no more than </w:t>
      </w:r>
      <w:r w:rsidR="00B95D48">
        <w:rPr>
          <w:rFonts w:ascii="Times New Roman" w:hAnsi="Times New Roman"/>
        </w:rPr>
        <w:t>1</w:t>
      </w:r>
      <w:r w:rsidR="0096592B">
        <w:rPr>
          <w:rFonts w:ascii="Times New Roman" w:hAnsi="Times New Roman"/>
        </w:rPr>
        <w:t>2</w:t>
      </w:r>
      <w:r w:rsidR="00E942D7">
        <w:rPr>
          <w:rFonts w:ascii="Times New Roman" w:hAnsi="Times New Roman"/>
        </w:rPr>
        <w:t>0</w:t>
      </w:r>
      <w:r w:rsidRPr="00277709" w:rsidR="00261D44">
        <w:rPr>
          <w:rFonts w:ascii="Times New Roman" w:hAnsi="Times New Roman"/>
        </w:rPr>
        <w:t xml:space="preserve"> grants </w:t>
      </w:r>
      <w:r w:rsidR="00650617">
        <w:rPr>
          <w:rFonts w:ascii="Times New Roman" w:hAnsi="Times New Roman"/>
        </w:rPr>
        <w:t>with awards up</w:t>
      </w:r>
      <w:r w:rsidRPr="00277709" w:rsidR="00261D44">
        <w:rPr>
          <w:rFonts w:ascii="Times New Roman" w:hAnsi="Times New Roman"/>
        </w:rPr>
        <w:t xml:space="preserve"> to $</w:t>
      </w:r>
      <w:r w:rsidR="00650617">
        <w:rPr>
          <w:rFonts w:ascii="Times New Roman" w:hAnsi="Times New Roman"/>
        </w:rPr>
        <w:t>200</w:t>
      </w:r>
      <w:r w:rsidRPr="00277709" w:rsidR="00261D44">
        <w:rPr>
          <w:rFonts w:ascii="Times New Roman" w:hAnsi="Times New Roman"/>
        </w:rPr>
        <w:t>,000</w:t>
      </w:r>
      <w:r w:rsidR="00650617">
        <w:rPr>
          <w:rFonts w:ascii="Times New Roman" w:hAnsi="Times New Roman"/>
        </w:rPr>
        <w:t>.</w:t>
      </w:r>
    </w:p>
    <w:p w:rsidR="00650617" w:rsidRPr="00AE5967" w:rsidP="00650617" w14:paraId="172B3704" w14:textId="77777777">
      <w:pPr>
        <w:rPr>
          <w:rFonts w:ascii="Times New Roman" w:hAnsi="Times New Roman"/>
        </w:rPr>
      </w:pPr>
    </w:p>
    <w:p w:rsidR="00261D44" w:rsidRPr="00FC05C2" w:rsidP="00261D44" w14:paraId="040B90E0" w14:textId="4A944520">
      <w:pPr>
        <w:rPr>
          <w:rFonts w:ascii="Times New Roman" w:hAnsi="Times New Roman"/>
        </w:rPr>
      </w:pPr>
      <w:bookmarkStart w:id="4" w:name="_Toc222224643"/>
      <w:bookmarkEnd w:id="4"/>
      <w:r>
        <w:rPr>
          <w:rFonts w:ascii="Times New Roman" w:hAnsi="Times New Roman"/>
        </w:rPr>
        <w:t>All awards will be non-competitive</w:t>
      </w:r>
      <w:r w:rsidR="007D1194">
        <w:rPr>
          <w:rFonts w:ascii="Times New Roman" w:hAnsi="Times New Roman"/>
        </w:rPr>
        <w:t>. P</w:t>
      </w:r>
      <w:r w:rsidR="00DE07A9">
        <w:rPr>
          <w:rFonts w:ascii="Times New Roman" w:hAnsi="Times New Roman"/>
        </w:rPr>
        <w:t>re-</w:t>
      </w:r>
      <w:r w:rsidR="00A75668">
        <w:rPr>
          <w:rFonts w:ascii="Times New Roman" w:hAnsi="Times New Roman"/>
        </w:rPr>
        <w:t xml:space="preserve">selected </w:t>
      </w:r>
      <w:r w:rsidR="00FE42FD">
        <w:rPr>
          <w:rFonts w:ascii="Times New Roman" w:hAnsi="Times New Roman"/>
        </w:rPr>
        <w:t xml:space="preserve">entities </w:t>
      </w:r>
      <w:r w:rsidR="00D70089">
        <w:rPr>
          <w:rFonts w:ascii="Times New Roman" w:hAnsi="Times New Roman"/>
        </w:rPr>
        <w:t xml:space="preserve">will receive access to </w:t>
      </w:r>
      <w:r w:rsidR="00FE42FD">
        <w:rPr>
          <w:rFonts w:ascii="Times New Roman" w:hAnsi="Times New Roman"/>
        </w:rPr>
        <w:t xml:space="preserve">the Targeted Topic Training Grant </w:t>
      </w:r>
      <w:r w:rsidR="00650617">
        <w:rPr>
          <w:rFonts w:ascii="Times New Roman" w:hAnsi="Times New Roman"/>
        </w:rPr>
        <w:t>Instruction</w:t>
      </w:r>
      <w:r w:rsidR="009D6981">
        <w:rPr>
          <w:rFonts w:ascii="Times New Roman" w:hAnsi="Times New Roman"/>
        </w:rPr>
        <w:t xml:space="preserve"> on </w:t>
      </w:r>
      <w:r w:rsidR="00436C9F">
        <w:rPr>
          <w:rFonts w:ascii="Times New Roman" w:hAnsi="Times New Roman"/>
          <w:color w:val="000000"/>
        </w:rPr>
        <w:t xml:space="preserve">the </w:t>
      </w:r>
      <w:r w:rsidR="00CD1BED">
        <w:rPr>
          <w:rFonts w:ascii="Times New Roman" w:hAnsi="Times New Roman"/>
          <w:color w:val="000000"/>
        </w:rPr>
        <w:t>G</w:t>
      </w:r>
      <w:r w:rsidR="00436C9F">
        <w:rPr>
          <w:rFonts w:ascii="Times New Roman" w:hAnsi="Times New Roman"/>
          <w:color w:val="000000"/>
        </w:rPr>
        <w:t xml:space="preserve">rants.gov website. </w:t>
      </w:r>
      <w:r w:rsidRPr="00FC05C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Susan Harwood Training Grant</w:t>
      </w:r>
      <w:r w:rsidRPr="00FC05C2">
        <w:rPr>
          <w:rFonts w:ascii="Times New Roman" w:hAnsi="Times New Roman"/>
        </w:rPr>
        <w:t xml:space="preserve"> program</w:t>
      </w:r>
      <w:r w:rsidR="00413784">
        <w:rPr>
          <w:rFonts w:ascii="Times New Roman" w:hAnsi="Times New Roman"/>
        </w:rPr>
        <w:t xml:space="preserve"> will assist these </w:t>
      </w:r>
      <w:r w:rsidR="00FA3FA9">
        <w:rPr>
          <w:rFonts w:ascii="Times New Roman" w:hAnsi="Times New Roman"/>
        </w:rPr>
        <w:t xml:space="preserve">nonprofit </w:t>
      </w:r>
      <w:r w:rsidR="00A43769">
        <w:rPr>
          <w:rFonts w:ascii="Times New Roman" w:hAnsi="Times New Roman"/>
        </w:rPr>
        <w:t xml:space="preserve">entities </w:t>
      </w:r>
      <w:r w:rsidR="004D6793">
        <w:rPr>
          <w:rFonts w:ascii="Times New Roman" w:hAnsi="Times New Roman"/>
        </w:rPr>
        <w:t>in</w:t>
      </w:r>
      <w:r w:rsidR="00FA3FA9">
        <w:rPr>
          <w:rFonts w:ascii="Times New Roman" w:hAnsi="Times New Roman"/>
        </w:rPr>
        <w:t xml:space="preserve"> develop</w:t>
      </w:r>
      <w:r w:rsidR="004D6793">
        <w:rPr>
          <w:rFonts w:ascii="Times New Roman" w:hAnsi="Times New Roman"/>
        </w:rPr>
        <w:t xml:space="preserve">ing </w:t>
      </w:r>
      <w:r w:rsidR="00FA3FA9">
        <w:rPr>
          <w:rFonts w:ascii="Times New Roman" w:hAnsi="Times New Roman"/>
        </w:rPr>
        <w:t>and conduct</w:t>
      </w:r>
      <w:r w:rsidR="004D6793">
        <w:rPr>
          <w:rFonts w:ascii="Times New Roman" w:hAnsi="Times New Roman"/>
        </w:rPr>
        <w:t>ing</w:t>
      </w:r>
      <w:r w:rsidR="00FA3FA9">
        <w:rPr>
          <w:rFonts w:ascii="Times New Roman" w:hAnsi="Times New Roman"/>
        </w:rPr>
        <w:t xml:space="preserve"> </w:t>
      </w:r>
      <w:r w:rsidR="0069085B">
        <w:rPr>
          <w:rFonts w:ascii="Times New Roman" w:hAnsi="Times New Roman"/>
        </w:rPr>
        <w:t xml:space="preserve">occupational </w:t>
      </w:r>
      <w:r w:rsidRPr="00C4229D" w:rsidR="0069085B">
        <w:rPr>
          <w:rFonts w:ascii="Times New Roman" w:hAnsi="Times New Roman"/>
        </w:rPr>
        <w:t>safety and health</w:t>
      </w:r>
      <w:r w:rsidR="00454167">
        <w:rPr>
          <w:rFonts w:ascii="Times New Roman" w:hAnsi="Times New Roman"/>
        </w:rPr>
        <w:t xml:space="preserve"> </w:t>
      </w:r>
      <w:r w:rsidR="00FA3FA9">
        <w:rPr>
          <w:rFonts w:ascii="Times New Roman" w:hAnsi="Times New Roman"/>
        </w:rPr>
        <w:t xml:space="preserve">training </w:t>
      </w:r>
      <w:r w:rsidRPr="00C4229D" w:rsidR="00C218B2">
        <w:rPr>
          <w:rFonts w:ascii="Times New Roman" w:hAnsi="Times New Roman"/>
        </w:rPr>
        <w:t xml:space="preserve">on </w:t>
      </w:r>
      <w:r w:rsidR="00111735">
        <w:rPr>
          <w:rFonts w:ascii="Times New Roman" w:hAnsi="Times New Roman"/>
        </w:rPr>
        <w:t>recognizing, abat</w:t>
      </w:r>
      <w:r w:rsidR="00A13D48">
        <w:rPr>
          <w:rFonts w:ascii="Times New Roman" w:hAnsi="Times New Roman"/>
        </w:rPr>
        <w:t>ing</w:t>
      </w:r>
      <w:r w:rsidR="00111735">
        <w:rPr>
          <w:rFonts w:ascii="Times New Roman" w:hAnsi="Times New Roman"/>
        </w:rPr>
        <w:t>, and preventing</w:t>
      </w:r>
      <w:r w:rsidR="00454167">
        <w:rPr>
          <w:rFonts w:ascii="Times New Roman" w:hAnsi="Times New Roman"/>
        </w:rPr>
        <w:t xml:space="preserve"> workplace hazards</w:t>
      </w:r>
      <w:r w:rsidR="00A800A9">
        <w:rPr>
          <w:rFonts w:ascii="Times New Roman" w:hAnsi="Times New Roman"/>
        </w:rPr>
        <w:t>. The training</w:t>
      </w:r>
      <w:r w:rsidR="00963123">
        <w:rPr>
          <w:rFonts w:ascii="Times New Roman" w:hAnsi="Times New Roman"/>
        </w:rPr>
        <w:t xml:space="preserve"> will reach</w:t>
      </w:r>
      <w:r w:rsidR="005F1173">
        <w:rPr>
          <w:rFonts w:ascii="Times New Roman" w:hAnsi="Times New Roman"/>
        </w:rPr>
        <w:t xml:space="preserve"> </w:t>
      </w:r>
      <w:r w:rsidR="001216B3">
        <w:rPr>
          <w:rFonts w:ascii="Times New Roman" w:hAnsi="Times New Roman"/>
        </w:rPr>
        <w:t xml:space="preserve">small business </w:t>
      </w:r>
      <w:r w:rsidR="00AE29B1">
        <w:rPr>
          <w:rFonts w:ascii="Times New Roman" w:hAnsi="Times New Roman"/>
        </w:rPr>
        <w:t>ow</w:t>
      </w:r>
      <w:r w:rsidR="003A4E85">
        <w:rPr>
          <w:rFonts w:ascii="Times New Roman" w:hAnsi="Times New Roman"/>
        </w:rPr>
        <w:t>n</w:t>
      </w:r>
      <w:r w:rsidR="00AE29B1">
        <w:rPr>
          <w:rFonts w:ascii="Times New Roman" w:hAnsi="Times New Roman"/>
        </w:rPr>
        <w:t>ers</w:t>
      </w:r>
      <w:r w:rsidR="00144B65">
        <w:rPr>
          <w:rFonts w:ascii="Times New Roman" w:hAnsi="Times New Roman"/>
        </w:rPr>
        <w:t xml:space="preserve"> and </w:t>
      </w:r>
      <w:r w:rsidR="005F1173">
        <w:rPr>
          <w:rFonts w:ascii="Times New Roman" w:hAnsi="Times New Roman"/>
        </w:rPr>
        <w:t xml:space="preserve">their </w:t>
      </w:r>
      <w:r w:rsidR="0088366E">
        <w:rPr>
          <w:rFonts w:ascii="Times New Roman" w:hAnsi="Times New Roman"/>
        </w:rPr>
        <w:t>workers</w:t>
      </w:r>
      <w:r w:rsidR="00650617">
        <w:rPr>
          <w:rFonts w:ascii="Times New Roman" w:hAnsi="Times New Roman"/>
        </w:rPr>
        <w:t xml:space="preserve">. </w:t>
      </w:r>
      <w:r w:rsidR="0044441B">
        <w:rPr>
          <w:rFonts w:ascii="Times New Roman" w:hAnsi="Times New Roman"/>
        </w:rPr>
        <w:t xml:space="preserve">Also, </w:t>
      </w:r>
      <w:r w:rsidR="00FD0F99">
        <w:rPr>
          <w:rFonts w:ascii="Times New Roman" w:hAnsi="Times New Roman"/>
        </w:rPr>
        <w:t xml:space="preserve">training will cover </w:t>
      </w:r>
      <w:r w:rsidR="0044441B">
        <w:rPr>
          <w:rFonts w:ascii="Times New Roman" w:hAnsi="Times New Roman"/>
        </w:rPr>
        <w:t>w</w:t>
      </w:r>
      <w:r w:rsidRPr="00C4229D">
        <w:rPr>
          <w:rFonts w:ascii="Times New Roman" w:hAnsi="Times New Roman"/>
        </w:rPr>
        <w:t>orker</w:t>
      </w:r>
      <w:r w:rsidR="004B63B2">
        <w:rPr>
          <w:rFonts w:ascii="Times New Roman" w:hAnsi="Times New Roman"/>
        </w:rPr>
        <w:t xml:space="preserve"> </w:t>
      </w:r>
      <w:r w:rsidRPr="00C4229D">
        <w:rPr>
          <w:rFonts w:ascii="Times New Roman" w:hAnsi="Times New Roman"/>
        </w:rPr>
        <w:t xml:space="preserve">rights </w:t>
      </w:r>
      <w:r w:rsidR="00AD49D7">
        <w:rPr>
          <w:rFonts w:ascii="Times New Roman" w:hAnsi="Times New Roman"/>
        </w:rPr>
        <w:t>to a safe and healthy workplace</w:t>
      </w:r>
      <w:r w:rsidR="00760702">
        <w:rPr>
          <w:rFonts w:ascii="Times New Roman" w:hAnsi="Times New Roman"/>
        </w:rPr>
        <w:t>, a</w:t>
      </w:r>
      <w:r w:rsidR="009A4B94">
        <w:rPr>
          <w:rFonts w:ascii="Times New Roman" w:hAnsi="Times New Roman"/>
        </w:rPr>
        <w:t>nd</w:t>
      </w:r>
      <w:r w:rsidR="00760702">
        <w:rPr>
          <w:rFonts w:ascii="Times New Roman" w:hAnsi="Times New Roman"/>
        </w:rPr>
        <w:t xml:space="preserve"> employer</w:t>
      </w:r>
      <w:r w:rsidRPr="00C4229D">
        <w:rPr>
          <w:rFonts w:ascii="Times New Roman" w:hAnsi="Times New Roman"/>
        </w:rPr>
        <w:t xml:space="preserve"> responsibilities</w:t>
      </w:r>
      <w:r w:rsidR="00542401">
        <w:rPr>
          <w:rFonts w:ascii="Times New Roman" w:hAnsi="Times New Roman"/>
        </w:rPr>
        <w:t xml:space="preserve"> as</w:t>
      </w:r>
      <w:r>
        <w:rPr>
          <w:rFonts w:ascii="Times New Roman" w:hAnsi="Times New Roman"/>
        </w:rPr>
        <w:t xml:space="preserve"> </w:t>
      </w:r>
      <w:r w:rsidR="00BE4235">
        <w:rPr>
          <w:rFonts w:ascii="Times New Roman" w:hAnsi="Times New Roman"/>
        </w:rPr>
        <w:t xml:space="preserve">required by </w:t>
      </w:r>
      <w:r w:rsidRPr="00C4229D">
        <w:rPr>
          <w:rFonts w:ascii="Times New Roman" w:hAnsi="Times New Roman"/>
        </w:rPr>
        <w:t>the Occupational Safety and Health Act (OSH Act).</w:t>
      </w:r>
      <w:r>
        <w:rPr>
          <w:rFonts w:ascii="Times New Roman" w:hAnsi="Times New Roman"/>
        </w:rPr>
        <w:t xml:space="preserve">  </w:t>
      </w:r>
    </w:p>
    <w:p w:rsidR="00261D44" w:rsidRPr="00F0752B" w:rsidP="00261D44" w14:paraId="4AC19A9F" w14:textId="77777777">
      <w:pPr>
        <w:pStyle w:val="BodyA"/>
        <w:rPr>
          <w:rFonts w:ascii="Times New Roman" w:hAnsi="Times New Roman"/>
        </w:rPr>
      </w:pPr>
    </w:p>
    <w:p w:rsidR="0067319F" w:rsidP="006C4BBA" w14:paraId="1184EE07" w14:textId="77777777">
      <w:pPr>
        <w:autoSpaceDE w:val="0"/>
        <w:autoSpaceDN w:val="0"/>
        <w:adjustRightInd w:val="0"/>
        <w:contextualSpacing/>
        <w:rPr>
          <w:rFonts w:ascii="Times New Roman" w:hAnsi="Times New Roman"/>
          <w:u w:color="FF0000"/>
        </w:rPr>
      </w:pPr>
      <w:r w:rsidRPr="003A0E9C">
        <w:rPr>
          <w:rFonts w:ascii="Times New Roman" w:hAnsi="Times New Roman"/>
          <w:color w:val="000000"/>
        </w:rPr>
        <w:t xml:space="preserve">Applications </w:t>
      </w:r>
      <w:r w:rsidR="00E4152B">
        <w:rPr>
          <w:rFonts w:ascii="Times New Roman" w:hAnsi="Times New Roman"/>
          <w:color w:val="000000"/>
        </w:rPr>
        <w:t xml:space="preserve">will </w:t>
      </w:r>
      <w:r w:rsidRPr="003A0E9C">
        <w:rPr>
          <w:rFonts w:ascii="Times New Roman" w:hAnsi="Times New Roman"/>
          <w:color w:val="000000"/>
        </w:rPr>
        <w:t>include the following information collections:</w:t>
      </w:r>
      <w:r w:rsidR="006C4BBA">
        <w:rPr>
          <w:rFonts w:ascii="Times New Roman" w:hAnsi="Times New Roman"/>
          <w:color w:val="000000"/>
        </w:rPr>
        <w:t xml:space="preserve">  </w:t>
      </w:r>
    </w:p>
    <w:p w:rsidR="0096223F" w:rsidRPr="00CC1B7E" w:rsidP="00630AF9" w14:paraId="33AC4920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>
        <w:rPr>
          <w:rFonts w:ascii="Times New Roman" w:hAnsi="Times New Roman" w:cs="Arial Unicode MS"/>
          <w:color w:val="000000"/>
          <w:sz w:val="22"/>
          <w:szCs w:val="22"/>
          <w:u w:color="000000"/>
        </w:rPr>
        <w:t xml:space="preserve">Form </w:t>
      </w: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SF-424 – Application for Federal Assistance</w:t>
      </w:r>
    </w:p>
    <w:p w:rsidR="00650617" w:rsidRPr="00CC1B7E" w:rsidP="00630AF9" w14:paraId="0D1F4263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 xml:space="preserve">Form SF-424A – </w:t>
      </w:r>
      <w:r>
        <w:rPr>
          <w:rFonts w:ascii="Times New Roman" w:hAnsi="Times New Roman" w:cs="Arial Unicode MS"/>
          <w:color w:val="000000"/>
          <w:sz w:val="22"/>
          <w:szCs w:val="22"/>
          <w:u w:color="000000"/>
        </w:rPr>
        <w:t>Budget Information – Non-Construction Programs</w:t>
      </w:r>
    </w:p>
    <w:p w:rsidR="00FA3FA9" w:rsidRPr="00CC1B7E" w:rsidP="00630AF9" w14:paraId="0DFFABEB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Form SF-424B – Assurances – Non-Construction Programs</w:t>
      </w:r>
    </w:p>
    <w:p w:rsidR="00FA3FA9" w:rsidRPr="00CC1B7E" w:rsidP="00630AF9" w14:paraId="24730534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>
        <w:rPr>
          <w:rFonts w:ascii="Times New Roman" w:hAnsi="Times New Roman" w:cs="Arial Unicode MS"/>
          <w:color w:val="000000"/>
          <w:sz w:val="22"/>
          <w:szCs w:val="22"/>
          <w:u w:color="000000"/>
        </w:rPr>
        <w:t>Grants.gov Lobbying Form</w:t>
      </w:r>
    </w:p>
    <w:p w:rsidR="00FA3FA9" w:rsidRPr="00CC1B7E" w:rsidP="00630AF9" w14:paraId="6B9B6385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Project/Performance Site Location(s)</w:t>
      </w:r>
    </w:p>
    <w:p w:rsidR="0096223F" w:rsidRPr="00CC1B7E" w:rsidP="00630AF9" w14:paraId="737E2E82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Application Summary</w:t>
      </w:r>
    </w:p>
    <w:p w:rsidR="0096223F" w:rsidRPr="00CC1B7E" w:rsidP="00630AF9" w14:paraId="4ACB21EB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Program Abstract</w:t>
      </w:r>
    </w:p>
    <w:p w:rsidR="0096223F" w:rsidRPr="00CC1B7E" w:rsidP="00630AF9" w14:paraId="6DE11567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Technical Proposal</w:t>
      </w:r>
    </w:p>
    <w:p w:rsidR="0096223F" w:rsidP="00630AF9" w14:paraId="6EFEF2DF" w14:textId="77777777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Organizational Chart</w:t>
      </w:r>
    </w:p>
    <w:p w:rsidR="00650617" w:rsidRPr="00CC1B7E" w:rsidP="00630AF9" w14:paraId="70F454D0" w14:textId="22BD8CFD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>
        <w:rPr>
          <w:rFonts w:ascii="Times New Roman" w:hAnsi="Times New Roman" w:cs="Arial Unicode MS"/>
          <w:color w:val="000000"/>
          <w:sz w:val="22"/>
          <w:szCs w:val="22"/>
          <w:u w:color="000000"/>
        </w:rPr>
        <w:t>Resumes</w:t>
      </w:r>
    </w:p>
    <w:p w:rsidR="0096223F" w:rsidRPr="00CC1B7E" w:rsidP="00630AF9" w14:paraId="2C6919DC" w14:textId="00E6D586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>Detailed Project Budget</w:t>
      </w:r>
      <w:r w:rsidR="00FA3FA9">
        <w:rPr>
          <w:rFonts w:ascii="Times New Roman" w:hAnsi="Times New Roman" w:cs="Arial Unicode MS"/>
          <w:color w:val="000000"/>
          <w:sz w:val="22"/>
          <w:szCs w:val="22"/>
          <w:u w:color="000000"/>
        </w:rPr>
        <w:t xml:space="preserve"> and Narrative</w:t>
      </w:r>
    </w:p>
    <w:p w:rsidR="0096223F" w:rsidRPr="00CC1B7E" w:rsidP="00630AF9" w14:paraId="5711E64F" w14:textId="2FEC523D">
      <w:pPr>
        <w:numPr>
          <w:ilvl w:val="0"/>
          <w:numId w:val="18"/>
        </w:numPr>
        <w:autoSpaceDE w:val="0"/>
        <w:autoSpaceDN w:val="0"/>
        <w:adjustRightInd w:val="0"/>
        <w:ind w:left="900" w:hanging="540"/>
        <w:contextualSpacing/>
        <w:rPr>
          <w:rFonts w:ascii="Times New Roman" w:hAnsi="Times New Roman" w:cs="Arial Unicode MS"/>
          <w:color w:val="000000"/>
          <w:sz w:val="22"/>
          <w:szCs w:val="22"/>
          <w:u w:color="000000"/>
        </w:rPr>
      </w:pPr>
      <w:r w:rsidRPr="00CC1B7E">
        <w:rPr>
          <w:rFonts w:ascii="Times New Roman" w:hAnsi="Times New Roman" w:cs="Arial Unicode MS"/>
          <w:color w:val="000000"/>
          <w:sz w:val="22"/>
          <w:szCs w:val="22"/>
          <w:u w:color="000000"/>
        </w:rPr>
        <w:t xml:space="preserve">Indirect Cost Allocation </w:t>
      </w:r>
      <w:r w:rsidR="00FA3FA9">
        <w:rPr>
          <w:rFonts w:ascii="Times New Roman" w:hAnsi="Times New Roman" w:cs="Arial Unicode MS"/>
          <w:color w:val="000000"/>
          <w:sz w:val="22"/>
          <w:szCs w:val="22"/>
          <w:u w:color="000000"/>
        </w:rPr>
        <w:t>Supporting Documents</w:t>
      </w:r>
    </w:p>
    <w:bookmarkEnd w:id="0"/>
    <w:bookmarkEnd w:id="1"/>
    <w:bookmarkEnd w:id="2"/>
    <w:bookmarkEnd w:id="3"/>
    <w:p w:rsidR="00261D44" w14:paraId="77443232" w14:textId="77777777">
      <w:pPr>
        <w:rPr>
          <w:rFonts w:ascii="Times New Roman" w:hAnsi="Times New Roman"/>
          <w:b/>
          <w:color w:val="000000"/>
          <w:u w:val="single"/>
        </w:rPr>
      </w:pPr>
    </w:p>
    <w:p w:rsidR="00FE5ABA" w:rsidRPr="00801461" w14:paraId="5EC03ADD" w14:textId="0AFBC1BD">
      <w:pPr>
        <w:rPr>
          <w:rFonts w:ascii="Times New Roman" w:hAnsi="Times New Roman"/>
          <w:b/>
          <w:color w:val="000000"/>
          <w:u w:val="single"/>
        </w:rPr>
      </w:pPr>
      <w:r w:rsidRPr="00801461">
        <w:rPr>
          <w:rFonts w:ascii="Times New Roman" w:hAnsi="Times New Roman"/>
          <w:b/>
          <w:color w:val="000000"/>
          <w:u w:val="single"/>
        </w:rPr>
        <w:t>Electronic avail</w:t>
      </w:r>
      <w:r w:rsidRPr="00801461" w:rsidR="00AB72EF">
        <w:rPr>
          <w:rFonts w:ascii="Times New Roman" w:hAnsi="Times New Roman"/>
          <w:b/>
          <w:color w:val="000000"/>
          <w:u w:val="single"/>
        </w:rPr>
        <w:t>ability:</w:t>
      </w:r>
    </w:p>
    <w:p w:rsidR="00FA3FA9" w14:paraId="5D130D42" w14:textId="77777777">
      <w:pPr>
        <w:rPr>
          <w:rFonts w:ascii="Times New Roman" w:hAnsi="Times New Roman"/>
          <w:color w:val="000000"/>
        </w:rPr>
      </w:pPr>
    </w:p>
    <w:p w:rsidR="00AB72EF" w14:paraId="0E99F3C9" w14:textId="145B82B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All </w:t>
      </w:r>
      <w:r w:rsidR="00AA570C">
        <w:rPr>
          <w:rFonts w:ascii="Times New Roman" w:hAnsi="Times New Roman"/>
          <w:color w:val="000000"/>
        </w:rPr>
        <w:t>a</w:t>
      </w:r>
      <w:r w:rsidR="001468C5">
        <w:rPr>
          <w:rFonts w:ascii="Times New Roman" w:hAnsi="Times New Roman"/>
          <w:color w:val="000000"/>
        </w:rPr>
        <w:t>pplication</w:t>
      </w:r>
      <w:r>
        <w:rPr>
          <w:rFonts w:ascii="Times New Roman" w:hAnsi="Times New Roman"/>
          <w:color w:val="000000"/>
        </w:rPr>
        <w:t>s</w:t>
      </w:r>
      <w:r w:rsidR="00AA570C">
        <w:rPr>
          <w:rFonts w:ascii="Times New Roman" w:hAnsi="Times New Roman"/>
          <w:color w:val="000000"/>
        </w:rPr>
        <w:t xml:space="preserve"> </w:t>
      </w:r>
      <w:r w:rsidR="00CD1BED">
        <w:rPr>
          <w:rFonts w:ascii="Times New Roman" w:hAnsi="Times New Roman"/>
          <w:color w:val="000000"/>
        </w:rPr>
        <w:t xml:space="preserve">(100 percent) </w:t>
      </w:r>
      <w:r w:rsidR="00AA570C">
        <w:rPr>
          <w:rFonts w:ascii="Times New Roman" w:hAnsi="Times New Roman"/>
          <w:color w:val="000000"/>
        </w:rPr>
        <w:t>will be sub</w:t>
      </w:r>
      <w:r w:rsidR="00A000D0">
        <w:rPr>
          <w:rFonts w:ascii="Times New Roman" w:hAnsi="Times New Roman"/>
          <w:color w:val="000000"/>
        </w:rPr>
        <w:t>mitted electronically</w:t>
      </w:r>
      <w:r w:rsidR="00AA570C">
        <w:rPr>
          <w:rFonts w:ascii="Times New Roman" w:hAnsi="Times New Roman"/>
          <w:color w:val="000000"/>
        </w:rPr>
        <w:t xml:space="preserve"> at Grants.gov.</w:t>
      </w:r>
    </w:p>
    <w:p w:rsidR="00436C9F" w14:paraId="5581652D" w14:textId="77777777">
      <w:pPr>
        <w:rPr>
          <w:rFonts w:ascii="Times New Roman" w:hAnsi="Times New Roman"/>
          <w:color w:val="000000"/>
        </w:rPr>
      </w:pPr>
    </w:p>
    <w:p w:rsidR="00AB72EF" w:rsidRPr="001D05C3" w14:paraId="432A0EA1" w14:textId="77777777">
      <w:pPr>
        <w:rPr>
          <w:rFonts w:ascii="Times New Roman" w:hAnsi="Times New Roman"/>
          <w:b/>
          <w:color w:val="000000"/>
          <w:u w:val="single"/>
        </w:rPr>
      </w:pPr>
      <w:r w:rsidRPr="001D05C3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14:paraId="3F802190" w14:textId="77777777">
      <w:pPr>
        <w:rPr>
          <w:rFonts w:ascii="Times New Roman" w:hAnsi="Times New Roman"/>
          <w:color w:val="000000"/>
        </w:rPr>
      </w:pPr>
    </w:p>
    <w:p w:rsidR="00AB72EF" w14:paraId="31945A72" w14:textId="7AAF99C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Collecting this information </w:t>
      </w:r>
      <w:r w:rsidR="0083205C">
        <w:rPr>
          <w:rFonts w:ascii="Times New Roman" w:hAnsi="Times New Roman"/>
          <w:color w:val="000000"/>
        </w:rPr>
        <w:t xml:space="preserve">will </w:t>
      </w:r>
      <w:r w:rsidR="0054670B">
        <w:rPr>
          <w:rFonts w:ascii="Times New Roman" w:hAnsi="Times New Roman"/>
          <w:color w:val="000000"/>
        </w:rPr>
        <w:t xml:space="preserve">not </w:t>
      </w:r>
      <w:r w:rsidR="004D0DC6">
        <w:rPr>
          <w:rFonts w:ascii="Times New Roman" w:hAnsi="Times New Roman"/>
          <w:color w:val="000000"/>
        </w:rPr>
        <w:t>significantly impact</w:t>
      </w:r>
      <w:r w:rsidR="0054670B">
        <w:rPr>
          <w:rFonts w:ascii="Times New Roman" w:hAnsi="Times New Roman"/>
          <w:color w:val="000000"/>
        </w:rPr>
        <w:t xml:space="preserve"> </w:t>
      </w:r>
      <w:r w:rsidR="00ED5595">
        <w:rPr>
          <w:rFonts w:ascii="Times New Roman" w:hAnsi="Times New Roman"/>
          <w:color w:val="000000"/>
        </w:rPr>
        <w:t>large</w:t>
      </w:r>
      <w:r w:rsidR="0054670B">
        <w:rPr>
          <w:rFonts w:ascii="Times New Roman" w:hAnsi="Times New Roman"/>
          <w:color w:val="000000"/>
        </w:rPr>
        <w:t xml:space="preserve"> number</w:t>
      </w:r>
      <w:r w:rsidR="00CD254D">
        <w:rPr>
          <w:rFonts w:ascii="Times New Roman" w:hAnsi="Times New Roman"/>
          <w:color w:val="000000"/>
        </w:rPr>
        <w:t>s</w:t>
      </w:r>
      <w:r w:rsidR="0054670B">
        <w:rPr>
          <w:rFonts w:ascii="Times New Roman" w:hAnsi="Times New Roman"/>
          <w:color w:val="000000"/>
        </w:rPr>
        <w:t xml:space="preserve"> of small entities</w:t>
      </w:r>
      <w:r w:rsidR="001D05C3">
        <w:rPr>
          <w:rFonts w:ascii="Times New Roman" w:hAnsi="Times New Roman"/>
          <w:color w:val="000000"/>
        </w:rPr>
        <w:t>.</w:t>
      </w:r>
    </w:p>
    <w:p w:rsidR="00FE5ABA" w14:paraId="235E85AE" w14:textId="77777777">
      <w:pPr>
        <w:rPr>
          <w:rFonts w:ascii="Times New Roman" w:hAnsi="Times New Roman"/>
          <w:color w:val="000000"/>
        </w:rPr>
      </w:pPr>
    </w:p>
    <w:p w:rsidR="00FE5ABA" w:rsidRPr="00DC0F3F" w:rsidP="00FE5ABA" w14:paraId="7C3B3BE0" w14:textId="77777777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="00FE5ABA" w:rsidRPr="00DC0F3F" w:rsidP="00FE5ABA" w14:paraId="0774EE26" w14:textId="77777777">
      <w:pPr>
        <w:rPr>
          <w:rFonts w:ascii="Times New Roman" w:hAnsi="Times New Roman" w:cs="BookAntiqua"/>
          <w:color w:val="000000"/>
        </w:rPr>
      </w:pPr>
    </w:p>
    <w:p w:rsidR="00FE5ABA" w:rsidRPr="00DC0F3F" w:rsidP="00FE5ABA" w14:paraId="2BE0DF54" w14:textId="67DC7431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</w:t>
      </w:r>
      <w:r w:rsidR="004C0A12">
        <w:rPr>
          <w:rFonts w:ascii="Times New Roman" w:hAnsi="Times New Roman" w:cs="BookAntiqua"/>
          <w:color w:val="000000"/>
        </w:rPr>
        <w:t>is</w:t>
      </w:r>
      <w:r w:rsidRPr="00DC0F3F">
        <w:rPr>
          <w:rFonts w:ascii="Times New Roman" w:hAnsi="Times New Roman" w:cs="BookAntiqua"/>
          <w:color w:val="000000"/>
        </w:rPr>
        <w:t xml:space="preserve"> grant</w:t>
      </w:r>
      <w:r w:rsidR="004C0A12">
        <w:rPr>
          <w:rFonts w:ascii="Times New Roman" w:hAnsi="Times New Roman" w:cs="BookAntiqua"/>
          <w:color w:val="000000"/>
        </w:rPr>
        <w:t xml:space="preserve"> instruction</w:t>
      </w:r>
      <w:r w:rsidRPr="00DC0F3F">
        <w:rPr>
          <w:rFonts w:ascii="Times New Roman" w:hAnsi="Times New Roman" w:cs="BookAntiqua"/>
          <w:color w:val="000000"/>
        </w:rPr>
        <w:t xml:space="preserve"> </w:t>
      </w:r>
      <w:r w:rsidR="00F71E1A">
        <w:rPr>
          <w:rFonts w:ascii="Times New Roman" w:hAnsi="Times New Roman" w:cs="BookAntiqua"/>
          <w:color w:val="000000"/>
        </w:rPr>
        <w:t>does</w:t>
      </w:r>
      <w:r w:rsidRPr="00DC0F3F">
        <w:rPr>
          <w:rFonts w:ascii="Times New Roman" w:hAnsi="Times New Roman" w:cs="BookAntiqua"/>
          <w:color w:val="000000"/>
        </w:rPr>
        <w:t xml:space="preserve"> not offer applicants assurances of confidentiality.</w:t>
      </w:r>
    </w:p>
    <w:p w:rsidR="00FE5ABA" w:rsidRPr="00DC0F3F" w:rsidP="00FE5ABA" w14:paraId="6CE463D8" w14:textId="77777777">
      <w:pPr>
        <w:rPr>
          <w:rFonts w:ascii="Times New Roman" w:hAnsi="Times New Roman" w:cs="BookAntiqua"/>
          <w:color w:val="000000"/>
        </w:rPr>
      </w:pPr>
    </w:p>
    <w:p w:rsidR="00FE5ABA" w:rsidRPr="00DC0F3F" w:rsidP="00FE5ABA" w14:paraId="10D73681" w14:textId="77777777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="00FE5ABA" w:rsidRPr="00DC0F3F" w:rsidP="00FE5ABA" w14:paraId="2B52AF08" w14:textId="77777777">
      <w:pPr>
        <w:rPr>
          <w:rFonts w:ascii="Times New Roman" w:hAnsi="Times New Roman" w:cs="BookAntiqua"/>
          <w:color w:val="000000"/>
        </w:rPr>
      </w:pPr>
    </w:p>
    <w:p w:rsidR="00FE5ABA" w:rsidRPr="00DC0F3F" w:rsidP="00FE5ABA" w14:paraId="1E119A47" w14:textId="40FB0A7A">
      <w:pPr>
        <w:rPr>
          <w:rFonts w:ascii="Times New Roman" w:hAnsi="Times New Roman" w:cs="BookAntiqua"/>
          <w:color w:val="000000"/>
        </w:rPr>
      </w:pPr>
      <w:r>
        <w:rPr>
          <w:rFonts w:ascii="Times New Roman" w:hAnsi="Times New Roman" w:cs="BookAntiqua"/>
          <w:color w:val="000000"/>
        </w:rPr>
        <w:t>The</w:t>
      </w:r>
      <w:r w:rsidR="00FA3FA9">
        <w:rPr>
          <w:rFonts w:ascii="Times New Roman" w:hAnsi="Times New Roman" w:cs="BookAntiqua"/>
          <w:color w:val="000000"/>
        </w:rPr>
        <w:t xml:space="preserve"> </w:t>
      </w:r>
      <w:r w:rsidR="00F71E1A">
        <w:rPr>
          <w:rFonts w:ascii="Times New Roman" w:hAnsi="Times New Roman" w:cs="BookAntiqua"/>
          <w:color w:val="000000"/>
        </w:rPr>
        <w:t>grant i</w:t>
      </w:r>
      <w:r w:rsidR="00FA3FA9">
        <w:rPr>
          <w:rFonts w:ascii="Times New Roman" w:hAnsi="Times New Roman" w:cs="BookAntiqua"/>
          <w:color w:val="000000"/>
        </w:rPr>
        <w:t xml:space="preserve">nstruction </w:t>
      </w:r>
      <w:r w:rsidR="000F0E77">
        <w:rPr>
          <w:rFonts w:ascii="Times New Roman" w:hAnsi="Times New Roman" w:cs="BookAntiqua"/>
          <w:color w:val="000000"/>
        </w:rPr>
        <w:t>implies</w:t>
      </w:r>
      <w:r w:rsidR="003D4723">
        <w:rPr>
          <w:rFonts w:ascii="Times New Roman" w:hAnsi="Times New Roman" w:cs="BookAntiqua"/>
          <w:color w:val="000000"/>
        </w:rPr>
        <w:t xml:space="preserve"> no special circumstances</w:t>
      </w:r>
      <w:r w:rsidR="001E7AE4">
        <w:rPr>
          <w:rFonts w:ascii="Times New Roman" w:hAnsi="Times New Roman" w:cs="BookAntiqua"/>
          <w:color w:val="000000"/>
        </w:rPr>
        <w:t>.</w:t>
      </w:r>
    </w:p>
    <w:p w:rsidR="00FE5ABA" w:rsidP="00121336" w14:paraId="24585D80" w14:textId="77777777">
      <w:pPr>
        <w:rPr>
          <w:rFonts w:ascii="Times New Roman" w:hAnsi="Times New Roman"/>
          <w:b/>
          <w:color w:val="000000"/>
          <w:u w:val="single"/>
        </w:rPr>
      </w:pPr>
    </w:p>
    <w:p w:rsidR="00AD4178" w:rsidRPr="00AD4178" w:rsidP="00121336" w14:paraId="6D07CAD1" w14:textId="77777777">
      <w:pPr>
        <w:rPr>
          <w:rFonts w:ascii="Times New Roman" w:hAnsi="Times New Roman"/>
          <w:b/>
          <w:color w:val="000000"/>
          <w:u w:val="single"/>
        </w:rPr>
      </w:pPr>
      <w:r w:rsidRPr="00AD4178">
        <w:rPr>
          <w:rFonts w:ascii="Times New Roman" w:hAnsi="Times New Roman"/>
          <w:b/>
          <w:color w:val="000000"/>
          <w:u w:val="single"/>
        </w:rPr>
        <w:t>Burden:</w:t>
      </w:r>
    </w:p>
    <w:p w:rsidR="00AD4178" w:rsidP="00121336" w14:paraId="5EFCB387" w14:textId="77777777">
      <w:pPr>
        <w:rPr>
          <w:rFonts w:ascii="Times New Roman" w:hAnsi="Times New Roman"/>
          <w:color w:val="000000"/>
        </w:rPr>
      </w:pPr>
    </w:p>
    <w:p w:rsidR="005E073C" w:rsidP="001116F4" w14:paraId="13312E79" w14:textId="045B905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</w:t>
      </w:r>
      <w:r w:rsidR="00725466">
        <w:rPr>
          <w:rFonts w:ascii="Times New Roman" w:hAnsi="Times New Roman"/>
          <w:color w:val="000000"/>
        </w:rPr>
        <w:t xml:space="preserve">non-competitive grant will </w:t>
      </w:r>
      <w:r w:rsidR="00DE252F">
        <w:rPr>
          <w:rFonts w:ascii="Times New Roman" w:hAnsi="Times New Roman"/>
          <w:color w:val="000000"/>
        </w:rPr>
        <w:t xml:space="preserve">allow up to </w:t>
      </w:r>
      <w:r w:rsidR="00B804D4">
        <w:rPr>
          <w:rFonts w:ascii="Times New Roman" w:hAnsi="Times New Roman"/>
          <w:color w:val="000000"/>
        </w:rPr>
        <w:t>9</w:t>
      </w:r>
      <w:r w:rsidR="00DE252F">
        <w:rPr>
          <w:rFonts w:ascii="Times New Roman" w:hAnsi="Times New Roman"/>
          <w:color w:val="000000"/>
        </w:rPr>
        <w:t xml:space="preserve">0 entities to </w:t>
      </w:r>
      <w:r w:rsidR="009B2A1A">
        <w:rPr>
          <w:rFonts w:ascii="Times New Roman" w:hAnsi="Times New Roman"/>
          <w:color w:val="000000"/>
        </w:rPr>
        <w:t>apply</w:t>
      </w:r>
      <w:r w:rsidR="00CC34FE">
        <w:rPr>
          <w:rFonts w:ascii="Times New Roman" w:hAnsi="Times New Roman"/>
          <w:color w:val="000000"/>
        </w:rPr>
        <w:t xml:space="preserve"> for </w:t>
      </w:r>
      <w:r w:rsidR="00DE252F">
        <w:rPr>
          <w:rFonts w:ascii="Times New Roman" w:hAnsi="Times New Roman"/>
          <w:color w:val="000000"/>
        </w:rPr>
        <w:t>funding.</w:t>
      </w:r>
      <w:r w:rsidR="00725466">
        <w:rPr>
          <w:rFonts w:ascii="Times New Roman" w:hAnsi="Times New Roman"/>
          <w:color w:val="000000"/>
        </w:rPr>
        <w:t xml:space="preserve"> </w:t>
      </w:r>
      <w:r w:rsidRPr="00424E42">
        <w:rPr>
          <w:rFonts w:ascii="Times New Roman" w:hAnsi="Times New Roman"/>
          <w:color w:val="000000"/>
        </w:rPr>
        <w:t xml:space="preserve">The Agency estimates that it takes staff members for each applicant organization </w:t>
      </w:r>
      <w:r w:rsidRPr="00A14358">
        <w:rPr>
          <w:rFonts w:ascii="Times New Roman" w:hAnsi="Times New Roman"/>
          <w:color w:val="000000"/>
        </w:rPr>
        <w:t>56</w:t>
      </w:r>
      <w:r w:rsidRPr="00424E42">
        <w:rPr>
          <w:rFonts w:ascii="Times New Roman" w:hAnsi="Times New Roman"/>
          <w:color w:val="000000"/>
        </w:rPr>
        <w:t xml:space="preserve"> hours to complete an application, including the narrative and budget components. OSHA divides the </w:t>
      </w:r>
      <w:r w:rsidRPr="00A14358">
        <w:rPr>
          <w:rFonts w:ascii="Times New Roman" w:hAnsi="Times New Roman"/>
          <w:color w:val="000000"/>
        </w:rPr>
        <w:t>56</w:t>
      </w:r>
      <w:r w:rsidRPr="00424E42">
        <w:rPr>
          <w:rFonts w:ascii="Times New Roman" w:hAnsi="Times New Roman"/>
          <w:color w:val="000000"/>
        </w:rPr>
        <w:t xml:space="preserve"> hours per application between professional staff and clerical staff as follows: </w:t>
      </w:r>
    </w:p>
    <w:p w:rsidR="00DE73C3" w:rsidP="008C1FEA" w14:paraId="4D121727" w14:textId="77777777">
      <w:pPr>
        <w:rPr>
          <w:rFonts w:ascii="Times New Roman" w:hAnsi="Times New Roman"/>
          <w:color w:val="000000"/>
        </w:rPr>
      </w:pPr>
    </w:p>
    <w:tbl>
      <w:tblPr>
        <w:tblStyle w:val="TableGrid1"/>
        <w:tblW w:w="9985" w:type="dxa"/>
        <w:tblLayout w:type="fixed"/>
        <w:tblLook w:val="04A0"/>
      </w:tblPr>
      <w:tblGrid>
        <w:gridCol w:w="1435"/>
        <w:gridCol w:w="1350"/>
        <w:gridCol w:w="1350"/>
        <w:gridCol w:w="1170"/>
        <w:gridCol w:w="1260"/>
        <w:gridCol w:w="990"/>
        <w:gridCol w:w="1170"/>
        <w:gridCol w:w="1260"/>
      </w:tblGrid>
      <w:tr w14:paraId="6B45CCFA" w14:textId="77777777" w:rsidTr="007309C8">
        <w:tblPrEx>
          <w:tblW w:w="9985" w:type="dxa"/>
          <w:tblLayout w:type="fixed"/>
          <w:tblLook w:val="04A0"/>
        </w:tblPrEx>
        <w:trPr>
          <w:trHeight w:val="1160"/>
        </w:trPr>
        <w:tc>
          <w:tcPr>
            <w:tcW w:w="1435" w:type="dxa"/>
          </w:tcPr>
          <w:p w:rsidR="00F04434" w:rsidRPr="004F382A" w:rsidP="00F04434" w14:paraId="3E82955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Type of Respondent</w:t>
            </w:r>
          </w:p>
        </w:tc>
        <w:tc>
          <w:tcPr>
            <w:tcW w:w="1350" w:type="dxa"/>
          </w:tcPr>
          <w:p w:rsidR="00F04434" w:rsidRPr="004F382A" w:rsidP="00F04434" w14:paraId="32A7996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No. of Respondents</w:t>
            </w:r>
          </w:p>
        </w:tc>
        <w:tc>
          <w:tcPr>
            <w:tcW w:w="1350" w:type="dxa"/>
          </w:tcPr>
          <w:p w:rsidR="00F04434" w:rsidRPr="004F382A" w:rsidP="00F04434" w14:paraId="62B3B3E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No. of Responses per Responden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1170" w:type="dxa"/>
          </w:tcPr>
          <w:p w:rsidR="00F04434" w:rsidRPr="004F382A" w:rsidP="00F04434" w14:paraId="23091EA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Number of Responses</w:t>
            </w:r>
          </w:p>
        </w:tc>
        <w:tc>
          <w:tcPr>
            <w:tcW w:w="1260" w:type="dxa"/>
          </w:tcPr>
          <w:p w:rsidR="00F04434" w:rsidRPr="004F382A" w:rsidP="00F04434" w14:paraId="2FE8B013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Av</w:t>
            </w:r>
            <w:r>
              <w:rPr>
                <w:rFonts w:ascii="Times New Roman" w:hAnsi="Times New Roman"/>
                <w:sz w:val="22"/>
                <w:szCs w:val="22"/>
              </w:rPr>
              <w:t>era</w:t>
            </w:r>
            <w:r w:rsidRPr="004F382A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4F382A">
              <w:rPr>
                <w:rFonts w:ascii="Times New Roman" w:hAnsi="Times New Roman"/>
                <w:sz w:val="22"/>
                <w:szCs w:val="22"/>
              </w:rPr>
              <w:t xml:space="preserve"> Burden per Response</w:t>
            </w:r>
          </w:p>
          <w:p w:rsidR="00F04434" w:rsidRPr="004F382A" w:rsidP="00F04434" w14:paraId="0CB79B7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(In hrs.)</w:t>
            </w:r>
          </w:p>
        </w:tc>
        <w:tc>
          <w:tcPr>
            <w:tcW w:w="990" w:type="dxa"/>
          </w:tcPr>
          <w:p w:rsidR="00F04434" w:rsidRPr="004F382A" w:rsidP="00F04434" w14:paraId="7AD4513D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Burden</w:t>
            </w:r>
          </w:p>
          <w:p w:rsidR="00F04434" w:rsidRPr="004F382A" w:rsidP="00F04434" w14:paraId="3E3D7AA9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170" w:type="dxa"/>
          </w:tcPr>
          <w:p w:rsidR="00F04434" w:rsidRPr="00D2402A" w:rsidP="00F04434" w14:paraId="579775A4" w14:textId="5EADA1AC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Av</w:t>
            </w:r>
            <w:r>
              <w:rPr>
                <w:rFonts w:ascii="Times New Roman" w:hAnsi="Times New Roman"/>
                <w:sz w:val="22"/>
                <w:szCs w:val="22"/>
              </w:rPr>
              <w:t>erage</w:t>
            </w:r>
            <w:r w:rsidRPr="004F382A">
              <w:rPr>
                <w:rFonts w:ascii="Times New Roman" w:hAnsi="Times New Roman"/>
                <w:sz w:val="22"/>
                <w:szCs w:val="22"/>
              </w:rPr>
              <w:t xml:space="preserve"> Hourly Wage</w:t>
            </w:r>
            <w:r w:rsidR="00D2402A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F04434" w:rsidRPr="004F382A" w:rsidP="00F04434" w14:paraId="68890305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Burden Costs</w:t>
            </w:r>
          </w:p>
        </w:tc>
      </w:tr>
      <w:tr w14:paraId="2348457A" w14:textId="77777777" w:rsidTr="00F04434">
        <w:tblPrEx>
          <w:tblW w:w="9985" w:type="dxa"/>
          <w:tblLayout w:type="fixed"/>
          <w:tblLook w:val="04A0"/>
        </w:tblPrEx>
        <w:tc>
          <w:tcPr>
            <w:tcW w:w="1435" w:type="dxa"/>
          </w:tcPr>
          <w:p w:rsidR="00F04434" w:rsidRPr="004F382A" w:rsidP="00F04434" w14:paraId="6FD57DD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Professional</w:t>
            </w:r>
          </w:p>
        </w:tc>
        <w:tc>
          <w:tcPr>
            <w:tcW w:w="1350" w:type="dxa"/>
          </w:tcPr>
          <w:p w:rsidR="00F04434" w:rsidRPr="004F382A" w:rsidP="00F04434" w14:paraId="6C48A373" w14:textId="70C381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F04434" w:rsidRPr="004F382A" w:rsidP="00F04434" w14:paraId="39B35B9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F04434" w:rsidRPr="004F382A" w:rsidP="00F04434" w14:paraId="30CE0148" w14:textId="5A352E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F04434" w:rsidRPr="00A14358" w:rsidP="00F04434" w14:paraId="6A13F4EE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990" w:type="dxa"/>
          </w:tcPr>
          <w:p w:rsidR="00F04434" w:rsidRPr="00CE40F2" w:rsidP="00F04434" w14:paraId="1AA83D22" w14:textId="5F4785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406D5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:rsidR="00F04434" w:rsidRPr="00A14358" w:rsidP="00F04434" w14:paraId="433DFFB1" w14:textId="741C5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CE40F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D2402A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6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F04434" w:rsidRPr="00A14358" w:rsidP="00F04434" w14:paraId="3C8707F0" w14:textId="11B7D7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$</w:t>
            </w:r>
            <w:r w:rsidR="008522E7">
              <w:rPr>
                <w:rFonts w:ascii="Times New Roman" w:hAnsi="Times New Roman"/>
                <w:sz w:val="22"/>
                <w:szCs w:val="22"/>
              </w:rPr>
              <w:t>250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8522E7">
              <w:rPr>
                <w:rFonts w:ascii="Times New Roman" w:hAnsi="Times New Roman"/>
                <w:sz w:val="22"/>
                <w:szCs w:val="22"/>
              </w:rPr>
              <w:t>960</w:t>
            </w:r>
          </w:p>
        </w:tc>
      </w:tr>
      <w:tr w14:paraId="41815146" w14:textId="77777777" w:rsidTr="00F04434">
        <w:tblPrEx>
          <w:tblW w:w="9985" w:type="dxa"/>
          <w:tblLayout w:type="fixed"/>
          <w:tblLook w:val="04A0"/>
        </w:tblPrEx>
        <w:tc>
          <w:tcPr>
            <w:tcW w:w="1435" w:type="dxa"/>
          </w:tcPr>
          <w:p w:rsidR="00F04434" w:rsidRPr="004F382A" w:rsidP="00F04434" w14:paraId="269E1125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Clerical</w:t>
            </w:r>
          </w:p>
        </w:tc>
        <w:tc>
          <w:tcPr>
            <w:tcW w:w="1350" w:type="dxa"/>
          </w:tcPr>
          <w:p w:rsidR="00F04434" w:rsidRPr="004F382A" w:rsidP="00F04434" w14:paraId="19047848" w14:textId="0F6297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F04434" w:rsidRPr="004F382A" w:rsidP="00F04434" w14:paraId="5B8732B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F04434" w:rsidRPr="004F382A" w:rsidP="00F04434" w14:paraId="6CB10758" w14:textId="72350E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F04434" w:rsidRPr="00A14358" w:rsidP="00F04434" w14:paraId="5E73A0A5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90" w:type="dxa"/>
          </w:tcPr>
          <w:p w:rsidR="00F04434" w:rsidRPr="00A14358" w:rsidP="00F04434" w14:paraId="14E6C684" w14:textId="1F57C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</w:t>
            </w:r>
            <w:r w:rsidR="00406D5E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406D5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:rsidR="00F04434" w:rsidRPr="00D2402A" w:rsidP="00F04434" w14:paraId="745A70FE" w14:textId="40DF109F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$</w:t>
            </w:r>
            <w:r w:rsidRPr="00CE40F2">
              <w:rPr>
                <w:rFonts w:ascii="Times New Roman" w:hAnsi="Times New Roman"/>
                <w:sz w:val="22"/>
                <w:szCs w:val="22"/>
              </w:rPr>
              <w:t>34</w:t>
            </w:r>
            <w:r>
              <w:rPr>
                <w:rFonts w:ascii="Times New Roman" w:hAnsi="Times New Roman"/>
                <w:sz w:val="22"/>
                <w:szCs w:val="22"/>
              </w:rPr>
              <w:t>.79</w:t>
            </w:r>
            <w:r w:rsidR="00D2402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F04434" w:rsidRPr="00A14358" w:rsidP="00F04434" w14:paraId="4CADC592" w14:textId="066FB3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14358">
              <w:rPr>
                <w:rFonts w:ascii="Times New Roman" w:hAnsi="Times New Roman"/>
                <w:sz w:val="22"/>
                <w:szCs w:val="22"/>
              </w:rPr>
              <w:t>$</w:t>
            </w:r>
            <w:r w:rsidR="00421799">
              <w:rPr>
                <w:rFonts w:ascii="Times New Roman" w:hAnsi="Times New Roman"/>
                <w:sz w:val="22"/>
                <w:szCs w:val="22"/>
              </w:rPr>
              <w:t>5</w:t>
            </w:r>
            <w:r w:rsidR="001551BD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126C07"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</w:tr>
      <w:tr w14:paraId="3DFE6D19" w14:textId="77777777" w:rsidTr="00F04434">
        <w:tblPrEx>
          <w:tblW w:w="9985" w:type="dxa"/>
          <w:tblLayout w:type="fixed"/>
          <w:tblLook w:val="04A0"/>
        </w:tblPrEx>
        <w:tc>
          <w:tcPr>
            <w:tcW w:w="1435" w:type="dxa"/>
          </w:tcPr>
          <w:p w:rsidR="00F04434" w:rsidRPr="004F382A" w:rsidP="00F04434" w14:paraId="1917BF1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Unduplicated Total</w:t>
            </w:r>
          </w:p>
        </w:tc>
        <w:tc>
          <w:tcPr>
            <w:tcW w:w="1350" w:type="dxa"/>
          </w:tcPr>
          <w:p w:rsidR="00F04434" w:rsidRPr="004F382A" w:rsidP="00F04434" w14:paraId="3F0B05A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4F382A" w:rsidP="00F04434" w14:paraId="24E50D99" w14:textId="20CE1D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F04434" w:rsidRPr="004F382A" w:rsidP="00F04434" w14:paraId="02475AF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4F382A" w:rsidP="00F04434" w14:paraId="06794193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170" w:type="dxa"/>
          </w:tcPr>
          <w:p w:rsidR="00F04434" w:rsidRPr="004F382A" w:rsidP="00F04434" w14:paraId="74D54C57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4F382A" w:rsidP="00F04434" w14:paraId="35DE8F52" w14:textId="407F63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09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F04434" w:rsidRPr="00A14358" w:rsidP="00F04434" w14:paraId="362D12BC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A14358" w:rsidP="00F04434" w14:paraId="7A3476E2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990" w:type="dxa"/>
          </w:tcPr>
          <w:p w:rsidR="00F04434" w:rsidRPr="00A14358" w:rsidP="00F04434" w14:paraId="49C1ABF8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A14358" w:rsidP="00F04434" w14:paraId="25EF2A47" w14:textId="75EF1B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E40F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="0042179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:rsidR="00F04434" w:rsidRPr="00A14358" w:rsidP="00F04434" w14:paraId="6335AFD2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A14358" w:rsidP="00F04434" w14:paraId="1DA6F6D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F04434" w:rsidRPr="00A14358" w:rsidP="00F04434" w14:paraId="2957562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434" w:rsidRPr="00A14358" w:rsidP="00F04434" w14:paraId="16906EFC" w14:textId="0AE460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358">
              <w:rPr>
                <w:rFonts w:ascii="Times New Roman" w:hAnsi="Times New Roman"/>
                <w:sz w:val="22"/>
                <w:szCs w:val="22"/>
              </w:rPr>
              <w:t>$</w:t>
            </w:r>
            <w:r w:rsidR="00E96B5B">
              <w:rPr>
                <w:rFonts w:ascii="Times New Roman" w:hAnsi="Times New Roman"/>
                <w:sz w:val="22"/>
                <w:szCs w:val="22"/>
              </w:rPr>
              <w:t>3</w:t>
            </w:r>
            <w:r w:rsidR="00530CD6">
              <w:rPr>
                <w:rFonts w:ascii="Times New Roman" w:hAnsi="Times New Roman"/>
                <w:sz w:val="22"/>
                <w:szCs w:val="22"/>
              </w:rPr>
              <w:t>0</w:t>
            </w:r>
            <w:r w:rsidR="00E96B5B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E96B5B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</w:tr>
    </w:tbl>
    <w:p w:rsidR="00F04434" w:rsidP="00DE73C3" w14:paraId="3F5A65CE" w14:textId="77777777">
      <w:pPr>
        <w:rPr>
          <w:rFonts w:ascii="Times New Roman" w:hAnsi="Times New Roman"/>
          <w:color w:val="000000"/>
        </w:rPr>
      </w:pPr>
    </w:p>
    <w:p w:rsidR="00134BBF" w:rsidRPr="00424E42" w:rsidP="00134BBF" w14:paraId="598A8AAC" w14:textId="3317E1D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OSHA associates no other burden costs with </w:t>
      </w:r>
      <w:r w:rsidR="00754A39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 collect</w:t>
      </w:r>
      <w:r w:rsidR="00754A39">
        <w:rPr>
          <w:rFonts w:ascii="Times New Roman" w:hAnsi="Times New Roman"/>
          <w:color w:val="000000"/>
        </w:rPr>
        <w:t>ed during the application process.</w:t>
      </w:r>
      <w:r w:rsidR="00A375F0">
        <w:rPr>
          <w:rFonts w:ascii="Times New Roman" w:hAnsi="Times New Roman"/>
          <w:color w:val="000000"/>
        </w:rPr>
        <w:t xml:space="preserve"> </w:t>
      </w:r>
      <w:r w:rsidR="004873E6">
        <w:rPr>
          <w:rFonts w:ascii="Times New Roman" w:hAnsi="Times New Roman"/>
          <w:color w:val="000000"/>
        </w:rPr>
        <w:t>T</w:t>
      </w:r>
      <w:r w:rsidRPr="00424E42">
        <w:rPr>
          <w:rFonts w:ascii="Times New Roman" w:hAnsi="Times New Roman"/>
          <w:color w:val="000000"/>
        </w:rPr>
        <w:t>he annual burden hours and cost of this paperwork requirement are:</w:t>
      </w:r>
    </w:p>
    <w:p w:rsidR="00134BBF" w:rsidRPr="00424E42" w:rsidP="00134BBF" w14:paraId="32F6C50F" w14:textId="77777777">
      <w:pPr>
        <w:rPr>
          <w:rFonts w:ascii="Times New Roman" w:hAnsi="Times New Roman"/>
          <w:color w:val="000000"/>
        </w:rPr>
      </w:pPr>
    </w:p>
    <w:p w:rsidR="00134BBF" w:rsidRPr="00424E42" w:rsidP="00134BBF" w14:paraId="3FF2A711" w14:textId="6089FB43">
      <w:pPr>
        <w:rPr>
          <w:rFonts w:ascii="Times New Roman" w:hAnsi="Times New Roman"/>
          <w:b/>
          <w:bCs/>
          <w:color w:val="000000"/>
        </w:rPr>
      </w:pPr>
      <w:r w:rsidRPr="00424E42">
        <w:rPr>
          <w:rFonts w:ascii="Times New Roman" w:hAnsi="Times New Roman"/>
          <w:b/>
          <w:bCs/>
          <w:color w:val="000000"/>
        </w:rPr>
        <w:tab/>
        <w:t>Burden Hours</w:t>
      </w:r>
      <w:r w:rsidRPr="000F4AD6">
        <w:rPr>
          <w:rFonts w:ascii="Times New Roman" w:hAnsi="Times New Roman"/>
          <w:color w:val="000000"/>
        </w:rPr>
        <w:t xml:space="preserve">: </w:t>
      </w:r>
      <w:r w:rsidR="00E96B5B">
        <w:rPr>
          <w:rFonts w:ascii="Times New Roman" w:hAnsi="Times New Roman"/>
          <w:color w:val="000000"/>
        </w:rPr>
        <w:t>5</w:t>
      </w:r>
      <w:r w:rsidRPr="000F4AD6">
        <w:rPr>
          <w:rFonts w:ascii="Times New Roman" w:hAnsi="Times New Roman"/>
        </w:rPr>
        <w:t>,</w:t>
      </w:r>
      <w:r w:rsidR="001776AD">
        <w:rPr>
          <w:rFonts w:ascii="Times New Roman" w:hAnsi="Times New Roman"/>
        </w:rPr>
        <w:t>0</w:t>
      </w:r>
      <w:r w:rsidR="00E96B5B">
        <w:rPr>
          <w:rFonts w:ascii="Times New Roman" w:hAnsi="Times New Roman"/>
        </w:rPr>
        <w:t>40</w:t>
      </w:r>
      <w:r w:rsidRPr="00424E42">
        <w:rPr>
          <w:rFonts w:ascii="Times New Roman" w:hAnsi="Times New Roman"/>
          <w:color w:val="000000"/>
        </w:rPr>
        <w:t xml:space="preserve"> hours</w:t>
      </w:r>
    </w:p>
    <w:p w:rsidR="00134BBF" w:rsidP="00134BBF" w14:paraId="5B00101D" w14:textId="34253ECF">
      <w:pPr>
        <w:rPr>
          <w:rFonts w:ascii="Times New Roman" w:hAnsi="Times New Roman"/>
          <w:color w:val="000000"/>
        </w:rPr>
      </w:pPr>
      <w:r w:rsidRPr="00424E42">
        <w:rPr>
          <w:rFonts w:ascii="Times New Roman" w:hAnsi="Times New Roman"/>
          <w:b/>
          <w:bCs/>
          <w:color w:val="000000"/>
        </w:rPr>
        <w:tab/>
      </w:r>
      <w:r w:rsidRPr="00424E42">
        <w:rPr>
          <w:rFonts w:ascii="Times New Roman" w:hAnsi="Times New Roman"/>
          <w:b/>
          <w:bCs/>
          <w:color w:val="000000"/>
        </w:rPr>
        <w:tab/>
        <w:t xml:space="preserve">    Cost</w:t>
      </w:r>
      <w:r w:rsidRPr="00424E42">
        <w:rPr>
          <w:rFonts w:ascii="Times New Roman" w:hAnsi="Times New Roman"/>
          <w:color w:val="000000"/>
        </w:rPr>
        <w:t>: $</w:t>
      </w:r>
      <w:r>
        <w:rPr>
          <w:rFonts w:ascii="Times New Roman" w:hAnsi="Times New Roman"/>
          <w:color w:val="000000"/>
        </w:rPr>
        <w:t>0</w:t>
      </w:r>
    </w:p>
    <w:p w:rsidR="004E04CD" w:rsidP="00DE73C3" w14:paraId="21376C73" w14:textId="77777777">
      <w:pPr>
        <w:rPr>
          <w:rFonts w:ascii="Times New Roman" w:hAnsi="Times New Roman"/>
          <w:color w:val="000000"/>
        </w:rPr>
      </w:pPr>
    </w:p>
    <w:p w:rsidR="00C20C80" w:rsidP="001E7418" w14:paraId="342E22CD" w14:textId="3247418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OSHA will collect additional information </w:t>
      </w:r>
      <w:r w:rsidR="00B22F9F">
        <w:rPr>
          <w:rFonts w:ascii="Times New Roman" w:hAnsi="Times New Roman"/>
          <w:color w:val="000000"/>
        </w:rPr>
        <w:t xml:space="preserve">quarterly </w:t>
      </w:r>
      <w:r>
        <w:rPr>
          <w:rFonts w:ascii="Times New Roman" w:hAnsi="Times New Roman"/>
          <w:color w:val="000000"/>
        </w:rPr>
        <w:t xml:space="preserve">from </w:t>
      </w:r>
      <w:r w:rsidR="00B5606E">
        <w:rPr>
          <w:rFonts w:ascii="Times New Roman" w:hAnsi="Times New Roman"/>
          <w:color w:val="000000"/>
        </w:rPr>
        <w:t>the e</w:t>
      </w:r>
      <w:r w:rsidR="003E671D">
        <w:rPr>
          <w:rFonts w:ascii="Times New Roman" w:hAnsi="Times New Roman"/>
          <w:color w:val="000000"/>
        </w:rPr>
        <w:t>ntities awarded a grant</w:t>
      </w:r>
      <w:r w:rsidR="003E42E3">
        <w:rPr>
          <w:rFonts w:ascii="Times New Roman" w:hAnsi="Times New Roman"/>
          <w:color w:val="000000"/>
        </w:rPr>
        <w:t xml:space="preserve"> under </w:t>
      </w:r>
      <w:r w:rsidR="00C954AF">
        <w:rPr>
          <w:rFonts w:ascii="Times New Roman" w:hAnsi="Times New Roman"/>
          <w:color w:val="000000"/>
        </w:rPr>
        <w:t>OMB Control Number 1218-0100, expiring September 30, 2026</w:t>
      </w:r>
      <w:r w:rsidR="004E2C60">
        <w:rPr>
          <w:rFonts w:ascii="Times New Roman" w:hAnsi="Times New Roman"/>
          <w:color w:val="000000"/>
        </w:rPr>
        <w:t>.</w:t>
      </w:r>
    </w:p>
    <w:p w:rsidR="004A1B0A" w:rsidP="001E7418" w14:paraId="00FE0855" w14:textId="77777777">
      <w:pPr>
        <w:rPr>
          <w:rFonts w:ascii="Times New Roman" w:hAnsi="Times New Roman"/>
          <w:color w:val="000000"/>
        </w:rPr>
      </w:pPr>
    </w:p>
    <w:p w:rsidR="001E7418" w:rsidRPr="001853BB" w:rsidP="001E7418" w14:paraId="517B7E8F" w14:textId="5AEF56C0">
      <w:pPr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>Supporting Statement B: Statistical Methods</w:t>
      </w:r>
    </w:p>
    <w:p w:rsidR="001E7418" w:rsidRPr="00DC0F3F" w:rsidP="001E7418" w14:paraId="09B30FD1" w14:textId="77777777">
      <w:pPr>
        <w:rPr>
          <w:rFonts w:ascii="Times New Roman" w:hAnsi="Times New Roman" w:cs="BookAntiqua"/>
          <w:color w:val="000000"/>
        </w:rPr>
      </w:pPr>
    </w:p>
    <w:p w:rsidR="00157A76" w:rsidP="001E7418" w14:paraId="1BF71350" w14:textId="37F6BCE2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does not employ statistical methods.</w:t>
      </w:r>
    </w:p>
    <w:p w:rsidR="000C1CBE" w:rsidP="00D2402A" w14:paraId="1DCE67C8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082FD2" w:rsidP="00D2402A" w14:paraId="59C50617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082FD2" w:rsidP="00D2402A" w14:paraId="45706CF5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082FD2" w:rsidP="00D2402A" w14:paraId="71DCBD23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082FD2" w:rsidP="00D2402A" w14:paraId="0426536B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082FD2" w:rsidRPr="00023AF3" w:rsidP="00D2402A" w14:paraId="33C4F403" w14:textId="77777777">
      <w:pPr>
        <w:pBdr>
          <w:bottom w:val="single" w:sz="12" w:space="3" w:color="auto"/>
        </w:pBdr>
        <w:rPr>
          <w:rFonts w:ascii="Times New Roman" w:hAnsi="Times New Roman"/>
          <w:color w:val="000000"/>
          <w:sz w:val="20"/>
          <w:szCs w:val="20"/>
        </w:rPr>
      </w:pPr>
    </w:p>
    <w:p w:rsidR="005E073C" w:rsidRPr="00023AF3" w:rsidP="00E57D00" w14:paraId="1F3BE465" w14:textId="4DE4E25F">
      <w:pPr>
        <w:spacing w:after="120"/>
        <w:ind w:left="180" w:hanging="180"/>
        <w:rPr>
          <w:rFonts w:ascii="Times New Roman" w:hAnsi="Times New Roman"/>
          <w:color w:val="000000"/>
          <w:sz w:val="20"/>
          <w:szCs w:val="20"/>
        </w:rPr>
      </w:pPr>
      <w:r w:rsidRPr="00D2402A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023AF3" w:rsidR="00AE68C5">
        <w:rPr>
          <w:rFonts w:ascii="Times New Roman" w:hAnsi="Times New Roman"/>
          <w:color w:val="000000"/>
          <w:sz w:val="20"/>
          <w:szCs w:val="20"/>
        </w:rPr>
        <w:tab/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The Agency </w:t>
      </w:r>
      <w:r w:rsidR="00B87625">
        <w:rPr>
          <w:rFonts w:ascii="Times New Roman" w:hAnsi="Times New Roman"/>
          <w:color w:val="000000"/>
          <w:sz w:val="20"/>
          <w:szCs w:val="20"/>
        </w:rPr>
        <w:t>uses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 the</w:t>
      </w:r>
      <w:r w:rsidR="00AE4B4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wage rates </w:t>
      </w:r>
      <w:r w:rsidRPr="00023AF3" w:rsidR="00C033E4">
        <w:rPr>
          <w:rFonts w:ascii="Times New Roman" w:hAnsi="Times New Roman"/>
          <w:color w:val="000000"/>
          <w:sz w:val="20"/>
          <w:szCs w:val="20"/>
        </w:rPr>
        <w:t>for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F73EA">
        <w:rPr>
          <w:rFonts w:ascii="Times New Roman" w:hAnsi="Times New Roman"/>
          <w:color w:val="000000"/>
          <w:sz w:val="20"/>
          <w:szCs w:val="20"/>
        </w:rPr>
        <w:t xml:space="preserve">applicant staff </w:t>
      </w:r>
      <w:r w:rsidR="003C509A">
        <w:rPr>
          <w:rFonts w:ascii="Times New Roman" w:hAnsi="Times New Roman"/>
          <w:color w:val="000000"/>
          <w:sz w:val="20"/>
          <w:szCs w:val="20"/>
        </w:rPr>
        <w:t xml:space="preserve">comparable </w:t>
      </w:r>
      <w:r w:rsidR="00AD3691">
        <w:rPr>
          <w:rFonts w:ascii="Times New Roman" w:hAnsi="Times New Roman"/>
          <w:color w:val="000000"/>
          <w:sz w:val="20"/>
          <w:szCs w:val="20"/>
        </w:rPr>
        <w:t>to</w:t>
      </w:r>
      <w:r w:rsidR="00CE0ABD">
        <w:rPr>
          <w:rFonts w:ascii="Times New Roman" w:hAnsi="Times New Roman"/>
          <w:color w:val="000000"/>
          <w:sz w:val="20"/>
          <w:szCs w:val="20"/>
        </w:rPr>
        <w:t xml:space="preserve"> Federal</w:t>
      </w:r>
      <w:r w:rsidR="00AD36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>
        <w:rPr>
          <w:rFonts w:ascii="Times New Roman" w:hAnsi="Times New Roman"/>
          <w:color w:val="000000"/>
          <w:sz w:val="20"/>
          <w:szCs w:val="20"/>
        </w:rPr>
        <w:t>employee</w:t>
      </w:r>
      <w:r w:rsidR="00A616BC">
        <w:rPr>
          <w:rFonts w:ascii="Times New Roman" w:hAnsi="Times New Roman"/>
          <w:color w:val="000000"/>
          <w:sz w:val="20"/>
          <w:szCs w:val="20"/>
        </w:rPr>
        <w:t xml:space="preserve"> wages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 under the Federal</w:t>
      </w:r>
      <w:r w:rsidRPr="00023AF3" w:rsidR="00DE73C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>
        <w:rPr>
          <w:rFonts w:ascii="Times New Roman" w:hAnsi="Times New Roman"/>
          <w:color w:val="000000"/>
          <w:sz w:val="20"/>
          <w:szCs w:val="20"/>
        </w:rPr>
        <w:t>Government</w:t>
      </w:r>
      <w:r w:rsidR="00B87625">
        <w:rPr>
          <w:rFonts w:ascii="Times New Roman" w:hAnsi="Times New Roman"/>
          <w:color w:val="000000"/>
          <w:sz w:val="20"/>
          <w:szCs w:val="20"/>
        </w:rPr>
        <w:t>'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s General Schedule (see footnotes </w:t>
      </w:r>
      <w:r w:rsidRPr="00733DB4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733DB4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D46789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</w:t>
      </w:r>
      <w:r w:rsidRPr="00D46789" w:rsidR="00D46789">
        <w:rPr>
          <w:rFonts w:ascii="Times New Roman" w:hAnsi="Times New Roman"/>
          <w:color w:val="000000"/>
          <w:sz w:val="20"/>
          <w:szCs w:val="20"/>
        </w:rPr>
        <w:t>below</w:t>
      </w:r>
      <w:r w:rsidRPr="00023AF3">
        <w:rPr>
          <w:rFonts w:ascii="Times New Roman" w:hAnsi="Times New Roman"/>
          <w:color w:val="000000"/>
          <w:sz w:val="20"/>
          <w:szCs w:val="20"/>
        </w:rPr>
        <w:t>).</w:t>
      </w:r>
    </w:p>
    <w:p w:rsidR="005E073C" w:rsidRPr="00023AF3" w:rsidP="00E57D00" w14:paraId="57B5C511" w14:textId="2BA17EE7">
      <w:pPr>
        <w:spacing w:after="120"/>
        <w:ind w:left="180" w:hanging="180"/>
        <w:rPr>
          <w:rFonts w:ascii="Times New Roman" w:hAnsi="Times New Roman"/>
          <w:color w:val="000000"/>
          <w:sz w:val="20"/>
          <w:szCs w:val="20"/>
        </w:rPr>
      </w:pPr>
      <w:r w:rsidRPr="00D2402A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023AF3" w:rsidR="00AE68C5">
        <w:rPr>
          <w:rFonts w:ascii="Times New Roman" w:hAnsi="Times New Roman"/>
          <w:color w:val="000000"/>
          <w:sz w:val="20"/>
          <w:szCs w:val="20"/>
        </w:rPr>
        <w:tab/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The basis for the hourly wages for professional staff is the </w:t>
      </w:r>
      <w:r w:rsidRPr="00023AF3" w:rsidR="00A14358">
        <w:rPr>
          <w:rFonts w:ascii="Times New Roman" w:hAnsi="Times New Roman"/>
          <w:color w:val="000000"/>
          <w:sz w:val="20"/>
          <w:szCs w:val="20"/>
        </w:rPr>
        <w:t>202</w:t>
      </w:r>
      <w:r w:rsidRPr="00023AF3" w:rsidR="008C1FEA">
        <w:rPr>
          <w:rFonts w:ascii="Times New Roman" w:hAnsi="Times New Roman"/>
          <w:color w:val="000000"/>
          <w:sz w:val="20"/>
          <w:szCs w:val="20"/>
        </w:rPr>
        <w:t>5</w:t>
      </w:r>
      <w:r w:rsidRPr="00023AF3" w:rsidR="00A1435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>
        <w:rPr>
          <w:rFonts w:ascii="Times New Roman" w:hAnsi="Times New Roman"/>
          <w:color w:val="000000"/>
          <w:sz w:val="20"/>
          <w:szCs w:val="20"/>
        </w:rPr>
        <w:t>government pay scale for a Chicago area GS-13, step 10 ($</w:t>
      </w:r>
      <w:r w:rsidRPr="00023AF3" w:rsidR="00277709">
        <w:rPr>
          <w:rFonts w:ascii="Times New Roman" w:hAnsi="Times New Roman"/>
          <w:color w:val="000000"/>
          <w:sz w:val="20"/>
          <w:szCs w:val="20"/>
        </w:rPr>
        <w:t>7</w:t>
      </w:r>
      <w:r w:rsidRPr="00023AF3" w:rsidR="008C1FEA">
        <w:rPr>
          <w:rFonts w:ascii="Times New Roman" w:hAnsi="Times New Roman"/>
          <w:color w:val="000000"/>
          <w:sz w:val="20"/>
          <w:szCs w:val="20"/>
        </w:rPr>
        <w:t>3.38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). (See </w:t>
      </w:r>
      <w:hyperlink r:id="rId7" w:history="1">
        <w:r w:rsidRPr="00023AF3" w:rsidR="008C1FEA">
          <w:rPr>
            <w:rStyle w:val="Hyperlink"/>
            <w:rFonts w:ascii="Times New Roman" w:hAnsi="Times New Roman"/>
            <w:sz w:val="20"/>
            <w:szCs w:val="20"/>
          </w:rPr>
          <w:t>https://www.opm.gov/policy-data-oversight/pay-leave/salaries-wages/salary-tables/25Tables/pdf/CHI_h.pdf</w:t>
        </w:r>
      </w:hyperlink>
      <w:r w:rsidRPr="00023AF3" w:rsidR="008C1FEA">
        <w:rPr>
          <w:rFonts w:ascii="Times New Roman" w:hAnsi="Times New Roman"/>
          <w:color w:val="000000"/>
          <w:sz w:val="20"/>
          <w:szCs w:val="20"/>
        </w:rPr>
        <w:t xml:space="preserve">). 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PhDs, certified safety professionals, certified </w:t>
      </w:r>
      <w:r w:rsidRPr="00023AF3" w:rsidR="00DE73C3">
        <w:rPr>
          <w:rFonts w:ascii="Times New Roman" w:hAnsi="Times New Roman"/>
          <w:color w:val="000000"/>
          <w:sz w:val="20"/>
          <w:szCs w:val="20"/>
        </w:rPr>
        <w:t>i</w:t>
      </w:r>
      <w:r w:rsidRPr="00023AF3">
        <w:rPr>
          <w:rFonts w:ascii="Times New Roman" w:hAnsi="Times New Roman"/>
          <w:color w:val="000000"/>
          <w:sz w:val="20"/>
          <w:szCs w:val="20"/>
        </w:rPr>
        <w:t xml:space="preserve">ndustrial </w:t>
      </w:r>
      <w:r w:rsidRPr="00023AF3" w:rsidR="00DE73C3">
        <w:rPr>
          <w:rFonts w:ascii="Times New Roman" w:hAnsi="Times New Roman"/>
          <w:color w:val="000000"/>
          <w:sz w:val="20"/>
          <w:szCs w:val="20"/>
        </w:rPr>
        <w:t>h</w:t>
      </w:r>
      <w:r w:rsidRPr="00023AF3">
        <w:rPr>
          <w:rFonts w:ascii="Times New Roman" w:hAnsi="Times New Roman"/>
          <w:color w:val="000000"/>
          <w:sz w:val="20"/>
          <w:szCs w:val="20"/>
        </w:rPr>
        <w:t>ygienists, and other professional staff submit applications.</w:t>
      </w:r>
    </w:p>
    <w:p w:rsidR="008C1FEA" w:rsidRPr="00023AF3" w:rsidP="00E57D00" w14:paraId="4DC997AE" w14:textId="757885CE">
      <w:pPr>
        <w:ind w:left="180" w:hanging="180"/>
        <w:rPr>
          <w:rFonts w:ascii="Times New Roman" w:hAnsi="Times New Roman"/>
          <w:color w:val="000000"/>
          <w:sz w:val="20"/>
          <w:szCs w:val="20"/>
        </w:rPr>
      </w:pPr>
      <w:r w:rsidRPr="00D2402A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023AF3" w:rsidR="00AE68C5">
        <w:rPr>
          <w:rFonts w:ascii="Times New Roman" w:hAnsi="Times New Roman"/>
          <w:color w:val="000000"/>
          <w:sz w:val="20"/>
          <w:szCs w:val="20"/>
        </w:rPr>
        <w:tab/>
      </w:r>
      <w:r w:rsidRPr="00023AF3" w:rsidR="00DE73C3">
        <w:rPr>
          <w:rFonts w:ascii="Times New Roman" w:hAnsi="Times New Roman"/>
          <w:color w:val="000000"/>
          <w:sz w:val="20"/>
          <w:szCs w:val="20"/>
        </w:rPr>
        <w:t>The</w:t>
      </w:r>
      <w:r w:rsidRPr="00023AF3" w:rsidR="005E073C">
        <w:rPr>
          <w:rFonts w:ascii="Times New Roman" w:hAnsi="Times New Roman"/>
          <w:color w:val="000000"/>
          <w:sz w:val="20"/>
          <w:szCs w:val="20"/>
        </w:rPr>
        <w:t xml:space="preserve"> basis for the hourly wages for clerical staff is the </w:t>
      </w:r>
      <w:r w:rsidRPr="00023AF3" w:rsidR="00A14358">
        <w:rPr>
          <w:rFonts w:ascii="Times New Roman" w:hAnsi="Times New Roman"/>
          <w:color w:val="000000"/>
          <w:sz w:val="20"/>
          <w:szCs w:val="20"/>
        </w:rPr>
        <w:t>202</w:t>
      </w:r>
      <w:r w:rsidRPr="00023AF3" w:rsidR="0049080B">
        <w:rPr>
          <w:rFonts w:ascii="Times New Roman" w:hAnsi="Times New Roman"/>
          <w:color w:val="000000"/>
          <w:sz w:val="20"/>
          <w:szCs w:val="20"/>
        </w:rPr>
        <w:t>5</w:t>
      </w:r>
      <w:r w:rsidRPr="00023AF3" w:rsidR="00A1435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 w:rsidR="005E073C">
        <w:rPr>
          <w:rFonts w:ascii="Times New Roman" w:hAnsi="Times New Roman"/>
          <w:color w:val="000000"/>
          <w:sz w:val="20"/>
          <w:szCs w:val="20"/>
        </w:rPr>
        <w:t>government pay scale for a Chicago area GS-7, step 10 ($</w:t>
      </w:r>
      <w:r w:rsidRPr="00023AF3" w:rsidR="0049080B">
        <w:rPr>
          <w:rFonts w:ascii="Times New Roman" w:hAnsi="Times New Roman"/>
          <w:color w:val="000000"/>
          <w:sz w:val="20"/>
          <w:szCs w:val="20"/>
        </w:rPr>
        <w:t>34</w:t>
      </w:r>
      <w:r w:rsidRPr="00023AF3" w:rsidR="00A14358">
        <w:rPr>
          <w:rFonts w:ascii="Times New Roman" w:hAnsi="Times New Roman"/>
          <w:color w:val="000000"/>
          <w:sz w:val="20"/>
          <w:szCs w:val="20"/>
        </w:rPr>
        <w:t>.</w:t>
      </w:r>
      <w:r w:rsidRPr="00023AF3" w:rsidR="0049080B">
        <w:rPr>
          <w:rFonts w:ascii="Times New Roman" w:hAnsi="Times New Roman"/>
          <w:color w:val="000000"/>
          <w:sz w:val="20"/>
          <w:szCs w:val="20"/>
        </w:rPr>
        <w:t>79</w:t>
      </w:r>
      <w:r w:rsidRPr="00023AF3" w:rsidR="005E073C">
        <w:rPr>
          <w:rFonts w:ascii="Times New Roman" w:hAnsi="Times New Roman"/>
          <w:color w:val="000000"/>
          <w:sz w:val="20"/>
          <w:szCs w:val="20"/>
        </w:rPr>
        <w:t xml:space="preserve">). (See </w:t>
      </w:r>
      <w:hyperlink r:id="rId7" w:history="1">
        <w:r w:rsidRPr="00023AF3" w:rsidR="0049080B">
          <w:rPr>
            <w:rStyle w:val="Hyperlink"/>
            <w:rFonts w:ascii="Times New Roman" w:hAnsi="Times New Roman"/>
            <w:sz w:val="20"/>
            <w:szCs w:val="20"/>
          </w:rPr>
          <w:t>https://www.opm.gov/policy-data-oversight/pay-leave/salaries-wages/salary-tables/25Tables/pdf/CHI_h.pdf</w:t>
        </w:r>
      </w:hyperlink>
      <w:r w:rsidRPr="00023AF3" w:rsidR="00C43D91">
        <w:rPr>
          <w:rFonts w:ascii="Times New Roman" w:hAnsi="Times New Roman"/>
          <w:color w:val="000000"/>
          <w:sz w:val="20"/>
          <w:szCs w:val="20"/>
        </w:rPr>
        <w:t>)</w:t>
      </w:r>
      <w:r w:rsidRPr="00023AF3" w:rsidR="0049080B">
        <w:rPr>
          <w:rFonts w:ascii="Times New Roman" w:hAnsi="Times New Roman"/>
          <w:color w:val="000000"/>
          <w:sz w:val="20"/>
          <w:szCs w:val="20"/>
        </w:rPr>
        <w:t>.</w:t>
      </w:r>
      <w:r w:rsidRPr="00023AF3" w:rsidR="005E07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3AF3" w:rsidR="0049080B">
        <w:rPr>
          <w:rFonts w:ascii="Times New Roman" w:hAnsi="Times New Roman"/>
          <w:color w:val="000000"/>
          <w:sz w:val="20"/>
          <w:szCs w:val="20"/>
        </w:rPr>
        <w:t>Secretaries and accounting staff perform c</w:t>
      </w:r>
      <w:r w:rsidRPr="00023AF3" w:rsidR="005E073C">
        <w:rPr>
          <w:rFonts w:ascii="Times New Roman" w:hAnsi="Times New Roman"/>
          <w:color w:val="000000"/>
          <w:sz w:val="20"/>
          <w:szCs w:val="20"/>
        </w:rPr>
        <w:t>lerical elements</w:t>
      </w:r>
    </w:p>
    <w:sectPr w:rsidSect="00262FA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B58" w:rsidP="001D4E4E" w14:paraId="4562527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0B58" w14:paraId="680199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B58" w:rsidP="001D4E4E" w14:paraId="52005E98" w14:textId="0566A4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03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20B58" w14:paraId="7339DB4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7225A"/>
    <w:multiLevelType w:val="hybridMultilevel"/>
    <w:tmpl w:val="5E0C7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4AE0"/>
    <w:multiLevelType w:val="hybridMultilevel"/>
    <w:tmpl w:val="B29228A0"/>
    <w:lvl w:ilvl="0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05912"/>
    <w:multiLevelType w:val="hybridMultilevel"/>
    <w:tmpl w:val="87125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616C1"/>
    <w:multiLevelType w:val="multilevel"/>
    <w:tmpl w:val="FDD0B258"/>
    <w:styleLink w:val="List0"/>
    <w:lvl w:ilvl="0">
      <w:start w:val="1"/>
      <w:numFmt w:val="upp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color w:val="FF0000"/>
        <w:position w:val="0"/>
        <w:u w:color="FF0000"/>
      </w:rPr>
    </w:lvl>
  </w:abstractNum>
  <w:abstractNum w:abstractNumId="4">
    <w:nsid w:val="24DF3BEA"/>
    <w:multiLevelType w:val="hybridMultilevel"/>
    <w:tmpl w:val="C5AC0D7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B16F2"/>
    <w:multiLevelType w:val="hybridMultilevel"/>
    <w:tmpl w:val="5C628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016E8"/>
    <w:multiLevelType w:val="hybridMultilevel"/>
    <w:tmpl w:val="2752DE04"/>
    <w:lvl w:ilvl="0">
      <w:start w:val="4"/>
      <w:numFmt w:val="decimal"/>
      <w:lvlText w:val="(%1)"/>
      <w:lvlJc w:val="left"/>
      <w:pPr>
        <w:ind w:left="1800" w:hanging="360"/>
      </w:pPr>
      <w:rPr>
        <w:rFonts w:cs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CB00DE"/>
    <w:multiLevelType w:val="hybridMultilevel"/>
    <w:tmpl w:val="D3CE1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60985"/>
    <w:multiLevelType w:val="hybridMultilevel"/>
    <w:tmpl w:val="BB4E20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545E4"/>
    <w:multiLevelType w:val="hybridMultilevel"/>
    <w:tmpl w:val="B0DA1F8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C1F97"/>
    <w:multiLevelType w:val="hybridMultilevel"/>
    <w:tmpl w:val="3050F0C2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A40B12"/>
    <w:multiLevelType w:val="hybridMultilevel"/>
    <w:tmpl w:val="B342A3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915ED4"/>
    <w:multiLevelType w:val="hybridMultilevel"/>
    <w:tmpl w:val="D2E05816"/>
    <w:lvl w:ilvl="0">
      <w:start w:val="1"/>
      <w:numFmt w:val="upperLetter"/>
      <w:lvlText w:val="%1."/>
      <w:lvlJc w:val="left"/>
      <w:pPr>
        <w:ind w:left="45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12315"/>
    <w:multiLevelType w:val="hybridMultilevel"/>
    <w:tmpl w:val="49D01E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706CF"/>
    <w:multiLevelType w:val="hybridMultilevel"/>
    <w:tmpl w:val="B810E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EC38E1"/>
    <w:multiLevelType w:val="hybridMultilevel"/>
    <w:tmpl w:val="983CB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1158"/>
    <w:multiLevelType w:val="hybridMultilevel"/>
    <w:tmpl w:val="8D00E0A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B7B45"/>
    <w:multiLevelType w:val="hybridMultilevel"/>
    <w:tmpl w:val="ADD2D2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F2BC4"/>
    <w:multiLevelType w:val="hybridMultilevel"/>
    <w:tmpl w:val="74F419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41400"/>
    <w:multiLevelType w:val="hybridMultilevel"/>
    <w:tmpl w:val="CFAC9EB6"/>
    <w:lvl w:ilvl="0">
      <w:start w:val="1"/>
      <w:numFmt w:val="decimal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44"/>
        </w:tabs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202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  <w:b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55808903">
    <w:abstractNumId w:val="7"/>
  </w:num>
  <w:num w:numId="2" w16cid:durableId="196939066">
    <w:abstractNumId w:val="15"/>
  </w:num>
  <w:num w:numId="3" w16cid:durableId="1142194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801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5756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454205">
    <w:abstractNumId w:val="0"/>
  </w:num>
  <w:num w:numId="7" w16cid:durableId="135415308">
    <w:abstractNumId w:val="5"/>
  </w:num>
  <w:num w:numId="8" w16cid:durableId="1434864515">
    <w:abstractNumId w:val="13"/>
  </w:num>
  <w:num w:numId="9" w16cid:durableId="1749880451">
    <w:abstractNumId w:val="18"/>
  </w:num>
  <w:num w:numId="10" w16cid:durableId="1374578304">
    <w:abstractNumId w:val="8"/>
  </w:num>
  <w:num w:numId="11" w16cid:durableId="2086872337">
    <w:abstractNumId w:val="9"/>
  </w:num>
  <w:num w:numId="12" w16cid:durableId="1441222194">
    <w:abstractNumId w:val="11"/>
  </w:num>
  <w:num w:numId="13" w16cid:durableId="99106559">
    <w:abstractNumId w:val="14"/>
  </w:num>
  <w:num w:numId="14" w16cid:durableId="2024551844">
    <w:abstractNumId w:val="10"/>
  </w:num>
  <w:num w:numId="15" w16cid:durableId="277683993">
    <w:abstractNumId w:val="6"/>
  </w:num>
  <w:num w:numId="16" w16cid:durableId="1907570501">
    <w:abstractNumId w:val="3"/>
    <w:lvlOverride w:ilvl="0">
      <w:lvl w:ilvl="0">
        <w:start w:val="1"/>
        <w:numFmt w:val="upperLetter"/>
        <w:lvlText w:val="%1."/>
        <w:lvlJc w:val="left"/>
        <w:rPr>
          <w:color w:val="auto"/>
          <w:position w:val="0"/>
          <w:u w:color="FF0000"/>
        </w:rPr>
      </w:lvl>
    </w:lvlOverride>
  </w:num>
  <w:num w:numId="17" w16cid:durableId="1964537452">
    <w:abstractNumId w:val="3"/>
  </w:num>
  <w:num w:numId="18" w16cid:durableId="1796875679">
    <w:abstractNumId w:val="17"/>
  </w:num>
  <w:num w:numId="19" w16cid:durableId="1409502017">
    <w:abstractNumId w:val="2"/>
  </w:num>
  <w:num w:numId="20" w16cid:durableId="2116513231">
    <w:abstractNumId w:val="4"/>
  </w:num>
  <w:num w:numId="21" w16cid:durableId="1505589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05"/>
    <w:rsid w:val="00007812"/>
    <w:rsid w:val="00012CE1"/>
    <w:rsid w:val="00023AF3"/>
    <w:rsid w:val="0003031F"/>
    <w:rsid w:val="00031BA4"/>
    <w:rsid w:val="00044805"/>
    <w:rsid w:val="000563BC"/>
    <w:rsid w:val="00065CCE"/>
    <w:rsid w:val="0007007D"/>
    <w:rsid w:val="000766EE"/>
    <w:rsid w:val="00082A19"/>
    <w:rsid w:val="00082FD2"/>
    <w:rsid w:val="0008468A"/>
    <w:rsid w:val="00093F92"/>
    <w:rsid w:val="0009567E"/>
    <w:rsid w:val="000A276A"/>
    <w:rsid w:val="000B3311"/>
    <w:rsid w:val="000C0518"/>
    <w:rsid w:val="000C1CBE"/>
    <w:rsid w:val="000C44A8"/>
    <w:rsid w:val="000C61EC"/>
    <w:rsid w:val="000C67BB"/>
    <w:rsid w:val="000D035E"/>
    <w:rsid w:val="000D3409"/>
    <w:rsid w:val="000D458E"/>
    <w:rsid w:val="000D6F44"/>
    <w:rsid w:val="000D760C"/>
    <w:rsid w:val="000E2AC7"/>
    <w:rsid w:val="000E6627"/>
    <w:rsid w:val="000F0E77"/>
    <w:rsid w:val="000F24A7"/>
    <w:rsid w:val="000F2A69"/>
    <w:rsid w:val="000F4AD6"/>
    <w:rsid w:val="000F58C2"/>
    <w:rsid w:val="000F79D4"/>
    <w:rsid w:val="001033CA"/>
    <w:rsid w:val="00106764"/>
    <w:rsid w:val="001116F4"/>
    <w:rsid w:val="00111735"/>
    <w:rsid w:val="00115227"/>
    <w:rsid w:val="00121336"/>
    <w:rsid w:val="001216B3"/>
    <w:rsid w:val="001238AB"/>
    <w:rsid w:val="00124664"/>
    <w:rsid w:val="00126C07"/>
    <w:rsid w:val="0013056B"/>
    <w:rsid w:val="001326C1"/>
    <w:rsid w:val="00134BBF"/>
    <w:rsid w:val="00135C38"/>
    <w:rsid w:val="00136588"/>
    <w:rsid w:val="00144B65"/>
    <w:rsid w:val="0014613F"/>
    <w:rsid w:val="001468C5"/>
    <w:rsid w:val="00147ED3"/>
    <w:rsid w:val="00151ACE"/>
    <w:rsid w:val="00154414"/>
    <w:rsid w:val="001551BD"/>
    <w:rsid w:val="001565FD"/>
    <w:rsid w:val="00157A76"/>
    <w:rsid w:val="00157F4B"/>
    <w:rsid w:val="0016659B"/>
    <w:rsid w:val="00173021"/>
    <w:rsid w:val="00175D2F"/>
    <w:rsid w:val="0017735E"/>
    <w:rsid w:val="001776AD"/>
    <w:rsid w:val="00181F41"/>
    <w:rsid w:val="00184398"/>
    <w:rsid w:val="00184D91"/>
    <w:rsid w:val="001853BB"/>
    <w:rsid w:val="0019235F"/>
    <w:rsid w:val="00195E5D"/>
    <w:rsid w:val="001A0A4B"/>
    <w:rsid w:val="001A374D"/>
    <w:rsid w:val="001A4F95"/>
    <w:rsid w:val="001A5408"/>
    <w:rsid w:val="001B1AD5"/>
    <w:rsid w:val="001B25D7"/>
    <w:rsid w:val="001C66A7"/>
    <w:rsid w:val="001D05C3"/>
    <w:rsid w:val="001D1615"/>
    <w:rsid w:val="001D4E4E"/>
    <w:rsid w:val="001E7418"/>
    <w:rsid w:val="001E7985"/>
    <w:rsid w:val="001E7AE4"/>
    <w:rsid w:val="001F2443"/>
    <w:rsid w:val="001F4751"/>
    <w:rsid w:val="001F73EA"/>
    <w:rsid w:val="00205C44"/>
    <w:rsid w:val="00211F5A"/>
    <w:rsid w:val="00227AFD"/>
    <w:rsid w:val="002360E7"/>
    <w:rsid w:val="00237D7E"/>
    <w:rsid w:val="00240142"/>
    <w:rsid w:val="00240A97"/>
    <w:rsid w:val="00244154"/>
    <w:rsid w:val="002468E0"/>
    <w:rsid w:val="002536CA"/>
    <w:rsid w:val="002605AC"/>
    <w:rsid w:val="002617AE"/>
    <w:rsid w:val="00261D44"/>
    <w:rsid w:val="00262FA7"/>
    <w:rsid w:val="002651A4"/>
    <w:rsid w:val="00266CCD"/>
    <w:rsid w:val="00277709"/>
    <w:rsid w:val="002828B5"/>
    <w:rsid w:val="0028760C"/>
    <w:rsid w:val="00287E3C"/>
    <w:rsid w:val="00297D69"/>
    <w:rsid w:val="002A0046"/>
    <w:rsid w:val="002A2A43"/>
    <w:rsid w:val="002B0756"/>
    <w:rsid w:val="002C07D1"/>
    <w:rsid w:val="002C0E46"/>
    <w:rsid w:val="002D11E1"/>
    <w:rsid w:val="002E1469"/>
    <w:rsid w:val="002E75E4"/>
    <w:rsid w:val="002E791B"/>
    <w:rsid w:val="002F6247"/>
    <w:rsid w:val="003016B7"/>
    <w:rsid w:val="00302DEB"/>
    <w:rsid w:val="0030556D"/>
    <w:rsid w:val="003112C1"/>
    <w:rsid w:val="00312454"/>
    <w:rsid w:val="00320B58"/>
    <w:rsid w:val="00325EC6"/>
    <w:rsid w:val="0032700F"/>
    <w:rsid w:val="003332DF"/>
    <w:rsid w:val="00347854"/>
    <w:rsid w:val="00351071"/>
    <w:rsid w:val="00362586"/>
    <w:rsid w:val="00362D65"/>
    <w:rsid w:val="003714FD"/>
    <w:rsid w:val="0038567C"/>
    <w:rsid w:val="0038644F"/>
    <w:rsid w:val="0039054B"/>
    <w:rsid w:val="00395DE3"/>
    <w:rsid w:val="003A0E9C"/>
    <w:rsid w:val="003A2B87"/>
    <w:rsid w:val="003A4E85"/>
    <w:rsid w:val="003A5C23"/>
    <w:rsid w:val="003A7812"/>
    <w:rsid w:val="003B3D7C"/>
    <w:rsid w:val="003B4428"/>
    <w:rsid w:val="003B635A"/>
    <w:rsid w:val="003C272D"/>
    <w:rsid w:val="003C509A"/>
    <w:rsid w:val="003C600F"/>
    <w:rsid w:val="003D4723"/>
    <w:rsid w:val="003E24A7"/>
    <w:rsid w:val="003E42E3"/>
    <w:rsid w:val="003E47E3"/>
    <w:rsid w:val="003E671D"/>
    <w:rsid w:val="0040039D"/>
    <w:rsid w:val="004028FC"/>
    <w:rsid w:val="00405FF5"/>
    <w:rsid w:val="00406743"/>
    <w:rsid w:val="00406D5E"/>
    <w:rsid w:val="00413784"/>
    <w:rsid w:val="004152D4"/>
    <w:rsid w:val="004155A4"/>
    <w:rsid w:val="0042008A"/>
    <w:rsid w:val="00421799"/>
    <w:rsid w:val="004217B3"/>
    <w:rsid w:val="00421CE2"/>
    <w:rsid w:val="00422C02"/>
    <w:rsid w:val="00424AC2"/>
    <w:rsid w:val="00424E42"/>
    <w:rsid w:val="00425E34"/>
    <w:rsid w:val="004321FA"/>
    <w:rsid w:val="00433396"/>
    <w:rsid w:val="004356D5"/>
    <w:rsid w:val="00436C9F"/>
    <w:rsid w:val="00441FCC"/>
    <w:rsid w:val="0044441B"/>
    <w:rsid w:val="00453D67"/>
    <w:rsid w:val="00454167"/>
    <w:rsid w:val="00454564"/>
    <w:rsid w:val="00463175"/>
    <w:rsid w:val="004641A0"/>
    <w:rsid w:val="00471A3C"/>
    <w:rsid w:val="00477F77"/>
    <w:rsid w:val="0048497B"/>
    <w:rsid w:val="00486390"/>
    <w:rsid w:val="00486785"/>
    <w:rsid w:val="004873E6"/>
    <w:rsid w:val="0049080B"/>
    <w:rsid w:val="00493511"/>
    <w:rsid w:val="0049479F"/>
    <w:rsid w:val="004A0B2B"/>
    <w:rsid w:val="004A1B0A"/>
    <w:rsid w:val="004A1B22"/>
    <w:rsid w:val="004A4FA8"/>
    <w:rsid w:val="004B3578"/>
    <w:rsid w:val="004B39F1"/>
    <w:rsid w:val="004B63B2"/>
    <w:rsid w:val="004C0A12"/>
    <w:rsid w:val="004C0FBC"/>
    <w:rsid w:val="004C3779"/>
    <w:rsid w:val="004D0852"/>
    <w:rsid w:val="004D0DC6"/>
    <w:rsid w:val="004D6793"/>
    <w:rsid w:val="004D6A16"/>
    <w:rsid w:val="004E04CD"/>
    <w:rsid w:val="004E0514"/>
    <w:rsid w:val="004E2C60"/>
    <w:rsid w:val="004E748C"/>
    <w:rsid w:val="004F06A8"/>
    <w:rsid w:val="004F13EA"/>
    <w:rsid w:val="004F31A5"/>
    <w:rsid w:val="004F382A"/>
    <w:rsid w:val="004F7C27"/>
    <w:rsid w:val="00510B21"/>
    <w:rsid w:val="00513F8B"/>
    <w:rsid w:val="005154F0"/>
    <w:rsid w:val="0052093F"/>
    <w:rsid w:val="00520C18"/>
    <w:rsid w:val="005212BE"/>
    <w:rsid w:val="00525F28"/>
    <w:rsid w:val="00527BB1"/>
    <w:rsid w:val="00530CD6"/>
    <w:rsid w:val="00541466"/>
    <w:rsid w:val="00541F03"/>
    <w:rsid w:val="00542401"/>
    <w:rsid w:val="0054385E"/>
    <w:rsid w:val="0054670B"/>
    <w:rsid w:val="005518EA"/>
    <w:rsid w:val="00554B88"/>
    <w:rsid w:val="00556E9C"/>
    <w:rsid w:val="00557ACE"/>
    <w:rsid w:val="005905AA"/>
    <w:rsid w:val="005A2DB7"/>
    <w:rsid w:val="005A35AC"/>
    <w:rsid w:val="005B79E5"/>
    <w:rsid w:val="005B7FF7"/>
    <w:rsid w:val="005C1587"/>
    <w:rsid w:val="005C598D"/>
    <w:rsid w:val="005C668D"/>
    <w:rsid w:val="005D3299"/>
    <w:rsid w:val="005D6E4A"/>
    <w:rsid w:val="005D7227"/>
    <w:rsid w:val="005E073C"/>
    <w:rsid w:val="005E303C"/>
    <w:rsid w:val="005E4A73"/>
    <w:rsid w:val="005E538D"/>
    <w:rsid w:val="005E721C"/>
    <w:rsid w:val="005F1173"/>
    <w:rsid w:val="005F300B"/>
    <w:rsid w:val="005F7DBC"/>
    <w:rsid w:val="00600F7D"/>
    <w:rsid w:val="00600F85"/>
    <w:rsid w:val="0060215E"/>
    <w:rsid w:val="00607DA4"/>
    <w:rsid w:val="00613276"/>
    <w:rsid w:val="00630AF9"/>
    <w:rsid w:val="00640429"/>
    <w:rsid w:val="00641105"/>
    <w:rsid w:val="00642C15"/>
    <w:rsid w:val="006439CF"/>
    <w:rsid w:val="00646B86"/>
    <w:rsid w:val="00650617"/>
    <w:rsid w:val="0065095E"/>
    <w:rsid w:val="006518AB"/>
    <w:rsid w:val="00652970"/>
    <w:rsid w:val="00656E73"/>
    <w:rsid w:val="006575A1"/>
    <w:rsid w:val="006607D9"/>
    <w:rsid w:val="00661A91"/>
    <w:rsid w:val="006646D6"/>
    <w:rsid w:val="00667C2E"/>
    <w:rsid w:val="00667EE7"/>
    <w:rsid w:val="0067058C"/>
    <w:rsid w:val="006723E4"/>
    <w:rsid w:val="0067319F"/>
    <w:rsid w:val="0069085B"/>
    <w:rsid w:val="00694CAD"/>
    <w:rsid w:val="00696D63"/>
    <w:rsid w:val="006C3846"/>
    <w:rsid w:val="006C4BBA"/>
    <w:rsid w:val="006D2533"/>
    <w:rsid w:val="006E32FD"/>
    <w:rsid w:val="006E551A"/>
    <w:rsid w:val="006E72AE"/>
    <w:rsid w:val="006F0055"/>
    <w:rsid w:val="006F129F"/>
    <w:rsid w:val="006F32C0"/>
    <w:rsid w:val="006F3990"/>
    <w:rsid w:val="006F4EF1"/>
    <w:rsid w:val="00700AE2"/>
    <w:rsid w:val="00704FF9"/>
    <w:rsid w:val="00706276"/>
    <w:rsid w:val="0070704D"/>
    <w:rsid w:val="00716E26"/>
    <w:rsid w:val="0072417C"/>
    <w:rsid w:val="00724EDF"/>
    <w:rsid w:val="00725466"/>
    <w:rsid w:val="007254DE"/>
    <w:rsid w:val="007309C8"/>
    <w:rsid w:val="0073288F"/>
    <w:rsid w:val="00733DB4"/>
    <w:rsid w:val="007367A8"/>
    <w:rsid w:val="0074177E"/>
    <w:rsid w:val="00741A21"/>
    <w:rsid w:val="00744B96"/>
    <w:rsid w:val="00754589"/>
    <w:rsid w:val="00754A39"/>
    <w:rsid w:val="00755B2A"/>
    <w:rsid w:val="00756035"/>
    <w:rsid w:val="00760702"/>
    <w:rsid w:val="00760DEE"/>
    <w:rsid w:val="0076657B"/>
    <w:rsid w:val="00773321"/>
    <w:rsid w:val="0077385D"/>
    <w:rsid w:val="007762B9"/>
    <w:rsid w:val="00781E8A"/>
    <w:rsid w:val="00782123"/>
    <w:rsid w:val="007821D0"/>
    <w:rsid w:val="00783349"/>
    <w:rsid w:val="00785449"/>
    <w:rsid w:val="00786A03"/>
    <w:rsid w:val="007871DA"/>
    <w:rsid w:val="007877DA"/>
    <w:rsid w:val="0079568F"/>
    <w:rsid w:val="00797BCE"/>
    <w:rsid w:val="007A0F04"/>
    <w:rsid w:val="007A6BC1"/>
    <w:rsid w:val="007B6F97"/>
    <w:rsid w:val="007D1194"/>
    <w:rsid w:val="007D1B41"/>
    <w:rsid w:val="007D2861"/>
    <w:rsid w:val="007D34E7"/>
    <w:rsid w:val="007D7AC0"/>
    <w:rsid w:val="007E1A3C"/>
    <w:rsid w:val="007E72B8"/>
    <w:rsid w:val="007E753B"/>
    <w:rsid w:val="007E7D3B"/>
    <w:rsid w:val="007F30E0"/>
    <w:rsid w:val="007F3251"/>
    <w:rsid w:val="007F4F73"/>
    <w:rsid w:val="007F5C8A"/>
    <w:rsid w:val="008011A1"/>
    <w:rsid w:val="00801461"/>
    <w:rsid w:val="00802108"/>
    <w:rsid w:val="008045E2"/>
    <w:rsid w:val="0082046F"/>
    <w:rsid w:val="0083205C"/>
    <w:rsid w:val="00832D1A"/>
    <w:rsid w:val="00837BB6"/>
    <w:rsid w:val="0085052C"/>
    <w:rsid w:val="008522E7"/>
    <w:rsid w:val="00865388"/>
    <w:rsid w:val="00873E75"/>
    <w:rsid w:val="00875B6F"/>
    <w:rsid w:val="00877092"/>
    <w:rsid w:val="008818BA"/>
    <w:rsid w:val="0088366E"/>
    <w:rsid w:val="008844B8"/>
    <w:rsid w:val="008925FC"/>
    <w:rsid w:val="00894312"/>
    <w:rsid w:val="008974FF"/>
    <w:rsid w:val="008A4D9E"/>
    <w:rsid w:val="008B4A6B"/>
    <w:rsid w:val="008C1FEA"/>
    <w:rsid w:val="008D237B"/>
    <w:rsid w:val="008D2E7C"/>
    <w:rsid w:val="008D3E4C"/>
    <w:rsid w:val="008D6F34"/>
    <w:rsid w:val="008E1ED9"/>
    <w:rsid w:val="008E1FD7"/>
    <w:rsid w:val="008E6367"/>
    <w:rsid w:val="008F243C"/>
    <w:rsid w:val="008F3D1C"/>
    <w:rsid w:val="008F68A5"/>
    <w:rsid w:val="008F764B"/>
    <w:rsid w:val="00903124"/>
    <w:rsid w:val="009131B9"/>
    <w:rsid w:val="00917211"/>
    <w:rsid w:val="00921C2E"/>
    <w:rsid w:val="00922B92"/>
    <w:rsid w:val="00935899"/>
    <w:rsid w:val="0095417D"/>
    <w:rsid w:val="0096223F"/>
    <w:rsid w:val="00963123"/>
    <w:rsid w:val="00963EFB"/>
    <w:rsid w:val="0096592B"/>
    <w:rsid w:val="00972295"/>
    <w:rsid w:val="00977299"/>
    <w:rsid w:val="0098232A"/>
    <w:rsid w:val="00983D48"/>
    <w:rsid w:val="00991794"/>
    <w:rsid w:val="009940C9"/>
    <w:rsid w:val="009959D2"/>
    <w:rsid w:val="009A418C"/>
    <w:rsid w:val="009A4B94"/>
    <w:rsid w:val="009B2A1A"/>
    <w:rsid w:val="009C5009"/>
    <w:rsid w:val="009C7BD6"/>
    <w:rsid w:val="009D3D94"/>
    <w:rsid w:val="009D5BE5"/>
    <w:rsid w:val="009D6981"/>
    <w:rsid w:val="009E093D"/>
    <w:rsid w:val="009E28BD"/>
    <w:rsid w:val="009E40F7"/>
    <w:rsid w:val="009E788E"/>
    <w:rsid w:val="009F0EB8"/>
    <w:rsid w:val="009F3806"/>
    <w:rsid w:val="009F7376"/>
    <w:rsid w:val="00A000D0"/>
    <w:rsid w:val="00A0203E"/>
    <w:rsid w:val="00A04408"/>
    <w:rsid w:val="00A10611"/>
    <w:rsid w:val="00A1250B"/>
    <w:rsid w:val="00A13D48"/>
    <w:rsid w:val="00A14358"/>
    <w:rsid w:val="00A175ED"/>
    <w:rsid w:val="00A30547"/>
    <w:rsid w:val="00A3374C"/>
    <w:rsid w:val="00A34CE1"/>
    <w:rsid w:val="00A375F0"/>
    <w:rsid w:val="00A4030B"/>
    <w:rsid w:val="00A40D49"/>
    <w:rsid w:val="00A43769"/>
    <w:rsid w:val="00A44812"/>
    <w:rsid w:val="00A4499D"/>
    <w:rsid w:val="00A50738"/>
    <w:rsid w:val="00A52DC8"/>
    <w:rsid w:val="00A53F9C"/>
    <w:rsid w:val="00A548AE"/>
    <w:rsid w:val="00A57BF5"/>
    <w:rsid w:val="00A6089A"/>
    <w:rsid w:val="00A616BC"/>
    <w:rsid w:val="00A63676"/>
    <w:rsid w:val="00A64074"/>
    <w:rsid w:val="00A7061A"/>
    <w:rsid w:val="00A72A04"/>
    <w:rsid w:val="00A739A4"/>
    <w:rsid w:val="00A75668"/>
    <w:rsid w:val="00A800A9"/>
    <w:rsid w:val="00A90621"/>
    <w:rsid w:val="00A91979"/>
    <w:rsid w:val="00A94A95"/>
    <w:rsid w:val="00A95890"/>
    <w:rsid w:val="00AA2507"/>
    <w:rsid w:val="00AA267B"/>
    <w:rsid w:val="00AA570C"/>
    <w:rsid w:val="00AB1BF9"/>
    <w:rsid w:val="00AB2940"/>
    <w:rsid w:val="00AB2991"/>
    <w:rsid w:val="00AB60AC"/>
    <w:rsid w:val="00AB72EF"/>
    <w:rsid w:val="00AD04CF"/>
    <w:rsid w:val="00AD3691"/>
    <w:rsid w:val="00AD4178"/>
    <w:rsid w:val="00AD49D7"/>
    <w:rsid w:val="00AE2796"/>
    <w:rsid w:val="00AE29B1"/>
    <w:rsid w:val="00AE4B4C"/>
    <w:rsid w:val="00AE4C87"/>
    <w:rsid w:val="00AE5967"/>
    <w:rsid w:val="00AE6112"/>
    <w:rsid w:val="00AE68C5"/>
    <w:rsid w:val="00AF6807"/>
    <w:rsid w:val="00AF7B00"/>
    <w:rsid w:val="00B0501E"/>
    <w:rsid w:val="00B07248"/>
    <w:rsid w:val="00B21768"/>
    <w:rsid w:val="00B22F9F"/>
    <w:rsid w:val="00B26058"/>
    <w:rsid w:val="00B30898"/>
    <w:rsid w:val="00B4597E"/>
    <w:rsid w:val="00B47E97"/>
    <w:rsid w:val="00B52506"/>
    <w:rsid w:val="00B5606E"/>
    <w:rsid w:val="00B65C86"/>
    <w:rsid w:val="00B67A8B"/>
    <w:rsid w:val="00B751C2"/>
    <w:rsid w:val="00B804D4"/>
    <w:rsid w:val="00B80D83"/>
    <w:rsid w:val="00B87625"/>
    <w:rsid w:val="00B90003"/>
    <w:rsid w:val="00B93AEC"/>
    <w:rsid w:val="00B9505B"/>
    <w:rsid w:val="00B956E5"/>
    <w:rsid w:val="00B95D48"/>
    <w:rsid w:val="00B96740"/>
    <w:rsid w:val="00BA6CBA"/>
    <w:rsid w:val="00BB2F4C"/>
    <w:rsid w:val="00BC3547"/>
    <w:rsid w:val="00BC5AE5"/>
    <w:rsid w:val="00BC633E"/>
    <w:rsid w:val="00BD36D6"/>
    <w:rsid w:val="00BD4935"/>
    <w:rsid w:val="00BE3E8C"/>
    <w:rsid w:val="00BE4235"/>
    <w:rsid w:val="00BE5326"/>
    <w:rsid w:val="00BE789E"/>
    <w:rsid w:val="00BF5B4B"/>
    <w:rsid w:val="00C033E4"/>
    <w:rsid w:val="00C10010"/>
    <w:rsid w:val="00C20805"/>
    <w:rsid w:val="00C20C80"/>
    <w:rsid w:val="00C218B2"/>
    <w:rsid w:val="00C24765"/>
    <w:rsid w:val="00C26EFD"/>
    <w:rsid w:val="00C328FF"/>
    <w:rsid w:val="00C4229D"/>
    <w:rsid w:val="00C43D91"/>
    <w:rsid w:val="00C4571C"/>
    <w:rsid w:val="00C46CC4"/>
    <w:rsid w:val="00C577F1"/>
    <w:rsid w:val="00C57F68"/>
    <w:rsid w:val="00C66329"/>
    <w:rsid w:val="00C73B50"/>
    <w:rsid w:val="00C75DFA"/>
    <w:rsid w:val="00C83ED4"/>
    <w:rsid w:val="00C93432"/>
    <w:rsid w:val="00C954AF"/>
    <w:rsid w:val="00CA35C8"/>
    <w:rsid w:val="00CA36DA"/>
    <w:rsid w:val="00CA73FB"/>
    <w:rsid w:val="00CC1B7E"/>
    <w:rsid w:val="00CC34FE"/>
    <w:rsid w:val="00CC5F30"/>
    <w:rsid w:val="00CC6D8D"/>
    <w:rsid w:val="00CD1BED"/>
    <w:rsid w:val="00CD254D"/>
    <w:rsid w:val="00CD48D0"/>
    <w:rsid w:val="00CD4EB9"/>
    <w:rsid w:val="00CD5E10"/>
    <w:rsid w:val="00CE0434"/>
    <w:rsid w:val="00CE07EB"/>
    <w:rsid w:val="00CE0ABD"/>
    <w:rsid w:val="00CE1203"/>
    <w:rsid w:val="00CE1234"/>
    <w:rsid w:val="00CE40F2"/>
    <w:rsid w:val="00CF56F9"/>
    <w:rsid w:val="00CF6950"/>
    <w:rsid w:val="00D114E0"/>
    <w:rsid w:val="00D129DD"/>
    <w:rsid w:val="00D23DF7"/>
    <w:rsid w:val="00D2402A"/>
    <w:rsid w:val="00D25371"/>
    <w:rsid w:val="00D310CA"/>
    <w:rsid w:val="00D42A15"/>
    <w:rsid w:val="00D45E6A"/>
    <w:rsid w:val="00D46789"/>
    <w:rsid w:val="00D46E3B"/>
    <w:rsid w:val="00D55B38"/>
    <w:rsid w:val="00D70089"/>
    <w:rsid w:val="00D726C0"/>
    <w:rsid w:val="00D76EBA"/>
    <w:rsid w:val="00D8132E"/>
    <w:rsid w:val="00D855BF"/>
    <w:rsid w:val="00D8674C"/>
    <w:rsid w:val="00D93BF1"/>
    <w:rsid w:val="00D97220"/>
    <w:rsid w:val="00DA7726"/>
    <w:rsid w:val="00DB1356"/>
    <w:rsid w:val="00DB37E9"/>
    <w:rsid w:val="00DB5971"/>
    <w:rsid w:val="00DC042E"/>
    <w:rsid w:val="00DC0F3F"/>
    <w:rsid w:val="00DD6BB7"/>
    <w:rsid w:val="00DD79DB"/>
    <w:rsid w:val="00DE07A9"/>
    <w:rsid w:val="00DE252F"/>
    <w:rsid w:val="00DE42B7"/>
    <w:rsid w:val="00DE4CF0"/>
    <w:rsid w:val="00DE4DE1"/>
    <w:rsid w:val="00DE73C3"/>
    <w:rsid w:val="00DF3625"/>
    <w:rsid w:val="00DF75F0"/>
    <w:rsid w:val="00E12057"/>
    <w:rsid w:val="00E122E3"/>
    <w:rsid w:val="00E2404A"/>
    <w:rsid w:val="00E244A7"/>
    <w:rsid w:val="00E4152B"/>
    <w:rsid w:val="00E43DD3"/>
    <w:rsid w:val="00E43F8D"/>
    <w:rsid w:val="00E57C4D"/>
    <w:rsid w:val="00E57D00"/>
    <w:rsid w:val="00E67FA1"/>
    <w:rsid w:val="00E7429C"/>
    <w:rsid w:val="00E743F7"/>
    <w:rsid w:val="00E75A81"/>
    <w:rsid w:val="00E75D7D"/>
    <w:rsid w:val="00E7668C"/>
    <w:rsid w:val="00E80FD5"/>
    <w:rsid w:val="00E81126"/>
    <w:rsid w:val="00E83A24"/>
    <w:rsid w:val="00E905AF"/>
    <w:rsid w:val="00E92F69"/>
    <w:rsid w:val="00E942D7"/>
    <w:rsid w:val="00E96B5B"/>
    <w:rsid w:val="00EA59C0"/>
    <w:rsid w:val="00EA7327"/>
    <w:rsid w:val="00EB355A"/>
    <w:rsid w:val="00EC29A6"/>
    <w:rsid w:val="00ED072E"/>
    <w:rsid w:val="00ED5595"/>
    <w:rsid w:val="00EE5BE7"/>
    <w:rsid w:val="00EF245C"/>
    <w:rsid w:val="00F040BD"/>
    <w:rsid w:val="00F04434"/>
    <w:rsid w:val="00F0752B"/>
    <w:rsid w:val="00F07BE2"/>
    <w:rsid w:val="00F13E95"/>
    <w:rsid w:val="00F178AC"/>
    <w:rsid w:val="00F21E25"/>
    <w:rsid w:val="00F30CD3"/>
    <w:rsid w:val="00F32F26"/>
    <w:rsid w:val="00F376CC"/>
    <w:rsid w:val="00F53AA0"/>
    <w:rsid w:val="00F616DA"/>
    <w:rsid w:val="00F647C4"/>
    <w:rsid w:val="00F71E1A"/>
    <w:rsid w:val="00F73BD9"/>
    <w:rsid w:val="00F811A2"/>
    <w:rsid w:val="00F831A6"/>
    <w:rsid w:val="00F83EDF"/>
    <w:rsid w:val="00F845F8"/>
    <w:rsid w:val="00F84A83"/>
    <w:rsid w:val="00F9129B"/>
    <w:rsid w:val="00F96DE0"/>
    <w:rsid w:val="00FA28E1"/>
    <w:rsid w:val="00FA3FA9"/>
    <w:rsid w:val="00FA74AB"/>
    <w:rsid w:val="00FB5111"/>
    <w:rsid w:val="00FC05C2"/>
    <w:rsid w:val="00FC153E"/>
    <w:rsid w:val="00FC4A7C"/>
    <w:rsid w:val="00FD0F99"/>
    <w:rsid w:val="00FE42FD"/>
    <w:rsid w:val="00FE479B"/>
    <w:rsid w:val="00FE5616"/>
    <w:rsid w:val="00FE5ABA"/>
    <w:rsid w:val="00FF719D"/>
  </w:rsids>
  <w:docVars>
    <w:docVar w:name="__Grammarly_42___1" w:val="H4sIAAAAAAAEAKtWcslP9kxRslIyNDayMLUwNDQ1NbQ0Njc0tDRR0lEKTi0uzszPAykwNKwFAFrEKZM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5BC956"/>
  <w15:docId w15:val="{B0A8252E-C3B6-4AF1-898E-A2D92B83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73C"/>
    <w:rPr>
      <w:rFonts w:ascii="Book Antiqua" w:hAnsi="Book Antiqua"/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266CCD"/>
    <w:pPr>
      <w:keepNext/>
      <w:spacing w:before="0" w:after="0" w:line="480" w:lineRule="auto"/>
      <w:outlineLvl w:val="0"/>
    </w:pPr>
    <w:rPr>
      <w:rFonts w:ascii="Palatino Linotype" w:hAnsi="Palatino Linotype"/>
      <w:i w:val="0"/>
      <w:iCs w:val="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6CCD"/>
    <w:pPr>
      <w:numPr>
        <w:numId w:val="3"/>
      </w:num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7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6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paragraph" w:styleId="PlainText">
    <w:name w:val="Plain Text"/>
    <w:basedOn w:val="Normal"/>
    <w:link w:val="PlainTextChar"/>
    <w:rsid w:val="00513F8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lainTextChar">
    <w:name w:val="Plain Text Char"/>
    <w:link w:val="PlainText"/>
    <w:rsid w:val="00513F8B"/>
    <w:rPr>
      <w:sz w:val="24"/>
      <w:szCs w:val="24"/>
    </w:rPr>
  </w:style>
  <w:style w:type="character" w:customStyle="1" w:styleId="Heading1Char">
    <w:name w:val="Heading 1 Char"/>
    <w:link w:val="Heading1"/>
    <w:rsid w:val="00266CCD"/>
    <w:rPr>
      <w:rFonts w:ascii="Palatino Linotype" w:hAnsi="Palatino Linotype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266CCD"/>
    <w:rPr>
      <w:rFonts w:ascii="Palatino Linotype" w:hAnsi="Palatino Linotype"/>
      <w:b/>
      <w:i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6CC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6CCD"/>
  </w:style>
  <w:style w:type="paragraph" w:styleId="ListParagraph">
    <w:name w:val="List Paragraph"/>
    <w:basedOn w:val="Normal"/>
    <w:qFormat/>
    <w:rsid w:val="00266CC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266C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unhideWhenUsed/>
    <w:rsid w:val="00266CCD"/>
    <w:rPr>
      <w:rFonts w:ascii="Times New Roman" w:hAnsi="Times New Roman" w:cs="Times New Roman" w:hint="default"/>
      <w:vertAlign w:val="superscript"/>
    </w:rPr>
  </w:style>
  <w:style w:type="character" w:customStyle="1" w:styleId="Heading5Char">
    <w:name w:val="Heading 5 Char"/>
    <w:link w:val="Heading5"/>
    <w:semiHidden/>
    <w:rsid w:val="00266C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7367A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A">
    <w:name w:val="Body A"/>
    <w:rsid w:val="00F075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F0752B"/>
    <w:pPr>
      <w:numPr>
        <w:numId w:val="17"/>
      </w:numPr>
    </w:pPr>
  </w:style>
  <w:style w:type="paragraph" w:styleId="BalloonText">
    <w:name w:val="Balloon Text"/>
    <w:basedOn w:val="Normal"/>
    <w:link w:val="BalloonTextChar"/>
    <w:rsid w:val="007B6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6F9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F38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3806"/>
    <w:rPr>
      <w:rFonts w:ascii="Book Antiqua" w:hAnsi="Book Antiqua"/>
      <w:b/>
      <w:bCs/>
    </w:rPr>
  </w:style>
  <w:style w:type="character" w:customStyle="1" w:styleId="CommentSubjectChar">
    <w:name w:val="Comment Subject Char"/>
    <w:link w:val="CommentSubject"/>
    <w:rsid w:val="009F3806"/>
    <w:rPr>
      <w:rFonts w:ascii="Book Antiqua" w:hAnsi="Book Antiqua"/>
      <w:b/>
      <w:bCs/>
    </w:rPr>
  </w:style>
  <w:style w:type="table" w:styleId="TableGrid">
    <w:name w:val="Table Grid"/>
    <w:basedOn w:val="TableNormal"/>
    <w:rsid w:val="00424E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7C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644F"/>
    <w:rPr>
      <w:rFonts w:ascii="Book Antiqua" w:hAnsi="Book Antiqua"/>
      <w:sz w:val="24"/>
      <w:szCs w:val="24"/>
    </w:rPr>
  </w:style>
  <w:style w:type="paragraph" w:styleId="NoSpacing">
    <w:name w:val="No Spacing"/>
    <w:link w:val="NoSpacingChar"/>
    <w:uiPriority w:val="1"/>
    <w:qFormat/>
    <w:rsid w:val="00B9505B"/>
    <w:rPr>
      <w:rFonts w:ascii="Book Antiqua" w:hAnsi="Book Antiqua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E5967"/>
    <w:rPr>
      <w:rFonts w:ascii="Book Antiqua" w:hAnsi="Book Antiqu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5967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596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opm.gov/policy-data-oversight/pay-leave/salaries-wages/salary-tables/25Tables/pdf/CHI_h.pdf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6AB36F256142BEAA70CE038EB2B9" ma:contentTypeVersion="6" ma:contentTypeDescription="Create a new document." ma:contentTypeScope="" ma:versionID="44f59228a937b3e77c2f468ebc42d729">
  <xsd:schema xmlns:xsd="http://www.w3.org/2001/XMLSchema" xmlns:xs="http://www.w3.org/2001/XMLSchema" xmlns:p="http://schemas.microsoft.com/office/2006/metadata/properties" xmlns:ns2="8d1c8ece-33b9-46d4-a93d-0918b738be16" xmlns:ns3="8a0924c4-7d7f-47f5-a3b4-9f04c4502e41" targetNamespace="http://schemas.microsoft.com/office/2006/metadata/properties" ma:root="true" ma:fieldsID="d55a86429c416a409403d9ed3fdf5a4b" ns2:_="" ns3:_="">
    <xsd:import namespace="8d1c8ece-33b9-46d4-a93d-0918b738be16"/>
    <xsd:import namespace="8a0924c4-7d7f-47f5-a3b4-9f04c4502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8ece-33b9-46d4-a93d-0918b738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24c4-7d7f-47f5-a3b4-9f04c4502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CE267-BCA7-48BA-8E29-905A00E48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2AE57C-71B2-4009-9EE7-A65395EF6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7FC3B-AE50-48C5-B78D-18EB94CC9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c8ece-33b9-46d4-a93d-0918b738be16"/>
    <ds:schemaRef ds:uri="8a0924c4-7d7f-47f5-a3b4-9f04c4502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FOR GRANT APPLICATION</vt:lpstr>
    </vt:vector>
  </TitlesOfParts>
  <Company>DOL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FOR GRANT APPLICATION</dc:title>
  <dc:creator>feehan.richard</dc:creator>
  <cp:lastModifiedBy>Author</cp:lastModifiedBy>
  <cp:revision>2</cp:revision>
  <dcterms:created xsi:type="dcterms:W3CDTF">2025-08-11T18:34:00Z</dcterms:created>
  <dcterms:modified xsi:type="dcterms:W3CDTF">2025-08-11T18:34:00Z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0x010100D2B06AB36F256142BEAA70CE038EB2B9</vt:lpwstr>
  </property>
  <property fmtid="{D5CDD505-2E9C-101B-9397-08002B2CF9AE}" pid="3" name="GrammarlyDocumentId">
    <vt:lpwstr>5e5d7cd8cd1880088567b9287b9d9902924334f5c517fe601545dd64b550d7d5</vt:lpwstr>
  </property>
  <property fmtid="{D5CDD505-2E9C-101B-9397-08002B2CF9AE}" pid="4" name="_NewReviewCycle">
    <vt:lpwstr/>
  </property>
</Properties>
</file>