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6A00" w:rsidRPr="00C16A00" w:rsidP="00285D42" w14:paraId="3C768C21" w14:textId="77777777">
      <w:pPr>
        <w:spacing w:after="240"/>
        <w:jc w:val="center"/>
        <w:outlineLvl w:val="0"/>
        <w:rPr>
          <w:rFonts w:eastAsia="Calibri"/>
          <w:b/>
          <w:sz w:val="28"/>
          <w:szCs w:val="28"/>
        </w:rPr>
      </w:pPr>
      <w:r w:rsidRPr="00C16A00">
        <w:rPr>
          <w:rFonts w:eastAsia="Calibri"/>
          <w:b/>
          <w:sz w:val="28"/>
          <w:szCs w:val="28"/>
        </w:rPr>
        <w:t>Supporting Statement—Part A</w:t>
      </w:r>
    </w:p>
    <w:p w:rsidR="00C16A00" w:rsidRPr="00C16A00" w:rsidP="00285D42" w14:paraId="2AEA9B3E" w14:textId="1E4828D4">
      <w:pPr>
        <w:spacing w:after="240"/>
        <w:jc w:val="center"/>
        <w:rPr>
          <w:rFonts w:eastAsia="Calibri"/>
          <w:b/>
          <w:sz w:val="28"/>
          <w:szCs w:val="28"/>
        </w:rPr>
      </w:pPr>
      <w:r w:rsidRPr="00C16A00">
        <w:rPr>
          <w:rFonts w:eastAsia="Calibri"/>
          <w:b/>
          <w:sz w:val="28"/>
          <w:szCs w:val="28"/>
        </w:rPr>
        <w:t xml:space="preserve">Quality Measures and Administrative Procedures for the </w:t>
      </w:r>
      <w:r w:rsidR="000047F3">
        <w:rPr>
          <w:rFonts w:eastAsia="Calibri"/>
          <w:b/>
          <w:sz w:val="28"/>
          <w:szCs w:val="28"/>
        </w:rPr>
        <w:t xml:space="preserve">Skilled Nursing Facility </w:t>
      </w:r>
      <w:r w:rsidR="009662CA">
        <w:rPr>
          <w:rFonts w:eastAsia="Calibri"/>
          <w:b/>
          <w:sz w:val="28"/>
          <w:szCs w:val="28"/>
        </w:rPr>
        <w:t>Value-Based Purchasing</w:t>
      </w:r>
      <w:r w:rsidRPr="00C16A00">
        <w:rPr>
          <w:rFonts w:eastAsia="Calibri"/>
          <w:b/>
          <w:sz w:val="28"/>
          <w:szCs w:val="28"/>
        </w:rPr>
        <w:t xml:space="preserve"> Program</w:t>
      </w:r>
      <w:r w:rsidR="003D61A0">
        <w:rPr>
          <w:rFonts w:eastAsia="Calibri"/>
          <w:b/>
          <w:sz w:val="28"/>
          <w:szCs w:val="28"/>
        </w:rPr>
        <w:t xml:space="preserve"> and Quality Reporting Program</w:t>
      </w:r>
      <w:r w:rsidRPr="00C16A00">
        <w:rPr>
          <w:rFonts w:eastAsia="Calibri"/>
          <w:b/>
          <w:sz w:val="28"/>
          <w:szCs w:val="28"/>
        </w:rPr>
        <w:t xml:space="preserve"> for the FY </w:t>
      </w:r>
      <w:r w:rsidR="000047F3">
        <w:rPr>
          <w:rFonts w:eastAsia="Calibri"/>
          <w:b/>
          <w:sz w:val="28"/>
          <w:szCs w:val="28"/>
        </w:rPr>
        <w:t>202</w:t>
      </w:r>
      <w:r w:rsidR="00EA5CC5">
        <w:rPr>
          <w:rFonts w:eastAsia="Calibri"/>
          <w:b/>
          <w:sz w:val="28"/>
          <w:szCs w:val="28"/>
        </w:rPr>
        <w:t>5</w:t>
      </w:r>
      <w:r w:rsidRPr="00C16A00">
        <w:rPr>
          <w:rFonts w:eastAsia="Calibri"/>
          <w:b/>
          <w:sz w:val="28"/>
          <w:szCs w:val="28"/>
        </w:rPr>
        <w:t xml:space="preserve"> </w:t>
      </w:r>
      <w:r w:rsidR="000047F3">
        <w:rPr>
          <w:rFonts w:eastAsia="Calibri"/>
          <w:b/>
          <w:sz w:val="28"/>
          <w:szCs w:val="28"/>
        </w:rPr>
        <w:t xml:space="preserve">SNF PPS </w:t>
      </w:r>
      <w:r w:rsidR="00E80A58">
        <w:rPr>
          <w:rFonts w:eastAsia="Calibri"/>
          <w:b/>
          <w:sz w:val="28"/>
          <w:szCs w:val="28"/>
        </w:rPr>
        <w:t xml:space="preserve">Final </w:t>
      </w:r>
      <w:r w:rsidR="000C7FEA">
        <w:rPr>
          <w:rFonts w:eastAsia="Calibri"/>
          <w:b/>
          <w:sz w:val="28"/>
          <w:szCs w:val="28"/>
        </w:rPr>
        <w:t>Rule</w:t>
      </w:r>
      <w:r w:rsidRPr="00C16A00">
        <w:rPr>
          <w:rFonts w:eastAsia="Calibri"/>
          <w:b/>
          <w:sz w:val="28"/>
          <w:szCs w:val="28"/>
        </w:rPr>
        <w:t xml:space="preserve"> </w:t>
      </w:r>
      <w:r w:rsidR="00524AD1">
        <w:rPr>
          <w:rFonts w:eastAsia="Calibri"/>
        </w:rPr>
        <w:br/>
      </w:r>
      <w:r w:rsidRPr="00C16A00">
        <w:rPr>
          <w:rFonts w:eastAsia="Calibri"/>
          <w:b/>
          <w:sz w:val="28"/>
          <w:szCs w:val="28"/>
        </w:rPr>
        <w:t>(CMS-</w:t>
      </w:r>
      <w:r w:rsidR="000235A3">
        <w:rPr>
          <w:rFonts w:eastAsia="Calibri"/>
          <w:b/>
          <w:sz w:val="28"/>
          <w:szCs w:val="28"/>
        </w:rPr>
        <w:t>10895</w:t>
      </w:r>
      <w:r w:rsidR="005942E9">
        <w:rPr>
          <w:rFonts w:eastAsia="Calibri"/>
          <w:b/>
          <w:sz w:val="28"/>
          <w:szCs w:val="28"/>
        </w:rPr>
        <w:t xml:space="preserve">; OMB </w:t>
      </w:r>
      <w:r w:rsidR="003501F4">
        <w:rPr>
          <w:rFonts w:eastAsia="Calibri"/>
          <w:b/>
          <w:sz w:val="28"/>
          <w:szCs w:val="28"/>
        </w:rPr>
        <w:t xml:space="preserve">control number: </w:t>
      </w:r>
      <w:r w:rsidR="005942E9">
        <w:rPr>
          <w:rFonts w:eastAsia="Calibri"/>
          <w:b/>
          <w:sz w:val="28"/>
          <w:szCs w:val="28"/>
        </w:rPr>
        <w:t>0938-</w:t>
      </w:r>
      <w:r w:rsidRPr="00EC29BC" w:rsidR="00EC29BC">
        <w:rPr>
          <w:rFonts w:eastAsia="Calibri"/>
          <w:b/>
          <w:sz w:val="28"/>
          <w:szCs w:val="28"/>
        </w:rPr>
        <w:t>1472</w:t>
      </w:r>
      <w:r w:rsidRPr="00C16A00">
        <w:rPr>
          <w:rFonts w:eastAsia="Calibri"/>
          <w:b/>
          <w:sz w:val="28"/>
          <w:szCs w:val="28"/>
        </w:rPr>
        <w:t>)</w:t>
      </w:r>
    </w:p>
    <w:p w:rsidR="00D26EEF" w:rsidP="00285D42" w14:paraId="1BFF03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6EEF" w:rsidRPr="005D0822" w:rsidP="00285D42" w14:paraId="2138BB2D" w14:textId="6F74429A">
      <w:pPr>
        <w:pStyle w:val="Heading1"/>
      </w:pPr>
      <w:r w:rsidRPr="005D0822">
        <w:t>Background</w:t>
      </w:r>
    </w:p>
    <w:p w:rsidR="009662CA" w:rsidP="000047F3" w14:paraId="00F7A2E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 xml:space="preserve">The Centers for Medicare &amp; Medicaid Services (CMS) is committed to promoting higher quality healthcare and improving outcomes for Medicare beneficiaries. </w:t>
      </w:r>
    </w:p>
    <w:p w:rsidR="005A40B4" w:rsidP="0A985B0B" w14:paraId="10752757" w14:textId="2C1BE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 xml:space="preserve">The Skilled Nursing Facility Value-Based Purchasing (SNF VBP) Program is authorized by section 1888(h) </w:t>
      </w:r>
      <w:r w:rsidR="00A10A97">
        <w:t>of</w:t>
      </w:r>
      <w:r>
        <w:t xml:space="preserve"> the </w:t>
      </w:r>
      <w:r w:rsidR="00D13483">
        <w:t>Social Security</w:t>
      </w:r>
      <w:r>
        <w:t xml:space="preserve"> Act</w:t>
      </w:r>
      <w:r w:rsidR="00D13483">
        <w:t xml:space="preserve"> (</w:t>
      </w:r>
      <w:r w:rsidR="00C44EC4">
        <w:t>the Act)</w:t>
      </w:r>
      <w:r>
        <w:t>, and it applies to freestanding SNFs, SNFs affiliated with acute care facilities, and all non-</w:t>
      </w:r>
      <w:r w:rsidR="002D23A5">
        <w:t>Critical Access Hospital (</w:t>
      </w:r>
      <w:r>
        <w:t>CAH</w:t>
      </w:r>
      <w:r w:rsidR="002D23A5">
        <w:t>)</w:t>
      </w:r>
      <w:r>
        <w:t xml:space="preserve"> swing</w:t>
      </w:r>
      <w:r w:rsidR="00E21BED">
        <w:t>-</w:t>
      </w:r>
      <w:r>
        <w:t xml:space="preserve">bed rural hospitals.  </w:t>
      </w:r>
      <w:r w:rsidR="0087648C">
        <w:t xml:space="preserve">Beginning with payment for services furnished on October 1, 2018, section 1888(h) of the Act requires the Secretary to reduce the adjusted Federal per diem rate determined under section 1888(e)(4)(G) of the Act otherwise applicable to a SNF for services furnished during a fiscal year </w:t>
      </w:r>
      <w:r w:rsidR="0069779D">
        <w:t xml:space="preserve">(FY) </w:t>
      </w:r>
      <w:r w:rsidR="0087648C">
        <w:t xml:space="preserve">by 2 percent, and to adjust the resulting rate for a SNF by the value-based incentive payment amount earned by the SNF based on the SNF’s </w:t>
      </w:r>
      <w:r w:rsidR="00386040">
        <w:t>p</w:t>
      </w:r>
      <w:r w:rsidR="0087648C">
        <w:t xml:space="preserve">erformance </w:t>
      </w:r>
      <w:r w:rsidR="00386040">
        <w:t>s</w:t>
      </w:r>
      <w:r w:rsidR="0087648C">
        <w:t xml:space="preserve">core for that </w:t>
      </w:r>
      <w:r w:rsidR="0069779D">
        <w:t xml:space="preserve">FY </w:t>
      </w:r>
      <w:r w:rsidR="0087648C">
        <w:t xml:space="preserve">under the SNF VBP Program.  </w:t>
      </w:r>
      <w:r>
        <w:t>Through the SNF VBP Program, incentive payments are awarded to SNFs to encourage improvements in the quality of care provided to Medicare beneficiaries.</w:t>
      </w:r>
    </w:p>
    <w:p w:rsidR="00006F80" w:rsidRPr="00767E3E" w:rsidP="70AF4E6E" w14:paraId="287C1E22" w14:textId="03AB4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767E3E">
        <w:t>The Skilled Nursing Facility Quality Reporting Program (</w:t>
      </w:r>
      <w:r w:rsidRPr="00767E3E" w:rsidR="003F5378">
        <w:t xml:space="preserve">SNF </w:t>
      </w:r>
      <w:r w:rsidRPr="00767E3E">
        <w:t>QRP)</w:t>
      </w:r>
      <w:r w:rsidRPr="00767E3E" w:rsidR="00996752">
        <w:t xml:space="preserve"> is </w:t>
      </w:r>
      <w:r w:rsidR="003B4878">
        <w:t>authorized</w:t>
      </w:r>
      <w:r w:rsidRPr="00767E3E" w:rsidR="00996752">
        <w:t xml:space="preserve"> by </w:t>
      </w:r>
      <w:r w:rsidR="00875403">
        <w:t>s</w:t>
      </w:r>
      <w:r w:rsidRPr="00767E3E" w:rsidR="00041CC1">
        <w:t xml:space="preserve">ection 1888(e)(6) </w:t>
      </w:r>
      <w:r w:rsidRPr="00767E3E" w:rsidR="00996752">
        <w:t>of the Act</w:t>
      </w:r>
      <w:r w:rsidRPr="00767E3E" w:rsidR="006F6496">
        <w:t xml:space="preserve">, and it applies to freestanding SNFs, SNFs affiliated with acute care facilities, and all non-CAH swing-bed rural hospitals. </w:t>
      </w:r>
      <w:r w:rsidRPr="00767E3E" w:rsidR="001E6811">
        <w:t xml:space="preserve"> </w:t>
      </w:r>
      <w:r w:rsidRPr="00767E3E" w:rsidR="006F6496">
        <w:t xml:space="preserve">Section 1888(e)(6)(A)(i) of the Act requires the Secretary to reduce </w:t>
      </w:r>
      <w:r w:rsidRPr="00767E3E" w:rsidR="009806AF">
        <w:t xml:space="preserve">by </w:t>
      </w:r>
      <w:r w:rsidR="006C3C04">
        <w:t>2</w:t>
      </w:r>
      <w:r w:rsidR="00E21BED">
        <w:t xml:space="preserve"> </w:t>
      </w:r>
      <w:r w:rsidRPr="00767E3E" w:rsidR="009806AF">
        <w:t>percentage points</w:t>
      </w:r>
      <w:r w:rsidRPr="00767E3E" w:rsidR="00CB0B17">
        <w:t xml:space="preserve"> the otherwise applicable </w:t>
      </w:r>
      <w:r w:rsidR="00E21BED">
        <w:t>A</w:t>
      </w:r>
      <w:r w:rsidRPr="00767E3E" w:rsidR="00CB0B17">
        <w:t xml:space="preserve">nnual </w:t>
      </w:r>
      <w:r w:rsidR="00E21BED">
        <w:t>P</w:t>
      </w:r>
      <w:r w:rsidRPr="00767E3E" w:rsidR="00CB0B17">
        <w:t xml:space="preserve">ayment </w:t>
      </w:r>
      <w:r w:rsidR="00E21BED">
        <w:t>U</w:t>
      </w:r>
      <w:r w:rsidRPr="00767E3E" w:rsidR="00CB0B17">
        <w:t xml:space="preserve">pdate </w:t>
      </w:r>
      <w:r w:rsidR="00E21BED">
        <w:t xml:space="preserve">(APU) </w:t>
      </w:r>
      <w:r w:rsidRPr="00767E3E" w:rsidR="00CB0B17">
        <w:t xml:space="preserve">to a SNF for a </w:t>
      </w:r>
      <w:r w:rsidR="0069779D">
        <w:t>FY</w:t>
      </w:r>
      <w:r w:rsidRPr="00767E3E" w:rsidR="00CB0B17">
        <w:t xml:space="preserve"> if the SNF does not comply with the requirements of</w:t>
      </w:r>
      <w:r w:rsidRPr="00767E3E" w:rsidR="00CB0B17">
        <w:t xml:space="preserve"> </w:t>
      </w:r>
      <w:r w:rsidR="00590F85">
        <w:t xml:space="preserve">the </w:t>
      </w:r>
      <w:r w:rsidRPr="00767E3E" w:rsidR="00CB0B17">
        <w:t xml:space="preserve">SNF QRP for that </w:t>
      </w:r>
      <w:r w:rsidR="0069779D">
        <w:t>FY</w:t>
      </w:r>
      <w:r w:rsidRPr="00767E3E" w:rsidR="006F6496">
        <w:t xml:space="preserve">. </w:t>
      </w:r>
      <w:r w:rsidR="005E3BCD">
        <w:t xml:space="preserve"> </w:t>
      </w:r>
      <w:r w:rsidRPr="00767E3E" w:rsidR="0015173E">
        <w:t xml:space="preserve">Section 1888(e)(6)(B)(i)(II) of the Act requires that each SNF submit data on quality measures specified under section 1899B(c)(1) of the Act and data on resource use and other measures specified under section 1899B(d)(1) of the Act in a manner and within the timeframes specified by the Secretary. </w:t>
      </w:r>
      <w:r w:rsidR="005E3BCD">
        <w:t xml:space="preserve"> </w:t>
      </w:r>
      <w:r w:rsidRPr="00767E3E" w:rsidR="0015173E">
        <w:t>In addition, section 1888(e)(6)(B)(i)(III) of the Act requires, for FYs beginning on or after October 1, 2018, that each SNF submit standardized patient assessment data required under section 1899B(b)(1) of the Act in a manner and within the timeframes specified by the Secretary.</w:t>
      </w:r>
    </w:p>
    <w:p w:rsidR="00C11A19" w:rsidP="482E0CF2" w14:paraId="7004B72F" w14:textId="46AB9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The SNF VBP Program relies on data collection</w:t>
      </w:r>
      <w:r w:rsidR="00BE0EB0">
        <w:t>s</w:t>
      </w:r>
      <w:r>
        <w:t xml:space="preserve"> </w:t>
      </w:r>
      <w:r w:rsidR="00DB750C">
        <w:t>currently approved</w:t>
      </w:r>
      <w:r>
        <w:t xml:space="preserve"> </w:t>
      </w:r>
      <w:r w:rsidR="00DB750C">
        <w:t>under</w:t>
      </w:r>
      <w:r>
        <w:t xml:space="preserve"> OMB control number 0938-1140</w:t>
      </w:r>
      <w:r w:rsidR="00BE0EB0">
        <w:t xml:space="preserve"> (</w:t>
      </w:r>
      <w:r w:rsidR="00096884">
        <w:t>E</w:t>
      </w:r>
      <w:r w:rsidR="00BE0EB0">
        <w:t xml:space="preserve">xpiration date </w:t>
      </w:r>
      <w:r w:rsidR="00DB750C">
        <w:t xml:space="preserve">November 30, 2024) for </w:t>
      </w:r>
      <w:r w:rsidR="00B442DA">
        <w:t xml:space="preserve">the </w:t>
      </w:r>
      <w:r w:rsidR="00DB750C">
        <w:t>SNF QRP</w:t>
      </w:r>
      <w:r>
        <w:t xml:space="preserve"> to administer its requirements.  </w:t>
      </w:r>
      <w:r w:rsidR="00254EA2">
        <w:t xml:space="preserve">In addition, </w:t>
      </w:r>
      <w:r w:rsidR="00B442DA">
        <w:t xml:space="preserve">the </w:t>
      </w:r>
      <w:r w:rsidRPr="00767E3E">
        <w:t xml:space="preserve">SNF QRP relies on data </w:t>
      </w:r>
      <w:r w:rsidR="009A13DE">
        <w:t>collected via the Centers for Disease Control and Prevention’s (CDC) National Healthcare Safety Network (NHSN)</w:t>
      </w:r>
      <w:r w:rsidR="0071599F">
        <w:t>,</w:t>
      </w:r>
      <w:r w:rsidRPr="00767E3E">
        <w:t xml:space="preserve"> </w:t>
      </w:r>
      <w:r w:rsidR="00DB750C">
        <w:t xml:space="preserve">currently approved </w:t>
      </w:r>
      <w:r w:rsidR="00367888">
        <w:t xml:space="preserve">under </w:t>
      </w:r>
      <w:r w:rsidRPr="00767E3E">
        <w:t>OMB control number 0920-1317</w:t>
      </w:r>
      <w:r w:rsidR="00367888">
        <w:t xml:space="preserve"> (</w:t>
      </w:r>
      <w:r w:rsidR="00096884">
        <w:t>E</w:t>
      </w:r>
      <w:r w:rsidR="00367888">
        <w:t xml:space="preserve">xpiration date </w:t>
      </w:r>
      <w:r w:rsidR="00427D47">
        <w:t>March 31, 2026)</w:t>
      </w:r>
      <w:r w:rsidR="00B442DA">
        <w:t>.</w:t>
      </w:r>
    </w:p>
    <w:p w:rsidR="00E539CA" w:rsidP="005A40B4" w14:paraId="1442711F" w14:textId="3EA789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767E3E">
        <w:t xml:space="preserve">For the FY 2027 </w:t>
      </w:r>
      <w:r w:rsidR="007171E0">
        <w:t>program year</w:t>
      </w:r>
      <w:r w:rsidRPr="00767E3E">
        <w:t xml:space="preserve">, </w:t>
      </w:r>
      <w:r w:rsidR="005A40B4">
        <w:t xml:space="preserve">the SNF VBP Program will assess participating SNFs on improvement and achievement across measures </w:t>
      </w:r>
      <w:r w:rsidR="00EC434D">
        <w:t>that utilize</w:t>
      </w:r>
      <w:r w:rsidR="005A40B4">
        <w:t xml:space="preserve"> </w:t>
      </w:r>
      <w:r w:rsidR="00F70C81">
        <w:t xml:space="preserve">Medicare </w:t>
      </w:r>
      <w:r w:rsidR="00CD5BE8">
        <w:t>Fee-for-Service (</w:t>
      </w:r>
      <w:r w:rsidR="00EE4CD9">
        <w:t>FFS</w:t>
      </w:r>
      <w:r w:rsidR="00CD5BE8">
        <w:t>)</w:t>
      </w:r>
      <w:r w:rsidR="00EE4CD9">
        <w:t xml:space="preserve"> claims data</w:t>
      </w:r>
      <w:r w:rsidR="005A40B4">
        <w:t xml:space="preserve">, Payroll-Based Journal (PBJ) data, and </w:t>
      </w:r>
      <w:r w:rsidRPr="00767E3E" w:rsidR="00096DB5">
        <w:t>Minimum Data Set</w:t>
      </w:r>
      <w:r w:rsidR="00096DB5">
        <w:t xml:space="preserve"> (</w:t>
      </w:r>
      <w:r w:rsidR="005A40B4">
        <w:t>MDS</w:t>
      </w:r>
      <w:r w:rsidR="00096DB5">
        <w:t>)</w:t>
      </w:r>
      <w:r w:rsidR="005A40B4">
        <w:t xml:space="preserve"> data. </w:t>
      </w:r>
      <w:r w:rsidR="005E3BCD">
        <w:t xml:space="preserve"> </w:t>
      </w:r>
      <w:r w:rsidR="00CA1469">
        <w:t xml:space="preserve">For the FY </w:t>
      </w:r>
      <w:r w:rsidR="00CA1469">
        <w:t xml:space="preserve">2027 </w:t>
      </w:r>
      <w:r w:rsidR="00EA2E1D">
        <w:t>program year, t</w:t>
      </w:r>
      <w:r w:rsidRPr="00767E3E" w:rsidR="00AF0225">
        <w:t xml:space="preserve">he SNF QRP </w:t>
      </w:r>
      <w:r w:rsidRPr="00767E3E" w:rsidR="00D457B5">
        <w:t>will require</w:t>
      </w:r>
      <w:r w:rsidRPr="00767E3E" w:rsidR="00AF0225">
        <w:t xml:space="preserve"> participating SNFs to </w:t>
      </w:r>
      <w:r w:rsidRPr="00767E3E" w:rsidR="00DD57BC">
        <w:t xml:space="preserve">report </w:t>
      </w:r>
      <w:r w:rsidRPr="00767E3E" w:rsidR="00FA028B">
        <w:t xml:space="preserve">on measures </w:t>
      </w:r>
      <w:r w:rsidR="00EC434D">
        <w:t>that utilize</w:t>
      </w:r>
      <w:r w:rsidRPr="00767E3E" w:rsidR="00FA028B">
        <w:t xml:space="preserve"> </w:t>
      </w:r>
      <w:r w:rsidR="009E52D6">
        <w:t xml:space="preserve">Medicare FFS </w:t>
      </w:r>
      <w:r w:rsidRPr="00767E3E" w:rsidR="00FA028B">
        <w:t>claims data</w:t>
      </w:r>
      <w:r w:rsidR="00A81AA4">
        <w:t>,</w:t>
      </w:r>
      <w:r w:rsidR="009E52D6">
        <w:t xml:space="preserve"> </w:t>
      </w:r>
      <w:r w:rsidRPr="00767E3E" w:rsidR="00FA028B">
        <w:t>NHSN data, and MDS</w:t>
      </w:r>
      <w:r w:rsidR="00096DB5">
        <w:t xml:space="preserve"> </w:t>
      </w:r>
      <w:r w:rsidRPr="00767E3E" w:rsidR="00FA028B">
        <w:t>data.</w:t>
      </w:r>
      <w:r w:rsidR="00FA028B">
        <w:t xml:space="preserve"> </w:t>
      </w:r>
      <w:r w:rsidR="00D903A4">
        <w:t xml:space="preserve"> </w:t>
      </w:r>
    </w:p>
    <w:p w:rsidR="007768B0" w:rsidP="00FE777E" w14:paraId="02FB3C52" w14:textId="3C59DD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C34D90">
        <w:t>Section 1888(h)(12)</w:t>
      </w:r>
      <w:r>
        <w:t>(A</w:t>
      </w:r>
      <w:r w:rsidRPr="00C34D90">
        <w:t xml:space="preserve">) of the Act (as added by section 111(a)(4) of </w:t>
      </w:r>
      <w:r>
        <w:t>Division CC of</w:t>
      </w:r>
      <w:r w:rsidRPr="00C34D90">
        <w:t xml:space="preserve"> the Consolidated Appropriations Act, 2021 (Pub. L. 116–</w:t>
      </w:r>
      <w:r>
        <w:t>260</w:t>
      </w:r>
      <w:r w:rsidRPr="00C34D90">
        <w:t>)), requires the Secretary to apply a process to validate data</w:t>
      </w:r>
      <w:r>
        <w:t xml:space="preserve"> submitted under the SNF VBP </w:t>
      </w:r>
      <w:r w:rsidR="002072B9">
        <w:t xml:space="preserve">Program </w:t>
      </w:r>
      <w:r>
        <w:t xml:space="preserve">and </w:t>
      </w:r>
      <w:r w:rsidR="002072B9">
        <w:t xml:space="preserve">the </w:t>
      </w:r>
      <w:r>
        <w:t>SNF QRP</w:t>
      </w:r>
      <w:r w:rsidRPr="00C34D90">
        <w:t>.</w:t>
      </w:r>
    </w:p>
    <w:p w:rsidR="00A171E0" w:rsidP="0A985B0B" w14:paraId="59440526" w14:textId="7A260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 xml:space="preserve">For the SNF VBP Program, the FY 2027 </w:t>
      </w:r>
      <w:r w:rsidR="002C657E">
        <w:t>program year</w:t>
      </w:r>
      <w:r w:rsidR="002A737C">
        <w:t xml:space="preserve"> </w:t>
      </w:r>
      <w:r>
        <w:t xml:space="preserve">will be the first year </w:t>
      </w:r>
      <w:r w:rsidR="00E91B02">
        <w:t>to account for MDS-based measures</w:t>
      </w:r>
      <w:r w:rsidR="002A737C">
        <w:t xml:space="preserve"> </w:t>
      </w:r>
      <w:r w:rsidR="00F902B3">
        <w:t>based on data from the FY 2025 performance period</w:t>
      </w:r>
      <w:r w:rsidR="00E91B02">
        <w:t xml:space="preserve">. </w:t>
      </w:r>
      <w:r w:rsidR="00D903A4">
        <w:t xml:space="preserve"> </w:t>
      </w:r>
      <w:r w:rsidR="00982557">
        <w:t xml:space="preserve">To comply with </w:t>
      </w:r>
      <w:r w:rsidR="00875403">
        <w:t>s</w:t>
      </w:r>
      <w:r w:rsidR="00982557">
        <w:t xml:space="preserve">ection </w:t>
      </w:r>
      <w:r>
        <w:t>1888(</w:t>
      </w:r>
      <w:r w:rsidR="00982557">
        <w:t>h)(12)(A) of the Act</w:t>
      </w:r>
      <w:r w:rsidR="00E91B02">
        <w:t xml:space="preserve">, </w:t>
      </w:r>
      <w:r w:rsidR="00A82B85">
        <w:t xml:space="preserve">in the FY </w:t>
      </w:r>
      <w:r w:rsidRPr="00767E3E" w:rsidR="00A82B85">
        <w:t>2024 SNF PPS final rule</w:t>
      </w:r>
      <w:r w:rsidR="001B696A">
        <w:t xml:space="preserve"> (88 FR 53325)</w:t>
      </w:r>
      <w:r w:rsidR="00A82B85">
        <w:t xml:space="preserve">, </w:t>
      </w:r>
      <w:r w:rsidR="00B55DD2">
        <w:t>CMS</w:t>
      </w:r>
      <w:r w:rsidRPr="00767E3E" w:rsidR="00447FCE">
        <w:t xml:space="preserve"> finalized</w:t>
      </w:r>
      <w:r w:rsidR="00B55DD2">
        <w:t xml:space="preserve"> for the SNF VBP Program</w:t>
      </w:r>
      <w:r w:rsidR="005D5113">
        <w:t xml:space="preserve"> </w:t>
      </w:r>
      <w:r w:rsidRPr="00767E3E" w:rsidR="00447FCE">
        <w:t>the initial components of a validation process for MDS-based measures</w:t>
      </w:r>
      <w:r w:rsidR="003B1E19">
        <w:t xml:space="preserve"> </w:t>
      </w:r>
      <w:r w:rsidR="007119FB">
        <w:t>to start</w:t>
      </w:r>
      <w:r w:rsidR="003576CF">
        <w:t xml:space="preserve"> beginning with the FY 2027 program year</w:t>
      </w:r>
      <w:r w:rsidRPr="00767E3E" w:rsidR="00447FCE">
        <w:t xml:space="preserve">. </w:t>
      </w:r>
      <w:r w:rsidRPr="00767E3E" w:rsidR="001F04D7">
        <w:t xml:space="preserve"> </w:t>
      </w:r>
    </w:p>
    <w:p w:rsidR="00477FA4" w:rsidP="7549F579" w14:paraId="31175533" w14:textId="44B85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To comply</w:t>
      </w:r>
      <w:r w:rsidRPr="00767E3E" w:rsidR="00E4287B">
        <w:t xml:space="preserve"> </w:t>
      </w:r>
      <w:r w:rsidR="00F502DA">
        <w:t xml:space="preserve">with </w:t>
      </w:r>
      <w:r w:rsidR="00875403">
        <w:t>s</w:t>
      </w:r>
      <w:r w:rsidRPr="00C34D90" w:rsidR="00F502DA">
        <w:t>ection 1888(h)(12)</w:t>
      </w:r>
      <w:r w:rsidR="00F502DA">
        <w:t>(A</w:t>
      </w:r>
      <w:r w:rsidRPr="00C34D90" w:rsidR="00F502DA">
        <w:t>) of the Act</w:t>
      </w:r>
      <w:r w:rsidR="00F502DA">
        <w:t xml:space="preserve">, </w:t>
      </w:r>
      <w:r w:rsidR="00BA2302">
        <w:t>CMS</w:t>
      </w:r>
      <w:r w:rsidR="00F502DA">
        <w:t xml:space="preserve"> </w:t>
      </w:r>
      <w:r w:rsidR="001F4246">
        <w:t>finalized</w:t>
      </w:r>
      <w:r w:rsidRPr="00767E3E" w:rsidR="001F4246">
        <w:t xml:space="preserve"> </w:t>
      </w:r>
      <w:r w:rsidR="00552AFF">
        <w:t>in the FY 2025 SNF</w:t>
      </w:r>
      <w:r w:rsidR="00C635F2">
        <w:t xml:space="preserve"> PPS </w:t>
      </w:r>
      <w:r w:rsidR="00E80A58">
        <w:t xml:space="preserve">final </w:t>
      </w:r>
      <w:r w:rsidR="00C635F2">
        <w:t xml:space="preserve">rule </w:t>
      </w:r>
      <w:r w:rsidR="001B696A">
        <w:t xml:space="preserve">(89 FR </w:t>
      </w:r>
      <w:r w:rsidR="00D1140E">
        <w:t>64118 through 641</w:t>
      </w:r>
      <w:r w:rsidR="0030043E">
        <w:t>22</w:t>
      </w:r>
      <w:r w:rsidR="001B696A">
        <w:t xml:space="preserve">) </w:t>
      </w:r>
      <w:r w:rsidR="00BB71F1">
        <w:t>that SNFs participating in the</w:t>
      </w:r>
      <w:r w:rsidR="00BA2302">
        <w:t xml:space="preserve"> SNF QRP </w:t>
      </w:r>
      <w:r w:rsidR="00BB71F1">
        <w:t>will be required to</w:t>
      </w:r>
      <w:r w:rsidRPr="00767E3E" w:rsidR="00BB71F1">
        <w:t xml:space="preserve"> </w:t>
      </w:r>
      <w:r w:rsidR="00BA2302">
        <w:t xml:space="preserve">participate in </w:t>
      </w:r>
      <w:r w:rsidR="0021647C">
        <w:t xml:space="preserve">the </w:t>
      </w:r>
      <w:r w:rsidR="00B05EEC">
        <w:t xml:space="preserve">SNF </w:t>
      </w:r>
      <w:r w:rsidR="0021647C">
        <w:t>MDS validation process</w:t>
      </w:r>
      <w:r w:rsidR="001F765E">
        <w:t xml:space="preserve"> </w:t>
      </w:r>
      <w:r w:rsidR="00394E52">
        <w:t>beginning with</w:t>
      </w:r>
      <w:r w:rsidRPr="00767E3E" w:rsidR="00394E52">
        <w:t xml:space="preserve"> </w:t>
      </w:r>
      <w:r w:rsidRPr="00767E3E" w:rsidR="00251F1A">
        <w:t xml:space="preserve">the FY 2027 </w:t>
      </w:r>
      <w:r w:rsidR="00BB71F1">
        <w:t>SNF QRP</w:t>
      </w:r>
      <w:r w:rsidR="006072E4">
        <w:t xml:space="preserve">. </w:t>
      </w:r>
      <w:r w:rsidR="00F17E47">
        <w:t xml:space="preserve"> </w:t>
      </w:r>
      <w:r w:rsidR="00CA2DDE">
        <w:t xml:space="preserve">In addition, CMS finalized </w:t>
      </w:r>
      <w:r w:rsidR="0032629B">
        <w:t xml:space="preserve">a policy to reduce a SNF’s </w:t>
      </w:r>
      <w:r w:rsidR="002E7D2C">
        <w:t>otherwise applicable annual market basket percentage update by</w:t>
      </w:r>
      <w:r w:rsidR="00CA2DDE">
        <w:t xml:space="preserve"> 2 percentage point</w:t>
      </w:r>
      <w:r w:rsidR="00FD4710">
        <w:t>s</w:t>
      </w:r>
      <w:r w:rsidR="00CA2DDE">
        <w:t xml:space="preserve"> </w:t>
      </w:r>
      <w:r w:rsidR="00EF0A3C">
        <w:t>if the</w:t>
      </w:r>
      <w:r w:rsidR="00CA2DDE">
        <w:t xml:space="preserve"> SNF fail</w:t>
      </w:r>
      <w:r w:rsidR="00EF0A3C">
        <w:t>s</w:t>
      </w:r>
      <w:r w:rsidR="00CA2DDE">
        <w:t xml:space="preserve"> to submit the required medical records.</w:t>
      </w:r>
    </w:p>
    <w:p w:rsidR="009073D8" w:rsidRPr="00E91B02" w:rsidP="00FE777E" w14:paraId="721C49BC" w14:textId="287E1F5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rPr>
          <w:i/>
          <w:iCs/>
        </w:rPr>
      </w:pPr>
      <w:r w:rsidRPr="00767E3E">
        <w:t>The collection</w:t>
      </w:r>
      <w:r w:rsidRPr="00767E3E" w:rsidR="001F04D7">
        <w:t xml:space="preserve"> of information for validation is necessary to ensure that the </w:t>
      </w:r>
      <w:r w:rsidR="001E7843">
        <w:t xml:space="preserve">data utilized in the </w:t>
      </w:r>
      <w:r w:rsidRPr="00767E3E" w:rsidR="001F04D7">
        <w:t xml:space="preserve">SNF </w:t>
      </w:r>
      <w:r w:rsidR="00B05EEC">
        <w:t>VBP</w:t>
      </w:r>
      <w:r w:rsidRPr="00767E3E" w:rsidR="001F04D7">
        <w:t xml:space="preserve"> </w:t>
      </w:r>
      <w:r w:rsidR="00852FCE">
        <w:t xml:space="preserve">Program </w:t>
      </w:r>
      <w:r w:rsidRPr="00767E3E" w:rsidR="001F04D7">
        <w:t xml:space="preserve">and the SNF </w:t>
      </w:r>
      <w:r w:rsidR="00B05EEC">
        <w:t>QRP</w:t>
      </w:r>
      <w:r w:rsidRPr="00767E3E" w:rsidR="001F04D7">
        <w:t xml:space="preserve"> are a</w:t>
      </w:r>
      <w:r w:rsidR="001E7843">
        <w:t>ccurate</w:t>
      </w:r>
      <w:r w:rsidRPr="00767E3E" w:rsidR="0058162E">
        <w:t>.</w:t>
      </w:r>
    </w:p>
    <w:p w:rsidR="00965426" w:rsidRPr="00C879D0" w:rsidP="00111EE7" w14:paraId="43B59C69" w14:textId="747FDADC">
      <w:pPr>
        <w:pStyle w:val="Heading2"/>
      </w:pPr>
      <w:r>
        <w:t xml:space="preserve">SNF </w:t>
      </w:r>
      <w:r w:rsidR="00316ABA">
        <w:t xml:space="preserve">VBP </w:t>
      </w:r>
      <w:r w:rsidR="009662CA">
        <w:t>and</w:t>
      </w:r>
      <w:r w:rsidR="00A05A70">
        <w:t xml:space="preserve"> SNF</w:t>
      </w:r>
      <w:r w:rsidR="009662CA">
        <w:t xml:space="preserve"> </w:t>
      </w:r>
      <w:r w:rsidR="00316ABA">
        <w:t>QRP</w:t>
      </w:r>
      <w:r w:rsidRPr="00C879D0" w:rsidR="00316ABA">
        <w:t xml:space="preserve"> </w:t>
      </w:r>
      <w:r w:rsidRPr="00C879D0" w:rsidR="00C16A00">
        <w:t>Quality Measures</w:t>
      </w:r>
    </w:p>
    <w:p w:rsidR="00F93268" w:rsidP="00111EE7" w14:paraId="3C347000" w14:textId="77777777">
      <w:pPr>
        <w:pStyle w:val="Heading3"/>
      </w:pPr>
      <w:r>
        <w:t>Introduction</w:t>
      </w:r>
    </w:p>
    <w:p w:rsidR="00F93268" w:rsidRPr="00F93268" w:rsidP="00BA23A1" w14:paraId="7EEECB65" w14:textId="0E311BA9">
      <w:r>
        <w:tab/>
      </w:r>
      <w:r w:rsidRPr="00B44D35">
        <w:t>Because the SNF VBP Program and</w:t>
      </w:r>
      <w:r w:rsidRPr="00B44D35">
        <w:t xml:space="preserve"> </w:t>
      </w:r>
      <w:r w:rsidRPr="00B44D35">
        <w:t>the SNF QRP are programs that may impact payment, they must ensure the accuracy of MDS data submissions and, therefore, must collect information to verify data submissions.  To reduce burden, a variety of different data collection mechanisms are employed with every consideration taken to utilize data and data collection systems already in place.  Strategies that we leverage to reduce burden include</w:t>
      </w:r>
      <w:r w:rsidRPr="00B44D35">
        <w:t>:  (</w:t>
      </w:r>
      <w:r w:rsidRPr="00B44D35">
        <w:t>1) simplifying collection and submission requirements, (2) improving MDS comprehension through resources such as standardized instructions, and (3) enhancing communication, navigation, and outreach through efforts such as our dedicated help desks.</w:t>
      </w:r>
      <w:r>
        <w:rPr>
          <w:rStyle w:val="FootnoteReference"/>
        </w:rPr>
        <w:footnoteReference w:id="3"/>
      </w:r>
    </w:p>
    <w:p w:rsidR="00AA7F02" w:rsidP="00111EE7" w14:paraId="4CAB6F88" w14:textId="04B03B69">
      <w:pPr>
        <w:pStyle w:val="Heading3"/>
      </w:pPr>
      <w:r>
        <w:t>Measures</w:t>
      </w:r>
    </w:p>
    <w:p w:rsidR="00982A3E" w:rsidP="00285D42" w14:paraId="131CCBA5" w14:textId="040C8E81">
      <w:pPr>
        <w:ind w:firstLine="432"/>
        <w:rPr>
          <w:szCs w:val="20"/>
        </w:rPr>
      </w:pPr>
      <w:r>
        <w:rPr>
          <w:szCs w:val="20"/>
        </w:rPr>
        <w:t>For the FY 202</w:t>
      </w:r>
      <w:r w:rsidR="00E65357">
        <w:rPr>
          <w:szCs w:val="20"/>
        </w:rPr>
        <w:t>7</w:t>
      </w:r>
      <w:r>
        <w:rPr>
          <w:szCs w:val="20"/>
        </w:rPr>
        <w:t xml:space="preserve"> </w:t>
      </w:r>
      <w:r w:rsidR="00E65357">
        <w:rPr>
          <w:szCs w:val="20"/>
        </w:rPr>
        <w:t>program year</w:t>
      </w:r>
      <w:r>
        <w:rPr>
          <w:szCs w:val="20"/>
        </w:rPr>
        <w:t xml:space="preserve">, </w:t>
      </w:r>
      <w:r w:rsidR="0021732F">
        <w:rPr>
          <w:szCs w:val="20"/>
        </w:rPr>
        <w:t xml:space="preserve">the SNF VBP Program </w:t>
      </w:r>
      <w:r w:rsidR="006A621A">
        <w:rPr>
          <w:szCs w:val="20"/>
        </w:rPr>
        <w:t xml:space="preserve">will </w:t>
      </w:r>
      <w:r w:rsidR="004D121E">
        <w:rPr>
          <w:szCs w:val="20"/>
        </w:rPr>
        <w:t>measure performance across</w:t>
      </w:r>
      <w:r w:rsidR="00B85BDD">
        <w:rPr>
          <w:szCs w:val="20"/>
        </w:rPr>
        <w:t xml:space="preserve"> </w:t>
      </w:r>
      <w:r w:rsidR="008562FA">
        <w:rPr>
          <w:szCs w:val="20"/>
        </w:rPr>
        <w:t xml:space="preserve">eight </w:t>
      </w:r>
      <w:r w:rsidR="00B735D5">
        <w:rPr>
          <w:szCs w:val="20"/>
        </w:rPr>
        <w:t>measures, which were finalized in previous rulemaking.</w:t>
      </w:r>
      <w:r w:rsidR="00C86848">
        <w:rPr>
          <w:szCs w:val="20"/>
        </w:rPr>
        <w:t xml:space="preserve"> </w:t>
      </w:r>
      <w:r w:rsidR="00B735D5">
        <w:rPr>
          <w:szCs w:val="20"/>
        </w:rPr>
        <w:t xml:space="preserve"> </w:t>
      </w:r>
      <w:r w:rsidR="006C549B">
        <w:rPr>
          <w:szCs w:val="20"/>
        </w:rPr>
        <w:t>Four of those measures</w:t>
      </w:r>
      <w:r w:rsidR="00BA5D4E">
        <w:rPr>
          <w:szCs w:val="20"/>
        </w:rPr>
        <w:t xml:space="preserve"> utilize</w:t>
      </w:r>
      <w:r w:rsidR="00BF4E17">
        <w:rPr>
          <w:szCs w:val="20"/>
        </w:rPr>
        <w:t xml:space="preserve"> Medicare FFS claims data, </w:t>
      </w:r>
      <w:r w:rsidR="00D812F9">
        <w:rPr>
          <w:szCs w:val="20"/>
        </w:rPr>
        <w:t xml:space="preserve">two </w:t>
      </w:r>
      <w:r w:rsidR="006612E3">
        <w:rPr>
          <w:szCs w:val="20"/>
        </w:rPr>
        <w:t xml:space="preserve">measures </w:t>
      </w:r>
      <w:r w:rsidR="00BA5D4E">
        <w:rPr>
          <w:szCs w:val="20"/>
        </w:rPr>
        <w:t>utilize</w:t>
      </w:r>
      <w:r w:rsidR="006612E3">
        <w:rPr>
          <w:szCs w:val="20"/>
        </w:rPr>
        <w:t xml:space="preserve"> PBJ data, and two measures </w:t>
      </w:r>
      <w:r w:rsidR="00BA5D4E">
        <w:rPr>
          <w:szCs w:val="20"/>
        </w:rPr>
        <w:t>utilize</w:t>
      </w:r>
      <w:r w:rsidR="006612E3">
        <w:rPr>
          <w:szCs w:val="20"/>
        </w:rPr>
        <w:t xml:space="preserve"> MDS data. </w:t>
      </w:r>
      <w:r w:rsidR="00C86848">
        <w:rPr>
          <w:szCs w:val="20"/>
        </w:rPr>
        <w:t xml:space="preserve"> </w:t>
      </w:r>
      <w:r w:rsidR="003B3C95">
        <w:rPr>
          <w:szCs w:val="20"/>
        </w:rPr>
        <w:t xml:space="preserve">The SNF VBP measures based on MDS data </w:t>
      </w:r>
      <w:r w:rsidR="001475D0">
        <w:rPr>
          <w:szCs w:val="20"/>
        </w:rPr>
        <w:t>include</w:t>
      </w:r>
      <w:r w:rsidR="00AD4EC9">
        <w:rPr>
          <w:szCs w:val="20"/>
        </w:rPr>
        <w:t xml:space="preserve">: </w:t>
      </w:r>
      <w:r w:rsidR="0065423E">
        <w:rPr>
          <w:szCs w:val="20"/>
        </w:rPr>
        <w:t xml:space="preserve"> </w:t>
      </w:r>
      <w:r w:rsidR="00AD4EC9">
        <w:rPr>
          <w:szCs w:val="20"/>
        </w:rPr>
        <w:t>(</w:t>
      </w:r>
      <w:r w:rsidR="00AD4EC9">
        <w:rPr>
          <w:szCs w:val="20"/>
        </w:rPr>
        <w:t>1) D</w:t>
      </w:r>
      <w:r w:rsidR="00C62B2B">
        <w:rPr>
          <w:szCs w:val="20"/>
        </w:rPr>
        <w:t>ischarge</w:t>
      </w:r>
      <w:r w:rsidR="00AD4EC9">
        <w:rPr>
          <w:szCs w:val="20"/>
        </w:rPr>
        <w:t xml:space="preserve"> Function </w:t>
      </w:r>
      <w:r w:rsidR="004617BD">
        <w:rPr>
          <w:szCs w:val="20"/>
        </w:rPr>
        <w:t xml:space="preserve">Score for SNFs </w:t>
      </w:r>
      <w:r w:rsidR="00F7205E">
        <w:rPr>
          <w:szCs w:val="20"/>
        </w:rPr>
        <w:t xml:space="preserve">(DC Function) </w:t>
      </w:r>
      <w:r w:rsidR="00AD4EC9">
        <w:rPr>
          <w:szCs w:val="20"/>
        </w:rPr>
        <w:t xml:space="preserve">measure, and (2) </w:t>
      </w:r>
      <w:r w:rsidR="004617BD">
        <w:rPr>
          <w:szCs w:val="20"/>
        </w:rPr>
        <w:t xml:space="preserve">Percent of Residents Experiencing One or More </w:t>
      </w:r>
      <w:r w:rsidR="00AD4EC9">
        <w:rPr>
          <w:szCs w:val="20"/>
        </w:rPr>
        <w:t xml:space="preserve">Falls with Major Injury (Long-Stay) </w:t>
      </w:r>
      <w:r w:rsidR="00F7205E">
        <w:rPr>
          <w:szCs w:val="20"/>
        </w:rPr>
        <w:t>(Falls with Major Injury (Long-Stay)</w:t>
      </w:r>
      <w:r w:rsidR="008B37E5">
        <w:rPr>
          <w:szCs w:val="20"/>
        </w:rPr>
        <w:t>)</w:t>
      </w:r>
      <w:r w:rsidR="00AD4EC9">
        <w:rPr>
          <w:szCs w:val="20"/>
        </w:rPr>
        <w:t xml:space="preserve"> measure. </w:t>
      </w:r>
      <w:r w:rsidR="00C86848">
        <w:rPr>
          <w:szCs w:val="20"/>
        </w:rPr>
        <w:t xml:space="preserve"> </w:t>
      </w:r>
      <w:r w:rsidR="00246CB4">
        <w:rPr>
          <w:szCs w:val="20"/>
        </w:rPr>
        <w:t xml:space="preserve">This information collection request is limited to MDS data since the MDS </w:t>
      </w:r>
      <w:r w:rsidR="0047610D">
        <w:rPr>
          <w:szCs w:val="20"/>
        </w:rPr>
        <w:t xml:space="preserve">validation process </w:t>
      </w:r>
      <w:r w:rsidR="003A6A18">
        <w:rPr>
          <w:szCs w:val="20"/>
        </w:rPr>
        <w:t xml:space="preserve">is the only new validation process and thus </w:t>
      </w:r>
      <w:r w:rsidR="00246CB4">
        <w:rPr>
          <w:szCs w:val="20"/>
        </w:rPr>
        <w:t>w</w:t>
      </w:r>
      <w:r w:rsidR="00934159">
        <w:rPr>
          <w:szCs w:val="20"/>
        </w:rPr>
        <w:t>ill</w:t>
      </w:r>
      <w:r w:rsidR="00246CB4">
        <w:rPr>
          <w:szCs w:val="20"/>
        </w:rPr>
        <w:t xml:space="preserve"> be</w:t>
      </w:r>
      <w:r w:rsidR="0018355F">
        <w:rPr>
          <w:szCs w:val="20"/>
        </w:rPr>
        <w:t xml:space="preserve"> the only new burden</w:t>
      </w:r>
      <w:r w:rsidR="00871BE9">
        <w:rPr>
          <w:szCs w:val="20"/>
        </w:rPr>
        <w:t xml:space="preserve"> </w:t>
      </w:r>
      <w:r w:rsidR="00317EBE">
        <w:rPr>
          <w:szCs w:val="20"/>
        </w:rPr>
        <w:t xml:space="preserve">placed </w:t>
      </w:r>
      <w:r w:rsidR="00A25F33">
        <w:rPr>
          <w:szCs w:val="20"/>
        </w:rPr>
        <w:t>on SNFs</w:t>
      </w:r>
      <w:r w:rsidR="0047610D">
        <w:rPr>
          <w:szCs w:val="20"/>
        </w:rPr>
        <w:t>.</w:t>
      </w:r>
    </w:p>
    <w:p w:rsidR="00C751D3" w:rsidP="00C751D3" w14:paraId="136BF979" w14:textId="0E593E6F">
      <w:pPr>
        <w:ind w:firstLine="432"/>
        <w:rPr>
          <w:szCs w:val="20"/>
        </w:rPr>
      </w:pPr>
      <w:r>
        <w:rPr>
          <w:szCs w:val="20"/>
        </w:rPr>
        <w:t>The</w:t>
      </w:r>
      <w:r>
        <w:rPr>
          <w:szCs w:val="20"/>
        </w:rPr>
        <w:t xml:space="preserve"> SNF QRP </w:t>
      </w:r>
      <w:r>
        <w:rPr>
          <w:szCs w:val="20"/>
        </w:rPr>
        <w:t xml:space="preserve">currently </w:t>
      </w:r>
      <w:r w:rsidR="003401CD">
        <w:rPr>
          <w:szCs w:val="20"/>
        </w:rPr>
        <w:t xml:space="preserve">has </w:t>
      </w:r>
      <w:r w:rsidR="0053483B">
        <w:rPr>
          <w:szCs w:val="20"/>
        </w:rPr>
        <w:t>fif</w:t>
      </w:r>
      <w:r w:rsidR="002A22C0">
        <w:rPr>
          <w:szCs w:val="20"/>
        </w:rPr>
        <w:t xml:space="preserve">teen </w:t>
      </w:r>
      <w:r>
        <w:rPr>
          <w:szCs w:val="20"/>
        </w:rPr>
        <w:t xml:space="preserve">measures, which were finalized in previous rulemaking. </w:t>
      </w:r>
      <w:r w:rsidR="00C86848">
        <w:rPr>
          <w:szCs w:val="20"/>
        </w:rPr>
        <w:t xml:space="preserve"> </w:t>
      </w:r>
      <w:r w:rsidR="00C31120">
        <w:rPr>
          <w:szCs w:val="20"/>
        </w:rPr>
        <w:t>Four of those measures utilize</w:t>
      </w:r>
      <w:r w:rsidR="001E10F6">
        <w:rPr>
          <w:szCs w:val="20"/>
        </w:rPr>
        <w:t xml:space="preserve"> Medicare FFS claims data, two measures </w:t>
      </w:r>
      <w:r w:rsidR="00C31120">
        <w:rPr>
          <w:szCs w:val="20"/>
        </w:rPr>
        <w:t>utilize</w:t>
      </w:r>
      <w:r w:rsidR="001E10F6">
        <w:rPr>
          <w:szCs w:val="20"/>
        </w:rPr>
        <w:t xml:space="preserve"> NHSN data, and </w:t>
      </w:r>
      <w:r w:rsidR="005F5041">
        <w:rPr>
          <w:szCs w:val="20"/>
        </w:rPr>
        <w:t xml:space="preserve">nine measures </w:t>
      </w:r>
      <w:r w:rsidR="00C31120">
        <w:rPr>
          <w:szCs w:val="20"/>
        </w:rPr>
        <w:t>utilize</w:t>
      </w:r>
      <w:r w:rsidR="005F5041">
        <w:rPr>
          <w:szCs w:val="20"/>
        </w:rPr>
        <w:t xml:space="preserve"> MDS data.</w:t>
      </w:r>
      <w:r w:rsidR="00C86848">
        <w:rPr>
          <w:szCs w:val="20"/>
        </w:rPr>
        <w:t xml:space="preserve"> </w:t>
      </w:r>
      <w:r w:rsidR="005F5041">
        <w:rPr>
          <w:szCs w:val="20"/>
        </w:rPr>
        <w:t xml:space="preserve"> </w:t>
      </w:r>
      <w:r>
        <w:rPr>
          <w:szCs w:val="20"/>
        </w:rPr>
        <w:t xml:space="preserve">The </w:t>
      </w:r>
      <w:r w:rsidR="0077195F">
        <w:rPr>
          <w:szCs w:val="20"/>
        </w:rPr>
        <w:t xml:space="preserve">nine </w:t>
      </w:r>
      <w:r>
        <w:rPr>
          <w:szCs w:val="20"/>
        </w:rPr>
        <w:t xml:space="preserve">SNF QRP </w:t>
      </w:r>
      <w:r w:rsidR="005F5041">
        <w:rPr>
          <w:szCs w:val="20"/>
        </w:rPr>
        <w:t xml:space="preserve">measures </w:t>
      </w:r>
      <w:r w:rsidR="0077195F">
        <w:rPr>
          <w:szCs w:val="20"/>
        </w:rPr>
        <w:t>that are</w:t>
      </w:r>
      <w:r w:rsidR="00BF6979">
        <w:rPr>
          <w:szCs w:val="20"/>
        </w:rPr>
        <w:t xml:space="preserve"> </w:t>
      </w:r>
      <w:r w:rsidR="00BF6979">
        <w:rPr>
          <w:szCs w:val="20"/>
        </w:rPr>
        <w:t>based on MDS data</w:t>
      </w:r>
      <w:r w:rsidR="005F5041">
        <w:rPr>
          <w:szCs w:val="20"/>
        </w:rPr>
        <w:t xml:space="preserve"> </w:t>
      </w:r>
      <w:r w:rsidR="00DF14BF">
        <w:rPr>
          <w:szCs w:val="20"/>
        </w:rPr>
        <w:t>include</w:t>
      </w:r>
      <w:r>
        <w:rPr>
          <w:szCs w:val="20"/>
        </w:rPr>
        <w:t>:</w:t>
      </w:r>
      <w:r w:rsidR="003E0162">
        <w:rPr>
          <w:szCs w:val="20"/>
        </w:rPr>
        <w:t xml:space="preserve"> </w:t>
      </w:r>
      <w:r>
        <w:rPr>
          <w:szCs w:val="20"/>
        </w:rPr>
        <w:t xml:space="preserve"> (1) </w:t>
      </w:r>
      <w:r w:rsidR="00C40E95">
        <w:rPr>
          <w:szCs w:val="20"/>
        </w:rPr>
        <w:t>Changes in Skin Integrity Post-Acute Care: Pressure Ulcer/Injury</w:t>
      </w:r>
      <w:r>
        <w:rPr>
          <w:szCs w:val="20"/>
        </w:rPr>
        <w:t xml:space="preserve"> measure, (2) Application of </w:t>
      </w:r>
      <w:r w:rsidR="00DE5080">
        <w:rPr>
          <w:szCs w:val="20"/>
        </w:rPr>
        <w:t xml:space="preserve">Percent of Residents Experiencing One or More Falls with Major Injury (Long-Stay) </w:t>
      </w:r>
      <w:r>
        <w:rPr>
          <w:szCs w:val="20"/>
        </w:rPr>
        <w:t xml:space="preserve">measure, (3) </w:t>
      </w:r>
      <w:r w:rsidR="00DE5080">
        <w:rPr>
          <w:szCs w:val="20"/>
        </w:rPr>
        <w:t xml:space="preserve">Application of </w:t>
      </w:r>
      <w:r w:rsidR="005101BB">
        <w:rPr>
          <w:szCs w:val="20"/>
        </w:rPr>
        <w:t xml:space="preserve">Inpatient Rehabilitation Facility (IRF) </w:t>
      </w:r>
      <w:r w:rsidR="00DE5080">
        <w:rPr>
          <w:szCs w:val="20"/>
        </w:rPr>
        <w:t>Functional Outcome Measure: Discharge Mobility Score for Medical Rehabilitation Patient</w:t>
      </w:r>
      <w:r w:rsidR="00BB3C9A">
        <w:rPr>
          <w:szCs w:val="20"/>
        </w:rPr>
        <w:t>s</w:t>
      </w:r>
      <w:r>
        <w:rPr>
          <w:szCs w:val="20"/>
        </w:rPr>
        <w:t xml:space="preserve">, (4) </w:t>
      </w:r>
      <w:r w:rsidR="00BB3C9A">
        <w:rPr>
          <w:szCs w:val="20"/>
        </w:rPr>
        <w:t xml:space="preserve">Application of </w:t>
      </w:r>
      <w:r w:rsidR="00CE3842">
        <w:rPr>
          <w:szCs w:val="20"/>
        </w:rPr>
        <w:t>IRF Funct</w:t>
      </w:r>
      <w:r w:rsidR="00FC5E03">
        <w:rPr>
          <w:szCs w:val="20"/>
        </w:rPr>
        <w:t>io</w:t>
      </w:r>
      <w:r w:rsidR="00CE3842">
        <w:rPr>
          <w:szCs w:val="20"/>
        </w:rPr>
        <w:t>nal Outcome Measure: Discharge Self-Care Score for Medical Rehabilitation Patients</w:t>
      </w:r>
      <w:r>
        <w:rPr>
          <w:szCs w:val="20"/>
        </w:rPr>
        <w:t xml:space="preserve">, (5) </w:t>
      </w:r>
      <w:r w:rsidR="00495ED2">
        <w:rPr>
          <w:szCs w:val="20"/>
        </w:rPr>
        <w:t xml:space="preserve">Drug Regimen Review </w:t>
      </w:r>
      <w:r w:rsidR="006C0F17">
        <w:rPr>
          <w:szCs w:val="20"/>
        </w:rPr>
        <w:t>C</w:t>
      </w:r>
      <w:r w:rsidR="00495ED2">
        <w:rPr>
          <w:szCs w:val="20"/>
        </w:rPr>
        <w:t>onducted With Follow-Up for Identified Issues- Post Acute Care (PAC) S</w:t>
      </w:r>
      <w:r w:rsidR="006C0F17">
        <w:rPr>
          <w:szCs w:val="20"/>
        </w:rPr>
        <w:t>NF QRP</w:t>
      </w:r>
      <w:r w:rsidR="008F027A">
        <w:rPr>
          <w:szCs w:val="20"/>
        </w:rPr>
        <w:t xml:space="preserve"> measure</w:t>
      </w:r>
      <w:r>
        <w:rPr>
          <w:szCs w:val="20"/>
        </w:rPr>
        <w:t>, (</w:t>
      </w:r>
      <w:r w:rsidR="007D32EA">
        <w:rPr>
          <w:szCs w:val="20"/>
        </w:rPr>
        <w:t>6) Transfer of Health (TOH) Information to the Provider PAC</w:t>
      </w:r>
      <w:r w:rsidR="008F027A">
        <w:rPr>
          <w:szCs w:val="20"/>
        </w:rPr>
        <w:t xml:space="preserve"> measure</w:t>
      </w:r>
      <w:r>
        <w:rPr>
          <w:szCs w:val="20"/>
        </w:rPr>
        <w:t>, (</w:t>
      </w:r>
      <w:r w:rsidR="008F027A">
        <w:rPr>
          <w:szCs w:val="20"/>
        </w:rPr>
        <w:t>7</w:t>
      </w:r>
      <w:r>
        <w:rPr>
          <w:szCs w:val="20"/>
        </w:rPr>
        <w:t xml:space="preserve">) </w:t>
      </w:r>
      <w:r w:rsidR="00001473">
        <w:rPr>
          <w:szCs w:val="20"/>
        </w:rPr>
        <w:t>TOH Information to the Patient PAC measure</w:t>
      </w:r>
      <w:r>
        <w:rPr>
          <w:szCs w:val="20"/>
        </w:rPr>
        <w:t>, (</w:t>
      </w:r>
      <w:r w:rsidR="00001473">
        <w:rPr>
          <w:szCs w:val="20"/>
        </w:rPr>
        <w:t>8</w:t>
      </w:r>
      <w:r>
        <w:rPr>
          <w:szCs w:val="20"/>
        </w:rPr>
        <w:t xml:space="preserve">) </w:t>
      </w:r>
      <w:r w:rsidR="00BE2201">
        <w:rPr>
          <w:szCs w:val="20"/>
        </w:rPr>
        <w:t>Discharge Function Score</w:t>
      </w:r>
      <w:r w:rsidR="005F7875">
        <w:rPr>
          <w:szCs w:val="20"/>
        </w:rPr>
        <w:t xml:space="preserve"> (DC Function Score)</w:t>
      </w:r>
      <w:r>
        <w:rPr>
          <w:szCs w:val="20"/>
        </w:rPr>
        <w:t xml:space="preserve">, </w:t>
      </w:r>
      <w:r w:rsidR="00844861">
        <w:rPr>
          <w:szCs w:val="20"/>
        </w:rPr>
        <w:t xml:space="preserve">and </w:t>
      </w:r>
      <w:r>
        <w:rPr>
          <w:szCs w:val="20"/>
        </w:rPr>
        <w:t>(</w:t>
      </w:r>
      <w:r w:rsidR="00BE2201">
        <w:rPr>
          <w:szCs w:val="20"/>
        </w:rPr>
        <w:t>9</w:t>
      </w:r>
      <w:r>
        <w:rPr>
          <w:szCs w:val="20"/>
        </w:rPr>
        <w:t xml:space="preserve">) </w:t>
      </w:r>
      <w:r w:rsidR="00BE2201">
        <w:rPr>
          <w:szCs w:val="20"/>
        </w:rPr>
        <w:t>COVID-19 Vaccine: Percentage of Patients/Residents Who Are Up to Date</w:t>
      </w:r>
      <w:r w:rsidR="00844861">
        <w:rPr>
          <w:szCs w:val="20"/>
        </w:rPr>
        <w:t xml:space="preserve"> measure</w:t>
      </w:r>
      <w:r>
        <w:rPr>
          <w:szCs w:val="20"/>
        </w:rPr>
        <w:t>.</w:t>
      </w:r>
      <w:r w:rsidR="00C86848">
        <w:rPr>
          <w:szCs w:val="20"/>
        </w:rPr>
        <w:t xml:space="preserve"> </w:t>
      </w:r>
      <w:r>
        <w:rPr>
          <w:szCs w:val="20"/>
        </w:rPr>
        <w:t xml:space="preserve"> </w:t>
      </w:r>
      <w:r w:rsidR="00F52E7B">
        <w:rPr>
          <w:szCs w:val="20"/>
        </w:rPr>
        <w:t xml:space="preserve">Similarly, </w:t>
      </w:r>
      <w:r w:rsidR="00183477">
        <w:rPr>
          <w:szCs w:val="20"/>
        </w:rPr>
        <w:t>this information collection request is limited to MDS data since the MDS validation process would be the only new burden</w:t>
      </w:r>
      <w:r w:rsidR="00423AD1">
        <w:rPr>
          <w:szCs w:val="20"/>
        </w:rPr>
        <w:t xml:space="preserve"> placed on SNFs</w:t>
      </w:r>
      <w:r w:rsidR="00F52E7B">
        <w:rPr>
          <w:szCs w:val="20"/>
        </w:rPr>
        <w:t>.</w:t>
      </w:r>
    </w:p>
    <w:p w:rsidR="00817F3F" w:rsidP="0063649D" w14:paraId="7C7E4BF2" w14:textId="77777777">
      <w:pPr>
        <w:ind w:firstLine="432"/>
      </w:pPr>
      <w:r>
        <w:t xml:space="preserve">We note that </w:t>
      </w:r>
      <w:r w:rsidR="00165485">
        <w:t>one of the</w:t>
      </w:r>
      <w:r>
        <w:t xml:space="preserve"> SNF VBP MDS-based measures</w:t>
      </w:r>
      <w:r w:rsidR="00D6017C">
        <w:t xml:space="preserve">, </w:t>
      </w:r>
      <w:r w:rsidR="00BC52E0">
        <w:t xml:space="preserve">DC Function </w:t>
      </w:r>
      <w:r w:rsidR="00B37D1F">
        <w:t>Score</w:t>
      </w:r>
      <w:r w:rsidR="00BC52E0">
        <w:t>,</w:t>
      </w:r>
      <w:r>
        <w:t xml:space="preserve"> </w:t>
      </w:r>
      <w:r w:rsidR="00B37D1F">
        <w:t xml:space="preserve">is </w:t>
      </w:r>
      <w:r>
        <w:t xml:space="preserve">the same as </w:t>
      </w:r>
      <w:r w:rsidR="007A3343">
        <w:t>the</w:t>
      </w:r>
      <w:r w:rsidR="003F6B77">
        <w:t xml:space="preserve"> </w:t>
      </w:r>
      <w:r w:rsidR="007A3343">
        <w:t xml:space="preserve">DC Function </w:t>
      </w:r>
      <w:r w:rsidR="00844861">
        <w:t>Score</w:t>
      </w:r>
      <w:r>
        <w:t xml:space="preserve"> </w:t>
      </w:r>
      <w:r w:rsidR="00C30928">
        <w:t xml:space="preserve">measure </w:t>
      </w:r>
      <w:r>
        <w:t xml:space="preserve">in </w:t>
      </w:r>
      <w:r w:rsidR="003700F4">
        <w:t xml:space="preserve">the </w:t>
      </w:r>
      <w:r>
        <w:t>SNF QRP.</w:t>
      </w:r>
    </w:p>
    <w:p w:rsidR="0063649D" w:rsidRPr="003429D4" w:rsidP="00111EE7" w14:paraId="2364D0EB" w14:textId="54F19213">
      <w:pPr>
        <w:pStyle w:val="Heading3"/>
      </w:pPr>
      <w:r>
        <w:t>Period of Performance</w:t>
      </w:r>
    </w:p>
    <w:p w:rsidR="00C85102" w:rsidP="00EB171A" w14:paraId="19ABC346" w14:textId="20099FB7">
      <w:pPr>
        <w:ind w:firstLine="432"/>
      </w:pPr>
      <w:r>
        <w:t>With the exception of the</w:t>
      </w:r>
      <w:r w:rsidRPr="00CA7E4A">
        <w:t xml:space="preserve"> Discharge to Community – Post-Acute Care (DTC</w:t>
      </w:r>
      <w:r>
        <w:t xml:space="preserve"> </w:t>
      </w:r>
      <w:r w:rsidRPr="00CA7E4A">
        <w:t>PAC</w:t>
      </w:r>
      <w:r>
        <w:t xml:space="preserve"> SNF</w:t>
      </w:r>
      <w:r w:rsidRPr="00CA7E4A">
        <w:t>) measure</w:t>
      </w:r>
      <w:r w:rsidRPr="0042155C">
        <w:t>, the</w:t>
      </w:r>
      <w:r>
        <w:t xml:space="preserve"> FY 2027 program year for SNF VBP Program will be based on performance across measures using data from the 12-month </w:t>
      </w:r>
      <w:r w:rsidR="00421CEA">
        <w:t xml:space="preserve">FY </w:t>
      </w:r>
      <w:r>
        <w:t xml:space="preserve">period of October 1, </w:t>
      </w:r>
      <w:r>
        <w:t>2024</w:t>
      </w:r>
      <w:r>
        <w:t xml:space="preserve"> through September 30, 2025.  The DTC PAC SNF measure will be based on Medicare FFS claims data from the 24-month period of October 1, </w:t>
      </w:r>
      <w:r>
        <w:t>2023</w:t>
      </w:r>
      <w:r>
        <w:t xml:space="preserve"> through September 30, 2025. </w:t>
      </w:r>
      <w:r w:rsidR="002E3540">
        <w:t xml:space="preserve"> </w:t>
      </w:r>
      <w:r w:rsidR="00382DFB">
        <w:t xml:space="preserve">For MDS validation, </w:t>
      </w:r>
      <w:r w:rsidR="008B684F">
        <w:t xml:space="preserve">we finalized in the FY 2024 SNF PPS final rule that </w:t>
      </w:r>
      <w:r w:rsidR="00502098">
        <w:t>the validation contractor</w:t>
      </w:r>
      <w:r w:rsidR="00FA4979">
        <w:t xml:space="preserve"> w</w:t>
      </w:r>
      <w:r w:rsidR="003117F7">
        <w:t xml:space="preserve">ill </w:t>
      </w:r>
      <w:r w:rsidR="00EE0370">
        <w:t>select up</w:t>
      </w:r>
      <w:r w:rsidR="00264D40">
        <w:t xml:space="preserve"> to 1,500 SNFs that submit at least one MDS record </w:t>
      </w:r>
      <w:r w:rsidR="00281590">
        <w:t xml:space="preserve">in the CY 3 years prior to the fiscal year of </w:t>
      </w:r>
      <w:r w:rsidR="00A61073">
        <w:t>the relevant program year</w:t>
      </w:r>
      <w:r w:rsidR="003D46DD">
        <w:t xml:space="preserve"> or w</w:t>
      </w:r>
      <w:r w:rsidR="00EE3F7F">
        <w:t xml:space="preserve">ere included in the SNF VBP Program in </w:t>
      </w:r>
      <w:r w:rsidR="000C0E07">
        <w:t xml:space="preserve">the </w:t>
      </w:r>
      <w:r w:rsidR="00EE3F7F">
        <w:t>year prior to the relevant program year (88 FR 53324)</w:t>
      </w:r>
      <w:r w:rsidR="00914F0B">
        <w:t>.</w:t>
      </w:r>
      <w:r>
        <w:t xml:space="preserve"> </w:t>
      </w:r>
    </w:p>
    <w:p w:rsidR="0063649D" w:rsidRPr="006242F2" w:rsidP="00EB171A" w14:paraId="6DAF91B3" w14:textId="6D4F0717">
      <w:pPr>
        <w:ind w:firstLine="432"/>
      </w:pPr>
      <w:r>
        <w:t>With the exception of</w:t>
      </w:r>
      <w:r>
        <w:t xml:space="preserve"> the COVID-19 Vaccine: Percentage of Patients/Residents Who Are Up to Date measure, the</w:t>
      </w:r>
      <w:r w:rsidRPr="00767E3E">
        <w:t xml:space="preserve"> FY 2027 </w:t>
      </w:r>
      <w:r>
        <w:t>program year</w:t>
      </w:r>
      <w:r w:rsidRPr="00767E3E">
        <w:t xml:space="preserve"> for the SNF QRP will be based on </w:t>
      </w:r>
      <w:r>
        <w:t>performance across</w:t>
      </w:r>
      <w:r w:rsidRPr="00767E3E">
        <w:t xml:space="preserve"> measures </w:t>
      </w:r>
      <w:r>
        <w:t>based on</w:t>
      </w:r>
      <w:r w:rsidRPr="00767E3E">
        <w:t xml:space="preserve"> </w:t>
      </w:r>
      <w:r>
        <w:t xml:space="preserve">data for the entire 2025 calendar year.  </w:t>
      </w:r>
      <w:r w:rsidR="00507910">
        <w:t>MDS data</w:t>
      </w:r>
      <w:r>
        <w:t xml:space="preserve"> collection for the COVID-19 Vaccine: Percentage of Patients/Residents Who Are Up to Date measure </w:t>
      </w:r>
      <w:r w:rsidR="00507910">
        <w:t>will start</w:t>
      </w:r>
      <w:r>
        <w:t xml:space="preserve"> on October 1, 2024</w:t>
      </w:r>
      <w:r w:rsidRPr="00767E3E">
        <w:t xml:space="preserve">. </w:t>
      </w:r>
      <w:r w:rsidR="002E3540">
        <w:t xml:space="preserve"> </w:t>
      </w:r>
      <w:r w:rsidR="005927F8">
        <w:t xml:space="preserve">For MDS validation, to align </w:t>
      </w:r>
      <w:r w:rsidR="00664890">
        <w:t xml:space="preserve">the data collection period of medical records with the SNF VBP data collection period, we finalized </w:t>
      </w:r>
      <w:r w:rsidR="00DD7BA1">
        <w:t xml:space="preserve">that </w:t>
      </w:r>
      <w:r w:rsidR="00991527">
        <w:t>the validation contractor</w:t>
      </w:r>
      <w:r w:rsidR="00870483">
        <w:t xml:space="preserve"> </w:t>
      </w:r>
      <w:r w:rsidR="00740606">
        <w:t>will select</w:t>
      </w:r>
      <w:r w:rsidR="003C1872">
        <w:t xml:space="preserve"> up to 1,500 SNFs that submit one MDS record in the FY 2 years prior to the applicable FY SNF QRP</w:t>
      </w:r>
      <w:r w:rsidR="007C03E5">
        <w:t xml:space="preserve"> (89 FR 64119 through</w:t>
      </w:r>
      <w:r w:rsidR="000C1DF9">
        <w:t xml:space="preserve"> 64120)</w:t>
      </w:r>
      <w:r w:rsidR="003C1872">
        <w:t>.</w:t>
      </w:r>
    </w:p>
    <w:p w:rsidR="00347E50" w:rsidP="00111EE7" w14:paraId="6487392C" w14:textId="00BDEE0D">
      <w:pPr>
        <w:pStyle w:val="Heading3"/>
      </w:pPr>
      <w:r w:rsidRPr="0005585A">
        <w:t>Forms Used in the Data Collection Process</w:t>
      </w:r>
    </w:p>
    <w:p w:rsidR="00081E3C" w:rsidP="00AF61F4" w14:paraId="1D91C9AE" w14:textId="2C968D70">
      <w:pPr>
        <w:ind w:firstLine="432"/>
        <w:rPr>
          <w:szCs w:val="20"/>
        </w:rPr>
      </w:pPr>
      <w:r>
        <w:t xml:space="preserve">In this data collection, SNFs selected for MDS validation </w:t>
      </w:r>
      <w:r w:rsidR="00957E6D">
        <w:t xml:space="preserve">will be requested to submit up to ten medical </w:t>
      </w:r>
      <w:r w:rsidR="00645012">
        <w:t xml:space="preserve">records </w:t>
      </w:r>
      <w:r w:rsidR="00FA4530">
        <w:t>in the applicable year</w:t>
      </w:r>
      <w:r w:rsidR="0023241E">
        <w:t xml:space="preserve"> for the purposes of validation.</w:t>
      </w:r>
      <w:r w:rsidR="00C86848">
        <w:t xml:space="preserve">  </w:t>
      </w:r>
      <w:r w:rsidR="00117992">
        <w:t>At this time</w:t>
      </w:r>
      <w:r w:rsidR="00117992">
        <w:t xml:space="preserve">, we do not </w:t>
      </w:r>
      <w:r w:rsidR="00754C8A">
        <w:t xml:space="preserve">intend to require </w:t>
      </w:r>
      <w:r w:rsidR="00703B99">
        <w:t xml:space="preserve">SNFs </w:t>
      </w:r>
      <w:r w:rsidR="000C53CE">
        <w:t xml:space="preserve">to use </w:t>
      </w:r>
      <w:r w:rsidR="009C32B1">
        <w:t xml:space="preserve">any </w:t>
      </w:r>
      <w:r w:rsidR="0083595E">
        <w:t>forms as part of the validation process.</w:t>
      </w:r>
    </w:p>
    <w:p w:rsidR="00D26EEF" w:rsidP="00285D42" w14:paraId="44BAFCF7" w14:textId="04F44633">
      <w:pPr>
        <w:pStyle w:val="Heading1"/>
        <w:numPr>
          <w:ilvl w:val="0"/>
          <w:numId w:val="9"/>
        </w:numPr>
      </w:pPr>
      <w:r>
        <w:t>Justification</w:t>
      </w:r>
    </w:p>
    <w:p w:rsidR="00D26EEF" w:rsidP="00111EE7" w14:paraId="6834EB5E" w14:textId="14211C39">
      <w:pPr>
        <w:pStyle w:val="Heading2"/>
      </w:pPr>
      <w:r>
        <w:t>Need and Legal Basis</w:t>
      </w:r>
    </w:p>
    <w:p w:rsidR="00347E50" w:rsidP="0A985B0B" w14:paraId="45B3FE28" w14:textId="0D07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 xml:space="preserve">The SNF VBP Program is a payment program that awards incentive payments to SNFs to encourage </w:t>
      </w:r>
      <w:r w:rsidR="6C16C92B">
        <w:t xml:space="preserve">improvements in the quality of care provided to Medicare beneficiaries.  The SNF QRP is a </w:t>
      </w:r>
      <w:r w:rsidR="004C5705">
        <w:t xml:space="preserve">pay for reporting </w:t>
      </w:r>
      <w:r w:rsidR="6C16C92B">
        <w:t xml:space="preserve">program that </w:t>
      </w:r>
      <w:r w:rsidR="004C5705">
        <w:t xml:space="preserve">reduces by 2 percentage points the annual market basket percentage increase in the case that a SNF does not submit the required data for the </w:t>
      </w:r>
      <w:r w:rsidR="00985EBE">
        <w:t>QRP</w:t>
      </w:r>
      <w:r w:rsidR="004C5705">
        <w:t xml:space="preserve">.  </w:t>
      </w:r>
      <w:r w:rsidR="000F6A28">
        <w:t>A</w:t>
      </w:r>
      <w:r>
        <w:t>ll</w:t>
      </w:r>
      <w:r>
        <w:t xml:space="preserve"> </w:t>
      </w:r>
      <w:r>
        <w:t xml:space="preserve">claims processing systems </w:t>
      </w:r>
      <w:r w:rsidR="000F6A28">
        <w:t>utilize</w:t>
      </w:r>
      <w:r>
        <w:t xml:space="preserve"> </w:t>
      </w:r>
      <w:r>
        <w:t xml:space="preserve">validation methods to </w:t>
      </w:r>
      <w:r w:rsidR="0050580F">
        <w:t>verify the</w:t>
      </w:r>
      <w:r>
        <w:t xml:space="preserve"> accura</w:t>
      </w:r>
      <w:r w:rsidR="0050580F">
        <w:t>cy of</w:t>
      </w:r>
      <w:r>
        <w:t xml:space="preserve"> Medicare claims </w:t>
      </w:r>
      <w:r w:rsidR="0050580F">
        <w:t xml:space="preserve">accepted </w:t>
      </w:r>
      <w:r>
        <w:t>into the claims database</w:t>
      </w:r>
      <w:r w:rsidR="00515D4D">
        <w:t xml:space="preserve"> and </w:t>
      </w:r>
      <w:r w:rsidR="007E0BA8">
        <w:t xml:space="preserve">CMS </w:t>
      </w:r>
      <w:r w:rsidR="0050580F">
        <w:t>uses</w:t>
      </w:r>
      <w:r w:rsidR="007E0BA8">
        <w:t xml:space="preserve"> an</w:t>
      </w:r>
      <w:r w:rsidR="00A17F98">
        <w:t xml:space="preserve"> </w:t>
      </w:r>
      <w:r w:rsidR="007E0BA8">
        <w:t>audit process for PBJ data that satisfies the needs of the SNF VBP Program</w:t>
      </w:r>
      <w:r w:rsidR="0050580F">
        <w:t>.</w:t>
      </w:r>
      <w:r w:rsidR="003542D4">
        <w:t xml:space="preserve"> </w:t>
      </w:r>
      <w:r w:rsidR="0050580F">
        <w:t xml:space="preserve"> </w:t>
      </w:r>
      <w:r w:rsidR="00515D4D">
        <w:t xml:space="preserve">Unlike claims and PBJ data, </w:t>
      </w:r>
      <w:r w:rsidR="00F534D7">
        <w:t>MDS</w:t>
      </w:r>
      <w:r>
        <w:t xml:space="preserve"> data </w:t>
      </w:r>
      <w:r w:rsidR="007B0FF2">
        <w:t xml:space="preserve">are </w:t>
      </w:r>
      <w:r>
        <w:t xml:space="preserve">not </w:t>
      </w:r>
      <w:r w:rsidR="003542D4">
        <w:t xml:space="preserve">sufficiently </w:t>
      </w:r>
      <w:r>
        <w:t xml:space="preserve">validated through other CMS processes.  </w:t>
      </w:r>
      <w:r w:rsidR="00100974">
        <w:t>W</w:t>
      </w:r>
      <w:r w:rsidR="00C61AA2">
        <w:t xml:space="preserve">hile MDS data are audited </w:t>
      </w:r>
      <w:r w:rsidR="00C677D4">
        <w:t xml:space="preserve">by </w:t>
      </w:r>
      <w:r w:rsidR="001F6C17">
        <w:t xml:space="preserve">Medicare Administrative Contractors (MACs) </w:t>
      </w:r>
      <w:r w:rsidR="007B0FF2">
        <w:t xml:space="preserve">to ensure accurate payments, </w:t>
      </w:r>
      <w:r w:rsidR="00100974">
        <w:t xml:space="preserve">we explained in the FY 2024 SNF PPS final rule that </w:t>
      </w:r>
      <w:r w:rsidR="008A20B7">
        <w:t>we do not believe that the audit process focuses sufficiently</w:t>
      </w:r>
      <w:r w:rsidR="003F5CAB">
        <w:t xml:space="preserve"> on</w:t>
      </w:r>
      <w:r w:rsidR="008A20B7">
        <w:t xml:space="preserve"> quality measurement data</w:t>
      </w:r>
      <w:r w:rsidR="00F7147B">
        <w:t xml:space="preserve"> for use in a quality reporting or value-based purchasing program</w:t>
      </w:r>
      <w:r w:rsidR="00100974">
        <w:t xml:space="preserve"> (88 FR 53324)</w:t>
      </w:r>
      <w:r w:rsidR="00F7147B">
        <w:t xml:space="preserve">.  </w:t>
      </w:r>
      <w:r w:rsidR="00254AA3">
        <w:t>V</w:t>
      </w:r>
      <w:r w:rsidR="008E45AE">
        <w:t>alidation is necessary</w:t>
      </w:r>
      <w:r w:rsidR="008E45AE">
        <w:t xml:space="preserve"> </w:t>
      </w:r>
      <w:r>
        <w:t xml:space="preserve">to ensure </w:t>
      </w:r>
      <w:r w:rsidR="00254AA3">
        <w:t xml:space="preserve">the accuracy of </w:t>
      </w:r>
      <w:r w:rsidR="00391197">
        <w:t>MDS data</w:t>
      </w:r>
      <w:r w:rsidR="00B27452">
        <w:t xml:space="preserve"> submitted </w:t>
      </w:r>
      <w:r w:rsidR="00187D89">
        <w:t>to CMS that is utilized in both the SNF QRP and the SNF VBP Program</w:t>
      </w:r>
      <w:r w:rsidR="00A74B0E">
        <w:t>s</w:t>
      </w:r>
      <w:r w:rsidR="00187D89">
        <w:t xml:space="preserve">. </w:t>
      </w:r>
    </w:p>
    <w:p w:rsidR="00C17A7D" w:rsidP="7FACDF17" w14:paraId="4843E70E" w14:textId="5C2772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 xml:space="preserve">To validate </w:t>
      </w:r>
      <w:r w:rsidR="00956431">
        <w:t>MDS</w:t>
      </w:r>
      <w:r>
        <w:t xml:space="preserve"> data</w:t>
      </w:r>
      <w:r w:rsidR="005E6C7A">
        <w:t xml:space="preserve"> for </w:t>
      </w:r>
      <w:r w:rsidR="00A36543">
        <w:t xml:space="preserve">the </w:t>
      </w:r>
      <w:r w:rsidR="005E6C7A">
        <w:t>SNF VBP</w:t>
      </w:r>
      <w:r w:rsidR="00A36543">
        <w:t xml:space="preserve"> Program</w:t>
      </w:r>
      <w:r>
        <w:t xml:space="preserve">, </w:t>
      </w:r>
      <w:r w:rsidR="00060E04">
        <w:t>in the FY 202</w:t>
      </w:r>
      <w:r w:rsidR="00A36543">
        <w:t xml:space="preserve">4 </w:t>
      </w:r>
      <w:r w:rsidR="00060E04">
        <w:t xml:space="preserve">SNF PPS </w:t>
      </w:r>
      <w:r w:rsidR="0076604C">
        <w:t xml:space="preserve">final </w:t>
      </w:r>
      <w:r w:rsidR="00060E04">
        <w:t>rule (8</w:t>
      </w:r>
      <w:r w:rsidR="0076604C">
        <w:t>8</w:t>
      </w:r>
      <w:r w:rsidR="00060E04">
        <w:t xml:space="preserve"> FR </w:t>
      </w:r>
      <w:r w:rsidR="00E168C3">
        <w:t>53324</w:t>
      </w:r>
      <w:r w:rsidR="00861572">
        <w:t xml:space="preserve"> through 53325</w:t>
      </w:r>
      <w:r w:rsidR="00060E04">
        <w:t xml:space="preserve">), </w:t>
      </w:r>
      <w:r w:rsidR="005A5708">
        <w:t xml:space="preserve">CMS </w:t>
      </w:r>
      <w:r w:rsidR="00F66A35">
        <w:t xml:space="preserve">finalized </w:t>
      </w:r>
      <w:r w:rsidR="005A5708">
        <w:t xml:space="preserve">that the validation contractor </w:t>
      </w:r>
      <w:r w:rsidR="00260488">
        <w:t xml:space="preserve">will </w:t>
      </w:r>
      <w:r w:rsidR="005A5708">
        <w:t>select, on an annual basis, up to 1,500 SNFs that submit at least one MDS record</w:t>
      </w:r>
      <w:r w:rsidR="00154242">
        <w:t xml:space="preserve"> in the calendar year (CY) </w:t>
      </w:r>
      <w:r w:rsidR="007715AB">
        <w:t xml:space="preserve">3 years </w:t>
      </w:r>
      <w:r w:rsidR="00154242">
        <w:t xml:space="preserve">prior to the applicable program year.  </w:t>
      </w:r>
      <w:r w:rsidR="005A43FD">
        <w:t xml:space="preserve">CMS also finalized that the validation contractor </w:t>
      </w:r>
      <w:r w:rsidR="00260488">
        <w:t>will</w:t>
      </w:r>
      <w:r w:rsidR="005A43FD">
        <w:t xml:space="preserve"> request up to 10 medical records from each of the selected SNFs.  </w:t>
      </w:r>
      <w:r w:rsidR="00A36543">
        <w:t xml:space="preserve">In the FY 2025 SNF PPS final rule (89 FR </w:t>
      </w:r>
      <w:r w:rsidR="001D02CF">
        <w:t>64118 through 64122</w:t>
      </w:r>
      <w:r w:rsidR="00A36543">
        <w:t xml:space="preserve">), CMS finalized </w:t>
      </w:r>
      <w:r w:rsidR="00F66A35">
        <w:t>that</w:t>
      </w:r>
      <w:r w:rsidR="00A36543">
        <w:t xml:space="preserve"> </w:t>
      </w:r>
      <w:r w:rsidR="00B46ECC">
        <w:t xml:space="preserve">SNFs participating in </w:t>
      </w:r>
      <w:r w:rsidR="00A36543">
        <w:t xml:space="preserve">the SNF QRP </w:t>
      </w:r>
      <w:r w:rsidR="00260488">
        <w:t>will</w:t>
      </w:r>
      <w:r w:rsidR="00B46ECC">
        <w:t xml:space="preserve"> be required to</w:t>
      </w:r>
      <w:r w:rsidR="00A36543">
        <w:t xml:space="preserve"> participate in the MDS validation process previously adopted by the SNF VBP Program</w:t>
      </w:r>
      <w:r w:rsidR="00B46ECC">
        <w:t xml:space="preserve"> </w:t>
      </w:r>
      <w:r w:rsidR="00A36543">
        <w:t xml:space="preserve">beginning with the FY 2027 SNF QRP </w:t>
      </w:r>
      <w:r w:rsidR="00A36543">
        <w:t>in order to</w:t>
      </w:r>
      <w:r w:rsidR="00A36543">
        <w:t xml:space="preserve"> closely align with the validation processes for the SNF VBP Program. </w:t>
      </w:r>
      <w:r w:rsidR="003F7C4E">
        <w:t xml:space="preserve"> </w:t>
      </w:r>
      <w:r w:rsidR="653404A7">
        <w:t>Specifically</w:t>
      </w:r>
      <w:r w:rsidR="767EE65B">
        <w:t xml:space="preserve">, CMS finalized that the validation contractor will select up to 1,500 SNFs that submitted </w:t>
      </w:r>
      <w:r w:rsidR="1C0C92DA">
        <w:t xml:space="preserve">at least one MDS record in the </w:t>
      </w:r>
      <w:r w:rsidR="002D47E4">
        <w:t xml:space="preserve">FY </w:t>
      </w:r>
      <w:r w:rsidR="1C0C92DA">
        <w:t>2 years prior to the applicable SNF QRP program year.</w:t>
      </w:r>
      <w:r w:rsidR="00A36543">
        <w:t xml:space="preserve"> </w:t>
      </w:r>
      <w:r w:rsidR="003F7C4E">
        <w:t xml:space="preserve"> </w:t>
      </w:r>
      <w:r w:rsidR="007715AB">
        <w:t xml:space="preserve">CMS also </w:t>
      </w:r>
      <w:r w:rsidR="005B3679">
        <w:t xml:space="preserve">finalized </w:t>
      </w:r>
      <w:r w:rsidR="007715AB">
        <w:t xml:space="preserve">that the SNFs that are selected to participate in the SNF QRP validation for a program year </w:t>
      </w:r>
      <w:r w:rsidR="00ED6801">
        <w:t xml:space="preserve">will </w:t>
      </w:r>
      <w:r w:rsidR="007715AB">
        <w:t xml:space="preserve">be the same SNFs that are randomly selected to participate in the SNF MDS validation process for the corresponding SNF VBP program year.  </w:t>
      </w:r>
      <w:r w:rsidR="004975D9">
        <w:t xml:space="preserve">Therefore, the total number of SNFs selected for MDS validation </w:t>
      </w:r>
      <w:r w:rsidR="0063464A">
        <w:t xml:space="preserve">will </w:t>
      </w:r>
      <w:r w:rsidR="004975D9">
        <w:t>not exceed 1,500</w:t>
      </w:r>
      <w:r w:rsidR="00287D7E">
        <w:t xml:space="preserve"> in a year</w:t>
      </w:r>
      <w:r w:rsidR="004975D9">
        <w:t>.</w:t>
      </w:r>
      <w:r w:rsidR="004951E4">
        <w:t xml:space="preserve">  </w:t>
      </w:r>
      <w:r>
        <w:t xml:space="preserve">Each SNF selected </w:t>
      </w:r>
      <w:r w:rsidR="00805F41">
        <w:t xml:space="preserve">will </w:t>
      </w:r>
      <w:r>
        <w:t xml:space="preserve">only be required to submit records once in a fiscal year, for a maximum of 10 records for each </w:t>
      </w:r>
      <w:r w:rsidR="00E00AA4">
        <w:t>S</w:t>
      </w:r>
      <w:r>
        <w:t xml:space="preserve">NF selected. </w:t>
      </w:r>
      <w:r w:rsidR="00EF44BC">
        <w:t xml:space="preserve"> </w:t>
      </w:r>
      <w:r>
        <w:t xml:space="preserve">To decrease the burden for the selected SNF, CMS </w:t>
      </w:r>
      <w:r w:rsidR="000103DE">
        <w:t xml:space="preserve">finalized </w:t>
      </w:r>
      <w:r>
        <w:t>t</w:t>
      </w:r>
      <w:r w:rsidR="00F801FD">
        <w:t>hat the val</w:t>
      </w:r>
      <w:r w:rsidR="00E06EF9">
        <w:t>i</w:t>
      </w:r>
      <w:r w:rsidR="00F801FD">
        <w:t xml:space="preserve">dation contractor </w:t>
      </w:r>
      <w:r w:rsidR="006D3935">
        <w:t xml:space="preserve">will </w:t>
      </w:r>
      <w:r w:rsidR="00F801FD">
        <w:t>request that the SNFs submit the same medical records, at the same time, that are required from the same SNFs for the purposes of the SNF MDS validation.</w:t>
      </w:r>
    </w:p>
    <w:p w:rsidR="00D26EEF" w:rsidRPr="0007426C" w:rsidP="00111EE7" w14:paraId="5A1B5CCE" w14:textId="13767E88">
      <w:pPr>
        <w:pStyle w:val="Heading2"/>
      </w:pPr>
      <w:r w:rsidRPr="0007426C">
        <w:t>Information Users</w:t>
      </w:r>
    </w:p>
    <w:p w:rsidR="0002497D" w:rsidP="00285D42" w14:paraId="7A39A250" w14:textId="4A4D24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05585A">
        <w:t xml:space="preserve">CMS will use the information collected </w:t>
      </w:r>
      <w:r w:rsidR="008D1B68">
        <w:t xml:space="preserve">to conduct a validation </w:t>
      </w:r>
      <w:r w:rsidR="00337575">
        <w:t xml:space="preserve">process for </w:t>
      </w:r>
      <w:r w:rsidR="005754E2">
        <w:t xml:space="preserve">MDS-based measures in </w:t>
      </w:r>
      <w:r w:rsidR="000C3D34">
        <w:t xml:space="preserve">the </w:t>
      </w:r>
      <w:r w:rsidR="005754E2">
        <w:t>SNF QRP and</w:t>
      </w:r>
      <w:r w:rsidR="00841654">
        <w:t xml:space="preserve"> </w:t>
      </w:r>
      <w:r w:rsidR="00EA5807">
        <w:t xml:space="preserve">the </w:t>
      </w:r>
      <w:r w:rsidR="00C1113E">
        <w:t xml:space="preserve">SNF VBP </w:t>
      </w:r>
      <w:r w:rsidR="00EA5807">
        <w:t>Program</w:t>
      </w:r>
      <w:r w:rsidR="00337575">
        <w:t>.</w:t>
      </w:r>
      <w:r w:rsidR="00EA5807">
        <w:t xml:space="preserve"> </w:t>
      </w:r>
      <w:r w:rsidR="003F7C4E">
        <w:t xml:space="preserve"> </w:t>
      </w:r>
      <w:r>
        <w:t xml:space="preserve">As stated above, the </w:t>
      </w:r>
      <w:r w:rsidR="006B3495">
        <w:t xml:space="preserve">SNF QRP </w:t>
      </w:r>
      <w:r w:rsidR="007D33AE">
        <w:t>will</w:t>
      </w:r>
      <w:r w:rsidR="006B3495">
        <w:t xml:space="preserve"> </w:t>
      </w:r>
      <w:r w:rsidR="000D6065">
        <w:t>reduce</w:t>
      </w:r>
      <w:r w:rsidRPr="00767E3E" w:rsidR="009863F8">
        <w:t xml:space="preserve"> by </w:t>
      </w:r>
      <w:r w:rsidR="00F80C67">
        <w:t>2</w:t>
      </w:r>
      <w:r w:rsidR="009863F8">
        <w:t xml:space="preserve"> </w:t>
      </w:r>
      <w:r w:rsidRPr="00767E3E" w:rsidR="009863F8">
        <w:t xml:space="preserve">percentage points the </w:t>
      </w:r>
      <w:r w:rsidR="000D6065">
        <w:t>annual market basket percentage increase in the case that a SNF does not submit the required data</w:t>
      </w:r>
      <w:r w:rsidR="004138AB">
        <w:t xml:space="preserve">, including </w:t>
      </w:r>
      <w:r w:rsidR="004A52AA">
        <w:t>medical records for this validation process,</w:t>
      </w:r>
      <w:r w:rsidR="000D6065">
        <w:t xml:space="preserve"> for the QRP.</w:t>
      </w:r>
      <w:r w:rsidRPr="00767E3E" w:rsidR="000D6065">
        <w:t xml:space="preserve"> </w:t>
      </w:r>
      <w:r w:rsidR="003F7C4E">
        <w:t xml:space="preserve"> </w:t>
      </w:r>
      <w:r w:rsidR="003908AA">
        <w:t xml:space="preserve">The </w:t>
      </w:r>
      <w:r w:rsidR="006B3495">
        <w:t>SNF VBP</w:t>
      </w:r>
      <w:r w:rsidR="003908AA">
        <w:t xml:space="preserve"> Program </w:t>
      </w:r>
      <w:r w:rsidR="00583759">
        <w:t xml:space="preserve">adjusts the resulting Federal per diem rate for a SNF by the value-based incentive payment amount earned by the SNF based on the SNF’s </w:t>
      </w:r>
      <w:r w:rsidR="00A7517D">
        <w:t>p</w:t>
      </w:r>
      <w:r w:rsidR="00583759">
        <w:t xml:space="preserve">erformance </w:t>
      </w:r>
      <w:r w:rsidR="00A7517D">
        <w:t>s</w:t>
      </w:r>
      <w:r w:rsidR="00583759">
        <w:t xml:space="preserve">core for that </w:t>
      </w:r>
      <w:r w:rsidR="00C1113E">
        <w:t>FY</w:t>
      </w:r>
      <w:r w:rsidR="006B3495">
        <w:t>.</w:t>
      </w:r>
      <w:r w:rsidR="0037760A">
        <w:t xml:space="preserve">  </w:t>
      </w:r>
      <w:r>
        <w:t>The Program</w:t>
      </w:r>
      <w:r w:rsidR="006B3495">
        <w:t>s</w:t>
      </w:r>
      <w:r w:rsidRPr="00F7437E">
        <w:t xml:space="preserve"> must</w:t>
      </w:r>
      <w:r>
        <w:t xml:space="preserve"> collect </w:t>
      </w:r>
      <w:r w:rsidR="006E0FCA">
        <w:t>medical records</w:t>
      </w:r>
      <w:r>
        <w:t xml:space="preserve"> to</w:t>
      </w:r>
      <w:r w:rsidRPr="00F7437E">
        <w:t xml:space="preserve"> validate </w:t>
      </w:r>
      <w:r w:rsidR="006B3495">
        <w:t>MDS</w:t>
      </w:r>
      <w:r w:rsidRPr="00F7437E">
        <w:t xml:space="preserve"> data reported by </w:t>
      </w:r>
      <w:r w:rsidR="006B3495">
        <w:t>SNFs</w:t>
      </w:r>
      <w:r w:rsidRPr="00F7437E">
        <w:t>.</w:t>
      </w:r>
    </w:p>
    <w:p w:rsidR="000A1BC2" w:rsidRPr="00AB0F7B" w:rsidP="00111EE7" w14:paraId="6E2A06C0" w14:textId="78CE8B26">
      <w:pPr>
        <w:pStyle w:val="Heading2"/>
      </w:pPr>
      <w:r w:rsidRPr="00AB0F7B">
        <w:t>Use of Information Technology</w:t>
      </w:r>
    </w:p>
    <w:p w:rsidR="00994070" w:rsidP="00114017" w14:paraId="701EB080" w14:textId="0E6BCF01">
      <w:pPr>
        <w:ind w:firstLine="720"/>
      </w:pPr>
      <w:r>
        <w:t xml:space="preserve">To assist </w:t>
      </w:r>
      <w:r w:rsidR="00C96794">
        <w:t>SNFs</w:t>
      </w:r>
      <w:r>
        <w:t xml:space="preserve"> in standardizing data collection initiatives across the industry, CMS continues to improve data collection tools to make data submission easier for </w:t>
      </w:r>
      <w:r w:rsidR="00C96794">
        <w:t>SNFs</w:t>
      </w:r>
      <w:r>
        <w:t xml:space="preserve">.  </w:t>
      </w:r>
      <w:r w:rsidR="00F150A8">
        <w:t>SNFs w</w:t>
      </w:r>
      <w:r w:rsidR="00AD02AC">
        <w:t xml:space="preserve">ho submit the medical records electronically will </w:t>
      </w:r>
      <w:r w:rsidR="00A76868">
        <w:t>enter</w:t>
      </w:r>
      <w:r w:rsidR="00AD02AC">
        <w:t xml:space="preserve"> submissions using </w:t>
      </w:r>
      <w:r w:rsidR="00D64D1D">
        <w:t>a portal</w:t>
      </w:r>
      <w:r w:rsidR="00E81C4C">
        <w:t>.</w:t>
      </w:r>
      <w:r w:rsidR="00561563">
        <w:t xml:space="preserve"> </w:t>
      </w:r>
      <w:r w:rsidRPr="00550F57" w:rsidR="004C424B">
        <w:t xml:space="preserve"> Th</w:t>
      </w:r>
      <w:r w:rsidR="00D64D1D">
        <w:t>is</w:t>
      </w:r>
      <w:r w:rsidRPr="00550F57" w:rsidR="004C424B">
        <w:t xml:space="preserve"> software </w:t>
      </w:r>
      <w:r w:rsidR="00D64D1D">
        <w:t>will be</w:t>
      </w:r>
      <w:r w:rsidRPr="00550F57" w:rsidR="00D64D1D">
        <w:t xml:space="preserve"> </w:t>
      </w:r>
      <w:r w:rsidRPr="00550F57" w:rsidR="004C424B">
        <w:t xml:space="preserve">available free of charge, and CMS </w:t>
      </w:r>
      <w:r w:rsidR="00D64D1D">
        <w:t>will provide</w:t>
      </w:r>
      <w:r w:rsidRPr="00550F57" w:rsidR="00D64D1D">
        <w:t xml:space="preserve"> </w:t>
      </w:r>
      <w:r w:rsidRPr="00550F57" w:rsidR="004C424B">
        <w:t>customer support for software and transmission problems encountered by the providers.</w:t>
      </w:r>
    </w:p>
    <w:p w:rsidR="00347E50" w:rsidP="00711095" w14:paraId="24D231E7" w14:textId="595A1684">
      <w:pPr>
        <w:keepNext/>
        <w:keepLines/>
        <w:ind w:firstLine="720"/>
      </w:pPr>
      <w:r>
        <w:t>Medical records containing</w:t>
      </w:r>
      <w:r>
        <w:t xml:space="preserve"> </w:t>
      </w:r>
      <w:r w:rsidR="005B4C0C">
        <w:t>MDS data</w:t>
      </w:r>
      <w:r>
        <w:t xml:space="preserve"> may be submitted electronically, but there still is a manual component</w:t>
      </w:r>
      <w:r w:rsidR="009B64DC">
        <w:t xml:space="preserve"> for many SNFs</w:t>
      </w:r>
      <w:r>
        <w:t>.</w:t>
      </w:r>
      <w:r w:rsidR="005B3255">
        <w:t xml:space="preserve">  </w:t>
      </w:r>
      <w:r w:rsidR="001C4501">
        <w:t xml:space="preserve">For the purposes of this burden estimation, we estimate that 85% of SNFs in the </w:t>
      </w:r>
      <w:r w:rsidR="006B230B">
        <w:t xml:space="preserve">Programs will submit the </w:t>
      </w:r>
      <w:r>
        <w:t>medical records</w:t>
      </w:r>
      <w:r w:rsidR="006B230B">
        <w:t xml:space="preserve"> electronically, while 15% will submit through manual processes such as printing and shipping.</w:t>
      </w:r>
      <w:r>
        <w:rPr>
          <w:rStyle w:val="FootnoteReference"/>
        </w:rPr>
        <w:footnoteReference w:id="4"/>
      </w:r>
      <w:r w:rsidR="006B230B">
        <w:t xml:space="preserve"> </w:t>
      </w:r>
    </w:p>
    <w:p w:rsidR="000A1BC2" w:rsidRPr="003F10A1" w:rsidP="00111EE7" w14:paraId="4A5F4C47" w14:textId="7E6C852E">
      <w:pPr>
        <w:pStyle w:val="Heading2"/>
      </w:pPr>
      <w:r w:rsidRPr="003F10A1">
        <w:t xml:space="preserve">Duplication of </w:t>
      </w:r>
      <w:r w:rsidRPr="003F10A1" w:rsidR="00347E50">
        <w:t>Similar Information</w:t>
      </w:r>
    </w:p>
    <w:p w:rsidR="00347E50" w:rsidRPr="0005585A" w:rsidP="2C7801B8" w14:paraId="5F863C0C" w14:textId="7CCF8218">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 xml:space="preserve">We note that </w:t>
      </w:r>
      <w:r w:rsidR="00D52DA5">
        <w:t>the collecti</w:t>
      </w:r>
      <w:r w:rsidR="001E496F">
        <w:t>on of</w:t>
      </w:r>
      <w:r w:rsidR="00D52DA5">
        <w:t xml:space="preserve"> data used to calculate the Program</w:t>
      </w:r>
      <w:r w:rsidR="005B43D2">
        <w:t xml:space="preserve">s’ MDS-based measures is </w:t>
      </w:r>
      <w:r w:rsidR="001E496F">
        <w:t xml:space="preserve">conducted </w:t>
      </w:r>
      <w:r w:rsidR="003A55A2">
        <w:t xml:space="preserve">by the SNF QRP </w:t>
      </w:r>
      <w:r w:rsidR="005B43D2">
        <w:t xml:space="preserve">under OMB control number 0938-1140. </w:t>
      </w:r>
      <w:r w:rsidR="0037760A">
        <w:t xml:space="preserve"> </w:t>
      </w:r>
      <w:r w:rsidR="001C4D8E">
        <w:t>The</w:t>
      </w:r>
      <w:r w:rsidR="00D42A59">
        <w:t xml:space="preserve"> </w:t>
      </w:r>
      <w:r w:rsidR="005571FA">
        <w:t>separate</w:t>
      </w:r>
      <w:r w:rsidR="00D42A59">
        <w:t xml:space="preserve"> burden accounted for in this </w:t>
      </w:r>
      <w:r w:rsidR="003A55A2">
        <w:t>i</w:t>
      </w:r>
      <w:r w:rsidR="00D42A59">
        <w:t xml:space="preserve">nformation </w:t>
      </w:r>
      <w:r w:rsidR="003A55A2">
        <w:t>c</w:t>
      </w:r>
      <w:r w:rsidR="00D42A59">
        <w:t xml:space="preserve">ollection </w:t>
      </w:r>
      <w:r w:rsidR="003A55A2">
        <w:t>r</w:t>
      </w:r>
      <w:r w:rsidR="00D42A59">
        <w:t>equest</w:t>
      </w:r>
      <w:r w:rsidR="00410AB4">
        <w:t xml:space="preserve"> captures the </w:t>
      </w:r>
      <w:r w:rsidR="00FF5730">
        <w:t xml:space="preserve">provider burden associated with submitting </w:t>
      </w:r>
      <w:r w:rsidR="00410AB4">
        <w:t xml:space="preserve">full </w:t>
      </w:r>
      <w:r w:rsidR="0015169F">
        <w:t xml:space="preserve">medical records </w:t>
      </w:r>
      <w:r w:rsidR="00410AB4">
        <w:t xml:space="preserve">that will be used to validate the MDS-based measure </w:t>
      </w:r>
      <w:r w:rsidR="00073916">
        <w:t>data</w:t>
      </w:r>
      <w:r w:rsidR="00FF5730">
        <w:t xml:space="preserve"> </w:t>
      </w:r>
      <w:r w:rsidR="00FF5730">
        <w:t>in order to</w:t>
      </w:r>
      <w:r w:rsidR="00FF5730">
        <w:t xml:space="preserve"> comply with the MDS validation process</w:t>
      </w:r>
      <w:r w:rsidR="00410AB4">
        <w:t>.</w:t>
      </w:r>
      <w:r w:rsidR="00DE629C">
        <w:t xml:space="preserve"> </w:t>
      </w:r>
      <w:r w:rsidR="0037760A">
        <w:t xml:space="preserve"> </w:t>
      </w:r>
      <w:r w:rsidR="00DE629C">
        <w:t xml:space="preserve">This data collection for the SNF VBP Program and the SNF QRP </w:t>
      </w:r>
      <w:r w:rsidR="00CB12F9">
        <w:t>does not duplicate any other effort and the data cannot be obtained from any other source.</w:t>
      </w:r>
    </w:p>
    <w:p w:rsidR="000A1BC2" w:rsidP="00111EE7" w14:paraId="3A53EC91" w14:textId="01C320BC">
      <w:pPr>
        <w:pStyle w:val="Heading2"/>
      </w:pPr>
      <w:r>
        <w:t>Small Businesses</w:t>
      </w:r>
    </w:p>
    <w:p w:rsidR="00347E50" w:rsidP="65D7FB9A" w14:paraId="1BA5D7D2" w14:textId="6FFB2569">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 xml:space="preserve">Information collection requirements were </w:t>
      </w:r>
      <w:r w:rsidR="003A55A2">
        <w:t xml:space="preserve">specifically </w:t>
      </w:r>
      <w:r>
        <w:t xml:space="preserve">designed to allow maximum flexibility to small </w:t>
      </w:r>
      <w:r w:rsidR="000327F6">
        <w:t>SNFs</w:t>
      </w:r>
      <w:r w:rsidR="00003AF1">
        <w:t xml:space="preserve"> randomly</w:t>
      </w:r>
      <w:r>
        <w:t xml:space="preserve"> </w:t>
      </w:r>
      <w:r w:rsidR="00DA29C3">
        <w:t>selected for the MDS validation process</w:t>
      </w:r>
      <w:r>
        <w:t xml:space="preserve">.  This effort will assist small </w:t>
      </w:r>
      <w:r w:rsidR="000327F6">
        <w:t>SNFs</w:t>
      </w:r>
      <w:r>
        <w:t xml:space="preserve"> in gathering information for their own quality improvement efforts.  </w:t>
      </w:r>
      <w:r w:rsidR="00B45D25">
        <w:t xml:space="preserve">In this filing, we utilized the instructions that pertain to </w:t>
      </w:r>
      <w:r w:rsidR="00670CB9">
        <w:t xml:space="preserve">the Paperwork Reduction Act Submission Worksheet, Part II to </w:t>
      </w:r>
      <w:r w:rsidR="05AACB35">
        <w:t>determine</w:t>
      </w:r>
      <w:r w:rsidR="00670CB9">
        <w:t xml:space="preserve"> the number of small entities.</w:t>
      </w:r>
      <w:r w:rsidR="0037760A">
        <w:t xml:space="preserve"> </w:t>
      </w:r>
      <w:r w:rsidR="00670CB9">
        <w:t xml:space="preserve"> </w:t>
      </w:r>
      <w:r w:rsidR="004648EC">
        <w:t xml:space="preserve">Specifically, a small entity can be defined as a small organization that is any not-for-profit enterprise that is independently owned and operated and is not dominant in its field. </w:t>
      </w:r>
      <w:r w:rsidR="0037760A">
        <w:t xml:space="preserve"> </w:t>
      </w:r>
      <w:r w:rsidR="004648EC">
        <w:t>Data indicate</w:t>
      </w:r>
      <w:r w:rsidR="00CC2019">
        <w:t xml:space="preserve"> that in 2022, 23% of the total </w:t>
      </w:r>
      <w:r w:rsidR="00EF4C30">
        <w:t xml:space="preserve">number of </w:t>
      </w:r>
      <w:r w:rsidR="00CC2019">
        <w:t>SNF</w:t>
      </w:r>
      <w:r w:rsidR="00EF4C30">
        <w:t xml:space="preserve">s </w:t>
      </w:r>
      <w:r w:rsidR="00CC2019">
        <w:t>were non-</w:t>
      </w:r>
      <w:r w:rsidR="22518B4D">
        <w:t>profit</w:t>
      </w:r>
      <w:r w:rsidR="00CC2019">
        <w:t>.</w:t>
      </w:r>
      <w:r w:rsidR="006C7214">
        <w:t xml:space="preserve"> </w:t>
      </w:r>
      <w:r w:rsidR="00CC2019">
        <w:t xml:space="preserve"> This equates to 3,550 non-profit SNFs. </w:t>
      </w:r>
      <w:r w:rsidR="006C7214">
        <w:t xml:space="preserve"> </w:t>
      </w:r>
      <w:r>
        <w:t xml:space="preserve">We do not expect this number to change significantly by the FY </w:t>
      </w:r>
      <w:r w:rsidR="000327F6">
        <w:t>2027</w:t>
      </w:r>
      <w:r>
        <w:t xml:space="preserve"> program year.</w:t>
      </w:r>
    </w:p>
    <w:p w:rsidR="00D26EEF" w:rsidP="00111EE7" w14:paraId="27ABF758" w14:textId="028645F2">
      <w:pPr>
        <w:pStyle w:val="Heading2"/>
      </w:pPr>
      <w:r w:rsidRPr="008C03C6">
        <w:t>Less Frequent Collection</w:t>
      </w:r>
    </w:p>
    <w:p w:rsidR="00D26EEF" w:rsidP="3D535B18" w14:paraId="5B5BD3A4" w14:textId="54F5F16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 xml:space="preserve">We have designed the collection of </w:t>
      </w:r>
      <w:r w:rsidR="00A77D7B">
        <w:t>medical records</w:t>
      </w:r>
      <w:r>
        <w:t xml:space="preserve"> </w:t>
      </w:r>
      <w:r w:rsidR="00A77D7B">
        <w:t xml:space="preserve">for the MDS validation process </w:t>
      </w:r>
      <w:r>
        <w:t xml:space="preserve">to be as minimally burdensome as possible while collecting the information necessary for data validation and for calculation of </w:t>
      </w:r>
      <w:r w:rsidR="00F93667">
        <w:t>reliable SNF performance scores</w:t>
      </w:r>
      <w:r>
        <w:t xml:space="preserve">.  Data validation is expected to occur quarterly, but as noted above, only up to </w:t>
      </w:r>
      <w:r w:rsidR="00F534D7">
        <w:t>1,500</w:t>
      </w:r>
      <w:r>
        <w:t xml:space="preserve"> </w:t>
      </w:r>
      <w:r w:rsidR="00F534D7">
        <w:t>SNFs</w:t>
      </w:r>
      <w:r>
        <w:t xml:space="preserve"> will be selected for validation in any given </w:t>
      </w:r>
      <w:r w:rsidR="5E3E4F87">
        <w:t>year</w:t>
      </w:r>
      <w:r>
        <w:t xml:space="preserve">.  Neither less frequent collection of data nor validation of fewer cases is practicable </w:t>
      </w:r>
      <w:r>
        <w:t>at this time</w:t>
      </w:r>
      <w:r>
        <w:t xml:space="preserve">.  Less frequent data collection would strain the ability for CMS to validate </w:t>
      </w:r>
      <w:r w:rsidR="006772D3">
        <w:t xml:space="preserve">the </w:t>
      </w:r>
      <w:r w:rsidR="00F534D7">
        <w:t>MDS</w:t>
      </w:r>
      <w:r w:rsidR="00491C33">
        <w:t>-based measure</w:t>
      </w:r>
      <w:r w:rsidR="00734CB0">
        <w:t>s</w:t>
      </w:r>
      <w:r w:rsidR="006772D3">
        <w:t xml:space="preserve"> </w:t>
      </w:r>
      <w:r>
        <w:t xml:space="preserve">in a timely manner. </w:t>
      </w:r>
      <w:r w:rsidR="003F10A1">
        <w:t xml:space="preserve"> </w:t>
      </w:r>
      <w:r w:rsidR="00A8185F">
        <w:t>I</w:t>
      </w:r>
      <w:r>
        <w:t>f</w:t>
      </w:r>
      <w:r w:rsidR="00F534D7">
        <w:t xml:space="preserve"> </w:t>
      </w:r>
      <w:r w:rsidR="00366708">
        <w:t xml:space="preserve">CMS </w:t>
      </w:r>
      <w:r>
        <w:t xml:space="preserve">proposed to validate </w:t>
      </w:r>
      <w:r w:rsidR="00CA2E7E">
        <w:t>MDS-based measures by reviewing</w:t>
      </w:r>
      <w:r>
        <w:t xml:space="preserve"> fewer </w:t>
      </w:r>
      <w:r w:rsidR="007B713B">
        <w:t>medical records</w:t>
      </w:r>
      <w:r>
        <w:t xml:space="preserve">, the </w:t>
      </w:r>
      <w:r w:rsidR="00366708">
        <w:t>SNF VBP P</w:t>
      </w:r>
      <w:r>
        <w:t>rogram</w:t>
      </w:r>
      <w:r w:rsidR="00366708">
        <w:t xml:space="preserve"> and the SNF QRP</w:t>
      </w:r>
      <w:r>
        <w:t xml:space="preserve"> would be less likely to generate meaningful results from validation.</w:t>
      </w:r>
      <w:r w:rsidR="43800A53">
        <w:t xml:space="preserve"> </w:t>
      </w:r>
      <w:r w:rsidR="00DE5610">
        <w:t xml:space="preserve"> </w:t>
      </w:r>
      <w:r w:rsidR="43800A53">
        <w:t>We finalized the 10-</w:t>
      </w:r>
      <w:r w:rsidR="00767971">
        <w:t xml:space="preserve">medical record </w:t>
      </w:r>
      <w:r w:rsidR="43800A53">
        <w:t>maximum because we believe it strik</w:t>
      </w:r>
      <w:r w:rsidR="00942E1F">
        <w:t>e</w:t>
      </w:r>
      <w:r w:rsidR="43800A53">
        <w:t xml:space="preserve">s the appropriate balance between creating a reliable annual validation estimate with a </w:t>
      </w:r>
      <w:r w:rsidR="5AC9D732">
        <w:t>quantity</w:t>
      </w:r>
      <w:r w:rsidR="43800A53">
        <w:t xml:space="preserve"> of </w:t>
      </w:r>
      <w:r w:rsidR="00767971">
        <w:t xml:space="preserve">medical records </w:t>
      </w:r>
      <w:r w:rsidR="43800A53">
        <w:t xml:space="preserve">that are least burdensome to SNFs. </w:t>
      </w:r>
      <w:r w:rsidR="00DE5610">
        <w:t xml:space="preserve"> </w:t>
      </w:r>
      <w:r w:rsidR="43800A53">
        <w:t>The 10-</w:t>
      </w:r>
      <w:r w:rsidR="00767971">
        <w:t xml:space="preserve">medical record </w:t>
      </w:r>
      <w:r w:rsidR="43800A53">
        <w:t xml:space="preserve">maximum is also generally consistent with policies </w:t>
      </w:r>
      <w:r w:rsidR="17BFFDBE">
        <w:t xml:space="preserve">that we have adopted for the Hospital </w:t>
      </w:r>
      <w:r w:rsidR="009B64DC">
        <w:t>Inpatient Quality Reporting (</w:t>
      </w:r>
      <w:r w:rsidR="17BFFDBE">
        <w:t>IQR</w:t>
      </w:r>
      <w:r w:rsidR="009B64DC">
        <w:t>)</w:t>
      </w:r>
      <w:r w:rsidR="17BFFDBE">
        <w:t xml:space="preserve"> Program and the H</w:t>
      </w:r>
      <w:r w:rsidR="009B64DC">
        <w:t>ospital-Acquired Condition (H</w:t>
      </w:r>
      <w:r w:rsidR="17BFFDBE">
        <w:t>AC</w:t>
      </w:r>
      <w:r w:rsidR="009B64DC">
        <w:t>)</w:t>
      </w:r>
      <w:r w:rsidR="17BFFDBE">
        <w:t xml:space="preserve"> Reduction Program. </w:t>
      </w:r>
      <w:r w:rsidR="00DE5610">
        <w:t xml:space="preserve"> </w:t>
      </w:r>
      <w:r w:rsidR="17BFFDBE">
        <w:t>For the FY 2026 program year, we request up to 8 charts per quarter for the clinical process of care category of measures, for a total of up to 16 charts per quarter for the Hospital IQR Program vali</w:t>
      </w:r>
      <w:r w:rsidR="5E3694D2">
        <w:t>dation, and we request up to 10 charts per quarter for the H</w:t>
      </w:r>
      <w:r w:rsidR="009B64DC">
        <w:t>AC</w:t>
      </w:r>
      <w:r w:rsidR="5E3694D2">
        <w:t xml:space="preserve"> Reduction Program validation. </w:t>
      </w:r>
    </w:p>
    <w:p w:rsidR="00D26EEF" w:rsidRPr="003F10A1" w:rsidP="00111EE7" w14:paraId="6CD326B2" w14:textId="6C788E35">
      <w:pPr>
        <w:pStyle w:val="Heading2"/>
      </w:pPr>
      <w:r w:rsidRPr="003F10A1">
        <w:t>Special Circumstances</w:t>
      </w:r>
    </w:p>
    <w:p w:rsidR="00347E50" w:rsidRPr="0005585A" w:rsidP="002567E9" w14:paraId="73C97FDB" w14:textId="77777777">
      <w:pPr>
        <w:spacing w:after="0"/>
        <w:ind w:firstLine="432"/>
      </w:pPr>
      <w:r>
        <w:t>There are no special circumstances.</w:t>
      </w:r>
    </w:p>
    <w:p w:rsidR="00D26EEF" w:rsidP="00111EE7" w14:paraId="29D9A72C" w14:textId="2C165FA0">
      <w:pPr>
        <w:pStyle w:val="Heading2"/>
      </w:pPr>
      <w:r>
        <w:t>Federal Register/Outside Consultation</w:t>
      </w:r>
    </w:p>
    <w:p w:rsidR="002C4B04" w:rsidP="002C4B04" w14:paraId="79A4034C" w14:textId="06BB62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Cs w:val="20"/>
        </w:rPr>
      </w:pPr>
      <w:r>
        <w:rPr>
          <w:szCs w:val="20"/>
        </w:rPr>
        <w:t>The Notice of Proposed Rulemaking (NPRM) FY 2025 SNF PPS proposed</w:t>
      </w:r>
      <w:r w:rsidRPr="00347E50">
        <w:rPr>
          <w:szCs w:val="20"/>
        </w:rPr>
        <w:t xml:space="preserve"> rule</w:t>
      </w:r>
      <w:r>
        <w:rPr>
          <w:szCs w:val="20"/>
        </w:rPr>
        <w:t xml:space="preserve"> published on April 3, 2024 </w:t>
      </w:r>
      <w:r w:rsidRPr="00347E50">
        <w:rPr>
          <w:szCs w:val="20"/>
        </w:rPr>
        <w:t>(</w:t>
      </w:r>
      <w:r>
        <w:rPr>
          <w:szCs w:val="20"/>
        </w:rPr>
        <w:t xml:space="preserve">89 FR </w:t>
      </w:r>
      <w:r w:rsidR="0085070B">
        <w:rPr>
          <w:szCs w:val="20"/>
        </w:rPr>
        <w:t>23483</w:t>
      </w:r>
      <w:r w:rsidR="000632B2">
        <w:rPr>
          <w:szCs w:val="20"/>
        </w:rPr>
        <w:t xml:space="preserve"> through 23484</w:t>
      </w:r>
      <w:r w:rsidRPr="00347E50">
        <w:rPr>
          <w:szCs w:val="20"/>
        </w:rPr>
        <w:t>).</w:t>
      </w:r>
    </w:p>
    <w:p w:rsidR="00347E50" w:rsidP="672B741F" w14:paraId="649172DF" w14:textId="7334B6A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Cs w:val="20"/>
        </w:rPr>
      </w:pPr>
      <w:r>
        <w:rPr>
          <w:szCs w:val="20"/>
        </w:rPr>
        <w:t>At this time</w:t>
      </w:r>
      <w:r>
        <w:rPr>
          <w:szCs w:val="20"/>
        </w:rPr>
        <w:t xml:space="preserve">, CMS has not received outside consultation </w:t>
      </w:r>
      <w:r w:rsidR="004F450D">
        <w:rPr>
          <w:szCs w:val="20"/>
        </w:rPr>
        <w:t xml:space="preserve">in the development of the MDS validation process. </w:t>
      </w:r>
      <w:r w:rsidR="00DE5610">
        <w:rPr>
          <w:szCs w:val="20"/>
        </w:rPr>
        <w:t xml:space="preserve"> </w:t>
      </w:r>
      <w:r w:rsidR="004F450D">
        <w:rPr>
          <w:szCs w:val="20"/>
        </w:rPr>
        <w:t xml:space="preserve">In the future, CMS </w:t>
      </w:r>
      <w:r w:rsidR="00590837">
        <w:rPr>
          <w:szCs w:val="20"/>
        </w:rPr>
        <w:t xml:space="preserve">will </w:t>
      </w:r>
      <w:r w:rsidR="004F450D">
        <w:rPr>
          <w:szCs w:val="20"/>
        </w:rPr>
        <w:t>receive support in this initiative from a validation contractor.</w:t>
      </w:r>
    </w:p>
    <w:p w:rsidR="00D26EEF" w:rsidRPr="00AB618D" w:rsidP="00111EE7" w14:paraId="3E364A9E" w14:textId="30067473">
      <w:pPr>
        <w:pStyle w:val="Heading2"/>
      </w:pPr>
      <w:r w:rsidRPr="00AB618D">
        <w:t>Payments/Gifts to Respondents</w:t>
      </w:r>
    </w:p>
    <w:p w:rsidR="00347E50" w:rsidRPr="0005585A" w:rsidP="00F4627F" w14:paraId="7D93598C" w14:textId="4850B14A">
      <w:pPr>
        <w:keepNext/>
        <w:spacing w:after="0"/>
        <w:ind w:firstLine="432"/>
      </w:pPr>
      <w:r>
        <w:t>There will be no gifts given for participation.</w:t>
      </w:r>
      <w:r w:rsidR="00DA73C6">
        <w:t xml:space="preserve"> </w:t>
      </w:r>
      <w:r w:rsidR="00DE5610">
        <w:t xml:space="preserve"> </w:t>
      </w:r>
      <w:r w:rsidR="00C818AF">
        <w:t>We note that SNFs selected for validation</w:t>
      </w:r>
      <w:r w:rsidR="00755D98">
        <w:t xml:space="preserve"> who do not submit the required </w:t>
      </w:r>
      <w:r w:rsidR="002C3B7A">
        <w:t xml:space="preserve">medical records </w:t>
      </w:r>
      <w:r w:rsidR="00D4592C">
        <w:t xml:space="preserve">will </w:t>
      </w:r>
      <w:r w:rsidR="00755D98">
        <w:t xml:space="preserve">be subject to </w:t>
      </w:r>
      <w:r w:rsidR="00735E1B">
        <w:t xml:space="preserve">a reduction of </w:t>
      </w:r>
      <w:r w:rsidR="00C72A0C">
        <w:t>2</w:t>
      </w:r>
      <w:r w:rsidR="00735E1B">
        <w:t xml:space="preserve"> percentage points to </w:t>
      </w:r>
      <w:r w:rsidR="002C28F2">
        <w:t xml:space="preserve">that applicable FY APU beginning with the </w:t>
      </w:r>
      <w:r w:rsidR="005F64EC">
        <w:t xml:space="preserve">FY </w:t>
      </w:r>
      <w:r w:rsidR="002C28F2">
        <w:t>2027 SNF QRP.</w:t>
      </w:r>
    </w:p>
    <w:p w:rsidR="000E56B6" w:rsidP="00111EE7" w14:paraId="5D68B3CB" w14:textId="741045F1">
      <w:pPr>
        <w:pStyle w:val="Heading2"/>
      </w:pPr>
      <w:r>
        <w:t>Confidentiality</w:t>
      </w:r>
    </w:p>
    <w:p w:rsidR="00AB6154" w:rsidP="00EB171A" w14:paraId="1C42C074" w14:textId="1CB51B56">
      <w:pPr>
        <w:pStyle w:val="Style0"/>
        <w:spacing w:after="160"/>
        <w:ind w:firstLine="432"/>
        <w:rPr>
          <w:snapToGrid/>
          <w:szCs w:val="24"/>
        </w:rPr>
      </w:pPr>
      <w:r>
        <w:t xml:space="preserve">We pledge privacy to the extent provided by law. </w:t>
      </w:r>
      <w:r w:rsidR="00DE5610">
        <w:t xml:space="preserve"> </w:t>
      </w:r>
      <w:r>
        <w:t>As a matter of policy, CMS will prevent the disclosure of</w:t>
      </w:r>
      <w:r>
        <w:rPr>
          <w:spacing w:val="-8"/>
        </w:rPr>
        <w:t xml:space="preserve"> </w:t>
      </w:r>
      <w:r>
        <w:t xml:space="preserve">personally identifiable information contained in the data submitted.  </w:t>
      </w:r>
      <w:r w:rsidRPr="00347E50" w:rsidR="00347E50">
        <w:rPr>
          <w:snapToGrid/>
          <w:szCs w:val="24"/>
        </w:rPr>
        <w:t xml:space="preserve">All information collected under this initiative will be maintained in strict accordance with statutes and regulations governing confidentiality requirements for </w:t>
      </w:r>
      <w:r w:rsidR="00F320FC">
        <w:t>CMS data, including the Privacy Act of 1974 (5 U.S.C. 552a)</w:t>
      </w:r>
      <w:r w:rsidR="006D6501">
        <w:t xml:space="preserve"> and </w:t>
      </w:r>
      <w:r w:rsidR="00F320FC">
        <w:t>the Health Insurance Portability and Accountability Act (HIPAA)</w:t>
      </w:r>
      <w:r w:rsidR="006D6501">
        <w:t>.</w:t>
      </w:r>
      <w:r w:rsidR="00912A25">
        <w:rPr>
          <w:snapToGrid/>
          <w:szCs w:val="24"/>
        </w:rPr>
        <w:t xml:space="preserve">  </w:t>
      </w:r>
      <w:r w:rsidRPr="005F3A61" w:rsidR="002F71D3">
        <w:t xml:space="preserve">  </w:t>
      </w:r>
      <w:r w:rsidR="002F71D3">
        <w:t>Only data</w:t>
      </w:r>
      <w:r w:rsidR="00EE1C14">
        <w:t xml:space="preserve"> at the facility level</w:t>
      </w:r>
      <w:r w:rsidR="002F71D3">
        <w:t xml:space="preserve"> will be made publicly available as mandated by statute.  </w:t>
      </w:r>
      <w:r w:rsidRPr="00347E50" w:rsidR="00347E50">
        <w:rPr>
          <w:snapToGrid/>
          <w:szCs w:val="24"/>
        </w:rPr>
        <w:t>The CMS clinical data warehouse also voluntarily meets or exceeds the HIPAA standards.</w:t>
      </w:r>
      <w:r w:rsidR="006B3495">
        <w:rPr>
          <w:snapToGrid/>
          <w:szCs w:val="24"/>
        </w:rPr>
        <w:t xml:space="preserve"> </w:t>
      </w:r>
    </w:p>
    <w:p w:rsidR="00D26EEF" w:rsidP="00285D42" w14:paraId="0CAD9962" w14:textId="03E0B43B">
      <w:pPr>
        <w:pStyle w:val="Style0"/>
        <w:ind w:firstLine="432"/>
      </w:pPr>
      <w:r>
        <w:rPr>
          <w:snapToGrid/>
        </w:rPr>
        <w:t>W</w:t>
      </w:r>
      <w:r w:rsidRPr="3AA4E31E" w:rsidR="00A21D21">
        <w:rPr>
          <w:snapToGrid/>
        </w:rPr>
        <w:t>e provide that a facility and a State may not release resident-</w:t>
      </w:r>
      <w:r w:rsidRPr="3AA4E31E" w:rsidR="7501CF33">
        <w:rPr>
          <w:snapToGrid/>
        </w:rPr>
        <w:t xml:space="preserve">identifiable </w:t>
      </w:r>
      <w:r w:rsidRPr="3AA4E31E" w:rsidR="00A21D21">
        <w:rPr>
          <w:snapToGrid/>
        </w:rPr>
        <w:t xml:space="preserve">information to the public and may not release the information to an agent or contractor without certain safeguards (42 </w:t>
      </w:r>
      <w:r w:rsidR="00B23776">
        <w:rPr>
          <w:snapToGrid/>
        </w:rPr>
        <w:t>CFR</w:t>
      </w:r>
      <w:r w:rsidRPr="3AA4E31E" w:rsidR="00B23776">
        <w:rPr>
          <w:snapToGrid/>
        </w:rPr>
        <w:t xml:space="preserve"> </w:t>
      </w:r>
      <w:r w:rsidRPr="3AA4E31E" w:rsidR="00A21D21">
        <w:rPr>
          <w:snapToGrid/>
        </w:rPr>
        <w:t xml:space="preserve">483.20(f)(5) and 483.315(j)). </w:t>
      </w:r>
    </w:p>
    <w:p w:rsidR="00D26EEF" w:rsidRPr="00116CC0" w:rsidP="00111EE7" w14:paraId="7AE1EC16" w14:textId="0189579C">
      <w:pPr>
        <w:pStyle w:val="Heading2"/>
      </w:pPr>
      <w:r w:rsidRPr="00116CC0">
        <w:t>Sensitive Questions</w:t>
      </w:r>
    </w:p>
    <w:p w:rsidR="00347E50" w:rsidRPr="0005585A" w:rsidP="00285D42" w14:paraId="2F642DD6" w14:textId="65176316">
      <w:pPr>
        <w:spacing w:after="0"/>
        <w:ind w:firstLine="432"/>
      </w:pPr>
      <w:r>
        <w:t xml:space="preserve">There are no </w:t>
      </w:r>
      <w:r w:rsidR="008B6E13">
        <w:t xml:space="preserve">questions of a </w:t>
      </w:r>
      <w:r>
        <w:t xml:space="preserve">sensitive </w:t>
      </w:r>
      <w:r w:rsidR="007F1731">
        <w:t>nature associated with these forms</w:t>
      </w:r>
      <w:r>
        <w:t>.</w:t>
      </w:r>
    </w:p>
    <w:p w:rsidR="00D26EEF" w:rsidP="00111EE7" w14:paraId="02261BC6" w14:textId="14DF5B7F">
      <w:pPr>
        <w:pStyle w:val="Heading2"/>
      </w:pPr>
      <w:r w:rsidRPr="004013EA">
        <w:t>Burden Estimates (Hours &amp; Wages)</w:t>
      </w:r>
    </w:p>
    <w:p w:rsidR="00347E50" w:rsidP="00111EE7" w14:paraId="01F2478C" w14:textId="04A79037">
      <w:pPr>
        <w:pStyle w:val="Heading3"/>
      </w:pPr>
      <w:r>
        <w:t>Background</w:t>
      </w:r>
    </w:p>
    <w:p w:rsidR="00347E50" w:rsidP="002B1426" w14:paraId="46AF6D92" w14:textId="14CE69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t>In the FY 2024 SNF PPS final rule</w:t>
      </w:r>
      <w:r w:rsidR="00230E61">
        <w:t xml:space="preserve"> (88 FR 53324 through 53325)</w:t>
      </w:r>
      <w:r>
        <w:t xml:space="preserve">, </w:t>
      </w:r>
      <w:r w:rsidR="004F4AC3">
        <w:t>CMS</w:t>
      </w:r>
      <w:r>
        <w:t xml:space="preserve"> finalized </w:t>
      </w:r>
      <w:r w:rsidR="004F4AC3">
        <w:t xml:space="preserve">for the SNF VBP Program </w:t>
      </w:r>
      <w:r>
        <w:t>the initial components of a validation process for measures calculated using MDS data</w:t>
      </w:r>
      <w:r w:rsidR="007F1731">
        <w:t xml:space="preserve"> </w:t>
      </w:r>
      <w:r w:rsidR="0066139A">
        <w:t>beginning with the FY 2027 program year</w:t>
      </w:r>
      <w:r>
        <w:t xml:space="preserve">. </w:t>
      </w:r>
      <w:r w:rsidR="00FE6F41">
        <w:t xml:space="preserve"> </w:t>
      </w:r>
      <w:r>
        <w:t xml:space="preserve">These include the selection methodology, the notification and submission timeline for selected SNFs, and the </w:t>
      </w:r>
      <w:r w:rsidR="00B974D4">
        <w:t xml:space="preserve">number </w:t>
      </w:r>
      <w:r>
        <w:t xml:space="preserve">of </w:t>
      </w:r>
      <w:r w:rsidR="00883973">
        <w:t xml:space="preserve">medical records </w:t>
      </w:r>
      <w:r>
        <w:t>requested for submission.</w:t>
      </w:r>
      <w:r w:rsidR="00FE6F41">
        <w:t xml:space="preserve"> </w:t>
      </w:r>
      <w:r>
        <w:t xml:space="preserve"> </w:t>
      </w:r>
      <w:r w:rsidR="00D748BB">
        <w:t>In the FY 2025 SNF PPS</w:t>
      </w:r>
      <w:r w:rsidR="799D71D6">
        <w:t xml:space="preserve"> </w:t>
      </w:r>
      <w:r w:rsidR="006161BE">
        <w:t xml:space="preserve">final </w:t>
      </w:r>
      <w:r w:rsidR="799D71D6">
        <w:t>rule</w:t>
      </w:r>
      <w:r w:rsidR="003731E2">
        <w:t xml:space="preserve"> (89 FR </w:t>
      </w:r>
      <w:r w:rsidR="00312474">
        <w:t>64118 through 64122</w:t>
      </w:r>
      <w:r w:rsidR="003731E2">
        <w:t>)</w:t>
      </w:r>
      <w:r w:rsidR="008A0E0C">
        <w:t xml:space="preserve">, </w:t>
      </w:r>
      <w:r w:rsidR="007833AB">
        <w:t xml:space="preserve">CMS </w:t>
      </w:r>
      <w:r w:rsidR="00E05486">
        <w:t xml:space="preserve">finalized </w:t>
      </w:r>
      <w:r w:rsidR="005134B4">
        <w:t xml:space="preserve">that </w:t>
      </w:r>
      <w:r w:rsidR="00D54741">
        <w:t xml:space="preserve">SNFs participating in the </w:t>
      </w:r>
      <w:r w:rsidR="008171B1">
        <w:t>SNF QRP</w:t>
      </w:r>
      <w:r w:rsidR="004119B5">
        <w:t xml:space="preserve"> </w:t>
      </w:r>
      <w:r w:rsidR="00D4592C">
        <w:t>will</w:t>
      </w:r>
      <w:r w:rsidR="005134B4">
        <w:t xml:space="preserve"> </w:t>
      </w:r>
      <w:r w:rsidR="00D54741">
        <w:t xml:space="preserve">be required to </w:t>
      </w:r>
      <w:r w:rsidR="007833AB">
        <w:t>participate in</w:t>
      </w:r>
      <w:r w:rsidR="00E055C7">
        <w:t xml:space="preserve"> </w:t>
      </w:r>
      <w:r w:rsidR="00151492">
        <w:t xml:space="preserve">the MDS validation process </w:t>
      </w:r>
      <w:r w:rsidR="00DE356C">
        <w:t>previously adopted by the SNF VBP Program</w:t>
      </w:r>
      <w:r w:rsidR="00D54741">
        <w:t xml:space="preserve"> </w:t>
      </w:r>
      <w:r w:rsidR="00CB1005">
        <w:t xml:space="preserve">beginning with the FY 2027 SNF QRP </w:t>
      </w:r>
      <w:r w:rsidR="00CB1005">
        <w:t>in order to</w:t>
      </w:r>
      <w:r w:rsidR="00CB1005">
        <w:t xml:space="preserve"> closely align with </w:t>
      </w:r>
      <w:r>
        <w:t>the validation</w:t>
      </w:r>
      <w:r w:rsidR="00ED1148">
        <w:t xml:space="preserve"> processes for the SNF VBP Program</w:t>
      </w:r>
      <w:r w:rsidR="003731E2">
        <w:t>.</w:t>
      </w:r>
      <w:r>
        <w:t xml:space="preserve"> </w:t>
      </w:r>
      <w:r w:rsidR="007C1864">
        <w:t xml:space="preserve">CMS also </w:t>
      </w:r>
      <w:r w:rsidR="00C01F18">
        <w:t xml:space="preserve">finalized </w:t>
      </w:r>
      <w:r w:rsidR="000F185A">
        <w:t xml:space="preserve">a policy </w:t>
      </w:r>
      <w:r w:rsidR="007C1864">
        <w:t>that</w:t>
      </w:r>
      <w:r w:rsidR="000F185A">
        <w:t>,</w:t>
      </w:r>
      <w:r w:rsidR="007C1864">
        <w:t xml:space="preserve"> if a SNF does not submit the requested number of medical records within 45 days of the initial request</w:t>
      </w:r>
      <w:r w:rsidR="0074750F">
        <w:t xml:space="preserve">, their otherwise applicable annual market basket percentage update </w:t>
      </w:r>
      <w:r w:rsidR="00994761">
        <w:t xml:space="preserve">will </w:t>
      </w:r>
      <w:r w:rsidR="0074750F">
        <w:t xml:space="preserve">be </w:t>
      </w:r>
      <w:r w:rsidR="00001254">
        <w:t>reduced</w:t>
      </w:r>
      <w:r w:rsidR="0074750F">
        <w:t xml:space="preserve"> by 2 </w:t>
      </w:r>
      <w:r w:rsidR="0081743D">
        <w:t>percentage points</w:t>
      </w:r>
      <w:r w:rsidR="0074750F">
        <w:t xml:space="preserve">. </w:t>
      </w:r>
      <w:r w:rsidR="00CB7B28">
        <w:t xml:space="preserve"> </w:t>
      </w:r>
      <w:r w:rsidR="0074750F">
        <w:t xml:space="preserve">The reduction </w:t>
      </w:r>
      <w:r w:rsidR="00D4592C">
        <w:t xml:space="preserve">will </w:t>
      </w:r>
      <w:r w:rsidR="0074750F">
        <w:t>be applied</w:t>
      </w:r>
      <w:r w:rsidR="00D9371E">
        <w:t xml:space="preserve"> to the payment update 2 fiscal years after the fiscal year for which the validation contractor requested records</w:t>
      </w:r>
      <w:r>
        <w:t xml:space="preserve">. </w:t>
      </w:r>
      <w:r w:rsidR="00FE6F41">
        <w:t xml:space="preserve"> </w:t>
      </w:r>
      <w:r>
        <w:t xml:space="preserve">In the three-year period covered under this data collection, </w:t>
      </w:r>
      <w:r w:rsidR="00EC6138">
        <w:t>no more than</w:t>
      </w:r>
      <w:r>
        <w:t xml:space="preserve"> </w:t>
      </w:r>
      <w:r>
        <w:t>4,500</w:t>
      </w:r>
      <w:r>
        <w:t xml:space="preserve"> </w:t>
      </w:r>
      <w:r>
        <w:t>SNFs</w:t>
      </w:r>
      <w:r>
        <w:t xml:space="preserve"> (beginning in FY </w:t>
      </w:r>
      <w:r>
        <w:t>2025</w:t>
      </w:r>
      <w:r>
        <w:t xml:space="preserve">) will be selected for validation.  </w:t>
      </w:r>
      <w:r>
        <w:t>These burden estimates</w:t>
      </w:r>
      <w:r>
        <w:t xml:space="preserve"> exclude burden associated with the </w:t>
      </w:r>
      <w:r>
        <w:t>MDS</w:t>
      </w:r>
      <w:r>
        <w:t xml:space="preserve"> data collection, which is captured under OMB control number</w:t>
      </w:r>
      <w:r w:rsidR="001B1D23">
        <w:t>:</w:t>
      </w:r>
      <w:r>
        <w:t xml:space="preserve"> </w:t>
      </w:r>
      <w:r>
        <w:t>0938-1140</w:t>
      </w:r>
      <w:r>
        <w:t>.</w:t>
      </w:r>
    </w:p>
    <w:p w:rsidR="4F7634F1" w:rsidP="000838E2" w14:paraId="5D777D7C" w14:textId="289F5208">
      <w:pPr>
        <w:ind w:firstLine="432"/>
      </w:pPr>
      <w:r>
        <w:t xml:space="preserve">For the purposes of burden estimation, we assume </w:t>
      </w:r>
      <w:r>
        <w:t>all of</w:t>
      </w:r>
      <w:r>
        <w:t xml:space="preserve"> the activities associated with the </w:t>
      </w:r>
      <w:r w:rsidR="00450733">
        <w:t>MDS</w:t>
      </w:r>
      <w:r>
        <w:t xml:space="preserve"> validation process</w:t>
      </w:r>
      <w:r w:rsidR="00FA4703">
        <w:t xml:space="preserve">, such as </w:t>
      </w:r>
      <w:r w:rsidR="008767F5">
        <w:t xml:space="preserve">the </w:t>
      </w:r>
      <w:r w:rsidR="00FA4703">
        <w:t>abstraction and submission</w:t>
      </w:r>
      <w:r w:rsidR="008767F5">
        <w:t xml:space="preserve"> of medical records</w:t>
      </w:r>
      <w:r w:rsidR="00FA4703">
        <w:t>,</w:t>
      </w:r>
      <w:r>
        <w:t xml:space="preserve"> would be completed by </w:t>
      </w:r>
      <w:r w:rsidR="00835178">
        <w:t xml:space="preserve">Health Information </w:t>
      </w:r>
      <w:r w:rsidR="005E297F">
        <w:t>Technologists and Medical Registrars</w:t>
      </w:r>
      <w:r w:rsidR="00716A9C">
        <w:t xml:space="preserve"> </w:t>
      </w:r>
      <w:r w:rsidR="00F22062">
        <w:t>(</w:t>
      </w:r>
      <w:r w:rsidR="000A0622">
        <w:t>HIT/MR)</w:t>
      </w:r>
      <w:r w:rsidR="00716A9C">
        <w:t xml:space="preserve"> </w:t>
      </w:r>
      <w:r w:rsidR="00F22062">
        <w:t>(</w:t>
      </w:r>
      <w:r w:rsidR="007826BA">
        <w:t>29-9021</w:t>
      </w:r>
      <w:r w:rsidR="00716A9C">
        <w:t>)</w:t>
      </w:r>
      <w:r w:rsidR="00347E50">
        <w:t>.  The labor performed can be accomplished by these staff with a me</w:t>
      </w:r>
      <w:r w:rsidR="008525CB">
        <w:t>di</w:t>
      </w:r>
      <w:r w:rsidR="00347E50">
        <w:t>an hourly wage</w:t>
      </w:r>
      <w:r w:rsidR="002563D2">
        <w:t xml:space="preserve"> of</w:t>
      </w:r>
      <w:r w:rsidR="00347E50">
        <w:t xml:space="preserve"> $</w:t>
      </w:r>
      <w:r w:rsidR="007826BA">
        <w:t>28.01</w:t>
      </w:r>
      <w:r w:rsidR="00347E50">
        <w:t xml:space="preserve"> per hour; </w:t>
      </w:r>
      <w:r>
        <w:rPr>
          <w:rStyle w:val="FootnoteReference"/>
        </w:rPr>
        <w:footnoteReference w:id="5"/>
      </w:r>
      <w:r w:rsidR="00347E50">
        <w:t xml:space="preserve"> however, obtaining data on other overhead costs is challenging.  Overhead costs vary greatly across industries and organization size.  In addition, the precise cost elements assigned as “indirect” or “overhead” costs, as opposed to direct costs or employee wages, are subject to some interpretation at the organization level.  Therefore, we have chosen to calculate the cost of overhead at 100% of the </w:t>
      </w:r>
      <w:r w:rsidR="00DB2D7C">
        <w:t xml:space="preserve">median </w:t>
      </w:r>
      <w:r w:rsidR="00347E50">
        <w:t xml:space="preserve">hourly wage.  This is necessarily a rough adjustment, both because fringe benefits and overhead costs vary significantly from employer to employer, and because methods of estimating these costs vary widely from study to study.  Nonetheless, there is no practical </w:t>
      </w:r>
      <w:r w:rsidR="3DDEA8A4">
        <w:t>alternative,</w:t>
      </w:r>
      <w:r w:rsidR="00347E50">
        <w:t xml:space="preserve"> and we believe that doubling the hourly wage to estimate total cost is a reasonably accurate estimation method.  Therefore, using these assumptions, we estimate an hourly labor cost of $</w:t>
      </w:r>
      <w:r w:rsidR="007C7BD2">
        <w:t>56.02</w:t>
      </w:r>
      <w:r w:rsidR="00347E50">
        <w:t xml:space="preserve"> </w:t>
      </w:r>
      <w:r w:rsidR="00075B70">
        <w:t>per hour</w:t>
      </w:r>
      <w:r w:rsidR="00347E50">
        <w:t xml:space="preserve"> ($</w:t>
      </w:r>
      <w:r w:rsidR="007C7BD2">
        <w:t>28</w:t>
      </w:r>
      <w:r w:rsidR="00835178">
        <w:t>.</w:t>
      </w:r>
      <w:r w:rsidR="007C7BD2">
        <w:t>01</w:t>
      </w:r>
      <w:r w:rsidR="00B95F6C">
        <w:t xml:space="preserve"> per hour</w:t>
      </w:r>
      <w:r w:rsidR="00347E50">
        <w:t xml:space="preserve"> base salary + $</w:t>
      </w:r>
      <w:r w:rsidR="007C7BD2">
        <w:t>28</w:t>
      </w:r>
      <w:r w:rsidR="00835178">
        <w:t>.</w:t>
      </w:r>
      <w:r w:rsidR="007C7BD2">
        <w:t xml:space="preserve">01 </w:t>
      </w:r>
      <w:r w:rsidR="00B95F6C">
        <w:t xml:space="preserve">per hour </w:t>
      </w:r>
      <w:r w:rsidR="00347E50">
        <w:t>fringe).</w:t>
      </w:r>
    </w:p>
    <w:p w:rsidR="00347E50" w:rsidP="00111EE7" w14:paraId="762A7590" w14:textId="6AE36ABF">
      <w:pPr>
        <w:pStyle w:val="Heading3"/>
      </w:pPr>
      <w:r>
        <w:t xml:space="preserve">Annual Burden </w:t>
      </w:r>
      <w:r>
        <w:t xml:space="preserve">Estimates </w:t>
      </w:r>
      <w:r>
        <w:t>Beginning with</w:t>
      </w:r>
      <w:r>
        <w:t xml:space="preserve"> FY </w:t>
      </w:r>
      <w:r w:rsidR="00734BEA">
        <w:t>2025</w:t>
      </w:r>
      <w:r>
        <w:t xml:space="preserve"> </w:t>
      </w:r>
    </w:p>
    <w:p w:rsidR="00347E50" w:rsidP="00285D42" w14:paraId="55ED12BE" w14:textId="12571423">
      <w:pPr>
        <w:ind w:firstLine="432"/>
      </w:pPr>
      <w:r>
        <w:t xml:space="preserve">We note that </w:t>
      </w:r>
      <w:r w:rsidR="002F324F">
        <w:t xml:space="preserve">the MDS validation process </w:t>
      </w:r>
      <w:r w:rsidR="000C383C">
        <w:t xml:space="preserve">will </w:t>
      </w:r>
      <w:r w:rsidR="002F324F">
        <w:t>start</w:t>
      </w:r>
      <w:r>
        <w:t xml:space="preserve"> in</w:t>
      </w:r>
      <w:r w:rsidR="002D1724">
        <w:t xml:space="preserve"> </w:t>
      </w:r>
      <w:r>
        <w:t xml:space="preserve">FY </w:t>
      </w:r>
      <w:r w:rsidR="002D1724">
        <w:t xml:space="preserve">2025 </w:t>
      </w:r>
      <w:r w:rsidR="002F324F">
        <w:t xml:space="preserve">and </w:t>
      </w:r>
      <w:r w:rsidR="008F1DC2">
        <w:t xml:space="preserve">failure to submit the required medical records </w:t>
      </w:r>
      <w:r w:rsidR="000C383C">
        <w:t xml:space="preserve">will </w:t>
      </w:r>
      <w:r>
        <w:t>impact payment for</w:t>
      </w:r>
      <w:r w:rsidR="00F65B38">
        <w:t xml:space="preserve"> selected</w:t>
      </w:r>
      <w:r>
        <w:t xml:space="preserve"> </w:t>
      </w:r>
      <w:r w:rsidR="002F324F">
        <w:t xml:space="preserve">SNFs </w:t>
      </w:r>
      <w:r>
        <w:t xml:space="preserve">in </w:t>
      </w:r>
      <w:r w:rsidR="008F1DC2">
        <w:t xml:space="preserve">the </w:t>
      </w:r>
      <w:r>
        <w:t>FY 2027</w:t>
      </w:r>
      <w:r w:rsidR="00756778">
        <w:t xml:space="preserve"> program year</w:t>
      </w:r>
      <w:r w:rsidR="002F324F">
        <w:t xml:space="preserve"> </w:t>
      </w:r>
      <w:r w:rsidR="00EC3C0C">
        <w:t>via</w:t>
      </w:r>
      <w:r w:rsidR="002F324F">
        <w:t xml:space="preserve"> the SNF QRP APU</w:t>
      </w:r>
      <w:r>
        <w:t xml:space="preserve">. </w:t>
      </w:r>
    </w:p>
    <w:p w:rsidR="00E204C3" w:rsidP="00965B94" w14:paraId="28F77EA1" w14:textId="72C64D43">
      <w:pPr>
        <w:ind w:firstLine="432"/>
      </w:pPr>
      <w:r>
        <w:t xml:space="preserve">While we </w:t>
      </w:r>
      <w:r w:rsidR="00316AC0">
        <w:t>finalized</w:t>
      </w:r>
      <w:r w:rsidR="002A0C76">
        <w:t xml:space="preserve"> </w:t>
      </w:r>
      <w:r w:rsidR="004B07AC">
        <w:t xml:space="preserve">that we </w:t>
      </w:r>
      <w:r w:rsidR="004B07AC">
        <w:t>will</w:t>
      </w:r>
      <w:r w:rsidR="002A0C76">
        <w:t xml:space="preserve"> request a maximum of 10 </w:t>
      </w:r>
      <w:r w:rsidR="00FD19FA">
        <w:t>medical records</w:t>
      </w:r>
      <w:r w:rsidR="002A0C76">
        <w:t xml:space="preserve"> per </w:t>
      </w:r>
      <w:r w:rsidR="00F42AEA">
        <w:t xml:space="preserve">selected </w:t>
      </w:r>
      <w:r w:rsidR="002A0C76">
        <w:t xml:space="preserve">SNF, for estimating purposes, we assume each SNF will submit the </w:t>
      </w:r>
      <w:r w:rsidR="00E449A2">
        <w:t>maximum</w:t>
      </w:r>
      <w:r w:rsidR="00E43333">
        <w:t xml:space="preserve"> </w:t>
      </w:r>
      <w:r w:rsidR="00EC22A9">
        <w:t xml:space="preserve">number of </w:t>
      </w:r>
      <w:r w:rsidR="00E43333">
        <w:t>medical records</w:t>
      </w:r>
      <w:r w:rsidR="00E449A2">
        <w:t xml:space="preserve">.  </w:t>
      </w:r>
      <w:r>
        <w:t xml:space="preserve">We estimate that approximately 85 percent of SNFs </w:t>
      </w:r>
      <w:r w:rsidR="00C223A6">
        <w:t xml:space="preserve">(1,275 SNFs) </w:t>
      </w:r>
      <w:r>
        <w:t xml:space="preserve">utilize some form of </w:t>
      </w:r>
      <w:r>
        <w:t>electronic health records (EHR</w:t>
      </w:r>
      <w:r w:rsidR="00271050">
        <w:t>s</w:t>
      </w:r>
      <w:r>
        <w:t>)</w:t>
      </w:r>
      <w:r w:rsidR="002564B0">
        <w:t xml:space="preserve"> and would submit </w:t>
      </w:r>
      <w:r w:rsidR="00271050">
        <w:t>medical records electronically</w:t>
      </w:r>
      <w:r>
        <w:t xml:space="preserve">, </w:t>
      </w:r>
      <w:r w:rsidR="00E93061">
        <w:t xml:space="preserve">while the remaining </w:t>
      </w:r>
      <w:r>
        <w:t xml:space="preserve">15 percent </w:t>
      </w:r>
      <w:r w:rsidR="00C223A6">
        <w:t xml:space="preserve">(225 SNFs) </w:t>
      </w:r>
      <w:r>
        <w:t xml:space="preserve">would </w:t>
      </w:r>
      <w:r w:rsidR="00CA3135">
        <w:t xml:space="preserve">instead </w:t>
      </w:r>
      <w:r>
        <w:t>utilize manual processes such as printing and shipping</w:t>
      </w:r>
      <w:r w:rsidR="00271050">
        <w:t xml:space="preserve"> to submit medical records</w:t>
      </w:r>
      <w:r>
        <w:t>.</w:t>
      </w:r>
    </w:p>
    <w:p w:rsidR="003E7D99" w:rsidP="00223830" w14:paraId="59AE33CD" w14:textId="5CEECC06">
      <w:pPr>
        <w:ind w:firstLine="432"/>
      </w:pPr>
      <w:r>
        <w:t xml:space="preserve">We also </w:t>
      </w:r>
      <w:r w:rsidR="00FD19FA">
        <w:t xml:space="preserve">assume </w:t>
      </w:r>
      <w:r>
        <w:t xml:space="preserve">that </w:t>
      </w:r>
      <w:r w:rsidR="00FD19FA">
        <w:t>the submitted m</w:t>
      </w:r>
      <w:r>
        <w:t>edical records would consist of SNF stays that vary in length of stay</w:t>
      </w:r>
      <w:r w:rsidR="001F41C9">
        <w:t xml:space="preserve"> </w:t>
      </w:r>
      <w:r w:rsidR="00CE5E1B">
        <w:t>and</w:t>
      </w:r>
      <w:r w:rsidR="00F45A9D">
        <w:t>,</w:t>
      </w:r>
      <w:r w:rsidR="00CE5E1B">
        <w:t xml:space="preserve"> therefore</w:t>
      </w:r>
      <w:r w:rsidR="001733BA">
        <w:t>, vary in number of pages per record</w:t>
      </w:r>
      <w:r>
        <w:t xml:space="preserve">.  We estimate the length of stay for each of the randomly selected medical </w:t>
      </w:r>
      <w:r w:rsidR="00752BD4">
        <w:t xml:space="preserve">records </w:t>
      </w:r>
      <w:r>
        <w:t xml:space="preserve">could range from 20 days </w:t>
      </w:r>
      <w:r w:rsidR="00563A05">
        <w:t>or less</w:t>
      </w:r>
      <w:r w:rsidR="00CB45D3">
        <w:t>,</w:t>
      </w:r>
      <w:r>
        <w:t xml:space="preserve"> up to or exceeding 366 days.  </w:t>
      </w:r>
      <w:r w:rsidR="004A0318">
        <w:t xml:space="preserve">Based on </w:t>
      </w:r>
      <w:r w:rsidR="00E204C3">
        <w:t>SNF VBP Program history</w:t>
      </w:r>
      <w:r>
        <w:t>, we a</w:t>
      </w:r>
      <w:r w:rsidR="00E204C3">
        <w:t>ssume</w:t>
      </w:r>
      <w:r>
        <w:t xml:space="preserve"> the </w:t>
      </w:r>
      <w:r w:rsidR="00E204C3">
        <w:t>submitted</w:t>
      </w:r>
      <w:r>
        <w:t xml:space="preserve"> medical record</w:t>
      </w:r>
      <w:r w:rsidR="00E204C3">
        <w:t xml:space="preserve">s </w:t>
      </w:r>
      <w:r>
        <w:t>would be distributed among the possible lengths of stay</w:t>
      </w:r>
      <w:r w:rsidR="00E204C3">
        <w:t xml:space="preserve">: </w:t>
      </w:r>
      <w:r>
        <w:t xml:space="preserve">40 percent </w:t>
      </w:r>
      <w:r w:rsidR="00E204C3">
        <w:t>(</w:t>
      </w:r>
      <w:r>
        <w:t>4 stays</w:t>
      </w:r>
      <w:r w:rsidR="00E204C3">
        <w:t>)</w:t>
      </w:r>
      <w:r>
        <w:t xml:space="preserve"> would be </w:t>
      </w:r>
      <w:r w:rsidR="00D74006">
        <w:t>short (</w:t>
      </w:r>
      <w:r w:rsidR="004B7AD7">
        <w:t>1</w:t>
      </w:r>
      <w:r>
        <w:t xml:space="preserve"> to 30 days</w:t>
      </w:r>
      <w:r w:rsidR="00D74006">
        <w:t>)</w:t>
      </w:r>
      <w:r>
        <w:t xml:space="preserve">, 40 percent </w:t>
      </w:r>
      <w:r w:rsidR="00E204C3">
        <w:t>(</w:t>
      </w:r>
      <w:r>
        <w:t>4 stays</w:t>
      </w:r>
      <w:r w:rsidR="00E204C3">
        <w:t>)</w:t>
      </w:r>
      <w:r>
        <w:t xml:space="preserve"> would be </w:t>
      </w:r>
      <w:r w:rsidR="00D74006">
        <w:t>moderate (</w:t>
      </w:r>
      <w:r w:rsidR="002A6523">
        <w:t xml:space="preserve">31 to </w:t>
      </w:r>
      <w:r>
        <w:t>100 days</w:t>
      </w:r>
      <w:r w:rsidR="00D74006">
        <w:t>)</w:t>
      </w:r>
      <w:r>
        <w:t xml:space="preserve">, and 20 percent </w:t>
      </w:r>
      <w:r w:rsidR="00E204C3">
        <w:t>(</w:t>
      </w:r>
      <w:r>
        <w:t>2 stays</w:t>
      </w:r>
      <w:r w:rsidR="00E204C3">
        <w:t>)</w:t>
      </w:r>
      <w:r>
        <w:t xml:space="preserve"> would </w:t>
      </w:r>
      <w:r w:rsidR="00D74006">
        <w:t>be long (</w:t>
      </w:r>
      <w:r w:rsidR="00AE0D94">
        <w:t xml:space="preserve">101 to </w:t>
      </w:r>
      <w:r>
        <w:t>366 or more consecutive days</w:t>
      </w:r>
      <w:r w:rsidR="00D74006">
        <w:t>)</w:t>
      </w:r>
      <w:r>
        <w:t xml:space="preserve">.  </w:t>
      </w:r>
      <w:r w:rsidR="0057348C">
        <w:t xml:space="preserve">For </w:t>
      </w:r>
      <w:r w:rsidR="00D74006">
        <w:t xml:space="preserve">short </w:t>
      </w:r>
      <w:r w:rsidR="0057348C">
        <w:t xml:space="preserve">stays, we estimate the size of a medical record to </w:t>
      </w:r>
      <w:r w:rsidR="00562A9F">
        <w:t>average</w:t>
      </w:r>
      <w:r w:rsidR="009B2B61">
        <w:t xml:space="preserve"> </w:t>
      </w:r>
      <w:r w:rsidR="00227CC8">
        <w:t>480</w:t>
      </w:r>
      <w:r w:rsidR="006E2F59">
        <w:t xml:space="preserve"> </w:t>
      </w:r>
      <w:r w:rsidR="001C7137">
        <w:t xml:space="preserve">pages in length; for </w:t>
      </w:r>
      <w:r w:rsidR="00D74006">
        <w:t>moderate stays</w:t>
      </w:r>
      <w:r w:rsidR="0036708C">
        <w:t>, the size wou</w:t>
      </w:r>
      <w:r w:rsidR="00534E58">
        <w:t>ld average</w:t>
      </w:r>
      <w:r w:rsidR="0036708C">
        <w:t xml:space="preserve"> 780 pages; and for </w:t>
      </w:r>
      <w:r w:rsidR="00D74006">
        <w:t xml:space="preserve">long </w:t>
      </w:r>
      <w:r w:rsidR="0036708C">
        <w:t>s</w:t>
      </w:r>
      <w:r w:rsidR="000C4E44">
        <w:t xml:space="preserve">tays, the </w:t>
      </w:r>
      <w:r w:rsidR="00534E58">
        <w:t>size</w:t>
      </w:r>
      <w:r w:rsidR="000C4E44">
        <w:t xml:space="preserve"> would</w:t>
      </w:r>
      <w:r w:rsidR="00562A9F">
        <w:t xml:space="preserve"> averag</w:t>
      </w:r>
      <w:r w:rsidR="000C4E44">
        <w:t xml:space="preserve">e </w:t>
      </w:r>
      <w:r w:rsidR="00BD12E0">
        <w:t>2,400 pages</w:t>
      </w:r>
      <w:r w:rsidR="00534E58">
        <w:t xml:space="preserve">.  </w:t>
      </w:r>
      <w:r w:rsidR="00717ECA">
        <w:t xml:space="preserve">For medical records submitted electronically, we estimate it would require </w:t>
      </w:r>
      <w:r w:rsidR="00783EB0">
        <w:t>18</w:t>
      </w:r>
      <w:r w:rsidR="00717ECA">
        <w:t xml:space="preserve"> minutes (0.</w:t>
      </w:r>
      <w:r w:rsidR="00783EB0">
        <w:t>3</w:t>
      </w:r>
      <w:r w:rsidR="00717ECA">
        <w:t xml:space="preserve"> hours), </w:t>
      </w:r>
      <w:r w:rsidR="00783EB0">
        <w:t>30</w:t>
      </w:r>
      <w:r w:rsidR="00717ECA">
        <w:t xml:space="preserve"> minutes (0.5 hours), and </w:t>
      </w:r>
      <w:r w:rsidR="00783EB0">
        <w:t>4</w:t>
      </w:r>
      <w:r w:rsidR="00717ECA">
        <w:t>5 minutes (</w:t>
      </w:r>
      <w:r w:rsidR="00783EB0">
        <w:t>0.7</w:t>
      </w:r>
      <w:r w:rsidR="00717ECA">
        <w:t xml:space="preserve">5 hours) to submit </w:t>
      </w:r>
      <w:r w:rsidR="006E045E">
        <w:t xml:space="preserve">a </w:t>
      </w:r>
      <w:r w:rsidR="001700B8">
        <w:t xml:space="preserve">medical </w:t>
      </w:r>
      <w:r w:rsidR="00717ECA">
        <w:t xml:space="preserve">record for short, moderate, and long stays, respectively.  </w:t>
      </w:r>
      <w:r w:rsidR="00534E58">
        <w:t xml:space="preserve">For </w:t>
      </w:r>
      <w:r w:rsidR="0082153E">
        <w:t xml:space="preserve">medical records submitted </w:t>
      </w:r>
      <w:r w:rsidR="00717ECA">
        <w:t>manually</w:t>
      </w:r>
      <w:r w:rsidR="0082153E">
        <w:t xml:space="preserve">, we estimate it would require </w:t>
      </w:r>
      <w:r w:rsidR="003D1734">
        <w:t xml:space="preserve">30 </w:t>
      </w:r>
      <w:r w:rsidR="00D74006">
        <w:t xml:space="preserve">minutes (0.5 hours), 45 minutes (0.75 hours), and 75 minutes (1.25 hours) to </w:t>
      </w:r>
      <w:r w:rsidR="003905E2">
        <w:t xml:space="preserve">submit </w:t>
      </w:r>
      <w:r w:rsidR="001700B8">
        <w:t xml:space="preserve">a medical </w:t>
      </w:r>
      <w:r w:rsidR="009A1F12">
        <w:t>record for short, moderate, and long stays, respectively.</w:t>
      </w:r>
      <w:r w:rsidR="00C35CCC">
        <w:t xml:space="preserve">  Using these estimates, we </w:t>
      </w:r>
      <w:r w:rsidR="00170B79">
        <w:t>estimate each SNF submitt</w:t>
      </w:r>
      <w:r w:rsidR="0010181C">
        <w:t>ing</w:t>
      </w:r>
      <w:r w:rsidR="00170B79">
        <w:t xml:space="preserve"> electronically would require </w:t>
      </w:r>
      <w:r w:rsidR="00C5710C">
        <w:t>4.7 hours [(4 x 0.3 hours) + (4 x 0.5 hours) + (2 x 0.75 hours)]</w:t>
      </w:r>
      <w:r w:rsidR="00B5025E">
        <w:t xml:space="preserve"> </w:t>
      </w:r>
      <w:r w:rsidR="006D740A">
        <w:t xml:space="preserve">at a cost of </w:t>
      </w:r>
      <w:r w:rsidR="00AB17A2">
        <w:t>$263</w:t>
      </w:r>
      <w:r w:rsidR="00CA4890">
        <w:t>.29</w:t>
      </w:r>
      <w:r w:rsidR="00AB17A2">
        <w:t xml:space="preserve"> (4.7 hours x $56.02/hour)</w:t>
      </w:r>
      <w:r w:rsidR="00E942B1">
        <w:t>.  For all 1,275 SNFs, we estimate a total of 5,992.5 hours (1,275 SNFs x 4.7 hours/SNF)</w:t>
      </w:r>
      <w:r w:rsidR="000A7809">
        <w:t xml:space="preserve"> at a cost of </w:t>
      </w:r>
      <w:r w:rsidRPr="00D47168" w:rsidR="000A7809">
        <w:t>$335,</w:t>
      </w:r>
      <w:r w:rsidRPr="00D47168" w:rsidR="00EC11DF">
        <w:t>699.85</w:t>
      </w:r>
      <w:r w:rsidR="000A7809">
        <w:t xml:space="preserve"> (5,992.5 hours x $56.02/hour)</w:t>
      </w:r>
      <w:r w:rsidR="00193DDB">
        <w:t>.</w:t>
      </w:r>
      <w:r w:rsidR="00A06F7A">
        <w:t xml:space="preserve"> </w:t>
      </w:r>
      <w:r w:rsidR="005E70AD">
        <w:t xml:space="preserve"> </w:t>
      </w:r>
      <w:r w:rsidR="00CF2407">
        <w:t>We estimate</w:t>
      </w:r>
      <w:r w:rsidR="00B5025E">
        <w:t xml:space="preserve"> each SNF submitting manually would require </w:t>
      </w:r>
      <w:r w:rsidR="00E31795">
        <w:t>7.5</w:t>
      </w:r>
      <w:r w:rsidR="00B5025E">
        <w:t xml:space="preserve"> hours [(4 x 0.5 hours) + (4 x 0.75 hours) + (2 x 1.25 hours)]</w:t>
      </w:r>
      <w:r w:rsidR="00A06F7A">
        <w:t xml:space="preserve"> at a cost of </w:t>
      </w:r>
      <w:r w:rsidR="0088348E">
        <w:t>$420</w:t>
      </w:r>
      <w:r w:rsidR="003E5278">
        <w:t>.15</w:t>
      </w:r>
      <w:r w:rsidR="0088348E">
        <w:t xml:space="preserve"> (7.5 hours x $56.02/hour)</w:t>
      </w:r>
      <w:r w:rsidR="00E31795">
        <w:t>.</w:t>
      </w:r>
      <w:r w:rsidR="00C83518">
        <w:t xml:space="preserve">  </w:t>
      </w:r>
      <w:r w:rsidR="00CF2407">
        <w:t xml:space="preserve">For all 225 SNFs, we estimate a total of 1,687.5 hours (225 SNFs x 7.5 hours/SNF) at a cost of </w:t>
      </w:r>
      <w:r w:rsidRPr="00D47168" w:rsidR="00CF2407">
        <w:t>$94,53</w:t>
      </w:r>
      <w:r w:rsidRPr="00D47168" w:rsidR="00322E3D">
        <w:t>3.75</w:t>
      </w:r>
      <w:r w:rsidR="00624C0D">
        <w:t xml:space="preserve"> (1,687.5 hours x $56.02/hour).</w:t>
      </w:r>
    </w:p>
    <w:p w:rsidR="00B63931" w:rsidP="00223830" w14:paraId="3EF49763" w14:textId="5015E77B">
      <w:pPr>
        <w:ind w:firstLine="432"/>
      </w:pPr>
      <w:r>
        <w:t xml:space="preserve">In the </w:t>
      </w:r>
      <w:r w:rsidR="6BE01C9F">
        <w:t>F</w:t>
      </w:r>
      <w:r>
        <w:t>Y 201</w:t>
      </w:r>
      <w:r w:rsidR="00261845">
        <w:t>3</w:t>
      </w:r>
      <w:r>
        <w:t xml:space="preserve"> Inpatient Rehabilitation Facility PPS </w:t>
      </w:r>
      <w:r w:rsidR="00261845">
        <w:t xml:space="preserve">final </w:t>
      </w:r>
      <w:r>
        <w:t>rule (7</w:t>
      </w:r>
      <w:r w:rsidR="00261845">
        <w:t>7</w:t>
      </w:r>
      <w:r>
        <w:t xml:space="preserve"> FR </w:t>
      </w:r>
      <w:r w:rsidR="00261845">
        <w:t>53745</w:t>
      </w:r>
      <w:r>
        <w:t>), a cost of $0.12 per page was used to estimate printing costs.  Adjusted 42% for inflation, we use an estimate of $0.17 per page.</w:t>
      </w:r>
      <w:r>
        <w:rPr>
          <w:rStyle w:val="FootnoteReference"/>
        </w:rPr>
        <w:footnoteReference w:id="6"/>
      </w:r>
      <w:r>
        <w:t xml:space="preserve">  </w:t>
      </w:r>
      <w:r w:rsidR="004E3A46">
        <w:t xml:space="preserve">We note that we </w:t>
      </w:r>
      <w:r w:rsidR="00D67C53">
        <w:t>overestimate the inflation adjustment by 5% in our calculation.</w:t>
      </w:r>
      <w:r w:rsidR="00FA7CF2">
        <w:t xml:space="preserve"> </w:t>
      </w:r>
      <w:r w:rsidR="004E3A46">
        <w:t xml:space="preserve"> </w:t>
      </w:r>
      <w:r w:rsidR="003D64F1">
        <w:t xml:space="preserve">Therefore, </w:t>
      </w:r>
      <w:r w:rsidR="00DE54AE">
        <w:t>we estimate a total cost</w:t>
      </w:r>
      <w:r w:rsidR="002A16EC">
        <w:t xml:space="preserve"> for </w:t>
      </w:r>
      <w:r w:rsidR="00332C3C">
        <w:t xml:space="preserve">printing </w:t>
      </w:r>
      <w:r w:rsidR="002A16EC">
        <w:t>10 medical records</w:t>
      </w:r>
      <w:r w:rsidR="00DE54AE">
        <w:t xml:space="preserve"> of </w:t>
      </w:r>
      <w:r w:rsidR="00F0025B">
        <w:t>$1,67</w:t>
      </w:r>
      <w:r w:rsidR="00D53A25">
        <w:t>6.7</w:t>
      </w:r>
      <w:r w:rsidR="009E57CB">
        <w:t>4</w:t>
      </w:r>
      <w:r w:rsidR="00D6310F">
        <w:t xml:space="preserve"> </w:t>
      </w:r>
      <w:r w:rsidR="002E3BDF">
        <w:t xml:space="preserve">{$0.17/page x </w:t>
      </w:r>
      <w:r w:rsidR="00C53F5E">
        <w:t>[(4</w:t>
      </w:r>
      <w:r w:rsidR="00656A1F">
        <w:t xml:space="preserve"> x 480 pages) + (4 x 780 pages) + (2 x 2,400 pages)]</w:t>
      </w:r>
      <w:r w:rsidR="002E3BDF">
        <w:t xml:space="preserve">}.  </w:t>
      </w:r>
      <w:r w:rsidR="00706FA3">
        <w:t xml:space="preserve">For </w:t>
      </w:r>
      <w:r w:rsidR="004B14A6">
        <w:t>the purpose of</w:t>
      </w:r>
      <w:r w:rsidR="004B14A6">
        <w:t xml:space="preserve"> this burden </w:t>
      </w:r>
      <w:r w:rsidR="00F17FDD">
        <w:t>estimation</w:t>
      </w:r>
      <w:r w:rsidR="004B14A6">
        <w:t xml:space="preserve">, </w:t>
      </w:r>
      <w:r w:rsidR="00DE4420">
        <w:t xml:space="preserve">we estimate the shipping cost </w:t>
      </w:r>
      <w:r w:rsidR="00D94D21">
        <w:t xml:space="preserve">for submitting 10 medical records </w:t>
      </w:r>
      <w:r w:rsidR="00DE4420">
        <w:t xml:space="preserve">to be </w:t>
      </w:r>
      <w:r w:rsidR="00E56E16">
        <w:t xml:space="preserve">approximately </w:t>
      </w:r>
      <w:r w:rsidR="00DE4420">
        <w:t xml:space="preserve">$24.75 </w:t>
      </w:r>
      <w:r w:rsidR="00FA7CF2">
        <w:t>using</w:t>
      </w:r>
      <w:r w:rsidR="00DE4420">
        <w:t xml:space="preserve"> a large </w:t>
      </w:r>
      <w:r w:rsidR="00824EB2">
        <w:t>box through USPS flat shipping.</w:t>
      </w:r>
      <w:r>
        <w:rPr>
          <w:rStyle w:val="FootnoteReference"/>
        </w:rPr>
        <w:footnoteReference w:id="7"/>
      </w:r>
      <w:r w:rsidR="008646EE">
        <w:t xml:space="preserve">  </w:t>
      </w:r>
      <w:r w:rsidR="00516DD0">
        <w:t xml:space="preserve">In aggregate, we estimate the total cost </w:t>
      </w:r>
      <w:r w:rsidR="007209CF">
        <w:t xml:space="preserve">to submit 10 medical records manually, including </w:t>
      </w:r>
      <w:r w:rsidR="00516DD0">
        <w:t>printing and shipping</w:t>
      </w:r>
      <w:r w:rsidR="007209CF">
        <w:t>, to</w:t>
      </w:r>
      <w:r w:rsidR="00516DD0">
        <w:t xml:space="preserve"> be </w:t>
      </w:r>
      <w:r w:rsidR="00126047">
        <w:t>$</w:t>
      </w:r>
      <w:r w:rsidR="007209CF">
        <w:t>2,</w:t>
      </w:r>
      <w:r w:rsidR="00B85C09">
        <w:t xml:space="preserve">121.64 </w:t>
      </w:r>
      <w:r w:rsidR="00126047">
        <w:t>(</w:t>
      </w:r>
      <w:r w:rsidR="007209CF">
        <w:t>$420</w:t>
      </w:r>
      <w:r w:rsidR="00CA4890">
        <w:t>.15</w:t>
      </w:r>
      <w:r w:rsidR="007209CF">
        <w:t xml:space="preserve"> + </w:t>
      </w:r>
      <w:r w:rsidR="00126047">
        <w:t>$1,</w:t>
      </w:r>
      <w:r w:rsidR="00C015D2">
        <w:t>676.7</w:t>
      </w:r>
      <w:r w:rsidR="009E57CB">
        <w:t>4</w:t>
      </w:r>
      <w:r w:rsidR="00C015D2">
        <w:t xml:space="preserve"> </w:t>
      </w:r>
      <w:r w:rsidR="00126047">
        <w:t>+ $</w:t>
      </w:r>
      <w:r w:rsidR="00824EB2">
        <w:t>24.75</w:t>
      </w:r>
      <w:r w:rsidR="00126047">
        <w:t>)</w:t>
      </w:r>
      <w:r w:rsidR="007209CF">
        <w:t xml:space="preserve"> per SNF</w:t>
      </w:r>
      <w:r w:rsidR="00126047">
        <w:t>.</w:t>
      </w:r>
    </w:p>
    <w:p w:rsidR="00BD72F4" w:rsidP="00223830" w14:paraId="6F0295A6" w14:textId="6717B9F9">
      <w:pPr>
        <w:ind w:firstLine="432"/>
      </w:pPr>
      <w:r>
        <w:t xml:space="preserve">For all 1,500 SNFs, we estimate a total </w:t>
      </w:r>
      <w:r w:rsidR="00877DF8">
        <w:t xml:space="preserve">annual </w:t>
      </w:r>
      <w:r>
        <w:t xml:space="preserve">burden of </w:t>
      </w:r>
      <w:r w:rsidR="008661E7">
        <w:t>7,680 hours [(1,275 SNFs x 4.7 hours) + (225 SNFs x 7.5 hours)]</w:t>
      </w:r>
      <w:r w:rsidR="0006750B">
        <w:t xml:space="preserve"> </w:t>
      </w:r>
      <w:r w:rsidR="008661E7">
        <w:t xml:space="preserve">at a cost of </w:t>
      </w:r>
      <w:r w:rsidR="00877DF8">
        <w:t>$8</w:t>
      </w:r>
      <w:r w:rsidR="009919AF">
        <w:t>07,500</w:t>
      </w:r>
      <w:r w:rsidR="00912F4D">
        <w:t>.10</w:t>
      </w:r>
      <w:r w:rsidR="007B059B">
        <w:t xml:space="preserve"> </w:t>
      </w:r>
      <w:r w:rsidR="009415DC">
        <w:t>[</w:t>
      </w:r>
      <w:r w:rsidR="008B0567">
        <w:t>(7,680 hours x $56.02/hour) + (</w:t>
      </w:r>
      <w:r w:rsidR="009415DC">
        <w:t xml:space="preserve">225 SNFs x </w:t>
      </w:r>
      <w:r w:rsidR="001C411E">
        <w:t>$</w:t>
      </w:r>
      <w:r w:rsidR="009415DC">
        <w:t>1,</w:t>
      </w:r>
      <w:r w:rsidR="00E13CD9">
        <w:t>676.74</w:t>
      </w:r>
      <w:r w:rsidR="009415DC">
        <w:t>/SNF)]</w:t>
      </w:r>
      <w:r w:rsidR="00877DF8">
        <w:t>.</w:t>
      </w:r>
      <w:r w:rsidR="00B53287">
        <w:t xml:space="preserve">  </w:t>
      </w:r>
      <w:r w:rsidR="009919AF">
        <w:t xml:space="preserve">In addition, we estimate total shipping costs </w:t>
      </w:r>
      <w:r w:rsidR="00950EA5">
        <w:t xml:space="preserve">of </w:t>
      </w:r>
      <w:r w:rsidR="00832832">
        <w:t xml:space="preserve">$5,568.75 (225 SNFs x $24.75/SNF) </w:t>
      </w:r>
      <w:r w:rsidR="00950EA5">
        <w:t>for the 225 SNFs we estimate will submit medical records manually.</w:t>
      </w:r>
      <w:r w:rsidR="00832832">
        <w:t xml:space="preserve">  In aggregate, we </w:t>
      </w:r>
      <w:r w:rsidR="00AC00CC">
        <w:t>estimate total costs of $813,06</w:t>
      </w:r>
      <w:r w:rsidR="00617FF6">
        <w:t>8.85</w:t>
      </w:r>
      <w:r w:rsidR="00E0586F">
        <w:t xml:space="preserve"> for all 1,500 SNFs.</w:t>
      </w:r>
      <w:r w:rsidR="00F20A99">
        <w:t xml:space="preserve">  </w:t>
      </w:r>
    </w:p>
    <w:p w:rsidR="00DC069D" w:rsidP="0006750B" w14:paraId="38BDBE88" w14:textId="3774CF4D">
      <w:pPr>
        <w:ind w:firstLine="432"/>
      </w:pPr>
      <w:r>
        <w:t xml:space="preserve">Tables 1 </w:t>
      </w:r>
      <w:r w:rsidR="00EC1574">
        <w:t xml:space="preserve">through </w:t>
      </w:r>
      <w:r w:rsidR="00751613">
        <w:t>3</w:t>
      </w:r>
      <w:r>
        <w:t xml:space="preserve"> below illustrate the calculation of </w:t>
      </w:r>
      <w:r w:rsidR="005B777C">
        <w:t xml:space="preserve">annual </w:t>
      </w:r>
      <w:r>
        <w:t xml:space="preserve">burden </w:t>
      </w:r>
      <w:r w:rsidR="005B777C">
        <w:t xml:space="preserve">and costs </w:t>
      </w:r>
      <w:r>
        <w:t xml:space="preserve">associated with </w:t>
      </w:r>
      <w:r w:rsidR="00366E4A">
        <w:t xml:space="preserve">medical record </w:t>
      </w:r>
      <w:r w:rsidR="00C9242C">
        <w:t xml:space="preserve">abstraction </w:t>
      </w:r>
      <w:r w:rsidR="00B87382">
        <w:t xml:space="preserve">and submission </w:t>
      </w:r>
      <w:r w:rsidR="00492D6D">
        <w:t>of 10 medical records</w:t>
      </w:r>
      <w:r w:rsidR="00EC1574">
        <w:t xml:space="preserve"> </w:t>
      </w:r>
      <w:r w:rsidR="004C1287">
        <w:t xml:space="preserve">for </w:t>
      </w:r>
      <w:r w:rsidR="00F324E6">
        <w:t>1,500 SNFs</w:t>
      </w:r>
      <w:r w:rsidR="00492D6D">
        <w:t xml:space="preserve">.  </w:t>
      </w:r>
    </w:p>
    <w:p w:rsidR="00BF2949" w:rsidP="00711095" w14:paraId="76BF5797" w14:textId="4B06F271">
      <w:pPr>
        <w:keepNext/>
        <w:keepLines/>
        <w:spacing w:after="0"/>
        <w:jc w:val="center"/>
        <w:rPr>
          <w:b/>
        </w:rPr>
      </w:pPr>
      <w:r w:rsidRPr="0005585A">
        <w:rPr>
          <w:b/>
        </w:rPr>
        <w:t xml:space="preserve">Table 1. </w:t>
      </w:r>
      <w:r w:rsidR="003F0A04">
        <w:rPr>
          <w:b/>
        </w:rPr>
        <w:t xml:space="preserve">Estimated Burden for </w:t>
      </w:r>
      <w:r w:rsidR="00FA4703">
        <w:rPr>
          <w:b/>
        </w:rPr>
        <w:t xml:space="preserve">Medical Record </w:t>
      </w:r>
      <w:r w:rsidR="003F0A04">
        <w:rPr>
          <w:b/>
        </w:rPr>
        <w:t>Abstraction</w:t>
      </w:r>
      <w:r w:rsidR="00FA4703">
        <w:rPr>
          <w:b/>
        </w:rPr>
        <w:t xml:space="preserve"> and Submission</w:t>
      </w:r>
      <w:r w:rsidR="003F0A04">
        <w:rPr>
          <w:b/>
        </w:rPr>
        <w:t xml:space="preserve"> </w:t>
      </w:r>
      <w:r w:rsidR="00214E63">
        <w:rPr>
          <w:b/>
        </w:rPr>
        <w:t>A</w:t>
      </w:r>
      <w:r w:rsidR="003F0A04">
        <w:rPr>
          <w:b/>
        </w:rPr>
        <w:t xml:space="preserve">ssociated with </w:t>
      </w:r>
      <w:r w:rsidR="00845646">
        <w:rPr>
          <w:b/>
        </w:rPr>
        <w:t xml:space="preserve">the Estimated 1,275 </w:t>
      </w:r>
      <w:r w:rsidR="003F0A04">
        <w:rPr>
          <w:b/>
        </w:rPr>
        <w:t>SNFs Submitting Electronically</w:t>
      </w:r>
      <w:r w:rsidR="003F0A04">
        <w:rPr>
          <w:b/>
        </w:rPr>
        <w:t xml:space="preserve"> </w:t>
      </w:r>
      <w:r>
        <w:rPr>
          <w:b/>
        </w:rPr>
        <w:t xml:space="preserve"> </w:t>
      </w:r>
    </w:p>
    <w:p w:rsidR="00BF2949" w:rsidRPr="0005585A" w:rsidP="00711095" w14:paraId="25903996" w14:textId="77777777">
      <w:pPr>
        <w:keepNext/>
        <w:keepLines/>
        <w:spacing w:after="0"/>
        <w:rPr>
          <w:b/>
        </w:rPr>
      </w:pPr>
    </w:p>
    <w:tbl>
      <w:tblPr>
        <w:tblStyle w:val="TableGrid"/>
        <w:tblCaption w:val="Table 1: Burden Calculations for the HAC Reduction Program Measure Set and Other Activities for the FY 2020"/>
        <w:tblDescription w:val="This seven-column table presents, from the reader's left to right, the Measure Set (column one), Estimated time per record (minutes) - FY 2020 (column two), Number of reporting quarters per year -- FY 2020 (column three), Number of hospitals reporting (column four), Average number of records per hospital per quarter (column five), Annual burden (hours) per hospital (column six), and Calculation for FY 2020 for all subsection (d) hospitals selected for validation (column seven)."/>
        <w:tblW w:w="5000" w:type="pct"/>
        <w:tblLayout w:type="fixed"/>
        <w:tblCellMar>
          <w:left w:w="115" w:type="dxa"/>
          <w:right w:w="115" w:type="dxa"/>
        </w:tblCellMar>
        <w:tblLook w:val="04A0"/>
      </w:tblPr>
      <w:tblGrid>
        <w:gridCol w:w="1596"/>
        <w:gridCol w:w="1197"/>
        <w:gridCol w:w="1201"/>
        <w:gridCol w:w="961"/>
        <w:gridCol w:w="1042"/>
        <w:gridCol w:w="1558"/>
        <w:gridCol w:w="1795"/>
      </w:tblGrid>
      <w:tr w14:paraId="53105644" w14:textId="266BC727" w:rsidTr="00003CC9">
        <w:tblPrEx>
          <w:tblW w:w="5000" w:type="pct"/>
          <w:tblLayout w:type="fixed"/>
          <w:tblCellMar>
            <w:left w:w="115" w:type="dxa"/>
            <w:right w:w="115" w:type="dxa"/>
          </w:tblCellMar>
          <w:tblLook w:val="04A0"/>
        </w:tblPrEx>
        <w:trPr>
          <w:cantSplit/>
          <w:trHeight w:val="890"/>
          <w:tblHeader/>
        </w:trPr>
        <w:tc>
          <w:tcPr>
            <w:tcW w:w="853" w:type="pct"/>
            <w:tcBorders>
              <w:right w:val="single" w:sz="4" w:space="0" w:color="auto"/>
            </w:tcBorders>
            <w:shd w:val="clear" w:color="auto" w:fill="FFFFFF" w:themeFill="background1"/>
          </w:tcPr>
          <w:p w:rsidR="003F0A04" w:rsidRPr="007B42F8" w:rsidP="00711095" w14:paraId="28FE018A" w14:textId="2D9DAE6C">
            <w:pPr>
              <w:keepNext/>
              <w:keepLines/>
              <w:rPr>
                <w:rFonts w:ascii="Arial" w:hAnsi="Arial" w:cs="Arial"/>
                <w:b/>
                <w:bCs/>
                <w:sz w:val="18"/>
                <w:szCs w:val="18"/>
              </w:rPr>
            </w:pPr>
            <w:r w:rsidRPr="007B42F8">
              <w:rPr>
                <w:rFonts w:ascii="Arial" w:hAnsi="Arial" w:cs="Arial"/>
                <w:b/>
                <w:i/>
                <w:sz w:val="18"/>
                <w:szCs w:val="18"/>
              </w:rPr>
              <w:t>Length of Stay</w:t>
            </w:r>
          </w:p>
        </w:tc>
        <w:tc>
          <w:tcPr>
            <w:tcW w:w="640" w:type="pct"/>
            <w:tcBorders>
              <w:left w:val="single" w:sz="4" w:space="0" w:color="auto"/>
              <w:bottom w:val="single" w:sz="4" w:space="0" w:color="auto"/>
              <w:right w:val="single" w:sz="4" w:space="0" w:color="auto"/>
            </w:tcBorders>
            <w:shd w:val="clear" w:color="auto" w:fill="FFFFFF" w:themeFill="background1"/>
          </w:tcPr>
          <w:p w:rsidR="003F0A04" w:rsidRPr="008B106D" w:rsidP="00711095" w14:paraId="659CAE98" w14:textId="38E3DC9B">
            <w:pPr>
              <w:keepNext/>
              <w:keepLines/>
              <w:jc w:val="center"/>
              <w:rPr>
                <w:rFonts w:ascii="Arial" w:hAnsi="Arial" w:cs="Arial"/>
                <w:b/>
                <w:i/>
                <w:sz w:val="18"/>
                <w:szCs w:val="18"/>
              </w:rPr>
            </w:pPr>
            <w:r w:rsidRPr="007B42F8">
              <w:rPr>
                <w:rFonts w:ascii="Arial" w:hAnsi="Arial" w:cs="Arial"/>
                <w:b/>
                <w:i/>
                <w:sz w:val="18"/>
                <w:szCs w:val="18"/>
              </w:rPr>
              <w:t xml:space="preserve">Average number </w:t>
            </w:r>
            <w:r w:rsidR="00752BD4">
              <w:rPr>
                <w:rFonts w:ascii="Arial" w:hAnsi="Arial" w:cs="Arial"/>
                <w:b/>
                <w:i/>
                <w:sz w:val="18"/>
                <w:szCs w:val="18"/>
              </w:rPr>
              <w:t>medical records</w:t>
            </w:r>
            <w:r w:rsidRPr="007B42F8" w:rsidR="00752BD4">
              <w:rPr>
                <w:rFonts w:ascii="Arial" w:hAnsi="Arial" w:cs="Arial"/>
                <w:b/>
                <w:i/>
                <w:sz w:val="18"/>
                <w:szCs w:val="18"/>
              </w:rPr>
              <w:t xml:space="preserve"> </w:t>
            </w:r>
            <w:r w:rsidRPr="007B42F8">
              <w:rPr>
                <w:rFonts w:ascii="Arial" w:hAnsi="Arial" w:cs="Arial"/>
                <w:b/>
                <w:i/>
                <w:sz w:val="18"/>
                <w:szCs w:val="18"/>
              </w:rPr>
              <w:t xml:space="preserve">per SNF </w:t>
            </w:r>
          </w:p>
        </w:tc>
        <w:tc>
          <w:tcPr>
            <w:tcW w:w="642" w:type="pct"/>
            <w:tcBorders>
              <w:left w:val="single" w:sz="4" w:space="0" w:color="auto"/>
              <w:bottom w:val="single" w:sz="4" w:space="0" w:color="auto"/>
              <w:right w:val="single" w:sz="4" w:space="0" w:color="auto"/>
            </w:tcBorders>
            <w:shd w:val="clear" w:color="auto" w:fill="FFFFFF" w:themeFill="background1"/>
          </w:tcPr>
          <w:p w:rsidR="003F0A04" w:rsidRPr="008B106D" w:rsidP="00711095" w14:paraId="7A04E10C" w14:textId="1892F031">
            <w:pPr>
              <w:keepNext/>
              <w:keepLines/>
              <w:jc w:val="center"/>
              <w:rPr>
                <w:rFonts w:ascii="Arial" w:hAnsi="Arial" w:cs="Arial"/>
                <w:b/>
                <w:i/>
                <w:sz w:val="18"/>
                <w:szCs w:val="18"/>
              </w:rPr>
            </w:pPr>
            <w:r w:rsidRPr="007C13B3">
              <w:rPr>
                <w:rFonts w:ascii="Arial" w:hAnsi="Arial" w:cs="Arial"/>
                <w:b/>
                <w:i/>
                <w:sz w:val="18"/>
                <w:szCs w:val="18"/>
              </w:rPr>
              <w:t xml:space="preserve">Estimated time per </w:t>
            </w:r>
            <w:r w:rsidR="00752BD4">
              <w:rPr>
                <w:rFonts w:ascii="Arial" w:hAnsi="Arial" w:cs="Arial"/>
                <w:b/>
                <w:i/>
                <w:sz w:val="18"/>
                <w:szCs w:val="18"/>
              </w:rPr>
              <w:t>medical record</w:t>
            </w:r>
            <w:r w:rsidRPr="007C13B3" w:rsidR="00752BD4">
              <w:rPr>
                <w:rFonts w:ascii="Arial" w:hAnsi="Arial" w:cs="Arial"/>
                <w:b/>
                <w:i/>
                <w:sz w:val="18"/>
                <w:szCs w:val="18"/>
              </w:rPr>
              <w:t xml:space="preserve"> </w:t>
            </w:r>
            <w:r w:rsidRPr="007C13B3">
              <w:rPr>
                <w:rFonts w:ascii="Arial" w:hAnsi="Arial" w:cs="Arial"/>
                <w:b/>
                <w:i/>
                <w:sz w:val="18"/>
                <w:szCs w:val="18"/>
              </w:rPr>
              <w:t>(hours)</w:t>
            </w:r>
          </w:p>
        </w:tc>
        <w:tc>
          <w:tcPr>
            <w:tcW w:w="514" w:type="pct"/>
            <w:tcBorders>
              <w:left w:val="single" w:sz="4" w:space="0" w:color="auto"/>
              <w:bottom w:val="single" w:sz="4" w:space="0" w:color="auto"/>
              <w:right w:val="single" w:sz="4" w:space="0" w:color="auto"/>
            </w:tcBorders>
            <w:shd w:val="clear" w:color="auto" w:fill="FFFFFF" w:themeFill="background1"/>
          </w:tcPr>
          <w:p w:rsidR="003F0A04" w:rsidRPr="008B106D" w:rsidP="00711095" w14:paraId="330C2DDA" w14:textId="1CE65211">
            <w:pPr>
              <w:keepNext/>
              <w:keepLines/>
              <w:jc w:val="center"/>
              <w:rPr>
                <w:rFonts w:ascii="Arial" w:hAnsi="Arial" w:cs="Arial"/>
                <w:b/>
                <w:i/>
                <w:sz w:val="18"/>
                <w:szCs w:val="18"/>
              </w:rPr>
            </w:pPr>
            <w:r w:rsidRPr="000E6627">
              <w:rPr>
                <w:rFonts w:ascii="Arial" w:hAnsi="Arial" w:cs="Arial"/>
                <w:b/>
                <w:i/>
                <w:sz w:val="18"/>
                <w:szCs w:val="18"/>
              </w:rPr>
              <w:t>Annual burden (hours) per SNF</w:t>
            </w:r>
          </w:p>
        </w:tc>
        <w:tc>
          <w:tcPr>
            <w:tcW w:w="557" w:type="pct"/>
            <w:tcBorders>
              <w:left w:val="single" w:sz="4" w:space="0" w:color="auto"/>
              <w:bottom w:val="single" w:sz="4" w:space="0" w:color="auto"/>
              <w:right w:val="single" w:sz="4" w:space="0" w:color="auto"/>
            </w:tcBorders>
            <w:shd w:val="clear" w:color="auto" w:fill="FFFFFF" w:themeFill="background1"/>
          </w:tcPr>
          <w:p w:rsidR="003F0A04" w:rsidRPr="007B42F8" w:rsidP="00711095" w14:paraId="707C3D2C" w14:textId="281DC76D">
            <w:pPr>
              <w:keepNext/>
              <w:keepLines/>
              <w:jc w:val="center"/>
              <w:rPr>
                <w:rFonts w:ascii="Arial" w:hAnsi="Arial" w:cs="Arial"/>
                <w:b/>
                <w:bCs/>
                <w:sz w:val="18"/>
                <w:szCs w:val="18"/>
              </w:rPr>
            </w:pPr>
            <w:r w:rsidRPr="007B42F8">
              <w:rPr>
                <w:rFonts w:ascii="Arial" w:hAnsi="Arial" w:cs="Arial"/>
                <w:b/>
                <w:i/>
                <w:sz w:val="18"/>
                <w:szCs w:val="18"/>
              </w:rPr>
              <w:t>Number of SNFs reporting</w:t>
            </w:r>
          </w:p>
        </w:tc>
        <w:tc>
          <w:tcPr>
            <w:tcW w:w="833" w:type="pct"/>
            <w:tcBorders>
              <w:left w:val="single" w:sz="4" w:space="0" w:color="auto"/>
              <w:bottom w:val="single" w:sz="4" w:space="0" w:color="auto"/>
            </w:tcBorders>
            <w:shd w:val="clear" w:color="auto" w:fill="FFFFFF" w:themeFill="background1"/>
          </w:tcPr>
          <w:p w:rsidR="003F0A04" w:rsidRPr="007B42F8" w:rsidP="00711095" w14:paraId="28F4D15B" w14:textId="37B361A9">
            <w:pPr>
              <w:keepNext/>
              <w:keepLines/>
              <w:jc w:val="center"/>
              <w:rPr>
                <w:rFonts w:ascii="Arial" w:hAnsi="Arial" w:cs="Arial"/>
                <w:b/>
                <w:bCs/>
                <w:sz w:val="18"/>
                <w:szCs w:val="18"/>
              </w:rPr>
            </w:pPr>
            <w:r w:rsidRPr="007B42F8">
              <w:rPr>
                <w:rFonts w:ascii="Arial" w:hAnsi="Arial" w:cs="Arial"/>
                <w:b/>
                <w:i/>
                <w:sz w:val="18"/>
                <w:szCs w:val="18"/>
              </w:rPr>
              <w:t>Burden (hours) for all SNFs submitting electronically</w:t>
            </w:r>
          </w:p>
        </w:tc>
        <w:tc>
          <w:tcPr>
            <w:tcW w:w="960" w:type="pct"/>
            <w:tcBorders>
              <w:left w:val="single" w:sz="4" w:space="0" w:color="auto"/>
              <w:bottom w:val="single" w:sz="4" w:space="0" w:color="auto"/>
            </w:tcBorders>
            <w:shd w:val="clear" w:color="auto" w:fill="FFFFFF" w:themeFill="background1"/>
          </w:tcPr>
          <w:p w:rsidR="003F0A04" w:rsidRPr="008B106D" w:rsidP="00711095" w14:paraId="0FC3E15D" w14:textId="10282C7E">
            <w:pPr>
              <w:keepNext/>
              <w:keepLines/>
              <w:jc w:val="center"/>
              <w:rPr>
                <w:rFonts w:ascii="Arial" w:hAnsi="Arial" w:cs="Arial"/>
                <w:b/>
                <w:i/>
                <w:sz w:val="18"/>
                <w:szCs w:val="18"/>
              </w:rPr>
            </w:pPr>
            <w:r w:rsidRPr="007B42F8">
              <w:rPr>
                <w:rFonts w:ascii="Arial" w:hAnsi="Arial" w:cs="Arial"/>
                <w:b/>
                <w:i/>
                <w:sz w:val="18"/>
                <w:szCs w:val="18"/>
              </w:rPr>
              <w:t>Burden (cost)</w:t>
            </w:r>
            <w:r w:rsidR="00B71A7D">
              <w:rPr>
                <w:rFonts w:ascii="Arial" w:hAnsi="Arial" w:cs="Arial"/>
                <w:b/>
                <w:i/>
                <w:sz w:val="18"/>
                <w:szCs w:val="18"/>
              </w:rPr>
              <w:t xml:space="preserve"> for all SNFs submitting electronically</w:t>
            </w:r>
          </w:p>
        </w:tc>
      </w:tr>
      <w:tr w14:paraId="475907B1" w14:textId="225121D2" w:rsidTr="007B42F8">
        <w:tblPrEx>
          <w:tblW w:w="5000" w:type="pct"/>
          <w:tblLayout w:type="fixed"/>
          <w:tblCellMar>
            <w:left w:w="115" w:type="dxa"/>
            <w:right w:w="115" w:type="dxa"/>
          </w:tblCellMar>
          <w:tblLook w:val="04A0"/>
        </w:tblPrEx>
        <w:trPr>
          <w:trHeight w:val="360"/>
        </w:trPr>
        <w:tc>
          <w:tcPr>
            <w:tcW w:w="853" w:type="pct"/>
          </w:tcPr>
          <w:p w:rsidR="003F0A04" w:rsidRPr="007B42F8" w:rsidP="00711095" w14:paraId="34CA501C" w14:textId="2D133EE4">
            <w:pPr>
              <w:keepNext/>
              <w:keepLines/>
              <w:rPr>
                <w:rFonts w:ascii="Arial" w:hAnsi="Arial" w:cs="Arial"/>
                <w:b/>
                <w:bCs/>
                <w:sz w:val="18"/>
                <w:szCs w:val="18"/>
              </w:rPr>
            </w:pPr>
            <w:r w:rsidRPr="007B42F8">
              <w:rPr>
                <w:rFonts w:ascii="Arial" w:hAnsi="Arial" w:cs="Arial"/>
                <w:sz w:val="18"/>
                <w:szCs w:val="18"/>
              </w:rPr>
              <w:t>Short Stay</w:t>
            </w:r>
          </w:p>
        </w:tc>
        <w:tc>
          <w:tcPr>
            <w:tcW w:w="640" w:type="pct"/>
          </w:tcPr>
          <w:p w:rsidR="003F0A04" w:rsidRPr="008B106D" w:rsidP="00711095" w14:paraId="5C60FCDD" w14:textId="75471B78">
            <w:pPr>
              <w:keepNext/>
              <w:keepLines/>
              <w:jc w:val="center"/>
              <w:rPr>
                <w:rFonts w:ascii="Arial" w:hAnsi="Arial" w:cs="Arial"/>
                <w:sz w:val="18"/>
                <w:szCs w:val="18"/>
              </w:rPr>
            </w:pPr>
            <w:r w:rsidRPr="007B42F8">
              <w:rPr>
                <w:rFonts w:ascii="Arial" w:hAnsi="Arial" w:cs="Arial"/>
                <w:sz w:val="18"/>
                <w:szCs w:val="18"/>
              </w:rPr>
              <w:t>4</w:t>
            </w:r>
          </w:p>
        </w:tc>
        <w:tc>
          <w:tcPr>
            <w:tcW w:w="642" w:type="pct"/>
          </w:tcPr>
          <w:p w:rsidR="003F0A04" w:rsidRPr="008B106D" w:rsidP="00711095" w14:paraId="7D1F0E0A" w14:textId="566083C6">
            <w:pPr>
              <w:keepNext/>
              <w:keepLines/>
              <w:jc w:val="center"/>
              <w:rPr>
                <w:rFonts w:ascii="Arial" w:hAnsi="Arial" w:cs="Arial"/>
                <w:sz w:val="18"/>
                <w:szCs w:val="18"/>
              </w:rPr>
            </w:pPr>
            <w:r w:rsidRPr="007B42F8">
              <w:rPr>
                <w:rFonts w:ascii="Arial" w:hAnsi="Arial" w:cs="Arial"/>
                <w:sz w:val="18"/>
                <w:szCs w:val="18"/>
              </w:rPr>
              <w:t>0.3</w:t>
            </w:r>
          </w:p>
        </w:tc>
        <w:tc>
          <w:tcPr>
            <w:tcW w:w="514" w:type="pct"/>
          </w:tcPr>
          <w:p w:rsidR="003F0A04" w:rsidRPr="008B106D" w:rsidP="00711095" w14:paraId="1919D7E6" w14:textId="3F94BDD6">
            <w:pPr>
              <w:keepNext/>
              <w:keepLines/>
              <w:jc w:val="center"/>
              <w:rPr>
                <w:rFonts w:ascii="Arial" w:hAnsi="Arial" w:cs="Arial"/>
                <w:sz w:val="18"/>
                <w:szCs w:val="18"/>
              </w:rPr>
            </w:pPr>
            <w:r w:rsidRPr="007B42F8">
              <w:rPr>
                <w:rFonts w:ascii="Arial" w:hAnsi="Arial" w:cs="Arial"/>
                <w:sz w:val="18"/>
                <w:szCs w:val="18"/>
              </w:rPr>
              <w:t>1.2</w:t>
            </w:r>
          </w:p>
        </w:tc>
        <w:tc>
          <w:tcPr>
            <w:tcW w:w="557" w:type="pct"/>
          </w:tcPr>
          <w:p w:rsidR="003F0A04" w:rsidRPr="007B42F8" w:rsidP="00711095" w14:paraId="0279E2CC" w14:textId="26DDFC37">
            <w:pPr>
              <w:keepNext/>
              <w:keepLines/>
              <w:jc w:val="center"/>
              <w:rPr>
                <w:rFonts w:ascii="Arial" w:hAnsi="Arial" w:cs="Arial"/>
                <w:sz w:val="18"/>
                <w:szCs w:val="18"/>
              </w:rPr>
            </w:pPr>
            <w:r w:rsidRPr="007B42F8">
              <w:rPr>
                <w:rFonts w:ascii="Arial" w:hAnsi="Arial" w:cs="Arial"/>
                <w:sz w:val="18"/>
                <w:szCs w:val="18"/>
              </w:rPr>
              <w:t>1,275</w:t>
            </w:r>
          </w:p>
        </w:tc>
        <w:tc>
          <w:tcPr>
            <w:tcW w:w="833" w:type="pct"/>
          </w:tcPr>
          <w:p w:rsidR="003F0A04" w:rsidRPr="007B42F8" w:rsidP="00711095" w14:paraId="20325E51" w14:textId="53834F7D">
            <w:pPr>
              <w:keepNext/>
              <w:keepLines/>
              <w:jc w:val="center"/>
              <w:rPr>
                <w:rFonts w:ascii="Arial" w:hAnsi="Arial" w:cs="Arial"/>
                <w:sz w:val="18"/>
                <w:szCs w:val="18"/>
              </w:rPr>
            </w:pPr>
            <w:r w:rsidRPr="007B42F8">
              <w:rPr>
                <w:rFonts w:ascii="Arial" w:hAnsi="Arial" w:cs="Arial"/>
                <w:sz w:val="18"/>
                <w:szCs w:val="18"/>
              </w:rPr>
              <w:t>1,530</w:t>
            </w:r>
          </w:p>
        </w:tc>
        <w:tc>
          <w:tcPr>
            <w:tcW w:w="960" w:type="pct"/>
          </w:tcPr>
          <w:p w:rsidR="003F0A04" w:rsidP="00711095" w14:paraId="1D8B3C2C" w14:textId="5C67DFB2">
            <w:pPr>
              <w:keepNext/>
              <w:keepLines/>
              <w:jc w:val="center"/>
              <w:rPr>
                <w:rFonts w:ascii="Arial" w:hAnsi="Arial" w:cs="Arial"/>
                <w:sz w:val="18"/>
                <w:szCs w:val="18"/>
              </w:rPr>
            </w:pPr>
            <w:r>
              <w:rPr>
                <w:rFonts w:ascii="Arial" w:hAnsi="Arial" w:cs="Arial"/>
                <w:sz w:val="18"/>
                <w:szCs w:val="18"/>
              </w:rPr>
              <w:t>$85,711</w:t>
            </w:r>
          </w:p>
        </w:tc>
      </w:tr>
      <w:tr w14:paraId="7BF4FC96" w14:textId="417F4BF2" w:rsidTr="007B42F8">
        <w:tblPrEx>
          <w:tblW w:w="5000" w:type="pct"/>
          <w:tblLayout w:type="fixed"/>
          <w:tblCellMar>
            <w:left w:w="115" w:type="dxa"/>
            <w:right w:w="115" w:type="dxa"/>
          </w:tblCellMar>
          <w:tblLook w:val="04A0"/>
        </w:tblPrEx>
        <w:trPr>
          <w:trHeight w:val="360"/>
        </w:trPr>
        <w:tc>
          <w:tcPr>
            <w:tcW w:w="853" w:type="pct"/>
          </w:tcPr>
          <w:p w:rsidR="003F0A04" w:rsidRPr="007B42F8" w:rsidP="00711095" w14:paraId="3D88E8F8" w14:textId="222C3563">
            <w:pPr>
              <w:keepNext/>
              <w:keepLines/>
              <w:rPr>
                <w:rFonts w:ascii="Arial" w:hAnsi="Arial" w:cs="Arial"/>
                <w:b/>
                <w:bCs/>
                <w:sz w:val="18"/>
                <w:szCs w:val="18"/>
              </w:rPr>
            </w:pPr>
            <w:r w:rsidRPr="007B42F8">
              <w:rPr>
                <w:rFonts w:ascii="Arial" w:hAnsi="Arial" w:cs="Arial"/>
                <w:sz w:val="18"/>
                <w:szCs w:val="18"/>
              </w:rPr>
              <w:t>Moderate Stay</w:t>
            </w:r>
          </w:p>
        </w:tc>
        <w:tc>
          <w:tcPr>
            <w:tcW w:w="640" w:type="pct"/>
          </w:tcPr>
          <w:p w:rsidR="003F0A04" w:rsidRPr="008B106D" w:rsidP="00711095" w14:paraId="6B5FDA1B" w14:textId="43F5BE22">
            <w:pPr>
              <w:keepNext/>
              <w:keepLines/>
              <w:jc w:val="center"/>
              <w:rPr>
                <w:rFonts w:ascii="Arial" w:hAnsi="Arial" w:cs="Arial"/>
                <w:sz w:val="18"/>
                <w:szCs w:val="18"/>
              </w:rPr>
            </w:pPr>
            <w:r w:rsidRPr="007B42F8">
              <w:rPr>
                <w:rFonts w:ascii="Arial" w:hAnsi="Arial" w:cs="Arial"/>
                <w:sz w:val="18"/>
                <w:szCs w:val="18"/>
              </w:rPr>
              <w:t>4</w:t>
            </w:r>
          </w:p>
        </w:tc>
        <w:tc>
          <w:tcPr>
            <w:tcW w:w="642" w:type="pct"/>
          </w:tcPr>
          <w:p w:rsidR="003F0A04" w:rsidRPr="008B106D" w:rsidP="00711095" w14:paraId="2C4AE2C6" w14:textId="1508D41C">
            <w:pPr>
              <w:keepNext/>
              <w:keepLines/>
              <w:jc w:val="center"/>
              <w:rPr>
                <w:rFonts w:ascii="Arial" w:hAnsi="Arial" w:cs="Arial"/>
                <w:sz w:val="18"/>
                <w:szCs w:val="18"/>
              </w:rPr>
            </w:pPr>
            <w:r w:rsidRPr="007B42F8">
              <w:rPr>
                <w:rFonts w:ascii="Arial" w:hAnsi="Arial" w:cs="Arial"/>
                <w:sz w:val="18"/>
                <w:szCs w:val="18"/>
              </w:rPr>
              <w:t>0.5</w:t>
            </w:r>
          </w:p>
        </w:tc>
        <w:tc>
          <w:tcPr>
            <w:tcW w:w="514" w:type="pct"/>
          </w:tcPr>
          <w:p w:rsidR="003F0A04" w:rsidRPr="008B106D" w:rsidP="00711095" w14:paraId="54294992" w14:textId="0F0B5431">
            <w:pPr>
              <w:keepNext/>
              <w:keepLines/>
              <w:jc w:val="center"/>
              <w:rPr>
                <w:rFonts w:ascii="Arial" w:hAnsi="Arial" w:cs="Arial"/>
                <w:sz w:val="18"/>
                <w:szCs w:val="18"/>
              </w:rPr>
            </w:pPr>
            <w:r w:rsidRPr="007B42F8">
              <w:rPr>
                <w:rFonts w:ascii="Arial" w:hAnsi="Arial" w:cs="Arial"/>
                <w:sz w:val="18"/>
                <w:szCs w:val="18"/>
              </w:rPr>
              <w:t>2</w:t>
            </w:r>
          </w:p>
        </w:tc>
        <w:tc>
          <w:tcPr>
            <w:tcW w:w="557" w:type="pct"/>
          </w:tcPr>
          <w:p w:rsidR="003F0A04" w:rsidRPr="007B42F8" w:rsidP="00711095" w14:paraId="2094DD6D" w14:textId="2C1EFAAF">
            <w:pPr>
              <w:keepNext/>
              <w:keepLines/>
              <w:jc w:val="center"/>
              <w:rPr>
                <w:rFonts w:ascii="Arial" w:hAnsi="Arial" w:cs="Arial"/>
                <w:sz w:val="18"/>
                <w:szCs w:val="18"/>
              </w:rPr>
            </w:pPr>
            <w:r w:rsidRPr="007B42F8">
              <w:rPr>
                <w:rFonts w:ascii="Arial" w:hAnsi="Arial" w:cs="Arial"/>
                <w:sz w:val="18"/>
                <w:szCs w:val="18"/>
              </w:rPr>
              <w:t>1,275</w:t>
            </w:r>
          </w:p>
        </w:tc>
        <w:tc>
          <w:tcPr>
            <w:tcW w:w="833" w:type="pct"/>
          </w:tcPr>
          <w:p w:rsidR="003F0A04" w:rsidRPr="007B42F8" w:rsidP="00711095" w14:paraId="55997A48" w14:textId="7BAEEB1F">
            <w:pPr>
              <w:keepNext/>
              <w:keepLines/>
              <w:jc w:val="center"/>
              <w:rPr>
                <w:rFonts w:ascii="Arial" w:hAnsi="Arial" w:cs="Arial"/>
                <w:sz w:val="18"/>
                <w:szCs w:val="18"/>
              </w:rPr>
            </w:pPr>
            <w:r w:rsidRPr="007B42F8">
              <w:rPr>
                <w:rFonts w:ascii="Arial" w:hAnsi="Arial" w:cs="Arial"/>
                <w:sz w:val="18"/>
                <w:szCs w:val="18"/>
              </w:rPr>
              <w:t>2,550</w:t>
            </w:r>
          </w:p>
        </w:tc>
        <w:tc>
          <w:tcPr>
            <w:tcW w:w="960" w:type="pct"/>
          </w:tcPr>
          <w:p w:rsidR="003F0A04" w:rsidP="00711095" w14:paraId="4B9162C9" w14:textId="3372B623">
            <w:pPr>
              <w:keepNext/>
              <w:keepLines/>
              <w:jc w:val="center"/>
              <w:rPr>
                <w:rFonts w:ascii="Arial" w:hAnsi="Arial" w:cs="Arial"/>
                <w:sz w:val="18"/>
                <w:szCs w:val="18"/>
              </w:rPr>
            </w:pPr>
            <w:r>
              <w:rPr>
                <w:rFonts w:ascii="Arial" w:hAnsi="Arial" w:cs="Arial"/>
                <w:sz w:val="18"/>
                <w:szCs w:val="18"/>
              </w:rPr>
              <w:t>$142,851</w:t>
            </w:r>
          </w:p>
        </w:tc>
      </w:tr>
      <w:tr w14:paraId="2D23D779" w14:textId="71E9D6BF" w:rsidTr="007B42F8">
        <w:tblPrEx>
          <w:tblW w:w="5000" w:type="pct"/>
          <w:tblLayout w:type="fixed"/>
          <w:tblCellMar>
            <w:left w:w="115" w:type="dxa"/>
            <w:right w:w="115" w:type="dxa"/>
          </w:tblCellMar>
          <w:tblLook w:val="04A0"/>
        </w:tblPrEx>
        <w:trPr>
          <w:trHeight w:val="360"/>
        </w:trPr>
        <w:tc>
          <w:tcPr>
            <w:tcW w:w="853" w:type="pct"/>
          </w:tcPr>
          <w:p w:rsidR="003F0A04" w:rsidRPr="007B42F8" w:rsidP="00285D42" w14:paraId="75B4A0DF" w14:textId="5935273E">
            <w:pPr>
              <w:rPr>
                <w:rFonts w:ascii="Arial" w:hAnsi="Arial" w:cs="Arial"/>
                <w:sz w:val="18"/>
                <w:szCs w:val="18"/>
              </w:rPr>
            </w:pPr>
            <w:r w:rsidRPr="007B42F8">
              <w:rPr>
                <w:rFonts w:ascii="Arial" w:hAnsi="Arial" w:cs="Arial"/>
                <w:sz w:val="18"/>
                <w:szCs w:val="18"/>
              </w:rPr>
              <w:t>Long Stay</w:t>
            </w:r>
          </w:p>
        </w:tc>
        <w:tc>
          <w:tcPr>
            <w:tcW w:w="640" w:type="pct"/>
          </w:tcPr>
          <w:p w:rsidR="003F0A04" w:rsidRPr="008B106D" w:rsidP="00D3666A" w14:paraId="30635581" w14:textId="458BFBCA">
            <w:pPr>
              <w:jc w:val="center"/>
              <w:rPr>
                <w:rFonts w:ascii="Arial" w:hAnsi="Arial" w:cs="Arial"/>
                <w:sz w:val="18"/>
                <w:szCs w:val="18"/>
              </w:rPr>
            </w:pPr>
            <w:r w:rsidRPr="007B42F8">
              <w:rPr>
                <w:rFonts w:ascii="Arial" w:hAnsi="Arial" w:cs="Arial"/>
                <w:sz w:val="18"/>
                <w:szCs w:val="18"/>
              </w:rPr>
              <w:t>2</w:t>
            </w:r>
          </w:p>
        </w:tc>
        <w:tc>
          <w:tcPr>
            <w:tcW w:w="642" w:type="pct"/>
          </w:tcPr>
          <w:p w:rsidR="003F0A04" w:rsidRPr="008B106D" w:rsidP="00D3666A" w14:paraId="64A17F55" w14:textId="672F628B">
            <w:pPr>
              <w:jc w:val="center"/>
              <w:rPr>
                <w:rFonts w:ascii="Arial" w:hAnsi="Arial" w:cs="Arial"/>
                <w:sz w:val="18"/>
                <w:szCs w:val="18"/>
              </w:rPr>
            </w:pPr>
            <w:r w:rsidRPr="007B42F8">
              <w:rPr>
                <w:rFonts w:ascii="Arial" w:hAnsi="Arial" w:cs="Arial"/>
                <w:sz w:val="18"/>
                <w:szCs w:val="18"/>
              </w:rPr>
              <w:t>0.75</w:t>
            </w:r>
          </w:p>
        </w:tc>
        <w:tc>
          <w:tcPr>
            <w:tcW w:w="514" w:type="pct"/>
          </w:tcPr>
          <w:p w:rsidR="003F0A04" w:rsidRPr="008B106D" w:rsidP="00D3666A" w14:paraId="23851411" w14:textId="5F42AE29">
            <w:pPr>
              <w:jc w:val="center"/>
              <w:rPr>
                <w:rFonts w:ascii="Arial" w:hAnsi="Arial" w:cs="Arial"/>
                <w:sz w:val="18"/>
                <w:szCs w:val="18"/>
              </w:rPr>
            </w:pPr>
            <w:r w:rsidRPr="007B42F8">
              <w:rPr>
                <w:rFonts w:ascii="Arial" w:hAnsi="Arial" w:cs="Arial"/>
                <w:sz w:val="18"/>
                <w:szCs w:val="18"/>
              </w:rPr>
              <w:t>1.5</w:t>
            </w:r>
          </w:p>
        </w:tc>
        <w:tc>
          <w:tcPr>
            <w:tcW w:w="557" w:type="pct"/>
          </w:tcPr>
          <w:p w:rsidR="003F0A04" w:rsidRPr="007B42F8" w:rsidP="007B42F8" w14:paraId="0E54FF28" w14:textId="59703A84">
            <w:pPr>
              <w:jc w:val="center"/>
              <w:rPr>
                <w:rFonts w:ascii="Arial" w:hAnsi="Arial" w:cs="Arial"/>
                <w:sz w:val="18"/>
                <w:szCs w:val="18"/>
              </w:rPr>
            </w:pPr>
            <w:r w:rsidRPr="007B42F8">
              <w:rPr>
                <w:rFonts w:ascii="Arial" w:hAnsi="Arial" w:cs="Arial"/>
                <w:sz w:val="18"/>
                <w:szCs w:val="18"/>
              </w:rPr>
              <w:t>1,275</w:t>
            </w:r>
          </w:p>
        </w:tc>
        <w:tc>
          <w:tcPr>
            <w:tcW w:w="833" w:type="pct"/>
          </w:tcPr>
          <w:p w:rsidR="003F0A04" w:rsidRPr="007B42F8" w:rsidP="007B42F8" w14:paraId="57171F97" w14:textId="704E0A6B">
            <w:pPr>
              <w:jc w:val="center"/>
              <w:rPr>
                <w:rFonts w:ascii="Arial" w:hAnsi="Arial" w:cs="Arial"/>
                <w:sz w:val="18"/>
                <w:szCs w:val="18"/>
              </w:rPr>
            </w:pPr>
            <w:r w:rsidRPr="007B42F8">
              <w:rPr>
                <w:rFonts w:ascii="Arial" w:hAnsi="Arial" w:cs="Arial"/>
                <w:sz w:val="18"/>
                <w:szCs w:val="18"/>
              </w:rPr>
              <w:t>1,912.5</w:t>
            </w:r>
          </w:p>
        </w:tc>
        <w:tc>
          <w:tcPr>
            <w:tcW w:w="960" w:type="pct"/>
          </w:tcPr>
          <w:p w:rsidR="003F0A04" w:rsidP="00D3666A" w14:paraId="32E0405E" w14:textId="7F47614E">
            <w:pPr>
              <w:jc w:val="center"/>
              <w:rPr>
                <w:rFonts w:ascii="Arial" w:hAnsi="Arial" w:cs="Arial"/>
                <w:sz w:val="18"/>
                <w:szCs w:val="18"/>
              </w:rPr>
            </w:pPr>
            <w:r>
              <w:rPr>
                <w:rFonts w:ascii="Arial" w:hAnsi="Arial" w:cs="Arial"/>
                <w:sz w:val="18"/>
                <w:szCs w:val="18"/>
              </w:rPr>
              <w:t>$107,138</w:t>
            </w:r>
          </w:p>
        </w:tc>
      </w:tr>
      <w:tr w14:paraId="4F75FF58" w14:textId="3D26425D" w:rsidTr="007B42F8">
        <w:tblPrEx>
          <w:tblW w:w="5000" w:type="pct"/>
          <w:tblLayout w:type="fixed"/>
          <w:tblCellMar>
            <w:left w:w="115" w:type="dxa"/>
            <w:right w:w="115" w:type="dxa"/>
          </w:tblCellMar>
          <w:tblLook w:val="04A0"/>
        </w:tblPrEx>
        <w:trPr>
          <w:cantSplit/>
          <w:trHeight w:val="350"/>
        </w:trPr>
        <w:tc>
          <w:tcPr>
            <w:tcW w:w="853" w:type="pct"/>
            <w:vAlign w:val="center"/>
          </w:tcPr>
          <w:p w:rsidR="003F0A04" w:rsidRPr="007B42F8" w:rsidP="00285D42" w14:paraId="008AFDEF" w14:textId="77777777">
            <w:pPr>
              <w:rPr>
                <w:rFonts w:ascii="Arial" w:hAnsi="Arial" w:cs="Arial"/>
                <w:b/>
                <w:bCs/>
                <w:sz w:val="18"/>
                <w:szCs w:val="18"/>
              </w:rPr>
            </w:pPr>
            <w:r w:rsidRPr="007B42F8">
              <w:rPr>
                <w:rFonts w:ascii="Arial" w:hAnsi="Arial" w:cs="Arial"/>
                <w:b/>
                <w:bCs/>
                <w:sz w:val="18"/>
                <w:szCs w:val="18"/>
              </w:rPr>
              <w:t>Total</w:t>
            </w:r>
          </w:p>
        </w:tc>
        <w:tc>
          <w:tcPr>
            <w:tcW w:w="640" w:type="pct"/>
            <w:vAlign w:val="center"/>
          </w:tcPr>
          <w:p w:rsidR="003F0A04" w:rsidRPr="008B106D" w:rsidP="00D3666A" w14:paraId="451E1E48" w14:textId="26473B44">
            <w:pPr>
              <w:jc w:val="center"/>
              <w:rPr>
                <w:rStyle w:val="CommentReference"/>
                <w:b/>
                <w:sz w:val="18"/>
                <w:szCs w:val="18"/>
              </w:rPr>
            </w:pPr>
            <w:r w:rsidRPr="007B42F8">
              <w:rPr>
                <w:rFonts w:ascii="Arial" w:hAnsi="Arial" w:cs="Arial"/>
                <w:b/>
                <w:bCs/>
                <w:sz w:val="18"/>
                <w:szCs w:val="18"/>
              </w:rPr>
              <w:t>10</w:t>
            </w:r>
          </w:p>
        </w:tc>
        <w:tc>
          <w:tcPr>
            <w:tcW w:w="642" w:type="pct"/>
            <w:vAlign w:val="center"/>
          </w:tcPr>
          <w:p w:rsidR="003F0A04" w:rsidRPr="008B106D" w:rsidP="00D3666A" w14:paraId="74B9E6CF" w14:textId="5280AC1F">
            <w:pPr>
              <w:jc w:val="center"/>
              <w:rPr>
                <w:rFonts w:ascii="Arial" w:hAnsi="Arial" w:cs="Arial"/>
                <w:b/>
                <w:sz w:val="18"/>
                <w:szCs w:val="18"/>
              </w:rPr>
            </w:pPr>
          </w:p>
        </w:tc>
        <w:tc>
          <w:tcPr>
            <w:tcW w:w="514" w:type="pct"/>
            <w:vAlign w:val="center"/>
          </w:tcPr>
          <w:p w:rsidR="003F0A04" w:rsidRPr="008B106D" w:rsidP="00D3666A" w14:paraId="5E555141" w14:textId="5A02C2EC">
            <w:pPr>
              <w:jc w:val="center"/>
              <w:rPr>
                <w:rFonts w:ascii="Arial" w:hAnsi="Arial" w:cs="Arial"/>
                <w:b/>
                <w:sz w:val="18"/>
                <w:szCs w:val="18"/>
              </w:rPr>
            </w:pPr>
            <w:r w:rsidRPr="007B42F8">
              <w:rPr>
                <w:rFonts w:ascii="Arial" w:hAnsi="Arial" w:cs="Arial"/>
                <w:b/>
                <w:bCs/>
                <w:sz w:val="18"/>
                <w:szCs w:val="18"/>
              </w:rPr>
              <w:t>4.7</w:t>
            </w:r>
          </w:p>
        </w:tc>
        <w:tc>
          <w:tcPr>
            <w:tcW w:w="557" w:type="pct"/>
            <w:vAlign w:val="center"/>
          </w:tcPr>
          <w:p w:rsidR="003F0A04" w:rsidRPr="007B42F8" w:rsidP="007B42F8" w14:paraId="2D81A4AD" w14:textId="648FA6C0">
            <w:pPr>
              <w:jc w:val="center"/>
              <w:rPr>
                <w:rFonts w:ascii="Arial" w:hAnsi="Arial" w:cs="Arial"/>
                <w:b/>
                <w:bCs/>
                <w:sz w:val="18"/>
                <w:szCs w:val="18"/>
              </w:rPr>
            </w:pPr>
          </w:p>
        </w:tc>
        <w:tc>
          <w:tcPr>
            <w:tcW w:w="833" w:type="pct"/>
            <w:vAlign w:val="center"/>
          </w:tcPr>
          <w:p w:rsidR="003F0A04" w:rsidRPr="007B42F8" w:rsidP="007B42F8" w14:paraId="3BD0AC7D" w14:textId="1CC0E221">
            <w:pPr>
              <w:jc w:val="center"/>
              <w:rPr>
                <w:rFonts w:ascii="Arial" w:hAnsi="Arial" w:cs="Arial"/>
                <w:b/>
                <w:bCs/>
                <w:sz w:val="18"/>
                <w:szCs w:val="18"/>
              </w:rPr>
            </w:pPr>
            <w:r w:rsidRPr="007B42F8">
              <w:rPr>
                <w:rFonts w:ascii="Arial" w:hAnsi="Arial" w:cs="Arial"/>
                <w:b/>
                <w:bCs/>
                <w:sz w:val="18"/>
                <w:szCs w:val="18"/>
              </w:rPr>
              <w:t>5,992.5</w:t>
            </w:r>
          </w:p>
        </w:tc>
        <w:tc>
          <w:tcPr>
            <w:tcW w:w="960" w:type="pct"/>
          </w:tcPr>
          <w:p w:rsidR="003F0A04" w:rsidP="00D3666A" w14:paraId="7FCCAE44" w14:textId="788D2531">
            <w:pPr>
              <w:jc w:val="center"/>
              <w:rPr>
                <w:rFonts w:ascii="Arial" w:hAnsi="Arial" w:cs="Arial"/>
                <w:b/>
                <w:sz w:val="18"/>
                <w:szCs w:val="18"/>
              </w:rPr>
            </w:pPr>
            <w:r>
              <w:rPr>
                <w:rFonts w:ascii="Arial" w:hAnsi="Arial" w:cs="Arial"/>
                <w:b/>
                <w:bCs/>
                <w:sz w:val="18"/>
                <w:szCs w:val="18"/>
              </w:rPr>
              <w:t>$335,700</w:t>
            </w:r>
          </w:p>
        </w:tc>
      </w:tr>
    </w:tbl>
    <w:p w:rsidR="00347E50" w:rsidRPr="0005585A" w:rsidP="00285D42" w14:paraId="1FCFA838" w14:textId="77777777">
      <w:pPr>
        <w:spacing w:after="0"/>
      </w:pPr>
    </w:p>
    <w:p w:rsidR="004223FB" w:rsidP="00535A31" w14:paraId="7A9A7975" w14:textId="53AAA645">
      <w:pPr>
        <w:spacing w:after="0"/>
        <w:jc w:val="center"/>
        <w:rPr>
          <w:b/>
        </w:rPr>
      </w:pPr>
      <w:r w:rsidRPr="0005585A">
        <w:rPr>
          <w:b/>
        </w:rPr>
        <w:t xml:space="preserve">Table </w:t>
      </w:r>
      <w:r>
        <w:rPr>
          <w:b/>
        </w:rPr>
        <w:t>2</w:t>
      </w:r>
      <w:r w:rsidRPr="0005585A">
        <w:rPr>
          <w:b/>
        </w:rPr>
        <w:t xml:space="preserve">. </w:t>
      </w:r>
      <w:r w:rsidR="003F0A04">
        <w:rPr>
          <w:b/>
        </w:rPr>
        <w:t xml:space="preserve">Estimated Burden for </w:t>
      </w:r>
      <w:r w:rsidR="00FA4703">
        <w:rPr>
          <w:b/>
        </w:rPr>
        <w:t xml:space="preserve">Medical Record </w:t>
      </w:r>
      <w:r>
        <w:rPr>
          <w:b/>
        </w:rPr>
        <w:t>Abstraction</w:t>
      </w:r>
      <w:r w:rsidR="00FA4703">
        <w:rPr>
          <w:b/>
        </w:rPr>
        <w:t xml:space="preserve"> and Submission</w:t>
      </w:r>
      <w:r>
        <w:rPr>
          <w:b/>
        </w:rPr>
        <w:t xml:space="preserve"> </w:t>
      </w:r>
      <w:r w:rsidR="005D47BE">
        <w:rPr>
          <w:b/>
        </w:rPr>
        <w:t>A</w:t>
      </w:r>
      <w:r w:rsidR="003F0A04">
        <w:rPr>
          <w:b/>
        </w:rPr>
        <w:t>ssociated with</w:t>
      </w:r>
      <w:r w:rsidR="00A933B6">
        <w:rPr>
          <w:b/>
        </w:rPr>
        <w:t xml:space="preserve"> </w:t>
      </w:r>
      <w:r w:rsidR="00845646">
        <w:rPr>
          <w:b/>
        </w:rPr>
        <w:t>the Estimated 2</w:t>
      </w:r>
      <w:r w:rsidR="00934B70">
        <w:rPr>
          <w:b/>
        </w:rPr>
        <w:t>2</w:t>
      </w:r>
      <w:r w:rsidR="00845646">
        <w:rPr>
          <w:b/>
        </w:rPr>
        <w:t xml:space="preserve">5 </w:t>
      </w:r>
      <w:r>
        <w:rPr>
          <w:b/>
        </w:rPr>
        <w:t>SNFs</w:t>
      </w:r>
      <w:r w:rsidR="00BF7B6D">
        <w:rPr>
          <w:b/>
        </w:rPr>
        <w:t xml:space="preserve"> Submitting Manually</w:t>
      </w:r>
    </w:p>
    <w:p w:rsidR="004223FB" w:rsidRPr="0005585A" w:rsidP="004223FB" w14:paraId="1332819B" w14:textId="77777777">
      <w:pPr>
        <w:spacing w:after="0"/>
        <w:rPr>
          <w:b/>
        </w:rPr>
      </w:pPr>
    </w:p>
    <w:tbl>
      <w:tblPr>
        <w:tblStyle w:val="TableGrid"/>
        <w:tblCaption w:val="Table 1: Burden Calculations for the HAC Reduction Program Measure Set and Other Activities for the FY 2020"/>
        <w:tblDescription w:val="This seven-column table presents, from the reader's left to right, the Measure Set (column one), Estimated time per record (minutes) - FY 2020 (column two), Number of reporting quarters per year -- FY 2020 (column three), Number of hospitals reporting (column four), Average number of records per hospital per quarter (column five), Annual burden (hours) per hospital (column six), and Calculation for FY 2020 for all subsection (d) hospitals selected for validation (column seven)."/>
        <w:tblW w:w="4970" w:type="pct"/>
        <w:tblLayout w:type="fixed"/>
        <w:tblCellMar>
          <w:left w:w="115" w:type="dxa"/>
          <w:right w:w="115" w:type="dxa"/>
        </w:tblCellMar>
        <w:tblLook w:val="04A0"/>
      </w:tblPr>
      <w:tblGrid>
        <w:gridCol w:w="1611"/>
        <w:gridCol w:w="1180"/>
        <w:gridCol w:w="1184"/>
        <w:gridCol w:w="965"/>
        <w:gridCol w:w="1028"/>
        <w:gridCol w:w="1664"/>
        <w:gridCol w:w="1662"/>
      </w:tblGrid>
      <w:tr w14:paraId="2719DF0E" w14:textId="14F5AD73" w:rsidTr="00003CC9">
        <w:tblPrEx>
          <w:tblW w:w="4970" w:type="pct"/>
          <w:tblLayout w:type="fixed"/>
          <w:tblCellMar>
            <w:left w:w="115" w:type="dxa"/>
            <w:right w:w="115" w:type="dxa"/>
          </w:tblCellMar>
          <w:tblLook w:val="04A0"/>
        </w:tblPrEx>
        <w:trPr>
          <w:cantSplit/>
          <w:trHeight w:val="890"/>
          <w:tblHeader/>
        </w:trPr>
        <w:tc>
          <w:tcPr>
            <w:tcW w:w="867" w:type="pct"/>
            <w:tcBorders>
              <w:right w:val="single" w:sz="4" w:space="0" w:color="auto"/>
            </w:tcBorders>
            <w:shd w:val="clear" w:color="auto" w:fill="FFFFFF" w:themeFill="background1"/>
          </w:tcPr>
          <w:p w:rsidR="00003CC9" w:rsidRPr="00C7340E" w:rsidP="00003CC9" w14:paraId="3DD42322" w14:textId="7862E44F">
            <w:pPr>
              <w:rPr>
                <w:rFonts w:ascii="Arial" w:hAnsi="Arial" w:cs="Arial"/>
                <w:b/>
                <w:bCs/>
                <w:sz w:val="20"/>
                <w:szCs w:val="20"/>
              </w:rPr>
            </w:pPr>
            <w:r w:rsidRPr="00B153EC">
              <w:rPr>
                <w:rFonts w:ascii="Arial" w:hAnsi="Arial" w:cs="Arial"/>
                <w:b/>
                <w:i/>
                <w:sz w:val="18"/>
                <w:szCs w:val="18"/>
              </w:rPr>
              <w:t>Length of Stay</w:t>
            </w:r>
          </w:p>
        </w:tc>
        <w:tc>
          <w:tcPr>
            <w:tcW w:w="635" w:type="pct"/>
            <w:tcBorders>
              <w:left w:val="single" w:sz="4" w:space="0" w:color="auto"/>
              <w:bottom w:val="single" w:sz="4" w:space="0" w:color="auto"/>
              <w:right w:val="single" w:sz="4" w:space="0" w:color="auto"/>
            </w:tcBorders>
            <w:shd w:val="clear" w:color="auto" w:fill="FFFFFF" w:themeFill="background1"/>
          </w:tcPr>
          <w:p w:rsidR="00003CC9" w:rsidRPr="00C7340E" w:rsidP="007B42F8" w14:paraId="0E54A7D8" w14:textId="58153F06">
            <w:pPr>
              <w:jc w:val="center"/>
              <w:rPr>
                <w:rFonts w:ascii="Arial" w:hAnsi="Arial" w:cs="Arial"/>
                <w:b/>
                <w:i/>
                <w:sz w:val="20"/>
                <w:szCs w:val="20"/>
              </w:rPr>
            </w:pPr>
            <w:r w:rsidRPr="00B153EC">
              <w:rPr>
                <w:rFonts w:ascii="Arial" w:hAnsi="Arial" w:cs="Arial"/>
                <w:b/>
                <w:i/>
                <w:sz w:val="18"/>
                <w:szCs w:val="18"/>
              </w:rPr>
              <w:t xml:space="preserve">Average number </w:t>
            </w:r>
            <w:r w:rsidR="00752BD4">
              <w:rPr>
                <w:rFonts w:ascii="Arial" w:hAnsi="Arial" w:cs="Arial"/>
                <w:b/>
                <w:i/>
                <w:sz w:val="18"/>
                <w:szCs w:val="18"/>
              </w:rPr>
              <w:t>medical records</w:t>
            </w:r>
            <w:r w:rsidRPr="00B153EC" w:rsidR="00752BD4">
              <w:rPr>
                <w:rFonts w:ascii="Arial" w:hAnsi="Arial" w:cs="Arial"/>
                <w:b/>
                <w:i/>
                <w:sz w:val="18"/>
                <w:szCs w:val="18"/>
              </w:rPr>
              <w:t xml:space="preserve"> </w:t>
            </w:r>
            <w:r w:rsidRPr="00B153EC">
              <w:rPr>
                <w:rFonts w:ascii="Arial" w:hAnsi="Arial" w:cs="Arial"/>
                <w:b/>
                <w:i/>
                <w:sz w:val="18"/>
                <w:szCs w:val="18"/>
              </w:rPr>
              <w:t>per SNF</w:t>
            </w:r>
          </w:p>
        </w:tc>
        <w:tc>
          <w:tcPr>
            <w:tcW w:w="637" w:type="pct"/>
            <w:tcBorders>
              <w:left w:val="single" w:sz="4" w:space="0" w:color="auto"/>
              <w:bottom w:val="single" w:sz="4" w:space="0" w:color="auto"/>
              <w:right w:val="single" w:sz="4" w:space="0" w:color="auto"/>
            </w:tcBorders>
            <w:shd w:val="clear" w:color="auto" w:fill="FFFFFF" w:themeFill="background1"/>
          </w:tcPr>
          <w:p w:rsidR="00003CC9" w:rsidRPr="00C7340E" w:rsidP="007B42F8" w14:paraId="60B7D0CC" w14:textId="3ACF2347">
            <w:pPr>
              <w:jc w:val="center"/>
              <w:rPr>
                <w:rFonts w:ascii="Arial" w:hAnsi="Arial" w:cs="Arial"/>
                <w:b/>
                <w:i/>
                <w:sz w:val="20"/>
                <w:szCs w:val="20"/>
              </w:rPr>
            </w:pPr>
            <w:r w:rsidRPr="00B153EC">
              <w:rPr>
                <w:rFonts w:ascii="Arial" w:hAnsi="Arial" w:cs="Arial"/>
                <w:b/>
                <w:i/>
                <w:sz w:val="18"/>
                <w:szCs w:val="18"/>
              </w:rPr>
              <w:t xml:space="preserve">Estimated time per </w:t>
            </w:r>
            <w:r w:rsidR="00752BD4">
              <w:rPr>
                <w:rFonts w:ascii="Arial" w:hAnsi="Arial" w:cs="Arial"/>
                <w:b/>
                <w:i/>
                <w:sz w:val="18"/>
                <w:szCs w:val="18"/>
              </w:rPr>
              <w:t>medical record</w:t>
            </w:r>
            <w:r w:rsidRPr="00B153EC" w:rsidR="00752BD4">
              <w:rPr>
                <w:rFonts w:ascii="Arial" w:hAnsi="Arial" w:cs="Arial"/>
                <w:b/>
                <w:i/>
                <w:sz w:val="18"/>
                <w:szCs w:val="18"/>
              </w:rPr>
              <w:t xml:space="preserve"> </w:t>
            </w:r>
            <w:r w:rsidRPr="00B153EC">
              <w:rPr>
                <w:rFonts w:ascii="Arial" w:hAnsi="Arial" w:cs="Arial"/>
                <w:b/>
                <w:i/>
                <w:sz w:val="18"/>
                <w:szCs w:val="18"/>
              </w:rPr>
              <w:t>(hours)</w:t>
            </w:r>
          </w:p>
        </w:tc>
        <w:tc>
          <w:tcPr>
            <w:tcW w:w="519" w:type="pct"/>
            <w:tcBorders>
              <w:left w:val="single" w:sz="4" w:space="0" w:color="auto"/>
              <w:bottom w:val="single" w:sz="4" w:space="0" w:color="auto"/>
              <w:right w:val="single" w:sz="4" w:space="0" w:color="auto"/>
            </w:tcBorders>
            <w:shd w:val="clear" w:color="auto" w:fill="FFFFFF" w:themeFill="background1"/>
          </w:tcPr>
          <w:p w:rsidR="00003CC9" w:rsidRPr="00C7340E" w:rsidP="007B42F8" w14:paraId="06D21F52" w14:textId="1F1A8697">
            <w:pPr>
              <w:jc w:val="center"/>
              <w:rPr>
                <w:rFonts w:ascii="Arial" w:hAnsi="Arial" w:cs="Arial"/>
                <w:b/>
                <w:i/>
                <w:sz w:val="20"/>
                <w:szCs w:val="20"/>
              </w:rPr>
            </w:pPr>
            <w:r w:rsidRPr="00B153EC">
              <w:rPr>
                <w:rFonts w:ascii="Arial" w:hAnsi="Arial" w:cs="Arial"/>
                <w:b/>
                <w:i/>
                <w:sz w:val="18"/>
                <w:szCs w:val="18"/>
              </w:rPr>
              <w:t>Annual burden (hours) per SNF</w:t>
            </w:r>
          </w:p>
        </w:tc>
        <w:tc>
          <w:tcPr>
            <w:tcW w:w="553" w:type="pct"/>
            <w:tcBorders>
              <w:left w:val="single" w:sz="4" w:space="0" w:color="auto"/>
              <w:bottom w:val="single" w:sz="4" w:space="0" w:color="auto"/>
              <w:right w:val="single" w:sz="4" w:space="0" w:color="auto"/>
            </w:tcBorders>
            <w:shd w:val="clear" w:color="auto" w:fill="FFFFFF" w:themeFill="background1"/>
          </w:tcPr>
          <w:p w:rsidR="00003CC9" w:rsidRPr="00C7340E" w:rsidP="007B42F8" w14:paraId="46082DE8" w14:textId="743BD83A">
            <w:pPr>
              <w:jc w:val="center"/>
              <w:rPr>
                <w:rFonts w:ascii="Arial" w:hAnsi="Arial" w:cs="Arial"/>
                <w:b/>
                <w:bCs/>
                <w:sz w:val="20"/>
                <w:szCs w:val="20"/>
              </w:rPr>
            </w:pPr>
            <w:r w:rsidRPr="00B153EC">
              <w:rPr>
                <w:rFonts w:ascii="Arial" w:hAnsi="Arial" w:cs="Arial"/>
                <w:b/>
                <w:i/>
                <w:sz w:val="18"/>
                <w:szCs w:val="18"/>
              </w:rPr>
              <w:t>Number of SNFs reporting</w:t>
            </w:r>
          </w:p>
        </w:tc>
        <w:tc>
          <w:tcPr>
            <w:tcW w:w="895" w:type="pct"/>
            <w:tcBorders>
              <w:left w:val="single" w:sz="4" w:space="0" w:color="auto"/>
              <w:bottom w:val="single" w:sz="4" w:space="0" w:color="auto"/>
            </w:tcBorders>
            <w:shd w:val="clear" w:color="auto" w:fill="FFFFFF" w:themeFill="background1"/>
          </w:tcPr>
          <w:p w:rsidR="00003CC9" w:rsidRPr="00C7340E" w:rsidP="007B42F8" w14:paraId="42D6020F" w14:textId="5E595F82">
            <w:pPr>
              <w:jc w:val="center"/>
              <w:rPr>
                <w:rFonts w:ascii="Arial" w:hAnsi="Arial" w:cs="Arial"/>
                <w:b/>
                <w:bCs/>
                <w:sz w:val="20"/>
                <w:szCs w:val="20"/>
              </w:rPr>
            </w:pPr>
            <w:r w:rsidRPr="00B153EC">
              <w:rPr>
                <w:rFonts w:ascii="Arial" w:hAnsi="Arial" w:cs="Arial"/>
                <w:b/>
                <w:i/>
                <w:sz w:val="18"/>
                <w:szCs w:val="18"/>
              </w:rPr>
              <w:t xml:space="preserve">Burden (hours) for all SNFs submitting </w:t>
            </w:r>
            <w:r>
              <w:rPr>
                <w:rFonts w:ascii="Arial" w:hAnsi="Arial" w:cs="Arial"/>
                <w:b/>
                <w:i/>
                <w:sz w:val="18"/>
                <w:szCs w:val="18"/>
              </w:rPr>
              <w:t>manua</w:t>
            </w:r>
            <w:r w:rsidRPr="00B153EC">
              <w:rPr>
                <w:rFonts w:ascii="Arial" w:hAnsi="Arial" w:cs="Arial"/>
                <w:b/>
                <w:i/>
                <w:sz w:val="18"/>
                <w:szCs w:val="18"/>
              </w:rPr>
              <w:t>lly</w:t>
            </w:r>
          </w:p>
        </w:tc>
        <w:tc>
          <w:tcPr>
            <w:tcW w:w="895" w:type="pct"/>
            <w:tcBorders>
              <w:left w:val="single" w:sz="4" w:space="0" w:color="auto"/>
              <w:bottom w:val="single" w:sz="4" w:space="0" w:color="auto"/>
            </w:tcBorders>
            <w:shd w:val="clear" w:color="auto" w:fill="FFFFFF" w:themeFill="background1"/>
          </w:tcPr>
          <w:p w:rsidR="00003CC9" w:rsidP="007B42F8" w14:paraId="300BD96A" w14:textId="6AAAF417">
            <w:pPr>
              <w:jc w:val="center"/>
              <w:rPr>
                <w:rFonts w:ascii="Arial" w:hAnsi="Arial" w:cs="Arial"/>
                <w:b/>
                <w:i/>
                <w:sz w:val="20"/>
                <w:szCs w:val="20"/>
              </w:rPr>
            </w:pPr>
            <w:r w:rsidRPr="00B153EC">
              <w:rPr>
                <w:rFonts w:ascii="Arial" w:hAnsi="Arial" w:cs="Arial"/>
                <w:b/>
                <w:i/>
                <w:sz w:val="18"/>
                <w:szCs w:val="18"/>
              </w:rPr>
              <w:t>Burden (cost)</w:t>
            </w:r>
            <w:r>
              <w:rPr>
                <w:rFonts w:ascii="Arial" w:hAnsi="Arial" w:cs="Arial"/>
                <w:b/>
                <w:i/>
                <w:sz w:val="18"/>
                <w:szCs w:val="18"/>
              </w:rPr>
              <w:t xml:space="preserve"> for all SNFs submitting manually</w:t>
            </w:r>
          </w:p>
        </w:tc>
      </w:tr>
      <w:tr w14:paraId="0EE24547" w14:textId="07B1AB4F" w:rsidTr="007B42F8">
        <w:tblPrEx>
          <w:tblW w:w="4970" w:type="pct"/>
          <w:tblLayout w:type="fixed"/>
          <w:tblCellMar>
            <w:left w:w="115" w:type="dxa"/>
            <w:right w:w="115" w:type="dxa"/>
          </w:tblCellMar>
          <w:tblLook w:val="04A0"/>
        </w:tblPrEx>
        <w:trPr>
          <w:trHeight w:val="360"/>
        </w:trPr>
        <w:tc>
          <w:tcPr>
            <w:tcW w:w="867" w:type="pct"/>
          </w:tcPr>
          <w:p w:rsidR="00003CC9" w:rsidRPr="007B42F8" w:rsidP="00B7066B" w14:paraId="268EDB41" w14:textId="77777777">
            <w:pPr>
              <w:rPr>
                <w:rFonts w:ascii="Arial" w:hAnsi="Arial" w:cs="Arial"/>
                <w:b/>
                <w:bCs/>
                <w:sz w:val="18"/>
                <w:szCs w:val="18"/>
              </w:rPr>
            </w:pPr>
            <w:r w:rsidRPr="007B42F8">
              <w:rPr>
                <w:rFonts w:ascii="Arial" w:hAnsi="Arial" w:cs="Arial"/>
                <w:sz w:val="18"/>
                <w:szCs w:val="18"/>
              </w:rPr>
              <w:t>Short Stay</w:t>
            </w:r>
          </w:p>
        </w:tc>
        <w:tc>
          <w:tcPr>
            <w:tcW w:w="635" w:type="pct"/>
          </w:tcPr>
          <w:p w:rsidR="00003CC9" w:rsidRPr="007B42F8" w:rsidP="007B42F8" w14:paraId="517E04CF" w14:textId="77777777">
            <w:pPr>
              <w:jc w:val="center"/>
              <w:rPr>
                <w:rFonts w:ascii="Arial" w:hAnsi="Arial" w:cs="Arial"/>
                <w:sz w:val="18"/>
                <w:szCs w:val="18"/>
              </w:rPr>
            </w:pPr>
            <w:r w:rsidRPr="007B42F8">
              <w:rPr>
                <w:rFonts w:ascii="Arial" w:hAnsi="Arial" w:cs="Arial"/>
                <w:sz w:val="18"/>
                <w:szCs w:val="18"/>
              </w:rPr>
              <w:t>4</w:t>
            </w:r>
          </w:p>
        </w:tc>
        <w:tc>
          <w:tcPr>
            <w:tcW w:w="637" w:type="pct"/>
          </w:tcPr>
          <w:p w:rsidR="00003CC9" w:rsidRPr="007B42F8" w:rsidP="007B42F8" w14:paraId="6A8B5BE1" w14:textId="3151C43C">
            <w:pPr>
              <w:jc w:val="center"/>
              <w:rPr>
                <w:rFonts w:ascii="Arial" w:hAnsi="Arial" w:cs="Arial"/>
                <w:sz w:val="18"/>
                <w:szCs w:val="18"/>
              </w:rPr>
            </w:pPr>
            <w:r w:rsidRPr="007B42F8">
              <w:rPr>
                <w:rFonts w:ascii="Arial" w:hAnsi="Arial" w:cs="Arial"/>
                <w:sz w:val="18"/>
                <w:szCs w:val="18"/>
              </w:rPr>
              <w:t>0.5</w:t>
            </w:r>
          </w:p>
        </w:tc>
        <w:tc>
          <w:tcPr>
            <w:tcW w:w="519" w:type="pct"/>
          </w:tcPr>
          <w:p w:rsidR="00003CC9" w:rsidRPr="007B42F8" w:rsidP="007B42F8" w14:paraId="7F50A90A" w14:textId="66A5423A">
            <w:pPr>
              <w:jc w:val="center"/>
              <w:rPr>
                <w:rFonts w:ascii="Arial" w:hAnsi="Arial" w:cs="Arial"/>
                <w:sz w:val="18"/>
                <w:szCs w:val="18"/>
              </w:rPr>
            </w:pPr>
            <w:r w:rsidRPr="007B42F8">
              <w:rPr>
                <w:rFonts w:ascii="Arial" w:hAnsi="Arial" w:cs="Arial"/>
                <w:sz w:val="18"/>
                <w:szCs w:val="18"/>
              </w:rPr>
              <w:t>2</w:t>
            </w:r>
          </w:p>
        </w:tc>
        <w:tc>
          <w:tcPr>
            <w:tcW w:w="553" w:type="pct"/>
          </w:tcPr>
          <w:p w:rsidR="00003CC9" w:rsidRPr="007B42F8" w:rsidP="007B42F8" w14:paraId="5471F0D3" w14:textId="66E85DC1">
            <w:pPr>
              <w:jc w:val="center"/>
              <w:rPr>
                <w:rFonts w:ascii="Arial" w:hAnsi="Arial" w:cs="Arial"/>
                <w:sz w:val="18"/>
                <w:szCs w:val="18"/>
              </w:rPr>
            </w:pPr>
            <w:r w:rsidRPr="007B42F8">
              <w:rPr>
                <w:rFonts w:ascii="Arial" w:hAnsi="Arial" w:cs="Arial"/>
                <w:sz w:val="18"/>
                <w:szCs w:val="18"/>
              </w:rPr>
              <w:t>225</w:t>
            </w:r>
          </w:p>
        </w:tc>
        <w:tc>
          <w:tcPr>
            <w:tcW w:w="895" w:type="pct"/>
          </w:tcPr>
          <w:p w:rsidR="00003CC9" w:rsidRPr="007B42F8" w:rsidP="007B42F8" w14:paraId="3230A2CC" w14:textId="0FA81483">
            <w:pPr>
              <w:jc w:val="center"/>
              <w:rPr>
                <w:rFonts w:ascii="Arial" w:hAnsi="Arial" w:cs="Arial"/>
                <w:sz w:val="18"/>
                <w:szCs w:val="18"/>
              </w:rPr>
            </w:pPr>
            <w:r w:rsidRPr="007B42F8">
              <w:rPr>
                <w:rFonts w:ascii="Arial" w:hAnsi="Arial" w:cs="Arial"/>
                <w:sz w:val="18"/>
                <w:szCs w:val="18"/>
              </w:rPr>
              <w:t>450</w:t>
            </w:r>
          </w:p>
        </w:tc>
        <w:tc>
          <w:tcPr>
            <w:tcW w:w="895" w:type="pct"/>
          </w:tcPr>
          <w:p w:rsidR="00003CC9" w:rsidRPr="007B42F8" w:rsidP="007B42F8" w14:paraId="46059A44" w14:textId="4AB86312">
            <w:pPr>
              <w:jc w:val="center"/>
              <w:rPr>
                <w:rFonts w:ascii="Arial" w:hAnsi="Arial" w:cs="Arial"/>
                <w:sz w:val="18"/>
                <w:szCs w:val="18"/>
              </w:rPr>
            </w:pPr>
            <w:r>
              <w:rPr>
                <w:rFonts w:ascii="Arial" w:hAnsi="Arial" w:cs="Arial"/>
                <w:sz w:val="18"/>
                <w:szCs w:val="18"/>
              </w:rPr>
              <w:t>$25,209</w:t>
            </w:r>
          </w:p>
        </w:tc>
      </w:tr>
      <w:tr w14:paraId="2708D309" w14:textId="1C395922" w:rsidTr="007B42F8">
        <w:tblPrEx>
          <w:tblW w:w="4970" w:type="pct"/>
          <w:tblLayout w:type="fixed"/>
          <w:tblCellMar>
            <w:left w:w="115" w:type="dxa"/>
            <w:right w:w="115" w:type="dxa"/>
          </w:tblCellMar>
          <w:tblLook w:val="04A0"/>
        </w:tblPrEx>
        <w:trPr>
          <w:trHeight w:val="360"/>
        </w:trPr>
        <w:tc>
          <w:tcPr>
            <w:tcW w:w="867" w:type="pct"/>
          </w:tcPr>
          <w:p w:rsidR="00003CC9" w:rsidRPr="007B42F8" w:rsidP="00B7066B" w14:paraId="19886E1E" w14:textId="77777777">
            <w:pPr>
              <w:rPr>
                <w:rFonts w:ascii="Arial" w:hAnsi="Arial" w:cs="Arial"/>
                <w:b/>
                <w:bCs/>
                <w:sz w:val="18"/>
                <w:szCs w:val="18"/>
              </w:rPr>
            </w:pPr>
            <w:r w:rsidRPr="007B42F8">
              <w:rPr>
                <w:rFonts w:ascii="Arial" w:hAnsi="Arial" w:cs="Arial"/>
                <w:sz w:val="18"/>
                <w:szCs w:val="18"/>
              </w:rPr>
              <w:t>Moderate Stay</w:t>
            </w:r>
          </w:p>
        </w:tc>
        <w:tc>
          <w:tcPr>
            <w:tcW w:w="635" w:type="pct"/>
          </w:tcPr>
          <w:p w:rsidR="00003CC9" w:rsidRPr="007B42F8" w:rsidP="007B42F8" w14:paraId="21F526A7" w14:textId="77777777">
            <w:pPr>
              <w:jc w:val="center"/>
              <w:rPr>
                <w:rFonts w:ascii="Arial" w:hAnsi="Arial" w:cs="Arial"/>
                <w:sz w:val="18"/>
                <w:szCs w:val="18"/>
              </w:rPr>
            </w:pPr>
            <w:r w:rsidRPr="007B42F8">
              <w:rPr>
                <w:rFonts w:ascii="Arial" w:hAnsi="Arial" w:cs="Arial"/>
                <w:sz w:val="18"/>
                <w:szCs w:val="18"/>
              </w:rPr>
              <w:t>4</w:t>
            </w:r>
          </w:p>
        </w:tc>
        <w:tc>
          <w:tcPr>
            <w:tcW w:w="637" w:type="pct"/>
          </w:tcPr>
          <w:p w:rsidR="00003CC9" w:rsidRPr="007B42F8" w:rsidP="007B42F8" w14:paraId="54D89F85" w14:textId="5554A31B">
            <w:pPr>
              <w:jc w:val="center"/>
              <w:rPr>
                <w:rFonts w:ascii="Arial" w:hAnsi="Arial" w:cs="Arial"/>
                <w:sz w:val="18"/>
                <w:szCs w:val="18"/>
              </w:rPr>
            </w:pPr>
            <w:r w:rsidRPr="007B42F8">
              <w:rPr>
                <w:rFonts w:ascii="Arial" w:hAnsi="Arial" w:cs="Arial"/>
                <w:sz w:val="18"/>
                <w:szCs w:val="18"/>
              </w:rPr>
              <w:t>0.75</w:t>
            </w:r>
          </w:p>
        </w:tc>
        <w:tc>
          <w:tcPr>
            <w:tcW w:w="519" w:type="pct"/>
          </w:tcPr>
          <w:p w:rsidR="00003CC9" w:rsidRPr="007B42F8" w:rsidP="007B42F8" w14:paraId="156C9CC4" w14:textId="0F5E265C">
            <w:pPr>
              <w:jc w:val="center"/>
              <w:rPr>
                <w:rFonts w:ascii="Arial" w:hAnsi="Arial" w:cs="Arial"/>
                <w:sz w:val="18"/>
                <w:szCs w:val="18"/>
              </w:rPr>
            </w:pPr>
            <w:r w:rsidRPr="007B42F8">
              <w:rPr>
                <w:rFonts w:ascii="Arial" w:hAnsi="Arial" w:cs="Arial"/>
                <w:sz w:val="18"/>
                <w:szCs w:val="18"/>
              </w:rPr>
              <w:t>3</w:t>
            </w:r>
          </w:p>
        </w:tc>
        <w:tc>
          <w:tcPr>
            <w:tcW w:w="553" w:type="pct"/>
          </w:tcPr>
          <w:p w:rsidR="00003CC9" w:rsidRPr="007B42F8" w:rsidP="007B42F8" w14:paraId="02C6D0D1" w14:textId="20FF7BA3">
            <w:pPr>
              <w:jc w:val="center"/>
              <w:rPr>
                <w:rFonts w:ascii="Arial" w:hAnsi="Arial" w:cs="Arial"/>
                <w:sz w:val="18"/>
                <w:szCs w:val="18"/>
              </w:rPr>
            </w:pPr>
            <w:r w:rsidRPr="007B42F8">
              <w:rPr>
                <w:rFonts w:ascii="Arial" w:hAnsi="Arial" w:cs="Arial"/>
                <w:sz w:val="18"/>
                <w:szCs w:val="18"/>
              </w:rPr>
              <w:t>225</w:t>
            </w:r>
          </w:p>
        </w:tc>
        <w:tc>
          <w:tcPr>
            <w:tcW w:w="895" w:type="pct"/>
          </w:tcPr>
          <w:p w:rsidR="00003CC9" w:rsidRPr="007B42F8" w:rsidP="007B42F8" w14:paraId="20458B97" w14:textId="3CB9E82F">
            <w:pPr>
              <w:jc w:val="center"/>
              <w:rPr>
                <w:rFonts w:ascii="Arial" w:hAnsi="Arial" w:cs="Arial"/>
                <w:sz w:val="18"/>
                <w:szCs w:val="18"/>
              </w:rPr>
            </w:pPr>
            <w:r w:rsidRPr="007B42F8">
              <w:rPr>
                <w:rFonts w:ascii="Arial" w:hAnsi="Arial" w:cs="Arial"/>
                <w:sz w:val="18"/>
                <w:szCs w:val="18"/>
              </w:rPr>
              <w:t>675</w:t>
            </w:r>
          </w:p>
        </w:tc>
        <w:tc>
          <w:tcPr>
            <w:tcW w:w="895" w:type="pct"/>
          </w:tcPr>
          <w:p w:rsidR="00003CC9" w:rsidRPr="007B42F8" w:rsidP="007B42F8" w14:paraId="5F1D1D01" w14:textId="380C13A1">
            <w:pPr>
              <w:jc w:val="center"/>
              <w:rPr>
                <w:rFonts w:ascii="Arial" w:hAnsi="Arial" w:cs="Arial"/>
                <w:sz w:val="18"/>
                <w:szCs w:val="18"/>
              </w:rPr>
            </w:pPr>
            <w:r>
              <w:rPr>
                <w:rFonts w:ascii="Arial" w:hAnsi="Arial" w:cs="Arial"/>
                <w:sz w:val="18"/>
                <w:szCs w:val="18"/>
              </w:rPr>
              <w:t>$37,814</w:t>
            </w:r>
          </w:p>
        </w:tc>
      </w:tr>
      <w:tr w14:paraId="7C0759F9" w14:textId="49EC858D" w:rsidTr="007B42F8">
        <w:tblPrEx>
          <w:tblW w:w="4970" w:type="pct"/>
          <w:tblLayout w:type="fixed"/>
          <w:tblCellMar>
            <w:left w:w="115" w:type="dxa"/>
            <w:right w:w="115" w:type="dxa"/>
          </w:tblCellMar>
          <w:tblLook w:val="04A0"/>
        </w:tblPrEx>
        <w:trPr>
          <w:trHeight w:val="360"/>
        </w:trPr>
        <w:tc>
          <w:tcPr>
            <w:tcW w:w="867" w:type="pct"/>
          </w:tcPr>
          <w:p w:rsidR="00003CC9" w:rsidRPr="007B42F8" w:rsidP="00B7066B" w14:paraId="1894CD13" w14:textId="77777777">
            <w:pPr>
              <w:rPr>
                <w:rFonts w:ascii="Arial" w:hAnsi="Arial" w:cs="Arial"/>
                <w:sz w:val="18"/>
                <w:szCs w:val="18"/>
              </w:rPr>
            </w:pPr>
            <w:r w:rsidRPr="007B42F8">
              <w:rPr>
                <w:rFonts w:ascii="Arial" w:hAnsi="Arial" w:cs="Arial"/>
                <w:sz w:val="18"/>
                <w:szCs w:val="18"/>
              </w:rPr>
              <w:t>Long Stay</w:t>
            </w:r>
          </w:p>
        </w:tc>
        <w:tc>
          <w:tcPr>
            <w:tcW w:w="635" w:type="pct"/>
          </w:tcPr>
          <w:p w:rsidR="00003CC9" w:rsidRPr="007B42F8" w:rsidP="007B42F8" w14:paraId="1F8C0C59" w14:textId="77777777">
            <w:pPr>
              <w:jc w:val="center"/>
              <w:rPr>
                <w:rFonts w:ascii="Arial" w:hAnsi="Arial" w:cs="Arial"/>
                <w:sz w:val="18"/>
                <w:szCs w:val="18"/>
              </w:rPr>
            </w:pPr>
            <w:r w:rsidRPr="007B42F8">
              <w:rPr>
                <w:rFonts w:ascii="Arial" w:hAnsi="Arial" w:cs="Arial"/>
                <w:sz w:val="18"/>
                <w:szCs w:val="18"/>
              </w:rPr>
              <w:t>2</w:t>
            </w:r>
          </w:p>
        </w:tc>
        <w:tc>
          <w:tcPr>
            <w:tcW w:w="637" w:type="pct"/>
          </w:tcPr>
          <w:p w:rsidR="00003CC9" w:rsidRPr="007B42F8" w:rsidP="007B42F8" w14:paraId="5AC27FE2" w14:textId="6EBA37F6">
            <w:pPr>
              <w:jc w:val="center"/>
              <w:rPr>
                <w:rFonts w:ascii="Arial" w:hAnsi="Arial" w:cs="Arial"/>
                <w:sz w:val="18"/>
                <w:szCs w:val="18"/>
              </w:rPr>
            </w:pPr>
            <w:r w:rsidRPr="007B42F8">
              <w:rPr>
                <w:rFonts w:ascii="Arial" w:hAnsi="Arial" w:cs="Arial"/>
                <w:sz w:val="18"/>
                <w:szCs w:val="18"/>
              </w:rPr>
              <w:t>1.25</w:t>
            </w:r>
          </w:p>
        </w:tc>
        <w:tc>
          <w:tcPr>
            <w:tcW w:w="519" w:type="pct"/>
          </w:tcPr>
          <w:p w:rsidR="00003CC9" w:rsidRPr="007B42F8" w:rsidP="007B42F8" w14:paraId="72B0DADD" w14:textId="4E21EFDD">
            <w:pPr>
              <w:jc w:val="center"/>
              <w:rPr>
                <w:rFonts w:ascii="Arial" w:hAnsi="Arial" w:cs="Arial"/>
                <w:sz w:val="18"/>
                <w:szCs w:val="18"/>
              </w:rPr>
            </w:pPr>
            <w:r w:rsidRPr="007B42F8">
              <w:rPr>
                <w:rFonts w:ascii="Arial" w:hAnsi="Arial" w:cs="Arial"/>
                <w:sz w:val="18"/>
                <w:szCs w:val="18"/>
              </w:rPr>
              <w:t>2.5</w:t>
            </w:r>
          </w:p>
        </w:tc>
        <w:tc>
          <w:tcPr>
            <w:tcW w:w="553" w:type="pct"/>
          </w:tcPr>
          <w:p w:rsidR="00003CC9" w:rsidRPr="007B42F8" w:rsidP="007B42F8" w14:paraId="05C9415B" w14:textId="4CB18BD6">
            <w:pPr>
              <w:jc w:val="center"/>
              <w:rPr>
                <w:rFonts w:ascii="Arial" w:hAnsi="Arial" w:cs="Arial"/>
                <w:sz w:val="18"/>
                <w:szCs w:val="18"/>
              </w:rPr>
            </w:pPr>
            <w:r w:rsidRPr="007B42F8">
              <w:rPr>
                <w:rFonts w:ascii="Arial" w:hAnsi="Arial" w:cs="Arial"/>
                <w:sz w:val="18"/>
                <w:szCs w:val="18"/>
              </w:rPr>
              <w:t>225</w:t>
            </w:r>
          </w:p>
        </w:tc>
        <w:tc>
          <w:tcPr>
            <w:tcW w:w="895" w:type="pct"/>
          </w:tcPr>
          <w:p w:rsidR="00003CC9" w:rsidRPr="007B42F8" w:rsidP="007B42F8" w14:paraId="14DCF749" w14:textId="5B6F2716">
            <w:pPr>
              <w:jc w:val="center"/>
              <w:rPr>
                <w:rFonts w:ascii="Arial" w:hAnsi="Arial" w:cs="Arial"/>
                <w:sz w:val="18"/>
                <w:szCs w:val="18"/>
              </w:rPr>
            </w:pPr>
            <w:r w:rsidRPr="007B42F8">
              <w:rPr>
                <w:rFonts w:ascii="Arial" w:hAnsi="Arial" w:cs="Arial"/>
                <w:sz w:val="18"/>
                <w:szCs w:val="18"/>
              </w:rPr>
              <w:t>562.5</w:t>
            </w:r>
          </w:p>
        </w:tc>
        <w:tc>
          <w:tcPr>
            <w:tcW w:w="895" w:type="pct"/>
          </w:tcPr>
          <w:p w:rsidR="00003CC9" w:rsidRPr="007B42F8" w:rsidP="007B42F8" w14:paraId="11CC3FB4" w14:textId="60C5B0A5">
            <w:pPr>
              <w:jc w:val="center"/>
              <w:rPr>
                <w:rFonts w:ascii="Arial" w:hAnsi="Arial" w:cs="Arial"/>
                <w:sz w:val="18"/>
                <w:szCs w:val="18"/>
              </w:rPr>
            </w:pPr>
            <w:r>
              <w:rPr>
                <w:rFonts w:ascii="Arial" w:hAnsi="Arial" w:cs="Arial"/>
                <w:sz w:val="18"/>
                <w:szCs w:val="18"/>
              </w:rPr>
              <w:t>$31,511</w:t>
            </w:r>
          </w:p>
        </w:tc>
      </w:tr>
      <w:tr w14:paraId="46A7AA75" w14:textId="1B978675" w:rsidTr="007B42F8">
        <w:tblPrEx>
          <w:tblW w:w="4970" w:type="pct"/>
          <w:tblLayout w:type="fixed"/>
          <w:tblCellMar>
            <w:left w:w="115" w:type="dxa"/>
            <w:right w:w="115" w:type="dxa"/>
          </w:tblCellMar>
          <w:tblLook w:val="04A0"/>
        </w:tblPrEx>
        <w:trPr>
          <w:cantSplit/>
          <w:trHeight w:val="350"/>
        </w:trPr>
        <w:tc>
          <w:tcPr>
            <w:tcW w:w="867" w:type="pct"/>
            <w:vAlign w:val="center"/>
          </w:tcPr>
          <w:p w:rsidR="00003CC9" w:rsidRPr="007B42F8" w:rsidP="00B7066B" w14:paraId="411396F9" w14:textId="77777777">
            <w:pPr>
              <w:rPr>
                <w:rFonts w:ascii="Arial" w:hAnsi="Arial" w:cs="Arial"/>
                <w:b/>
                <w:bCs/>
                <w:sz w:val="18"/>
                <w:szCs w:val="18"/>
              </w:rPr>
            </w:pPr>
            <w:r w:rsidRPr="007B42F8">
              <w:rPr>
                <w:rFonts w:ascii="Arial" w:hAnsi="Arial" w:cs="Arial"/>
                <w:b/>
                <w:bCs/>
                <w:sz w:val="18"/>
                <w:szCs w:val="18"/>
              </w:rPr>
              <w:t>Total</w:t>
            </w:r>
          </w:p>
        </w:tc>
        <w:tc>
          <w:tcPr>
            <w:tcW w:w="635" w:type="pct"/>
            <w:vAlign w:val="center"/>
          </w:tcPr>
          <w:p w:rsidR="00003CC9" w:rsidRPr="007B42F8" w:rsidP="007B42F8" w14:paraId="2793AF7E" w14:textId="77777777">
            <w:pPr>
              <w:jc w:val="center"/>
              <w:rPr>
                <w:rStyle w:val="CommentReference"/>
                <w:b/>
                <w:bCs/>
                <w:sz w:val="18"/>
                <w:szCs w:val="18"/>
              </w:rPr>
            </w:pPr>
            <w:r w:rsidRPr="007B42F8">
              <w:rPr>
                <w:rFonts w:ascii="Arial" w:hAnsi="Arial" w:cs="Arial"/>
                <w:b/>
                <w:bCs/>
                <w:sz w:val="18"/>
                <w:szCs w:val="18"/>
              </w:rPr>
              <w:t>10</w:t>
            </w:r>
          </w:p>
        </w:tc>
        <w:tc>
          <w:tcPr>
            <w:tcW w:w="637" w:type="pct"/>
            <w:vAlign w:val="center"/>
          </w:tcPr>
          <w:p w:rsidR="00003CC9" w:rsidRPr="007B42F8" w:rsidP="007B42F8" w14:paraId="67C030DD" w14:textId="77777777">
            <w:pPr>
              <w:jc w:val="center"/>
              <w:rPr>
                <w:rFonts w:ascii="Arial" w:hAnsi="Arial" w:cs="Arial"/>
                <w:b/>
                <w:bCs/>
                <w:sz w:val="18"/>
                <w:szCs w:val="18"/>
              </w:rPr>
            </w:pPr>
          </w:p>
        </w:tc>
        <w:tc>
          <w:tcPr>
            <w:tcW w:w="519" w:type="pct"/>
            <w:vAlign w:val="center"/>
          </w:tcPr>
          <w:p w:rsidR="00003CC9" w:rsidRPr="007B42F8" w:rsidP="007B42F8" w14:paraId="531F820C" w14:textId="52597079">
            <w:pPr>
              <w:jc w:val="center"/>
              <w:rPr>
                <w:rFonts w:ascii="Arial" w:hAnsi="Arial" w:cs="Arial"/>
                <w:b/>
                <w:bCs/>
                <w:sz w:val="18"/>
                <w:szCs w:val="18"/>
              </w:rPr>
            </w:pPr>
            <w:r w:rsidRPr="007B42F8">
              <w:rPr>
                <w:rFonts w:ascii="Arial" w:hAnsi="Arial" w:cs="Arial"/>
                <w:b/>
                <w:bCs/>
                <w:sz w:val="18"/>
                <w:szCs w:val="18"/>
              </w:rPr>
              <w:t>7.5</w:t>
            </w:r>
          </w:p>
        </w:tc>
        <w:tc>
          <w:tcPr>
            <w:tcW w:w="553" w:type="pct"/>
            <w:vAlign w:val="center"/>
          </w:tcPr>
          <w:p w:rsidR="00003CC9" w:rsidRPr="007B42F8" w:rsidP="007B42F8" w14:paraId="7ACCF88C" w14:textId="1C5F1948">
            <w:pPr>
              <w:jc w:val="center"/>
              <w:rPr>
                <w:rFonts w:ascii="Arial" w:hAnsi="Arial" w:cs="Arial"/>
                <w:b/>
                <w:bCs/>
                <w:sz w:val="18"/>
                <w:szCs w:val="18"/>
              </w:rPr>
            </w:pPr>
          </w:p>
        </w:tc>
        <w:tc>
          <w:tcPr>
            <w:tcW w:w="895" w:type="pct"/>
            <w:vAlign w:val="center"/>
          </w:tcPr>
          <w:p w:rsidR="00003CC9" w:rsidRPr="007B42F8" w:rsidP="007B42F8" w14:paraId="24680C2C" w14:textId="576E8DC0">
            <w:pPr>
              <w:jc w:val="center"/>
              <w:rPr>
                <w:rFonts w:ascii="Arial" w:hAnsi="Arial" w:cs="Arial"/>
                <w:b/>
                <w:bCs/>
                <w:sz w:val="18"/>
                <w:szCs w:val="18"/>
              </w:rPr>
            </w:pPr>
            <w:r w:rsidRPr="007B42F8">
              <w:rPr>
                <w:rFonts w:ascii="Arial" w:hAnsi="Arial" w:cs="Arial"/>
                <w:b/>
                <w:bCs/>
                <w:sz w:val="18"/>
                <w:szCs w:val="18"/>
              </w:rPr>
              <w:t>1,687.5</w:t>
            </w:r>
          </w:p>
        </w:tc>
        <w:tc>
          <w:tcPr>
            <w:tcW w:w="895" w:type="pct"/>
          </w:tcPr>
          <w:p w:rsidR="00003CC9" w:rsidRPr="007B42F8" w:rsidP="007B42F8" w14:paraId="1F0E07E1" w14:textId="75B54DF6">
            <w:pPr>
              <w:jc w:val="center"/>
              <w:rPr>
                <w:rFonts w:ascii="Arial" w:hAnsi="Arial" w:cs="Arial"/>
                <w:b/>
                <w:bCs/>
                <w:sz w:val="18"/>
                <w:szCs w:val="18"/>
              </w:rPr>
            </w:pPr>
            <w:r>
              <w:rPr>
                <w:rFonts w:ascii="Arial" w:hAnsi="Arial" w:cs="Arial"/>
                <w:b/>
                <w:bCs/>
                <w:sz w:val="18"/>
                <w:szCs w:val="18"/>
              </w:rPr>
              <w:t>$94,534</w:t>
            </w:r>
          </w:p>
        </w:tc>
      </w:tr>
    </w:tbl>
    <w:p w:rsidR="004223FB" w:rsidP="00285D42" w14:paraId="7D223D50" w14:textId="77777777">
      <w:pPr>
        <w:spacing w:after="0"/>
      </w:pPr>
    </w:p>
    <w:p w:rsidR="00D90D6B" w:rsidRPr="00AF46D7" w:rsidP="00D90D6B" w14:paraId="03911CD0" w14:textId="0759ACF0">
      <w:pPr>
        <w:spacing w:after="0"/>
        <w:jc w:val="center"/>
        <w:rPr>
          <w:b/>
          <w:bCs/>
        </w:rPr>
      </w:pPr>
      <w:r w:rsidRPr="00AF46D7">
        <w:rPr>
          <w:b/>
          <w:bCs/>
        </w:rPr>
        <w:t xml:space="preserve">Table </w:t>
      </w:r>
      <w:r w:rsidR="0067662F">
        <w:rPr>
          <w:b/>
          <w:bCs/>
        </w:rPr>
        <w:t>3</w:t>
      </w:r>
      <w:r w:rsidRPr="00AF46D7">
        <w:rPr>
          <w:b/>
          <w:bCs/>
        </w:rPr>
        <w:t xml:space="preserve">. </w:t>
      </w:r>
      <w:r w:rsidR="0067662F">
        <w:rPr>
          <w:b/>
          <w:bCs/>
        </w:rPr>
        <w:t xml:space="preserve">Printing Costs </w:t>
      </w:r>
      <w:r w:rsidR="005D47BE">
        <w:rPr>
          <w:b/>
          <w:bCs/>
        </w:rPr>
        <w:t>A</w:t>
      </w:r>
      <w:r w:rsidR="0067662F">
        <w:rPr>
          <w:b/>
          <w:bCs/>
        </w:rPr>
        <w:t>ssociated with SNFs</w:t>
      </w:r>
      <w:r w:rsidRPr="00AF46D7">
        <w:rPr>
          <w:b/>
          <w:bCs/>
        </w:rPr>
        <w:t xml:space="preserve"> Submitting </w:t>
      </w:r>
      <w:r>
        <w:rPr>
          <w:b/>
          <w:bCs/>
        </w:rPr>
        <w:t>Manually</w:t>
      </w:r>
    </w:p>
    <w:p w:rsidR="00D90D6B" w:rsidP="00D90D6B" w14:paraId="710B0DE2" w14:textId="77777777">
      <w:pPr>
        <w:spacing w:after="0"/>
      </w:pPr>
    </w:p>
    <w:tbl>
      <w:tblPr>
        <w:tblStyle w:val="TableGrid"/>
        <w:tblW w:w="6205" w:type="dxa"/>
        <w:jc w:val="center"/>
        <w:tblLayout w:type="fixed"/>
        <w:tblLook w:val="04A0"/>
      </w:tblPr>
      <w:tblGrid>
        <w:gridCol w:w="1613"/>
        <w:gridCol w:w="1172"/>
        <w:gridCol w:w="1080"/>
        <w:gridCol w:w="1080"/>
        <w:gridCol w:w="1260"/>
      </w:tblGrid>
      <w:tr w14:paraId="01914209" w14:textId="77777777" w:rsidTr="007B42F8">
        <w:tblPrEx>
          <w:tblW w:w="6205" w:type="dxa"/>
          <w:jc w:val="center"/>
          <w:tblLayout w:type="fixed"/>
          <w:tblLook w:val="04A0"/>
        </w:tblPrEx>
        <w:trPr>
          <w:jc w:val="center"/>
        </w:trPr>
        <w:tc>
          <w:tcPr>
            <w:tcW w:w="1613" w:type="dxa"/>
          </w:tcPr>
          <w:p w:rsidR="00F84778" w:rsidRPr="007B42F8" w:rsidP="0067662F" w14:paraId="50208B64" w14:textId="50AD6B44">
            <w:pPr>
              <w:rPr>
                <w:rFonts w:ascii="Arial" w:hAnsi="Arial" w:cs="Arial"/>
                <w:b/>
                <w:i/>
                <w:sz w:val="18"/>
                <w:szCs w:val="18"/>
              </w:rPr>
            </w:pPr>
            <w:r>
              <w:rPr>
                <w:rFonts w:ascii="Arial" w:hAnsi="Arial" w:cs="Arial"/>
                <w:b/>
                <w:i/>
                <w:sz w:val="18"/>
                <w:szCs w:val="18"/>
              </w:rPr>
              <w:t>Length of Stay</w:t>
            </w:r>
          </w:p>
        </w:tc>
        <w:tc>
          <w:tcPr>
            <w:tcW w:w="1172" w:type="dxa"/>
          </w:tcPr>
          <w:p w:rsidR="00F84778" w:rsidRPr="007B42F8" w:rsidP="007B42F8" w14:paraId="0B905193" w14:textId="3396AE69">
            <w:pPr>
              <w:jc w:val="center"/>
              <w:rPr>
                <w:rFonts w:ascii="Arial" w:hAnsi="Arial" w:cs="Arial"/>
                <w:b/>
                <w:i/>
                <w:sz w:val="18"/>
                <w:szCs w:val="18"/>
              </w:rPr>
            </w:pPr>
            <w:r w:rsidRPr="00B153EC">
              <w:rPr>
                <w:rFonts w:ascii="Arial" w:hAnsi="Arial" w:cs="Arial"/>
                <w:b/>
                <w:i/>
                <w:sz w:val="18"/>
                <w:szCs w:val="18"/>
              </w:rPr>
              <w:t xml:space="preserve">Average number </w:t>
            </w:r>
            <w:r w:rsidR="00752BD4">
              <w:rPr>
                <w:rFonts w:ascii="Arial" w:hAnsi="Arial" w:cs="Arial"/>
                <w:b/>
                <w:i/>
                <w:sz w:val="18"/>
                <w:szCs w:val="18"/>
              </w:rPr>
              <w:t>medical records</w:t>
            </w:r>
            <w:r w:rsidRPr="00B153EC" w:rsidR="00752BD4">
              <w:rPr>
                <w:rFonts w:ascii="Arial" w:hAnsi="Arial" w:cs="Arial"/>
                <w:b/>
                <w:i/>
                <w:sz w:val="18"/>
                <w:szCs w:val="18"/>
              </w:rPr>
              <w:t xml:space="preserve"> </w:t>
            </w:r>
            <w:r w:rsidRPr="00B153EC">
              <w:rPr>
                <w:rFonts w:ascii="Arial" w:hAnsi="Arial" w:cs="Arial"/>
                <w:b/>
                <w:i/>
                <w:sz w:val="18"/>
                <w:szCs w:val="18"/>
              </w:rPr>
              <w:t xml:space="preserve">per SNF </w:t>
            </w:r>
          </w:p>
        </w:tc>
        <w:tc>
          <w:tcPr>
            <w:tcW w:w="1080" w:type="dxa"/>
          </w:tcPr>
          <w:p w:rsidR="00F84778" w:rsidRPr="007B42F8" w:rsidP="007B42F8" w14:paraId="3A962A80" w14:textId="36ADCB76">
            <w:pPr>
              <w:jc w:val="center"/>
              <w:rPr>
                <w:rFonts w:ascii="Arial" w:hAnsi="Arial" w:cs="Arial"/>
                <w:b/>
                <w:i/>
                <w:sz w:val="18"/>
                <w:szCs w:val="18"/>
              </w:rPr>
            </w:pPr>
            <w:r>
              <w:rPr>
                <w:rFonts w:ascii="Arial" w:hAnsi="Arial" w:cs="Arial"/>
                <w:b/>
                <w:i/>
                <w:sz w:val="18"/>
                <w:szCs w:val="18"/>
              </w:rPr>
              <w:t xml:space="preserve">Pages per </w:t>
            </w:r>
            <w:r w:rsidR="00752BD4">
              <w:rPr>
                <w:rFonts w:ascii="Arial" w:hAnsi="Arial" w:cs="Arial"/>
                <w:b/>
                <w:i/>
                <w:sz w:val="18"/>
                <w:szCs w:val="18"/>
              </w:rPr>
              <w:t>medical record</w:t>
            </w:r>
          </w:p>
        </w:tc>
        <w:tc>
          <w:tcPr>
            <w:tcW w:w="1080" w:type="dxa"/>
          </w:tcPr>
          <w:p w:rsidR="00F84778" w:rsidRPr="007B42F8" w:rsidP="007B42F8" w14:paraId="58DC4E6C" w14:textId="44633520">
            <w:pPr>
              <w:jc w:val="center"/>
              <w:rPr>
                <w:rFonts w:ascii="Arial" w:hAnsi="Arial" w:cs="Arial"/>
                <w:b/>
                <w:i/>
                <w:sz w:val="18"/>
                <w:szCs w:val="18"/>
              </w:rPr>
            </w:pPr>
            <w:r>
              <w:rPr>
                <w:rFonts w:ascii="Arial" w:hAnsi="Arial" w:cs="Arial"/>
                <w:b/>
                <w:i/>
                <w:sz w:val="18"/>
                <w:szCs w:val="18"/>
              </w:rPr>
              <w:t xml:space="preserve">Total </w:t>
            </w:r>
            <w:r w:rsidR="00304EE7">
              <w:rPr>
                <w:rFonts w:ascii="Arial" w:hAnsi="Arial" w:cs="Arial"/>
                <w:b/>
                <w:i/>
                <w:sz w:val="18"/>
                <w:szCs w:val="18"/>
              </w:rPr>
              <w:t>p</w:t>
            </w:r>
            <w:r>
              <w:rPr>
                <w:rFonts w:ascii="Arial" w:hAnsi="Arial" w:cs="Arial"/>
                <w:b/>
                <w:i/>
                <w:sz w:val="18"/>
                <w:szCs w:val="18"/>
              </w:rPr>
              <w:t>ages per SNF</w:t>
            </w:r>
          </w:p>
        </w:tc>
        <w:tc>
          <w:tcPr>
            <w:tcW w:w="1260" w:type="dxa"/>
          </w:tcPr>
          <w:p w:rsidR="00F84778" w:rsidRPr="007B42F8" w:rsidP="007B42F8" w14:paraId="2DE94FE3" w14:textId="39866553">
            <w:pPr>
              <w:jc w:val="center"/>
              <w:rPr>
                <w:rFonts w:ascii="Arial" w:hAnsi="Arial" w:cs="Arial"/>
                <w:b/>
                <w:i/>
                <w:sz w:val="18"/>
                <w:szCs w:val="18"/>
              </w:rPr>
            </w:pPr>
            <w:r>
              <w:rPr>
                <w:rFonts w:ascii="Arial" w:hAnsi="Arial" w:cs="Arial"/>
                <w:b/>
                <w:i/>
                <w:sz w:val="18"/>
                <w:szCs w:val="18"/>
              </w:rPr>
              <w:t xml:space="preserve">Printing </w:t>
            </w:r>
            <w:r w:rsidR="00304EE7">
              <w:rPr>
                <w:rFonts w:ascii="Arial" w:hAnsi="Arial" w:cs="Arial"/>
                <w:b/>
                <w:i/>
                <w:sz w:val="18"/>
                <w:szCs w:val="18"/>
              </w:rPr>
              <w:t>c</w:t>
            </w:r>
            <w:r>
              <w:rPr>
                <w:rFonts w:ascii="Arial" w:hAnsi="Arial" w:cs="Arial"/>
                <w:b/>
                <w:i/>
                <w:sz w:val="18"/>
                <w:szCs w:val="18"/>
              </w:rPr>
              <w:t>osts per SNF</w:t>
            </w:r>
          </w:p>
        </w:tc>
      </w:tr>
      <w:tr w14:paraId="015081FE" w14:textId="77777777" w:rsidTr="007B42F8">
        <w:tblPrEx>
          <w:tblW w:w="6205" w:type="dxa"/>
          <w:jc w:val="center"/>
          <w:tblLayout w:type="fixed"/>
          <w:tblLook w:val="04A0"/>
        </w:tblPrEx>
        <w:trPr>
          <w:trHeight w:val="360"/>
          <w:jc w:val="center"/>
        </w:trPr>
        <w:tc>
          <w:tcPr>
            <w:tcW w:w="1613" w:type="dxa"/>
          </w:tcPr>
          <w:p w:rsidR="00F84778" w:rsidRPr="007B42F8" w:rsidP="0067662F" w14:paraId="3C9F02A0" w14:textId="1D396A91">
            <w:pPr>
              <w:rPr>
                <w:rFonts w:ascii="Arial" w:hAnsi="Arial" w:cs="Arial"/>
                <w:bCs/>
                <w:iCs/>
                <w:sz w:val="18"/>
                <w:szCs w:val="18"/>
              </w:rPr>
            </w:pPr>
            <w:r w:rsidRPr="00B153EC">
              <w:rPr>
                <w:rFonts w:ascii="Arial" w:hAnsi="Arial" w:cs="Arial"/>
                <w:sz w:val="18"/>
                <w:szCs w:val="18"/>
              </w:rPr>
              <w:t>Short Stay</w:t>
            </w:r>
          </w:p>
        </w:tc>
        <w:tc>
          <w:tcPr>
            <w:tcW w:w="1172" w:type="dxa"/>
          </w:tcPr>
          <w:p w:rsidR="00F84778" w:rsidRPr="007B42F8" w:rsidP="007B42F8" w14:paraId="3B34862C" w14:textId="3EBA09C7">
            <w:pPr>
              <w:jc w:val="center"/>
              <w:rPr>
                <w:rFonts w:ascii="Arial" w:hAnsi="Arial" w:cs="Arial"/>
                <w:bCs/>
                <w:iCs/>
                <w:sz w:val="18"/>
                <w:szCs w:val="18"/>
              </w:rPr>
            </w:pPr>
            <w:r w:rsidRPr="00B153EC">
              <w:rPr>
                <w:rFonts w:ascii="Arial" w:hAnsi="Arial" w:cs="Arial"/>
                <w:sz w:val="18"/>
                <w:szCs w:val="18"/>
              </w:rPr>
              <w:t>4</w:t>
            </w:r>
          </w:p>
        </w:tc>
        <w:tc>
          <w:tcPr>
            <w:tcW w:w="1080" w:type="dxa"/>
          </w:tcPr>
          <w:p w:rsidR="00F84778" w:rsidRPr="007B42F8" w:rsidP="007B42F8" w14:paraId="690C2750" w14:textId="0215ED9D">
            <w:pPr>
              <w:jc w:val="center"/>
              <w:rPr>
                <w:rFonts w:ascii="Arial" w:hAnsi="Arial" w:cs="Arial"/>
                <w:bCs/>
                <w:iCs/>
                <w:sz w:val="18"/>
                <w:szCs w:val="18"/>
              </w:rPr>
            </w:pPr>
            <w:r>
              <w:rPr>
                <w:rFonts w:ascii="Arial" w:hAnsi="Arial" w:cs="Arial"/>
                <w:bCs/>
                <w:iCs/>
                <w:sz w:val="18"/>
                <w:szCs w:val="18"/>
              </w:rPr>
              <w:t>480</w:t>
            </w:r>
          </w:p>
        </w:tc>
        <w:tc>
          <w:tcPr>
            <w:tcW w:w="1080" w:type="dxa"/>
          </w:tcPr>
          <w:p w:rsidR="00F84778" w:rsidRPr="007B42F8" w:rsidP="007B42F8" w14:paraId="248B4340" w14:textId="1E495D1B">
            <w:pPr>
              <w:jc w:val="center"/>
              <w:rPr>
                <w:rFonts w:ascii="Arial" w:hAnsi="Arial" w:cs="Arial"/>
                <w:bCs/>
                <w:iCs/>
                <w:sz w:val="18"/>
                <w:szCs w:val="18"/>
              </w:rPr>
            </w:pPr>
            <w:r>
              <w:rPr>
                <w:rFonts w:ascii="Arial" w:hAnsi="Arial" w:cs="Arial"/>
                <w:bCs/>
                <w:iCs/>
                <w:sz w:val="18"/>
                <w:szCs w:val="18"/>
              </w:rPr>
              <w:t>1,920</w:t>
            </w:r>
          </w:p>
        </w:tc>
        <w:tc>
          <w:tcPr>
            <w:tcW w:w="1260" w:type="dxa"/>
          </w:tcPr>
          <w:p w:rsidR="00F84778" w:rsidRPr="007B42F8" w:rsidP="007B42F8" w14:paraId="124D2665" w14:textId="7F8589B5">
            <w:pPr>
              <w:jc w:val="center"/>
              <w:rPr>
                <w:rFonts w:ascii="Arial" w:hAnsi="Arial" w:cs="Arial"/>
                <w:bCs/>
                <w:iCs/>
                <w:sz w:val="18"/>
                <w:szCs w:val="18"/>
              </w:rPr>
            </w:pPr>
            <w:r>
              <w:rPr>
                <w:rFonts w:ascii="Arial" w:hAnsi="Arial" w:cs="Arial"/>
                <w:bCs/>
                <w:iCs/>
                <w:sz w:val="18"/>
                <w:szCs w:val="18"/>
              </w:rPr>
              <w:t>$326.40</w:t>
            </w:r>
          </w:p>
        </w:tc>
      </w:tr>
      <w:tr w14:paraId="5DB21E5D" w14:textId="77777777" w:rsidTr="007B42F8">
        <w:tblPrEx>
          <w:tblW w:w="6205" w:type="dxa"/>
          <w:jc w:val="center"/>
          <w:tblLayout w:type="fixed"/>
          <w:tblLook w:val="04A0"/>
        </w:tblPrEx>
        <w:trPr>
          <w:trHeight w:val="360"/>
          <w:jc w:val="center"/>
        </w:trPr>
        <w:tc>
          <w:tcPr>
            <w:tcW w:w="1613" w:type="dxa"/>
          </w:tcPr>
          <w:p w:rsidR="00F84778" w:rsidRPr="007B42F8" w:rsidP="0067662F" w14:paraId="0897A34D" w14:textId="4100DEBD">
            <w:pPr>
              <w:rPr>
                <w:rFonts w:ascii="Arial" w:hAnsi="Arial" w:cs="Arial"/>
                <w:bCs/>
                <w:iCs/>
                <w:sz w:val="18"/>
                <w:szCs w:val="18"/>
              </w:rPr>
            </w:pPr>
            <w:r w:rsidRPr="00B153EC">
              <w:rPr>
                <w:rFonts w:ascii="Arial" w:hAnsi="Arial" w:cs="Arial"/>
                <w:sz w:val="18"/>
                <w:szCs w:val="18"/>
              </w:rPr>
              <w:t>Moderate Stay</w:t>
            </w:r>
          </w:p>
        </w:tc>
        <w:tc>
          <w:tcPr>
            <w:tcW w:w="1172" w:type="dxa"/>
          </w:tcPr>
          <w:p w:rsidR="00F84778" w:rsidRPr="007B42F8" w:rsidP="007B42F8" w14:paraId="3C607307" w14:textId="596DC769">
            <w:pPr>
              <w:jc w:val="center"/>
              <w:rPr>
                <w:rFonts w:ascii="Arial" w:hAnsi="Arial" w:cs="Arial"/>
                <w:bCs/>
                <w:iCs/>
                <w:sz w:val="18"/>
                <w:szCs w:val="18"/>
              </w:rPr>
            </w:pPr>
            <w:r w:rsidRPr="00B153EC">
              <w:rPr>
                <w:rFonts w:ascii="Arial" w:hAnsi="Arial" w:cs="Arial"/>
                <w:sz w:val="18"/>
                <w:szCs w:val="18"/>
              </w:rPr>
              <w:t>4</w:t>
            </w:r>
          </w:p>
        </w:tc>
        <w:tc>
          <w:tcPr>
            <w:tcW w:w="1080" w:type="dxa"/>
          </w:tcPr>
          <w:p w:rsidR="00F84778" w:rsidRPr="007B42F8" w:rsidP="007B42F8" w14:paraId="5B299F68" w14:textId="6387DD4F">
            <w:pPr>
              <w:jc w:val="center"/>
              <w:rPr>
                <w:rFonts w:ascii="Arial" w:hAnsi="Arial" w:cs="Arial"/>
                <w:bCs/>
                <w:iCs/>
                <w:sz w:val="18"/>
                <w:szCs w:val="18"/>
              </w:rPr>
            </w:pPr>
            <w:r>
              <w:rPr>
                <w:rFonts w:ascii="Arial" w:hAnsi="Arial" w:cs="Arial"/>
                <w:bCs/>
                <w:iCs/>
                <w:sz w:val="18"/>
                <w:szCs w:val="18"/>
              </w:rPr>
              <w:t>780</w:t>
            </w:r>
          </w:p>
        </w:tc>
        <w:tc>
          <w:tcPr>
            <w:tcW w:w="1080" w:type="dxa"/>
          </w:tcPr>
          <w:p w:rsidR="00F84778" w:rsidRPr="007B42F8" w:rsidP="007B42F8" w14:paraId="521B6346" w14:textId="6E421B8E">
            <w:pPr>
              <w:jc w:val="center"/>
              <w:rPr>
                <w:rFonts w:ascii="Arial" w:hAnsi="Arial" w:cs="Arial"/>
                <w:bCs/>
                <w:iCs/>
                <w:sz w:val="18"/>
                <w:szCs w:val="18"/>
              </w:rPr>
            </w:pPr>
            <w:r>
              <w:rPr>
                <w:rFonts w:ascii="Arial" w:hAnsi="Arial" w:cs="Arial"/>
                <w:bCs/>
                <w:iCs/>
                <w:sz w:val="18"/>
                <w:szCs w:val="18"/>
              </w:rPr>
              <w:t>3,120</w:t>
            </w:r>
          </w:p>
        </w:tc>
        <w:tc>
          <w:tcPr>
            <w:tcW w:w="1260" w:type="dxa"/>
          </w:tcPr>
          <w:p w:rsidR="00F84778" w:rsidRPr="007B42F8" w:rsidP="007B42F8" w14:paraId="66D5426E" w14:textId="7927FA16">
            <w:pPr>
              <w:jc w:val="center"/>
              <w:rPr>
                <w:rFonts w:ascii="Arial" w:hAnsi="Arial" w:cs="Arial"/>
                <w:bCs/>
                <w:iCs/>
                <w:sz w:val="18"/>
                <w:szCs w:val="18"/>
              </w:rPr>
            </w:pPr>
            <w:r>
              <w:rPr>
                <w:rFonts w:ascii="Arial" w:hAnsi="Arial" w:cs="Arial"/>
                <w:bCs/>
                <w:iCs/>
                <w:sz w:val="18"/>
                <w:szCs w:val="18"/>
              </w:rPr>
              <w:t>$530.40</w:t>
            </w:r>
          </w:p>
        </w:tc>
      </w:tr>
      <w:tr w14:paraId="2DA31946" w14:textId="77777777" w:rsidTr="007B42F8">
        <w:tblPrEx>
          <w:tblW w:w="6205" w:type="dxa"/>
          <w:jc w:val="center"/>
          <w:tblLayout w:type="fixed"/>
          <w:tblLook w:val="04A0"/>
        </w:tblPrEx>
        <w:trPr>
          <w:trHeight w:val="360"/>
          <w:jc w:val="center"/>
        </w:trPr>
        <w:tc>
          <w:tcPr>
            <w:tcW w:w="1613" w:type="dxa"/>
          </w:tcPr>
          <w:p w:rsidR="00F84778" w:rsidRPr="007B42F8" w:rsidP="0067662F" w14:paraId="1543BB77" w14:textId="0DB22697">
            <w:pPr>
              <w:rPr>
                <w:rFonts w:ascii="Arial" w:hAnsi="Arial" w:cs="Arial"/>
                <w:bCs/>
                <w:iCs/>
                <w:sz w:val="18"/>
                <w:szCs w:val="18"/>
              </w:rPr>
            </w:pPr>
            <w:r w:rsidRPr="00B153EC">
              <w:rPr>
                <w:rFonts w:ascii="Arial" w:hAnsi="Arial" w:cs="Arial"/>
                <w:sz w:val="18"/>
                <w:szCs w:val="18"/>
              </w:rPr>
              <w:t>Long Stay</w:t>
            </w:r>
          </w:p>
        </w:tc>
        <w:tc>
          <w:tcPr>
            <w:tcW w:w="1172" w:type="dxa"/>
          </w:tcPr>
          <w:p w:rsidR="00F84778" w:rsidRPr="007B42F8" w:rsidP="007B42F8" w14:paraId="627B8A5D" w14:textId="067F276E">
            <w:pPr>
              <w:jc w:val="center"/>
              <w:rPr>
                <w:rFonts w:ascii="Arial" w:hAnsi="Arial" w:cs="Arial"/>
                <w:bCs/>
                <w:iCs/>
                <w:sz w:val="18"/>
                <w:szCs w:val="18"/>
              </w:rPr>
            </w:pPr>
            <w:r w:rsidRPr="00B153EC">
              <w:rPr>
                <w:rFonts w:ascii="Arial" w:hAnsi="Arial" w:cs="Arial"/>
                <w:sz w:val="18"/>
                <w:szCs w:val="18"/>
              </w:rPr>
              <w:t>2</w:t>
            </w:r>
          </w:p>
        </w:tc>
        <w:tc>
          <w:tcPr>
            <w:tcW w:w="1080" w:type="dxa"/>
          </w:tcPr>
          <w:p w:rsidR="00F84778" w:rsidRPr="007B42F8" w:rsidP="007B42F8" w14:paraId="3877EC39" w14:textId="57185FC1">
            <w:pPr>
              <w:jc w:val="center"/>
              <w:rPr>
                <w:rFonts w:ascii="Arial" w:hAnsi="Arial" w:cs="Arial"/>
                <w:bCs/>
                <w:iCs/>
                <w:sz w:val="18"/>
                <w:szCs w:val="18"/>
              </w:rPr>
            </w:pPr>
            <w:r>
              <w:rPr>
                <w:rFonts w:ascii="Arial" w:hAnsi="Arial" w:cs="Arial"/>
                <w:bCs/>
                <w:iCs/>
                <w:sz w:val="18"/>
                <w:szCs w:val="18"/>
              </w:rPr>
              <w:t>2,400</w:t>
            </w:r>
          </w:p>
        </w:tc>
        <w:tc>
          <w:tcPr>
            <w:tcW w:w="1080" w:type="dxa"/>
          </w:tcPr>
          <w:p w:rsidR="00F84778" w:rsidRPr="007B42F8" w:rsidP="007B42F8" w14:paraId="682B4DA3" w14:textId="71CF9D0C">
            <w:pPr>
              <w:jc w:val="center"/>
              <w:rPr>
                <w:rFonts w:ascii="Arial" w:hAnsi="Arial" w:cs="Arial"/>
                <w:bCs/>
                <w:iCs/>
                <w:sz w:val="18"/>
                <w:szCs w:val="18"/>
              </w:rPr>
            </w:pPr>
            <w:r>
              <w:rPr>
                <w:rFonts w:ascii="Arial" w:hAnsi="Arial" w:cs="Arial"/>
                <w:bCs/>
                <w:iCs/>
                <w:sz w:val="18"/>
                <w:szCs w:val="18"/>
              </w:rPr>
              <w:t>4,800</w:t>
            </w:r>
          </w:p>
        </w:tc>
        <w:tc>
          <w:tcPr>
            <w:tcW w:w="1260" w:type="dxa"/>
          </w:tcPr>
          <w:p w:rsidR="00F84778" w:rsidRPr="007B42F8" w:rsidP="007B42F8" w14:paraId="6BAE29C3" w14:textId="44C8BE2F">
            <w:pPr>
              <w:jc w:val="center"/>
              <w:rPr>
                <w:rFonts w:ascii="Arial" w:hAnsi="Arial" w:cs="Arial"/>
                <w:bCs/>
                <w:iCs/>
                <w:sz w:val="18"/>
                <w:szCs w:val="18"/>
              </w:rPr>
            </w:pPr>
            <w:r>
              <w:rPr>
                <w:rFonts w:ascii="Arial" w:hAnsi="Arial" w:cs="Arial"/>
                <w:bCs/>
                <w:iCs/>
                <w:sz w:val="18"/>
                <w:szCs w:val="18"/>
              </w:rPr>
              <w:t>$816.00</w:t>
            </w:r>
          </w:p>
        </w:tc>
      </w:tr>
      <w:tr w14:paraId="4EF82671" w14:textId="77777777" w:rsidTr="007B42F8">
        <w:tblPrEx>
          <w:tblW w:w="6205" w:type="dxa"/>
          <w:jc w:val="center"/>
          <w:tblLayout w:type="fixed"/>
          <w:tblLook w:val="04A0"/>
        </w:tblPrEx>
        <w:trPr>
          <w:trHeight w:val="360"/>
          <w:jc w:val="center"/>
        </w:trPr>
        <w:tc>
          <w:tcPr>
            <w:tcW w:w="1613" w:type="dxa"/>
          </w:tcPr>
          <w:p w:rsidR="00F84778" w:rsidRPr="007B42F8" w:rsidP="001B486F" w14:paraId="650D5C62" w14:textId="77777777">
            <w:pPr>
              <w:rPr>
                <w:rFonts w:ascii="Arial" w:hAnsi="Arial" w:cs="Arial"/>
                <w:b/>
                <w:iCs/>
                <w:sz w:val="18"/>
                <w:szCs w:val="18"/>
              </w:rPr>
            </w:pPr>
            <w:r w:rsidRPr="007B42F8">
              <w:rPr>
                <w:rFonts w:ascii="Arial" w:hAnsi="Arial" w:cs="Arial"/>
                <w:b/>
                <w:iCs/>
                <w:sz w:val="18"/>
                <w:szCs w:val="18"/>
              </w:rPr>
              <w:t>Total</w:t>
            </w:r>
          </w:p>
        </w:tc>
        <w:tc>
          <w:tcPr>
            <w:tcW w:w="1172" w:type="dxa"/>
          </w:tcPr>
          <w:p w:rsidR="00F84778" w:rsidRPr="007B42F8" w:rsidP="007B42F8" w14:paraId="4C9E0028" w14:textId="47DED515">
            <w:pPr>
              <w:jc w:val="center"/>
              <w:rPr>
                <w:rFonts w:ascii="Arial" w:hAnsi="Arial" w:cs="Arial"/>
                <w:b/>
                <w:iCs/>
                <w:sz w:val="18"/>
                <w:szCs w:val="18"/>
              </w:rPr>
            </w:pPr>
            <w:r w:rsidRPr="007B42F8">
              <w:rPr>
                <w:rFonts w:ascii="Arial" w:hAnsi="Arial" w:cs="Arial"/>
                <w:b/>
                <w:iCs/>
                <w:sz w:val="18"/>
                <w:szCs w:val="18"/>
              </w:rPr>
              <w:t>10</w:t>
            </w:r>
          </w:p>
        </w:tc>
        <w:tc>
          <w:tcPr>
            <w:tcW w:w="1080" w:type="dxa"/>
          </w:tcPr>
          <w:p w:rsidR="00F84778" w:rsidRPr="007B42F8" w:rsidP="007B42F8" w14:paraId="6478CF3A" w14:textId="77777777">
            <w:pPr>
              <w:jc w:val="center"/>
              <w:rPr>
                <w:rFonts w:ascii="Arial" w:hAnsi="Arial" w:cs="Arial"/>
                <w:b/>
                <w:iCs/>
                <w:sz w:val="18"/>
                <w:szCs w:val="18"/>
              </w:rPr>
            </w:pPr>
          </w:p>
        </w:tc>
        <w:tc>
          <w:tcPr>
            <w:tcW w:w="1080" w:type="dxa"/>
          </w:tcPr>
          <w:p w:rsidR="00F84778" w:rsidRPr="007B42F8" w:rsidP="007B42F8" w14:paraId="294BC03A" w14:textId="03889726">
            <w:pPr>
              <w:jc w:val="center"/>
              <w:rPr>
                <w:rFonts w:ascii="Arial" w:hAnsi="Arial" w:cs="Arial"/>
                <w:b/>
                <w:iCs/>
                <w:sz w:val="18"/>
                <w:szCs w:val="18"/>
              </w:rPr>
            </w:pPr>
            <w:r>
              <w:rPr>
                <w:rFonts w:ascii="Arial" w:hAnsi="Arial" w:cs="Arial"/>
                <w:b/>
                <w:iCs/>
                <w:sz w:val="18"/>
                <w:szCs w:val="18"/>
              </w:rPr>
              <w:t>9,840</w:t>
            </w:r>
          </w:p>
        </w:tc>
        <w:tc>
          <w:tcPr>
            <w:tcW w:w="1260" w:type="dxa"/>
          </w:tcPr>
          <w:p w:rsidR="00F84778" w:rsidRPr="007B42F8" w:rsidP="007B42F8" w14:paraId="09B2D5F7" w14:textId="6434EF68">
            <w:pPr>
              <w:jc w:val="center"/>
              <w:rPr>
                <w:rFonts w:ascii="Arial" w:hAnsi="Arial" w:cs="Arial"/>
                <w:b/>
                <w:iCs/>
                <w:sz w:val="18"/>
                <w:szCs w:val="18"/>
              </w:rPr>
            </w:pPr>
            <w:r>
              <w:rPr>
                <w:rFonts w:ascii="Arial" w:hAnsi="Arial" w:cs="Arial"/>
                <w:b/>
                <w:iCs/>
                <w:sz w:val="18"/>
                <w:szCs w:val="18"/>
              </w:rPr>
              <w:t>$1,673</w:t>
            </w:r>
          </w:p>
        </w:tc>
      </w:tr>
    </w:tbl>
    <w:p w:rsidR="007A1BAA" w:rsidP="00285D42" w14:paraId="00465035" w14:textId="77777777">
      <w:pPr>
        <w:spacing w:after="0"/>
      </w:pPr>
    </w:p>
    <w:p w:rsidR="00E10E3A" w:rsidRPr="00D54C11" w:rsidP="00111EE7" w14:paraId="34D30478" w14:textId="70476BEE">
      <w:pPr>
        <w:pStyle w:val="Heading2"/>
      </w:pPr>
      <w:r w:rsidRPr="00D54C11">
        <w:t>Capital Costs</w:t>
      </w:r>
      <w:r w:rsidRPr="00D54C11" w:rsidR="001261C9">
        <w:t xml:space="preserve"> (Maintenance of Capital Costs)</w:t>
      </w:r>
    </w:p>
    <w:p w:rsidR="00BB3357" w:rsidRPr="00BB3357" w:rsidP="00285D42" w14:paraId="1104F373" w14:textId="3C8EE87E">
      <w:pPr>
        <w:ind w:firstLine="432"/>
        <w:rPr>
          <w:u w:val="single"/>
        </w:rPr>
      </w:pPr>
      <w:r w:rsidRPr="001261C9">
        <w:t xml:space="preserve">There are no capital costs associated with </w:t>
      </w:r>
      <w:r w:rsidR="008803D7">
        <w:t xml:space="preserve">the </w:t>
      </w:r>
      <w:r w:rsidR="006A6009">
        <w:t xml:space="preserve">finalized </w:t>
      </w:r>
      <w:r w:rsidR="00B072B1">
        <w:t xml:space="preserve">policies </w:t>
      </w:r>
      <w:r w:rsidR="003070B8">
        <w:t xml:space="preserve">for either the </w:t>
      </w:r>
      <w:r w:rsidR="008803D7">
        <w:t xml:space="preserve">SNF </w:t>
      </w:r>
      <w:r w:rsidR="00DD30EA">
        <w:t xml:space="preserve">VBP Program </w:t>
      </w:r>
      <w:r w:rsidR="00361B8D">
        <w:t>or</w:t>
      </w:r>
      <w:r w:rsidR="00D3340E">
        <w:t xml:space="preserve"> </w:t>
      </w:r>
      <w:r w:rsidR="00DD30EA">
        <w:t xml:space="preserve">the </w:t>
      </w:r>
      <w:r w:rsidR="008803D7">
        <w:t xml:space="preserve">SNF </w:t>
      </w:r>
      <w:r w:rsidR="00DD30EA">
        <w:t>QRP</w:t>
      </w:r>
      <w:r w:rsidRPr="001261C9">
        <w:t>.</w:t>
      </w:r>
    </w:p>
    <w:p w:rsidR="00A64ED4" w:rsidRPr="00BB54CB" w:rsidP="00A7502B" w14:paraId="227C2A60" w14:textId="546381C2">
      <w:pPr>
        <w:pStyle w:val="Heading2"/>
      </w:pPr>
      <w:r w:rsidRPr="00BB54CB">
        <w:t>Cost to Federal Government</w:t>
      </w:r>
    </w:p>
    <w:p w:rsidR="00D13368" w:rsidP="00711095" w14:paraId="3F494271" w14:textId="22FD346F">
      <w:pPr>
        <w:pStyle w:val="Default"/>
        <w:keepNext/>
        <w:keepLines/>
        <w:spacing w:after="160"/>
        <w:ind w:firstLine="432"/>
        <w:rPr>
          <w:rFonts w:eastAsia="Times New Roman"/>
          <w:color w:val="auto"/>
        </w:rPr>
      </w:pPr>
      <w:r w:rsidRPr="001261C9">
        <w:rPr>
          <w:rFonts w:eastAsia="Times New Roman"/>
          <w:color w:val="auto"/>
        </w:rPr>
        <w:t xml:space="preserve">The cost to the Federal Government includes costs associated </w:t>
      </w:r>
      <w:r>
        <w:rPr>
          <w:rFonts w:eastAsia="Times New Roman"/>
          <w:color w:val="auto"/>
        </w:rPr>
        <w:t>with the activities the validation contractor will conduct to support the MDS validation process</w:t>
      </w:r>
      <w:r w:rsidRPr="72BB0FC8">
        <w:rPr>
          <w:rFonts w:eastAsia="Times New Roman"/>
          <w:color w:val="auto"/>
        </w:rPr>
        <w:t>.</w:t>
      </w:r>
      <w:r>
        <w:rPr>
          <w:rFonts w:eastAsia="Times New Roman"/>
          <w:color w:val="auto"/>
        </w:rPr>
        <w:t xml:space="preserve">  These activities include:</w:t>
      </w:r>
    </w:p>
    <w:p w:rsidR="0020084C" w:rsidP="00D13368" w14:paraId="76363236" w14:textId="71F2632B">
      <w:pPr>
        <w:pStyle w:val="Default"/>
        <w:keepNext/>
        <w:keepLines/>
        <w:numPr>
          <w:ilvl w:val="0"/>
          <w:numId w:val="18"/>
        </w:numPr>
        <w:spacing w:after="160"/>
        <w:rPr>
          <w:rFonts w:eastAsia="Times New Roman"/>
          <w:color w:val="auto"/>
        </w:rPr>
      </w:pPr>
      <w:r>
        <w:rPr>
          <w:rFonts w:eastAsia="Times New Roman"/>
          <w:color w:val="auto"/>
        </w:rPr>
        <w:t xml:space="preserve">Developing and supporting streamlined MDS data elements and </w:t>
      </w:r>
      <w:r w:rsidR="00484339">
        <w:rPr>
          <w:rFonts w:eastAsia="Times New Roman"/>
          <w:color w:val="auto"/>
        </w:rPr>
        <w:t xml:space="preserve">the </w:t>
      </w:r>
      <w:r>
        <w:rPr>
          <w:rFonts w:eastAsia="Times New Roman"/>
          <w:color w:val="auto"/>
        </w:rPr>
        <w:t xml:space="preserve">measure validation process including data processing, sampling, and design or modification of data collection </w:t>
      </w:r>
      <w:r>
        <w:rPr>
          <w:rFonts w:eastAsia="Times New Roman"/>
          <w:color w:val="auto"/>
        </w:rPr>
        <w:t>templates;</w:t>
      </w:r>
    </w:p>
    <w:p w:rsidR="00357428" w:rsidP="00D13368" w14:paraId="77C1BA03" w14:textId="2E2001A2">
      <w:pPr>
        <w:pStyle w:val="Default"/>
        <w:keepNext/>
        <w:keepLines/>
        <w:numPr>
          <w:ilvl w:val="0"/>
          <w:numId w:val="18"/>
        </w:numPr>
        <w:spacing w:after="160"/>
        <w:rPr>
          <w:rFonts w:eastAsia="Times New Roman"/>
          <w:color w:val="auto"/>
        </w:rPr>
      </w:pPr>
      <w:r>
        <w:rPr>
          <w:rFonts w:eastAsia="Times New Roman"/>
          <w:color w:val="auto"/>
        </w:rPr>
        <w:t xml:space="preserve">Developing targeted criteria for SNF </w:t>
      </w:r>
      <w:r>
        <w:rPr>
          <w:rFonts w:eastAsia="Times New Roman"/>
          <w:color w:val="auto"/>
        </w:rPr>
        <w:t>selection;</w:t>
      </w:r>
    </w:p>
    <w:p w:rsidR="00357428" w:rsidP="00D13368" w14:paraId="7ED4F7A7" w14:textId="0171EEBD">
      <w:pPr>
        <w:pStyle w:val="Default"/>
        <w:keepNext/>
        <w:keepLines/>
        <w:numPr>
          <w:ilvl w:val="0"/>
          <w:numId w:val="18"/>
        </w:numPr>
        <w:spacing w:after="160"/>
        <w:rPr>
          <w:rFonts w:eastAsia="Times New Roman"/>
          <w:color w:val="auto"/>
        </w:rPr>
      </w:pPr>
      <w:r>
        <w:rPr>
          <w:rFonts w:eastAsia="Times New Roman"/>
          <w:color w:val="auto"/>
        </w:rPr>
        <w:t xml:space="preserve">Developing format and content of all documentation and providing </w:t>
      </w:r>
      <w:r>
        <w:rPr>
          <w:rFonts w:eastAsia="Times New Roman"/>
          <w:color w:val="auto"/>
        </w:rPr>
        <w:t>letters;</w:t>
      </w:r>
    </w:p>
    <w:p w:rsidR="00357428" w:rsidP="00D13368" w14:paraId="6F01BB86" w14:textId="02343BCC">
      <w:pPr>
        <w:pStyle w:val="Default"/>
        <w:keepNext/>
        <w:keepLines/>
        <w:numPr>
          <w:ilvl w:val="0"/>
          <w:numId w:val="18"/>
        </w:numPr>
        <w:spacing w:after="160"/>
        <w:rPr>
          <w:rFonts w:eastAsia="Times New Roman"/>
          <w:color w:val="auto"/>
        </w:rPr>
      </w:pPr>
      <w:r>
        <w:rPr>
          <w:rFonts w:eastAsia="Times New Roman"/>
          <w:color w:val="auto"/>
        </w:rPr>
        <w:t xml:space="preserve">Developing request letters and all educational </w:t>
      </w:r>
      <w:r>
        <w:rPr>
          <w:rFonts w:eastAsia="Times New Roman"/>
          <w:color w:val="auto"/>
        </w:rPr>
        <w:t>materials;</w:t>
      </w:r>
    </w:p>
    <w:p w:rsidR="00357428" w:rsidP="00D13368" w14:paraId="25023EEB" w14:textId="10C84D70">
      <w:pPr>
        <w:pStyle w:val="Default"/>
        <w:keepNext/>
        <w:keepLines/>
        <w:numPr>
          <w:ilvl w:val="0"/>
          <w:numId w:val="18"/>
        </w:numPr>
        <w:spacing w:after="160"/>
        <w:rPr>
          <w:rFonts w:eastAsia="Times New Roman"/>
          <w:color w:val="auto"/>
        </w:rPr>
      </w:pPr>
      <w:r>
        <w:rPr>
          <w:rFonts w:eastAsia="Times New Roman"/>
          <w:color w:val="auto"/>
        </w:rPr>
        <w:t>Requesting, receiving, and having the capacity to hold and s</w:t>
      </w:r>
      <w:r w:rsidR="00CA5CC2">
        <w:rPr>
          <w:rFonts w:eastAsia="Times New Roman"/>
          <w:color w:val="auto"/>
        </w:rPr>
        <w:t>t</w:t>
      </w:r>
      <w:r>
        <w:rPr>
          <w:rFonts w:eastAsia="Times New Roman"/>
          <w:color w:val="auto"/>
        </w:rPr>
        <w:t xml:space="preserve">ore the associated medical </w:t>
      </w:r>
      <w:r>
        <w:rPr>
          <w:rFonts w:eastAsia="Times New Roman"/>
          <w:color w:val="auto"/>
        </w:rPr>
        <w:t>records;</w:t>
      </w:r>
    </w:p>
    <w:p w:rsidR="00357428" w:rsidP="00D13368" w14:paraId="2DE61DF4" w14:textId="0E03A08C">
      <w:pPr>
        <w:pStyle w:val="Default"/>
        <w:keepNext/>
        <w:keepLines/>
        <w:numPr>
          <w:ilvl w:val="0"/>
          <w:numId w:val="18"/>
        </w:numPr>
        <w:spacing w:after="160"/>
        <w:rPr>
          <w:rFonts w:eastAsia="Times New Roman"/>
          <w:color w:val="auto"/>
        </w:rPr>
      </w:pPr>
      <w:r>
        <w:rPr>
          <w:rFonts w:eastAsia="Times New Roman"/>
          <w:color w:val="auto"/>
        </w:rPr>
        <w:t xml:space="preserve">Retrieving up to 10 </w:t>
      </w:r>
      <w:r w:rsidR="00A948E3">
        <w:rPr>
          <w:rFonts w:eastAsia="Times New Roman"/>
          <w:color w:val="auto"/>
        </w:rPr>
        <w:t>MDS assessments for each selected SNF from the Centralized Data Repository (CDR</w:t>
      </w:r>
      <w:r w:rsidR="00A948E3">
        <w:rPr>
          <w:rFonts w:eastAsia="Times New Roman"/>
          <w:color w:val="auto"/>
        </w:rPr>
        <w:t>);</w:t>
      </w:r>
    </w:p>
    <w:p w:rsidR="00A948E3" w:rsidP="00D13368" w14:paraId="10BF272D" w14:textId="19902A37">
      <w:pPr>
        <w:pStyle w:val="Default"/>
        <w:keepNext/>
        <w:keepLines/>
        <w:numPr>
          <w:ilvl w:val="0"/>
          <w:numId w:val="18"/>
        </w:numPr>
        <w:spacing w:after="160"/>
        <w:rPr>
          <w:rFonts w:eastAsia="Times New Roman"/>
          <w:color w:val="auto"/>
        </w:rPr>
      </w:pPr>
      <w:r>
        <w:rPr>
          <w:rFonts w:eastAsia="Times New Roman"/>
          <w:color w:val="auto"/>
        </w:rPr>
        <w:t>Audit</w:t>
      </w:r>
      <w:r w:rsidR="00E93160">
        <w:rPr>
          <w:rFonts w:eastAsia="Times New Roman"/>
          <w:color w:val="auto"/>
        </w:rPr>
        <w:t xml:space="preserve">ing </w:t>
      </w:r>
      <w:r>
        <w:rPr>
          <w:rFonts w:eastAsia="Times New Roman"/>
          <w:color w:val="auto"/>
        </w:rPr>
        <w:t xml:space="preserve">up to </w:t>
      </w:r>
      <w:r w:rsidR="00EA20F2">
        <w:rPr>
          <w:rFonts w:eastAsia="Times New Roman"/>
          <w:color w:val="auto"/>
        </w:rPr>
        <w:t>35</w:t>
      </w:r>
      <w:r>
        <w:rPr>
          <w:rFonts w:eastAsia="Times New Roman"/>
          <w:color w:val="auto"/>
        </w:rPr>
        <w:t xml:space="preserve"> MDS assessment data elements per chart against medical records that are components of the </w:t>
      </w:r>
      <w:r>
        <w:rPr>
          <w:rFonts w:eastAsia="Times New Roman"/>
          <w:color w:val="auto"/>
        </w:rPr>
        <w:t>assessment;</w:t>
      </w:r>
    </w:p>
    <w:p w:rsidR="00A948E3" w:rsidP="00D13368" w14:paraId="1132AD57" w14:textId="20CA3B67">
      <w:pPr>
        <w:pStyle w:val="Default"/>
        <w:keepNext/>
        <w:keepLines/>
        <w:numPr>
          <w:ilvl w:val="0"/>
          <w:numId w:val="18"/>
        </w:numPr>
        <w:spacing w:after="160"/>
        <w:rPr>
          <w:rFonts w:eastAsia="Times New Roman"/>
          <w:color w:val="auto"/>
        </w:rPr>
      </w:pPr>
      <w:r>
        <w:rPr>
          <w:rFonts w:eastAsia="Times New Roman"/>
          <w:color w:val="auto"/>
        </w:rPr>
        <w:t>Generat</w:t>
      </w:r>
      <w:r w:rsidR="00E93160">
        <w:rPr>
          <w:rFonts w:eastAsia="Times New Roman"/>
          <w:color w:val="auto"/>
        </w:rPr>
        <w:t>ing</w:t>
      </w:r>
      <w:r>
        <w:rPr>
          <w:rFonts w:eastAsia="Times New Roman"/>
          <w:color w:val="auto"/>
        </w:rPr>
        <w:t xml:space="preserve"> scoring methodology for auditing </w:t>
      </w:r>
      <w:r>
        <w:rPr>
          <w:rFonts w:eastAsia="Times New Roman"/>
          <w:color w:val="auto"/>
        </w:rPr>
        <w:t>assessments;</w:t>
      </w:r>
    </w:p>
    <w:p w:rsidR="00A948E3" w:rsidP="00D13368" w14:paraId="1E3EB14E" w14:textId="550D12EE">
      <w:pPr>
        <w:pStyle w:val="Default"/>
        <w:keepNext/>
        <w:keepLines/>
        <w:numPr>
          <w:ilvl w:val="0"/>
          <w:numId w:val="18"/>
        </w:numPr>
        <w:spacing w:after="160"/>
        <w:rPr>
          <w:rFonts w:eastAsia="Times New Roman"/>
          <w:color w:val="auto"/>
        </w:rPr>
      </w:pPr>
      <w:r>
        <w:rPr>
          <w:rFonts w:eastAsia="Times New Roman"/>
          <w:color w:val="auto"/>
        </w:rPr>
        <w:t>Perform</w:t>
      </w:r>
      <w:r w:rsidR="00E93160">
        <w:rPr>
          <w:rFonts w:eastAsia="Times New Roman"/>
          <w:color w:val="auto"/>
        </w:rPr>
        <w:t>ing</w:t>
      </w:r>
      <w:r>
        <w:rPr>
          <w:rFonts w:eastAsia="Times New Roman"/>
          <w:color w:val="auto"/>
        </w:rPr>
        <w:t xml:space="preserve"> all</w:t>
      </w:r>
      <w:r w:rsidR="00E93160">
        <w:rPr>
          <w:rFonts w:eastAsia="Times New Roman"/>
          <w:color w:val="auto"/>
        </w:rPr>
        <w:t xml:space="preserve"> scoring calculations for the SNF VBP Program and the SNF </w:t>
      </w:r>
      <w:r w:rsidR="00E93160">
        <w:rPr>
          <w:rFonts w:eastAsia="Times New Roman"/>
          <w:color w:val="auto"/>
        </w:rPr>
        <w:t>QRP;</w:t>
      </w:r>
    </w:p>
    <w:p w:rsidR="00E93160" w:rsidP="00D13368" w14:paraId="0067EBB8" w14:textId="29D4BBC0">
      <w:pPr>
        <w:pStyle w:val="Default"/>
        <w:keepNext/>
        <w:keepLines/>
        <w:numPr>
          <w:ilvl w:val="0"/>
          <w:numId w:val="18"/>
        </w:numPr>
        <w:spacing w:after="160"/>
        <w:rPr>
          <w:rFonts w:eastAsia="Times New Roman"/>
          <w:color w:val="auto"/>
        </w:rPr>
      </w:pPr>
      <w:r>
        <w:rPr>
          <w:rFonts w:eastAsia="Times New Roman"/>
          <w:color w:val="auto"/>
        </w:rPr>
        <w:t xml:space="preserve">Developing and generating facility-level validation </w:t>
      </w:r>
      <w:r>
        <w:rPr>
          <w:rFonts w:eastAsia="Times New Roman"/>
          <w:color w:val="auto"/>
        </w:rPr>
        <w:t>reports;</w:t>
      </w:r>
    </w:p>
    <w:p w:rsidR="00E93160" w:rsidP="00D13368" w14:paraId="19770B84" w14:textId="43572571">
      <w:pPr>
        <w:pStyle w:val="Default"/>
        <w:keepNext/>
        <w:keepLines/>
        <w:numPr>
          <w:ilvl w:val="0"/>
          <w:numId w:val="18"/>
        </w:numPr>
        <w:spacing w:after="160"/>
        <w:rPr>
          <w:rFonts w:eastAsia="Times New Roman"/>
          <w:color w:val="auto"/>
        </w:rPr>
      </w:pPr>
      <w:r>
        <w:rPr>
          <w:rFonts w:eastAsia="Times New Roman"/>
          <w:color w:val="auto"/>
        </w:rPr>
        <w:t xml:space="preserve">Responding to questions from SNFs concerning their validation </w:t>
      </w:r>
      <w:r>
        <w:rPr>
          <w:rFonts w:eastAsia="Times New Roman"/>
          <w:color w:val="auto"/>
        </w:rPr>
        <w:t>audit;</w:t>
      </w:r>
    </w:p>
    <w:p w:rsidR="00E93160" w:rsidP="00A7502B" w14:paraId="78656F3C" w14:textId="6F4F7FA7">
      <w:pPr>
        <w:pStyle w:val="Default"/>
        <w:keepNext/>
        <w:keepLines/>
        <w:numPr>
          <w:ilvl w:val="0"/>
          <w:numId w:val="18"/>
        </w:numPr>
        <w:spacing w:after="160"/>
        <w:rPr>
          <w:rFonts w:eastAsia="Times New Roman"/>
          <w:color w:val="auto"/>
        </w:rPr>
      </w:pPr>
      <w:r>
        <w:rPr>
          <w:rFonts w:eastAsia="Times New Roman"/>
          <w:color w:val="auto"/>
        </w:rPr>
        <w:t>Supporting coordination with existing programs within CMS as needed</w:t>
      </w:r>
      <w:r w:rsidR="001B3185">
        <w:rPr>
          <w:rFonts w:eastAsia="Times New Roman"/>
          <w:color w:val="auto"/>
        </w:rPr>
        <w:t xml:space="preserve">, </w:t>
      </w:r>
      <w:r w:rsidR="00EC789C">
        <w:rPr>
          <w:rFonts w:eastAsia="Times New Roman"/>
          <w:color w:val="auto"/>
        </w:rPr>
        <w:t xml:space="preserve">including  </w:t>
      </w:r>
      <w:r w:rsidR="001B3185">
        <w:rPr>
          <w:rFonts w:eastAsia="Times New Roman"/>
          <w:color w:val="auto"/>
        </w:rPr>
        <w:t>the</w:t>
      </w:r>
      <w:r w:rsidR="001B3185">
        <w:rPr>
          <w:rFonts w:eastAsia="Times New Roman"/>
          <w:color w:val="auto"/>
        </w:rPr>
        <w:t xml:space="preserve"> Center for Program Integrity (CPI), Survey and Assessments, and the Quality Improvement Organization (QIO).</w:t>
      </w:r>
    </w:p>
    <w:p w:rsidR="001261C9" w:rsidRPr="001261C9" w:rsidP="00711095" w14:paraId="36E69DB9" w14:textId="6D3EEECC">
      <w:pPr>
        <w:pStyle w:val="Default"/>
        <w:keepNext/>
        <w:keepLines/>
        <w:spacing w:after="160"/>
        <w:ind w:firstLine="432"/>
        <w:rPr>
          <w:rFonts w:eastAsia="Times New Roman"/>
          <w:color w:val="auto"/>
        </w:rPr>
      </w:pPr>
      <w:r>
        <w:rPr>
          <w:rFonts w:eastAsia="Times New Roman"/>
          <w:color w:val="auto"/>
        </w:rPr>
        <w:t>The</w:t>
      </w:r>
      <w:r w:rsidR="005445B6">
        <w:rPr>
          <w:rFonts w:eastAsia="Times New Roman"/>
          <w:color w:val="auto"/>
        </w:rPr>
        <w:t xml:space="preserve"> total</w:t>
      </w:r>
      <w:r>
        <w:rPr>
          <w:rFonts w:eastAsia="Times New Roman"/>
          <w:color w:val="auto"/>
        </w:rPr>
        <w:t xml:space="preserve"> cost for the four option years of the </w:t>
      </w:r>
      <w:r w:rsidR="005445B6">
        <w:rPr>
          <w:rFonts w:eastAsia="Times New Roman"/>
          <w:color w:val="auto"/>
        </w:rPr>
        <w:t xml:space="preserve">validation contract is $10,243,000.  </w:t>
      </w:r>
      <w:r w:rsidRPr="001261C9">
        <w:rPr>
          <w:rFonts w:eastAsia="Times New Roman"/>
          <w:color w:val="auto"/>
        </w:rPr>
        <w:t>T</w:t>
      </w:r>
      <w:r w:rsidR="005445B6">
        <w:rPr>
          <w:rFonts w:eastAsia="Times New Roman"/>
          <w:color w:val="auto"/>
        </w:rPr>
        <w:t>herefore, t</w:t>
      </w:r>
      <w:r w:rsidRPr="001261C9">
        <w:rPr>
          <w:rFonts w:eastAsia="Times New Roman"/>
          <w:color w:val="auto"/>
        </w:rPr>
        <w:t xml:space="preserve">he </w:t>
      </w:r>
      <w:r w:rsidR="005445B6">
        <w:rPr>
          <w:rFonts w:eastAsia="Times New Roman"/>
          <w:color w:val="auto"/>
        </w:rPr>
        <w:t xml:space="preserve">annual </w:t>
      </w:r>
      <w:r w:rsidRPr="001261C9">
        <w:rPr>
          <w:rFonts w:eastAsia="Times New Roman"/>
          <w:color w:val="auto"/>
        </w:rPr>
        <w:t xml:space="preserve">cost is estimated at </w:t>
      </w:r>
      <w:r w:rsidR="00F12A74">
        <w:rPr>
          <w:rFonts w:eastAsia="Times New Roman"/>
          <w:color w:val="auto"/>
        </w:rPr>
        <w:t>about</w:t>
      </w:r>
      <w:r w:rsidRPr="001261C9">
        <w:rPr>
          <w:rFonts w:eastAsia="Times New Roman"/>
          <w:color w:val="auto"/>
        </w:rPr>
        <w:t xml:space="preserve"> </w:t>
      </w:r>
      <w:r w:rsidR="00B73328">
        <w:rPr>
          <w:rFonts w:eastAsia="Times New Roman"/>
          <w:color w:val="auto"/>
        </w:rPr>
        <w:t>$2</w:t>
      </w:r>
      <w:r w:rsidR="00E61E7F">
        <w:rPr>
          <w:rFonts w:eastAsia="Times New Roman"/>
          <w:color w:val="auto"/>
        </w:rPr>
        <w:t>,560,750</w:t>
      </w:r>
      <w:r w:rsidR="00B73328">
        <w:rPr>
          <w:rFonts w:eastAsia="Times New Roman"/>
          <w:color w:val="auto"/>
        </w:rPr>
        <w:t xml:space="preserve"> </w:t>
      </w:r>
      <w:r w:rsidR="00E61E7F">
        <w:rPr>
          <w:rFonts w:eastAsia="Times New Roman"/>
          <w:color w:val="auto"/>
        </w:rPr>
        <w:t>annually</w:t>
      </w:r>
      <w:r w:rsidR="00B73328">
        <w:rPr>
          <w:rFonts w:eastAsia="Times New Roman"/>
          <w:color w:val="auto"/>
        </w:rPr>
        <w:t xml:space="preserve"> </w:t>
      </w:r>
      <w:r w:rsidRPr="001261C9">
        <w:rPr>
          <w:rFonts w:eastAsia="Times New Roman"/>
          <w:color w:val="auto"/>
        </w:rPr>
        <w:t xml:space="preserve">for the validation contract.  Additionally, </w:t>
      </w:r>
      <w:r w:rsidR="0092572E">
        <w:rPr>
          <w:rFonts w:eastAsia="Times New Roman"/>
          <w:color w:val="auto"/>
        </w:rPr>
        <w:t>the MDS validation process</w:t>
      </w:r>
      <w:r w:rsidRPr="001261C9">
        <w:rPr>
          <w:rFonts w:eastAsia="Times New Roman"/>
          <w:color w:val="auto"/>
        </w:rPr>
        <w:t xml:space="preserve"> takes</w:t>
      </w:r>
      <w:r w:rsidR="009302F7">
        <w:rPr>
          <w:rFonts w:eastAsia="Times New Roman"/>
          <w:color w:val="auto"/>
        </w:rPr>
        <w:t xml:space="preserve"> </w:t>
      </w:r>
      <w:r w:rsidR="00E90AEC">
        <w:rPr>
          <w:rFonts w:eastAsia="Times New Roman"/>
          <w:color w:val="auto"/>
        </w:rPr>
        <w:t>two full-time</w:t>
      </w:r>
      <w:r w:rsidR="009302F7">
        <w:rPr>
          <w:rFonts w:eastAsia="Times New Roman"/>
          <w:color w:val="auto"/>
        </w:rPr>
        <w:t xml:space="preserve"> </w:t>
      </w:r>
      <w:r w:rsidRPr="001261C9">
        <w:rPr>
          <w:rFonts w:eastAsia="Times New Roman"/>
          <w:color w:val="auto"/>
        </w:rPr>
        <w:t xml:space="preserve">CMS staff at a </w:t>
      </w:r>
      <w:r w:rsidR="00F667F9">
        <w:rPr>
          <w:rFonts w:eastAsia="Times New Roman"/>
          <w:color w:val="auto"/>
        </w:rPr>
        <w:t>GS</w:t>
      </w:r>
      <w:r w:rsidR="00080B02">
        <w:rPr>
          <w:rFonts w:eastAsia="Times New Roman"/>
          <w:color w:val="auto"/>
        </w:rPr>
        <w:t>-</w:t>
      </w:r>
      <w:r w:rsidR="00F667F9">
        <w:rPr>
          <w:rFonts w:eastAsia="Times New Roman"/>
          <w:color w:val="auto"/>
        </w:rPr>
        <w:t xml:space="preserve">13 </w:t>
      </w:r>
      <w:r w:rsidRPr="001261C9">
        <w:rPr>
          <w:rFonts w:eastAsia="Times New Roman"/>
          <w:color w:val="auto"/>
        </w:rPr>
        <w:t xml:space="preserve">level to operate.  </w:t>
      </w:r>
      <w:r w:rsidR="006C554B">
        <w:rPr>
          <w:rFonts w:eastAsia="Times New Roman"/>
          <w:color w:val="auto"/>
        </w:rPr>
        <w:t xml:space="preserve">A </w:t>
      </w:r>
      <w:r w:rsidR="004C6687">
        <w:rPr>
          <w:rFonts w:eastAsia="Times New Roman"/>
          <w:color w:val="auto"/>
        </w:rPr>
        <w:t xml:space="preserve">GS level </w:t>
      </w:r>
      <w:r w:rsidR="009C2291">
        <w:rPr>
          <w:rFonts w:eastAsia="Times New Roman"/>
          <w:color w:val="auto"/>
        </w:rPr>
        <w:t>13</w:t>
      </w:r>
      <w:r w:rsidRPr="001261C9">
        <w:rPr>
          <w:rFonts w:eastAsia="Times New Roman"/>
          <w:color w:val="auto"/>
        </w:rPr>
        <w:t xml:space="preserve"> </w:t>
      </w:r>
      <w:r w:rsidR="002236D5">
        <w:rPr>
          <w:rFonts w:eastAsia="Times New Roman"/>
          <w:color w:val="auto"/>
        </w:rPr>
        <w:t xml:space="preserve">Step 1 </w:t>
      </w:r>
      <w:r w:rsidRPr="001261C9">
        <w:rPr>
          <w:rFonts w:eastAsia="Times New Roman"/>
          <w:color w:val="auto"/>
        </w:rPr>
        <w:t>approximate annual salary is</w:t>
      </w:r>
      <w:r w:rsidR="00E36703">
        <w:rPr>
          <w:rFonts w:eastAsia="Times New Roman"/>
          <w:color w:val="auto"/>
        </w:rPr>
        <w:t xml:space="preserve"> $</w:t>
      </w:r>
      <w:r w:rsidR="00AF6C3D">
        <w:rPr>
          <w:rFonts w:eastAsia="Times New Roman"/>
          <w:color w:val="auto"/>
        </w:rPr>
        <w:t>11</w:t>
      </w:r>
      <w:r w:rsidR="005A4BBA">
        <w:rPr>
          <w:rFonts w:eastAsia="Times New Roman"/>
          <w:color w:val="auto"/>
        </w:rPr>
        <w:t>7</w:t>
      </w:r>
      <w:r w:rsidR="00AF6C3D">
        <w:rPr>
          <w:rFonts w:eastAsia="Times New Roman"/>
          <w:color w:val="auto"/>
        </w:rPr>
        <w:t>,</w:t>
      </w:r>
      <w:r w:rsidR="005A4BBA">
        <w:rPr>
          <w:rFonts w:eastAsia="Times New Roman"/>
          <w:color w:val="auto"/>
        </w:rPr>
        <w:t>962</w:t>
      </w:r>
      <w:r w:rsidR="002236D5">
        <w:rPr>
          <w:rFonts w:eastAsia="Times New Roman"/>
          <w:color w:val="auto"/>
        </w:rPr>
        <w:t xml:space="preserve"> </w:t>
      </w:r>
      <w:r w:rsidRPr="001261C9">
        <w:rPr>
          <w:rFonts w:eastAsia="Times New Roman"/>
          <w:color w:val="auto"/>
        </w:rPr>
        <w:t xml:space="preserve">(DC, MD, VA, WV, PA local) for an additional cost of </w:t>
      </w:r>
      <w:r w:rsidR="008815C7">
        <w:rPr>
          <w:rFonts w:eastAsia="Times New Roman"/>
          <w:color w:val="auto"/>
        </w:rPr>
        <w:t>$2</w:t>
      </w:r>
      <w:r w:rsidR="00A970C8">
        <w:rPr>
          <w:rFonts w:eastAsia="Times New Roman"/>
          <w:color w:val="auto"/>
        </w:rPr>
        <w:t>35</w:t>
      </w:r>
      <w:r w:rsidR="008815C7">
        <w:rPr>
          <w:rFonts w:eastAsia="Times New Roman"/>
          <w:color w:val="auto"/>
        </w:rPr>
        <w:t>,</w:t>
      </w:r>
      <w:r w:rsidR="00A970C8">
        <w:rPr>
          <w:rFonts w:eastAsia="Times New Roman"/>
          <w:color w:val="auto"/>
        </w:rPr>
        <w:t>924</w:t>
      </w:r>
      <w:r w:rsidRPr="001261C9">
        <w:rPr>
          <w:rFonts w:eastAsia="Times New Roman"/>
          <w:color w:val="auto"/>
        </w:rPr>
        <w:t xml:space="preserve">.  </w:t>
      </w:r>
      <w:r w:rsidR="0025146B">
        <w:rPr>
          <w:rFonts w:eastAsia="Times New Roman"/>
          <w:color w:val="auto"/>
        </w:rPr>
        <w:t xml:space="preserve">To account for fringe benefits, we </w:t>
      </w:r>
      <w:r w:rsidR="006C16F0">
        <w:rPr>
          <w:rFonts w:eastAsia="Times New Roman"/>
          <w:color w:val="auto"/>
        </w:rPr>
        <w:t xml:space="preserve">use a factor of 30% of the annual salary for an additional cost of </w:t>
      </w:r>
      <w:r w:rsidR="00CA0DF3">
        <w:rPr>
          <w:rFonts w:eastAsia="Times New Roman"/>
          <w:color w:val="auto"/>
        </w:rPr>
        <w:t xml:space="preserve">$70,777.  </w:t>
      </w:r>
      <w:r w:rsidRPr="001261C9">
        <w:rPr>
          <w:rFonts w:eastAsia="Times New Roman"/>
          <w:color w:val="auto"/>
        </w:rPr>
        <w:t>The total annual cost to the Federal Government is</w:t>
      </w:r>
      <w:r w:rsidR="001C0206">
        <w:rPr>
          <w:rFonts w:eastAsia="Times New Roman"/>
          <w:color w:val="auto"/>
        </w:rPr>
        <w:t xml:space="preserve"> $2,</w:t>
      </w:r>
      <w:r w:rsidR="00DB50FF">
        <w:rPr>
          <w:rFonts w:eastAsia="Times New Roman"/>
          <w:color w:val="auto"/>
        </w:rPr>
        <w:t>867</w:t>
      </w:r>
      <w:r w:rsidR="001C0206">
        <w:rPr>
          <w:rFonts w:eastAsia="Times New Roman"/>
          <w:color w:val="auto"/>
        </w:rPr>
        <w:t>,</w:t>
      </w:r>
      <w:r w:rsidR="003001E9">
        <w:rPr>
          <w:rFonts w:eastAsia="Times New Roman"/>
          <w:color w:val="auto"/>
        </w:rPr>
        <w:t>451</w:t>
      </w:r>
      <w:r w:rsidRPr="001261C9">
        <w:rPr>
          <w:rFonts w:eastAsia="Times New Roman"/>
          <w:color w:val="auto"/>
        </w:rPr>
        <w:t>.</w:t>
      </w:r>
    </w:p>
    <w:p w:rsidR="005F4B49" w:rsidRPr="00D54C11" w:rsidP="00111EE7" w14:paraId="56F3C625" w14:textId="77777777">
      <w:pPr>
        <w:pStyle w:val="Heading2"/>
      </w:pPr>
      <w:r w:rsidRPr="00D54C11">
        <w:t>Program or Burden Changes</w:t>
      </w:r>
    </w:p>
    <w:p w:rsidR="001261C9" w:rsidRPr="00963491" w:rsidP="008008FA" w14:paraId="17FCD870" w14:textId="2F9860B5">
      <w:pPr>
        <w:keepNext/>
        <w:spacing w:after="0"/>
        <w:ind w:firstLine="432"/>
      </w:pPr>
      <w:r>
        <w:t>This is a new information collection</w:t>
      </w:r>
      <w:r w:rsidR="008803D7">
        <w:t>, therefore</w:t>
      </w:r>
      <w:r w:rsidR="00B14F5B">
        <w:t>,</w:t>
      </w:r>
      <w:r w:rsidR="008803D7">
        <w:t xml:space="preserve"> there are no changes in the burden of this information collection</w:t>
      </w:r>
      <w:r>
        <w:t>.</w:t>
      </w:r>
    </w:p>
    <w:p w:rsidR="00EB4A62" w14:paraId="6172926F" w14:textId="77777777">
      <w:pPr>
        <w:rPr>
          <w:rFonts w:eastAsiaTheme="majorEastAsia" w:cstheme="majorBidi"/>
          <w:snapToGrid w:val="0"/>
          <w:szCs w:val="26"/>
        </w:rPr>
      </w:pPr>
      <w:r>
        <w:br w:type="page"/>
      </w:r>
    </w:p>
    <w:p w:rsidR="00A64ED4" w:rsidP="00111EE7" w14:paraId="78B35C1C" w14:textId="524FFB90">
      <w:pPr>
        <w:pStyle w:val="Heading2"/>
      </w:pPr>
      <w:r w:rsidRPr="00BB54CB">
        <w:t>Publication and Tabulation Dates</w:t>
      </w:r>
    </w:p>
    <w:p w:rsidR="001145C3" w:rsidP="00285D42" w14:paraId="2768134D" w14:textId="1D4F0801">
      <w:pPr>
        <w:ind w:firstLine="432"/>
      </w:pPr>
      <w:r w:rsidRPr="001261C9">
        <w:t xml:space="preserve">The goal of the data collection is to validate </w:t>
      </w:r>
      <w:r w:rsidR="00E82C0E">
        <w:t>data submissions used</w:t>
      </w:r>
      <w:r w:rsidR="00304EE7">
        <w:t xml:space="preserve"> to calculate measures based on MDS data</w:t>
      </w:r>
      <w:r w:rsidRPr="001261C9">
        <w:t xml:space="preserve">.  We will continue to display quality information for public viewing on </w:t>
      </w:r>
      <w:r w:rsidR="006E791B">
        <w:t>Care</w:t>
      </w:r>
      <w:r w:rsidRPr="001261C9">
        <w:t xml:space="preserve"> Compare, </w:t>
      </w:r>
      <w:r w:rsidR="00877278">
        <w:t xml:space="preserve">available at </w:t>
      </w:r>
      <w:hyperlink r:id="rId9" w:history="1">
        <w:r w:rsidRPr="00B5796C" w:rsidR="00D60717">
          <w:rPr>
            <w:rStyle w:val="Hyperlink"/>
            <w:i/>
            <w:iCs/>
          </w:rPr>
          <w:t>https://www.medicare.gov/care-compare/</w:t>
        </w:r>
      </w:hyperlink>
      <w:r w:rsidR="00877278">
        <w:t xml:space="preserve"> and the Provider Data Catalog, available at </w:t>
      </w:r>
      <w:hyperlink r:id="rId10" w:history="1">
        <w:r w:rsidRPr="00B5796C" w:rsidR="00D60717">
          <w:rPr>
            <w:rStyle w:val="Hyperlink"/>
            <w:i/>
            <w:iCs/>
          </w:rPr>
          <w:t>https://data.cms.gov/provider-data/</w:t>
        </w:r>
      </w:hyperlink>
      <w:r w:rsidR="00877278">
        <w:t>,</w:t>
      </w:r>
      <w:r w:rsidRPr="001261C9">
        <w:t xml:space="preserve"> as required for the </w:t>
      </w:r>
      <w:r w:rsidR="00F534D7">
        <w:t>SNF QRP and SNF VBP Program</w:t>
      </w:r>
      <w:r w:rsidRPr="001261C9">
        <w:t xml:space="preserve"> by </w:t>
      </w:r>
      <w:r w:rsidR="00F873F1">
        <w:t>s</w:t>
      </w:r>
      <w:r w:rsidRPr="001261C9">
        <w:t>ection</w:t>
      </w:r>
      <w:r w:rsidR="003A62AC">
        <w:t>s</w:t>
      </w:r>
      <w:r w:rsidRPr="001261C9">
        <w:t xml:space="preserve"> </w:t>
      </w:r>
      <w:r w:rsidR="00DF6795">
        <w:t>1899B(g)</w:t>
      </w:r>
      <w:r w:rsidR="00010A9C">
        <w:t xml:space="preserve">, </w:t>
      </w:r>
      <w:r w:rsidR="00552E8D">
        <w:t>1888(g)(6)</w:t>
      </w:r>
      <w:r w:rsidR="00010A9C">
        <w:t>, and 1888(h)(9)</w:t>
      </w:r>
      <w:r w:rsidRPr="001261C9">
        <w:t xml:space="preserve"> of the Act.  Data are presented on </w:t>
      </w:r>
      <w:r w:rsidR="006E791B">
        <w:t>Care</w:t>
      </w:r>
      <w:r w:rsidRPr="001261C9">
        <w:t xml:space="preserve"> Compare in a format mainly aimed towards consumers, patients, and the </w:t>
      </w:r>
      <w:r w:rsidRPr="001261C9">
        <w:t xml:space="preserve">general </w:t>
      </w:r>
      <w:r w:rsidR="00C36CC0">
        <w:t>public</w:t>
      </w:r>
      <w:r w:rsidR="00C36CC0">
        <w:t>,</w:t>
      </w:r>
      <w:r w:rsidRPr="001261C9">
        <w:t xml:space="preserve"> providing access to </w:t>
      </w:r>
      <w:r w:rsidR="00F534D7">
        <w:t>SNF</w:t>
      </w:r>
      <w:r w:rsidRPr="001261C9">
        <w:t xml:space="preserve">-specific quality measure performance rates along with state and national performance rates. </w:t>
      </w:r>
      <w:r w:rsidR="003A62AC">
        <w:t xml:space="preserve"> </w:t>
      </w:r>
      <w:r w:rsidR="00F534D7">
        <w:t>SNF</w:t>
      </w:r>
      <w:r w:rsidRPr="001261C9">
        <w:t xml:space="preserve"> quality data on </w:t>
      </w:r>
      <w:r w:rsidR="009070D3">
        <w:t>Care</w:t>
      </w:r>
      <w:r w:rsidRPr="001261C9">
        <w:t xml:space="preserve"> Compare </w:t>
      </w:r>
      <w:r w:rsidR="00FF465D">
        <w:t xml:space="preserve">and the Provider Data Catalog </w:t>
      </w:r>
      <w:r w:rsidRPr="001261C9">
        <w:t>are updated on a</w:t>
      </w:r>
      <w:r w:rsidR="00B63A93">
        <w:t>n</w:t>
      </w:r>
      <w:r w:rsidRPr="001261C9">
        <w:t xml:space="preserve"> </w:t>
      </w:r>
      <w:r w:rsidR="000F7B53">
        <w:t>annual</w:t>
      </w:r>
      <w:r w:rsidR="002B7457">
        <w:t xml:space="preserve"> </w:t>
      </w:r>
      <w:r w:rsidRPr="001261C9">
        <w:t>basis</w:t>
      </w:r>
      <w:r w:rsidR="00FF465D">
        <w:t xml:space="preserve"> or as needed</w:t>
      </w:r>
      <w:r w:rsidRPr="001261C9">
        <w:t xml:space="preserve">.  One of the goals of the </w:t>
      </w:r>
      <w:r w:rsidR="00F534D7">
        <w:t>SNF VBP</w:t>
      </w:r>
      <w:r w:rsidRPr="001261C9">
        <w:t xml:space="preserve"> Program</w:t>
      </w:r>
      <w:r w:rsidR="00E7420F">
        <w:t xml:space="preserve"> and the SNF QRP</w:t>
      </w:r>
      <w:r w:rsidRPr="001261C9">
        <w:t xml:space="preserve"> is to publicly display data on all measures adopted for the Program</w:t>
      </w:r>
      <w:r w:rsidR="00F534D7">
        <w:t>s</w:t>
      </w:r>
      <w:r w:rsidRPr="001261C9">
        <w:t xml:space="preserve">. </w:t>
      </w:r>
      <w:r w:rsidR="0061440B">
        <w:t xml:space="preserve"> </w:t>
      </w:r>
      <w:r w:rsidRPr="001261C9">
        <w:t>We note, however, that in certain circumstances we may decide to delay public display as we evaluate the accuracy of the measure data.</w:t>
      </w:r>
    </w:p>
    <w:p w:rsidR="00A64ED4" w:rsidRPr="00BB54CB" w:rsidP="00111EE7" w14:paraId="7B4F5DC5" w14:textId="7CE3E73C">
      <w:pPr>
        <w:pStyle w:val="Heading2"/>
      </w:pPr>
      <w:r w:rsidRPr="00BB54CB">
        <w:t>Expiration Date</w:t>
      </w:r>
    </w:p>
    <w:p w:rsidR="00A64ED4" w:rsidP="00285D42" w14:paraId="73FF0293" w14:textId="517A0C01">
      <w:pPr>
        <w:ind w:firstLine="432"/>
      </w:pPr>
      <w:r w:rsidRPr="001261C9">
        <w:t xml:space="preserve">We will display this expiration date on our </w:t>
      </w:r>
      <w:r w:rsidR="005136B3">
        <w:t>SNF VBP</w:t>
      </w:r>
      <w:r w:rsidRPr="001261C9" w:rsidR="005136B3">
        <w:t xml:space="preserve"> Program page</w:t>
      </w:r>
      <w:r w:rsidR="00E371FD">
        <w:t xml:space="preserve"> at: </w:t>
      </w:r>
      <w:hyperlink r:id="rId11" w:history="1">
        <w:r w:rsidRPr="00B5796C" w:rsidR="00D60717">
          <w:rPr>
            <w:rStyle w:val="Hyperlink"/>
            <w:i/>
          </w:rPr>
          <w:t>https://www.cms.gov/medicare/quality/nursing-home-improvement/value-based-purchasing</w:t>
        </w:r>
      </w:hyperlink>
      <w:r w:rsidRPr="001261C9">
        <w:t xml:space="preserve">. </w:t>
      </w:r>
      <w:r w:rsidR="0061440B">
        <w:t xml:space="preserve"> </w:t>
      </w:r>
      <w:r w:rsidR="003466FD">
        <w:t xml:space="preserve">In addition, this information </w:t>
      </w:r>
      <w:r w:rsidR="00C02AB0">
        <w:t xml:space="preserve">will </w:t>
      </w:r>
      <w:r w:rsidR="003466FD">
        <w:t xml:space="preserve">become available on our SNF QRP page at: </w:t>
      </w:r>
      <w:hyperlink r:id="rId12" w:history="1">
        <w:r w:rsidRPr="00B5796C" w:rsidR="00D60717">
          <w:rPr>
            <w:rStyle w:val="Hyperlink"/>
            <w:i/>
          </w:rPr>
          <w:t>https://www.cms.gov/medicare/quality/snf-quality-reporting-program</w:t>
        </w:r>
      </w:hyperlink>
      <w:r w:rsidR="003466FD">
        <w:t>.</w:t>
      </w:r>
      <w:r w:rsidRPr="001261C9">
        <w:t xml:space="preserve"> </w:t>
      </w:r>
      <w:r w:rsidR="0061440B">
        <w:t xml:space="preserve"> </w:t>
      </w:r>
      <w:r w:rsidRPr="001261C9">
        <w:t xml:space="preserve">We will display the approved expiration date prominently on our </w:t>
      </w:r>
      <w:r w:rsidR="005136B3">
        <w:t xml:space="preserve">SNF </w:t>
      </w:r>
      <w:r w:rsidR="003466FD">
        <w:t>VBP</w:t>
      </w:r>
      <w:r w:rsidRPr="001261C9" w:rsidR="003466FD">
        <w:t xml:space="preserve"> </w:t>
      </w:r>
      <w:r w:rsidRPr="001261C9">
        <w:t>Program pages</w:t>
      </w:r>
      <w:r w:rsidR="00906C11">
        <w:t xml:space="preserve"> </w:t>
      </w:r>
      <w:r w:rsidR="005136B3">
        <w:t xml:space="preserve">and SNF </w:t>
      </w:r>
      <w:r w:rsidR="003466FD">
        <w:t>QRP</w:t>
      </w:r>
      <w:r w:rsidRPr="001261C9" w:rsidR="003466FD">
        <w:t xml:space="preserve"> </w:t>
      </w:r>
      <w:r w:rsidRPr="001261C9" w:rsidR="005136B3">
        <w:t>page</w:t>
      </w:r>
      <w:r w:rsidR="00906C11">
        <w:t>s</w:t>
      </w:r>
      <w:r w:rsidRPr="001261C9">
        <w:t xml:space="preserve"> used to document our measure specifications and reporting guidance.</w:t>
      </w:r>
    </w:p>
    <w:p w:rsidR="00A64ED4" w:rsidRPr="0096223E" w:rsidP="00111EE7" w14:paraId="1912B911" w14:textId="3AC3DCED">
      <w:pPr>
        <w:pStyle w:val="Heading2"/>
      </w:pPr>
      <w:r w:rsidRPr="0096223E">
        <w:t>Certification Statement</w:t>
      </w:r>
    </w:p>
    <w:p w:rsidR="00A64ED4" w:rsidRPr="009E21AF" w:rsidP="004755DB" w14:paraId="32E6E1AF" w14:textId="1DF55AA7">
      <w:pPr>
        <w:ind w:firstLine="432"/>
      </w:pPr>
      <w:r w:rsidRPr="001261C9">
        <w:t>We are not claiming any exceptions to the Certification for Paperwork Reduction Act Submissions Statement.</w:t>
      </w:r>
    </w:p>
    <w:sectPr w:rsidSect="00AB77C6">
      <w:footerReference w:type="default" r:id="rId1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4133490"/>
      <w:docPartObj>
        <w:docPartGallery w:val="Page Numbers (Bottom of Page)"/>
        <w:docPartUnique/>
      </w:docPartObj>
    </w:sdtPr>
    <w:sdtEndPr>
      <w:rPr>
        <w:noProof/>
      </w:rPr>
    </w:sdtEndPr>
    <w:sdtContent>
      <w:p w:rsidR="008C0608" w14:paraId="1CCAC9E7" w14:textId="0B628DE8">
        <w:pPr>
          <w:pStyle w:val="Footer"/>
          <w:jc w:val="right"/>
        </w:pPr>
        <w:r>
          <w:fldChar w:fldCharType="begin"/>
        </w:r>
        <w:r>
          <w:instrText xml:space="preserve"> PAGE   \* MERGEFORMAT </w:instrText>
        </w:r>
        <w:r>
          <w:fldChar w:fldCharType="separate"/>
        </w:r>
        <w:r w:rsidR="002D4004">
          <w:rPr>
            <w:noProof/>
          </w:rPr>
          <w:t>1</w:t>
        </w:r>
        <w:r>
          <w:rPr>
            <w:noProof/>
          </w:rPr>
          <w:fldChar w:fldCharType="end"/>
        </w:r>
      </w:p>
    </w:sdtContent>
  </w:sdt>
  <w:p w:rsidR="008C0608" w14:paraId="0C6432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0B00" w:rsidP="007D4251" w14:paraId="1D76553E" w14:textId="77777777">
      <w:r>
        <w:separator/>
      </w:r>
    </w:p>
  </w:footnote>
  <w:footnote w:type="continuationSeparator" w:id="1">
    <w:p w:rsidR="00900B00" w:rsidP="007D4251" w14:paraId="1F569573" w14:textId="77777777">
      <w:r>
        <w:continuationSeparator/>
      </w:r>
    </w:p>
  </w:footnote>
  <w:footnote w:type="continuationNotice" w:id="2">
    <w:p w:rsidR="00900B00" w14:paraId="1C0FB563" w14:textId="77777777"/>
  </w:footnote>
  <w:footnote w:id="3">
    <w:p w:rsidR="00F93268" w:rsidRPr="000548EA" w:rsidP="00F93268" w14:paraId="211FF9B0" w14:textId="153DC058">
      <w:pPr>
        <w:pStyle w:val="FootnoteText"/>
        <w:rPr>
          <w:rFonts w:ascii="Times New Roman" w:hAnsi="Times New Roman" w:cs="Times New Roman"/>
        </w:rPr>
      </w:pPr>
      <w:r w:rsidRPr="000548EA">
        <w:rPr>
          <w:rStyle w:val="FootnoteReference"/>
          <w:rFonts w:ascii="Times New Roman" w:hAnsi="Times New Roman" w:cs="Times New Roman"/>
          <w:sz w:val="20"/>
          <w:szCs w:val="15"/>
        </w:rPr>
        <w:footnoteRef/>
      </w:r>
      <w:r w:rsidRPr="000548EA">
        <w:rPr>
          <w:rFonts w:ascii="Times New Roman" w:hAnsi="Times New Roman" w:cs="Times New Roman"/>
          <w:sz w:val="20"/>
          <w:szCs w:val="15"/>
        </w:rPr>
        <w:t xml:space="preserve"> </w:t>
      </w:r>
      <w:hyperlink r:id="rId1" w:history="1">
        <w:r w:rsidRPr="00B5796C" w:rsidR="00D60717">
          <w:rPr>
            <w:rStyle w:val="Hyperlink"/>
            <w:rFonts w:ascii="Times New Roman" w:hAnsi="Times New Roman" w:cs="Times New Roman"/>
            <w:sz w:val="20"/>
            <w:szCs w:val="15"/>
          </w:rPr>
          <w:t>https://www.cms.gov/medicare/quality/snf-quality-reporting-program/help</w:t>
        </w:r>
      </w:hyperlink>
      <w:r w:rsidR="00D60717">
        <w:rPr>
          <w:rFonts w:ascii="Times New Roman" w:hAnsi="Times New Roman" w:cs="Times New Roman"/>
          <w:sz w:val="20"/>
          <w:szCs w:val="15"/>
        </w:rPr>
        <w:t xml:space="preserve"> </w:t>
      </w:r>
    </w:p>
  </w:footnote>
  <w:footnote w:id="4">
    <w:p w:rsidR="00334018" w14:paraId="770A1CBC" w14:textId="37792E0F">
      <w:pPr>
        <w:pStyle w:val="FootnoteText"/>
      </w:pPr>
      <w:r w:rsidRPr="00AA015A">
        <w:rPr>
          <w:rStyle w:val="FootnoteReference"/>
          <w:rFonts w:ascii="Times New Roman" w:eastAsia="Times New Roman" w:hAnsi="Times New Roman" w:cs="Times New Roman"/>
        </w:rPr>
        <w:footnoteRef/>
      </w:r>
      <w:r w:rsidR="005F322D">
        <w:t xml:space="preserve"> </w:t>
      </w:r>
      <w:hyperlink r:id="rId2" w:anchor=":~:text=In%20a%20nationwide%20sample%2C%20we,EHR%20adoption%20by%20nursing%20facilities" w:history="1">
        <w:r w:rsidRPr="00DE343D" w:rsidR="00DA5B2A">
          <w:rPr>
            <w:rStyle w:val="Hyperlink"/>
            <w:rFonts w:ascii="Times New Roman" w:hAnsi="Times New Roman" w:cs="Times New Roman"/>
            <w:sz w:val="20"/>
          </w:rPr>
          <w:t>https://www.ncbi.nlm.nih.gov/pmc/articles/PMC6591108/#:~:text=In%20a%20nationwide%20sample%2C%20we,EHR%20adoption%20by%20nursing%20facilities</w:t>
        </w:r>
      </w:hyperlink>
      <w:r w:rsidR="00D60717">
        <w:rPr>
          <w:rFonts w:ascii="Times New Roman" w:hAnsi="Times New Roman" w:cs="Times New Roman"/>
          <w:sz w:val="20"/>
        </w:rPr>
        <w:t xml:space="preserve"> </w:t>
      </w:r>
    </w:p>
  </w:footnote>
  <w:footnote w:id="5">
    <w:p w:rsidR="00870E85" w:rsidRPr="0092113F" w:rsidP="00870E85" w14:paraId="48D1511F" w14:textId="72FC100B">
      <w:pPr>
        <w:pStyle w:val="FootnoteText"/>
        <w:rPr>
          <w:rFonts w:ascii="Times New Roman" w:hAnsi="Times New Roman" w:cs="Times New Roman"/>
          <w:sz w:val="20"/>
        </w:rPr>
      </w:pPr>
      <w:r w:rsidRPr="0092113F">
        <w:rPr>
          <w:rStyle w:val="FootnoteReference"/>
          <w:rFonts w:ascii="Times New Roman" w:hAnsi="Times New Roman" w:cs="Times New Roman"/>
          <w:sz w:val="20"/>
        </w:rPr>
        <w:footnoteRef/>
      </w:r>
      <w:r w:rsidRPr="0092113F">
        <w:rPr>
          <w:rFonts w:ascii="Times New Roman" w:hAnsi="Times New Roman" w:cs="Times New Roman"/>
          <w:sz w:val="20"/>
        </w:rPr>
        <w:t xml:space="preserve"> </w:t>
      </w:r>
      <w:hyperlink r:id="rId3" w:history="1">
        <w:r w:rsidRPr="00B5796C" w:rsidR="00D60717">
          <w:rPr>
            <w:rStyle w:val="Hyperlink"/>
            <w:rFonts w:ascii="Times New Roman" w:eastAsia="Calibri" w:hAnsi="Times New Roman" w:cs="Times New Roman"/>
            <w:sz w:val="20"/>
          </w:rPr>
          <w:t>https://www.bls.gov/oes/current/oes299021.htm</w:t>
        </w:r>
      </w:hyperlink>
      <w:r w:rsidR="00D60717">
        <w:rPr>
          <w:rFonts w:ascii="Times New Roman" w:eastAsia="Calibri" w:hAnsi="Times New Roman" w:cs="Times New Roman"/>
          <w:sz w:val="20"/>
        </w:rPr>
        <w:t xml:space="preserve"> </w:t>
      </w:r>
    </w:p>
  </w:footnote>
  <w:footnote w:id="6">
    <w:p w:rsidR="00EE3BF8" w:rsidRPr="005379BA" w14:paraId="3EF4C3F5" w14:textId="524FC8E1">
      <w:pPr>
        <w:pStyle w:val="FootnoteText"/>
        <w:rPr>
          <w:rFonts w:ascii="Times New Roman" w:hAnsi="Times New Roman" w:cs="Times New Roman"/>
          <w:sz w:val="18"/>
          <w:szCs w:val="18"/>
        </w:rPr>
      </w:pPr>
      <w:r w:rsidRPr="005379BA">
        <w:rPr>
          <w:rStyle w:val="FootnoteReference"/>
          <w:rFonts w:ascii="Times New Roman" w:hAnsi="Times New Roman" w:cs="Times New Roman"/>
          <w:sz w:val="18"/>
          <w:szCs w:val="18"/>
        </w:rPr>
        <w:footnoteRef/>
      </w:r>
      <w:r w:rsidRPr="005379BA">
        <w:rPr>
          <w:rFonts w:ascii="Times New Roman" w:hAnsi="Times New Roman" w:cs="Times New Roman"/>
          <w:sz w:val="18"/>
          <w:szCs w:val="18"/>
        </w:rPr>
        <w:t xml:space="preserve"> </w:t>
      </w:r>
      <w:hyperlink r:id="rId4" w:history="1">
        <w:r w:rsidRPr="00B5796C" w:rsidR="00D60717">
          <w:rPr>
            <w:rStyle w:val="Hyperlink"/>
            <w:rFonts w:ascii="Times New Roman" w:hAnsi="Times New Roman" w:cs="Times New Roman"/>
            <w:sz w:val="18"/>
            <w:szCs w:val="18"/>
          </w:rPr>
          <w:t>http://data.bls.gov/cgi-bin/cpicalc.pl</w:t>
        </w:r>
      </w:hyperlink>
      <w:r w:rsidR="00D60717">
        <w:rPr>
          <w:rFonts w:ascii="Times New Roman" w:hAnsi="Times New Roman" w:cs="Times New Roman"/>
          <w:sz w:val="18"/>
          <w:szCs w:val="18"/>
        </w:rPr>
        <w:t xml:space="preserve"> </w:t>
      </w:r>
    </w:p>
  </w:footnote>
  <w:footnote w:id="7">
    <w:p w:rsidR="008541B7" w:rsidRPr="00841DF3" w14:paraId="0C18D638" w14:textId="15AC548E">
      <w:pPr>
        <w:pStyle w:val="FootnoteText"/>
        <w:rPr>
          <w:rFonts w:ascii="Times New Roman" w:hAnsi="Times New Roman" w:cs="Times New Roman"/>
        </w:rPr>
      </w:pPr>
      <w:r w:rsidRPr="005379BA">
        <w:rPr>
          <w:rStyle w:val="FootnoteReference"/>
          <w:rFonts w:ascii="Times New Roman" w:hAnsi="Times New Roman" w:cs="Times New Roman"/>
          <w:sz w:val="18"/>
          <w:szCs w:val="13"/>
        </w:rPr>
        <w:footnoteRef/>
      </w:r>
      <w:r w:rsidRPr="005379BA">
        <w:rPr>
          <w:rFonts w:ascii="Times New Roman" w:hAnsi="Times New Roman" w:cs="Times New Roman"/>
          <w:sz w:val="18"/>
          <w:szCs w:val="13"/>
        </w:rPr>
        <w:t xml:space="preserve"> </w:t>
      </w:r>
      <w:hyperlink r:id="rId5" w:history="1">
        <w:r w:rsidRPr="00B5796C" w:rsidR="00D60717">
          <w:rPr>
            <w:rStyle w:val="Hyperlink"/>
            <w:rFonts w:ascii="Times New Roman" w:hAnsi="Times New Roman" w:cs="Times New Roman"/>
            <w:sz w:val="18"/>
            <w:szCs w:val="13"/>
          </w:rPr>
          <w:t>https://store.usps.com/store/product/shipping-supplies/priority-mail-forever-prepaid-flat-rate-large-box-P_PPLFRB</w:t>
        </w:r>
      </w:hyperlink>
      <w:r w:rsidR="00D60717">
        <w:rPr>
          <w:rFonts w:ascii="Times New Roman" w:hAnsi="Times New Roman" w:cs="Times New Roman"/>
          <w:sz w:val="18"/>
          <w:szCs w:val="13"/>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B2CDD"/>
    <w:multiLevelType w:val="hybridMultilevel"/>
    <w:tmpl w:val="9B466D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731112"/>
    <w:multiLevelType w:val="hybridMultilevel"/>
    <w:tmpl w:val="07B60C2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9F62323"/>
    <w:multiLevelType w:val="hybridMultilevel"/>
    <w:tmpl w:val="691E15EE"/>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0C2DC2"/>
    <w:multiLevelType w:val="multilevel"/>
    <w:tmpl w:val="26A87EAA"/>
    <w:styleLink w:val="StyleforLevelHeadings"/>
    <w:lvl w:ilvl="0">
      <w:start w:val="1"/>
      <w:numFmt w:val="upperLetter"/>
      <w:pStyle w:val="Heading1"/>
      <w:lvlText w:val="%1"/>
      <w:lvlJc w:val="left"/>
      <w:pPr>
        <w:ind w:left="720" w:hanging="360"/>
      </w:pPr>
      <w:rPr>
        <w:rFonts w:hint="default"/>
      </w:rPr>
    </w:lvl>
    <w:lvl w:ilvl="1">
      <w:start w:val="1"/>
      <w:numFmt w:val="decimal"/>
      <w:pStyle w:val="Heading2"/>
      <w:lvlText w:val="%2"/>
      <w:lvlJc w:val="left"/>
      <w:pPr>
        <w:ind w:left="1440" w:hanging="360"/>
      </w:pPr>
      <w:rPr>
        <w:rFonts w:hint="default"/>
      </w:rPr>
    </w:lvl>
    <w:lvl w:ilvl="2">
      <w:start w:val="1"/>
      <w:numFmt w:val="lowerLetter"/>
      <w:pStyle w:val="Heading3"/>
      <w:lvlText w:val="%3."/>
      <w:lvlJc w:val="right"/>
      <w:pPr>
        <w:ind w:left="2160" w:hanging="360"/>
      </w:pPr>
      <w:rPr>
        <w:rFonts w:hint="default"/>
      </w:rPr>
    </w:lvl>
    <w:lvl w:ilvl="3">
      <w:start w:val="1"/>
      <w:numFmt w:val="lowerRoman"/>
      <w:pStyle w:val="Heading4"/>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
    <w:nsid w:val="2A86144E"/>
    <w:multiLevelType w:val="hybridMultilevel"/>
    <w:tmpl w:val="30DE27D6"/>
    <w:lvl w:ilvl="0">
      <w:start w:val="1"/>
      <w:numFmt w:val="lowerLetter"/>
      <w:lvlText w:val="%1."/>
      <w:lvlJc w:val="left"/>
      <w:pPr>
        <w:ind w:left="720" w:hanging="360"/>
      </w:pPr>
    </w:lvl>
    <w:lvl w:ilvl="1">
      <w:start w:val="1"/>
      <w:numFmt w:val="lowerLetter"/>
      <w:lvlText w:val="%2."/>
      <w:lvlJc w:val="left"/>
      <w:pPr>
        <w:ind w:left="198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611AF6"/>
    <w:multiLevelType w:val="hybridMultilevel"/>
    <w:tmpl w:val="940E3FB6"/>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4B0ECD"/>
    <w:multiLevelType w:val="hybridMultilevel"/>
    <w:tmpl w:val="F55A3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150C75"/>
    <w:multiLevelType w:val="hybridMultilevel"/>
    <w:tmpl w:val="55A8920C"/>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FC50FA"/>
    <w:multiLevelType w:val="hybridMultilevel"/>
    <w:tmpl w:val="7668E9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0B20F9"/>
    <w:multiLevelType w:val="hybridMultilevel"/>
    <w:tmpl w:val="A32C52B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88B5BA2"/>
    <w:multiLevelType w:val="hybridMultilevel"/>
    <w:tmpl w:val="27AE94A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68D03896"/>
    <w:multiLevelType w:val="hybridMultilevel"/>
    <w:tmpl w:val="4564756E"/>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95C44F9"/>
    <w:multiLevelType w:val="hybridMultilevel"/>
    <w:tmpl w:val="A844CF6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0052457">
    <w:abstractNumId w:val="9"/>
  </w:num>
  <w:num w:numId="2" w16cid:durableId="245188938">
    <w:abstractNumId w:val="1"/>
  </w:num>
  <w:num w:numId="3" w16cid:durableId="1020358161">
    <w:abstractNumId w:val="8"/>
  </w:num>
  <w:num w:numId="4" w16cid:durableId="2139911260">
    <w:abstractNumId w:val="10"/>
  </w:num>
  <w:num w:numId="5" w16cid:durableId="1942031932">
    <w:abstractNumId w:val="10"/>
    <w:lvlOverride w:ilvl="0">
      <w:startOverride w:val="1"/>
    </w:lvlOverride>
  </w:num>
  <w:num w:numId="6" w16cid:durableId="1788353787">
    <w:abstractNumId w:val="13"/>
  </w:num>
  <w:num w:numId="7" w16cid:durableId="496968662">
    <w:abstractNumId w:val="6"/>
  </w:num>
  <w:num w:numId="8" w16cid:durableId="1101494368">
    <w:abstractNumId w:val="4"/>
  </w:num>
  <w:num w:numId="9" w16cid:durableId="123162407">
    <w:abstractNumId w:val="4"/>
  </w:num>
  <w:num w:numId="10" w16cid:durableId="912197799">
    <w:abstractNumId w:val="14"/>
  </w:num>
  <w:num w:numId="11" w16cid:durableId="1733382448">
    <w:abstractNumId w:val="0"/>
  </w:num>
  <w:num w:numId="12" w16cid:durableId="964309763">
    <w:abstractNumId w:val="7"/>
  </w:num>
  <w:num w:numId="13" w16cid:durableId="1391658310">
    <w:abstractNumId w:val="3"/>
  </w:num>
  <w:num w:numId="14" w16cid:durableId="964384189">
    <w:abstractNumId w:val="12"/>
  </w:num>
  <w:num w:numId="15" w16cid:durableId="71657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8831146">
    <w:abstractNumId w:val="2"/>
  </w:num>
  <w:num w:numId="17" w16cid:durableId="1281450294">
    <w:abstractNumId w:val="5"/>
  </w:num>
  <w:num w:numId="18" w16cid:durableId="18852936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EF"/>
    <w:rsid w:val="00000283"/>
    <w:rsid w:val="00001254"/>
    <w:rsid w:val="00001473"/>
    <w:rsid w:val="00001AD9"/>
    <w:rsid w:val="00001D53"/>
    <w:rsid w:val="00001FCD"/>
    <w:rsid w:val="0000233E"/>
    <w:rsid w:val="000023D8"/>
    <w:rsid w:val="00002C57"/>
    <w:rsid w:val="00002F3A"/>
    <w:rsid w:val="00003313"/>
    <w:rsid w:val="00003AF1"/>
    <w:rsid w:val="00003CC9"/>
    <w:rsid w:val="0000434B"/>
    <w:rsid w:val="00004523"/>
    <w:rsid w:val="000047F3"/>
    <w:rsid w:val="00005880"/>
    <w:rsid w:val="00005F91"/>
    <w:rsid w:val="00006F80"/>
    <w:rsid w:val="000103DE"/>
    <w:rsid w:val="00010400"/>
    <w:rsid w:val="00010A9C"/>
    <w:rsid w:val="000124DD"/>
    <w:rsid w:val="00014092"/>
    <w:rsid w:val="0001418A"/>
    <w:rsid w:val="0001456E"/>
    <w:rsid w:val="00015210"/>
    <w:rsid w:val="000156CE"/>
    <w:rsid w:val="00015E8A"/>
    <w:rsid w:val="000163A4"/>
    <w:rsid w:val="00020465"/>
    <w:rsid w:val="00020540"/>
    <w:rsid w:val="0002056D"/>
    <w:rsid w:val="00020CFA"/>
    <w:rsid w:val="00020D81"/>
    <w:rsid w:val="00021493"/>
    <w:rsid w:val="00021DCB"/>
    <w:rsid w:val="00021E5C"/>
    <w:rsid w:val="00021F96"/>
    <w:rsid w:val="000223BA"/>
    <w:rsid w:val="00022CEE"/>
    <w:rsid w:val="00022D90"/>
    <w:rsid w:val="000235A3"/>
    <w:rsid w:val="0002497D"/>
    <w:rsid w:val="000250F7"/>
    <w:rsid w:val="00026CFD"/>
    <w:rsid w:val="00026EEE"/>
    <w:rsid w:val="000270EC"/>
    <w:rsid w:val="0002781A"/>
    <w:rsid w:val="0003065E"/>
    <w:rsid w:val="000310B9"/>
    <w:rsid w:val="0003134F"/>
    <w:rsid w:val="000327F6"/>
    <w:rsid w:val="00032A92"/>
    <w:rsid w:val="00032B74"/>
    <w:rsid w:val="00033B7F"/>
    <w:rsid w:val="000363EB"/>
    <w:rsid w:val="00036E22"/>
    <w:rsid w:val="000411EF"/>
    <w:rsid w:val="00041BB3"/>
    <w:rsid w:val="00041CC1"/>
    <w:rsid w:val="000430DB"/>
    <w:rsid w:val="0004418B"/>
    <w:rsid w:val="0004495F"/>
    <w:rsid w:val="00044B09"/>
    <w:rsid w:val="00045068"/>
    <w:rsid w:val="00045166"/>
    <w:rsid w:val="0004626C"/>
    <w:rsid w:val="00046E4E"/>
    <w:rsid w:val="000504DC"/>
    <w:rsid w:val="000504E4"/>
    <w:rsid w:val="00050886"/>
    <w:rsid w:val="00051118"/>
    <w:rsid w:val="0005139F"/>
    <w:rsid w:val="000521EA"/>
    <w:rsid w:val="000522E4"/>
    <w:rsid w:val="000531B4"/>
    <w:rsid w:val="00053292"/>
    <w:rsid w:val="000534BA"/>
    <w:rsid w:val="00053642"/>
    <w:rsid w:val="00053959"/>
    <w:rsid w:val="00053C11"/>
    <w:rsid w:val="00054035"/>
    <w:rsid w:val="000548EA"/>
    <w:rsid w:val="000551ED"/>
    <w:rsid w:val="0005585A"/>
    <w:rsid w:val="000569F4"/>
    <w:rsid w:val="00057468"/>
    <w:rsid w:val="00057932"/>
    <w:rsid w:val="00057B77"/>
    <w:rsid w:val="0006093D"/>
    <w:rsid w:val="00060E04"/>
    <w:rsid w:val="000618BB"/>
    <w:rsid w:val="0006197D"/>
    <w:rsid w:val="00061ACC"/>
    <w:rsid w:val="00061CFB"/>
    <w:rsid w:val="00061D1B"/>
    <w:rsid w:val="00061D63"/>
    <w:rsid w:val="00061FD4"/>
    <w:rsid w:val="00061FF8"/>
    <w:rsid w:val="000632B2"/>
    <w:rsid w:val="0006333E"/>
    <w:rsid w:val="00063599"/>
    <w:rsid w:val="0006410A"/>
    <w:rsid w:val="000642D0"/>
    <w:rsid w:val="00064397"/>
    <w:rsid w:val="00064719"/>
    <w:rsid w:val="000654C3"/>
    <w:rsid w:val="00066B40"/>
    <w:rsid w:val="000671CD"/>
    <w:rsid w:val="0006750B"/>
    <w:rsid w:val="0006780D"/>
    <w:rsid w:val="00067DD0"/>
    <w:rsid w:val="00067FC0"/>
    <w:rsid w:val="00070627"/>
    <w:rsid w:val="00070999"/>
    <w:rsid w:val="00071AA3"/>
    <w:rsid w:val="00072B1E"/>
    <w:rsid w:val="00073916"/>
    <w:rsid w:val="0007426C"/>
    <w:rsid w:val="00075B70"/>
    <w:rsid w:val="0007638C"/>
    <w:rsid w:val="00076F2C"/>
    <w:rsid w:val="00077373"/>
    <w:rsid w:val="00077F6D"/>
    <w:rsid w:val="000809D0"/>
    <w:rsid w:val="00080B02"/>
    <w:rsid w:val="00081292"/>
    <w:rsid w:val="00081481"/>
    <w:rsid w:val="000814C8"/>
    <w:rsid w:val="00081657"/>
    <w:rsid w:val="00081800"/>
    <w:rsid w:val="00081932"/>
    <w:rsid w:val="00081E3C"/>
    <w:rsid w:val="00082CE0"/>
    <w:rsid w:val="000838E2"/>
    <w:rsid w:val="000846EB"/>
    <w:rsid w:val="000849DA"/>
    <w:rsid w:val="00084F60"/>
    <w:rsid w:val="00085E61"/>
    <w:rsid w:val="000864C2"/>
    <w:rsid w:val="000869B2"/>
    <w:rsid w:val="00087C7F"/>
    <w:rsid w:val="00090028"/>
    <w:rsid w:val="00091623"/>
    <w:rsid w:val="00091929"/>
    <w:rsid w:val="00092C3D"/>
    <w:rsid w:val="00094917"/>
    <w:rsid w:val="000964F5"/>
    <w:rsid w:val="00096884"/>
    <w:rsid w:val="00096DB5"/>
    <w:rsid w:val="00096E42"/>
    <w:rsid w:val="00097D8D"/>
    <w:rsid w:val="000A0622"/>
    <w:rsid w:val="000A14E5"/>
    <w:rsid w:val="000A1984"/>
    <w:rsid w:val="000A1BC2"/>
    <w:rsid w:val="000A1CD4"/>
    <w:rsid w:val="000A2664"/>
    <w:rsid w:val="000A27B2"/>
    <w:rsid w:val="000A2918"/>
    <w:rsid w:val="000A40D2"/>
    <w:rsid w:val="000A4ECB"/>
    <w:rsid w:val="000A54BB"/>
    <w:rsid w:val="000A7809"/>
    <w:rsid w:val="000B0DFC"/>
    <w:rsid w:val="000B0EE7"/>
    <w:rsid w:val="000B1268"/>
    <w:rsid w:val="000B176E"/>
    <w:rsid w:val="000B23CD"/>
    <w:rsid w:val="000B24DF"/>
    <w:rsid w:val="000B2BB1"/>
    <w:rsid w:val="000B2C07"/>
    <w:rsid w:val="000B3039"/>
    <w:rsid w:val="000B4BA5"/>
    <w:rsid w:val="000B5976"/>
    <w:rsid w:val="000B5D71"/>
    <w:rsid w:val="000B5FD6"/>
    <w:rsid w:val="000B69CA"/>
    <w:rsid w:val="000B7E72"/>
    <w:rsid w:val="000C045B"/>
    <w:rsid w:val="000C0E07"/>
    <w:rsid w:val="000C16A1"/>
    <w:rsid w:val="000C1DF9"/>
    <w:rsid w:val="000C1FF2"/>
    <w:rsid w:val="000C2CA9"/>
    <w:rsid w:val="000C2D7C"/>
    <w:rsid w:val="000C383C"/>
    <w:rsid w:val="000C3D34"/>
    <w:rsid w:val="000C3E5D"/>
    <w:rsid w:val="000C4B5F"/>
    <w:rsid w:val="000C4BBE"/>
    <w:rsid w:val="000C4E44"/>
    <w:rsid w:val="000C53CE"/>
    <w:rsid w:val="000C632F"/>
    <w:rsid w:val="000C671D"/>
    <w:rsid w:val="000C7770"/>
    <w:rsid w:val="000C77F2"/>
    <w:rsid w:val="000C7AA9"/>
    <w:rsid w:val="000C7BF2"/>
    <w:rsid w:val="000C7FEA"/>
    <w:rsid w:val="000D090B"/>
    <w:rsid w:val="000D0BE0"/>
    <w:rsid w:val="000D0D10"/>
    <w:rsid w:val="000D0D38"/>
    <w:rsid w:val="000D1AA0"/>
    <w:rsid w:val="000D20F2"/>
    <w:rsid w:val="000D2AF4"/>
    <w:rsid w:val="000D3991"/>
    <w:rsid w:val="000D3C8B"/>
    <w:rsid w:val="000D3D32"/>
    <w:rsid w:val="000D41AE"/>
    <w:rsid w:val="000D52DE"/>
    <w:rsid w:val="000D6065"/>
    <w:rsid w:val="000D6125"/>
    <w:rsid w:val="000D6266"/>
    <w:rsid w:val="000D63C2"/>
    <w:rsid w:val="000D6804"/>
    <w:rsid w:val="000D6D84"/>
    <w:rsid w:val="000D78AD"/>
    <w:rsid w:val="000D7DBE"/>
    <w:rsid w:val="000E0230"/>
    <w:rsid w:val="000E0A4A"/>
    <w:rsid w:val="000E1525"/>
    <w:rsid w:val="000E1583"/>
    <w:rsid w:val="000E1883"/>
    <w:rsid w:val="000E280D"/>
    <w:rsid w:val="000E2BA4"/>
    <w:rsid w:val="000E39FB"/>
    <w:rsid w:val="000E3BC3"/>
    <w:rsid w:val="000E467B"/>
    <w:rsid w:val="000E46DB"/>
    <w:rsid w:val="000E48AB"/>
    <w:rsid w:val="000E5378"/>
    <w:rsid w:val="000E56B6"/>
    <w:rsid w:val="000E5ED5"/>
    <w:rsid w:val="000E6627"/>
    <w:rsid w:val="000E6839"/>
    <w:rsid w:val="000E744D"/>
    <w:rsid w:val="000F0AAF"/>
    <w:rsid w:val="000F0CAD"/>
    <w:rsid w:val="000F172F"/>
    <w:rsid w:val="000F185A"/>
    <w:rsid w:val="000F3296"/>
    <w:rsid w:val="000F4278"/>
    <w:rsid w:val="000F4AA1"/>
    <w:rsid w:val="000F4D45"/>
    <w:rsid w:val="000F5300"/>
    <w:rsid w:val="000F5AE3"/>
    <w:rsid w:val="000F5D5E"/>
    <w:rsid w:val="000F5D8E"/>
    <w:rsid w:val="000F6773"/>
    <w:rsid w:val="000F6A28"/>
    <w:rsid w:val="000F7642"/>
    <w:rsid w:val="000F7900"/>
    <w:rsid w:val="000F7B53"/>
    <w:rsid w:val="000F7EAA"/>
    <w:rsid w:val="000F7EBA"/>
    <w:rsid w:val="00100974"/>
    <w:rsid w:val="00100B6B"/>
    <w:rsid w:val="0010181C"/>
    <w:rsid w:val="00101C04"/>
    <w:rsid w:val="00101E91"/>
    <w:rsid w:val="001020BD"/>
    <w:rsid w:val="00102542"/>
    <w:rsid w:val="001026E3"/>
    <w:rsid w:val="00103E72"/>
    <w:rsid w:val="00106F52"/>
    <w:rsid w:val="001078E7"/>
    <w:rsid w:val="00110216"/>
    <w:rsid w:val="001103ED"/>
    <w:rsid w:val="001105E0"/>
    <w:rsid w:val="0011091F"/>
    <w:rsid w:val="00110BCB"/>
    <w:rsid w:val="0011108C"/>
    <w:rsid w:val="001114F1"/>
    <w:rsid w:val="00111EE7"/>
    <w:rsid w:val="00112F2A"/>
    <w:rsid w:val="001136E3"/>
    <w:rsid w:val="00113E72"/>
    <w:rsid w:val="00114017"/>
    <w:rsid w:val="001145C3"/>
    <w:rsid w:val="00114DCD"/>
    <w:rsid w:val="00114F4B"/>
    <w:rsid w:val="0011541E"/>
    <w:rsid w:val="00115C69"/>
    <w:rsid w:val="00115EF8"/>
    <w:rsid w:val="00116403"/>
    <w:rsid w:val="0011657A"/>
    <w:rsid w:val="00116CC0"/>
    <w:rsid w:val="00117131"/>
    <w:rsid w:val="00117992"/>
    <w:rsid w:val="001211CF"/>
    <w:rsid w:val="001220E3"/>
    <w:rsid w:val="001225A9"/>
    <w:rsid w:val="00122E6E"/>
    <w:rsid w:val="00123DB3"/>
    <w:rsid w:val="001249B0"/>
    <w:rsid w:val="001250FE"/>
    <w:rsid w:val="00125289"/>
    <w:rsid w:val="001252E8"/>
    <w:rsid w:val="0012543E"/>
    <w:rsid w:val="00126047"/>
    <w:rsid w:val="001261C9"/>
    <w:rsid w:val="00126DDB"/>
    <w:rsid w:val="001327E2"/>
    <w:rsid w:val="00132F77"/>
    <w:rsid w:val="00133C8E"/>
    <w:rsid w:val="00133D8E"/>
    <w:rsid w:val="00134112"/>
    <w:rsid w:val="00134809"/>
    <w:rsid w:val="00134A02"/>
    <w:rsid w:val="00134E7A"/>
    <w:rsid w:val="00136EE2"/>
    <w:rsid w:val="0013735F"/>
    <w:rsid w:val="00140414"/>
    <w:rsid w:val="00140E61"/>
    <w:rsid w:val="00141608"/>
    <w:rsid w:val="00142F6F"/>
    <w:rsid w:val="0014362A"/>
    <w:rsid w:val="0014389D"/>
    <w:rsid w:val="001441F8"/>
    <w:rsid w:val="00147280"/>
    <w:rsid w:val="001475D0"/>
    <w:rsid w:val="00147AB1"/>
    <w:rsid w:val="001507E7"/>
    <w:rsid w:val="00150817"/>
    <w:rsid w:val="00151492"/>
    <w:rsid w:val="0015169F"/>
    <w:rsid w:val="0015173E"/>
    <w:rsid w:val="00154242"/>
    <w:rsid w:val="001557F2"/>
    <w:rsid w:val="00155FB0"/>
    <w:rsid w:val="0015621B"/>
    <w:rsid w:val="00156399"/>
    <w:rsid w:val="00157820"/>
    <w:rsid w:val="00160A33"/>
    <w:rsid w:val="0016244B"/>
    <w:rsid w:val="00163131"/>
    <w:rsid w:val="00163345"/>
    <w:rsid w:val="00163A2E"/>
    <w:rsid w:val="00165485"/>
    <w:rsid w:val="00165F39"/>
    <w:rsid w:val="0016699E"/>
    <w:rsid w:val="00166DB6"/>
    <w:rsid w:val="00167437"/>
    <w:rsid w:val="00167584"/>
    <w:rsid w:val="00167E90"/>
    <w:rsid w:val="001700B8"/>
    <w:rsid w:val="001705AC"/>
    <w:rsid w:val="00170702"/>
    <w:rsid w:val="00170B79"/>
    <w:rsid w:val="00171143"/>
    <w:rsid w:val="00171293"/>
    <w:rsid w:val="001712F9"/>
    <w:rsid w:val="00171ABC"/>
    <w:rsid w:val="001728D0"/>
    <w:rsid w:val="00172ACA"/>
    <w:rsid w:val="00172D3B"/>
    <w:rsid w:val="001733BA"/>
    <w:rsid w:val="0017349C"/>
    <w:rsid w:val="0017397C"/>
    <w:rsid w:val="00173D4D"/>
    <w:rsid w:val="00173ECA"/>
    <w:rsid w:val="001743FD"/>
    <w:rsid w:val="00174E67"/>
    <w:rsid w:val="00174EF9"/>
    <w:rsid w:val="001759C0"/>
    <w:rsid w:val="001765B5"/>
    <w:rsid w:val="00180470"/>
    <w:rsid w:val="001814A3"/>
    <w:rsid w:val="00182970"/>
    <w:rsid w:val="00182E69"/>
    <w:rsid w:val="00182EFD"/>
    <w:rsid w:val="00182FC9"/>
    <w:rsid w:val="0018334A"/>
    <w:rsid w:val="00183477"/>
    <w:rsid w:val="0018355F"/>
    <w:rsid w:val="0018457C"/>
    <w:rsid w:val="00184ABD"/>
    <w:rsid w:val="00184B11"/>
    <w:rsid w:val="00185234"/>
    <w:rsid w:val="00185372"/>
    <w:rsid w:val="0018550F"/>
    <w:rsid w:val="00186A87"/>
    <w:rsid w:val="00187D89"/>
    <w:rsid w:val="00190640"/>
    <w:rsid w:val="00190B76"/>
    <w:rsid w:val="0019115A"/>
    <w:rsid w:val="0019190D"/>
    <w:rsid w:val="00191EFB"/>
    <w:rsid w:val="00192657"/>
    <w:rsid w:val="00193C0F"/>
    <w:rsid w:val="00193DDB"/>
    <w:rsid w:val="00194245"/>
    <w:rsid w:val="00194868"/>
    <w:rsid w:val="001948A4"/>
    <w:rsid w:val="00194AD0"/>
    <w:rsid w:val="00194DE6"/>
    <w:rsid w:val="00194F95"/>
    <w:rsid w:val="00195A69"/>
    <w:rsid w:val="00196262"/>
    <w:rsid w:val="0019695C"/>
    <w:rsid w:val="00197473"/>
    <w:rsid w:val="001A1185"/>
    <w:rsid w:val="001A2492"/>
    <w:rsid w:val="001A3195"/>
    <w:rsid w:val="001A4898"/>
    <w:rsid w:val="001A4CDD"/>
    <w:rsid w:val="001A5ACD"/>
    <w:rsid w:val="001A68E0"/>
    <w:rsid w:val="001A697D"/>
    <w:rsid w:val="001A6B39"/>
    <w:rsid w:val="001A7083"/>
    <w:rsid w:val="001A7642"/>
    <w:rsid w:val="001A7913"/>
    <w:rsid w:val="001A7E22"/>
    <w:rsid w:val="001B07D2"/>
    <w:rsid w:val="001B07F3"/>
    <w:rsid w:val="001B1D23"/>
    <w:rsid w:val="001B2612"/>
    <w:rsid w:val="001B2A81"/>
    <w:rsid w:val="001B3185"/>
    <w:rsid w:val="001B3610"/>
    <w:rsid w:val="001B3D80"/>
    <w:rsid w:val="001B3DE4"/>
    <w:rsid w:val="001B3EA7"/>
    <w:rsid w:val="001B413F"/>
    <w:rsid w:val="001B486F"/>
    <w:rsid w:val="001B51F0"/>
    <w:rsid w:val="001B539D"/>
    <w:rsid w:val="001B5869"/>
    <w:rsid w:val="001B5E20"/>
    <w:rsid w:val="001B63F1"/>
    <w:rsid w:val="001B696A"/>
    <w:rsid w:val="001B7584"/>
    <w:rsid w:val="001B7C55"/>
    <w:rsid w:val="001C0206"/>
    <w:rsid w:val="001C1B66"/>
    <w:rsid w:val="001C3EA0"/>
    <w:rsid w:val="001C411E"/>
    <w:rsid w:val="001C4501"/>
    <w:rsid w:val="001C47C8"/>
    <w:rsid w:val="001C4D8E"/>
    <w:rsid w:val="001C4F17"/>
    <w:rsid w:val="001C5B3B"/>
    <w:rsid w:val="001C5DDE"/>
    <w:rsid w:val="001C5F9D"/>
    <w:rsid w:val="001C6950"/>
    <w:rsid w:val="001C7137"/>
    <w:rsid w:val="001C76ED"/>
    <w:rsid w:val="001C7EB6"/>
    <w:rsid w:val="001D00A1"/>
    <w:rsid w:val="001D02CF"/>
    <w:rsid w:val="001D0440"/>
    <w:rsid w:val="001D0B32"/>
    <w:rsid w:val="001D0CB3"/>
    <w:rsid w:val="001D0EE9"/>
    <w:rsid w:val="001D12C9"/>
    <w:rsid w:val="001D15B0"/>
    <w:rsid w:val="001D3797"/>
    <w:rsid w:val="001D4467"/>
    <w:rsid w:val="001D4CA8"/>
    <w:rsid w:val="001D50BA"/>
    <w:rsid w:val="001D56A8"/>
    <w:rsid w:val="001D60DF"/>
    <w:rsid w:val="001D61A9"/>
    <w:rsid w:val="001D6298"/>
    <w:rsid w:val="001D6420"/>
    <w:rsid w:val="001D664C"/>
    <w:rsid w:val="001D6AF4"/>
    <w:rsid w:val="001E10F6"/>
    <w:rsid w:val="001E1895"/>
    <w:rsid w:val="001E2732"/>
    <w:rsid w:val="001E2B04"/>
    <w:rsid w:val="001E2F4F"/>
    <w:rsid w:val="001E3A85"/>
    <w:rsid w:val="001E3B3B"/>
    <w:rsid w:val="001E3F6B"/>
    <w:rsid w:val="001E418C"/>
    <w:rsid w:val="001E4524"/>
    <w:rsid w:val="001E496F"/>
    <w:rsid w:val="001E49D7"/>
    <w:rsid w:val="001E57B0"/>
    <w:rsid w:val="001E599A"/>
    <w:rsid w:val="001E614E"/>
    <w:rsid w:val="001E6811"/>
    <w:rsid w:val="001E7034"/>
    <w:rsid w:val="001E7357"/>
    <w:rsid w:val="001E7843"/>
    <w:rsid w:val="001E7C3D"/>
    <w:rsid w:val="001E7F22"/>
    <w:rsid w:val="001F035D"/>
    <w:rsid w:val="001F04D7"/>
    <w:rsid w:val="001F0BDD"/>
    <w:rsid w:val="001F0CF2"/>
    <w:rsid w:val="001F1CC9"/>
    <w:rsid w:val="001F2741"/>
    <w:rsid w:val="001F2D88"/>
    <w:rsid w:val="001F38F7"/>
    <w:rsid w:val="001F3BB0"/>
    <w:rsid w:val="001F41C9"/>
    <w:rsid w:val="001F4246"/>
    <w:rsid w:val="001F4B62"/>
    <w:rsid w:val="001F4BEE"/>
    <w:rsid w:val="001F4C40"/>
    <w:rsid w:val="001F4FCD"/>
    <w:rsid w:val="001F54A5"/>
    <w:rsid w:val="001F6739"/>
    <w:rsid w:val="001F6C17"/>
    <w:rsid w:val="001F72D4"/>
    <w:rsid w:val="001F72E9"/>
    <w:rsid w:val="001F765E"/>
    <w:rsid w:val="001F770B"/>
    <w:rsid w:val="0020084C"/>
    <w:rsid w:val="002013EB"/>
    <w:rsid w:val="002021F0"/>
    <w:rsid w:val="002027CD"/>
    <w:rsid w:val="002029AE"/>
    <w:rsid w:val="00203588"/>
    <w:rsid w:val="00204018"/>
    <w:rsid w:val="002072B9"/>
    <w:rsid w:val="0021064A"/>
    <w:rsid w:val="0021206D"/>
    <w:rsid w:val="00212149"/>
    <w:rsid w:val="002128A3"/>
    <w:rsid w:val="0021323E"/>
    <w:rsid w:val="002134F5"/>
    <w:rsid w:val="00213F3E"/>
    <w:rsid w:val="00214E63"/>
    <w:rsid w:val="00214F72"/>
    <w:rsid w:val="0021579C"/>
    <w:rsid w:val="0021647C"/>
    <w:rsid w:val="00216594"/>
    <w:rsid w:val="00216B0F"/>
    <w:rsid w:val="00216F07"/>
    <w:rsid w:val="00216F3F"/>
    <w:rsid w:val="0021732F"/>
    <w:rsid w:val="002179ED"/>
    <w:rsid w:val="00220046"/>
    <w:rsid w:val="00221A05"/>
    <w:rsid w:val="00222BFF"/>
    <w:rsid w:val="002236D5"/>
    <w:rsid w:val="00223830"/>
    <w:rsid w:val="00223FA0"/>
    <w:rsid w:val="002248C4"/>
    <w:rsid w:val="00225CA4"/>
    <w:rsid w:val="00226979"/>
    <w:rsid w:val="00227383"/>
    <w:rsid w:val="00227CC8"/>
    <w:rsid w:val="00230039"/>
    <w:rsid w:val="0023055B"/>
    <w:rsid w:val="00230E61"/>
    <w:rsid w:val="00230E79"/>
    <w:rsid w:val="00231411"/>
    <w:rsid w:val="002320DD"/>
    <w:rsid w:val="0023241E"/>
    <w:rsid w:val="002326B7"/>
    <w:rsid w:val="002331F5"/>
    <w:rsid w:val="0023345A"/>
    <w:rsid w:val="0023377F"/>
    <w:rsid w:val="0023389A"/>
    <w:rsid w:val="0023390B"/>
    <w:rsid w:val="00233C87"/>
    <w:rsid w:val="0023477E"/>
    <w:rsid w:val="00234A16"/>
    <w:rsid w:val="00234B89"/>
    <w:rsid w:val="00234FC1"/>
    <w:rsid w:val="002354A3"/>
    <w:rsid w:val="00235766"/>
    <w:rsid w:val="00235BF3"/>
    <w:rsid w:val="0023669F"/>
    <w:rsid w:val="00236A49"/>
    <w:rsid w:val="00236AC3"/>
    <w:rsid w:val="00241F11"/>
    <w:rsid w:val="00242725"/>
    <w:rsid w:val="00242CC4"/>
    <w:rsid w:val="00242ED6"/>
    <w:rsid w:val="0024452A"/>
    <w:rsid w:val="00244883"/>
    <w:rsid w:val="00245A18"/>
    <w:rsid w:val="00245BFB"/>
    <w:rsid w:val="00246048"/>
    <w:rsid w:val="00246229"/>
    <w:rsid w:val="0024686F"/>
    <w:rsid w:val="00246CB4"/>
    <w:rsid w:val="00246D74"/>
    <w:rsid w:val="00247B46"/>
    <w:rsid w:val="00250FAC"/>
    <w:rsid w:val="0025146B"/>
    <w:rsid w:val="00251738"/>
    <w:rsid w:val="00251AC4"/>
    <w:rsid w:val="00251F1A"/>
    <w:rsid w:val="00252796"/>
    <w:rsid w:val="002529A4"/>
    <w:rsid w:val="00252D31"/>
    <w:rsid w:val="00252D7A"/>
    <w:rsid w:val="002535B3"/>
    <w:rsid w:val="002535EC"/>
    <w:rsid w:val="002536C0"/>
    <w:rsid w:val="00253EB8"/>
    <w:rsid w:val="00254AA3"/>
    <w:rsid w:val="00254EA2"/>
    <w:rsid w:val="00255A3F"/>
    <w:rsid w:val="00256247"/>
    <w:rsid w:val="002562AD"/>
    <w:rsid w:val="002563D2"/>
    <w:rsid w:val="002564B0"/>
    <w:rsid w:val="002567E9"/>
    <w:rsid w:val="00256D6B"/>
    <w:rsid w:val="002574BB"/>
    <w:rsid w:val="00257690"/>
    <w:rsid w:val="00257ABC"/>
    <w:rsid w:val="002603B9"/>
    <w:rsid w:val="00260488"/>
    <w:rsid w:val="00260EA5"/>
    <w:rsid w:val="00261845"/>
    <w:rsid w:val="0026316F"/>
    <w:rsid w:val="00264D40"/>
    <w:rsid w:val="00264E0F"/>
    <w:rsid w:val="00264EF1"/>
    <w:rsid w:val="0026525A"/>
    <w:rsid w:val="00265E8E"/>
    <w:rsid w:val="002662C0"/>
    <w:rsid w:val="00266FA1"/>
    <w:rsid w:val="00267116"/>
    <w:rsid w:val="00267BEE"/>
    <w:rsid w:val="00270243"/>
    <w:rsid w:val="0027027C"/>
    <w:rsid w:val="00271050"/>
    <w:rsid w:val="00271BBA"/>
    <w:rsid w:val="00273079"/>
    <w:rsid w:val="002737A3"/>
    <w:rsid w:val="00273ED4"/>
    <w:rsid w:val="0027464A"/>
    <w:rsid w:val="002748AA"/>
    <w:rsid w:val="00274D7F"/>
    <w:rsid w:val="00275851"/>
    <w:rsid w:val="00275B7B"/>
    <w:rsid w:val="00276999"/>
    <w:rsid w:val="00276DBB"/>
    <w:rsid w:val="00277925"/>
    <w:rsid w:val="0028009B"/>
    <w:rsid w:val="00280C0C"/>
    <w:rsid w:val="00280D29"/>
    <w:rsid w:val="00281590"/>
    <w:rsid w:val="00281839"/>
    <w:rsid w:val="00281A69"/>
    <w:rsid w:val="00281A8E"/>
    <w:rsid w:val="00281F0C"/>
    <w:rsid w:val="00283468"/>
    <w:rsid w:val="00284392"/>
    <w:rsid w:val="00284662"/>
    <w:rsid w:val="002847E8"/>
    <w:rsid w:val="00285D42"/>
    <w:rsid w:val="0028612D"/>
    <w:rsid w:val="002867FC"/>
    <w:rsid w:val="002871CE"/>
    <w:rsid w:val="00287D7E"/>
    <w:rsid w:val="00290CA9"/>
    <w:rsid w:val="002918C1"/>
    <w:rsid w:val="0029255B"/>
    <w:rsid w:val="00292A0F"/>
    <w:rsid w:val="00292ACC"/>
    <w:rsid w:val="00292C1E"/>
    <w:rsid w:val="00293786"/>
    <w:rsid w:val="00293B10"/>
    <w:rsid w:val="00294604"/>
    <w:rsid w:val="00295CE6"/>
    <w:rsid w:val="00297945"/>
    <w:rsid w:val="00297A12"/>
    <w:rsid w:val="002A0C76"/>
    <w:rsid w:val="002A1388"/>
    <w:rsid w:val="002A16C1"/>
    <w:rsid w:val="002A16EC"/>
    <w:rsid w:val="002A19F1"/>
    <w:rsid w:val="002A1CCE"/>
    <w:rsid w:val="002A22C0"/>
    <w:rsid w:val="002A2CFB"/>
    <w:rsid w:val="002A357A"/>
    <w:rsid w:val="002A4178"/>
    <w:rsid w:val="002A4470"/>
    <w:rsid w:val="002A45F1"/>
    <w:rsid w:val="002A501F"/>
    <w:rsid w:val="002A51C5"/>
    <w:rsid w:val="002A55B5"/>
    <w:rsid w:val="002A622F"/>
    <w:rsid w:val="002A6523"/>
    <w:rsid w:val="002A737C"/>
    <w:rsid w:val="002A73D5"/>
    <w:rsid w:val="002A7BF7"/>
    <w:rsid w:val="002B0BBA"/>
    <w:rsid w:val="002B0E36"/>
    <w:rsid w:val="002B1426"/>
    <w:rsid w:val="002B20F9"/>
    <w:rsid w:val="002B2ED8"/>
    <w:rsid w:val="002B4632"/>
    <w:rsid w:val="002B4E67"/>
    <w:rsid w:val="002B632E"/>
    <w:rsid w:val="002B7457"/>
    <w:rsid w:val="002C071D"/>
    <w:rsid w:val="002C2287"/>
    <w:rsid w:val="002C2323"/>
    <w:rsid w:val="002C28F2"/>
    <w:rsid w:val="002C3B7A"/>
    <w:rsid w:val="002C4A15"/>
    <w:rsid w:val="002C4B04"/>
    <w:rsid w:val="002C5B8A"/>
    <w:rsid w:val="002C624F"/>
    <w:rsid w:val="002C657E"/>
    <w:rsid w:val="002C6DA4"/>
    <w:rsid w:val="002D0366"/>
    <w:rsid w:val="002D045C"/>
    <w:rsid w:val="002D0F2E"/>
    <w:rsid w:val="002D165C"/>
    <w:rsid w:val="002D1724"/>
    <w:rsid w:val="002D23A5"/>
    <w:rsid w:val="002D2511"/>
    <w:rsid w:val="002D308D"/>
    <w:rsid w:val="002D309C"/>
    <w:rsid w:val="002D3585"/>
    <w:rsid w:val="002D36D1"/>
    <w:rsid w:val="002D4004"/>
    <w:rsid w:val="002D47E4"/>
    <w:rsid w:val="002D4F33"/>
    <w:rsid w:val="002D5232"/>
    <w:rsid w:val="002D555C"/>
    <w:rsid w:val="002D5B60"/>
    <w:rsid w:val="002D6364"/>
    <w:rsid w:val="002D771B"/>
    <w:rsid w:val="002D7B84"/>
    <w:rsid w:val="002E00EC"/>
    <w:rsid w:val="002E01E1"/>
    <w:rsid w:val="002E0639"/>
    <w:rsid w:val="002E0CC4"/>
    <w:rsid w:val="002E11C4"/>
    <w:rsid w:val="002E151C"/>
    <w:rsid w:val="002E1995"/>
    <w:rsid w:val="002E1CD2"/>
    <w:rsid w:val="002E1D63"/>
    <w:rsid w:val="002E1D6E"/>
    <w:rsid w:val="002E25B7"/>
    <w:rsid w:val="002E3540"/>
    <w:rsid w:val="002E3BDF"/>
    <w:rsid w:val="002E427F"/>
    <w:rsid w:val="002E45E1"/>
    <w:rsid w:val="002E4733"/>
    <w:rsid w:val="002E49EA"/>
    <w:rsid w:val="002E4E58"/>
    <w:rsid w:val="002E4FAF"/>
    <w:rsid w:val="002E51FF"/>
    <w:rsid w:val="002E5859"/>
    <w:rsid w:val="002E6050"/>
    <w:rsid w:val="002E63B4"/>
    <w:rsid w:val="002E645C"/>
    <w:rsid w:val="002E64FE"/>
    <w:rsid w:val="002E6A8B"/>
    <w:rsid w:val="002E6F52"/>
    <w:rsid w:val="002E767A"/>
    <w:rsid w:val="002E7D2C"/>
    <w:rsid w:val="002F06BB"/>
    <w:rsid w:val="002F193D"/>
    <w:rsid w:val="002F1FE3"/>
    <w:rsid w:val="002F20C7"/>
    <w:rsid w:val="002F324F"/>
    <w:rsid w:val="002F3805"/>
    <w:rsid w:val="002F393A"/>
    <w:rsid w:val="002F3F88"/>
    <w:rsid w:val="002F4CEF"/>
    <w:rsid w:val="002F6F63"/>
    <w:rsid w:val="002F70D5"/>
    <w:rsid w:val="002F71D3"/>
    <w:rsid w:val="003001E9"/>
    <w:rsid w:val="0030043E"/>
    <w:rsid w:val="00300ACB"/>
    <w:rsid w:val="003013E8"/>
    <w:rsid w:val="00301827"/>
    <w:rsid w:val="003022E0"/>
    <w:rsid w:val="0030258E"/>
    <w:rsid w:val="00302F8B"/>
    <w:rsid w:val="00303EB6"/>
    <w:rsid w:val="00304EE7"/>
    <w:rsid w:val="003064C2"/>
    <w:rsid w:val="003070B8"/>
    <w:rsid w:val="00310627"/>
    <w:rsid w:val="00310AC6"/>
    <w:rsid w:val="0031126A"/>
    <w:rsid w:val="003113CD"/>
    <w:rsid w:val="003117F7"/>
    <w:rsid w:val="00311972"/>
    <w:rsid w:val="00312474"/>
    <w:rsid w:val="00312658"/>
    <w:rsid w:val="003128E8"/>
    <w:rsid w:val="00312E77"/>
    <w:rsid w:val="00313232"/>
    <w:rsid w:val="003139F9"/>
    <w:rsid w:val="00313A52"/>
    <w:rsid w:val="00313FCF"/>
    <w:rsid w:val="0031415F"/>
    <w:rsid w:val="0031451A"/>
    <w:rsid w:val="00314B0B"/>
    <w:rsid w:val="00314FCA"/>
    <w:rsid w:val="003159C5"/>
    <w:rsid w:val="00315CE2"/>
    <w:rsid w:val="0031632B"/>
    <w:rsid w:val="003163B8"/>
    <w:rsid w:val="00316ABA"/>
    <w:rsid w:val="00316AC0"/>
    <w:rsid w:val="00317ACF"/>
    <w:rsid w:val="00317E87"/>
    <w:rsid w:val="00317EBE"/>
    <w:rsid w:val="00322130"/>
    <w:rsid w:val="0032222F"/>
    <w:rsid w:val="00322E3D"/>
    <w:rsid w:val="00322F2B"/>
    <w:rsid w:val="0032387B"/>
    <w:rsid w:val="00323ACE"/>
    <w:rsid w:val="003242BD"/>
    <w:rsid w:val="00324796"/>
    <w:rsid w:val="00325BB5"/>
    <w:rsid w:val="00325F33"/>
    <w:rsid w:val="00326296"/>
    <w:rsid w:val="0032629B"/>
    <w:rsid w:val="003267A9"/>
    <w:rsid w:val="00326F3C"/>
    <w:rsid w:val="00327359"/>
    <w:rsid w:val="00327B47"/>
    <w:rsid w:val="003307CE"/>
    <w:rsid w:val="003328E2"/>
    <w:rsid w:val="0033294F"/>
    <w:rsid w:val="00332C3C"/>
    <w:rsid w:val="00333B84"/>
    <w:rsid w:val="00333D80"/>
    <w:rsid w:val="00334018"/>
    <w:rsid w:val="0033455F"/>
    <w:rsid w:val="003348BE"/>
    <w:rsid w:val="0033494B"/>
    <w:rsid w:val="00334A82"/>
    <w:rsid w:val="00334E5D"/>
    <w:rsid w:val="00336883"/>
    <w:rsid w:val="003368BC"/>
    <w:rsid w:val="00337565"/>
    <w:rsid w:val="00337575"/>
    <w:rsid w:val="003401CD"/>
    <w:rsid w:val="0034080E"/>
    <w:rsid w:val="00341049"/>
    <w:rsid w:val="00341E53"/>
    <w:rsid w:val="003429D4"/>
    <w:rsid w:val="00343BFB"/>
    <w:rsid w:val="00344B33"/>
    <w:rsid w:val="003453CB"/>
    <w:rsid w:val="003461A2"/>
    <w:rsid w:val="003466FD"/>
    <w:rsid w:val="00347387"/>
    <w:rsid w:val="00347401"/>
    <w:rsid w:val="00347E50"/>
    <w:rsid w:val="003501F4"/>
    <w:rsid w:val="003502D6"/>
    <w:rsid w:val="0035092C"/>
    <w:rsid w:val="00350C91"/>
    <w:rsid w:val="00351127"/>
    <w:rsid w:val="003511C2"/>
    <w:rsid w:val="003526AC"/>
    <w:rsid w:val="00354017"/>
    <w:rsid w:val="003542D4"/>
    <w:rsid w:val="00354645"/>
    <w:rsid w:val="00354732"/>
    <w:rsid w:val="00356053"/>
    <w:rsid w:val="0035633D"/>
    <w:rsid w:val="003570CA"/>
    <w:rsid w:val="00357428"/>
    <w:rsid w:val="003576CF"/>
    <w:rsid w:val="00357DEF"/>
    <w:rsid w:val="00360CC2"/>
    <w:rsid w:val="003613F8"/>
    <w:rsid w:val="00361B8D"/>
    <w:rsid w:val="00362B25"/>
    <w:rsid w:val="00364587"/>
    <w:rsid w:val="00364784"/>
    <w:rsid w:val="00364F8F"/>
    <w:rsid w:val="00365611"/>
    <w:rsid w:val="00366708"/>
    <w:rsid w:val="00366775"/>
    <w:rsid w:val="00366B60"/>
    <w:rsid w:val="00366E4A"/>
    <w:rsid w:val="0036708C"/>
    <w:rsid w:val="003672DF"/>
    <w:rsid w:val="003674F3"/>
    <w:rsid w:val="0036785E"/>
    <w:rsid w:val="00367888"/>
    <w:rsid w:val="003700F4"/>
    <w:rsid w:val="003702F3"/>
    <w:rsid w:val="00370F23"/>
    <w:rsid w:val="003712ED"/>
    <w:rsid w:val="0037149B"/>
    <w:rsid w:val="003714E6"/>
    <w:rsid w:val="00372197"/>
    <w:rsid w:val="0037302B"/>
    <w:rsid w:val="003730B6"/>
    <w:rsid w:val="003731E2"/>
    <w:rsid w:val="0037377B"/>
    <w:rsid w:val="0037495E"/>
    <w:rsid w:val="00374986"/>
    <w:rsid w:val="0037567B"/>
    <w:rsid w:val="003763ED"/>
    <w:rsid w:val="0037655A"/>
    <w:rsid w:val="00376D1C"/>
    <w:rsid w:val="0037760A"/>
    <w:rsid w:val="00380E5D"/>
    <w:rsid w:val="00381435"/>
    <w:rsid w:val="00381E54"/>
    <w:rsid w:val="003825F5"/>
    <w:rsid w:val="00382856"/>
    <w:rsid w:val="00382950"/>
    <w:rsid w:val="00382DFB"/>
    <w:rsid w:val="00383184"/>
    <w:rsid w:val="00383725"/>
    <w:rsid w:val="0038397D"/>
    <w:rsid w:val="00383BCD"/>
    <w:rsid w:val="00384221"/>
    <w:rsid w:val="00384478"/>
    <w:rsid w:val="00384CCC"/>
    <w:rsid w:val="003851BC"/>
    <w:rsid w:val="00386040"/>
    <w:rsid w:val="003866A7"/>
    <w:rsid w:val="0038681D"/>
    <w:rsid w:val="003871D5"/>
    <w:rsid w:val="00387479"/>
    <w:rsid w:val="00387ACC"/>
    <w:rsid w:val="003905E2"/>
    <w:rsid w:val="003908AA"/>
    <w:rsid w:val="00391197"/>
    <w:rsid w:val="00391837"/>
    <w:rsid w:val="00391BA7"/>
    <w:rsid w:val="00391E8A"/>
    <w:rsid w:val="0039233A"/>
    <w:rsid w:val="003923E9"/>
    <w:rsid w:val="00392B45"/>
    <w:rsid w:val="003930CC"/>
    <w:rsid w:val="00393484"/>
    <w:rsid w:val="00393C07"/>
    <w:rsid w:val="00394782"/>
    <w:rsid w:val="00394E52"/>
    <w:rsid w:val="00395FF2"/>
    <w:rsid w:val="00396BB7"/>
    <w:rsid w:val="00396F35"/>
    <w:rsid w:val="0039727F"/>
    <w:rsid w:val="00397587"/>
    <w:rsid w:val="003A03E0"/>
    <w:rsid w:val="003A0991"/>
    <w:rsid w:val="003A2321"/>
    <w:rsid w:val="003A234B"/>
    <w:rsid w:val="003A3176"/>
    <w:rsid w:val="003A4DE9"/>
    <w:rsid w:val="003A4FC3"/>
    <w:rsid w:val="003A55A2"/>
    <w:rsid w:val="003A62AC"/>
    <w:rsid w:val="003A6A18"/>
    <w:rsid w:val="003A6C1E"/>
    <w:rsid w:val="003A7C60"/>
    <w:rsid w:val="003B0A15"/>
    <w:rsid w:val="003B1C15"/>
    <w:rsid w:val="003B1E19"/>
    <w:rsid w:val="003B1E21"/>
    <w:rsid w:val="003B22D9"/>
    <w:rsid w:val="003B3C95"/>
    <w:rsid w:val="003B3E87"/>
    <w:rsid w:val="003B4878"/>
    <w:rsid w:val="003B5E0B"/>
    <w:rsid w:val="003B64F3"/>
    <w:rsid w:val="003B7A56"/>
    <w:rsid w:val="003C10CD"/>
    <w:rsid w:val="003C1872"/>
    <w:rsid w:val="003C20E0"/>
    <w:rsid w:val="003C2803"/>
    <w:rsid w:val="003C376E"/>
    <w:rsid w:val="003C4DBA"/>
    <w:rsid w:val="003C4F07"/>
    <w:rsid w:val="003C4F74"/>
    <w:rsid w:val="003C5A6B"/>
    <w:rsid w:val="003C5AA5"/>
    <w:rsid w:val="003C603A"/>
    <w:rsid w:val="003C7255"/>
    <w:rsid w:val="003C7D13"/>
    <w:rsid w:val="003C7F78"/>
    <w:rsid w:val="003D13B1"/>
    <w:rsid w:val="003D1734"/>
    <w:rsid w:val="003D1F66"/>
    <w:rsid w:val="003D2010"/>
    <w:rsid w:val="003D3D59"/>
    <w:rsid w:val="003D4112"/>
    <w:rsid w:val="003D4678"/>
    <w:rsid w:val="003D46DD"/>
    <w:rsid w:val="003D4868"/>
    <w:rsid w:val="003D4D10"/>
    <w:rsid w:val="003D4DA0"/>
    <w:rsid w:val="003D56BF"/>
    <w:rsid w:val="003D61A0"/>
    <w:rsid w:val="003D64F1"/>
    <w:rsid w:val="003D6B56"/>
    <w:rsid w:val="003D7B98"/>
    <w:rsid w:val="003E0162"/>
    <w:rsid w:val="003E042C"/>
    <w:rsid w:val="003E0CDC"/>
    <w:rsid w:val="003E1D81"/>
    <w:rsid w:val="003E1E24"/>
    <w:rsid w:val="003E1ED7"/>
    <w:rsid w:val="003E2EB1"/>
    <w:rsid w:val="003E3CD2"/>
    <w:rsid w:val="003E466F"/>
    <w:rsid w:val="003E4AEE"/>
    <w:rsid w:val="003E5278"/>
    <w:rsid w:val="003E566B"/>
    <w:rsid w:val="003E652A"/>
    <w:rsid w:val="003E6AB9"/>
    <w:rsid w:val="003E6DEE"/>
    <w:rsid w:val="003E6E2C"/>
    <w:rsid w:val="003E776F"/>
    <w:rsid w:val="003E78F7"/>
    <w:rsid w:val="003E7A55"/>
    <w:rsid w:val="003E7D99"/>
    <w:rsid w:val="003F0061"/>
    <w:rsid w:val="003F07C9"/>
    <w:rsid w:val="003F0882"/>
    <w:rsid w:val="003F0A04"/>
    <w:rsid w:val="003F0B91"/>
    <w:rsid w:val="003F10A1"/>
    <w:rsid w:val="003F1B39"/>
    <w:rsid w:val="003F1E38"/>
    <w:rsid w:val="003F21E7"/>
    <w:rsid w:val="003F22E8"/>
    <w:rsid w:val="003F3205"/>
    <w:rsid w:val="003F3EC5"/>
    <w:rsid w:val="003F4329"/>
    <w:rsid w:val="003F4725"/>
    <w:rsid w:val="003F5378"/>
    <w:rsid w:val="003F59CA"/>
    <w:rsid w:val="003F5CAB"/>
    <w:rsid w:val="003F6332"/>
    <w:rsid w:val="003F69B9"/>
    <w:rsid w:val="003F6B77"/>
    <w:rsid w:val="003F6EA2"/>
    <w:rsid w:val="003F74C4"/>
    <w:rsid w:val="003F7C4E"/>
    <w:rsid w:val="003F7EBC"/>
    <w:rsid w:val="0040035A"/>
    <w:rsid w:val="00400C72"/>
    <w:rsid w:val="004013EA"/>
    <w:rsid w:val="004016C3"/>
    <w:rsid w:val="00401931"/>
    <w:rsid w:val="00402125"/>
    <w:rsid w:val="00404517"/>
    <w:rsid w:val="00405BD6"/>
    <w:rsid w:val="00406015"/>
    <w:rsid w:val="00406082"/>
    <w:rsid w:val="00406BAB"/>
    <w:rsid w:val="00406D5F"/>
    <w:rsid w:val="00406E61"/>
    <w:rsid w:val="00406FC4"/>
    <w:rsid w:val="00407A03"/>
    <w:rsid w:val="00407CF0"/>
    <w:rsid w:val="00410AB4"/>
    <w:rsid w:val="00411066"/>
    <w:rsid w:val="004113B3"/>
    <w:rsid w:val="004119B5"/>
    <w:rsid w:val="00411F9F"/>
    <w:rsid w:val="004125AB"/>
    <w:rsid w:val="00412DA1"/>
    <w:rsid w:val="00413879"/>
    <w:rsid w:val="004138AB"/>
    <w:rsid w:val="00413A04"/>
    <w:rsid w:val="004157A7"/>
    <w:rsid w:val="00415990"/>
    <w:rsid w:val="004166DA"/>
    <w:rsid w:val="00416AEF"/>
    <w:rsid w:val="004179C3"/>
    <w:rsid w:val="004214DB"/>
    <w:rsid w:val="0042155C"/>
    <w:rsid w:val="00421CEA"/>
    <w:rsid w:val="004223FB"/>
    <w:rsid w:val="004238BF"/>
    <w:rsid w:val="0042395D"/>
    <w:rsid w:val="00423AD1"/>
    <w:rsid w:val="00423D16"/>
    <w:rsid w:val="004240E7"/>
    <w:rsid w:val="004243D8"/>
    <w:rsid w:val="00424558"/>
    <w:rsid w:val="00424E2D"/>
    <w:rsid w:val="0042523E"/>
    <w:rsid w:val="00425659"/>
    <w:rsid w:val="00425AAD"/>
    <w:rsid w:val="0042724C"/>
    <w:rsid w:val="004272EE"/>
    <w:rsid w:val="00427988"/>
    <w:rsid w:val="00427D47"/>
    <w:rsid w:val="0043080D"/>
    <w:rsid w:val="00431F8F"/>
    <w:rsid w:val="00432858"/>
    <w:rsid w:val="00433401"/>
    <w:rsid w:val="00433786"/>
    <w:rsid w:val="00434D1B"/>
    <w:rsid w:val="00435C32"/>
    <w:rsid w:val="00435F03"/>
    <w:rsid w:val="00436301"/>
    <w:rsid w:val="004367EF"/>
    <w:rsid w:val="00436C62"/>
    <w:rsid w:val="0043736C"/>
    <w:rsid w:val="00437919"/>
    <w:rsid w:val="00441A14"/>
    <w:rsid w:val="00442CD1"/>
    <w:rsid w:val="00442D6A"/>
    <w:rsid w:val="004432B1"/>
    <w:rsid w:val="00443E68"/>
    <w:rsid w:val="00444E27"/>
    <w:rsid w:val="00446138"/>
    <w:rsid w:val="00447C02"/>
    <w:rsid w:val="00447F10"/>
    <w:rsid w:val="00447F85"/>
    <w:rsid w:val="00447FCE"/>
    <w:rsid w:val="00450733"/>
    <w:rsid w:val="00450F30"/>
    <w:rsid w:val="00451B01"/>
    <w:rsid w:val="004522D4"/>
    <w:rsid w:val="004523D4"/>
    <w:rsid w:val="0045268A"/>
    <w:rsid w:val="00452CB6"/>
    <w:rsid w:val="00453018"/>
    <w:rsid w:val="004533F1"/>
    <w:rsid w:val="004547F3"/>
    <w:rsid w:val="00455EBA"/>
    <w:rsid w:val="00456020"/>
    <w:rsid w:val="004567CE"/>
    <w:rsid w:val="00456883"/>
    <w:rsid w:val="00457EAC"/>
    <w:rsid w:val="0046089C"/>
    <w:rsid w:val="00460985"/>
    <w:rsid w:val="00461379"/>
    <w:rsid w:val="004617BD"/>
    <w:rsid w:val="00461B78"/>
    <w:rsid w:val="00462115"/>
    <w:rsid w:val="0046292E"/>
    <w:rsid w:val="0046476B"/>
    <w:rsid w:val="004648EC"/>
    <w:rsid w:val="00464B33"/>
    <w:rsid w:val="00464BD0"/>
    <w:rsid w:val="00464E67"/>
    <w:rsid w:val="004655E7"/>
    <w:rsid w:val="00465FE2"/>
    <w:rsid w:val="00466183"/>
    <w:rsid w:val="004675E5"/>
    <w:rsid w:val="00467A00"/>
    <w:rsid w:val="0047099D"/>
    <w:rsid w:val="00471AFA"/>
    <w:rsid w:val="00472315"/>
    <w:rsid w:val="00472F95"/>
    <w:rsid w:val="004755DB"/>
    <w:rsid w:val="0047610D"/>
    <w:rsid w:val="00477299"/>
    <w:rsid w:val="0047777B"/>
    <w:rsid w:val="00477D6F"/>
    <w:rsid w:val="00477DFD"/>
    <w:rsid w:val="00477FA4"/>
    <w:rsid w:val="00480607"/>
    <w:rsid w:val="00480B34"/>
    <w:rsid w:val="0048184C"/>
    <w:rsid w:val="00482C8E"/>
    <w:rsid w:val="00483035"/>
    <w:rsid w:val="004831EC"/>
    <w:rsid w:val="004834ED"/>
    <w:rsid w:val="00484339"/>
    <w:rsid w:val="00485280"/>
    <w:rsid w:val="00485676"/>
    <w:rsid w:val="004857E3"/>
    <w:rsid w:val="00485B6E"/>
    <w:rsid w:val="00487925"/>
    <w:rsid w:val="00490272"/>
    <w:rsid w:val="00491487"/>
    <w:rsid w:val="00491C33"/>
    <w:rsid w:val="00491CE2"/>
    <w:rsid w:val="00492D6D"/>
    <w:rsid w:val="00492E84"/>
    <w:rsid w:val="004938DD"/>
    <w:rsid w:val="00493F57"/>
    <w:rsid w:val="004947BC"/>
    <w:rsid w:val="00494817"/>
    <w:rsid w:val="00494A19"/>
    <w:rsid w:val="004951E4"/>
    <w:rsid w:val="00495874"/>
    <w:rsid w:val="00495ED2"/>
    <w:rsid w:val="00496179"/>
    <w:rsid w:val="0049666F"/>
    <w:rsid w:val="004975D9"/>
    <w:rsid w:val="00497EB4"/>
    <w:rsid w:val="004A0318"/>
    <w:rsid w:val="004A1B05"/>
    <w:rsid w:val="004A38B1"/>
    <w:rsid w:val="004A39E3"/>
    <w:rsid w:val="004A3EFB"/>
    <w:rsid w:val="004A52AA"/>
    <w:rsid w:val="004A53F8"/>
    <w:rsid w:val="004A7080"/>
    <w:rsid w:val="004A780F"/>
    <w:rsid w:val="004B06FF"/>
    <w:rsid w:val="004B07AC"/>
    <w:rsid w:val="004B0EDD"/>
    <w:rsid w:val="004B1121"/>
    <w:rsid w:val="004B14A6"/>
    <w:rsid w:val="004B1882"/>
    <w:rsid w:val="004B1EC7"/>
    <w:rsid w:val="004B29CF"/>
    <w:rsid w:val="004B2A8B"/>
    <w:rsid w:val="004B318A"/>
    <w:rsid w:val="004B3813"/>
    <w:rsid w:val="004B4A21"/>
    <w:rsid w:val="004B4B73"/>
    <w:rsid w:val="004B4CC7"/>
    <w:rsid w:val="004B61E6"/>
    <w:rsid w:val="004B6363"/>
    <w:rsid w:val="004B7260"/>
    <w:rsid w:val="004B7637"/>
    <w:rsid w:val="004B7AD7"/>
    <w:rsid w:val="004C0D55"/>
    <w:rsid w:val="004C1131"/>
    <w:rsid w:val="004C1285"/>
    <w:rsid w:val="004C1287"/>
    <w:rsid w:val="004C195B"/>
    <w:rsid w:val="004C1B44"/>
    <w:rsid w:val="004C2C7F"/>
    <w:rsid w:val="004C35B9"/>
    <w:rsid w:val="004C3642"/>
    <w:rsid w:val="004C424B"/>
    <w:rsid w:val="004C486D"/>
    <w:rsid w:val="004C5705"/>
    <w:rsid w:val="004C5EEC"/>
    <w:rsid w:val="004C6554"/>
    <w:rsid w:val="004C6687"/>
    <w:rsid w:val="004C7DD7"/>
    <w:rsid w:val="004D011D"/>
    <w:rsid w:val="004D0190"/>
    <w:rsid w:val="004D0ADF"/>
    <w:rsid w:val="004D11A3"/>
    <w:rsid w:val="004D121E"/>
    <w:rsid w:val="004D13FE"/>
    <w:rsid w:val="004D1C2C"/>
    <w:rsid w:val="004D30A2"/>
    <w:rsid w:val="004D374C"/>
    <w:rsid w:val="004D3FB4"/>
    <w:rsid w:val="004D40A6"/>
    <w:rsid w:val="004D4924"/>
    <w:rsid w:val="004D4A2A"/>
    <w:rsid w:val="004D4A30"/>
    <w:rsid w:val="004D53E2"/>
    <w:rsid w:val="004D5677"/>
    <w:rsid w:val="004D5878"/>
    <w:rsid w:val="004D68AE"/>
    <w:rsid w:val="004D6A8D"/>
    <w:rsid w:val="004D71BF"/>
    <w:rsid w:val="004D74B9"/>
    <w:rsid w:val="004D74F9"/>
    <w:rsid w:val="004D7AED"/>
    <w:rsid w:val="004E08B2"/>
    <w:rsid w:val="004E0ED7"/>
    <w:rsid w:val="004E14F7"/>
    <w:rsid w:val="004E1B23"/>
    <w:rsid w:val="004E3A46"/>
    <w:rsid w:val="004E3FEA"/>
    <w:rsid w:val="004E4056"/>
    <w:rsid w:val="004E4880"/>
    <w:rsid w:val="004E5049"/>
    <w:rsid w:val="004E5717"/>
    <w:rsid w:val="004E5ACA"/>
    <w:rsid w:val="004E5C4A"/>
    <w:rsid w:val="004E5CC7"/>
    <w:rsid w:val="004E678A"/>
    <w:rsid w:val="004E6845"/>
    <w:rsid w:val="004E6AD3"/>
    <w:rsid w:val="004E6BAD"/>
    <w:rsid w:val="004E6FB1"/>
    <w:rsid w:val="004E6FFD"/>
    <w:rsid w:val="004E7EBF"/>
    <w:rsid w:val="004F1140"/>
    <w:rsid w:val="004F1549"/>
    <w:rsid w:val="004F25E9"/>
    <w:rsid w:val="004F450D"/>
    <w:rsid w:val="004F4604"/>
    <w:rsid w:val="004F4AC3"/>
    <w:rsid w:val="004F512C"/>
    <w:rsid w:val="004F5370"/>
    <w:rsid w:val="004F7F3E"/>
    <w:rsid w:val="005006B5"/>
    <w:rsid w:val="00500CC4"/>
    <w:rsid w:val="00501634"/>
    <w:rsid w:val="0050195E"/>
    <w:rsid w:val="00501AF7"/>
    <w:rsid w:val="00502098"/>
    <w:rsid w:val="005036F6"/>
    <w:rsid w:val="00504A07"/>
    <w:rsid w:val="00505271"/>
    <w:rsid w:val="005057FC"/>
    <w:rsid w:val="0050580F"/>
    <w:rsid w:val="0050635D"/>
    <w:rsid w:val="00507910"/>
    <w:rsid w:val="005079FB"/>
    <w:rsid w:val="005101BB"/>
    <w:rsid w:val="005104AD"/>
    <w:rsid w:val="005110C6"/>
    <w:rsid w:val="00511C1F"/>
    <w:rsid w:val="00512CE1"/>
    <w:rsid w:val="005134B4"/>
    <w:rsid w:val="005136B3"/>
    <w:rsid w:val="00515D4D"/>
    <w:rsid w:val="00516831"/>
    <w:rsid w:val="00516DD0"/>
    <w:rsid w:val="00517851"/>
    <w:rsid w:val="00520336"/>
    <w:rsid w:val="00520549"/>
    <w:rsid w:val="005210CA"/>
    <w:rsid w:val="0052181A"/>
    <w:rsid w:val="00522F62"/>
    <w:rsid w:val="00523DA0"/>
    <w:rsid w:val="00523F22"/>
    <w:rsid w:val="00524702"/>
    <w:rsid w:val="00524AD1"/>
    <w:rsid w:val="005259BE"/>
    <w:rsid w:val="005271B6"/>
    <w:rsid w:val="00527DC0"/>
    <w:rsid w:val="0053089D"/>
    <w:rsid w:val="0053102E"/>
    <w:rsid w:val="00531837"/>
    <w:rsid w:val="0053222B"/>
    <w:rsid w:val="00532B0E"/>
    <w:rsid w:val="00533EC1"/>
    <w:rsid w:val="0053483B"/>
    <w:rsid w:val="00534CA2"/>
    <w:rsid w:val="00534E58"/>
    <w:rsid w:val="00535A31"/>
    <w:rsid w:val="00537041"/>
    <w:rsid w:val="005379BA"/>
    <w:rsid w:val="00540229"/>
    <w:rsid w:val="00540E5B"/>
    <w:rsid w:val="00541061"/>
    <w:rsid w:val="005414E0"/>
    <w:rsid w:val="0054174B"/>
    <w:rsid w:val="00541DC1"/>
    <w:rsid w:val="005426BE"/>
    <w:rsid w:val="00542E6C"/>
    <w:rsid w:val="0054301F"/>
    <w:rsid w:val="0054319E"/>
    <w:rsid w:val="00543591"/>
    <w:rsid w:val="00543A05"/>
    <w:rsid w:val="005441DE"/>
    <w:rsid w:val="005445B6"/>
    <w:rsid w:val="005445C9"/>
    <w:rsid w:val="005449DE"/>
    <w:rsid w:val="00547283"/>
    <w:rsid w:val="00547289"/>
    <w:rsid w:val="005477CC"/>
    <w:rsid w:val="005507AC"/>
    <w:rsid w:val="00550F57"/>
    <w:rsid w:val="00551245"/>
    <w:rsid w:val="00552514"/>
    <w:rsid w:val="00552AFF"/>
    <w:rsid w:val="00552E8D"/>
    <w:rsid w:val="00553666"/>
    <w:rsid w:val="00555743"/>
    <w:rsid w:val="005557CC"/>
    <w:rsid w:val="00555DEF"/>
    <w:rsid w:val="005563E4"/>
    <w:rsid w:val="005571FA"/>
    <w:rsid w:val="005574B9"/>
    <w:rsid w:val="0055773E"/>
    <w:rsid w:val="00557F35"/>
    <w:rsid w:val="00561563"/>
    <w:rsid w:val="00562A9F"/>
    <w:rsid w:val="00562B79"/>
    <w:rsid w:val="00562D50"/>
    <w:rsid w:val="0056399E"/>
    <w:rsid w:val="00563A05"/>
    <w:rsid w:val="00563E1C"/>
    <w:rsid w:val="00564265"/>
    <w:rsid w:val="00564773"/>
    <w:rsid w:val="00564DDF"/>
    <w:rsid w:val="0056534A"/>
    <w:rsid w:val="005671C8"/>
    <w:rsid w:val="005679FD"/>
    <w:rsid w:val="00567D4D"/>
    <w:rsid w:val="005723EE"/>
    <w:rsid w:val="00572846"/>
    <w:rsid w:val="0057348C"/>
    <w:rsid w:val="00573675"/>
    <w:rsid w:val="00573968"/>
    <w:rsid w:val="00573EF8"/>
    <w:rsid w:val="00573F45"/>
    <w:rsid w:val="0057518B"/>
    <w:rsid w:val="005754E2"/>
    <w:rsid w:val="0057582D"/>
    <w:rsid w:val="00575CEF"/>
    <w:rsid w:val="00576C73"/>
    <w:rsid w:val="005779BB"/>
    <w:rsid w:val="00577F37"/>
    <w:rsid w:val="0058162E"/>
    <w:rsid w:val="00581AB0"/>
    <w:rsid w:val="00582889"/>
    <w:rsid w:val="00582A9C"/>
    <w:rsid w:val="00583759"/>
    <w:rsid w:val="00585057"/>
    <w:rsid w:val="00587E03"/>
    <w:rsid w:val="00590837"/>
    <w:rsid w:val="005909E3"/>
    <w:rsid w:val="00590F85"/>
    <w:rsid w:val="005927F8"/>
    <w:rsid w:val="00592A3D"/>
    <w:rsid w:val="005934DA"/>
    <w:rsid w:val="00593A86"/>
    <w:rsid w:val="00593DB5"/>
    <w:rsid w:val="00594195"/>
    <w:rsid w:val="005942E9"/>
    <w:rsid w:val="00594BB1"/>
    <w:rsid w:val="00596746"/>
    <w:rsid w:val="005972D8"/>
    <w:rsid w:val="00597603"/>
    <w:rsid w:val="005977E3"/>
    <w:rsid w:val="00597B28"/>
    <w:rsid w:val="005A0710"/>
    <w:rsid w:val="005A20AA"/>
    <w:rsid w:val="005A2260"/>
    <w:rsid w:val="005A2C58"/>
    <w:rsid w:val="005A2D8E"/>
    <w:rsid w:val="005A3220"/>
    <w:rsid w:val="005A3912"/>
    <w:rsid w:val="005A40B4"/>
    <w:rsid w:val="005A43FD"/>
    <w:rsid w:val="005A47D1"/>
    <w:rsid w:val="005A4BBA"/>
    <w:rsid w:val="005A5708"/>
    <w:rsid w:val="005B0B93"/>
    <w:rsid w:val="005B0E35"/>
    <w:rsid w:val="005B1198"/>
    <w:rsid w:val="005B1ADF"/>
    <w:rsid w:val="005B1EE1"/>
    <w:rsid w:val="005B3255"/>
    <w:rsid w:val="005B3397"/>
    <w:rsid w:val="005B3679"/>
    <w:rsid w:val="005B3DFD"/>
    <w:rsid w:val="005B4014"/>
    <w:rsid w:val="005B43D2"/>
    <w:rsid w:val="005B48D7"/>
    <w:rsid w:val="005B4A6F"/>
    <w:rsid w:val="005B4C0C"/>
    <w:rsid w:val="005B68BE"/>
    <w:rsid w:val="005B7158"/>
    <w:rsid w:val="005B777C"/>
    <w:rsid w:val="005B79E5"/>
    <w:rsid w:val="005B7FEB"/>
    <w:rsid w:val="005C1126"/>
    <w:rsid w:val="005C1E6B"/>
    <w:rsid w:val="005C24D6"/>
    <w:rsid w:val="005C2585"/>
    <w:rsid w:val="005C30B7"/>
    <w:rsid w:val="005C4432"/>
    <w:rsid w:val="005C48A2"/>
    <w:rsid w:val="005C6446"/>
    <w:rsid w:val="005C64DC"/>
    <w:rsid w:val="005C65B6"/>
    <w:rsid w:val="005C68DE"/>
    <w:rsid w:val="005C6D2A"/>
    <w:rsid w:val="005D01E1"/>
    <w:rsid w:val="005D0822"/>
    <w:rsid w:val="005D09F0"/>
    <w:rsid w:val="005D0E9B"/>
    <w:rsid w:val="005D13A4"/>
    <w:rsid w:val="005D1827"/>
    <w:rsid w:val="005D20B7"/>
    <w:rsid w:val="005D23D6"/>
    <w:rsid w:val="005D27B7"/>
    <w:rsid w:val="005D2A26"/>
    <w:rsid w:val="005D2BC4"/>
    <w:rsid w:val="005D2C79"/>
    <w:rsid w:val="005D2D10"/>
    <w:rsid w:val="005D324D"/>
    <w:rsid w:val="005D3E02"/>
    <w:rsid w:val="005D3F22"/>
    <w:rsid w:val="005D47BE"/>
    <w:rsid w:val="005D5113"/>
    <w:rsid w:val="005D625B"/>
    <w:rsid w:val="005E09BB"/>
    <w:rsid w:val="005E0A35"/>
    <w:rsid w:val="005E142F"/>
    <w:rsid w:val="005E15B8"/>
    <w:rsid w:val="005E297F"/>
    <w:rsid w:val="005E2995"/>
    <w:rsid w:val="005E2A6E"/>
    <w:rsid w:val="005E300E"/>
    <w:rsid w:val="005E34D6"/>
    <w:rsid w:val="005E398F"/>
    <w:rsid w:val="005E3BCD"/>
    <w:rsid w:val="005E3C32"/>
    <w:rsid w:val="005E4F8C"/>
    <w:rsid w:val="005E501D"/>
    <w:rsid w:val="005E5995"/>
    <w:rsid w:val="005E6742"/>
    <w:rsid w:val="005E6C7A"/>
    <w:rsid w:val="005E6DDE"/>
    <w:rsid w:val="005E6E0D"/>
    <w:rsid w:val="005E70AD"/>
    <w:rsid w:val="005E72D1"/>
    <w:rsid w:val="005E7FB6"/>
    <w:rsid w:val="005F006D"/>
    <w:rsid w:val="005F0F1C"/>
    <w:rsid w:val="005F122D"/>
    <w:rsid w:val="005F1A92"/>
    <w:rsid w:val="005F21C1"/>
    <w:rsid w:val="005F322D"/>
    <w:rsid w:val="005F3274"/>
    <w:rsid w:val="005F3742"/>
    <w:rsid w:val="005F3A61"/>
    <w:rsid w:val="005F4B49"/>
    <w:rsid w:val="005F5041"/>
    <w:rsid w:val="005F5A89"/>
    <w:rsid w:val="005F5C15"/>
    <w:rsid w:val="005F5E68"/>
    <w:rsid w:val="005F64EC"/>
    <w:rsid w:val="005F7875"/>
    <w:rsid w:val="005F7B71"/>
    <w:rsid w:val="006002DC"/>
    <w:rsid w:val="006006A3"/>
    <w:rsid w:val="00600E15"/>
    <w:rsid w:val="00600F66"/>
    <w:rsid w:val="006010FE"/>
    <w:rsid w:val="00601BF0"/>
    <w:rsid w:val="00601EE1"/>
    <w:rsid w:val="00602BB5"/>
    <w:rsid w:val="00602DA3"/>
    <w:rsid w:val="006072E4"/>
    <w:rsid w:val="006104BA"/>
    <w:rsid w:val="006110D7"/>
    <w:rsid w:val="0061395D"/>
    <w:rsid w:val="006141F9"/>
    <w:rsid w:val="00614290"/>
    <w:rsid w:val="0061440B"/>
    <w:rsid w:val="0061468D"/>
    <w:rsid w:val="0061595E"/>
    <w:rsid w:val="00615DEC"/>
    <w:rsid w:val="00615FF5"/>
    <w:rsid w:val="006161BE"/>
    <w:rsid w:val="00616690"/>
    <w:rsid w:val="00617B79"/>
    <w:rsid w:val="00617FF6"/>
    <w:rsid w:val="00620FD1"/>
    <w:rsid w:val="0062113D"/>
    <w:rsid w:val="006219DA"/>
    <w:rsid w:val="00621DAF"/>
    <w:rsid w:val="00622020"/>
    <w:rsid w:val="006225B8"/>
    <w:rsid w:val="006234F7"/>
    <w:rsid w:val="0062411F"/>
    <w:rsid w:val="006242F2"/>
    <w:rsid w:val="0062455E"/>
    <w:rsid w:val="00624AE7"/>
    <w:rsid w:val="00624C0D"/>
    <w:rsid w:val="00624F8C"/>
    <w:rsid w:val="00624FAB"/>
    <w:rsid w:val="00625285"/>
    <w:rsid w:val="00625B17"/>
    <w:rsid w:val="00625CBD"/>
    <w:rsid w:val="00625D92"/>
    <w:rsid w:val="00626860"/>
    <w:rsid w:val="006269C8"/>
    <w:rsid w:val="00630594"/>
    <w:rsid w:val="00630873"/>
    <w:rsid w:val="0063089C"/>
    <w:rsid w:val="006316BA"/>
    <w:rsid w:val="00631F50"/>
    <w:rsid w:val="006332D8"/>
    <w:rsid w:val="006335A7"/>
    <w:rsid w:val="00633927"/>
    <w:rsid w:val="00633E43"/>
    <w:rsid w:val="00633F47"/>
    <w:rsid w:val="006343E7"/>
    <w:rsid w:val="0063464A"/>
    <w:rsid w:val="0063469A"/>
    <w:rsid w:val="006347E0"/>
    <w:rsid w:val="00634C00"/>
    <w:rsid w:val="0063525A"/>
    <w:rsid w:val="00635399"/>
    <w:rsid w:val="0063649D"/>
    <w:rsid w:val="0063685E"/>
    <w:rsid w:val="00636D41"/>
    <w:rsid w:val="00640237"/>
    <w:rsid w:val="00640709"/>
    <w:rsid w:val="00640ACE"/>
    <w:rsid w:val="006411BE"/>
    <w:rsid w:val="006412B2"/>
    <w:rsid w:val="00641896"/>
    <w:rsid w:val="00641FD9"/>
    <w:rsid w:val="00642D40"/>
    <w:rsid w:val="00642EC9"/>
    <w:rsid w:val="00642FA1"/>
    <w:rsid w:val="00643BC3"/>
    <w:rsid w:val="00643C5B"/>
    <w:rsid w:val="006442D5"/>
    <w:rsid w:val="006444CE"/>
    <w:rsid w:val="00645012"/>
    <w:rsid w:val="006454EF"/>
    <w:rsid w:val="0064723A"/>
    <w:rsid w:val="0065018C"/>
    <w:rsid w:val="00650B83"/>
    <w:rsid w:val="00650F9D"/>
    <w:rsid w:val="00651243"/>
    <w:rsid w:val="006514B0"/>
    <w:rsid w:val="006518BB"/>
    <w:rsid w:val="00651A43"/>
    <w:rsid w:val="00651B2D"/>
    <w:rsid w:val="0065251F"/>
    <w:rsid w:val="006526B1"/>
    <w:rsid w:val="0065312F"/>
    <w:rsid w:val="0065423E"/>
    <w:rsid w:val="006550C5"/>
    <w:rsid w:val="0065598B"/>
    <w:rsid w:val="00655FEF"/>
    <w:rsid w:val="006562B6"/>
    <w:rsid w:val="00656A1F"/>
    <w:rsid w:val="00657205"/>
    <w:rsid w:val="00657522"/>
    <w:rsid w:val="00657D88"/>
    <w:rsid w:val="00657DF8"/>
    <w:rsid w:val="00657E7C"/>
    <w:rsid w:val="006612E3"/>
    <w:rsid w:val="0066139A"/>
    <w:rsid w:val="006615B5"/>
    <w:rsid w:val="00661EEF"/>
    <w:rsid w:val="006623CD"/>
    <w:rsid w:val="00662B45"/>
    <w:rsid w:val="00664890"/>
    <w:rsid w:val="00665396"/>
    <w:rsid w:val="006655D7"/>
    <w:rsid w:val="00666003"/>
    <w:rsid w:val="00666026"/>
    <w:rsid w:val="00666FF1"/>
    <w:rsid w:val="00667070"/>
    <w:rsid w:val="006676D7"/>
    <w:rsid w:val="006677CD"/>
    <w:rsid w:val="00667A32"/>
    <w:rsid w:val="0067037B"/>
    <w:rsid w:val="00670CB9"/>
    <w:rsid w:val="00670DB3"/>
    <w:rsid w:val="006715CC"/>
    <w:rsid w:val="0067198F"/>
    <w:rsid w:val="00673365"/>
    <w:rsid w:val="0067363E"/>
    <w:rsid w:val="00673837"/>
    <w:rsid w:val="006748E7"/>
    <w:rsid w:val="00675996"/>
    <w:rsid w:val="00675C31"/>
    <w:rsid w:val="0067662F"/>
    <w:rsid w:val="006772D3"/>
    <w:rsid w:val="006775CA"/>
    <w:rsid w:val="00680EB8"/>
    <w:rsid w:val="00681424"/>
    <w:rsid w:val="006823D8"/>
    <w:rsid w:val="0068240A"/>
    <w:rsid w:val="00682704"/>
    <w:rsid w:val="00682A31"/>
    <w:rsid w:val="00683523"/>
    <w:rsid w:val="006843A5"/>
    <w:rsid w:val="0068495A"/>
    <w:rsid w:val="006860D0"/>
    <w:rsid w:val="006862A3"/>
    <w:rsid w:val="006868AE"/>
    <w:rsid w:val="00687DB5"/>
    <w:rsid w:val="00690132"/>
    <w:rsid w:val="00690596"/>
    <w:rsid w:val="006916E9"/>
    <w:rsid w:val="0069254F"/>
    <w:rsid w:val="006925C3"/>
    <w:rsid w:val="00692CC1"/>
    <w:rsid w:val="006930AD"/>
    <w:rsid w:val="006942BB"/>
    <w:rsid w:val="00696BCD"/>
    <w:rsid w:val="0069779D"/>
    <w:rsid w:val="00697EBD"/>
    <w:rsid w:val="006A001F"/>
    <w:rsid w:val="006A0820"/>
    <w:rsid w:val="006A08CF"/>
    <w:rsid w:val="006A1530"/>
    <w:rsid w:val="006A165D"/>
    <w:rsid w:val="006A18CC"/>
    <w:rsid w:val="006A1940"/>
    <w:rsid w:val="006A196E"/>
    <w:rsid w:val="006A2942"/>
    <w:rsid w:val="006A3941"/>
    <w:rsid w:val="006A3963"/>
    <w:rsid w:val="006A39FF"/>
    <w:rsid w:val="006A3A11"/>
    <w:rsid w:val="006A507A"/>
    <w:rsid w:val="006A57A6"/>
    <w:rsid w:val="006A6009"/>
    <w:rsid w:val="006A621A"/>
    <w:rsid w:val="006A7779"/>
    <w:rsid w:val="006A7C00"/>
    <w:rsid w:val="006B0D81"/>
    <w:rsid w:val="006B0F6D"/>
    <w:rsid w:val="006B1A9E"/>
    <w:rsid w:val="006B1CDB"/>
    <w:rsid w:val="006B1EF6"/>
    <w:rsid w:val="006B230B"/>
    <w:rsid w:val="006B3495"/>
    <w:rsid w:val="006B3E9F"/>
    <w:rsid w:val="006B4BBE"/>
    <w:rsid w:val="006B4F95"/>
    <w:rsid w:val="006B5BB9"/>
    <w:rsid w:val="006B7E5A"/>
    <w:rsid w:val="006C019A"/>
    <w:rsid w:val="006C01A1"/>
    <w:rsid w:val="006C04E8"/>
    <w:rsid w:val="006C0D1B"/>
    <w:rsid w:val="006C0F17"/>
    <w:rsid w:val="006C16F0"/>
    <w:rsid w:val="006C18FA"/>
    <w:rsid w:val="006C224C"/>
    <w:rsid w:val="006C2CAA"/>
    <w:rsid w:val="006C36BB"/>
    <w:rsid w:val="006C3C04"/>
    <w:rsid w:val="006C46F6"/>
    <w:rsid w:val="006C4B13"/>
    <w:rsid w:val="006C549B"/>
    <w:rsid w:val="006C554B"/>
    <w:rsid w:val="006C5569"/>
    <w:rsid w:val="006C5FF8"/>
    <w:rsid w:val="006C7214"/>
    <w:rsid w:val="006C7451"/>
    <w:rsid w:val="006D01D8"/>
    <w:rsid w:val="006D0640"/>
    <w:rsid w:val="006D06E2"/>
    <w:rsid w:val="006D0AC1"/>
    <w:rsid w:val="006D0EF1"/>
    <w:rsid w:val="006D11CC"/>
    <w:rsid w:val="006D2E99"/>
    <w:rsid w:val="006D3025"/>
    <w:rsid w:val="006D3935"/>
    <w:rsid w:val="006D3BCF"/>
    <w:rsid w:val="006D5182"/>
    <w:rsid w:val="006D548C"/>
    <w:rsid w:val="006D6501"/>
    <w:rsid w:val="006D6716"/>
    <w:rsid w:val="006D6845"/>
    <w:rsid w:val="006D6F11"/>
    <w:rsid w:val="006D740A"/>
    <w:rsid w:val="006D7F01"/>
    <w:rsid w:val="006E03E1"/>
    <w:rsid w:val="006E045E"/>
    <w:rsid w:val="006E0FCA"/>
    <w:rsid w:val="006E1ACF"/>
    <w:rsid w:val="006E1EB8"/>
    <w:rsid w:val="006E1F68"/>
    <w:rsid w:val="006E213C"/>
    <w:rsid w:val="006E22D6"/>
    <w:rsid w:val="006E2F59"/>
    <w:rsid w:val="006E307F"/>
    <w:rsid w:val="006E4B97"/>
    <w:rsid w:val="006E51CC"/>
    <w:rsid w:val="006E54E8"/>
    <w:rsid w:val="006E5F55"/>
    <w:rsid w:val="006E60BE"/>
    <w:rsid w:val="006E62A3"/>
    <w:rsid w:val="006E6C5C"/>
    <w:rsid w:val="006E791B"/>
    <w:rsid w:val="006E79CF"/>
    <w:rsid w:val="006E7C3E"/>
    <w:rsid w:val="006F03DA"/>
    <w:rsid w:val="006F0548"/>
    <w:rsid w:val="006F0AE4"/>
    <w:rsid w:val="006F1214"/>
    <w:rsid w:val="006F1788"/>
    <w:rsid w:val="006F1AE7"/>
    <w:rsid w:val="006F461F"/>
    <w:rsid w:val="006F492E"/>
    <w:rsid w:val="006F5185"/>
    <w:rsid w:val="006F53E4"/>
    <w:rsid w:val="006F5D5E"/>
    <w:rsid w:val="006F6434"/>
    <w:rsid w:val="006F6496"/>
    <w:rsid w:val="006F6C0D"/>
    <w:rsid w:val="006F6E74"/>
    <w:rsid w:val="006F6EEF"/>
    <w:rsid w:val="00700058"/>
    <w:rsid w:val="0070059D"/>
    <w:rsid w:val="00700730"/>
    <w:rsid w:val="007009E9"/>
    <w:rsid w:val="00700D13"/>
    <w:rsid w:val="00701761"/>
    <w:rsid w:val="00701EBC"/>
    <w:rsid w:val="0070214B"/>
    <w:rsid w:val="007021CF"/>
    <w:rsid w:val="0070275D"/>
    <w:rsid w:val="00702F40"/>
    <w:rsid w:val="007036B2"/>
    <w:rsid w:val="00703B99"/>
    <w:rsid w:val="00704117"/>
    <w:rsid w:val="00704971"/>
    <w:rsid w:val="00704D06"/>
    <w:rsid w:val="00704E56"/>
    <w:rsid w:val="00705124"/>
    <w:rsid w:val="00705A88"/>
    <w:rsid w:val="00705AEB"/>
    <w:rsid w:val="00705E7B"/>
    <w:rsid w:val="00706FA3"/>
    <w:rsid w:val="00707892"/>
    <w:rsid w:val="00710C22"/>
    <w:rsid w:val="00710D49"/>
    <w:rsid w:val="00711095"/>
    <w:rsid w:val="007119FB"/>
    <w:rsid w:val="00712489"/>
    <w:rsid w:val="00714A8B"/>
    <w:rsid w:val="00714EF5"/>
    <w:rsid w:val="007151A0"/>
    <w:rsid w:val="00715207"/>
    <w:rsid w:val="0071599F"/>
    <w:rsid w:val="00716213"/>
    <w:rsid w:val="00716999"/>
    <w:rsid w:val="00716A9C"/>
    <w:rsid w:val="007170D3"/>
    <w:rsid w:val="007171E0"/>
    <w:rsid w:val="0071777B"/>
    <w:rsid w:val="00717866"/>
    <w:rsid w:val="00717ECA"/>
    <w:rsid w:val="00720109"/>
    <w:rsid w:val="007209CF"/>
    <w:rsid w:val="00720D42"/>
    <w:rsid w:val="0072150A"/>
    <w:rsid w:val="0072190B"/>
    <w:rsid w:val="00722D56"/>
    <w:rsid w:val="007230B2"/>
    <w:rsid w:val="00723ADF"/>
    <w:rsid w:val="00724402"/>
    <w:rsid w:val="00725723"/>
    <w:rsid w:val="00725BE9"/>
    <w:rsid w:val="00725F77"/>
    <w:rsid w:val="00726E5C"/>
    <w:rsid w:val="00727887"/>
    <w:rsid w:val="007278A9"/>
    <w:rsid w:val="00727F6D"/>
    <w:rsid w:val="00730A15"/>
    <w:rsid w:val="00730CFD"/>
    <w:rsid w:val="00731662"/>
    <w:rsid w:val="00731BA5"/>
    <w:rsid w:val="00732213"/>
    <w:rsid w:val="00732BCD"/>
    <w:rsid w:val="00733F58"/>
    <w:rsid w:val="0073418E"/>
    <w:rsid w:val="00734614"/>
    <w:rsid w:val="00734BEA"/>
    <w:rsid w:val="00734C8A"/>
    <w:rsid w:val="00734CB0"/>
    <w:rsid w:val="007354EB"/>
    <w:rsid w:val="00735E1B"/>
    <w:rsid w:val="00736423"/>
    <w:rsid w:val="007367AD"/>
    <w:rsid w:val="007372EA"/>
    <w:rsid w:val="00740606"/>
    <w:rsid w:val="007406B0"/>
    <w:rsid w:val="007418C0"/>
    <w:rsid w:val="00742480"/>
    <w:rsid w:val="00744480"/>
    <w:rsid w:val="00744A6F"/>
    <w:rsid w:val="00744B85"/>
    <w:rsid w:val="00745010"/>
    <w:rsid w:val="0074530B"/>
    <w:rsid w:val="00745ABF"/>
    <w:rsid w:val="00745C94"/>
    <w:rsid w:val="00745E01"/>
    <w:rsid w:val="00746B17"/>
    <w:rsid w:val="00746B1C"/>
    <w:rsid w:val="0074750F"/>
    <w:rsid w:val="00747BDE"/>
    <w:rsid w:val="00747F98"/>
    <w:rsid w:val="00750F71"/>
    <w:rsid w:val="00751613"/>
    <w:rsid w:val="007516A0"/>
    <w:rsid w:val="007517FF"/>
    <w:rsid w:val="00751F48"/>
    <w:rsid w:val="00752BD4"/>
    <w:rsid w:val="00752CD2"/>
    <w:rsid w:val="00752E42"/>
    <w:rsid w:val="00753A55"/>
    <w:rsid w:val="0075426B"/>
    <w:rsid w:val="007546F4"/>
    <w:rsid w:val="00754B4E"/>
    <w:rsid w:val="00754C8A"/>
    <w:rsid w:val="00755B7F"/>
    <w:rsid w:val="00755D98"/>
    <w:rsid w:val="007565D8"/>
    <w:rsid w:val="0075668E"/>
    <w:rsid w:val="007566A6"/>
    <w:rsid w:val="00756778"/>
    <w:rsid w:val="007608A5"/>
    <w:rsid w:val="00760AFE"/>
    <w:rsid w:val="007619D2"/>
    <w:rsid w:val="00761BF4"/>
    <w:rsid w:val="007629FC"/>
    <w:rsid w:val="00765417"/>
    <w:rsid w:val="007654A2"/>
    <w:rsid w:val="007654ED"/>
    <w:rsid w:val="0076604C"/>
    <w:rsid w:val="00766281"/>
    <w:rsid w:val="007663C2"/>
    <w:rsid w:val="00766429"/>
    <w:rsid w:val="00766540"/>
    <w:rsid w:val="007665AC"/>
    <w:rsid w:val="00766CBB"/>
    <w:rsid w:val="00766CD0"/>
    <w:rsid w:val="00767305"/>
    <w:rsid w:val="007674FC"/>
    <w:rsid w:val="00767971"/>
    <w:rsid w:val="00767E3E"/>
    <w:rsid w:val="00767EF4"/>
    <w:rsid w:val="00767FBF"/>
    <w:rsid w:val="0077085A"/>
    <w:rsid w:val="0077110B"/>
    <w:rsid w:val="007712FB"/>
    <w:rsid w:val="0077158F"/>
    <w:rsid w:val="007715AB"/>
    <w:rsid w:val="0077195F"/>
    <w:rsid w:val="0077201E"/>
    <w:rsid w:val="0077223A"/>
    <w:rsid w:val="007723DE"/>
    <w:rsid w:val="0077272F"/>
    <w:rsid w:val="0077352A"/>
    <w:rsid w:val="007736CD"/>
    <w:rsid w:val="00773853"/>
    <w:rsid w:val="00773A3B"/>
    <w:rsid w:val="007749AF"/>
    <w:rsid w:val="00774E73"/>
    <w:rsid w:val="007759AF"/>
    <w:rsid w:val="007768B0"/>
    <w:rsid w:val="0077714A"/>
    <w:rsid w:val="0077776E"/>
    <w:rsid w:val="007779D4"/>
    <w:rsid w:val="0078065D"/>
    <w:rsid w:val="007807F1"/>
    <w:rsid w:val="00780C0D"/>
    <w:rsid w:val="00780CDD"/>
    <w:rsid w:val="00780D53"/>
    <w:rsid w:val="00781791"/>
    <w:rsid w:val="00781B32"/>
    <w:rsid w:val="007826BA"/>
    <w:rsid w:val="00782A36"/>
    <w:rsid w:val="007833AB"/>
    <w:rsid w:val="00783B1A"/>
    <w:rsid w:val="00783EB0"/>
    <w:rsid w:val="007843ED"/>
    <w:rsid w:val="00784909"/>
    <w:rsid w:val="00785493"/>
    <w:rsid w:val="0078573C"/>
    <w:rsid w:val="00786AAF"/>
    <w:rsid w:val="00786F31"/>
    <w:rsid w:val="00790E77"/>
    <w:rsid w:val="007911FF"/>
    <w:rsid w:val="0079215C"/>
    <w:rsid w:val="00792559"/>
    <w:rsid w:val="0079274E"/>
    <w:rsid w:val="0079431F"/>
    <w:rsid w:val="00794320"/>
    <w:rsid w:val="0079448C"/>
    <w:rsid w:val="007944C0"/>
    <w:rsid w:val="00794F52"/>
    <w:rsid w:val="00794FB7"/>
    <w:rsid w:val="00795BD2"/>
    <w:rsid w:val="00795C00"/>
    <w:rsid w:val="0079675E"/>
    <w:rsid w:val="007967B2"/>
    <w:rsid w:val="00796AB0"/>
    <w:rsid w:val="007A0297"/>
    <w:rsid w:val="007A03EA"/>
    <w:rsid w:val="007A0AB7"/>
    <w:rsid w:val="007A1764"/>
    <w:rsid w:val="007A1BAA"/>
    <w:rsid w:val="007A2F15"/>
    <w:rsid w:val="007A3343"/>
    <w:rsid w:val="007A5184"/>
    <w:rsid w:val="007A7A53"/>
    <w:rsid w:val="007A7CE9"/>
    <w:rsid w:val="007B059B"/>
    <w:rsid w:val="007B0FF2"/>
    <w:rsid w:val="007B1178"/>
    <w:rsid w:val="007B11DD"/>
    <w:rsid w:val="007B17CF"/>
    <w:rsid w:val="007B22B3"/>
    <w:rsid w:val="007B3351"/>
    <w:rsid w:val="007B365D"/>
    <w:rsid w:val="007B3A65"/>
    <w:rsid w:val="007B4276"/>
    <w:rsid w:val="007B42F8"/>
    <w:rsid w:val="007B56D3"/>
    <w:rsid w:val="007B5E9B"/>
    <w:rsid w:val="007B6105"/>
    <w:rsid w:val="007B6591"/>
    <w:rsid w:val="007B68DC"/>
    <w:rsid w:val="007B713B"/>
    <w:rsid w:val="007B757D"/>
    <w:rsid w:val="007B7D22"/>
    <w:rsid w:val="007C03E5"/>
    <w:rsid w:val="007C08B1"/>
    <w:rsid w:val="007C13B3"/>
    <w:rsid w:val="007C1864"/>
    <w:rsid w:val="007C34FF"/>
    <w:rsid w:val="007C4B45"/>
    <w:rsid w:val="007C557F"/>
    <w:rsid w:val="007C56A5"/>
    <w:rsid w:val="007C57ED"/>
    <w:rsid w:val="007C59EC"/>
    <w:rsid w:val="007C611C"/>
    <w:rsid w:val="007C7044"/>
    <w:rsid w:val="007C7BD2"/>
    <w:rsid w:val="007C7C9C"/>
    <w:rsid w:val="007C7D5F"/>
    <w:rsid w:val="007D18FB"/>
    <w:rsid w:val="007D2028"/>
    <w:rsid w:val="007D254C"/>
    <w:rsid w:val="007D2E75"/>
    <w:rsid w:val="007D32EA"/>
    <w:rsid w:val="007D33AE"/>
    <w:rsid w:val="007D3652"/>
    <w:rsid w:val="007D3B73"/>
    <w:rsid w:val="007D3CE5"/>
    <w:rsid w:val="007D3E07"/>
    <w:rsid w:val="007D4251"/>
    <w:rsid w:val="007D68D2"/>
    <w:rsid w:val="007D68DD"/>
    <w:rsid w:val="007D6ABA"/>
    <w:rsid w:val="007D6B2B"/>
    <w:rsid w:val="007D7337"/>
    <w:rsid w:val="007D7598"/>
    <w:rsid w:val="007E0BA8"/>
    <w:rsid w:val="007E1232"/>
    <w:rsid w:val="007E218F"/>
    <w:rsid w:val="007E2809"/>
    <w:rsid w:val="007E281A"/>
    <w:rsid w:val="007E2D03"/>
    <w:rsid w:val="007E3A17"/>
    <w:rsid w:val="007E3E32"/>
    <w:rsid w:val="007E4F0C"/>
    <w:rsid w:val="007E62ED"/>
    <w:rsid w:val="007E631A"/>
    <w:rsid w:val="007E6BDB"/>
    <w:rsid w:val="007E6EDE"/>
    <w:rsid w:val="007E6F4B"/>
    <w:rsid w:val="007E7BE6"/>
    <w:rsid w:val="007F1731"/>
    <w:rsid w:val="007F1C9D"/>
    <w:rsid w:val="007F1E47"/>
    <w:rsid w:val="007F1E8F"/>
    <w:rsid w:val="007F269E"/>
    <w:rsid w:val="007F2EB9"/>
    <w:rsid w:val="007F3237"/>
    <w:rsid w:val="007F4B2B"/>
    <w:rsid w:val="007F4BD3"/>
    <w:rsid w:val="007F6423"/>
    <w:rsid w:val="007F7252"/>
    <w:rsid w:val="007F7333"/>
    <w:rsid w:val="007F76C5"/>
    <w:rsid w:val="007F7A80"/>
    <w:rsid w:val="007F7D66"/>
    <w:rsid w:val="00800127"/>
    <w:rsid w:val="008003CA"/>
    <w:rsid w:val="0080076A"/>
    <w:rsid w:val="008008FA"/>
    <w:rsid w:val="00801A79"/>
    <w:rsid w:val="00805E7A"/>
    <w:rsid w:val="00805F41"/>
    <w:rsid w:val="00806145"/>
    <w:rsid w:val="0080622A"/>
    <w:rsid w:val="008065D3"/>
    <w:rsid w:val="00806A88"/>
    <w:rsid w:val="008078B8"/>
    <w:rsid w:val="00807A43"/>
    <w:rsid w:val="00807FC3"/>
    <w:rsid w:val="00810478"/>
    <w:rsid w:val="00811A3D"/>
    <w:rsid w:val="00811ACC"/>
    <w:rsid w:val="00812D56"/>
    <w:rsid w:val="00812D66"/>
    <w:rsid w:val="00812E5B"/>
    <w:rsid w:val="0081431C"/>
    <w:rsid w:val="00814BAD"/>
    <w:rsid w:val="00816969"/>
    <w:rsid w:val="008171B1"/>
    <w:rsid w:val="0081743D"/>
    <w:rsid w:val="008176EF"/>
    <w:rsid w:val="008177AB"/>
    <w:rsid w:val="00817DE9"/>
    <w:rsid w:val="00817F3F"/>
    <w:rsid w:val="00821013"/>
    <w:rsid w:val="008212D7"/>
    <w:rsid w:val="00821390"/>
    <w:rsid w:val="0082153E"/>
    <w:rsid w:val="00821570"/>
    <w:rsid w:val="0082177E"/>
    <w:rsid w:val="00821E6A"/>
    <w:rsid w:val="00822182"/>
    <w:rsid w:val="008224C4"/>
    <w:rsid w:val="00822855"/>
    <w:rsid w:val="008230BF"/>
    <w:rsid w:val="00823F79"/>
    <w:rsid w:val="00824EB2"/>
    <w:rsid w:val="008258A6"/>
    <w:rsid w:val="0082722B"/>
    <w:rsid w:val="00830095"/>
    <w:rsid w:val="00831C6D"/>
    <w:rsid w:val="00832832"/>
    <w:rsid w:val="00833733"/>
    <w:rsid w:val="00833B68"/>
    <w:rsid w:val="00834CB1"/>
    <w:rsid w:val="00835178"/>
    <w:rsid w:val="0083595E"/>
    <w:rsid w:val="0083734D"/>
    <w:rsid w:val="008378B0"/>
    <w:rsid w:val="00840DEA"/>
    <w:rsid w:val="00841654"/>
    <w:rsid w:val="00841B4E"/>
    <w:rsid w:val="00841DF3"/>
    <w:rsid w:val="0084241C"/>
    <w:rsid w:val="008432F6"/>
    <w:rsid w:val="00844039"/>
    <w:rsid w:val="00844861"/>
    <w:rsid w:val="008449EB"/>
    <w:rsid w:val="00845646"/>
    <w:rsid w:val="00845E51"/>
    <w:rsid w:val="00846E59"/>
    <w:rsid w:val="0085066A"/>
    <w:rsid w:val="00850706"/>
    <w:rsid w:val="0085070B"/>
    <w:rsid w:val="008517D3"/>
    <w:rsid w:val="008521EA"/>
    <w:rsid w:val="0085255D"/>
    <w:rsid w:val="008525CB"/>
    <w:rsid w:val="00852C30"/>
    <w:rsid w:val="00852FCE"/>
    <w:rsid w:val="00853574"/>
    <w:rsid w:val="008536DA"/>
    <w:rsid w:val="0085370A"/>
    <w:rsid w:val="008541B7"/>
    <w:rsid w:val="00854748"/>
    <w:rsid w:val="0085515F"/>
    <w:rsid w:val="008554C6"/>
    <w:rsid w:val="00855C5D"/>
    <w:rsid w:val="008562FA"/>
    <w:rsid w:val="00856425"/>
    <w:rsid w:val="00856FBA"/>
    <w:rsid w:val="00857144"/>
    <w:rsid w:val="00861572"/>
    <w:rsid w:val="0086160A"/>
    <w:rsid w:val="008625F8"/>
    <w:rsid w:val="008626F9"/>
    <w:rsid w:val="00862C93"/>
    <w:rsid w:val="0086332D"/>
    <w:rsid w:val="00863467"/>
    <w:rsid w:val="00863954"/>
    <w:rsid w:val="008646EE"/>
    <w:rsid w:val="00864B27"/>
    <w:rsid w:val="00864E39"/>
    <w:rsid w:val="008661E7"/>
    <w:rsid w:val="00867FA8"/>
    <w:rsid w:val="0087005F"/>
    <w:rsid w:val="00870483"/>
    <w:rsid w:val="00870E85"/>
    <w:rsid w:val="00870F83"/>
    <w:rsid w:val="00871200"/>
    <w:rsid w:val="008714F4"/>
    <w:rsid w:val="0087185F"/>
    <w:rsid w:val="00871BE9"/>
    <w:rsid w:val="00872438"/>
    <w:rsid w:val="008724B3"/>
    <w:rsid w:val="00872A27"/>
    <w:rsid w:val="008733D4"/>
    <w:rsid w:val="008739CB"/>
    <w:rsid w:val="00873BDF"/>
    <w:rsid w:val="00874A19"/>
    <w:rsid w:val="00874B49"/>
    <w:rsid w:val="00874C79"/>
    <w:rsid w:val="00875403"/>
    <w:rsid w:val="00875A88"/>
    <w:rsid w:val="00875C4D"/>
    <w:rsid w:val="00875D52"/>
    <w:rsid w:val="0087648C"/>
    <w:rsid w:val="0087651F"/>
    <w:rsid w:val="008767F5"/>
    <w:rsid w:val="00877278"/>
    <w:rsid w:val="00877DF8"/>
    <w:rsid w:val="008803D7"/>
    <w:rsid w:val="008807BD"/>
    <w:rsid w:val="008815C7"/>
    <w:rsid w:val="008817C8"/>
    <w:rsid w:val="00881CA9"/>
    <w:rsid w:val="0088232C"/>
    <w:rsid w:val="0088348E"/>
    <w:rsid w:val="0088377E"/>
    <w:rsid w:val="00883973"/>
    <w:rsid w:val="00884268"/>
    <w:rsid w:val="008849E4"/>
    <w:rsid w:val="00885C70"/>
    <w:rsid w:val="00885D29"/>
    <w:rsid w:val="00885E46"/>
    <w:rsid w:val="00886746"/>
    <w:rsid w:val="00886E28"/>
    <w:rsid w:val="008900DE"/>
    <w:rsid w:val="00890616"/>
    <w:rsid w:val="0089094A"/>
    <w:rsid w:val="00891060"/>
    <w:rsid w:val="008916D2"/>
    <w:rsid w:val="00891A27"/>
    <w:rsid w:val="00891EFB"/>
    <w:rsid w:val="00892D16"/>
    <w:rsid w:val="00893BAB"/>
    <w:rsid w:val="00893BBE"/>
    <w:rsid w:val="0089476F"/>
    <w:rsid w:val="00894E05"/>
    <w:rsid w:val="00894EF5"/>
    <w:rsid w:val="008958EB"/>
    <w:rsid w:val="00895B66"/>
    <w:rsid w:val="00895D86"/>
    <w:rsid w:val="00896A63"/>
    <w:rsid w:val="00896E9F"/>
    <w:rsid w:val="0089716F"/>
    <w:rsid w:val="00897685"/>
    <w:rsid w:val="0089773A"/>
    <w:rsid w:val="008A0E0C"/>
    <w:rsid w:val="008A20B7"/>
    <w:rsid w:val="008A26F6"/>
    <w:rsid w:val="008A2D51"/>
    <w:rsid w:val="008A3122"/>
    <w:rsid w:val="008A32E0"/>
    <w:rsid w:val="008A33B8"/>
    <w:rsid w:val="008A3E77"/>
    <w:rsid w:val="008A43E8"/>
    <w:rsid w:val="008A44A9"/>
    <w:rsid w:val="008A48CA"/>
    <w:rsid w:val="008A6823"/>
    <w:rsid w:val="008A69F8"/>
    <w:rsid w:val="008A73B8"/>
    <w:rsid w:val="008A7F83"/>
    <w:rsid w:val="008B0567"/>
    <w:rsid w:val="008B08AD"/>
    <w:rsid w:val="008B0EBE"/>
    <w:rsid w:val="008B106D"/>
    <w:rsid w:val="008B355F"/>
    <w:rsid w:val="008B37E5"/>
    <w:rsid w:val="008B4D21"/>
    <w:rsid w:val="008B4D7E"/>
    <w:rsid w:val="008B5220"/>
    <w:rsid w:val="008B684F"/>
    <w:rsid w:val="008B6BAF"/>
    <w:rsid w:val="008B6E13"/>
    <w:rsid w:val="008B725F"/>
    <w:rsid w:val="008B7D9D"/>
    <w:rsid w:val="008C03C6"/>
    <w:rsid w:val="008C0608"/>
    <w:rsid w:val="008C0B98"/>
    <w:rsid w:val="008C1CCD"/>
    <w:rsid w:val="008C2226"/>
    <w:rsid w:val="008C2402"/>
    <w:rsid w:val="008C2F67"/>
    <w:rsid w:val="008C38A4"/>
    <w:rsid w:val="008C491D"/>
    <w:rsid w:val="008C4D09"/>
    <w:rsid w:val="008C61FD"/>
    <w:rsid w:val="008C7730"/>
    <w:rsid w:val="008D037D"/>
    <w:rsid w:val="008D04C1"/>
    <w:rsid w:val="008D08AF"/>
    <w:rsid w:val="008D0BF6"/>
    <w:rsid w:val="008D1234"/>
    <w:rsid w:val="008D17ED"/>
    <w:rsid w:val="008D18AA"/>
    <w:rsid w:val="008D1B68"/>
    <w:rsid w:val="008D28C1"/>
    <w:rsid w:val="008D44E8"/>
    <w:rsid w:val="008D552C"/>
    <w:rsid w:val="008D7B12"/>
    <w:rsid w:val="008D7EA5"/>
    <w:rsid w:val="008E1643"/>
    <w:rsid w:val="008E1C1D"/>
    <w:rsid w:val="008E1E58"/>
    <w:rsid w:val="008E259B"/>
    <w:rsid w:val="008E3633"/>
    <w:rsid w:val="008E36B9"/>
    <w:rsid w:val="008E3C85"/>
    <w:rsid w:val="008E45AE"/>
    <w:rsid w:val="008E4956"/>
    <w:rsid w:val="008E496D"/>
    <w:rsid w:val="008E4A29"/>
    <w:rsid w:val="008E4BFE"/>
    <w:rsid w:val="008E5570"/>
    <w:rsid w:val="008E55C6"/>
    <w:rsid w:val="008E5A2D"/>
    <w:rsid w:val="008E6A21"/>
    <w:rsid w:val="008E7947"/>
    <w:rsid w:val="008F027A"/>
    <w:rsid w:val="008F0A4C"/>
    <w:rsid w:val="008F0B75"/>
    <w:rsid w:val="008F0B7B"/>
    <w:rsid w:val="008F0EB7"/>
    <w:rsid w:val="008F133E"/>
    <w:rsid w:val="008F1580"/>
    <w:rsid w:val="008F1DC2"/>
    <w:rsid w:val="008F28F1"/>
    <w:rsid w:val="008F3234"/>
    <w:rsid w:val="008F367D"/>
    <w:rsid w:val="008F434F"/>
    <w:rsid w:val="008F5AAE"/>
    <w:rsid w:val="008F63C3"/>
    <w:rsid w:val="008F6988"/>
    <w:rsid w:val="008F727D"/>
    <w:rsid w:val="008F737C"/>
    <w:rsid w:val="00900974"/>
    <w:rsid w:val="00900AA9"/>
    <w:rsid w:val="00900B00"/>
    <w:rsid w:val="00900DD0"/>
    <w:rsid w:val="00901E5A"/>
    <w:rsid w:val="00902033"/>
    <w:rsid w:val="00902538"/>
    <w:rsid w:val="00902BF0"/>
    <w:rsid w:val="0090368E"/>
    <w:rsid w:val="00903A37"/>
    <w:rsid w:val="00904F3F"/>
    <w:rsid w:val="0090508B"/>
    <w:rsid w:val="009050AB"/>
    <w:rsid w:val="009051CB"/>
    <w:rsid w:val="009063AA"/>
    <w:rsid w:val="00906544"/>
    <w:rsid w:val="0090684E"/>
    <w:rsid w:val="00906C11"/>
    <w:rsid w:val="00906ED3"/>
    <w:rsid w:val="009070D3"/>
    <w:rsid w:val="009073D8"/>
    <w:rsid w:val="009074FE"/>
    <w:rsid w:val="009107F6"/>
    <w:rsid w:val="009109C4"/>
    <w:rsid w:val="00910C9F"/>
    <w:rsid w:val="00910EF9"/>
    <w:rsid w:val="00911ECD"/>
    <w:rsid w:val="00912526"/>
    <w:rsid w:val="00912A25"/>
    <w:rsid w:val="00912F4D"/>
    <w:rsid w:val="00913E1D"/>
    <w:rsid w:val="00914E86"/>
    <w:rsid w:val="00914F0B"/>
    <w:rsid w:val="00915659"/>
    <w:rsid w:val="009171D3"/>
    <w:rsid w:val="0092022E"/>
    <w:rsid w:val="009203CB"/>
    <w:rsid w:val="00920CFB"/>
    <w:rsid w:val="0092106C"/>
    <w:rsid w:val="0092113F"/>
    <w:rsid w:val="009211F1"/>
    <w:rsid w:val="00921761"/>
    <w:rsid w:val="00922081"/>
    <w:rsid w:val="0092220C"/>
    <w:rsid w:val="00923453"/>
    <w:rsid w:val="00923561"/>
    <w:rsid w:val="00923EE5"/>
    <w:rsid w:val="009249E7"/>
    <w:rsid w:val="0092572E"/>
    <w:rsid w:val="0092719C"/>
    <w:rsid w:val="009302F7"/>
    <w:rsid w:val="00932A5A"/>
    <w:rsid w:val="0093302A"/>
    <w:rsid w:val="0093324C"/>
    <w:rsid w:val="00933ABF"/>
    <w:rsid w:val="00933B80"/>
    <w:rsid w:val="00934159"/>
    <w:rsid w:val="00934B70"/>
    <w:rsid w:val="00935130"/>
    <w:rsid w:val="009358EE"/>
    <w:rsid w:val="00935BD7"/>
    <w:rsid w:val="009363B8"/>
    <w:rsid w:val="00937C17"/>
    <w:rsid w:val="00937F5B"/>
    <w:rsid w:val="00940342"/>
    <w:rsid w:val="00940571"/>
    <w:rsid w:val="0094086B"/>
    <w:rsid w:val="00940890"/>
    <w:rsid w:val="009413AE"/>
    <w:rsid w:val="009415DC"/>
    <w:rsid w:val="00942318"/>
    <w:rsid w:val="00942E1F"/>
    <w:rsid w:val="00942F92"/>
    <w:rsid w:val="00943169"/>
    <w:rsid w:val="009434B1"/>
    <w:rsid w:val="0094410C"/>
    <w:rsid w:val="00944961"/>
    <w:rsid w:val="00946F89"/>
    <w:rsid w:val="00950070"/>
    <w:rsid w:val="00950EA5"/>
    <w:rsid w:val="009515E0"/>
    <w:rsid w:val="00951C22"/>
    <w:rsid w:val="00951CBB"/>
    <w:rsid w:val="00951F90"/>
    <w:rsid w:val="00953083"/>
    <w:rsid w:val="009531BB"/>
    <w:rsid w:val="00953757"/>
    <w:rsid w:val="00954E35"/>
    <w:rsid w:val="00955F92"/>
    <w:rsid w:val="00956431"/>
    <w:rsid w:val="00956695"/>
    <w:rsid w:val="0095671D"/>
    <w:rsid w:val="00956BEF"/>
    <w:rsid w:val="00956C1A"/>
    <w:rsid w:val="00956EE6"/>
    <w:rsid w:val="00956F55"/>
    <w:rsid w:val="00957541"/>
    <w:rsid w:val="00957981"/>
    <w:rsid w:val="00957E6D"/>
    <w:rsid w:val="00961CED"/>
    <w:rsid w:val="00961D15"/>
    <w:rsid w:val="0096223E"/>
    <w:rsid w:val="009629C9"/>
    <w:rsid w:val="00962D41"/>
    <w:rsid w:val="00962E75"/>
    <w:rsid w:val="009631CA"/>
    <w:rsid w:val="00963491"/>
    <w:rsid w:val="00963B2A"/>
    <w:rsid w:val="00964B76"/>
    <w:rsid w:val="00964C4E"/>
    <w:rsid w:val="00964DAC"/>
    <w:rsid w:val="00964EB9"/>
    <w:rsid w:val="0096533F"/>
    <w:rsid w:val="00965426"/>
    <w:rsid w:val="00965680"/>
    <w:rsid w:val="00965B94"/>
    <w:rsid w:val="00965FE5"/>
    <w:rsid w:val="009662CA"/>
    <w:rsid w:val="0096657E"/>
    <w:rsid w:val="009666DD"/>
    <w:rsid w:val="00967362"/>
    <w:rsid w:val="009703FD"/>
    <w:rsid w:val="0097110C"/>
    <w:rsid w:val="00971921"/>
    <w:rsid w:val="009720AC"/>
    <w:rsid w:val="00972846"/>
    <w:rsid w:val="0097332B"/>
    <w:rsid w:val="00973B88"/>
    <w:rsid w:val="00973E31"/>
    <w:rsid w:val="00974206"/>
    <w:rsid w:val="00974FFF"/>
    <w:rsid w:val="00975125"/>
    <w:rsid w:val="00975CD5"/>
    <w:rsid w:val="00976987"/>
    <w:rsid w:val="009806AF"/>
    <w:rsid w:val="009806C6"/>
    <w:rsid w:val="00980DAD"/>
    <w:rsid w:val="0098157B"/>
    <w:rsid w:val="00982557"/>
    <w:rsid w:val="00982A3E"/>
    <w:rsid w:val="00982BB9"/>
    <w:rsid w:val="009830EF"/>
    <w:rsid w:val="00983262"/>
    <w:rsid w:val="009833E0"/>
    <w:rsid w:val="009836FD"/>
    <w:rsid w:val="00985883"/>
    <w:rsid w:val="00985EBE"/>
    <w:rsid w:val="009863F8"/>
    <w:rsid w:val="00986B2B"/>
    <w:rsid w:val="00987116"/>
    <w:rsid w:val="0098718B"/>
    <w:rsid w:val="0098758B"/>
    <w:rsid w:val="00987D1F"/>
    <w:rsid w:val="00990BEF"/>
    <w:rsid w:val="00991527"/>
    <w:rsid w:val="0099188A"/>
    <w:rsid w:val="009919AF"/>
    <w:rsid w:val="00992A46"/>
    <w:rsid w:val="00993017"/>
    <w:rsid w:val="0099381D"/>
    <w:rsid w:val="00993F13"/>
    <w:rsid w:val="00994070"/>
    <w:rsid w:val="00994761"/>
    <w:rsid w:val="009947B7"/>
    <w:rsid w:val="00994C45"/>
    <w:rsid w:val="00996038"/>
    <w:rsid w:val="00996752"/>
    <w:rsid w:val="00997102"/>
    <w:rsid w:val="009973F1"/>
    <w:rsid w:val="0099753C"/>
    <w:rsid w:val="009A07E0"/>
    <w:rsid w:val="009A09AD"/>
    <w:rsid w:val="009A13DE"/>
    <w:rsid w:val="009A1648"/>
    <w:rsid w:val="009A16D2"/>
    <w:rsid w:val="009A1F12"/>
    <w:rsid w:val="009A2B0B"/>
    <w:rsid w:val="009A3A00"/>
    <w:rsid w:val="009A48C1"/>
    <w:rsid w:val="009A4B89"/>
    <w:rsid w:val="009A4D1D"/>
    <w:rsid w:val="009A52AB"/>
    <w:rsid w:val="009A5E6B"/>
    <w:rsid w:val="009A67D9"/>
    <w:rsid w:val="009A68D8"/>
    <w:rsid w:val="009A6B47"/>
    <w:rsid w:val="009B0EAD"/>
    <w:rsid w:val="009B1B19"/>
    <w:rsid w:val="009B277C"/>
    <w:rsid w:val="009B2B61"/>
    <w:rsid w:val="009B4236"/>
    <w:rsid w:val="009B4538"/>
    <w:rsid w:val="009B4572"/>
    <w:rsid w:val="009B52DC"/>
    <w:rsid w:val="009B5442"/>
    <w:rsid w:val="009B6062"/>
    <w:rsid w:val="009B612F"/>
    <w:rsid w:val="009B64DC"/>
    <w:rsid w:val="009B7193"/>
    <w:rsid w:val="009B72CA"/>
    <w:rsid w:val="009C021F"/>
    <w:rsid w:val="009C0229"/>
    <w:rsid w:val="009C0DDC"/>
    <w:rsid w:val="009C1023"/>
    <w:rsid w:val="009C102D"/>
    <w:rsid w:val="009C1442"/>
    <w:rsid w:val="009C1BDA"/>
    <w:rsid w:val="009C2197"/>
    <w:rsid w:val="009C21F7"/>
    <w:rsid w:val="009C2291"/>
    <w:rsid w:val="009C2C3A"/>
    <w:rsid w:val="009C32B1"/>
    <w:rsid w:val="009C3505"/>
    <w:rsid w:val="009C3519"/>
    <w:rsid w:val="009C4820"/>
    <w:rsid w:val="009C5C58"/>
    <w:rsid w:val="009C6A7D"/>
    <w:rsid w:val="009C732A"/>
    <w:rsid w:val="009C77F8"/>
    <w:rsid w:val="009D0D0C"/>
    <w:rsid w:val="009D0EFD"/>
    <w:rsid w:val="009D1339"/>
    <w:rsid w:val="009D14F7"/>
    <w:rsid w:val="009D163A"/>
    <w:rsid w:val="009D21EE"/>
    <w:rsid w:val="009D32CA"/>
    <w:rsid w:val="009D3C38"/>
    <w:rsid w:val="009D4250"/>
    <w:rsid w:val="009D4382"/>
    <w:rsid w:val="009D5682"/>
    <w:rsid w:val="009D5900"/>
    <w:rsid w:val="009D67F3"/>
    <w:rsid w:val="009D7AC1"/>
    <w:rsid w:val="009E0243"/>
    <w:rsid w:val="009E0510"/>
    <w:rsid w:val="009E06A6"/>
    <w:rsid w:val="009E21AF"/>
    <w:rsid w:val="009E4CA1"/>
    <w:rsid w:val="009E4E2E"/>
    <w:rsid w:val="009E52D6"/>
    <w:rsid w:val="009E57CB"/>
    <w:rsid w:val="009E5BDB"/>
    <w:rsid w:val="009E5FC3"/>
    <w:rsid w:val="009E684E"/>
    <w:rsid w:val="009E6A36"/>
    <w:rsid w:val="009E6F1C"/>
    <w:rsid w:val="009E721E"/>
    <w:rsid w:val="009F03F9"/>
    <w:rsid w:val="009F1710"/>
    <w:rsid w:val="009F38E2"/>
    <w:rsid w:val="009F3B02"/>
    <w:rsid w:val="009F3F8A"/>
    <w:rsid w:val="009F448E"/>
    <w:rsid w:val="009F45D5"/>
    <w:rsid w:val="009F481A"/>
    <w:rsid w:val="009F4885"/>
    <w:rsid w:val="009F54D7"/>
    <w:rsid w:val="009F6194"/>
    <w:rsid w:val="009F6A3E"/>
    <w:rsid w:val="009F6BC9"/>
    <w:rsid w:val="009F778B"/>
    <w:rsid w:val="009F784E"/>
    <w:rsid w:val="009F7E29"/>
    <w:rsid w:val="00A00199"/>
    <w:rsid w:val="00A00A93"/>
    <w:rsid w:val="00A00C09"/>
    <w:rsid w:val="00A01DEB"/>
    <w:rsid w:val="00A0293C"/>
    <w:rsid w:val="00A02CE4"/>
    <w:rsid w:val="00A03E61"/>
    <w:rsid w:val="00A052E0"/>
    <w:rsid w:val="00A05A70"/>
    <w:rsid w:val="00A05C1B"/>
    <w:rsid w:val="00A06CAB"/>
    <w:rsid w:val="00A06F7A"/>
    <w:rsid w:val="00A0713D"/>
    <w:rsid w:val="00A10A97"/>
    <w:rsid w:val="00A10DAF"/>
    <w:rsid w:val="00A11438"/>
    <w:rsid w:val="00A11794"/>
    <w:rsid w:val="00A1259E"/>
    <w:rsid w:val="00A12A5A"/>
    <w:rsid w:val="00A14511"/>
    <w:rsid w:val="00A14C0F"/>
    <w:rsid w:val="00A14E57"/>
    <w:rsid w:val="00A152D7"/>
    <w:rsid w:val="00A157D7"/>
    <w:rsid w:val="00A15A91"/>
    <w:rsid w:val="00A168EF"/>
    <w:rsid w:val="00A171E0"/>
    <w:rsid w:val="00A17F98"/>
    <w:rsid w:val="00A2009D"/>
    <w:rsid w:val="00A2039F"/>
    <w:rsid w:val="00A203CE"/>
    <w:rsid w:val="00A20673"/>
    <w:rsid w:val="00A20ADD"/>
    <w:rsid w:val="00A21ABA"/>
    <w:rsid w:val="00A21B5E"/>
    <w:rsid w:val="00A21D21"/>
    <w:rsid w:val="00A21E7C"/>
    <w:rsid w:val="00A23563"/>
    <w:rsid w:val="00A241FA"/>
    <w:rsid w:val="00A24A20"/>
    <w:rsid w:val="00A25811"/>
    <w:rsid w:val="00A25F33"/>
    <w:rsid w:val="00A26659"/>
    <w:rsid w:val="00A266AD"/>
    <w:rsid w:val="00A26EDC"/>
    <w:rsid w:val="00A307DD"/>
    <w:rsid w:val="00A30A10"/>
    <w:rsid w:val="00A31994"/>
    <w:rsid w:val="00A32A73"/>
    <w:rsid w:val="00A33AC8"/>
    <w:rsid w:val="00A33C1B"/>
    <w:rsid w:val="00A34030"/>
    <w:rsid w:val="00A34C36"/>
    <w:rsid w:val="00A34F7C"/>
    <w:rsid w:val="00A360B8"/>
    <w:rsid w:val="00A36543"/>
    <w:rsid w:val="00A3756B"/>
    <w:rsid w:val="00A40667"/>
    <w:rsid w:val="00A408EB"/>
    <w:rsid w:val="00A41023"/>
    <w:rsid w:val="00A4104C"/>
    <w:rsid w:val="00A41D92"/>
    <w:rsid w:val="00A421E6"/>
    <w:rsid w:val="00A42518"/>
    <w:rsid w:val="00A42BDC"/>
    <w:rsid w:val="00A42FE8"/>
    <w:rsid w:val="00A435C5"/>
    <w:rsid w:val="00A44EC9"/>
    <w:rsid w:val="00A4699C"/>
    <w:rsid w:val="00A46B2A"/>
    <w:rsid w:val="00A474E3"/>
    <w:rsid w:val="00A513B7"/>
    <w:rsid w:val="00A5146E"/>
    <w:rsid w:val="00A516B3"/>
    <w:rsid w:val="00A52098"/>
    <w:rsid w:val="00A52AA5"/>
    <w:rsid w:val="00A530F9"/>
    <w:rsid w:val="00A53680"/>
    <w:rsid w:val="00A53AA4"/>
    <w:rsid w:val="00A54257"/>
    <w:rsid w:val="00A548FB"/>
    <w:rsid w:val="00A548FC"/>
    <w:rsid w:val="00A56297"/>
    <w:rsid w:val="00A57D89"/>
    <w:rsid w:val="00A606D8"/>
    <w:rsid w:val="00A60859"/>
    <w:rsid w:val="00A60D14"/>
    <w:rsid w:val="00A61073"/>
    <w:rsid w:val="00A61699"/>
    <w:rsid w:val="00A62487"/>
    <w:rsid w:val="00A624DE"/>
    <w:rsid w:val="00A6374F"/>
    <w:rsid w:val="00A63831"/>
    <w:rsid w:val="00A63EFD"/>
    <w:rsid w:val="00A64199"/>
    <w:rsid w:val="00A64451"/>
    <w:rsid w:val="00A6482F"/>
    <w:rsid w:val="00A64CE2"/>
    <w:rsid w:val="00A64ED4"/>
    <w:rsid w:val="00A65278"/>
    <w:rsid w:val="00A66B0C"/>
    <w:rsid w:val="00A71DDD"/>
    <w:rsid w:val="00A7259F"/>
    <w:rsid w:val="00A72E92"/>
    <w:rsid w:val="00A72ECE"/>
    <w:rsid w:val="00A7351C"/>
    <w:rsid w:val="00A73BCD"/>
    <w:rsid w:val="00A74134"/>
    <w:rsid w:val="00A7479F"/>
    <w:rsid w:val="00A747B9"/>
    <w:rsid w:val="00A74822"/>
    <w:rsid w:val="00A74849"/>
    <w:rsid w:val="00A74B0E"/>
    <w:rsid w:val="00A7502B"/>
    <w:rsid w:val="00A7517D"/>
    <w:rsid w:val="00A753EA"/>
    <w:rsid w:val="00A75A23"/>
    <w:rsid w:val="00A76452"/>
    <w:rsid w:val="00A766F1"/>
    <w:rsid w:val="00A76868"/>
    <w:rsid w:val="00A7686B"/>
    <w:rsid w:val="00A76AF6"/>
    <w:rsid w:val="00A77315"/>
    <w:rsid w:val="00A77D7B"/>
    <w:rsid w:val="00A8185F"/>
    <w:rsid w:val="00A81A7E"/>
    <w:rsid w:val="00A81AA4"/>
    <w:rsid w:val="00A824B7"/>
    <w:rsid w:val="00A82B85"/>
    <w:rsid w:val="00A835D5"/>
    <w:rsid w:val="00A839E7"/>
    <w:rsid w:val="00A84F6A"/>
    <w:rsid w:val="00A85013"/>
    <w:rsid w:val="00A852B4"/>
    <w:rsid w:val="00A85D3A"/>
    <w:rsid w:val="00A86AFA"/>
    <w:rsid w:val="00A87022"/>
    <w:rsid w:val="00A92CC9"/>
    <w:rsid w:val="00A933B6"/>
    <w:rsid w:val="00A934D8"/>
    <w:rsid w:val="00A93548"/>
    <w:rsid w:val="00A9374B"/>
    <w:rsid w:val="00A940EB"/>
    <w:rsid w:val="00A948E3"/>
    <w:rsid w:val="00A95735"/>
    <w:rsid w:val="00A95F28"/>
    <w:rsid w:val="00A963C9"/>
    <w:rsid w:val="00A968FA"/>
    <w:rsid w:val="00A96C64"/>
    <w:rsid w:val="00A970BE"/>
    <w:rsid w:val="00A970C8"/>
    <w:rsid w:val="00AA015A"/>
    <w:rsid w:val="00AA0573"/>
    <w:rsid w:val="00AA0BE9"/>
    <w:rsid w:val="00AA14D1"/>
    <w:rsid w:val="00AA1A4F"/>
    <w:rsid w:val="00AA2261"/>
    <w:rsid w:val="00AA41C3"/>
    <w:rsid w:val="00AA551E"/>
    <w:rsid w:val="00AA5B8E"/>
    <w:rsid w:val="00AA6467"/>
    <w:rsid w:val="00AA6F6C"/>
    <w:rsid w:val="00AA7B6C"/>
    <w:rsid w:val="00AA7F02"/>
    <w:rsid w:val="00AA7FA0"/>
    <w:rsid w:val="00AB0027"/>
    <w:rsid w:val="00AB02D2"/>
    <w:rsid w:val="00AB0BF1"/>
    <w:rsid w:val="00AB0F45"/>
    <w:rsid w:val="00AB0F7B"/>
    <w:rsid w:val="00AB17A2"/>
    <w:rsid w:val="00AB1D4C"/>
    <w:rsid w:val="00AB1D6A"/>
    <w:rsid w:val="00AB272D"/>
    <w:rsid w:val="00AB29B0"/>
    <w:rsid w:val="00AB37DD"/>
    <w:rsid w:val="00AB4956"/>
    <w:rsid w:val="00AB4B3D"/>
    <w:rsid w:val="00AB5C7B"/>
    <w:rsid w:val="00AB6154"/>
    <w:rsid w:val="00AB618D"/>
    <w:rsid w:val="00AB6DB4"/>
    <w:rsid w:val="00AB700D"/>
    <w:rsid w:val="00AB749C"/>
    <w:rsid w:val="00AB77C6"/>
    <w:rsid w:val="00AB7B0A"/>
    <w:rsid w:val="00AC00CC"/>
    <w:rsid w:val="00AC01AD"/>
    <w:rsid w:val="00AC02FC"/>
    <w:rsid w:val="00AC0A01"/>
    <w:rsid w:val="00AC1281"/>
    <w:rsid w:val="00AC1AF7"/>
    <w:rsid w:val="00AC2169"/>
    <w:rsid w:val="00AC2611"/>
    <w:rsid w:val="00AC3805"/>
    <w:rsid w:val="00AC3845"/>
    <w:rsid w:val="00AC39C8"/>
    <w:rsid w:val="00AC3A58"/>
    <w:rsid w:val="00AC412E"/>
    <w:rsid w:val="00AC495C"/>
    <w:rsid w:val="00AC50BA"/>
    <w:rsid w:val="00AC5C0E"/>
    <w:rsid w:val="00AC6283"/>
    <w:rsid w:val="00AC69EB"/>
    <w:rsid w:val="00AD00A2"/>
    <w:rsid w:val="00AD02AC"/>
    <w:rsid w:val="00AD0A6F"/>
    <w:rsid w:val="00AD0F99"/>
    <w:rsid w:val="00AD0FCA"/>
    <w:rsid w:val="00AD1D9F"/>
    <w:rsid w:val="00AD2197"/>
    <w:rsid w:val="00AD2901"/>
    <w:rsid w:val="00AD2BE9"/>
    <w:rsid w:val="00AD386B"/>
    <w:rsid w:val="00AD3C4A"/>
    <w:rsid w:val="00AD45C6"/>
    <w:rsid w:val="00AD4825"/>
    <w:rsid w:val="00AD4EC9"/>
    <w:rsid w:val="00AD510A"/>
    <w:rsid w:val="00AD641B"/>
    <w:rsid w:val="00AD65AD"/>
    <w:rsid w:val="00AD6693"/>
    <w:rsid w:val="00AD7096"/>
    <w:rsid w:val="00AD7C82"/>
    <w:rsid w:val="00AE04D8"/>
    <w:rsid w:val="00AE0D94"/>
    <w:rsid w:val="00AE2098"/>
    <w:rsid w:val="00AE34EA"/>
    <w:rsid w:val="00AE4019"/>
    <w:rsid w:val="00AE467F"/>
    <w:rsid w:val="00AE5B1D"/>
    <w:rsid w:val="00AE64F9"/>
    <w:rsid w:val="00AE6558"/>
    <w:rsid w:val="00AF0225"/>
    <w:rsid w:val="00AF0E3C"/>
    <w:rsid w:val="00AF167D"/>
    <w:rsid w:val="00AF1FAD"/>
    <w:rsid w:val="00AF22BA"/>
    <w:rsid w:val="00AF333E"/>
    <w:rsid w:val="00AF46D7"/>
    <w:rsid w:val="00AF4A6E"/>
    <w:rsid w:val="00AF5856"/>
    <w:rsid w:val="00AF5F09"/>
    <w:rsid w:val="00AF5F5D"/>
    <w:rsid w:val="00AF61F4"/>
    <w:rsid w:val="00AF6C3D"/>
    <w:rsid w:val="00AF6F0A"/>
    <w:rsid w:val="00AF73B5"/>
    <w:rsid w:val="00B014F4"/>
    <w:rsid w:val="00B01578"/>
    <w:rsid w:val="00B01B23"/>
    <w:rsid w:val="00B025E5"/>
    <w:rsid w:val="00B026E2"/>
    <w:rsid w:val="00B03606"/>
    <w:rsid w:val="00B038BB"/>
    <w:rsid w:val="00B03A42"/>
    <w:rsid w:val="00B03DA6"/>
    <w:rsid w:val="00B03DED"/>
    <w:rsid w:val="00B03E19"/>
    <w:rsid w:val="00B04B9C"/>
    <w:rsid w:val="00B052C6"/>
    <w:rsid w:val="00B05A7D"/>
    <w:rsid w:val="00B05B77"/>
    <w:rsid w:val="00B05EEC"/>
    <w:rsid w:val="00B0655F"/>
    <w:rsid w:val="00B068C6"/>
    <w:rsid w:val="00B072B1"/>
    <w:rsid w:val="00B079B4"/>
    <w:rsid w:val="00B10C19"/>
    <w:rsid w:val="00B10ED0"/>
    <w:rsid w:val="00B11302"/>
    <w:rsid w:val="00B11372"/>
    <w:rsid w:val="00B118D0"/>
    <w:rsid w:val="00B118EA"/>
    <w:rsid w:val="00B119D4"/>
    <w:rsid w:val="00B12499"/>
    <w:rsid w:val="00B125C0"/>
    <w:rsid w:val="00B12A0A"/>
    <w:rsid w:val="00B12CA7"/>
    <w:rsid w:val="00B13450"/>
    <w:rsid w:val="00B13DD9"/>
    <w:rsid w:val="00B14BE1"/>
    <w:rsid w:val="00B14F5B"/>
    <w:rsid w:val="00B14F6D"/>
    <w:rsid w:val="00B153EC"/>
    <w:rsid w:val="00B15503"/>
    <w:rsid w:val="00B16053"/>
    <w:rsid w:val="00B16ECF"/>
    <w:rsid w:val="00B1713D"/>
    <w:rsid w:val="00B17994"/>
    <w:rsid w:val="00B21F69"/>
    <w:rsid w:val="00B22F77"/>
    <w:rsid w:val="00B23463"/>
    <w:rsid w:val="00B2348D"/>
    <w:rsid w:val="00B23776"/>
    <w:rsid w:val="00B2468D"/>
    <w:rsid w:val="00B25C8A"/>
    <w:rsid w:val="00B27452"/>
    <w:rsid w:val="00B27BBA"/>
    <w:rsid w:val="00B303A9"/>
    <w:rsid w:val="00B31E34"/>
    <w:rsid w:val="00B3390A"/>
    <w:rsid w:val="00B342C0"/>
    <w:rsid w:val="00B34455"/>
    <w:rsid w:val="00B345D9"/>
    <w:rsid w:val="00B360C0"/>
    <w:rsid w:val="00B361BA"/>
    <w:rsid w:val="00B3638F"/>
    <w:rsid w:val="00B36563"/>
    <w:rsid w:val="00B36C6F"/>
    <w:rsid w:val="00B36D4F"/>
    <w:rsid w:val="00B36FB7"/>
    <w:rsid w:val="00B37430"/>
    <w:rsid w:val="00B37D1F"/>
    <w:rsid w:val="00B40534"/>
    <w:rsid w:val="00B414AD"/>
    <w:rsid w:val="00B432DC"/>
    <w:rsid w:val="00B43534"/>
    <w:rsid w:val="00B4368C"/>
    <w:rsid w:val="00B43A1A"/>
    <w:rsid w:val="00B442DA"/>
    <w:rsid w:val="00B44A75"/>
    <w:rsid w:val="00B44D35"/>
    <w:rsid w:val="00B453F1"/>
    <w:rsid w:val="00B4550E"/>
    <w:rsid w:val="00B45D25"/>
    <w:rsid w:val="00B468F6"/>
    <w:rsid w:val="00B46ECC"/>
    <w:rsid w:val="00B47043"/>
    <w:rsid w:val="00B5025E"/>
    <w:rsid w:val="00B5031A"/>
    <w:rsid w:val="00B5038F"/>
    <w:rsid w:val="00B518FA"/>
    <w:rsid w:val="00B5261B"/>
    <w:rsid w:val="00B52B57"/>
    <w:rsid w:val="00B52F91"/>
    <w:rsid w:val="00B53287"/>
    <w:rsid w:val="00B53AC2"/>
    <w:rsid w:val="00B53CB4"/>
    <w:rsid w:val="00B541C3"/>
    <w:rsid w:val="00B5476A"/>
    <w:rsid w:val="00B554A2"/>
    <w:rsid w:val="00B555FC"/>
    <w:rsid w:val="00B559B2"/>
    <w:rsid w:val="00B55DD2"/>
    <w:rsid w:val="00B56C15"/>
    <w:rsid w:val="00B56C84"/>
    <w:rsid w:val="00B57793"/>
    <w:rsid w:val="00B5789F"/>
    <w:rsid w:val="00B5796C"/>
    <w:rsid w:val="00B604F3"/>
    <w:rsid w:val="00B60B60"/>
    <w:rsid w:val="00B618AD"/>
    <w:rsid w:val="00B62555"/>
    <w:rsid w:val="00B62A22"/>
    <w:rsid w:val="00B62E75"/>
    <w:rsid w:val="00B63931"/>
    <w:rsid w:val="00B63A8C"/>
    <w:rsid w:val="00B63A93"/>
    <w:rsid w:val="00B63CA0"/>
    <w:rsid w:val="00B63D5A"/>
    <w:rsid w:val="00B63EB8"/>
    <w:rsid w:val="00B65285"/>
    <w:rsid w:val="00B6529F"/>
    <w:rsid w:val="00B653B2"/>
    <w:rsid w:val="00B65CDC"/>
    <w:rsid w:val="00B70195"/>
    <w:rsid w:val="00B702E1"/>
    <w:rsid w:val="00B704E6"/>
    <w:rsid w:val="00B705CF"/>
    <w:rsid w:val="00B7066B"/>
    <w:rsid w:val="00B71226"/>
    <w:rsid w:val="00B714FF"/>
    <w:rsid w:val="00B7195E"/>
    <w:rsid w:val="00B71A7D"/>
    <w:rsid w:val="00B731D6"/>
    <w:rsid w:val="00B73328"/>
    <w:rsid w:val="00B735D5"/>
    <w:rsid w:val="00B743AA"/>
    <w:rsid w:val="00B75B19"/>
    <w:rsid w:val="00B75EC4"/>
    <w:rsid w:val="00B7670E"/>
    <w:rsid w:val="00B772DC"/>
    <w:rsid w:val="00B7767B"/>
    <w:rsid w:val="00B77784"/>
    <w:rsid w:val="00B81462"/>
    <w:rsid w:val="00B81C7B"/>
    <w:rsid w:val="00B81CCD"/>
    <w:rsid w:val="00B8248D"/>
    <w:rsid w:val="00B82F08"/>
    <w:rsid w:val="00B8315D"/>
    <w:rsid w:val="00B8398D"/>
    <w:rsid w:val="00B84402"/>
    <w:rsid w:val="00B85017"/>
    <w:rsid w:val="00B8556D"/>
    <w:rsid w:val="00B857B0"/>
    <w:rsid w:val="00B85BDD"/>
    <w:rsid w:val="00B85C09"/>
    <w:rsid w:val="00B87382"/>
    <w:rsid w:val="00B87DA4"/>
    <w:rsid w:val="00B900C2"/>
    <w:rsid w:val="00B90499"/>
    <w:rsid w:val="00B90E5D"/>
    <w:rsid w:val="00B90F5F"/>
    <w:rsid w:val="00B92FE9"/>
    <w:rsid w:val="00B9345C"/>
    <w:rsid w:val="00B93713"/>
    <w:rsid w:val="00B941ED"/>
    <w:rsid w:val="00B94F53"/>
    <w:rsid w:val="00B952B3"/>
    <w:rsid w:val="00B9552B"/>
    <w:rsid w:val="00B95F6C"/>
    <w:rsid w:val="00B965DF"/>
    <w:rsid w:val="00B96BCF"/>
    <w:rsid w:val="00B974D4"/>
    <w:rsid w:val="00BA049E"/>
    <w:rsid w:val="00BA0D81"/>
    <w:rsid w:val="00BA0F6D"/>
    <w:rsid w:val="00BA101A"/>
    <w:rsid w:val="00BA1BDA"/>
    <w:rsid w:val="00BA208A"/>
    <w:rsid w:val="00BA22AB"/>
    <w:rsid w:val="00BA2302"/>
    <w:rsid w:val="00BA23A1"/>
    <w:rsid w:val="00BA25C7"/>
    <w:rsid w:val="00BA2F34"/>
    <w:rsid w:val="00BA3862"/>
    <w:rsid w:val="00BA546E"/>
    <w:rsid w:val="00BA5D4E"/>
    <w:rsid w:val="00BA6896"/>
    <w:rsid w:val="00BB1E80"/>
    <w:rsid w:val="00BB2FBB"/>
    <w:rsid w:val="00BB3114"/>
    <w:rsid w:val="00BB3291"/>
    <w:rsid w:val="00BB3357"/>
    <w:rsid w:val="00BB3A1E"/>
    <w:rsid w:val="00BB3C9A"/>
    <w:rsid w:val="00BB3DCF"/>
    <w:rsid w:val="00BB466B"/>
    <w:rsid w:val="00BB4D64"/>
    <w:rsid w:val="00BB54CB"/>
    <w:rsid w:val="00BB563E"/>
    <w:rsid w:val="00BB6F22"/>
    <w:rsid w:val="00BB71F1"/>
    <w:rsid w:val="00BB73B5"/>
    <w:rsid w:val="00BB752F"/>
    <w:rsid w:val="00BC0442"/>
    <w:rsid w:val="00BC07A3"/>
    <w:rsid w:val="00BC0A43"/>
    <w:rsid w:val="00BC0C2D"/>
    <w:rsid w:val="00BC1CE8"/>
    <w:rsid w:val="00BC36D7"/>
    <w:rsid w:val="00BC3A03"/>
    <w:rsid w:val="00BC3C25"/>
    <w:rsid w:val="00BC3C5B"/>
    <w:rsid w:val="00BC41A3"/>
    <w:rsid w:val="00BC50CD"/>
    <w:rsid w:val="00BC52E0"/>
    <w:rsid w:val="00BC693B"/>
    <w:rsid w:val="00BC761C"/>
    <w:rsid w:val="00BC7F80"/>
    <w:rsid w:val="00BD0CCB"/>
    <w:rsid w:val="00BD0DCD"/>
    <w:rsid w:val="00BD12E0"/>
    <w:rsid w:val="00BD1420"/>
    <w:rsid w:val="00BD5571"/>
    <w:rsid w:val="00BD5A1E"/>
    <w:rsid w:val="00BD6456"/>
    <w:rsid w:val="00BD6F03"/>
    <w:rsid w:val="00BD72F4"/>
    <w:rsid w:val="00BE0651"/>
    <w:rsid w:val="00BE067F"/>
    <w:rsid w:val="00BE0784"/>
    <w:rsid w:val="00BE0C97"/>
    <w:rsid w:val="00BE0EB0"/>
    <w:rsid w:val="00BE19C3"/>
    <w:rsid w:val="00BE1BCD"/>
    <w:rsid w:val="00BE2201"/>
    <w:rsid w:val="00BE2B9B"/>
    <w:rsid w:val="00BE2E23"/>
    <w:rsid w:val="00BE300B"/>
    <w:rsid w:val="00BE32C5"/>
    <w:rsid w:val="00BE3AF2"/>
    <w:rsid w:val="00BE3DFC"/>
    <w:rsid w:val="00BE4180"/>
    <w:rsid w:val="00BE543F"/>
    <w:rsid w:val="00BE549B"/>
    <w:rsid w:val="00BE571B"/>
    <w:rsid w:val="00BE5D7A"/>
    <w:rsid w:val="00BE6FE5"/>
    <w:rsid w:val="00BE745B"/>
    <w:rsid w:val="00BE799C"/>
    <w:rsid w:val="00BE7E3E"/>
    <w:rsid w:val="00BF0D0A"/>
    <w:rsid w:val="00BF12F0"/>
    <w:rsid w:val="00BF1609"/>
    <w:rsid w:val="00BF1DE6"/>
    <w:rsid w:val="00BF2949"/>
    <w:rsid w:val="00BF29C6"/>
    <w:rsid w:val="00BF31C7"/>
    <w:rsid w:val="00BF3B5B"/>
    <w:rsid w:val="00BF4E17"/>
    <w:rsid w:val="00BF4F7D"/>
    <w:rsid w:val="00BF5875"/>
    <w:rsid w:val="00BF5935"/>
    <w:rsid w:val="00BF5982"/>
    <w:rsid w:val="00BF61A4"/>
    <w:rsid w:val="00BF61E8"/>
    <w:rsid w:val="00BF6979"/>
    <w:rsid w:val="00BF735C"/>
    <w:rsid w:val="00BF7853"/>
    <w:rsid w:val="00BF7B6D"/>
    <w:rsid w:val="00C000B5"/>
    <w:rsid w:val="00C00C7D"/>
    <w:rsid w:val="00C015A7"/>
    <w:rsid w:val="00C015D2"/>
    <w:rsid w:val="00C01C1C"/>
    <w:rsid w:val="00C01EA3"/>
    <w:rsid w:val="00C01F18"/>
    <w:rsid w:val="00C02AB0"/>
    <w:rsid w:val="00C02BBD"/>
    <w:rsid w:val="00C03147"/>
    <w:rsid w:val="00C038B5"/>
    <w:rsid w:val="00C07668"/>
    <w:rsid w:val="00C07E33"/>
    <w:rsid w:val="00C1113E"/>
    <w:rsid w:val="00C1132E"/>
    <w:rsid w:val="00C11A19"/>
    <w:rsid w:val="00C134FA"/>
    <w:rsid w:val="00C140B0"/>
    <w:rsid w:val="00C1503E"/>
    <w:rsid w:val="00C1504A"/>
    <w:rsid w:val="00C15CB0"/>
    <w:rsid w:val="00C16894"/>
    <w:rsid w:val="00C16A00"/>
    <w:rsid w:val="00C17A7D"/>
    <w:rsid w:val="00C17B87"/>
    <w:rsid w:val="00C17CB9"/>
    <w:rsid w:val="00C17FD2"/>
    <w:rsid w:val="00C20038"/>
    <w:rsid w:val="00C2029B"/>
    <w:rsid w:val="00C20C2F"/>
    <w:rsid w:val="00C20E7A"/>
    <w:rsid w:val="00C2120E"/>
    <w:rsid w:val="00C212E6"/>
    <w:rsid w:val="00C214DB"/>
    <w:rsid w:val="00C21766"/>
    <w:rsid w:val="00C217DC"/>
    <w:rsid w:val="00C217DE"/>
    <w:rsid w:val="00C223A6"/>
    <w:rsid w:val="00C225BF"/>
    <w:rsid w:val="00C22F53"/>
    <w:rsid w:val="00C2428F"/>
    <w:rsid w:val="00C25F29"/>
    <w:rsid w:val="00C262BD"/>
    <w:rsid w:val="00C27292"/>
    <w:rsid w:val="00C27749"/>
    <w:rsid w:val="00C3032C"/>
    <w:rsid w:val="00C30928"/>
    <w:rsid w:val="00C30FA4"/>
    <w:rsid w:val="00C31120"/>
    <w:rsid w:val="00C316BE"/>
    <w:rsid w:val="00C31DEC"/>
    <w:rsid w:val="00C320FB"/>
    <w:rsid w:val="00C322A1"/>
    <w:rsid w:val="00C32550"/>
    <w:rsid w:val="00C328E0"/>
    <w:rsid w:val="00C33326"/>
    <w:rsid w:val="00C33B87"/>
    <w:rsid w:val="00C34D90"/>
    <w:rsid w:val="00C35CCC"/>
    <w:rsid w:val="00C367FE"/>
    <w:rsid w:val="00C36875"/>
    <w:rsid w:val="00C36CC0"/>
    <w:rsid w:val="00C37337"/>
    <w:rsid w:val="00C40430"/>
    <w:rsid w:val="00C40E95"/>
    <w:rsid w:val="00C41441"/>
    <w:rsid w:val="00C41B4D"/>
    <w:rsid w:val="00C41F45"/>
    <w:rsid w:val="00C42C7A"/>
    <w:rsid w:val="00C4369A"/>
    <w:rsid w:val="00C43785"/>
    <w:rsid w:val="00C43A72"/>
    <w:rsid w:val="00C441C7"/>
    <w:rsid w:val="00C44EC4"/>
    <w:rsid w:val="00C532AE"/>
    <w:rsid w:val="00C53F5E"/>
    <w:rsid w:val="00C54A24"/>
    <w:rsid w:val="00C54BED"/>
    <w:rsid w:val="00C55945"/>
    <w:rsid w:val="00C56890"/>
    <w:rsid w:val="00C56CBB"/>
    <w:rsid w:val="00C5710C"/>
    <w:rsid w:val="00C57EB8"/>
    <w:rsid w:val="00C60326"/>
    <w:rsid w:val="00C60848"/>
    <w:rsid w:val="00C609FF"/>
    <w:rsid w:val="00C61AA2"/>
    <w:rsid w:val="00C626F1"/>
    <w:rsid w:val="00C62B2B"/>
    <w:rsid w:val="00C630D7"/>
    <w:rsid w:val="00C635F2"/>
    <w:rsid w:val="00C64CE5"/>
    <w:rsid w:val="00C653B5"/>
    <w:rsid w:val="00C65EE7"/>
    <w:rsid w:val="00C666BF"/>
    <w:rsid w:val="00C66FFF"/>
    <w:rsid w:val="00C674F8"/>
    <w:rsid w:val="00C677D4"/>
    <w:rsid w:val="00C702E2"/>
    <w:rsid w:val="00C70E87"/>
    <w:rsid w:val="00C71097"/>
    <w:rsid w:val="00C7115B"/>
    <w:rsid w:val="00C7135A"/>
    <w:rsid w:val="00C71AE5"/>
    <w:rsid w:val="00C72649"/>
    <w:rsid w:val="00C729CE"/>
    <w:rsid w:val="00C72A0C"/>
    <w:rsid w:val="00C7340E"/>
    <w:rsid w:val="00C73CEE"/>
    <w:rsid w:val="00C750B5"/>
    <w:rsid w:val="00C751D3"/>
    <w:rsid w:val="00C7630F"/>
    <w:rsid w:val="00C7695B"/>
    <w:rsid w:val="00C7712F"/>
    <w:rsid w:val="00C775A7"/>
    <w:rsid w:val="00C80CE2"/>
    <w:rsid w:val="00C80DE4"/>
    <w:rsid w:val="00C814C5"/>
    <w:rsid w:val="00C818AF"/>
    <w:rsid w:val="00C82074"/>
    <w:rsid w:val="00C830E6"/>
    <w:rsid w:val="00C83518"/>
    <w:rsid w:val="00C83E2A"/>
    <w:rsid w:val="00C840E1"/>
    <w:rsid w:val="00C85102"/>
    <w:rsid w:val="00C8561F"/>
    <w:rsid w:val="00C858EF"/>
    <w:rsid w:val="00C8590D"/>
    <w:rsid w:val="00C86599"/>
    <w:rsid w:val="00C86848"/>
    <w:rsid w:val="00C876D6"/>
    <w:rsid w:val="00C879D0"/>
    <w:rsid w:val="00C87F57"/>
    <w:rsid w:val="00C90C7F"/>
    <w:rsid w:val="00C9242C"/>
    <w:rsid w:val="00C9393A"/>
    <w:rsid w:val="00C951A9"/>
    <w:rsid w:val="00C95AD9"/>
    <w:rsid w:val="00C95D3A"/>
    <w:rsid w:val="00C96794"/>
    <w:rsid w:val="00CA0D82"/>
    <w:rsid w:val="00CA0DF3"/>
    <w:rsid w:val="00CA0E72"/>
    <w:rsid w:val="00CA1469"/>
    <w:rsid w:val="00CA2B15"/>
    <w:rsid w:val="00CA2DDE"/>
    <w:rsid w:val="00CA2E7E"/>
    <w:rsid w:val="00CA3135"/>
    <w:rsid w:val="00CA33B8"/>
    <w:rsid w:val="00CA35DF"/>
    <w:rsid w:val="00CA3C3A"/>
    <w:rsid w:val="00CA40B5"/>
    <w:rsid w:val="00CA4890"/>
    <w:rsid w:val="00CA506A"/>
    <w:rsid w:val="00CA5CC2"/>
    <w:rsid w:val="00CA6248"/>
    <w:rsid w:val="00CA659E"/>
    <w:rsid w:val="00CA7E4A"/>
    <w:rsid w:val="00CB06A1"/>
    <w:rsid w:val="00CB0B17"/>
    <w:rsid w:val="00CB0E15"/>
    <w:rsid w:val="00CB1005"/>
    <w:rsid w:val="00CB12F9"/>
    <w:rsid w:val="00CB1ED4"/>
    <w:rsid w:val="00CB1F2E"/>
    <w:rsid w:val="00CB30F2"/>
    <w:rsid w:val="00CB38E3"/>
    <w:rsid w:val="00CB4326"/>
    <w:rsid w:val="00CB45D3"/>
    <w:rsid w:val="00CB4620"/>
    <w:rsid w:val="00CB48D9"/>
    <w:rsid w:val="00CB4C7E"/>
    <w:rsid w:val="00CB5D82"/>
    <w:rsid w:val="00CB5D8D"/>
    <w:rsid w:val="00CB6584"/>
    <w:rsid w:val="00CB7B28"/>
    <w:rsid w:val="00CB7B53"/>
    <w:rsid w:val="00CC02D4"/>
    <w:rsid w:val="00CC2019"/>
    <w:rsid w:val="00CC28E7"/>
    <w:rsid w:val="00CC28F7"/>
    <w:rsid w:val="00CC2CC5"/>
    <w:rsid w:val="00CC334D"/>
    <w:rsid w:val="00CC39C7"/>
    <w:rsid w:val="00CC45A9"/>
    <w:rsid w:val="00CC57C2"/>
    <w:rsid w:val="00CC72AB"/>
    <w:rsid w:val="00CC7F00"/>
    <w:rsid w:val="00CD0052"/>
    <w:rsid w:val="00CD0079"/>
    <w:rsid w:val="00CD1DE6"/>
    <w:rsid w:val="00CD1F85"/>
    <w:rsid w:val="00CD2711"/>
    <w:rsid w:val="00CD2717"/>
    <w:rsid w:val="00CD39D9"/>
    <w:rsid w:val="00CD4FC4"/>
    <w:rsid w:val="00CD530F"/>
    <w:rsid w:val="00CD5799"/>
    <w:rsid w:val="00CD5BE8"/>
    <w:rsid w:val="00CD5F1C"/>
    <w:rsid w:val="00CD6746"/>
    <w:rsid w:val="00CD6E2E"/>
    <w:rsid w:val="00CD6E53"/>
    <w:rsid w:val="00CD7AF9"/>
    <w:rsid w:val="00CE00D8"/>
    <w:rsid w:val="00CE0C84"/>
    <w:rsid w:val="00CE0F03"/>
    <w:rsid w:val="00CE1249"/>
    <w:rsid w:val="00CE13DB"/>
    <w:rsid w:val="00CE18FC"/>
    <w:rsid w:val="00CE1971"/>
    <w:rsid w:val="00CE24EF"/>
    <w:rsid w:val="00CE2637"/>
    <w:rsid w:val="00CE28CD"/>
    <w:rsid w:val="00CE2A1F"/>
    <w:rsid w:val="00CE2B55"/>
    <w:rsid w:val="00CE3842"/>
    <w:rsid w:val="00CE4108"/>
    <w:rsid w:val="00CE4AFD"/>
    <w:rsid w:val="00CE4C1E"/>
    <w:rsid w:val="00CE4D18"/>
    <w:rsid w:val="00CE5E1B"/>
    <w:rsid w:val="00CE6ABB"/>
    <w:rsid w:val="00CE6FFC"/>
    <w:rsid w:val="00CE7E57"/>
    <w:rsid w:val="00CF05AF"/>
    <w:rsid w:val="00CF07C9"/>
    <w:rsid w:val="00CF0933"/>
    <w:rsid w:val="00CF0FD5"/>
    <w:rsid w:val="00CF180B"/>
    <w:rsid w:val="00CF1D9C"/>
    <w:rsid w:val="00CF2407"/>
    <w:rsid w:val="00CF2C2C"/>
    <w:rsid w:val="00CF2CBD"/>
    <w:rsid w:val="00CF35C9"/>
    <w:rsid w:val="00CF3B81"/>
    <w:rsid w:val="00CF4E13"/>
    <w:rsid w:val="00CF5843"/>
    <w:rsid w:val="00CF59B8"/>
    <w:rsid w:val="00CF5D55"/>
    <w:rsid w:val="00CF5E52"/>
    <w:rsid w:val="00CF61A8"/>
    <w:rsid w:val="00CF64F2"/>
    <w:rsid w:val="00CF6C78"/>
    <w:rsid w:val="00CF6C7E"/>
    <w:rsid w:val="00CF6E39"/>
    <w:rsid w:val="00CF7804"/>
    <w:rsid w:val="00CF7BCE"/>
    <w:rsid w:val="00CF7C74"/>
    <w:rsid w:val="00D0115C"/>
    <w:rsid w:val="00D01DA2"/>
    <w:rsid w:val="00D029C7"/>
    <w:rsid w:val="00D02A76"/>
    <w:rsid w:val="00D02D1D"/>
    <w:rsid w:val="00D03BC9"/>
    <w:rsid w:val="00D03C91"/>
    <w:rsid w:val="00D04E6C"/>
    <w:rsid w:val="00D053D8"/>
    <w:rsid w:val="00D0579F"/>
    <w:rsid w:val="00D05D63"/>
    <w:rsid w:val="00D06E95"/>
    <w:rsid w:val="00D06F52"/>
    <w:rsid w:val="00D10574"/>
    <w:rsid w:val="00D10865"/>
    <w:rsid w:val="00D1110E"/>
    <w:rsid w:val="00D113FF"/>
    <w:rsid w:val="00D1140E"/>
    <w:rsid w:val="00D125D9"/>
    <w:rsid w:val="00D129E9"/>
    <w:rsid w:val="00D13368"/>
    <w:rsid w:val="00D13483"/>
    <w:rsid w:val="00D14AEA"/>
    <w:rsid w:val="00D14D1D"/>
    <w:rsid w:val="00D16214"/>
    <w:rsid w:val="00D1659C"/>
    <w:rsid w:val="00D1794A"/>
    <w:rsid w:val="00D204B5"/>
    <w:rsid w:val="00D20FD4"/>
    <w:rsid w:val="00D21693"/>
    <w:rsid w:val="00D21850"/>
    <w:rsid w:val="00D219B7"/>
    <w:rsid w:val="00D22214"/>
    <w:rsid w:val="00D22A09"/>
    <w:rsid w:val="00D23C44"/>
    <w:rsid w:val="00D23DF5"/>
    <w:rsid w:val="00D23E23"/>
    <w:rsid w:val="00D242B5"/>
    <w:rsid w:val="00D24508"/>
    <w:rsid w:val="00D25692"/>
    <w:rsid w:val="00D257CC"/>
    <w:rsid w:val="00D25BED"/>
    <w:rsid w:val="00D25D9C"/>
    <w:rsid w:val="00D26350"/>
    <w:rsid w:val="00D26EA0"/>
    <w:rsid w:val="00D26EEF"/>
    <w:rsid w:val="00D27409"/>
    <w:rsid w:val="00D276CD"/>
    <w:rsid w:val="00D27773"/>
    <w:rsid w:val="00D27E99"/>
    <w:rsid w:val="00D3023C"/>
    <w:rsid w:val="00D31011"/>
    <w:rsid w:val="00D310E8"/>
    <w:rsid w:val="00D3176C"/>
    <w:rsid w:val="00D31AFE"/>
    <w:rsid w:val="00D32806"/>
    <w:rsid w:val="00D3340E"/>
    <w:rsid w:val="00D3350D"/>
    <w:rsid w:val="00D33A75"/>
    <w:rsid w:val="00D33C63"/>
    <w:rsid w:val="00D3456E"/>
    <w:rsid w:val="00D34DFA"/>
    <w:rsid w:val="00D3518C"/>
    <w:rsid w:val="00D3666A"/>
    <w:rsid w:val="00D373F9"/>
    <w:rsid w:val="00D37FB2"/>
    <w:rsid w:val="00D40564"/>
    <w:rsid w:val="00D40A97"/>
    <w:rsid w:val="00D41285"/>
    <w:rsid w:val="00D4168F"/>
    <w:rsid w:val="00D41E6A"/>
    <w:rsid w:val="00D42A59"/>
    <w:rsid w:val="00D432C9"/>
    <w:rsid w:val="00D43438"/>
    <w:rsid w:val="00D43EE7"/>
    <w:rsid w:val="00D4497A"/>
    <w:rsid w:val="00D44D6C"/>
    <w:rsid w:val="00D456E4"/>
    <w:rsid w:val="00D457B5"/>
    <w:rsid w:val="00D4592C"/>
    <w:rsid w:val="00D46198"/>
    <w:rsid w:val="00D47168"/>
    <w:rsid w:val="00D4723A"/>
    <w:rsid w:val="00D47D2D"/>
    <w:rsid w:val="00D47DF9"/>
    <w:rsid w:val="00D50785"/>
    <w:rsid w:val="00D51011"/>
    <w:rsid w:val="00D51619"/>
    <w:rsid w:val="00D517A1"/>
    <w:rsid w:val="00D51D7B"/>
    <w:rsid w:val="00D5249B"/>
    <w:rsid w:val="00D52DA5"/>
    <w:rsid w:val="00D53A25"/>
    <w:rsid w:val="00D53B46"/>
    <w:rsid w:val="00D54741"/>
    <w:rsid w:val="00D54C11"/>
    <w:rsid w:val="00D55360"/>
    <w:rsid w:val="00D553AB"/>
    <w:rsid w:val="00D55708"/>
    <w:rsid w:val="00D5583B"/>
    <w:rsid w:val="00D5676B"/>
    <w:rsid w:val="00D57499"/>
    <w:rsid w:val="00D57AC1"/>
    <w:rsid w:val="00D57D7E"/>
    <w:rsid w:val="00D6001B"/>
    <w:rsid w:val="00D6017C"/>
    <w:rsid w:val="00D604F2"/>
    <w:rsid w:val="00D60717"/>
    <w:rsid w:val="00D60797"/>
    <w:rsid w:val="00D607AD"/>
    <w:rsid w:val="00D60CAC"/>
    <w:rsid w:val="00D611E0"/>
    <w:rsid w:val="00D6139D"/>
    <w:rsid w:val="00D61FAB"/>
    <w:rsid w:val="00D62022"/>
    <w:rsid w:val="00D626A8"/>
    <w:rsid w:val="00D6310F"/>
    <w:rsid w:val="00D63757"/>
    <w:rsid w:val="00D63A58"/>
    <w:rsid w:val="00D63E01"/>
    <w:rsid w:val="00D64237"/>
    <w:rsid w:val="00D644B3"/>
    <w:rsid w:val="00D64D1D"/>
    <w:rsid w:val="00D6524D"/>
    <w:rsid w:val="00D6540C"/>
    <w:rsid w:val="00D65426"/>
    <w:rsid w:val="00D65664"/>
    <w:rsid w:val="00D65D75"/>
    <w:rsid w:val="00D65FF1"/>
    <w:rsid w:val="00D66BBE"/>
    <w:rsid w:val="00D67167"/>
    <w:rsid w:val="00D6750F"/>
    <w:rsid w:val="00D678C3"/>
    <w:rsid w:val="00D67C53"/>
    <w:rsid w:val="00D701A2"/>
    <w:rsid w:val="00D7080A"/>
    <w:rsid w:val="00D7081B"/>
    <w:rsid w:val="00D7094D"/>
    <w:rsid w:val="00D70A06"/>
    <w:rsid w:val="00D70C6B"/>
    <w:rsid w:val="00D717EE"/>
    <w:rsid w:val="00D73297"/>
    <w:rsid w:val="00D74006"/>
    <w:rsid w:val="00D746CC"/>
    <w:rsid w:val="00D748BB"/>
    <w:rsid w:val="00D74978"/>
    <w:rsid w:val="00D74A54"/>
    <w:rsid w:val="00D75056"/>
    <w:rsid w:val="00D75EC4"/>
    <w:rsid w:val="00D762F5"/>
    <w:rsid w:val="00D76E61"/>
    <w:rsid w:val="00D80421"/>
    <w:rsid w:val="00D80F33"/>
    <w:rsid w:val="00D80FEC"/>
    <w:rsid w:val="00D812F9"/>
    <w:rsid w:val="00D815BF"/>
    <w:rsid w:val="00D81DC4"/>
    <w:rsid w:val="00D8222C"/>
    <w:rsid w:val="00D82B07"/>
    <w:rsid w:val="00D82B64"/>
    <w:rsid w:val="00D85B76"/>
    <w:rsid w:val="00D85DF2"/>
    <w:rsid w:val="00D85F6D"/>
    <w:rsid w:val="00D868AF"/>
    <w:rsid w:val="00D903A4"/>
    <w:rsid w:val="00D90D6B"/>
    <w:rsid w:val="00D91D36"/>
    <w:rsid w:val="00D929B0"/>
    <w:rsid w:val="00D9371E"/>
    <w:rsid w:val="00D94025"/>
    <w:rsid w:val="00D94D21"/>
    <w:rsid w:val="00D9524B"/>
    <w:rsid w:val="00D957D8"/>
    <w:rsid w:val="00D95905"/>
    <w:rsid w:val="00D95EEB"/>
    <w:rsid w:val="00D97140"/>
    <w:rsid w:val="00D9776A"/>
    <w:rsid w:val="00DA1049"/>
    <w:rsid w:val="00DA1252"/>
    <w:rsid w:val="00DA28BC"/>
    <w:rsid w:val="00DA29C3"/>
    <w:rsid w:val="00DA2A1E"/>
    <w:rsid w:val="00DA429A"/>
    <w:rsid w:val="00DA45C4"/>
    <w:rsid w:val="00DA47A3"/>
    <w:rsid w:val="00DA5B2A"/>
    <w:rsid w:val="00DA6194"/>
    <w:rsid w:val="00DA73C6"/>
    <w:rsid w:val="00DA7850"/>
    <w:rsid w:val="00DA78D5"/>
    <w:rsid w:val="00DB040A"/>
    <w:rsid w:val="00DB1174"/>
    <w:rsid w:val="00DB170E"/>
    <w:rsid w:val="00DB1D38"/>
    <w:rsid w:val="00DB283A"/>
    <w:rsid w:val="00DB2C7A"/>
    <w:rsid w:val="00DB2D7C"/>
    <w:rsid w:val="00DB3247"/>
    <w:rsid w:val="00DB3E70"/>
    <w:rsid w:val="00DB41C4"/>
    <w:rsid w:val="00DB50FF"/>
    <w:rsid w:val="00DB5BDD"/>
    <w:rsid w:val="00DB5FE1"/>
    <w:rsid w:val="00DB6283"/>
    <w:rsid w:val="00DB6E8F"/>
    <w:rsid w:val="00DB750C"/>
    <w:rsid w:val="00DB7888"/>
    <w:rsid w:val="00DB7BBF"/>
    <w:rsid w:val="00DB7D8B"/>
    <w:rsid w:val="00DB7F7D"/>
    <w:rsid w:val="00DC0141"/>
    <w:rsid w:val="00DC069D"/>
    <w:rsid w:val="00DC234B"/>
    <w:rsid w:val="00DC24DC"/>
    <w:rsid w:val="00DC3EE4"/>
    <w:rsid w:val="00DC7A7B"/>
    <w:rsid w:val="00DD0704"/>
    <w:rsid w:val="00DD14F5"/>
    <w:rsid w:val="00DD2286"/>
    <w:rsid w:val="00DD30A2"/>
    <w:rsid w:val="00DD30EA"/>
    <w:rsid w:val="00DD3435"/>
    <w:rsid w:val="00DD3CD0"/>
    <w:rsid w:val="00DD5244"/>
    <w:rsid w:val="00DD57BC"/>
    <w:rsid w:val="00DD5DC6"/>
    <w:rsid w:val="00DD6B21"/>
    <w:rsid w:val="00DD7BA1"/>
    <w:rsid w:val="00DE0555"/>
    <w:rsid w:val="00DE05F8"/>
    <w:rsid w:val="00DE0B0C"/>
    <w:rsid w:val="00DE234A"/>
    <w:rsid w:val="00DE2802"/>
    <w:rsid w:val="00DE323E"/>
    <w:rsid w:val="00DE343D"/>
    <w:rsid w:val="00DE356C"/>
    <w:rsid w:val="00DE3E6C"/>
    <w:rsid w:val="00DE4420"/>
    <w:rsid w:val="00DE4729"/>
    <w:rsid w:val="00DE5080"/>
    <w:rsid w:val="00DE54AE"/>
    <w:rsid w:val="00DE5610"/>
    <w:rsid w:val="00DE5C3C"/>
    <w:rsid w:val="00DE6044"/>
    <w:rsid w:val="00DE629C"/>
    <w:rsid w:val="00DE71CD"/>
    <w:rsid w:val="00DE7A5A"/>
    <w:rsid w:val="00DE7A8E"/>
    <w:rsid w:val="00DE7DD5"/>
    <w:rsid w:val="00DF0010"/>
    <w:rsid w:val="00DF0103"/>
    <w:rsid w:val="00DF06F0"/>
    <w:rsid w:val="00DF0946"/>
    <w:rsid w:val="00DF14BF"/>
    <w:rsid w:val="00DF1988"/>
    <w:rsid w:val="00DF451D"/>
    <w:rsid w:val="00DF4E18"/>
    <w:rsid w:val="00DF6125"/>
    <w:rsid w:val="00DF61E9"/>
    <w:rsid w:val="00DF6795"/>
    <w:rsid w:val="00E000C8"/>
    <w:rsid w:val="00E005BA"/>
    <w:rsid w:val="00E006B7"/>
    <w:rsid w:val="00E00959"/>
    <w:rsid w:val="00E00AA4"/>
    <w:rsid w:val="00E00AF5"/>
    <w:rsid w:val="00E00BCD"/>
    <w:rsid w:val="00E00D2A"/>
    <w:rsid w:val="00E01531"/>
    <w:rsid w:val="00E018B6"/>
    <w:rsid w:val="00E0345A"/>
    <w:rsid w:val="00E03738"/>
    <w:rsid w:val="00E04220"/>
    <w:rsid w:val="00E04D34"/>
    <w:rsid w:val="00E04E06"/>
    <w:rsid w:val="00E05486"/>
    <w:rsid w:val="00E055C7"/>
    <w:rsid w:val="00E0586F"/>
    <w:rsid w:val="00E05F6C"/>
    <w:rsid w:val="00E06EF9"/>
    <w:rsid w:val="00E07A2C"/>
    <w:rsid w:val="00E105DA"/>
    <w:rsid w:val="00E10E3A"/>
    <w:rsid w:val="00E10E63"/>
    <w:rsid w:val="00E11E66"/>
    <w:rsid w:val="00E122E1"/>
    <w:rsid w:val="00E124A4"/>
    <w:rsid w:val="00E12841"/>
    <w:rsid w:val="00E12CF1"/>
    <w:rsid w:val="00E12E96"/>
    <w:rsid w:val="00E13392"/>
    <w:rsid w:val="00E1377E"/>
    <w:rsid w:val="00E13CD9"/>
    <w:rsid w:val="00E14253"/>
    <w:rsid w:val="00E165F6"/>
    <w:rsid w:val="00E168C3"/>
    <w:rsid w:val="00E16F0E"/>
    <w:rsid w:val="00E203ED"/>
    <w:rsid w:val="00E204C3"/>
    <w:rsid w:val="00E20A00"/>
    <w:rsid w:val="00E21026"/>
    <w:rsid w:val="00E21800"/>
    <w:rsid w:val="00E21BED"/>
    <w:rsid w:val="00E23649"/>
    <w:rsid w:val="00E23B5A"/>
    <w:rsid w:val="00E240E5"/>
    <w:rsid w:val="00E26A1C"/>
    <w:rsid w:val="00E314A7"/>
    <w:rsid w:val="00E31780"/>
    <w:rsid w:val="00E31795"/>
    <w:rsid w:val="00E31E4B"/>
    <w:rsid w:val="00E321F2"/>
    <w:rsid w:val="00E33AE6"/>
    <w:rsid w:val="00E34805"/>
    <w:rsid w:val="00E35318"/>
    <w:rsid w:val="00E357A4"/>
    <w:rsid w:val="00E35851"/>
    <w:rsid w:val="00E35969"/>
    <w:rsid w:val="00E3602A"/>
    <w:rsid w:val="00E36703"/>
    <w:rsid w:val="00E36E4E"/>
    <w:rsid w:val="00E371FD"/>
    <w:rsid w:val="00E37317"/>
    <w:rsid w:val="00E378E4"/>
    <w:rsid w:val="00E40C4A"/>
    <w:rsid w:val="00E413A2"/>
    <w:rsid w:val="00E414C5"/>
    <w:rsid w:val="00E419C6"/>
    <w:rsid w:val="00E4287B"/>
    <w:rsid w:val="00E43333"/>
    <w:rsid w:val="00E4397B"/>
    <w:rsid w:val="00E43AD2"/>
    <w:rsid w:val="00E43AE1"/>
    <w:rsid w:val="00E449A2"/>
    <w:rsid w:val="00E45069"/>
    <w:rsid w:val="00E45769"/>
    <w:rsid w:val="00E45B07"/>
    <w:rsid w:val="00E45C7E"/>
    <w:rsid w:val="00E4630B"/>
    <w:rsid w:val="00E47117"/>
    <w:rsid w:val="00E5015F"/>
    <w:rsid w:val="00E533F3"/>
    <w:rsid w:val="00E535B6"/>
    <w:rsid w:val="00E539CA"/>
    <w:rsid w:val="00E53DCB"/>
    <w:rsid w:val="00E5437B"/>
    <w:rsid w:val="00E564A0"/>
    <w:rsid w:val="00E56E16"/>
    <w:rsid w:val="00E57D67"/>
    <w:rsid w:val="00E60A8F"/>
    <w:rsid w:val="00E60ABA"/>
    <w:rsid w:val="00E60EFD"/>
    <w:rsid w:val="00E61E7F"/>
    <w:rsid w:val="00E63C5F"/>
    <w:rsid w:val="00E64F2D"/>
    <w:rsid w:val="00E64FB1"/>
    <w:rsid w:val="00E65357"/>
    <w:rsid w:val="00E654E5"/>
    <w:rsid w:val="00E66084"/>
    <w:rsid w:val="00E67E86"/>
    <w:rsid w:val="00E70081"/>
    <w:rsid w:val="00E7041D"/>
    <w:rsid w:val="00E70988"/>
    <w:rsid w:val="00E72302"/>
    <w:rsid w:val="00E738D0"/>
    <w:rsid w:val="00E7420F"/>
    <w:rsid w:val="00E747B4"/>
    <w:rsid w:val="00E75389"/>
    <w:rsid w:val="00E75556"/>
    <w:rsid w:val="00E759EF"/>
    <w:rsid w:val="00E77B79"/>
    <w:rsid w:val="00E80A58"/>
    <w:rsid w:val="00E81C4C"/>
    <w:rsid w:val="00E8215D"/>
    <w:rsid w:val="00E82C0E"/>
    <w:rsid w:val="00E82F01"/>
    <w:rsid w:val="00E82FA2"/>
    <w:rsid w:val="00E8318F"/>
    <w:rsid w:val="00E8379A"/>
    <w:rsid w:val="00E84663"/>
    <w:rsid w:val="00E84BC3"/>
    <w:rsid w:val="00E86B1D"/>
    <w:rsid w:val="00E87D8F"/>
    <w:rsid w:val="00E87DF3"/>
    <w:rsid w:val="00E87F6C"/>
    <w:rsid w:val="00E90AEC"/>
    <w:rsid w:val="00E91B02"/>
    <w:rsid w:val="00E92A4B"/>
    <w:rsid w:val="00E93061"/>
    <w:rsid w:val="00E93160"/>
    <w:rsid w:val="00E9343C"/>
    <w:rsid w:val="00E939D5"/>
    <w:rsid w:val="00E93D47"/>
    <w:rsid w:val="00E9425D"/>
    <w:rsid w:val="00E942B1"/>
    <w:rsid w:val="00E952F7"/>
    <w:rsid w:val="00E9598D"/>
    <w:rsid w:val="00E95A07"/>
    <w:rsid w:val="00E9636E"/>
    <w:rsid w:val="00E97217"/>
    <w:rsid w:val="00EA0229"/>
    <w:rsid w:val="00EA14A6"/>
    <w:rsid w:val="00EA174E"/>
    <w:rsid w:val="00EA1FCA"/>
    <w:rsid w:val="00EA20F2"/>
    <w:rsid w:val="00EA29DA"/>
    <w:rsid w:val="00EA2DE0"/>
    <w:rsid w:val="00EA2E1D"/>
    <w:rsid w:val="00EA3268"/>
    <w:rsid w:val="00EA3C2F"/>
    <w:rsid w:val="00EA3E97"/>
    <w:rsid w:val="00EA3F5C"/>
    <w:rsid w:val="00EA4AFD"/>
    <w:rsid w:val="00EA4D0E"/>
    <w:rsid w:val="00EA4D3E"/>
    <w:rsid w:val="00EA508D"/>
    <w:rsid w:val="00EA51CC"/>
    <w:rsid w:val="00EA5807"/>
    <w:rsid w:val="00EA5CC5"/>
    <w:rsid w:val="00EA6B84"/>
    <w:rsid w:val="00EA72CC"/>
    <w:rsid w:val="00EA7B6A"/>
    <w:rsid w:val="00EA7B6E"/>
    <w:rsid w:val="00EB171A"/>
    <w:rsid w:val="00EB24F5"/>
    <w:rsid w:val="00EB3309"/>
    <w:rsid w:val="00EB3348"/>
    <w:rsid w:val="00EB4399"/>
    <w:rsid w:val="00EB43E0"/>
    <w:rsid w:val="00EB46F5"/>
    <w:rsid w:val="00EB48EA"/>
    <w:rsid w:val="00EB4A62"/>
    <w:rsid w:val="00EB5494"/>
    <w:rsid w:val="00EB5971"/>
    <w:rsid w:val="00EB5EEB"/>
    <w:rsid w:val="00EB651F"/>
    <w:rsid w:val="00EB6D85"/>
    <w:rsid w:val="00EC05C0"/>
    <w:rsid w:val="00EC072E"/>
    <w:rsid w:val="00EC0D89"/>
    <w:rsid w:val="00EC11DF"/>
    <w:rsid w:val="00EC1574"/>
    <w:rsid w:val="00EC22A9"/>
    <w:rsid w:val="00EC237C"/>
    <w:rsid w:val="00EC29BC"/>
    <w:rsid w:val="00EC3096"/>
    <w:rsid w:val="00EC3690"/>
    <w:rsid w:val="00EC3C0C"/>
    <w:rsid w:val="00EC434D"/>
    <w:rsid w:val="00EC4C56"/>
    <w:rsid w:val="00EC58A4"/>
    <w:rsid w:val="00EC6138"/>
    <w:rsid w:val="00EC6207"/>
    <w:rsid w:val="00EC6218"/>
    <w:rsid w:val="00EC6DF7"/>
    <w:rsid w:val="00EC789C"/>
    <w:rsid w:val="00ED06C6"/>
    <w:rsid w:val="00ED06E1"/>
    <w:rsid w:val="00ED0767"/>
    <w:rsid w:val="00ED0949"/>
    <w:rsid w:val="00ED0D34"/>
    <w:rsid w:val="00ED1148"/>
    <w:rsid w:val="00ED143C"/>
    <w:rsid w:val="00ED1687"/>
    <w:rsid w:val="00ED1B75"/>
    <w:rsid w:val="00ED1D76"/>
    <w:rsid w:val="00ED329E"/>
    <w:rsid w:val="00ED3C05"/>
    <w:rsid w:val="00ED3EB1"/>
    <w:rsid w:val="00ED4BD7"/>
    <w:rsid w:val="00ED51D2"/>
    <w:rsid w:val="00ED6801"/>
    <w:rsid w:val="00ED7107"/>
    <w:rsid w:val="00ED7561"/>
    <w:rsid w:val="00ED7DFA"/>
    <w:rsid w:val="00EE0292"/>
    <w:rsid w:val="00EE0370"/>
    <w:rsid w:val="00EE0F30"/>
    <w:rsid w:val="00EE13D9"/>
    <w:rsid w:val="00EE1C14"/>
    <w:rsid w:val="00EE22F7"/>
    <w:rsid w:val="00EE36DE"/>
    <w:rsid w:val="00EE3BC0"/>
    <w:rsid w:val="00EE3BF8"/>
    <w:rsid w:val="00EE3F7F"/>
    <w:rsid w:val="00EE4015"/>
    <w:rsid w:val="00EE4CD9"/>
    <w:rsid w:val="00EE4FD9"/>
    <w:rsid w:val="00EE5052"/>
    <w:rsid w:val="00EF02D8"/>
    <w:rsid w:val="00EF0A3C"/>
    <w:rsid w:val="00EF226C"/>
    <w:rsid w:val="00EF270A"/>
    <w:rsid w:val="00EF3556"/>
    <w:rsid w:val="00EF3E0F"/>
    <w:rsid w:val="00EF3F3B"/>
    <w:rsid w:val="00EF44BC"/>
    <w:rsid w:val="00EF48B5"/>
    <w:rsid w:val="00EF4C30"/>
    <w:rsid w:val="00EF4CD4"/>
    <w:rsid w:val="00EF4D82"/>
    <w:rsid w:val="00EF5FAF"/>
    <w:rsid w:val="00EF6DDE"/>
    <w:rsid w:val="00EF71C9"/>
    <w:rsid w:val="00EF7C4F"/>
    <w:rsid w:val="00F0025B"/>
    <w:rsid w:val="00F006EB"/>
    <w:rsid w:val="00F0132A"/>
    <w:rsid w:val="00F01D85"/>
    <w:rsid w:val="00F01E92"/>
    <w:rsid w:val="00F02703"/>
    <w:rsid w:val="00F0412C"/>
    <w:rsid w:val="00F0459C"/>
    <w:rsid w:val="00F048A6"/>
    <w:rsid w:val="00F056DD"/>
    <w:rsid w:val="00F058A4"/>
    <w:rsid w:val="00F05A11"/>
    <w:rsid w:val="00F07489"/>
    <w:rsid w:val="00F10BAD"/>
    <w:rsid w:val="00F1184D"/>
    <w:rsid w:val="00F118EF"/>
    <w:rsid w:val="00F12A74"/>
    <w:rsid w:val="00F13991"/>
    <w:rsid w:val="00F13E04"/>
    <w:rsid w:val="00F14DE1"/>
    <w:rsid w:val="00F150A8"/>
    <w:rsid w:val="00F150AB"/>
    <w:rsid w:val="00F1520E"/>
    <w:rsid w:val="00F16057"/>
    <w:rsid w:val="00F16E03"/>
    <w:rsid w:val="00F17E47"/>
    <w:rsid w:val="00F17FDD"/>
    <w:rsid w:val="00F202B0"/>
    <w:rsid w:val="00F20A99"/>
    <w:rsid w:val="00F2108D"/>
    <w:rsid w:val="00F217DC"/>
    <w:rsid w:val="00F22062"/>
    <w:rsid w:val="00F221BB"/>
    <w:rsid w:val="00F22367"/>
    <w:rsid w:val="00F22A2B"/>
    <w:rsid w:val="00F22B97"/>
    <w:rsid w:val="00F23E14"/>
    <w:rsid w:val="00F24181"/>
    <w:rsid w:val="00F24C3C"/>
    <w:rsid w:val="00F24E71"/>
    <w:rsid w:val="00F24E86"/>
    <w:rsid w:val="00F25CC6"/>
    <w:rsid w:val="00F265FE"/>
    <w:rsid w:val="00F26C14"/>
    <w:rsid w:val="00F27E77"/>
    <w:rsid w:val="00F27FB9"/>
    <w:rsid w:val="00F30DB0"/>
    <w:rsid w:val="00F31BCB"/>
    <w:rsid w:val="00F320FC"/>
    <w:rsid w:val="00F32170"/>
    <w:rsid w:val="00F324E6"/>
    <w:rsid w:val="00F328A1"/>
    <w:rsid w:val="00F328CF"/>
    <w:rsid w:val="00F32B0E"/>
    <w:rsid w:val="00F32C0E"/>
    <w:rsid w:val="00F32E80"/>
    <w:rsid w:val="00F33016"/>
    <w:rsid w:val="00F33DF1"/>
    <w:rsid w:val="00F34062"/>
    <w:rsid w:val="00F348EB"/>
    <w:rsid w:val="00F34A81"/>
    <w:rsid w:val="00F35205"/>
    <w:rsid w:val="00F3577A"/>
    <w:rsid w:val="00F360C5"/>
    <w:rsid w:val="00F36A17"/>
    <w:rsid w:val="00F36C41"/>
    <w:rsid w:val="00F36F95"/>
    <w:rsid w:val="00F37E08"/>
    <w:rsid w:val="00F40700"/>
    <w:rsid w:val="00F40BB2"/>
    <w:rsid w:val="00F40C13"/>
    <w:rsid w:val="00F418E8"/>
    <w:rsid w:val="00F419E4"/>
    <w:rsid w:val="00F41FD7"/>
    <w:rsid w:val="00F429DA"/>
    <w:rsid w:val="00F42AEA"/>
    <w:rsid w:val="00F43560"/>
    <w:rsid w:val="00F4495E"/>
    <w:rsid w:val="00F451CF"/>
    <w:rsid w:val="00F45A9D"/>
    <w:rsid w:val="00F4600F"/>
    <w:rsid w:val="00F4627F"/>
    <w:rsid w:val="00F463B8"/>
    <w:rsid w:val="00F4721C"/>
    <w:rsid w:val="00F502DA"/>
    <w:rsid w:val="00F50326"/>
    <w:rsid w:val="00F509E4"/>
    <w:rsid w:val="00F5120E"/>
    <w:rsid w:val="00F51B6A"/>
    <w:rsid w:val="00F51EEC"/>
    <w:rsid w:val="00F52E2F"/>
    <w:rsid w:val="00F52E7B"/>
    <w:rsid w:val="00F530DA"/>
    <w:rsid w:val="00F534D7"/>
    <w:rsid w:val="00F54152"/>
    <w:rsid w:val="00F5551D"/>
    <w:rsid w:val="00F55725"/>
    <w:rsid w:val="00F56772"/>
    <w:rsid w:val="00F60232"/>
    <w:rsid w:val="00F603CB"/>
    <w:rsid w:val="00F616DB"/>
    <w:rsid w:val="00F61F48"/>
    <w:rsid w:val="00F630F2"/>
    <w:rsid w:val="00F63108"/>
    <w:rsid w:val="00F6384A"/>
    <w:rsid w:val="00F63E17"/>
    <w:rsid w:val="00F640CC"/>
    <w:rsid w:val="00F647A8"/>
    <w:rsid w:val="00F6487D"/>
    <w:rsid w:val="00F648B8"/>
    <w:rsid w:val="00F6538F"/>
    <w:rsid w:val="00F654C5"/>
    <w:rsid w:val="00F65B38"/>
    <w:rsid w:val="00F66527"/>
    <w:rsid w:val="00F667F9"/>
    <w:rsid w:val="00F66A35"/>
    <w:rsid w:val="00F66C1C"/>
    <w:rsid w:val="00F66FA9"/>
    <w:rsid w:val="00F673FD"/>
    <w:rsid w:val="00F704F6"/>
    <w:rsid w:val="00F70C81"/>
    <w:rsid w:val="00F7147B"/>
    <w:rsid w:val="00F71C93"/>
    <w:rsid w:val="00F71E08"/>
    <w:rsid w:val="00F7205E"/>
    <w:rsid w:val="00F7288B"/>
    <w:rsid w:val="00F72968"/>
    <w:rsid w:val="00F7437E"/>
    <w:rsid w:val="00F747EF"/>
    <w:rsid w:val="00F752EC"/>
    <w:rsid w:val="00F7629B"/>
    <w:rsid w:val="00F801FD"/>
    <w:rsid w:val="00F807EC"/>
    <w:rsid w:val="00F80C67"/>
    <w:rsid w:val="00F80F0C"/>
    <w:rsid w:val="00F81BD2"/>
    <w:rsid w:val="00F8252D"/>
    <w:rsid w:val="00F83151"/>
    <w:rsid w:val="00F8347B"/>
    <w:rsid w:val="00F83A77"/>
    <w:rsid w:val="00F84239"/>
    <w:rsid w:val="00F8475F"/>
    <w:rsid w:val="00F84778"/>
    <w:rsid w:val="00F847C7"/>
    <w:rsid w:val="00F8544B"/>
    <w:rsid w:val="00F86537"/>
    <w:rsid w:val="00F873F1"/>
    <w:rsid w:val="00F8746C"/>
    <w:rsid w:val="00F902B3"/>
    <w:rsid w:val="00F905E6"/>
    <w:rsid w:val="00F9181E"/>
    <w:rsid w:val="00F92B39"/>
    <w:rsid w:val="00F9305E"/>
    <w:rsid w:val="00F93268"/>
    <w:rsid w:val="00F93667"/>
    <w:rsid w:val="00F94C68"/>
    <w:rsid w:val="00F954D0"/>
    <w:rsid w:val="00F96008"/>
    <w:rsid w:val="00F96550"/>
    <w:rsid w:val="00F97940"/>
    <w:rsid w:val="00FA028B"/>
    <w:rsid w:val="00FA070A"/>
    <w:rsid w:val="00FA09FC"/>
    <w:rsid w:val="00FA0C82"/>
    <w:rsid w:val="00FA0F48"/>
    <w:rsid w:val="00FA10A8"/>
    <w:rsid w:val="00FA15D6"/>
    <w:rsid w:val="00FA187F"/>
    <w:rsid w:val="00FA2612"/>
    <w:rsid w:val="00FA26E5"/>
    <w:rsid w:val="00FA38A3"/>
    <w:rsid w:val="00FA3C83"/>
    <w:rsid w:val="00FA4275"/>
    <w:rsid w:val="00FA4530"/>
    <w:rsid w:val="00FA4703"/>
    <w:rsid w:val="00FA4979"/>
    <w:rsid w:val="00FA4E41"/>
    <w:rsid w:val="00FA5CD5"/>
    <w:rsid w:val="00FA73A5"/>
    <w:rsid w:val="00FA7CF2"/>
    <w:rsid w:val="00FB0D88"/>
    <w:rsid w:val="00FB0F60"/>
    <w:rsid w:val="00FB17C3"/>
    <w:rsid w:val="00FB185E"/>
    <w:rsid w:val="00FB24BB"/>
    <w:rsid w:val="00FB2769"/>
    <w:rsid w:val="00FB2892"/>
    <w:rsid w:val="00FB2947"/>
    <w:rsid w:val="00FB3A38"/>
    <w:rsid w:val="00FB3AE4"/>
    <w:rsid w:val="00FB4462"/>
    <w:rsid w:val="00FB459C"/>
    <w:rsid w:val="00FB48E4"/>
    <w:rsid w:val="00FB4A0B"/>
    <w:rsid w:val="00FB4A45"/>
    <w:rsid w:val="00FB4CCA"/>
    <w:rsid w:val="00FB4F72"/>
    <w:rsid w:val="00FB5045"/>
    <w:rsid w:val="00FB510E"/>
    <w:rsid w:val="00FB6A68"/>
    <w:rsid w:val="00FB6C7B"/>
    <w:rsid w:val="00FB6C7F"/>
    <w:rsid w:val="00FB7827"/>
    <w:rsid w:val="00FB79E3"/>
    <w:rsid w:val="00FB7A83"/>
    <w:rsid w:val="00FC0829"/>
    <w:rsid w:val="00FC1B8F"/>
    <w:rsid w:val="00FC2A3D"/>
    <w:rsid w:val="00FC401C"/>
    <w:rsid w:val="00FC425B"/>
    <w:rsid w:val="00FC42E8"/>
    <w:rsid w:val="00FC4CC2"/>
    <w:rsid w:val="00FC4EBB"/>
    <w:rsid w:val="00FC5E03"/>
    <w:rsid w:val="00FC64B6"/>
    <w:rsid w:val="00FC7792"/>
    <w:rsid w:val="00FC7EFC"/>
    <w:rsid w:val="00FD115F"/>
    <w:rsid w:val="00FD19FA"/>
    <w:rsid w:val="00FD2113"/>
    <w:rsid w:val="00FD23DA"/>
    <w:rsid w:val="00FD3B03"/>
    <w:rsid w:val="00FD3F4A"/>
    <w:rsid w:val="00FD4710"/>
    <w:rsid w:val="00FD4E28"/>
    <w:rsid w:val="00FD5228"/>
    <w:rsid w:val="00FD6674"/>
    <w:rsid w:val="00FD6AA4"/>
    <w:rsid w:val="00FD6B04"/>
    <w:rsid w:val="00FD7262"/>
    <w:rsid w:val="00FE00B8"/>
    <w:rsid w:val="00FE0258"/>
    <w:rsid w:val="00FE04ED"/>
    <w:rsid w:val="00FE0E4D"/>
    <w:rsid w:val="00FE1AC7"/>
    <w:rsid w:val="00FE27C2"/>
    <w:rsid w:val="00FE39E5"/>
    <w:rsid w:val="00FE4703"/>
    <w:rsid w:val="00FE4839"/>
    <w:rsid w:val="00FE4841"/>
    <w:rsid w:val="00FE4916"/>
    <w:rsid w:val="00FE54F0"/>
    <w:rsid w:val="00FE56BD"/>
    <w:rsid w:val="00FE6F41"/>
    <w:rsid w:val="00FE777E"/>
    <w:rsid w:val="00FE7E2E"/>
    <w:rsid w:val="00FF02A5"/>
    <w:rsid w:val="00FF03DE"/>
    <w:rsid w:val="00FF0505"/>
    <w:rsid w:val="00FF0710"/>
    <w:rsid w:val="00FF1663"/>
    <w:rsid w:val="00FF16F8"/>
    <w:rsid w:val="00FF1943"/>
    <w:rsid w:val="00FF1BBE"/>
    <w:rsid w:val="00FF3750"/>
    <w:rsid w:val="00FF4438"/>
    <w:rsid w:val="00FF4515"/>
    <w:rsid w:val="00FF465D"/>
    <w:rsid w:val="00FF5730"/>
    <w:rsid w:val="00FF6581"/>
    <w:rsid w:val="00FF67F0"/>
    <w:rsid w:val="00FF6CE1"/>
    <w:rsid w:val="00FF6D32"/>
    <w:rsid w:val="00FF6EC7"/>
    <w:rsid w:val="0190658F"/>
    <w:rsid w:val="01991C63"/>
    <w:rsid w:val="030BB5A4"/>
    <w:rsid w:val="0468D22C"/>
    <w:rsid w:val="04EF4257"/>
    <w:rsid w:val="0531A895"/>
    <w:rsid w:val="058D4997"/>
    <w:rsid w:val="05AACB35"/>
    <w:rsid w:val="07796D4D"/>
    <w:rsid w:val="079975C0"/>
    <w:rsid w:val="081CCA84"/>
    <w:rsid w:val="0829A1F0"/>
    <w:rsid w:val="0A6FA32B"/>
    <w:rsid w:val="0A985B0B"/>
    <w:rsid w:val="0C590469"/>
    <w:rsid w:val="0D3A42AB"/>
    <w:rsid w:val="0D896C1E"/>
    <w:rsid w:val="0E3AA18A"/>
    <w:rsid w:val="0E8E0541"/>
    <w:rsid w:val="0F7489A3"/>
    <w:rsid w:val="10D7C0E2"/>
    <w:rsid w:val="10D86ED5"/>
    <w:rsid w:val="162A3319"/>
    <w:rsid w:val="17BFFDBE"/>
    <w:rsid w:val="18591AE5"/>
    <w:rsid w:val="187F087A"/>
    <w:rsid w:val="18AC05FC"/>
    <w:rsid w:val="18B42558"/>
    <w:rsid w:val="18BBA20B"/>
    <w:rsid w:val="1964EEEA"/>
    <w:rsid w:val="1C0C92DA"/>
    <w:rsid w:val="1D5887CF"/>
    <w:rsid w:val="1EB1A53C"/>
    <w:rsid w:val="22518B4D"/>
    <w:rsid w:val="2400229B"/>
    <w:rsid w:val="249F4B0F"/>
    <w:rsid w:val="2525BB3D"/>
    <w:rsid w:val="253DE010"/>
    <w:rsid w:val="2841585E"/>
    <w:rsid w:val="2A24DBA8"/>
    <w:rsid w:val="2AFEAC96"/>
    <w:rsid w:val="2B6052EF"/>
    <w:rsid w:val="2C7801B8"/>
    <w:rsid w:val="2CBF6109"/>
    <w:rsid w:val="2DFE5577"/>
    <w:rsid w:val="33D6BC75"/>
    <w:rsid w:val="3607A0F4"/>
    <w:rsid w:val="3625AFDD"/>
    <w:rsid w:val="39979967"/>
    <w:rsid w:val="3AA4E31E"/>
    <w:rsid w:val="3D535B18"/>
    <w:rsid w:val="3DDEA8A4"/>
    <w:rsid w:val="3EAAFAB9"/>
    <w:rsid w:val="43800A53"/>
    <w:rsid w:val="45057B42"/>
    <w:rsid w:val="467D9C97"/>
    <w:rsid w:val="47A159ED"/>
    <w:rsid w:val="47A579BB"/>
    <w:rsid w:val="482E0CF2"/>
    <w:rsid w:val="49077AB6"/>
    <w:rsid w:val="49847AA3"/>
    <w:rsid w:val="499FD619"/>
    <w:rsid w:val="49F534EA"/>
    <w:rsid w:val="4B6A814C"/>
    <w:rsid w:val="4B7AAAAF"/>
    <w:rsid w:val="4ECC4D65"/>
    <w:rsid w:val="4F7634F1"/>
    <w:rsid w:val="5289E836"/>
    <w:rsid w:val="52C34373"/>
    <w:rsid w:val="55890710"/>
    <w:rsid w:val="5AC9D732"/>
    <w:rsid w:val="5D8E19E4"/>
    <w:rsid w:val="5E3694D2"/>
    <w:rsid w:val="5E3E4F87"/>
    <w:rsid w:val="6041892A"/>
    <w:rsid w:val="6132CB2F"/>
    <w:rsid w:val="618CBAC6"/>
    <w:rsid w:val="61FFA27D"/>
    <w:rsid w:val="62ACEE00"/>
    <w:rsid w:val="646C650C"/>
    <w:rsid w:val="64BC095B"/>
    <w:rsid w:val="653404A7"/>
    <w:rsid w:val="65D7FB9A"/>
    <w:rsid w:val="6618A042"/>
    <w:rsid w:val="672B741F"/>
    <w:rsid w:val="6762A513"/>
    <w:rsid w:val="67CBC49F"/>
    <w:rsid w:val="694E65AF"/>
    <w:rsid w:val="6B8022F9"/>
    <w:rsid w:val="6BE01C9F"/>
    <w:rsid w:val="6C16C92B"/>
    <w:rsid w:val="6C773BF3"/>
    <w:rsid w:val="6DA5CE5E"/>
    <w:rsid w:val="6F65F12D"/>
    <w:rsid w:val="707E0C3A"/>
    <w:rsid w:val="70AF4E6E"/>
    <w:rsid w:val="70F66F87"/>
    <w:rsid w:val="72BB0FC8"/>
    <w:rsid w:val="73C63EEF"/>
    <w:rsid w:val="7501CF33"/>
    <w:rsid w:val="7549F579"/>
    <w:rsid w:val="75D532B1"/>
    <w:rsid w:val="767EE65B"/>
    <w:rsid w:val="795A1C8F"/>
    <w:rsid w:val="7981E76D"/>
    <w:rsid w:val="799D71D6"/>
    <w:rsid w:val="7A9B58A8"/>
    <w:rsid w:val="7BF32C55"/>
    <w:rsid w:val="7EB91283"/>
    <w:rsid w:val="7F102FF0"/>
    <w:rsid w:val="7FACDF17"/>
    <w:rsid w:val="7FE2AD24"/>
  </w:rsids>
  <w:docVars>
    <w:docVar w:name="__Grammarly_42___1" w:val="H4sIAAAAAAAEAKtWcslP9kxRslIyNDY2NbUwNjO1MDMyM7cwNTVQ0lEKTi0uzszPAykwrAUAW0PNM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12FB050"/>
  <w15:docId w15:val="{51CE140E-FB63-44EF-A85B-5FF095BA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111EE7"/>
    <w:pPr>
      <w:keepLines/>
      <w:numPr>
        <w:ilvl w:val="1"/>
        <w:numId w:val="9"/>
      </w:numPr>
      <w:tabs>
        <w:tab w:val="left" w:pos="450"/>
      </w:tabs>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qFormat/>
    <w:rsid w:val="007D4251"/>
    <w:rPr>
      <w:vertAlign w:val="superscript"/>
    </w:rPr>
  </w:style>
  <w:style w:type="character" w:styleId="CommentReference">
    <w:name w:val="annotation reference"/>
    <w:basedOn w:val="DefaultParagraphFont"/>
    <w:unhideWhenUsed/>
    <w:qFormat/>
    <w:rsid w:val="00766CD0"/>
    <w:rPr>
      <w:sz w:val="16"/>
      <w:szCs w:val="16"/>
    </w:rPr>
  </w:style>
  <w:style w:type="paragraph" w:styleId="CommentText">
    <w:name w:val="annotation text"/>
    <w:aliases w:val="Times New Roman,t"/>
    <w:basedOn w:val="Normal"/>
    <w:link w:val="CommentTextChar"/>
    <w:uiPriority w:val="99"/>
    <w:unhideWhenUsed/>
    <w:qFormat/>
    <w:rsid w:val="00766CD0"/>
    <w:rPr>
      <w:szCs w:val="20"/>
    </w:rPr>
  </w:style>
  <w:style w:type="character" w:customStyle="1" w:styleId="CommentTextChar">
    <w:name w:val="Comment Text Char"/>
    <w:aliases w:val="Times New Roman Char,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111EE7"/>
    <w:rPr>
      <w:rFonts w:ascii="Times New Roman" w:hAnsi="Times New Roman" w:eastAsiaTheme="majorEastAsia"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hAnsi="Times New Roman" w:eastAsiaTheme="majorEastAsia"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hAnsi="Times New Roman" w:eastAsiaTheme="majorEastAsia"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hAnsi="Times New Roman" w:eastAsiaTheme="majorEastAsia" w:cstheme="majorBidi"/>
      <w:b/>
      <w:spacing w:val="-10"/>
      <w:kern w:val="28"/>
      <w:sz w:val="28"/>
      <w:szCs w:val="56"/>
    </w:rPr>
  </w:style>
  <w:style w:type="numbering" w:customStyle="1" w:styleId="StyleforLevelHeadings">
    <w:name w:val="Style for Level Headings"/>
    <w:uiPriority w:val="99"/>
    <w:rsid w:val="00CE0C84"/>
    <w:pPr>
      <w:numPr>
        <w:numId w:val="8"/>
      </w:numPr>
    </w:pPr>
  </w:style>
  <w:style w:type="character" w:customStyle="1" w:styleId="normaltextrun">
    <w:name w:val="normaltextrun"/>
    <w:basedOn w:val="DefaultParagraphFont"/>
    <w:rsid w:val="00A171E0"/>
  </w:style>
  <w:style w:type="character" w:styleId="UnresolvedMention">
    <w:name w:val="Unresolved Mention"/>
    <w:basedOn w:val="DefaultParagraphFont"/>
    <w:uiPriority w:val="99"/>
    <w:unhideWhenUsed/>
    <w:rsid w:val="009E21AF"/>
    <w:rPr>
      <w:color w:val="605E5C"/>
      <w:shd w:val="clear" w:color="auto" w:fill="E1DFDD"/>
    </w:rPr>
  </w:style>
  <w:style w:type="character" w:styleId="Mention">
    <w:name w:val="Mention"/>
    <w:basedOn w:val="DefaultParagraphFont"/>
    <w:uiPriority w:val="99"/>
    <w:unhideWhenUsed/>
    <w:rsid w:val="009E21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cms.gov/provider-data/" TargetMode="External" /><Relationship Id="rId11" Type="http://schemas.openxmlformats.org/officeDocument/2006/relationships/hyperlink" Target="https://www.cms.gov/medicare/quality/nursing-home-improvement/value-based-purchasing" TargetMode="External" /><Relationship Id="rId12" Type="http://schemas.openxmlformats.org/officeDocument/2006/relationships/hyperlink" Target="https://www.cms.gov/medicare/quality/snf-quality-reporting-progra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medicare.gov/care-compar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snf-quality-reporting-program/help" TargetMode="External" /><Relationship Id="rId2" Type="http://schemas.openxmlformats.org/officeDocument/2006/relationships/hyperlink" Target="https://www.ncbi.nlm.nih.gov/pmc/articles/PMC6591108/" TargetMode="External" /><Relationship Id="rId3" Type="http://schemas.openxmlformats.org/officeDocument/2006/relationships/hyperlink" Target="https://www.bls.gov/oes/current/oes299021.htm" TargetMode="External" /><Relationship Id="rId4" Type="http://schemas.openxmlformats.org/officeDocument/2006/relationships/hyperlink" Target="http://data.bls.gov/cgi-bin/cpicalc.pl" TargetMode="External" /><Relationship Id="rId5" Type="http://schemas.openxmlformats.org/officeDocument/2006/relationships/hyperlink" Target="https://store.usps.com/store/product/shipping-supplies/priority-mail-forever-prepaid-flat-rate-large-box-P_PPLFR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14E033CCCE654E85885CA3012E4729" ma:contentTypeVersion="15" ma:contentTypeDescription="Create a new document." ma:contentTypeScope="" ma:versionID="5e82dfcc071d04a4028fd9bd9c5be618">
  <xsd:schema xmlns:xsd="http://www.w3.org/2001/XMLSchema" xmlns:xs="http://www.w3.org/2001/XMLSchema" xmlns:p="http://schemas.microsoft.com/office/2006/metadata/properties" xmlns:ns2="8385fbca-33c4-4bf1-89a8-19bf5c5ed184" xmlns:ns3="37bdfad6-a0e8-4d70-b92d-f5f3dff9cf12" xmlns:ns4="b5a44311-ed64-4a72-909f-c9dc6973bde2" targetNamespace="http://schemas.microsoft.com/office/2006/metadata/properties" ma:root="true" ma:fieldsID="36d337d174e099d4ac27fcdbd9c4843f" ns2:_="" ns3:_="" ns4:_="">
    <xsd:import namespace="8385fbca-33c4-4bf1-89a8-19bf5c5ed184"/>
    <xsd:import namespace="37bdfad6-a0e8-4d70-b92d-f5f3dff9cf12"/>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5fbca-33c4-4bf1-89a8-19bf5c5ed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dfad6-a0e8-4d70-b92d-f5f3dff9cf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f65c92-d43a-4fc2-94be-b3a8381e217e}" ma:internalName="TaxCatchAll" ma:showField="CatchAllData" ma:web="37bdfad6-a0e8-4d70-b92d-f5f3dff9c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8385fbca-33c4-4bf1-89a8-19bf5c5ed184">
      <Terms xmlns="http://schemas.microsoft.com/office/infopath/2007/PartnerControls"/>
    </lcf76f155ced4ddcb4097134ff3c332f>
    <SharedWithUsers xmlns="37bdfad6-a0e8-4d70-b92d-f5f3dff9cf12">
      <UserInfo>
        <DisplayName>Gareth E Embrey</DisplayName>
        <AccountId>359</AccountId>
        <AccountType/>
      </UserInfo>
    </SharedWithUsers>
  </documentManagement>
</p:properties>
</file>

<file path=customXml/itemProps1.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2.xml><?xml version="1.0" encoding="utf-8"?>
<ds:datastoreItem xmlns:ds="http://schemas.openxmlformats.org/officeDocument/2006/customXml" ds:itemID="{C33E82E4-6D50-47A9-B8A9-48319AA1BF2D}">
  <ds:schemaRefs>
    <ds:schemaRef ds:uri="http://schemas.openxmlformats.org/officeDocument/2006/bibliography"/>
  </ds:schemaRefs>
</ds:datastoreItem>
</file>

<file path=customXml/itemProps3.xml><?xml version="1.0" encoding="utf-8"?>
<ds:datastoreItem xmlns:ds="http://schemas.openxmlformats.org/officeDocument/2006/customXml" ds:itemID="{38A38EDD-D0CA-4448-B1A9-EE4BDF480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5fbca-33c4-4bf1-89a8-19bf5c5ed184"/>
    <ds:schemaRef ds:uri="37bdfad6-a0e8-4d70-b92d-f5f3dff9cf12"/>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 ds:uri="b5a44311-ed64-4a72-909f-c9dc6973bde2"/>
    <ds:schemaRef ds:uri="8385fbca-33c4-4bf1-89a8-19bf5c5ed184"/>
    <ds:schemaRef ds:uri="37bdfad6-a0e8-4d70-b92d-f5f3dff9cf1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4918</Words>
  <Characters>25625</Characters>
  <Application>Microsoft Office Word</Application>
  <DocSecurity>0</DocSecurity>
  <Lines>533</Lines>
  <Paragraphs>216</Paragraphs>
  <ScaleCrop>false</ScaleCrop>
  <HeadingPairs>
    <vt:vector size="2" baseType="variant">
      <vt:variant>
        <vt:lpstr>Title</vt:lpstr>
      </vt:variant>
      <vt:variant>
        <vt:i4>1</vt:i4>
      </vt:variant>
    </vt:vector>
  </HeadingPairs>
  <TitlesOfParts>
    <vt:vector size="1" baseType="lpstr">
      <vt:lpstr>Quality Measures and Administrative Procedures for the SNF VBP and QRP for the FY 2025 SNF PPS Proposed Rule</vt:lpstr>
    </vt:vector>
  </TitlesOfParts>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Measures and Administrative Procedures for the SNF VBP and QRP for the FY 2025 SNF PPS Proposed Rule</dc:title>
  <dc:creator>CMS</dc:creator>
  <cp:lastModifiedBy>Rob Truhn</cp:lastModifiedBy>
  <cp:revision>3</cp:revision>
  <dcterms:created xsi:type="dcterms:W3CDTF">2024-08-13T06:53:00Z</dcterms:created>
  <dcterms:modified xsi:type="dcterms:W3CDTF">2024-08-13T22:49:00Z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0x0101000B14E033CCCE654E85885CA3012E4729</vt:lpwstr>
  </property>
  <property fmtid="{D5CDD505-2E9C-101B-9397-08002B2CF9AE}" pid="3" name="MediaServiceImageTags">
    <vt:lpwstr/>
  </property>
  <property fmtid="{D5CDD505-2E9C-101B-9397-08002B2CF9AE}" pid="4" name="Order">
    <vt:r8>1711800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_NewReviewCycle">
    <vt:lpwstr/>
  </property>
</Properties>
</file>