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4D9FF290" w14:textId="77777777">
      <w:pPr>
        <w:jc w:val="center"/>
      </w:pPr>
    </w:p>
    <w:p w:rsidR="007C2379" w:rsidP="007C2379" w14:paraId="0C2952D6" w14:textId="7396D71F">
      <w:pPr>
        <w:jc w:val="center"/>
      </w:pPr>
    </w:p>
    <w:p w:rsidR="00FF5C74" w:rsidP="007C2379" w14:paraId="285B8B06" w14:textId="37FB3C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CEF16A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P="007C2379" w14:paraId="71D52DF6" w14:textId="1C252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</w:p>
    <w:p w:rsidR="00CA0877" w:rsidP="00DD5CB7" w14:paraId="4A219B40" w14:textId="3C46B3DE">
      <w:pPr>
        <w:jc w:val="center"/>
        <w:rPr>
          <w:rFonts w:ascii="Myriad Pro" w:hAnsi="Myriad Pro" w:cs="Myriad Pro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259080</wp:posOffset>
                </wp:positionV>
                <wp:extent cx="6907530" cy="6667500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E82" w:rsidP="0001174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processes):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91D91" w:rsidP="004F7E82" w14:textId="77777777">
                            <w:pPr>
                              <w:ind w:left="36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CDC provides public heath surveillance</w:t>
                            </w:r>
                            <w:r w:rsidR="000732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4F7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public health emergency response services</w:t>
                            </w:r>
                            <w:r w:rsidR="000732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benefit public preparedness </w:t>
                            </w:r>
                            <w:r w:rsidR="00770C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FD7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provides services to support</w:t>
                            </w:r>
                            <w:r w:rsidR="00770C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jurisdictions in this goal.  A key component of jurisdictional activity</w:t>
                            </w:r>
                            <w:r w:rsidR="00983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2E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 the state and local</w:t>
                            </w:r>
                            <w:r w:rsidR="00983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levels</w:t>
                            </w:r>
                            <w:r w:rsidR="00770C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 to provide case investigation for reportable diseases</w:t>
                            </w:r>
                            <w:r w:rsidR="00A34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 An identified challenge of case investigation is the interview of populations that have been historically marginalized</w:t>
                            </w:r>
                            <w:r w:rsidR="005622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 a way that </w:t>
                            </w:r>
                            <w:r w:rsidR="00FD7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983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culturally competent and </w:t>
                            </w:r>
                            <w:r w:rsidR="00FD7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trauma informed</w:t>
                            </w:r>
                            <w:r w:rsidRPr="004F7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491D91" w:rsidP="004F7E82" w14:textId="77777777">
                            <w:pPr>
                              <w:ind w:left="36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1902FF" w:rsidP="001902FF" w14:textId="7272D534">
                            <w:pPr>
                              <w:ind w:left="36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7E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goal of this project is to improve CDC</w:t>
                            </w:r>
                            <w:r w:rsidR="00983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’s support to </w:t>
                            </w:r>
                            <w:r w:rsidR="00012E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jurisdictions</w:t>
                            </w:r>
                            <w:r w:rsidR="00983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6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providing a training on person-centered case interview practices for disproportionately affected populations</w:t>
                            </w:r>
                            <w:r w:rsidR="00FD7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including people experiencing homelessness, people with a disability, and people with a substance use disorder</w:t>
                            </w:r>
                            <w:r w:rsidR="00E667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983F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2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would improve both</w:t>
                            </w:r>
                            <w:r w:rsidR="006D28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case investigation data quality and relationships between public health and community members disproportionately affected by health concerns due to systemic inequities.</w:t>
                            </w:r>
                            <w:r w:rsidR="001902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 desired result is improved CDC service to support jurisdictions for surveillance among these populations.  </w:t>
                            </w:r>
                          </w:p>
                          <w:p w:rsidR="008631BA" w:rsidRPr="00011743" w:rsidP="008631BA" w14:textId="7777777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eastAsia="Calibri"/>
                              </w:rPr>
                            </w:pPr>
                            <w:r w:rsidRPr="00011743">
                              <w:rPr>
                                <w:rFonts w:eastAsia="Calibri"/>
                              </w:rPr>
                              <w:t xml:space="preserve">Intended use of the resulting data (e.g., provide suggestions for improving community-based programs):  </w:t>
                            </w:r>
                          </w:p>
                          <w:p w:rsidR="008631BA" w:rsidRPr="00011743" w:rsidP="008631BA" w14:textId="632EDA5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left="360"/>
                            </w:pPr>
                            <w:r w:rsidRPr="00011743">
                              <w:rPr>
                                <w:rFonts w:eastAsia="Calibri"/>
                              </w:rPr>
                              <w:t>To guide</w:t>
                            </w:r>
                            <w:r w:rsidRPr="00011743">
                              <w:t xml:space="preserve"> </w:t>
                            </w:r>
                            <w:r w:rsidR="00036295">
                              <w:t>development of a person-centered case interview training</w:t>
                            </w:r>
                            <w:r w:rsidRPr="00011743">
                              <w:t xml:space="preserve"> to improve CDC services to </w:t>
                            </w:r>
                            <w:r w:rsidR="00036295">
                              <w:t>support case investigation training needs of jurisdictions.</w:t>
                            </w:r>
                          </w:p>
                          <w:p w:rsidR="008631BA" w:rsidRPr="00011743" w:rsidP="008631BA" w14:textId="6E81C6D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5247E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</w:p>
                          <w:p w:rsidR="00363BCD" w:rsidP="00011743" w14:textId="4E682BC3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="00FF38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online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multiple-choice questions as part of a cross-sectional </w:t>
                            </w:r>
                            <w:r w:rsidR="00012E2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one-time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survey</w:t>
                            </w:r>
                            <w:r w:rsidR="00FF38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after </w:t>
                            </w:r>
                            <w:r w:rsidR="009E04C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voluntarily </w:t>
                            </w:r>
                            <w:r w:rsidR="00FF38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reviewing draft training materials; </w:t>
                            </w:r>
                            <w:r w:rsidR="009E04C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optional participation in a </w:t>
                            </w:r>
                            <w:r w:rsidR="00012E2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one-hour</w:t>
                            </w:r>
                            <w:r w:rsidR="009E04C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focus group to discuss impressions of the draft training and give feedback to training designers.</w:t>
                            </w:r>
                          </w:p>
                          <w:p w:rsidR="00914B09" w:rsidRPr="00011743" w:rsidP="0001174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A8003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(e.g., school-age children in North Carolina, conference attendees): </w:t>
                            </w:r>
                          </w:p>
                          <w:p w:rsidR="00363BCD" w:rsidRPr="00011743" w:rsidP="00011743" w14:textId="75D38136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Jurisdictional public health staff at the state or local leve</w:t>
                            </w:r>
                            <w:r w:rsidR="00012E2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l; subject matter experts in the principal populations of focus (those experiencing homelessness, substance use disorder, or disability)</w:t>
                            </w:r>
                          </w:p>
                          <w:p w:rsidR="008631BA" w:rsidRPr="00011743" w:rsidP="008631BA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D9047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How data will be 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analyzed  (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e.g., logistic regression, descriptive statistics): </w:t>
                            </w:r>
                          </w:p>
                          <w:p w:rsidR="00363BCD" w:rsidRPr="003D7617" w:rsidP="00011743" w14:textId="22090806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Descriptive statistics </w:t>
                            </w:r>
                            <w:r w:rsidR="00491D9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multiple choice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D9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data; rapid qualitative thematic assessment of focus group data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525pt;margin-top:20.4pt;margin-left:-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4F7E82" w:rsidP="00011743" w14:paraId="7067038F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processes):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491D91" w:rsidP="004F7E82" w14:paraId="6E4EEB39" w14:textId="77777777">
                      <w:pPr>
                        <w:ind w:left="36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7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CDC provides public heath surveillance</w:t>
                      </w:r>
                      <w:r w:rsidR="000732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</w:t>
                      </w:r>
                      <w:r w:rsidRPr="004F7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public health emergency response services</w:t>
                      </w:r>
                      <w:r w:rsidR="000732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benefit public preparedness </w:t>
                      </w:r>
                      <w:r w:rsidR="00770C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="00FD73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provides services to support</w:t>
                      </w:r>
                      <w:r w:rsidR="00770C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jurisdictions in this goal.  A key component of jurisdictional activity</w:t>
                      </w:r>
                      <w:r w:rsidR="00983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12E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 the state and local</w:t>
                      </w:r>
                      <w:r w:rsidR="00983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levels</w:t>
                      </w:r>
                      <w:r w:rsidR="00770C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 to provide case investigation for reportable diseases</w:t>
                      </w:r>
                      <w:r w:rsidR="00A34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 An identified challenge of case investigation is the interview of populations that have been historically marginalized</w:t>
                      </w:r>
                      <w:r w:rsidR="005622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 a way that </w:t>
                      </w:r>
                      <w:r w:rsidR="00FD73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="00983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culturally competent and </w:t>
                      </w:r>
                      <w:r w:rsidR="00FD73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trauma informed</w:t>
                      </w:r>
                      <w:r w:rsidRPr="004F7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491D91" w:rsidP="004F7E82" w14:paraId="586A6799" w14:textId="77777777">
                      <w:pPr>
                        <w:ind w:left="36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1902FF" w:rsidP="001902FF" w14:paraId="5127B876" w14:textId="7272D534">
                      <w:pPr>
                        <w:ind w:left="36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7E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goal of this project is to improve CDC</w:t>
                      </w:r>
                      <w:r w:rsidR="00983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’s support to </w:t>
                      </w:r>
                      <w:r w:rsidR="00012E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jurisdictions</w:t>
                      </w:r>
                      <w:r w:rsidR="00983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667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providing a training on person-centered case interview practices for disproportionately affected populations</w:t>
                      </w:r>
                      <w:r w:rsidR="00FD73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including people experiencing homelessness, people with a disability, and people with a substance use disorder</w:t>
                      </w:r>
                      <w:r w:rsidR="00E667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983F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902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would improve both</w:t>
                      </w:r>
                      <w:r w:rsidR="006D28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case investigation data quality and relationships between public health and community members disproportionately affected by health concerns due to systemic inequities.</w:t>
                      </w:r>
                      <w:r w:rsidR="001902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desired result is improved CDC service to support jurisdictions for surveillance among these populations.  </w:t>
                      </w:r>
                    </w:p>
                    <w:p w:rsidR="008631BA" w:rsidRPr="00011743" w:rsidP="008631BA" w14:paraId="5E7F9AF1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eastAsia="Calibri"/>
                        </w:rPr>
                      </w:pPr>
                      <w:r w:rsidRPr="00011743">
                        <w:rPr>
                          <w:rFonts w:eastAsia="Calibri"/>
                        </w:rPr>
                        <w:t xml:space="preserve">Intended use of the resulting data (e.g., provide suggestions for improving community-based programs):  </w:t>
                      </w:r>
                    </w:p>
                    <w:p w:rsidR="008631BA" w:rsidRPr="00011743" w:rsidP="008631BA" w14:paraId="7B7FBCFA" w14:textId="632EDA5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left="360"/>
                      </w:pPr>
                      <w:r w:rsidRPr="00011743">
                        <w:rPr>
                          <w:rFonts w:eastAsia="Calibri"/>
                        </w:rPr>
                        <w:t>To guide</w:t>
                      </w:r>
                      <w:r w:rsidRPr="00011743">
                        <w:t xml:space="preserve"> </w:t>
                      </w:r>
                      <w:r w:rsidR="00036295">
                        <w:t>development of a person-centered case interview training</w:t>
                      </w:r>
                      <w:r w:rsidRPr="00011743">
                        <w:t xml:space="preserve"> to improve CDC services to </w:t>
                      </w:r>
                      <w:r w:rsidR="00036295">
                        <w:t>support case investigation training needs of jurisdictions.</w:t>
                      </w:r>
                    </w:p>
                    <w:p w:rsidR="008631BA" w:rsidRPr="00011743" w:rsidP="008631BA" w14:paraId="765A22B6" w14:textId="6E81C6D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5247E9" w14:paraId="1547B9BE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</w:p>
                    <w:p w:rsidR="00363BCD" w:rsidP="00011743" w14:paraId="51120A71" w14:textId="4E682BC3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Short </w:t>
                      </w:r>
                      <w:r w:rsidR="00FF38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online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multiple-choice questions as part of a cross-sectional </w:t>
                      </w:r>
                      <w:r w:rsidR="00012E2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one-time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survey</w:t>
                      </w:r>
                      <w:r w:rsidR="00FF38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after </w:t>
                      </w:r>
                      <w:r w:rsidR="009E04C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voluntarily </w:t>
                      </w:r>
                      <w:r w:rsidR="00FF38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reviewing draft training materials; </w:t>
                      </w:r>
                      <w:r w:rsidR="009E04C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optional participation in a </w:t>
                      </w:r>
                      <w:r w:rsidR="00012E2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one-hour</w:t>
                      </w:r>
                      <w:r w:rsidR="009E04C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focus group to discuss impressions of the draft training and give feedback to training designers.</w:t>
                      </w:r>
                    </w:p>
                    <w:p w:rsidR="00914B09" w:rsidRPr="00011743" w:rsidP="00011743" w14:paraId="5BA3C3F9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A80034" w14:paraId="2F71C781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(e.g., school-age children in North Carolina, conference attendees): </w:t>
                      </w:r>
                    </w:p>
                    <w:p w:rsidR="00363BCD" w:rsidRPr="00011743" w:rsidP="00011743" w14:paraId="3C277215" w14:textId="75D38136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Jurisdictional public health staff at the state or local leve</w:t>
                      </w:r>
                      <w:r w:rsidR="00012E2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l; subject matter experts in the principal populations of focus (those experiencing homelessness, substance use disorder, or disability)</w:t>
                      </w:r>
                    </w:p>
                    <w:p w:rsidR="008631BA" w:rsidRPr="00011743" w:rsidP="008631BA" w14:paraId="21FA701C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D9047C" w14:paraId="54195619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How data will be 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analyzed  (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e.g., logistic regression, descriptive statistics): </w:t>
                      </w:r>
                    </w:p>
                    <w:p w:rsidR="00363BCD" w:rsidRPr="003D7617" w:rsidP="00011743" w14:paraId="50507216" w14:textId="22090806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Descriptive statistics </w:t>
                      </w:r>
                      <w:r w:rsidR="00491D9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multiple choice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1D9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data; rapid qualitative thematic assessment of focus group data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14:paraId="39358365" w14:textId="77777777"/>
                  </w:txbxContent>
                </v:textbox>
              </v:shape>
            </w:pict>
          </mc:Fallback>
        </mc:AlternateContent>
      </w:r>
      <w:r w:rsidRPr="00CA0877" w:rsidR="00CA0877">
        <w:rPr>
          <w:rFonts w:ascii="Myriad Pro" w:hAnsi="Myriad Pro" w:cs="Myriad Pro"/>
        </w:rPr>
        <w:t>Jurisdictional Staff Feedback to Improve Case Interview Training</w:t>
      </w:r>
    </w:p>
    <w:p w:rsidR="00DC57CC" w:rsidRPr="00DD5CB7" w:rsidP="00DD5CB7" w14:paraId="1A513C57" w14:textId="50470CD0">
      <w:pPr>
        <w:jc w:val="center"/>
        <w:rPr>
          <w:rFonts w:ascii="Myriad Pro" w:hAnsi="Myriad Pro" w:cs="Myriad Pro"/>
        </w:rPr>
      </w:pP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1A324F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9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11743"/>
    <w:rsid w:val="00012E2D"/>
    <w:rsid w:val="00036295"/>
    <w:rsid w:val="00054E4E"/>
    <w:rsid w:val="000574DC"/>
    <w:rsid w:val="00067800"/>
    <w:rsid w:val="000732BA"/>
    <w:rsid w:val="00096B2F"/>
    <w:rsid w:val="000A669C"/>
    <w:rsid w:val="000E5F90"/>
    <w:rsid w:val="00126AD2"/>
    <w:rsid w:val="0013576F"/>
    <w:rsid w:val="001902FF"/>
    <w:rsid w:val="001C21ED"/>
    <w:rsid w:val="001D65CC"/>
    <w:rsid w:val="001E3E32"/>
    <w:rsid w:val="002029A5"/>
    <w:rsid w:val="00281CC6"/>
    <w:rsid w:val="00361A59"/>
    <w:rsid w:val="00363BCD"/>
    <w:rsid w:val="003652C3"/>
    <w:rsid w:val="0038555D"/>
    <w:rsid w:val="003A18CB"/>
    <w:rsid w:val="003D7617"/>
    <w:rsid w:val="0042068B"/>
    <w:rsid w:val="00491D91"/>
    <w:rsid w:val="004F2ACD"/>
    <w:rsid w:val="004F7E82"/>
    <w:rsid w:val="005247E9"/>
    <w:rsid w:val="0053047E"/>
    <w:rsid w:val="00546767"/>
    <w:rsid w:val="005622C9"/>
    <w:rsid w:val="005705CB"/>
    <w:rsid w:val="0057123F"/>
    <w:rsid w:val="005B3F9B"/>
    <w:rsid w:val="006310FB"/>
    <w:rsid w:val="00636E74"/>
    <w:rsid w:val="006B50F0"/>
    <w:rsid w:val="006C0A8E"/>
    <w:rsid w:val="006D28D2"/>
    <w:rsid w:val="006F7046"/>
    <w:rsid w:val="00770C62"/>
    <w:rsid w:val="00797192"/>
    <w:rsid w:val="007B0F0D"/>
    <w:rsid w:val="007C2379"/>
    <w:rsid w:val="007D768D"/>
    <w:rsid w:val="007F0576"/>
    <w:rsid w:val="0082799F"/>
    <w:rsid w:val="00847CCF"/>
    <w:rsid w:val="008631BA"/>
    <w:rsid w:val="00914B09"/>
    <w:rsid w:val="0094021D"/>
    <w:rsid w:val="00983FE3"/>
    <w:rsid w:val="009A47E3"/>
    <w:rsid w:val="009B7372"/>
    <w:rsid w:val="009E04C1"/>
    <w:rsid w:val="00A3487F"/>
    <w:rsid w:val="00A80034"/>
    <w:rsid w:val="00A93FE1"/>
    <w:rsid w:val="00AB787C"/>
    <w:rsid w:val="00AC2316"/>
    <w:rsid w:val="00AF00B4"/>
    <w:rsid w:val="00B55735"/>
    <w:rsid w:val="00B76602"/>
    <w:rsid w:val="00BB602C"/>
    <w:rsid w:val="00BF0246"/>
    <w:rsid w:val="00BF4819"/>
    <w:rsid w:val="00BF486A"/>
    <w:rsid w:val="00C5044A"/>
    <w:rsid w:val="00CA0877"/>
    <w:rsid w:val="00CE04EB"/>
    <w:rsid w:val="00CF653B"/>
    <w:rsid w:val="00D03FE5"/>
    <w:rsid w:val="00D21DDE"/>
    <w:rsid w:val="00D56902"/>
    <w:rsid w:val="00D66629"/>
    <w:rsid w:val="00D9047C"/>
    <w:rsid w:val="00DB1FDF"/>
    <w:rsid w:val="00DC57CC"/>
    <w:rsid w:val="00DC72AD"/>
    <w:rsid w:val="00DD5CB7"/>
    <w:rsid w:val="00E24245"/>
    <w:rsid w:val="00E66737"/>
    <w:rsid w:val="00F27E04"/>
    <w:rsid w:val="00F575F0"/>
    <w:rsid w:val="00FD73A8"/>
    <w:rsid w:val="00FF387D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631B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31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Gadsden-Knowles, Kim (CDC/IOD/OPHDST)</cp:lastModifiedBy>
  <cp:revision>2</cp:revision>
  <dcterms:created xsi:type="dcterms:W3CDTF">2024-03-20T14:00:00Z</dcterms:created>
  <dcterms:modified xsi:type="dcterms:W3CDTF">2024-03-20T14:00:00Z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ef15af0a-03ad-417d-b898-c729848c07e6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2023-06-07T13:34:51Z</vt:lpwstr>
  </property>
  <property fmtid="{D5CDD505-2E9C-101B-9397-08002B2CF9AE}" pid="8" name="MSIP_Label_7b94a7b8-f06c-4dfe-bdcc-9b548fd58c31_SiteId">
    <vt:lpwstr>9ce70869-60db-44fd-abe8-d2767077fc8f</vt:lpwstr>
  </property>
</Properties>
</file>