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590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E958821">
            <w:pPr>
              <w:rPr>
                <w:rFonts w:eastAsiaTheme="minorHAnsi"/>
                <w:sz w:val="22"/>
                <w:szCs w:val="22"/>
              </w:rPr>
            </w:pPr>
            <w:r>
              <w:rPr>
                <w:rFonts w:eastAsiaTheme="minorHAnsi"/>
                <w:sz w:val="22"/>
                <w:szCs w:val="22"/>
              </w:rPr>
              <w:t>[</w:t>
            </w:r>
            <w:r w:rsidR="00D151CF">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743B5BE1">
            <w:pPr>
              <w:widowControl w:val="0"/>
              <w:rPr>
                <w:sz w:val="22"/>
                <w:szCs w:val="22"/>
              </w:rPr>
            </w:pPr>
            <w:r>
              <w:rPr>
                <w:rFonts w:eastAsiaTheme="minorHAnsi"/>
                <w:sz w:val="22"/>
                <w:szCs w:val="22"/>
              </w:rPr>
              <w:t>[  ] Yes     [</w:t>
            </w:r>
            <w:r w:rsidR="00740C61">
              <w:rPr>
                <w:rFonts w:eastAsiaTheme="minorHAnsi"/>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6A63168">
            <w:pPr>
              <w:rPr>
                <w:rFonts w:eastAsiaTheme="minorHAnsi"/>
                <w:sz w:val="22"/>
                <w:szCs w:val="22"/>
              </w:rPr>
            </w:pPr>
            <w:r>
              <w:rPr>
                <w:rFonts w:eastAsiaTheme="minorHAnsi"/>
                <w:sz w:val="22"/>
                <w:szCs w:val="22"/>
              </w:rPr>
              <w:t>[</w:t>
            </w:r>
            <w:r w:rsidR="00D151CF">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40D461C6">
            <w:pPr>
              <w:widowControl w:val="0"/>
              <w:rPr>
                <w:sz w:val="22"/>
                <w:szCs w:val="22"/>
              </w:rPr>
            </w:pPr>
            <w:r>
              <w:rPr>
                <w:rFonts w:eastAsiaTheme="minorHAnsi"/>
                <w:sz w:val="22"/>
                <w:szCs w:val="22"/>
              </w:rPr>
              <w:t>[  ] Yes     [</w:t>
            </w:r>
            <w:r w:rsidR="00740C61">
              <w:rPr>
                <w:rFonts w:eastAsiaTheme="minorHAnsi"/>
                <w:sz w:val="22"/>
                <w:szCs w:val="22"/>
              </w:rPr>
              <w:t>x</w:t>
            </w:r>
            <w:r w:rsidR="00D151CF">
              <w:rPr>
                <w:rFonts w:eastAsiaTheme="minorHAnsi"/>
                <w:sz w:val="22"/>
                <w:szCs w:val="22"/>
              </w:rPr>
              <w:t>]</w:t>
            </w:r>
            <w:r>
              <w:rPr>
                <w:rFonts w:eastAsiaTheme="minorHAnsi"/>
                <w:sz w:val="22"/>
                <w:szCs w:val="22"/>
              </w:rPr>
              <w:t xml:space="preserve">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4D5CD6D5">
            <w:pPr>
              <w:rPr>
                <w:rFonts w:eastAsiaTheme="minorHAnsi"/>
                <w:sz w:val="22"/>
                <w:szCs w:val="22"/>
              </w:rPr>
            </w:pPr>
            <w:r>
              <w:rPr>
                <w:rFonts w:eastAsiaTheme="minorHAnsi"/>
                <w:sz w:val="22"/>
                <w:szCs w:val="22"/>
              </w:rPr>
              <w:t>[</w:t>
            </w:r>
            <w:r w:rsidR="00D151CF">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5D1C15B1">
            <w:pPr>
              <w:widowControl w:val="0"/>
              <w:rPr>
                <w:sz w:val="22"/>
                <w:szCs w:val="22"/>
              </w:rPr>
            </w:pPr>
            <w:r>
              <w:rPr>
                <w:rFonts w:eastAsiaTheme="minorHAnsi"/>
                <w:sz w:val="22"/>
                <w:szCs w:val="22"/>
              </w:rPr>
              <w:t>[  ] Yes     [</w:t>
            </w:r>
            <w:r w:rsidR="00740C61">
              <w:rPr>
                <w:rFonts w:eastAsiaTheme="minorHAnsi"/>
                <w:sz w:val="22"/>
                <w:szCs w:val="22"/>
              </w:rPr>
              <w:t>x</w:t>
            </w:r>
            <w:r>
              <w:rPr>
                <w:rFonts w:eastAsiaTheme="minorHAnsi"/>
                <w:sz w:val="22"/>
                <w:szCs w:val="22"/>
              </w:rPr>
              <w:t>]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721F3A5">
            <w:pPr>
              <w:rPr>
                <w:rFonts w:eastAsiaTheme="minorHAnsi"/>
                <w:sz w:val="22"/>
                <w:szCs w:val="22"/>
              </w:rPr>
            </w:pPr>
            <w:r>
              <w:rPr>
                <w:rFonts w:eastAsiaTheme="minorHAnsi"/>
                <w:sz w:val="22"/>
                <w:szCs w:val="22"/>
              </w:rPr>
              <w:t>[</w:t>
            </w:r>
            <w:r w:rsidR="00D151CF">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52CBACA3">
            <w:pPr>
              <w:widowControl w:val="0"/>
              <w:rPr>
                <w:sz w:val="22"/>
                <w:szCs w:val="22"/>
              </w:rPr>
            </w:pPr>
            <w:r>
              <w:rPr>
                <w:rFonts w:eastAsiaTheme="minorHAnsi"/>
                <w:sz w:val="22"/>
                <w:szCs w:val="22"/>
              </w:rPr>
              <w:t>[  ] Yes     [</w:t>
            </w:r>
            <w:r w:rsidR="00740C61">
              <w:rPr>
                <w:rFonts w:eastAsiaTheme="minorHAnsi"/>
                <w:sz w:val="22"/>
                <w:szCs w:val="22"/>
              </w:rPr>
              <w:t>x</w:t>
            </w:r>
            <w:r>
              <w:rPr>
                <w:rFonts w:eastAsiaTheme="minorHAnsi"/>
                <w:sz w:val="22"/>
                <w:szCs w:val="22"/>
              </w:rPr>
              <w:t>]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3105AF99">
            <w:pPr>
              <w:rPr>
                <w:rFonts w:eastAsiaTheme="minorHAnsi"/>
                <w:sz w:val="22"/>
                <w:szCs w:val="22"/>
              </w:rPr>
            </w:pPr>
            <w:r>
              <w:rPr>
                <w:rFonts w:eastAsiaTheme="minorHAnsi"/>
                <w:sz w:val="22"/>
                <w:szCs w:val="22"/>
              </w:rPr>
              <w:t>[</w:t>
            </w:r>
            <w:r w:rsidR="00D151CF">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683445CA">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1EA1FE63">
            <w:pPr>
              <w:widowControl w:val="0"/>
              <w:rPr>
                <w:sz w:val="22"/>
                <w:szCs w:val="22"/>
              </w:rPr>
            </w:pPr>
            <w:r>
              <w:rPr>
                <w:rFonts w:eastAsiaTheme="minorHAnsi"/>
                <w:sz w:val="22"/>
                <w:szCs w:val="22"/>
              </w:rPr>
              <w:t>[  ] Yes     [</w:t>
            </w:r>
            <w:r w:rsidR="00D151CF">
              <w:rPr>
                <w:rFonts w:eastAsiaTheme="minorHAnsi"/>
                <w:sz w:val="22"/>
                <w:szCs w:val="22"/>
              </w:rPr>
              <w:t>x</w:t>
            </w:r>
            <w:r>
              <w:rPr>
                <w:rFonts w:eastAsiaTheme="minorHAnsi"/>
                <w:sz w:val="22"/>
                <w:szCs w:val="22"/>
              </w:rPr>
              <w:t>]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4CBC0A00">
            <w:pPr>
              <w:rPr>
                <w:sz w:val="22"/>
                <w:szCs w:val="22"/>
              </w:rPr>
            </w:pPr>
            <w:r w:rsidRPr="003C4F49">
              <w:rPr>
                <w:rFonts w:eastAsiaTheme="minorHAnsi"/>
                <w:sz w:val="22"/>
                <w:szCs w:val="22"/>
              </w:rPr>
              <w:t>[</w:t>
            </w:r>
            <w:r w:rsidR="00D151CF">
              <w:rPr>
                <w:rFonts w:eastAsiaTheme="minorHAnsi"/>
                <w:sz w:val="22"/>
                <w:szCs w:val="22"/>
              </w:rPr>
              <w:t>x</w:t>
            </w:r>
            <w:r w:rsidRPr="003C4F49">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00B46F2C" w:rsidRDefault="003A4C87" w14:paraId="29476A1F" w14:textId="3B88DD3F">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D77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B46F2C">
        <w:rPr>
          <w:b/>
        </w:rPr>
        <w:t>TITLE OF INFORMATION COLLECTION:</w:t>
      </w:r>
      <w:r w:rsidR="00B46F2C">
        <w:t xml:space="preserve">  </w:t>
      </w:r>
      <w:r w:rsidRPr="00E10A52" w:rsidR="00340BAC">
        <w:rPr>
          <w:b/>
          <w:bCs/>
        </w:rPr>
        <w:t>MyMobility Product Testing Activities</w:t>
      </w:r>
    </w:p>
    <w:p w:rsidR="007B6A1A" w:rsidRDefault="007B6A1A" w14:paraId="574FEEBA" w14:textId="77777777"/>
    <w:p w:rsidR="00655F9E" w:rsidP="00655F9E" w:rsidRDefault="00B46F2C" w14:paraId="27EF9B80" w14:textId="2ADEF39C">
      <w:r>
        <w:rPr>
          <w:b/>
        </w:rPr>
        <w:t>PURPOSE</w:t>
      </w:r>
      <w:r w:rsidRPr="009239AA">
        <w:rPr>
          <w:b/>
        </w:rPr>
        <w:t xml:space="preserve">:  </w:t>
      </w:r>
    </w:p>
    <w:p w:rsidR="00655F9E" w:rsidP="00655F9E" w:rsidRDefault="00655F9E" w14:paraId="2E2D52EB" w14:textId="767A6340"/>
    <w:p w:rsidR="00E10A52" w:rsidP="00655F9E" w:rsidRDefault="00E10A52" w14:paraId="68911F7B" w14:textId="46457149">
      <w:r w:rsidRPr="00E10A52">
        <w:t>“Mobility” refers to all types of movement, such as walking, biking, and driving within and between environments to accomplish daily living tasks. Optimal mobility (an individual’s ability to safely and reliably move to chosen locations by desired means) is an important component of healthy aging and is critically important for maintaining physical and mental health.  As noted in the Centers for Disease Control and Prevention’s (CDC’s) 2013 “State of Aging and Health in America” report, ensuring that mobility for older adults is addressed effectively has significant public health implications</w:t>
      </w:r>
      <w:r w:rsidR="000E41CF">
        <w:rPr>
          <w:rStyle w:val="FootnoteReference"/>
        </w:rPr>
        <w:footnoteReference w:id="1"/>
      </w:r>
      <w:r w:rsidRPr="00E10A52">
        <w:t xml:space="preserve">.  U.S. Census projections indicate that by the year 2030, when the last baby boomer turns 65, approximately 20% of Americans—about 72 million people—will be older adults. To address the needs of this rapidly growing population, CDC developed </w:t>
      </w:r>
      <w:r>
        <w:t>four products, including the MyMobility Plan</w:t>
      </w:r>
      <w:r w:rsidR="00CB25FB">
        <w:t xml:space="preserve"> (Att</w:t>
      </w:r>
      <w:r w:rsidR="00A7562C">
        <w:t>s</w:t>
      </w:r>
      <w:r w:rsidR="00AF4CF9">
        <w:t>.</w:t>
      </w:r>
      <w:r w:rsidR="00CB25FB">
        <w:t xml:space="preserve"> A</w:t>
      </w:r>
      <w:r w:rsidR="00A7562C">
        <w:t>-</w:t>
      </w:r>
      <w:r w:rsidR="00AF4CF9">
        <w:t>C</w:t>
      </w:r>
      <w:r w:rsidR="00CB25FB">
        <w:t>)</w:t>
      </w:r>
      <w:r>
        <w:t>, Medication Fact Sheet</w:t>
      </w:r>
      <w:r w:rsidR="00CB25FB">
        <w:t xml:space="preserve"> (Att</w:t>
      </w:r>
      <w:r w:rsidR="00A7562C">
        <w:t>s</w:t>
      </w:r>
      <w:r w:rsidR="00CB25FB">
        <w:t xml:space="preserve">. </w:t>
      </w:r>
      <w:r w:rsidR="00AF4CF9">
        <w:t>D-F</w:t>
      </w:r>
      <w:r w:rsidR="00CB25FB">
        <w:t>)</w:t>
      </w:r>
      <w:r>
        <w:t>, MyMedication</w:t>
      </w:r>
      <w:r w:rsidR="00E73A34">
        <w:t>s</w:t>
      </w:r>
      <w:r>
        <w:t xml:space="preserve"> List</w:t>
      </w:r>
      <w:r w:rsidR="00CB25FB">
        <w:t xml:space="preserve"> (Att</w:t>
      </w:r>
      <w:r w:rsidR="00AF4CF9">
        <w:t>s</w:t>
      </w:r>
      <w:r w:rsidR="00CB25FB">
        <w:t xml:space="preserve">. </w:t>
      </w:r>
      <w:r w:rsidR="00AF4CF9">
        <w:t>G-I</w:t>
      </w:r>
      <w:r w:rsidR="00CB25FB">
        <w:t>)</w:t>
      </w:r>
      <w:r>
        <w:t>, and the MyMedication</w:t>
      </w:r>
      <w:r w:rsidR="00CB25FB">
        <w:t>s</w:t>
      </w:r>
      <w:r>
        <w:t xml:space="preserve"> Action Plan</w:t>
      </w:r>
      <w:r w:rsidR="00CB25FB">
        <w:t xml:space="preserve"> (Att</w:t>
      </w:r>
      <w:r w:rsidR="00AF4CF9">
        <w:t>s. J-L</w:t>
      </w:r>
      <w:r w:rsidR="00CB25FB">
        <w:t>)</w:t>
      </w:r>
      <w:r>
        <w:t>.</w:t>
      </w:r>
      <w:r w:rsidR="00066F50">
        <w:t xml:space="preserve"> </w:t>
      </w:r>
      <w:r w:rsidR="00FE58DD">
        <w:t>All four</w:t>
      </w:r>
      <w:r w:rsidR="00066F50">
        <w:t xml:space="preserve"> products were tailored to </w:t>
      </w:r>
      <w:r w:rsidR="00BC6034">
        <w:t xml:space="preserve">meet the unique needs of the intended </w:t>
      </w:r>
      <w:r w:rsidR="00FE58DD">
        <w:t>target audience</w:t>
      </w:r>
      <w:r w:rsidR="00BC6034">
        <w:t xml:space="preserve"> (</w:t>
      </w:r>
      <w:r w:rsidR="00FE58DD">
        <w:t xml:space="preserve">e.g., </w:t>
      </w:r>
      <w:r w:rsidR="00BC6034">
        <w:t xml:space="preserve">English speakers, Spanish speakers, and older adults </w:t>
      </w:r>
      <w:r w:rsidR="00FE58DD">
        <w:t>living in tribal communities).</w:t>
      </w:r>
    </w:p>
    <w:p w:rsidR="00E10A52" w:rsidP="00655F9E" w:rsidRDefault="00E10A52" w14:paraId="166FA256" w14:textId="77777777"/>
    <w:p w:rsidR="00EA69C4" w:rsidP="00655F9E" w:rsidRDefault="00EA69C4" w14:paraId="503E7FD7" w14:textId="2C136364">
      <w:r>
        <w:t xml:space="preserve">The purpose of this request is to gather feedback on </w:t>
      </w:r>
      <w:r w:rsidRPr="00E10A52">
        <w:t xml:space="preserve">the usability </w:t>
      </w:r>
      <w:r>
        <w:t xml:space="preserve">of four MyMobility products. This information will be collected through a series of </w:t>
      </w:r>
      <w:r w:rsidR="00340BAC">
        <w:t xml:space="preserve">five focus groups. CDC will use the findings from the data collected to refine products provided through the MyMobility program. Feedback gathered, including thoughts addressing comprehension/readability, motivation, knowledge, and self-efficacy, will help ensure NCIPC is providing </w:t>
      </w:r>
      <w:r w:rsidRPr="00357FC0" w:rsidR="00340BAC">
        <w:t>efficient and effective service delivery.</w:t>
      </w:r>
    </w:p>
    <w:p w:rsidR="00340BAC" w:rsidP="00655F9E" w:rsidRDefault="00340BAC" w14:paraId="6B7AB3A8" w14:textId="77777777"/>
    <w:p w:rsidR="00B46F2C" w:rsidP="00434E33" w:rsidRDefault="00EA69C4" w14:paraId="53CD42CA" w14:textId="765B9DDB">
      <w:pPr>
        <w:pStyle w:val="Header"/>
        <w:tabs>
          <w:tab w:val="clear" w:pos="4320"/>
          <w:tab w:val="clear" w:pos="8640"/>
        </w:tabs>
        <w:rPr>
          <w:bCs/>
        </w:rPr>
      </w:pPr>
      <w:r>
        <w:rPr>
          <w:bCs/>
        </w:rPr>
        <w:t xml:space="preserve">Information gathered will only </w:t>
      </w:r>
      <w:r w:rsidR="00D947FC">
        <w:rPr>
          <w:bCs/>
        </w:rPr>
        <w:t xml:space="preserve">be used </w:t>
      </w:r>
      <w:r>
        <w:rPr>
          <w:bCs/>
        </w:rPr>
        <w:t xml:space="preserve">internally to improve the service of mobility planning that the tool provides. Information is not intended for release outside of the agency. Information gathered will not be used for the purpose of substantially informing influential policy decisions. Without these types of feedback, CDC will not have </w:t>
      </w:r>
      <w:r w:rsidR="00D947FC">
        <w:rPr>
          <w:bCs/>
        </w:rPr>
        <w:t xml:space="preserve">the </w:t>
      </w:r>
      <w:r>
        <w:rPr>
          <w:bCs/>
        </w:rPr>
        <w:t xml:space="preserve">timely information it needs to adjust its MyMobility products </w:t>
      </w:r>
      <w:r w:rsidR="00D947FC">
        <w:rPr>
          <w:bCs/>
        </w:rPr>
        <w:t xml:space="preserve">and </w:t>
      </w:r>
      <w:r>
        <w:rPr>
          <w:bCs/>
        </w:rPr>
        <w:t>meet customer needs.</w:t>
      </w:r>
    </w:p>
    <w:p w:rsidRPr="00EA69C4" w:rsidR="00EA69C4" w:rsidP="00434E33" w:rsidRDefault="00EA69C4" w14:paraId="63881429" w14:textId="77777777">
      <w:pPr>
        <w:pStyle w:val="Header"/>
        <w:tabs>
          <w:tab w:val="clear" w:pos="4320"/>
          <w:tab w:val="clear" w:pos="8640"/>
        </w:tabs>
        <w:rPr>
          <w:bCs/>
        </w:rPr>
      </w:pPr>
    </w:p>
    <w:p w:rsidR="00B46F2C" w:rsidP="00D75A5A" w:rsidRDefault="00B46F2C" w14:paraId="54A2E4B0" w14:textId="64D86F19">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Pr="00D75A5A" w:rsidR="00D151CF" w:rsidP="00D75A5A" w:rsidRDefault="00D151CF" w14:paraId="5E2B0EC3" w14:textId="60F1658A">
      <w:pPr>
        <w:widowControl w:val="0"/>
        <w:pBdr>
          <w:top w:val="nil"/>
          <w:left w:val="nil"/>
          <w:bottom w:val="nil"/>
          <w:right w:val="nil"/>
          <w:between w:val="nil"/>
        </w:pBdr>
        <w:tabs>
          <w:tab w:val="center" w:pos="4320"/>
          <w:tab w:val="right" w:pos="8640"/>
        </w:tabs>
        <w:rPr>
          <w:b/>
          <w:color w:val="000000"/>
        </w:rPr>
      </w:pPr>
      <w:r>
        <w:t>Participation is voluntary</w:t>
      </w:r>
      <w:r w:rsidR="007A5965">
        <w:t xml:space="preserve">, and all participants will review and sign consent forms before </w:t>
      </w:r>
      <w:r w:rsidR="00EA5483">
        <w:t>focus groups begin</w:t>
      </w:r>
      <w:r w:rsidR="00574254">
        <w:t xml:space="preserve"> (Att. </w:t>
      </w:r>
      <w:r w:rsidR="00245330">
        <w:t>O</w:t>
      </w:r>
      <w:r w:rsidR="00574254">
        <w:t>).</w:t>
      </w:r>
      <w:r>
        <w:t xml:space="preserve"> Respondents will </w:t>
      </w:r>
      <w:r w:rsidR="00E10A52">
        <w:t xml:space="preserve">include </w:t>
      </w:r>
      <w:r w:rsidR="00D947FC">
        <w:t xml:space="preserve">individuals </w:t>
      </w:r>
      <w:r>
        <w:t xml:space="preserve">aged </w:t>
      </w:r>
      <w:r w:rsidR="000924C8">
        <w:t>55</w:t>
      </w:r>
      <w:r>
        <w:t xml:space="preserve"> to 74 years old</w:t>
      </w:r>
      <w:r w:rsidR="00E10A52">
        <w:t>. The study design includes two focus groups for English-speaking older adults, two focus groups for Spanish-speaking older adults, and one focus group for older adults in tribal communities.</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63F81730">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2D1FC87F">
      <w:pPr>
        <w:pStyle w:val="BodyTextIndent"/>
        <w:tabs>
          <w:tab w:val="left" w:pos="360"/>
        </w:tabs>
        <w:ind w:left="0"/>
        <w:rPr>
          <w:bCs/>
          <w:sz w:val="24"/>
        </w:rPr>
      </w:pPr>
      <w:r>
        <w:rPr>
          <w:bCs/>
          <w:sz w:val="24"/>
        </w:rPr>
        <w:t>[</w:t>
      </w:r>
      <w:r w:rsidR="00740C61">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001F9AB7">
      <w:r>
        <w:t>Name:________________________________________________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6175AB6C">
      <w:pPr>
        <w:pStyle w:val="ListParagraph"/>
        <w:numPr>
          <w:ilvl w:val="0"/>
          <w:numId w:val="18"/>
        </w:numPr>
      </w:pPr>
      <w:r>
        <w:t>Is personally identifiable information (PII) collected?  [</w:t>
      </w:r>
      <w:r w:rsidR="00740C61">
        <w:t>x</w:t>
      </w:r>
      <w:r>
        <w:t xml:space="preserve">] Yes  [ ]  No </w:t>
      </w:r>
    </w:p>
    <w:p w:rsidR="00DF7E5E" w:rsidP="002E45AF" w:rsidRDefault="00481C74" w14:paraId="7A3E28D2" w14:textId="538F7356">
      <w:pPr>
        <w:pStyle w:val="ListParagraph"/>
        <w:numPr>
          <w:ilvl w:val="0"/>
          <w:numId w:val="22"/>
        </w:numPr>
      </w:pPr>
      <w:r>
        <w:t xml:space="preserve">RTI will maintain a firewall between recruitment firms and the research team, only sharing first name </w:t>
      </w:r>
      <w:r w:rsidR="002E45AF">
        <w:t xml:space="preserve">and last initial. </w:t>
      </w:r>
      <w:r w:rsidR="00663602">
        <w:t xml:space="preserve">The research team will not receive </w:t>
      </w:r>
      <w:r w:rsidR="002E126B">
        <w:t>identifiable information (e.g., addresses) used to mail the products and incentives.</w:t>
      </w:r>
    </w:p>
    <w:p w:rsidR="00B46F2C" w:rsidP="00C86E91" w:rsidRDefault="00B46F2C" w14:paraId="059C2C9E" w14:textId="2128BB81">
      <w:pPr>
        <w:pStyle w:val="ListParagraph"/>
        <w:numPr>
          <w:ilvl w:val="0"/>
          <w:numId w:val="18"/>
        </w:numPr>
      </w:pPr>
      <w:r>
        <w:t>If Yes, is the information that will be collected included in records that are subject to the Privacy Act of 1974?   [  ] Yes [</w:t>
      </w:r>
      <w:r w:rsidR="00740C61">
        <w:t>x</w:t>
      </w:r>
      <w:r>
        <w:t xml:space="preserve">] No   </w:t>
      </w:r>
    </w:p>
    <w:p w:rsidR="00B46F2C" w:rsidP="00C86E91" w:rsidRDefault="00B46F2C" w14:paraId="53684D4A" w14:textId="27197679">
      <w:pPr>
        <w:pStyle w:val="ListParagraph"/>
        <w:numPr>
          <w:ilvl w:val="0"/>
          <w:numId w:val="18"/>
        </w:numPr>
      </w:pPr>
      <w:r>
        <w:t>If Applicable, has a System or Records Notice been published?  [  ] Yes  [</w:t>
      </w:r>
      <w:r w:rsidR="00740C61">
        <w:t>x</w:t>
      </w:r>
      <w:r>
        <w:t>]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876E568">
      <w:r>
        <w:t>Is an incentive (e.g., money or reimbursement of expenses, token of appreciation) provided to participants?  [</w:t>
      </w:r>
      <w:r w:rsidR="00740C61">
        <w:t>x</w:t>
      </w:r>
      <w:r>
        <w:t>] Yes [  ] No</w:t>
      </w:r>
    </w:p>
    <w:p w:rsidR="00EF484B" w:rsidP="00C86E91" w:rsidRDefault="00EF484B" w14:paraId="5B421EF2" w14:textId="77777777">
      <w:pPr>
        <w:rPr>
          <w:b/>
        </w:rPr>
      </w:pPr>
    </w:p>
    <w:p w:rsidR="00744E0F" w:rsidRDefault="007F1E94" w14:paraId="50078F1A" w14:textId="1BB51415">
      <w:pPr>
        <w:rPr>
          <w:bCs/>
        </w:rPr>
      </w:pPr>
      <w:r>
        <w:rPr>
          <w:bCs/>
        </w:rPr>
        <w:t xml:space="preserve">Each focus group participant will receive </w:t>
      </w:r>
      <w:r w:rsidR="00850077">
        <w:rPr>
          <w:bCs/>
        </w:rPr>
        <w:t xml:space="preserve">a </w:t>
      </w:r>
      <w:r>
        <w:rPr>
          <w:bCs/>
        </w:rPr>
        <w:t>$75</w:t>
      </w:r>
      <w:r w:rsidR="00850077">
        <w:rPr>
          <w:bCs/>
        </w:rPr>
        <w:t xml:space="preserve"> gift card</w:t>
      </w:r>
      <w:r>
        <w:rPr>
          <w:bCs/>
        </w:rPr>
        <w:t xml:space="preserve"> as a token of appreciation for their time</w:t>
      </w:r>
      <w:r w:rsidR="00766DF4">
        <w:rPr>
          <w:bCs/>
        </w:rPr>
        <w:t xml:space="preserve"> spent participating in the focus group interview and the advance work of reviewing and completing the products they will receive ahead of time</w:t>
      </w:r>
      <w:r>
        <w:rPr>
          <w:bCs/>
        </w:rPr>
        <w:t>.</w:t>
      </w:r>
      <w:r w:rsidR="006236E8">
        <w:rPr>
          <w:bCs/>
        </w:rPr>
        <w:t xml:space="preserve"> Providing incentives to respondents is necessary to successfully recruit individuals for qualitative projects</w:t>
      </w:r>
      <w:r w:rsidR="006236E8">
        <w:rPr>
          <w:rStyle w:val="FootnoteReference"/>
          <w:bCs/>
        </w:rPr>
        <w:footnoteReference w:id="2"/>
      </w:r>
      <w:r w:rsidRPr="00515A7A" w:rsidR="006236E8">
        <w:rPr>
          <w:bCs/>
          <w:vertAlign w:val="superscript"/>
        </w:rPr>
        <w:t>,</w:t>
      </w:r>
      <w:r w:rsidR="006236E8">
        <w:rPr>
          <w:rStyle w:val="FootnoteReference"/>
          <w:bCs/>
        </w:rPr>
        <w:footnoteReference w:id="3"/>
      </w:r>
      <w:r w:rsidR="006236E8">
        <w:t xml:space="preserve">. </w:t>
      </w:r>
      <w:r w:rsidR="00CA7824">
        <w:rPr>
          <w:bCs/>
        </w:rPr>
        <w:t>F</w:t>
      </w:r>
      <w:r w:rsidR="00744E0F">
        <w:rPr>
          <w:bCs/>
        </w:rPr>
        <w:t>actors requiring this level of incentive include:</w:t>
      </w:r>
    </w:p>
    <w:p w:rsidRPr="005E190B" w:rsidR="009C66C1" w:rsidP="005E190B" w:rsidRDefault="009C66C1" w14:paraId="7DA65D62" w14:textId="21EA43AB">
      <w:pPr>
        <w:pStyle w:val="ListParagraph"/>
        <w:numPr>
          <w:ilvl w:val="0"/>
          <w:numId w:val="21"/>
        </w:numPr>
        <w:rPr>
          <w:bCs/>
        </w:rPr>
      </w:pPr>
      <w:r>
        <w:rPr>
          <w:bCs/>
        </w:rPr>
        <w:t>Participants will likely spend a significant amount of time completing the pre-interview activities. These activities ask patients to think critically about the products and their usefulness in their lives.</w:t>
      </w:r>
    </w:p>
    <w:p w:rsidR="006236E8" w:rsidP="006236E8" w:rsidRDefault="006236E8" w14:paraId="72B603F9" w14:textId="205F28A1">
      <w:pPr>
        <w:pStyle w:val="ListParagraph"/>
        <w:numPr>
          <w:ilvl w:val="0"/>
          <w:numId w:val="21"/>
        </w:numPr>
        <w:rPr>
          <w:bCs/>
        </w:rPr>
      </w:pPr>
      <w:r>
        <w:rPr>
          <w:bCs/>
        </w:rPr>
        <w:t>The interviews will be conducted online and participants must have a computer and broadband Internet to participate in the interviews; participating will use approximately two hours of data on their Internet plans.</w:t>
      </w:r>
    </w:p>
    <w:p w:rsidR="00177EAF" w:rsidP="006236E8" w:rsidRDefault="006236E8" w14:paraId="59228147" w14:textId="0637FBC9">
      <w:pPr>
        <w:pStyle w:val="ListParagraph"/>
        <w:numPr>
          <w:ilvl w:val="0"/>
          <w:numId w:val="21"/>
        </w:numPr>
        <w:rPr>
          <w:bCs/>
        </w:rPr>
      </w:pPr>
      <w:r>
        <w:rPr>
          <w:bCs/>
        </w:rPr>
        <w:t xml:space="preserve">The focus groups will be conducted with </w:t>
      </w:r>
      <w:r w:rsidR="00457406">
        <w:rPr>
          <w:bCs/>
        </w:rPr>
        <w:t xml:space="preserve">older, </w:t>
      </w:r>
      <w:r>
        <w:rPr>
          <w:bCs/>
        </w:rPr>
        <w:t>hard-to-reach populations with unique recruitment challenges</w:t>
      </w:r>
      <w:r w:rsidR="00663602">
        <w:rPr>
          <w:bCs/>
        </w:rPr>
        <w:t>. Notably, there will be a smaller population of older adults with the computer skills needed to effectively participate in the focus groups.</w:t>
      </w:r>
    </w:p>
    <w:p w:rsidR="006236E8" w:rsidP="006236E8" w:rsidRDefault="00177EAF" w14:paraId="4ACF6744" w14:textId="3644C8B8">
      <w:pPr>
        <w:pStyle w:val="ListParagraph"/>
        <w:numPr>
          <w:ilvl w:val="0"/>
          <w:numId w:val="21"/>
        </w:numPr>
        <w:rPr>
          <w:bCs/>
        </w:rPr>
      </w:pPr>
      <w:r>
        <w:rPr>
          <w:bCs/>
        </w:rPr>
        <w:t>P</w:t>
      </w:r>
      <w:r w:rsidR="006236E8">
        <w:rPr>
          <w:bCs/>
        </w:rPr>
        <w:t xml:space="preserve">articipants may have significant medical issues. The incentive should demonstrate an appreciation and respect for the time and effort these unique populations are providing in </w:t>
      </w:r>
      <w:r w:rsidR="006236E8">
        <w:rPr>
          <w:bCs/>
        </w:rPr>
        <w:lastRenderedPageBreak/>
        <w:t>talking to researchers and acknowledge any hardships they may experience while participating (e.g., discomfort from pain or other symptoms, fatigue).</w:t>
      </w:r>
    </w:p>
    <w:p w:rsidR="00457406" w:rsidP="00457406" w:rsidRDefault="00457406" w14:paraId="174E85D8" w14:textId="0C66C272">
      <w:pPr>
        <w:pStyle w:val="ListParagraph"/>
        <w:numPr>
          <w:ilvl w:val="0"/>
          <w:numId w:val="21"/>
        </w:numPr>
        <w:rPr>
          <w:bCs/>
        </w:rPr>
      </w:pPr>
      <w:r>
        <w:rPr>
          <w:bCs/>
        </w:rPr>
        <w:t>Participants are required to join the interview from a quiet location where there are no distractions, which may require childcare or special accommodations during that time.</w:t>
      </w:r>
    </w:p>
    <w:p w:rsidR="006236E8" w:rsidP="006236E8" w:rsidRDefault="006236E8" w14:paraId="7076DA69" w14:textId="6028BF72">
      <w:pPr>
        <w:rPr>
          <w:bCs/>
        </w:rPr>
      </w:pPr>
    </w:p>
    <w:p w:rsidR="00B46F2C" w:rsidP="00F3170F" w:rsidRDefault="006236E8" w14:paraId="1AB33144" w14:textId="0FC6473E">
      <w:pPr>
        <w:rPr>
          <w:bCs/>
        </w:rPr>
      </w:pPr>
      <w:r>
        <w:rPr>
          <w:bCs/>
        </w:rPr>
        <w:t xml:space="preserve">Offering a lower incentive will necessitate over-recruitment and may result in longer recruiting time as well as higher overall project costs to the government (for which additional funding is not available). </w:t>
      </w:r>
    </w:p>
    <w:p w:rsidRPr="00AF2AC3" w:rsidR="0063566E" w:rsidP="00F3170F" w:rsidRDefault="0063566E" w14:paraId="44A7C9C0" w14:textId="77777777"/>
    <w:p w:rsidRPr="00AF2AC3" w:rsidR="00AF2AC3" w:rsidP="00F3170F" w:rsidRDefault="00AF2AC3" w14:paraId="347C9622" w14:textId="2F988C95">
      <w:pPr>
        <w:rPr>
          <w:b/>
          <w:bCs/>
        </w:rPr>
      </w:pPr>
      <w:r w:rsidRPr="00AF2AC3">
        <w:rPr>
          <w:b/>
          <w:bCs/>
        </w:rPr>
        <w:t>BURDEN HOURS</w:t>
      </w:r>
    </w:p>
    <w:tbl>
      <w:tblPr>
        <w:tblW w:w="10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80"/>
        <w:gridCol w:w="2790"/>
        <w:gridCol w:w="1800"/>
        <w:gridCol w:w="1890"/>
        <w:gridCol w:w="1763"/>
      </w:tblGrid>
      <w:tr w:rsidRPr="00AF2AC3" w:rsidR="00AF2AC3" w:rsidTr="00AF2AC3" w14:paraId="713500BE" w14:textId="77777777">
        <w:trPr>
          <w:trHeight w:val="261"/>
        </w:trPr>
        <w:tc>
          <w:tcPr>
            <w:tcW w:w="1880" w:type="dxa"/>
            <w:shd w:val="clear" w:color="auto" w:fill="auto"/>
            <w:tcMar>
              <w:top w:w="100" w:type="dxa"/>
              <w:left w:w="100" w:type="dxa"/>
              <w:bottom w:w="100" w:type="dxa"/>
              <w:right w:w="100" w:type="dxa"/>
            </w:tcMar>
          </w:tcPr>
          <w:p w:rsidRPr="00AF2AC3" w:rsidR="00AF2AC3" w:rsidP="00DC618E" w:rsidRDefault="00AF2AC3" w14:paraId="1D14D6F5" w14:textId="77777777">
            <w:pPr>
              <w:rPr>
                <w:b/>
              </w:rPr>
            </w:pPr>
            <w:r w:rsidRPr="00AF2AC3">
              <w:rPr>
                <w:b/>
              </w:rPr>
              <w:t>Category of Respondent</w:t>
            </w:r>
          </w:p>
        </w:tc>
        <w:tc>
          <w:tcPr>
            <w:tcW w:w="2790" w:type="dxa"/>
          </w:tcPr>
          <w:p w:rsidRPr="00AF2AC3" w:rsidR="00AF2AC3" w:rsidP="00DC618E" w:rsidRDefault="00AF2AC3" w14:paraId="43872868" w14:textId="77777777">
            <w:pPr>
              <w:widowControl w:val="0"/>
              <w:pBdr>
                <w:top w:val="nil"/>
                <w:left w:val="nil"/>
                <w:bottom w:val="nil"/>
                <w:right w:val="nil"/>
                <w:between w:val="nil"/>
              </w:pBdr>
              <w:rPr>
                <w:b/>
                <w:color w:val="000000" w:themeColor="text1"/>
              </w:rPr>
            </w:pPr>
            <w:r w:rsidRPr="00AF2AC3">
              <w:rPr>
                <w:b/>
                <w:color w:val="000000" w:themeColor="text1"/>
              </w:rPr>
              <w:t>Form Name</w:t>
            </w:r>
          </w:p>
        </w:tc>
        <w:tc>
          <w:tcPr>
            <w:tcW w:w="1800" w:type="dxa"/>
            <w:shd w:val="clear" w:color="auto" w:fill="auto"/>
            <w:tcMar>
              <w:top w:w="100" w:type="dxa"/>
              <w:left w:w="100" w:type="dxa"/>
              <w:bottom w:w="100" w:type="dxa"/>
              <w:right w:w="100" w:type="dxa"/>
            </w:tcMar>
          </w:tcPr>
          <w:p w:rsidRPr="00AF2AC3" w:rsidR="00AF2AC3" w:rsidP="00DC618E" w:rsidRDefault="00AF2AC3" w14:paraId="3325E87C" w14:textId="77777777">
            <w:pPr>
              <w:widowControl w:val="0"/>
              <w:pBdr>
                <w:top w:val="nil"/>
                <w:left w:val="nil"/>
                <w:bottom w:val="nil"/>
                <w:right w:val="nil"/>
                <w:between w:val="nil"/>
              </w:pBdr>
              <w:rPr>
                <w:b/>
                <w:color w:val="000000" w:themeColor="text1"/>
              </w:rPr>
            </w:pPr>
            <w:r w:rsidRPr="00AF2AC3">
              <w:rPr>
                <w:b/>
                <w:color w:val="000000" w:themeColor="text1"/>
              </w:rPr>
              <w:t>No. of Respondents</w:t>
            </w:r>
          </w:p>
        </w:tc>
        <w:tc>
          <w:tcPr>
            <w:tcW w:w="1890" w:type="dxa"/>
            <w:shd w:val="clear" w:color="auto" w:fill="auto"/>
            <w:tcMar>
              <w:top w:w="100" w:type="dxa"/>
              <w:left w:w="100" w:type="dxa"/>
              <w:bottom w:w="100" w:type="dxa"/>
              <w:right w:w="100" w:type="dxa"/>
            </w:tcMar>
          </w:tcPr>
          <w:p w:rsidRPr="00AF2AC3" w:rsidR="00AF2AC3" w:rsidP="00DC618E" w:rsidRDefault="00AF2AC3" w14:paraId="5054BA8F" w14:textId="77777777">
            <w:pPr>
              <w:widowControl w:val="0"/>
              <w:pBdr>
                <w:top w:val="nil"/>
                <w:left w:val="nil"/>
                <w:bottom w:val="nil"/>
                <w:right w:val="nil"/>
                <w:between w:val="nil"/>
              </w:pBdr>
              <w:rPr>
                <w:b/>
              </w:rPr>
            </w:pPr>
            <w:r w:rsidRPr="00AF2AC3">
              <w:rPr>
                <w:b/>
              </w:rPr>
              <w:t>Participation Time</w:t>
            </w:r>
          </w:p>
        </w:tc>
        <w:tc>
          <w:tcPr>
            <w:tcW w:w="1763" w:type="dxa"/>
            <w:shd w:val="clear" w:color="auto" w:fill="auto"/>
            <w:tcMar>
              <w:top w:w="100" w:type="dxa"/>
              <w:left w:w="100" w:type="dxa"/>
              <w:bottom w:w="100" w:type="dxa"/>
              <w:right w:w="100" w:type="dxa"/>
            </w:tcMar>
          </w:tcPr>
          <w:p w:rsidRPr="00AF2AC3" w:rsidR="00AF2AC3" w:rsidP="00DC618E" w:rsidRDefault="00AF2AC3" w14:paraId="5D85CDCC" w14:textId="77777777">
            <w:pPr>
              <w:widowControl w:val="0"/>
              <w:pBdr>
                <w:top w:val="nil"/>
                <w:left w:val="nil"/>
                <w:bottom w:val="nil"/>
                <w:right w:val="nil"/>
                <w:between w:val="nil"/>
              </w:pBdr>
              <w:rPr>
                <w:b/>
                <w:color w:val="000000" w:themeColor="text1"/>
              </w:rPr>
            </w:pPr>
            <w:r w:rsidRPr="00AF2AC3">
              <w:rPr>
                <w:b/>
                <w:color w:val="000000" w:themeColor="text1"/>
              </w:rPr>
              <w:t>Burden</w:t>
            </w:r>
          </w:p>
        </w:tc>
      </w:tr>
      <w:tr w:rsidRPr="00AF2AC3" w:rsidR="00AF2AC3" w:rsidTr="00AF2AC3" w14:paraId="2FF524A6" w14:textId="77777777">
        <w:trPr>
          <w:trHeight w:val="261"/>
        </w:trPr>
        <w:tc>
          <w:tcPr>
            <w:tcW w:w="1880" w:type="dxa"/>
            <w:shd w:val="clear" w:color="auto" w:fill="auto"/>
            <w:tcMar>
              <w:top w:w="100" w:type="dxa"/>
              <w:left w:w="100" w:type="dxa"/>
              <w:bottom w:w="100" w:type="dxa"/>
              <w:right w:w="100" w:type="dxa"/>
            </w:tcMar>
          </w:tcPr>
          <w:p w:rsidRPr="00261DFE" w:rsidR="00AF2AC3" w:rsidP="00DC618E" w:rsidRDefault="00AF2AC3" w14:paraId="196A7FF9" w14:textId="77777777">
            <w:pPr>
              <w:rPr>
                <w:bCs/>
              </w:rPr>
            </w:pPr>
            <w:r w:rsidRPr="00261DFE">
              <w:rPr>
                <w:bCs/>
              </w:rPr>
              <w:t>Individual Participants</w:t>
            </w:r>
          </w:p>
        </w:tc>
        <w:tc>
          <w:tcPr>
            <w:tcW w:w="2790" w:type="dxa"/>
          </w:tcPr>
          <w:p w:rsidRPr="00AF2AC3" w:rsidR="00AF2AC3" w:rsidP="00DC618E" w:rsidRDefault="00AF2AC3" w14:paraId="25BC2C2E" w14:textId="3A58BC9A">
            <w:pPr>
              <w:widowControl w:val="0"/>
              <w:pBdr>
                <w:top w:val="nil"/>
                <w:left w:val="nil"/>
                <w:bottom w:val="nil"/>
                <w:right w:val="nil"/>
                <w:between w:val="nil"/>
              </w:pBdr>
              <w:rPr>
                <w:color w:val="000000" w:themeColor="text1"/>
              </w:rPr>
            </w:pPr>
            <w:r w:rsidRPr="00AF2AC3">
              <w:rPr>
                <w:color w:val="000000" w:themeColor="text1"/>
              </w:rPr>
              <w:t xml:space="preserve">Attachment </w:t>
            </w:r>
            <w:r w:rsidR="00F74724">
              <w:rPr>
                <w:color w:val="000000" w:themeColor="text1"/>
              </w:rPr>
              <w:t>M</w:t>
            </w:r>
            <w:r w:rsidRPr="00AF2AC3">
              <w:rPr>
                <w:color w:val="000000" w:themeColor="text1"/>
              </w:rPr>
              <w:t xml:space="preserve"> – Participant Screener</w:t>
            </w:r>
            <w:r w:rsidR="00544C9A">
              <w:rPr>
                <w:color w:val="000000" w:themeColor="text1"/>
              </w:rPr>
              <w:t>s</w:t>
            </w:r>
            <w:r w:rsidRPr="00AF2AC3">
              <w:rPr>
                <w:color w:val="000000" w:themeColor="text1"/>
              </w:rPr>
              <w:t xml:space="preserve"> (English</w:t>
            </w:r>
            <w:r w:rsidR="00544C9A">
              <w:rPr>
                <w:color w:val="000000" w:themeColor="text1"/>
              </w:rPr>
              <w:t>, Spanish, Tribal</w:t>
            </w:r>
            <w:r w:rsidRPr="00AF2AC3">
              <w:rPr>
                <w:color w:val="000000" w:themeColor="text1"/>
              </w:rPr>
              <w:t>)</w:t>
            </w:r>
          </w:p>
        </w:tc>
        <w:tc>
          <w:tcPr>
            <w:tcW w:w="1800" w:type="dxa"/>
            <w:shd w:val="clear" w:color="auto" w:fill="auto"/>
            <w:tcMar>
              <w:top w:w="100" w:type="dxa"/>
              <w:left w:w="100" w:type="dxa"/>
              <w:bottom w:w="100" w:type="dxa"/>
              <w:right w:w="100" w:type="dxa"/>
            </w:tcMar>
          </w:tcPr>
          <w:p w:rsidRPr="00AF2AC3" w:rsidR="00AF2AC3" w:rsidP="00DC618E" w:rsidRDefault="00544C9A" w14:paraId="3EF7A772" w14:textId="5F908BB6">
            <w:pPr>
              <w:widowControl w:val="0"/>
              <w:pBdr>
                <w:top w:val="nil"/>
                <w:left w:val="nil"/>
                <w:bottom w:val="nil"/>
                <w:right w:val="nil"/>
                <w:between w:val="nil"/>
              </w:pBdr>
              <w:rPr>
                <w:color w:val="000000" w:themeColor="text1"/>
              </w:rPr>
            </w:pPr>
            <w:r>
              <w:rPr>
                <w:color w:val="000000" w:themeColor="text1"/>
              </w:rPr>
              <w:t>3</w:t>
            </w:r>
            <w:r w:rsidR="007B302F">
              <w:rPr>
                <w:color w:val="000000" w:themeColor="text1"/>
              </w:rPr>
              <w:t>20</w:t>
            </w:r>
          </w:p>
        </w:tc>
        <w:tc>
          <w:tcPr>
            <w:tcW w:w="1890" w:type="dxa"/>
            <w:shd w:val="clear" w:color="auto" w:fill="auto"/>
            <w:tcMar>
              <w:top w:w="100" w:type="dxa"/>
              <w:left w:w="100" w:type="dxa"/>
              <w:bottom w:w="100" w:type="dxa"/>
              <w:right w:w="100" w:type="dxa"/>
            </w:tcMar>
          </w:tcPr>
          <w:p w:rsidRPr="00AF2AC3" w:rsidR="00AF2AC3" w:rsidP="00DC618E" w:rsidRDefault="0038712D" w14:paraId="3DDF85E0" w14:textId="3CDA6DEF">
            <w:pPr>
              <w:widowControl w:val="0"/>
              <w:pBdr>
                <w:top w:val="nil"/>
                <w:left w:val="nil"/>
                <w:bottom w:val="nil"/>
                <w:right w:val="nil"/>
                <w:between w:val="nil"/>
              </w:pBdr>
            </w:pPr>
            <w:r>
              <w:t>5/60</w:t>
            </w:r>
          </w:p>
        </w:tc>
        <w:tc>
          <w:tcPr>
            <w:tcW w:w="1763" w:type="dxa"/>
            <w:shd w:val="clear" w:color="auto" w:fill="auto"/>
            <w:tcMar>
              <w:top w:w="100" w:type="dxa"/>
              <w:left w:w="100" w:type="dxa"/>
              <w:bottom w:w="100" w:type="dxa"/>
              <w:right w:w="100" w:type="dxa"/>
            </w:tcMar>
          </w:tcPr>
          <w:p w:rsidRPr="00AF2AC3" w:rsidR="00AF2AC3" w:rsidP="00DC618E" w:rsidRDefault="00245330" w14:paraId="431FA476" w14:textId="50D47DD5">
            <w:pPr>
              <w:widowControl w:val="0"/>
              <w:pBdr>
                <w:top w:val="nil"/>
                <w:left w:val="nil"/>
                <w:bottom w:val="nil"/>
                <w:right w:val="nil"/>
                <w:between w:val="nil"/>
              </w:pBdr>
              <w:jc w:val="center"/>
              <w:rPr>
                <w:color w:val="000000" w:themeColor="text1"/>
              </w:rPr>
            </w:pPr>
            <w:r>
              <w:rPr>
                <w:color w:val="000000" w:themeColor="text1"/>
              </w:rPr>
              <w:t>2</w:t>
            </w:r>
            <w:r w:rsidR="002D4003">
              <w:rPr>
                <w:color w:val="000000" w:themeColor="text1"/>
              </w:rPr>
              <w:t>6</w:t>
            </w:r>
          </w:p>
        </w:tc>
      </w:tr>
      <w:tr w:rsidRPr="00AF2AC3" w:rsidR="00AF2AC3" w:rsidTr="00AF2AC3" w14:paraId="05593E7B" w14:textId="77777777">
        <w:trPr>
          <w:trHeight w:val="261"/>
        </w:trPr>
        <w:tc>
          <w:tcPr>
            <w:tcW w:w="1880" w:type="dxa"/>
            <w:shd w:val="clear" w:color="auto" w:fill="auto"/>
            <w:tcMar>
              <w:top w:w="100" w:type="dxa"/>
              <w:left w:w="100" w:type="dxa"/>
              <w:bottom w:w="100" w:type="dxa"/>
              <w:right w:w="100" w:type="dxa"/>
            </w:tcMar>
          </w:tcPr>
          <w:p w:rsidRPr="00261DFE" w:rsidR="00AF2AC3" w:rsidP="00DC618E" w:rsidRDefault="00AF2AC3" w14:paraId="2F6B27EC" w14:textId="6A11AA42">
            <w:pPr>
              <w:rPr>
                <w:bCs/>
              </w:rPr>
            </w:pPr>
            <w:r w:rsidRPr="00261DFE">
              <w:rPr>
                <w:bCs/>
              </w:rPr>
              <w:t>Individual Participants</w:t>
            </w:r>
          </w:p>
        </w:tc>
        <w:tc>
          <w:tcPr>
            <w:tcW w:w="2790" w:type="dxa"/>
          </w:tcPr>
          <w:p w:rsidRPr="00AF2AC3" w:rsidR="00AF2AC3" w:rsidP="00DC618E" w:rsidRDefault="00AF2AC3" w14:paraId="3CE758FC" w14:textId="51CF20CF">
            <w:pPr>
              <w:widowControl w:val="0"/>
              <w:pBdr>
                <w:top w:val="nil"/>
                <w:left w:val="nil"/>
                <w:bottom w:val="nil"/>
                <w:right w:val="nil"/>
                <w:between w:val="nil"/>
              </w:pBdr>
              <w:rPr>
                <w:color w:val="000000" w:themeColor="text1"/>
              </w:rPr>
            </w:pPr>
            <w:r w:rsidRPr="00AF2AC3">
              <w:rPr>
                <w:color w:val="000000" w:themeColor="text1"/>
              </w:rPr>
              <w:t xml:space="preserve">Attachment </w:t>
            </w:r>
            <w:r w:rsidR="00544C9A">
              <w:rPr>
                <w:color w:val="000000" w:themeColor="text1"/>
              </w:rPr>
              <w:t>N</w:t>
            </w:r>
            <w:r w:rsidRPr="00AF2AC3">
              <w:rPr>
                <w:color w:val="000000" w:themeColor="text1"/>
              </w:rPr>
              <w:t xml:space="preserve"> – Pre-Interview Session Review Guide</w:t>
            </w:r>
            <w:r w:rsidR="00544C9A">
              <w:rPr>
                <w:color w:val="000000" w:themeColor="text1"/>
              </w:rPr>
              <w:t>s</w:t>
            </w:r>
            <w:r w:rsidRPr="00AF2AC3">
              <w:rPr>
                <w:color w:val="000000" w:themeColor="text1"/>
              </w:rPr>
              <w:t xml:space="preserve"> (English</w:t>
            </w:r>
            <w:r w:rsidR="00544C9A">
              <w:rPr>
                <w:color w:val="000000" w:themeColor="text1"/>
              </w:rPr>
              <w:t>, Spanish, Tribal</w:t>
            </w:r>
            <w:r w:rsidRPr="00AF2AC3">
              <w:rPr>
                <w:color w:val="000000" w:themeColor="text1"/>
              </w:rPr>
              <w:t>)</w:t>
            </w:r>
          </w:p>
        </w:tc>
        <w:tc>
          <w:tcPr>
            <w:tcW w:w="1800" w:type="dxa"/>
            <w:shd w:val="clear" w:color="auto" w:fill="auto"/>
            <w:tcMar>
              <w:top w:w="100" w:type="dxa"/>
              <w:left w:w="100" w:type="dxa"/>
              <w:bottom w:w="100" w:type="dxa"/>
              <w:right w:w="100" w:type="dxa"/>
            </w:tcMar>
          </w:tcPr>
          <w:p w:rsidRPr="00AF2AC3" w:rsidR="00AF2AC3" w:rsidP="00DC618E" w:rsidRDefault="00544C9A" w14:paraId="124D83A2" w14:textId="1B785EA3">
            <w:pPr>
              <w:widowControl w:val="0"/>
              <w:pBdr>
                <w:top w:val="nil"/>
                <w:left w:val="nil"/>
                <w:bottom w:val="nil"/>
                <w:right w:val="nil"/>
                <w:between w:val="nil"/>
              </w:pBdr>
              <w:rPr>
                <w:color w:val="000000" w:themeColor="text1"/>
              </w:rPr>
            </w:pPr>
            <w:r>
              <w:rPr>
                <w:color w:val="000000" w:themeColor="text1"/>
              </w:rPr>
              <w:t>40</w:t>
            </w:r>
          </w:p>
        </w:tc>
        <w:tc>
          <w:tcPr>
            <w:tcW w:w="1890" w:type="dxa"/>
            <w:shd w:val="clear" w:color="auto" w:fill="auto"/>
            <w:tcMar>
              <w:top w:w="100" w:type="dxa"/>
              <w:left w:w="100" w:type="dxa"/>
              <w:bottom w:w="100" w:type="dxa"/>
              <w:right w:w="100" w:type="dxa"/>
            </w:tcMar>
          </w:tcPr>
          <w:p w:rsidRPr="00AF2AC3" w:rsidR="00AF2AC3" w:rsidP="00DC618E" w:rsidRDefault="002C1A89" w14:paraId="42BF8749" w14:textId="65D5AA65">
            <w:pPr>
              <w:widowControl w:val="0"/>
              <w:pBdr>
                <w:top w:val="nil"/>
                <w:left w:val="nil"/>
                <w:bottom w:val="nil"/>
                <w:right w:val="nil"/>
                <w:between w:val="nil"/>
              </w:pBdr>
            </w:pPr>
            <w:r>
              <w:t>30/60</w:t>
            </w:r>
          </w:p>
        </w:tc>
        <w:tc>
          <w:tcPr>
            <w:tcW w:w="1763" w:type="dxa"/>
            <w:shd w:val="clear" w:color="auto" w:fill="auto"/>
            <w:tcMar>
              <w:top w:w="100" w:type="dxa"/>
              <w:left w:w="100" w:type="dxa"/>
              <w:bottom w:w="100" w:type="dxa"/>
              <w:right w:w="100" w:type="dxa"/>
            </w:tcMar>
          </w:tcPr>
          <w:p w:rsidRPr="00AF2AC3" w:rsidR="00AF2AC3" w:rsidP="00DC618E" w:rsidRDefault="00544C9A" w14:paraId="48B5E684" w14:textId="4F830D14">
            <w:pPr>
              <w:widowControl w:val="0"/>
              <w:pBdr>
                <w:top w:val="nil"/>
                <w:left w:val="nil"/>
                <w:bottom w:val="nil"/>
                <w:right w:val="nil"/>
                <w:between w:val="nil"/>
              </w:pBdr>
              <w:jc w:val="center"/>
              <w:rPr>
                <w:color w:val="000000" w:themeColor="text1"/>
              </w:rPr>
            </w:pPr>
            <w:r>
              <w:rPr>
                <w:color w:val="000000" w:themeColor="text1"/>
              </w:rPr>
              <w:t>20</w:t>
            </w:r>
          </w:p>
        </w:tc>
      </w:tr>
      <w:tr w:rsidRPr="00AF2AC3" w:rsidR="00AF2AC3" w:rsidTr="00AF2AC3" w14:paraId="0BC4E0CE" w14:textId="77777777">
        <w:trPr>
          <w:trHeight w:val="261"/>
        </w:trPr>
        <w:tc>
          <w:tcPr>
            <w:tcW w:w="1880" w:type="dxa"/>
            <w:shd w:val="clear" w:color="auto" w:fill="auto"/>
            <w:tcMar>
              <w:top w:w="100" w:type="dxa"/>
              <w:left w:w="100" w:type="dxa"/>
              <w:bottom w:w="100" w:type="dxa"/>
              <w:right w:w="100" w:type="dxa"/>
            </w:tcMar>
          </w:tcPr>
          <w:p w:rsidRPr="00261DFE" w:rsidR="00AF2AC3" w:rsidP="00DC618E" w:rsidRDefault="00AF2AC3" w14:paraId="00D4A2EF" w14:textId="5762468D">
            <w:pPr>
              <w:rPr>
                <w:bCs/>
              </w:rPr>
            </w:pPr>
            <w:r w:rsidRPr="00261DFE">
              <w:rPr>
                <w:bCs/>
              </w:rPr>
              <w:t>Individual Participants</w:t>
            </w:r>
          </w:p>
        </w:tc>
        <w:tc>
          <w:tcPr>
            <w:tcW w:w="2790" w:type="dxa"/>
          </w:tcPr>
          <w:p w:rsidRPr="00AF2AC3" w:rsidR="00AF2AC3" w:rsidP="00DC618E" w:rsidRDefault="00AF2AC3" w14:paraId="787B53F5" w14:textId="506A3677">
            <w:pPr>
              <w:widowControl w:val="0"/>
              <w:pBdr>
                <w:top w:val="nil"/>
                <w:left w:val="nil"/>
                <w:bottom w:val="nil"/>
                <w:right w:val="nil"/>
                <w:between w:val="nil"/>
              </w:pBdr>
              <w:rPr>
                <w:color w:val="000000" w:themeColor="text1"/>
              </w:rPr>
            </w:pPr>
            <w:r w:rsidRPr="00AF2AC3">
              <w:rPr>
                <w:color w:val="000000" w:themeColor="text1"/>
              </w:rPr>
              <w:t xml:space="preserve">Attachment </w:t>
            </w:r>
            <w:r w:rsidR="00544C9A">
              <w:rPr>
                <w:color w:val="000000" w:themeColor="text1"/>
              </w:rPr>
              <w:t>P</w:t>
            </w:r>
            <w:r w:rsidRPr="00AF2AC3">
              <w:rPr>
                <w:color w:val="000000" w:themeColor="text1"/>
              </w:rPr>
              <w:t xml:space="preserve"> – Focus Group Moderator Guide</w:t>
            </w:r>
            <w:r w:rsidR="00544C9A">
              <w:rPr>
                <w:color w:val="000000" w:themeColor="text1"/>
              </w:rPr>
              <w:t>s</w:t>
            </w:r>
            <w:r w:rsidRPr="00AF2AC3">
              <w:rPr>
                <w:color w:val="000000" w:themeColor="text1"/>
              </w:rPr>
              <w:t xml:space="preserve"> (English</w:t>
            </w:r>
            <w:r w:rsidR="00544C9A">
              <w:rPr>
                <w:color w:val="000000" w:themeColor="text1"/>
              </w:rPr>
              <w:t>, Spanish, Tribal</w:t>
            </w:r>
            <w:r w:rsidRPr="00AF2AC3">
              <w:rPr>
                <w:color w:val="000000" w:themeColor="text1"/>
              </w:rPr>
              <w:t>)</w:t>
            </w:r>
          </w:p>
        </w:tc>
        <w:tc>
          <w:tcPr>
            <w:tcW w:w="1800" w:type="dxa"/>
            <w:shd w:val="clear" w:color="auto" w:fill="auto"/>
            <w:tcMar>
              <w:top w:w="100" w:type="dxa"/>
              <w:left w:w="100" w:type="dxa"/>
              <w:bottom w:w="100" w:type="dxa"/>
              <w:right w:w="100" w:type="dxa"/>
            </w:tcMar>
          </w:tcPr>
          <w:p w:rsidRPr="00AF2AC3" w:rsidR="00AF2AC3" w:rsidP="00DC618E" w:rsidRDefault="00544C9A" w14:paraId="2E50D37E" w14:textId="2F5BB504">
            <w:pPr>
              <w:widowControl w:val="0"/>
              <w:pBdr>
                <w:top w:val="nil"/>
                <w:left w:val="nil"/>
                <w:bottom w:val="nil"/>
                <w:right w:val="nil"/>
                <w:between w:val="nil"/>
              </w:pBdr>
              <w:rPr>
                <w:color w:val="000000" w:themeColor="text1"/>
              </w:rPr>
            </w:pPr>
            <w:r>
              <w:rPr>
                <w:color w:val="000000" w:themeColor="text1"/>
              </w:rPr>
              <w:t>40</w:t>
            </w:r>
          </w:p>
        </w:tc>
        <w:tc>
          <w:tcPr>
            <w:tcW w:w="1890" w:type="dxa"/>
            <w:shd w:val="clear" w:color="auto" w:fill="auto"/>
            <w:tcMar>
              <w:top w:w="100" w:type="dxa"/>
              <w:left w:w="100" w:type="dxa"/>
              <w:bottom w:w="100" w:type="dxa"/>
              <w:right w:w="100" w:type="dxa"/>
            </w:tcMar>
          </w:tcPr>
          <w:p w:rsidRPr="00C14AEF" w:rsidR="00AF2AC3" w:rsidP="00DC618E" w:rsidRDefault="002C1A89" w14:paraId="6DCE66F5" w14:textId="1F0F3A2C">
            <w:pPr>
              <w:widowControl w:val="0"/>
              <w:pBdr>
                <w:top w:val="nil"/>
                <w:left w:val="nil"/>
                <w:bottom w:val="nil"/>
                <w:right w:val="nil"/>
                <w:between w:val="nil"/>
              </w:pBdr>
            </w:pPr>
            <w:r w:rsidRPr="007B44AA">
              <w:t>1.5</w:t>
            </w:r>
          </w:p>
        </w:tc>
        <w:tc>
          <w:tcPr>
            <w:tcW w:w="1763" w:type="dxa"/>
            <w:shd w:val="clear" w:color="auto" w:fill="auto"/>
            <w:tcMar>
              <w:top w:w="100" w:type="dxa"/>
              <w:left w:w="100" w:type="dxa"/>
              <w:bottom w:w="100" w:type="dxa"/>
              <w:right w:w="100" w:type="dxa"/>
            </w:tcMar>
          </w:tcPr>
          <w:p w:rsidRPr="00AF2AC3" w:rsidR="00AF2AC3" w:rsidP="00DC618E" w:rsidRDefault="00544C9A" w14:paraId="2250AB35" w14:textId="7A4617FE">
            <w:pPr>
              <w:widowControl w:val="0"/>
              <w:pBdr>
                <w:top w:val="nil"/>
                <w:left w:val="nil"/>
                <w:bottom w:val="nil"/>
                <w:right w:val="nil"/>
                <w:between w:val="nil"/>
              </w:pBdr>
              <w:jc w:val="center"/>
              <w:rPr>
                <w:color w:val="000000" w:themeColor="text1"/>
              </w:rPr>
            </w:pPr>
            <w:r>
              <w:rPr>
                <w:color w:val="000000" w:themeColor="text1"/>
              </w:rPr>
              <w:t>60</w:t>
            </w:r>
          </w:p>
        </w:tc>
      </w:tr>
      <w:tr w:rsidRPr="00AF2AC3" w:rsidR="009C7D3B" w:rsidTr="00AF2AC3" w14:paraId="73B9B12C" w14:textId="77777777">
        <w:trPr>
          <w:trHeight w:val="261"/>
        </w:trPr>
        <w:tc>
          <w:tcPr>
            <w:tcW w:w="1880" w:type="dxa"/>
            <w:shd w:val="clear" w:color="auto" w:fill="auto"/>
            <w:tcMar>
              <w:top w:w="100" w:type="dxa"/>
              <w:left w:w="100" w:type="dxa"/>
              <w:bottom w:w="100" w:type="dxa"/>
              <w:right w:w="100" w:type="dxa"/>
            </w:tcMar>
          </w:tcPr>
          <w:p w:rsidRPr="00261DFE" w:rsidR="009C7D3B" w:rsidP="00DC618E" w:rsidRDefault="009C7D3B" w14:paraId="0509D359" w14:textId="227F6BF7">
            <w:pPr>
              <w:rPr>
                <w:bCs/>
              </w:rPr>
            </w:pPr>
            <w:r>
              <w:rPr>
                <w:bCs/>
              </w:rPr>
              <w:t>Individual Participants</w:t>
            </w:r>
          </w:p>
        </w:tc>
        <w:tc>
          <w:tcPr>
            <w:tcW w:w="2790" w:type="dxa"/>
          </w:tcPr>
          <w:p w:rsidRPr="00AF2AC3" w:rsidR="009C7D3B" w:rsidP="00DC618E" w:rsidRDefault="009C7D3B" w14:paraId="64FDBEF8" w14:textId="34B71D7A">
            <w:pPr>
              <w:widowControl w:val="0"/>
              <w:pBdr>
                <w:top w:val="nil"/>
                <w:left w:val="nil"/>
                <w:bottom w:val="nil"/>
                <w:right w:val="nil"/>
                <w:between w:val="nil"/>
              </w:pBdr>
              <w:rPr>
                <w:color w:val="000000" w:themeColor="text1"/>
              </w:rPr>
            </w:pPr>
            <w:r>
              <w:rPr>
                <w:color w:val="000000" w:themeColor="text1"/>
              </w:rPr>
              <w:t>Attachment O- Consent forms (English,</w:t>
            </w:r>
            <w:r w:rsidR="002D4003">
              <w:rPr>
                <w:color w:val="000000" w:themeColor="text1"/>
              </w:rPr>
              <w:t xml:space="preserve"> </w:t>
            </w:r>
            <w:r>
              <w:rPr>
                <w:color w:val="000000" w:themeColor="text1"/>
              </w:rPr>
              <w:t>Spanish,</w:t>
            </w:r>
            <w:r w:rsidR="002D4003">
              <w:rPr>
                <w:color w:val="000000" w:themeColor="text1"/>
              </w:rPr>
              <w:t xml:space="preserve"> </w:t>
            </w:r>
            <w:r>
              <w:rPr>
                <w:color w:val="000000" w:themeColor="text1"/>
              </w:rPr>
              <w:t>Tribal)</w:t>
            </w:r>
          </w:p>
        </w:tc>
        <w:tc>
          <w:tcPr>
            <w:tcW w:w="1800" w:type="dxa"/>
            <w:shd w:val="clear" w:color="auto" w:fill="auto"/>
            <w:tcMar>
              <w:top w:w="100" w:type="dxa"/>
              <w:left w:w="100" w:type="dxa"/>
              <w:bottom w:w="100" w:type="dxa"/>
              <w:right w:w="100" w:type="dxa"/>
            </w:tcMar>
          </w:tcPr>
          <w:p w:rsidR="009C7D3B" w:rsidP="00DC618E" w:rsidRDefault="009C7D3B" w14:paraId="75940E6D" w14:textId="0F360503">
            <w:pPr>
              <w:widowControl w:val="0"/>
              <w:pBdr>
                <w:top w:val="nil"/>
                <w:left w:val="nil"/>
                <w:bottom w:val="nil"/>
                <w:right w:val="nil"/>
                <w:between w:val="nil"/>
              </w:pBdr>
              <w:rPr>
                <w:color w:val="000000" w:themeColor="text1"/>
              </w:rPr>
            </w:pPr>
            <w:r>
              <w:rPr>
                <w:color w:val="000000" w:themeColor="text1"/>
              </w:rPr>
              <w:t>40</w:t>
            </w:r>
          </w:p>
        </w:tc>
        <w:tc>
          <w:tcPr>
            <w:tcW w:w="1890" w:type="dxa"/>
            <w:shd w:val="clear" w:color="auto" w:fill="auto"/>
            <w:tcMar>
              <w:top w:w="100" w:type="dxa"/>
              <w:left w:w="100" w:type="dxa"/>
              <w:bottom w:w="100" w:type="dxa"/>
              <w:right w:w="100" w:type="dxa"/>
            </w:tcMar>
          </w:tcPr>
          <w:p w:rsidRPr="007B44AA" w:rsidR="009C7D3B" w:rsidP="00DC618E" w:rsidRDefault="009C7D3B" w14:paraId="4BFA5FBC" w14:textId="739F5087">
            <w:pPr>
              <w:widowControl w:val="0"/>
              <w:pBdr>
                <w:top w:val="nil"/>
                <w:left w:val="nil"/>
                <w:bottom w:val="nil"/>
                <w:right w:val="nil"/>
                <w:between w:val="nil"/>
              </w:pBdr>
            </w:pPr>
            <w:r>
              <w:t>2/60</w:t>
            </w:r>
          </w:p>
        </w:tc>
        <w:tc>
          <w:tcPr>
            <w:tcW w:w="1763" w:type="dxa"/>
            <w:shd w:val="clear" w:color="auto" w:fill="auto"/>
            <w:tcMar>
              <w:top w:w="100" w:type="dxa"/>
              <w:left w:w="100" w:type="dxa"/>
              <w:bottom w:w="100" w:type="dxa"/>
              <w:right w:w="100" w:type="dxa"/>
            </w:tcMar>
          </w:tcPr>
          <w:p w:rsidR="009C7D3B" w:rsidP="00DC618E" w:rsidRDefault="00A82CCB" w14:paraId="5F379E1D" w14:textId="3C59F649">
            <w:pPr>
              <w:widowControl w:val="0"/>
              <w:pBdr>
                <w:top w:val="nil"/>
                <w:left w:val="nil"/>
                <w:bottom w:val="nil"/>
                <w:right w:val="nil"/>
                <w:between w:val="nil"/>
              </w:pBdr>
              <w:jc w:val="center"/>
              <w:rPr>
                <w:color w:val="000000" w:themeColor="text1"/>
              </w:rPr>
            </w:pPr>
            <w:r>
              <w:rPr>
                <w:color w:val="000000" w:themeColor="text1"/>
              </w:rPr>
              <w:t>2</w:t>
            </w:r>
          </w:p>
        </w:tc>
      </w:tr>
      <w:tr w:rsidRPr="00AF2AC3" w:rsidR="00744E0F" w:rsidTr="00AF2AC3" w14:paraId="592570A4" w14:textId="77777777">
        <w:trPr>
          <w:trHeight w:val="261"/>
        </w:trPr>
        <w:tc>
          <w:tcPr>
            <w:tcW w:w="1880" w:type="dxa"/>
            <w:shd w:val="clear" w:color="auto" w:fill="auto"/>
            <w:tcMar>
              <w:top w:w="100" w:type="dxa"/>
              <w:left w:w="100" w:type="dxa"/>
              <w:bottom w:w="100" w:type="dxa"/>
              <w:right w:w="100" w:type="dxa"/>
            </w:tcMar>
          </w:tcPr>
          <w:p w:rsidRPr="00AF2AC3" w:rsidR="00744E0F" w:rsidP="00DC618E" w:rsidRDefault="00744E0F" w14:paraId="7275F7ED" w14:textId="3A1D0F49">
            <w:pPr>
              <w:rPr>
                <w:b/>
              </w:rPr>
            </w:pPr>
            <w:r>
              <w:rPr>
                <w:b/>
              </w:rPr>
              <w:t>Total</w:t>
            </w:r>
          </w:p>
        </w:tc>
        <w:tc>
          <w:tcPr>
            <w:tcW w:w="2790" w:type="dxa"/>
          </w:tcPr>
          <w:p w:rsidRPr="00AF2AC3" w:rsidR="00744E0F" w:rsidP="00DC618E" w:rsidRDefault="00744E0F" w14:paraId="32B543F2" w14:textId="77777777">
            <w:pPr>
              <w:widowControl w:val="0"/>
              <w:pBdr>
                <w:top w:val="nil"/>
                <w:left w:val="nil"/>
                <w:bottom w:val="nil"/>
                <w:right w:val="nil"/>
                <w:between w:val="nil"/>
              </w:pBdr>
              <w:rPr>
                <w:color w:val="000000" w:themeColor="text1"/>
              </w:rPr>
            </w:pPr>
          </w:p>
        </w:tc>
        <w:tc>
          <w:tcPr>
            <w:tcW w:w="1800" w:type="dxa"/>
            <w:shd w:val="clear" w:color="auto" w:fill="auto"/>
            <w:tcMar>
              <w:top w:w="100" w:type="dxa"/>
              <w:left w:w="100" w:type="dxa"/>
              <w:bottom w:w="100" w:type="dxa"/>
              <w:right w:w="100" w:type="dxa"/>
            </w:tcMar>
          </w:tcPr>
          <w:p w:rsidRPr="00AF2AC3" w:rsidR="00744E0F" w:rsidP="00DC618E" w:rsidRDefault="00744E0F" w14:paraId="6EFC76B3" w14:textId="77777777">
            <w:pPr>
              <w:widowControl w:val="0"/>
              <w:pBdr>
                <w:top w:val="nil"/>
                <w:left w:val="nil"/>
                <w:bottom w:val="nil"/>
                <w:right w:val="nil"/>
                <w:between w:val="nil"/>
              </w:pBdr>
              <w:rPr>
                <w:color w:val="000000" w:themeColor="text1"/>
              </w:rPr>
            </w:pPr>
          </w:p>
        </w:tc>
        <w:tc>
          <w:tcPr>
            <w:tcW w:w="1890" w:type="dxa"/>
            <w:shd w:val="clear" w:color="auto" w:fill="auto"/>
            <w:tcMar>
              <w:top w:w="100" w:type="dxa"/>
              <w:left w:w="100" w:type="dxa"/>
              <w:bottom w:w="100" w:type="dxa"/>
              <w:right w:w="100" w:type="dxa"/>
            </w:tcMar>
          </w:tcPr>
          <w:p w:rsidRPr="00AF2AC3" w:rsidR="00744E0F" w:rsidP="00DC618E" w:rsidRDefault="00744E0F" w14:paraId="66629E6C" w14:textId="77777777">
            <w:pPr>
              <w:widowControl w:val="0"/>
              <w:pBdr>
                <w:top w:val="nil"/>
                <w:left w:val="nil"/>
                <w:bottom w:val="nil"/>
                <w:right w:val="nil"/>
                <w:between w:val="nil"/>
              </w:pBdr>
            </w:pPr>
          </w:p>
        </w:tc>
        <w:tc>
          <w:tcPr>
            <w:tcW w:w="1763" w:type="dxa"/>
            <w:shd w:val="clear" w:color="auto" w:fill="auto"/>
            <w:tcMar>
              <w:top w:w="100" w:type="dxa"/>
              <w:left w:w="100" w:type="dxa"/>
              <w:bottom w:w="100" w:type="dxa"/>
              <w:right w:w="100" w:type="dxa"/>
            </w:tcMar>
          </w:tcPr>
          <w:p w:rsidRPr="00AF2AC3" w:rsidR="00744E0F" w:rsidP="00DC618E" w:rsidRDefault="00C14AEF" w14:paraId="70647690" w14:textId="52571EF4">
            <w:pPr>
              <w:widowControl w:val="0"/>
              <w:pBdr>
                <w:top w:val="nil"/>
                <w:left w:val="nil"/>
                <w:bottom w:val="nil"/>
                <w:right w:val="nil"/>
                <w:between w:val="nil"/>
              </w:pBdr>
              <w:jc w:val="center"/>
              <w:rPr>
                <w:color w:val="000000" w:themeColor="text1"/>
              </w:rPr>
            </w:pPr>
            <w:r>
              <w:rPr>
                <w:color w:val="000000" w:themeColor="text1"/>
              </w:rPr>
              <w:t>1</w:t>
            </w:r>
            <w:r w:rsidR="00245330">
              <w:rPr>
                <w:color w:val="000000" w:themeColor="text1"/>
              </w:rPr>
              <w:t>0</w:t>
            </w:r>
            <w:r w:rsidR="00A82CCB">
              <w:rPr>
                <w:color w:val="000000" w:themeColor="text1"/>
              </w:rPr>
              <w:t>8</w:t>
            </w:r>
            <w:r w:rsidR="002D4003">
              <w:rPr>
                <w:color w:val="000000" w:themeColor="text1"/>
              </w:rPr>
              <w:t xml:space="preserve">  </w:t>
            </w:r>
          </w:p>
        </w:tc>
      </w:tr>
    </w:tbl>
    <w:p w:rsidRPr="007B44AA" w:rsidR="00AF2AC3" w:rsidP="00F3170F" w:rsidRDefault="00AF2AC3" w14:paraId="0A55EA94" w14:textId="77777777">
      <w:pPr>
        <w:rPr>
          <w:b/>
          <w:bCs/>
          <w:highlight w:val="yellow"/>
        </w:rPr>
      </w:pPr>
    </w:p>
    <w:p w:rsidR="00B46F2C" w:rsidRDefault="00B46F2C" w14:paraId="6775AEDB" w14:textId="5F054795">
      <w:pPr>
        <w:rPr>
          <w:b/>
        </w:rPr>
      </w:pPr>
      <w:r w:rsidRPr="005779EF">
        <w:rPr>
          <w:b/>
        </w:rPr>
        <w:t xml:space="preserve">FEDERAL COST:  </w:t>
      </w:r>
      <w:r w:rsidRPr="005779EF">
        <w:t xml:space="preserve">The estimated annual cost to the Federal government </w:t>
      </w:r>
      <w:r w:rsidRPr="005779EF" w:rsidR="00F74724">
        <w:t>is _</w:t>
      </w:r>
      <w:r w:rsidRPr="005779EF">
        <w:t>_</w:t>
      </w:r>
      <w:r w:rsidRPr="005779EF" w:rsidR="001612AF">
        <w:rPr>
          <w:u w:val="single"/>
        </w:rPr>
        <w:t>$</w:t>
      </w:r>
      <w:r w:rsidRPr="005779EF" w:rsidR="00F74724">
        <w:rPr>
          <w:u w:val="single"/>
        </w:rPr>
        <w:t>9,246</w:t>
      </w:r>
      <w:r w:rsidR="001612AF">
        <w:t xml:space="preserve"> </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7CA5F88E">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40BAC">
        <w:t>x</w:t>
      </w:r>
      <w:r>
        <w:t>] Yes</w:t>
      </w:r>
      <w:r>
        <w:tab/>
        <w:t>[ ] No</w:t>
      </w:r>
    </w:p>
    <w:p w:rsidR="00B46F2C" w:rsidP="00636621" w:rsidRDefault="00B46F2C" w14:paraId="33A970F3" w14:textId="77777777">
      <w:pPr>
        <w:pStyle w:val="ListParagraph"/>
      </w:pPr>
    </w:p>
    <w:p w:rsidR="004E1C18" w:rsidP="001B0AAA" w:rsidRDefault="00B46F2C" w14:paraId="065EF791" w14:textId="55F2BE75">
      <w:r w:rsidRPr="0088466D">
        <w:rPr>
          <w:b/>
        </w:rPr>
        <w:t xml:space="preserve">If </w:t>
      </w:r>
      <w:r w:rsidRPr="0088466D" w:rsidR="004E1C18">
        <w:rPr>
          <w:b/>
        </w:rPr>
        <w:t>Yes:</w:t>
      </w:r>
      <w:r w:rsidRPr="0088466D">
        <w:t xml:space="preserve"> </w:t>
      </w:r>
      <w:r w:rsidRPr="0088466D" w:rsidR="004E1C18">
        <w:t xml:space="preserve">Please </w:t>
      </w:r>
      <w:r w:rsidRPr="0088466D">
        <w:t>provide a description of both below (or attach the sampling plan)</w:t>
      </w:r>
      <w:r>
        <w:t xml:space="preserve">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594DA377"/>
    <w:p w:rsidR="000E41CF" w:rsidP="000E41CF" w:rsidRDefault="000E41CF" w14:paraId="6F86447C" w14:textId="03581E45">
      <w:r>
        <w:t xml:space="preserve">A third-party vendor will identify prospective respondents meeting the project criteria using their database of individuals who have expressed an interest in participating in projects or who meet </w:t>
      </w:r>
      <w:r>
        <w:lastRenderedPageBreak/>
        <w:t xml:space="preserve">key demographic recruitment criteria (e.g., tribal affiliation). </w:t>
      </w:r>
      <w:r w:rsidR="00EF4EBC">
        <w:t>The recruiters will use the appropriate screener</w:t>
      </w:r>
      <w:r w:rsidR="00003994">
        <w:t xml:space="preserve"> (Att. M)</w:t>
      </w:r>
      <w:r w:rsidR="00EF4EBC">
        <w:t xml:space="preserve"> created for the specific population (English speakers, Spanish speakers, those living in tribal communities). </w:t>
      </w:r>
      <w:r>
        <w:t>The team will attempt to recruit participants representing diversity in terms of sex, race, age (within the 55-74 age range)</w:t>
      </w:r>
      <w:r w:rsidR="00CA3E62">
        <w:t>,</w:t>
      </w:r>
      <w:r>
        <w:t xml:space="preserve"> urban vs. rural residence, and internet use. Following confirmation of their willingness to participate, each prospective participant will be mailed a copy of a letter confirming the date and time of their focus group, along with some pre-session review activities (Att. </w:t>
      </w:r>
      <w:r w:rsidR="00245330">
        <w:t>N</w:t>
      </w:r>
      <w:r>
        <w:t>), as well as copies of the MyMobility resources (Att</w:t>
      </w:r>
      <w:r w:rsidR="006B3ED2">
        <w:t>s</w:t>
      </w:r>
      <w:r>
        <w:t>. A-</w:t>
      </w:r>
      <w:r w:rsidR="006B3ED2">
        <w:t>L</w:t>
      </w:r>
      <w:r>
        <w:t>). The team will conduct a total of 5 focus groups. Each focus group will consist of a range of 5-8 individuals (thus, a minimum of 25 participants and a maximum of 40 participants for the overall data collection effort).</w:t>
      </w:r>
    </w:p>
    <w:p w:rsidR="000E41CF" w:rsidP="001B0AAA" w:rsidRDefault="000E41CF" w14:paraId="1284E373"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4AE80D4">
      <w:pPr>
        <w:ind w:left="720"/>
      </w:pPr>
      <w:r>
        <w:t>[</w:t>
      </w:r>
      <w:r w:rsidR="00D151CF">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4A650C41">
      <w:pPr>
        <w:pStyle w:val="ListParagraph"/>
        <w:numPr>
          <w:ilvl w:val="0"/>
          <w:numId w:val="17"/>
        </w:numPr>
      </w:pPr>
      <w:r>
        <w:t>Will interviewers or facilitators be used?  [</w:t>
      </w:r>
      <w:r w:rsidR="00D151CF">
        <w:t>x</w:t>
      </w:r>
      <w:r>
        <w:t>] Yes [  ] No</w:t>
      </w:r>
    </w:p>
    <w:p w:rsidR="00B46F2C" w:rsidP="00F24CFC" w:rsidRDefault="00B46F2C" w14:paraId="1BB31248" w14:textId="77777777">
      <w:pPr>
        <w:pStyle w:val="ListParagraph"/>
        <w:ind w:left="360"/>
      </w:pPr>
      <w:r>
        <w:t xml:space="preserve"> </w:t>
      </w:r>
    </w:p>
    <w:p w:rsidRPr="00340BAC" w:rsidR="00B46F2C" w:rsidP="0024521E" w:rsidRDefault="00340BAC" w14:paraId="3FD124DB" w14:textId="13C3A0AD">
      <w:pPr>
        <w:rPr>
          <w:bCs/>
        </w:rPr>
      </w:pPr>
      <w:r w:rsidRPr="00340BAC">
        <w:rPr>
          <w:bCs/>
        </w:rPr>
        <w:t xml:space="preserve">A trained moderator will conduct the focus groups using </w:t>
      </w:r>
      <w:r>
        <w:rPr>
          <w:bCs/>
        </w:rPr>
        <w:t>the appropriate</w:t>
      </w:r>
      <w:r w:rsidRPr="00340BAC">
        <w:rPr>
          <w:bCs/>
        </w:rPr>
        <w:t xml:space="preserve"> Focus Group Moderator Guide</w:t>
      </w:r>
      <w:r>
        <w:rPr>
          <w:bCs/>
        </w:rPr>
        <w:t xml:space="preserve"> designed for the populati</w:t>
      </w:r>
      <w:r w:rsidRPr="00340BAC">
        <w:rPr>
          <w:bCs/>
        </w:rPr>
        <w:t>on</w:t>
      </w:r>
      <w:r w:rsidR="00DD5651">
        <w:rPr>
          <w:bCs/>
        </w:rPr>
        <w:t xml:space="preserve"> (Att. </w:t>
      </w:r>
      <w:r w:rsidR="00245330">
        <w:rPr>
          <w:bCs/>
        </w:rPr>
        <w:t>P</w:t>
      </w:r>
      <w:r w:rsidR="00DD5651">
        <w:rPr>
          <w:bCs/>
        </w:rPr>
        <w:t>)</w:t>
      </w:r>
      <w:r w:rsidR="00DE691E">
        <w:rPr>
          <w:bCs/>
        </w:rPr>
        <w:t xml:space="preserve">. </w:t>
      </w:r>
      <w:r w:rsidRPr="00340BAC">
        <w:rPr>
          <w:bCs/>
        </w:rPr>
        <w:t>A note taker will assist the moderator.</w:t>
      </w:r>
    </w:p>
    <w:p w:rsidR="00D151CF" w:rsidP="0024521E" w:rsidRDefault="00D151CF" w14:paraId="0CC0D911" w14:textId="5D542A28">
      <w:pPr>
        <w:rPr>
          <w:b/>
        </w:rPr>
      </w:pPr>
    </w:p>
    <w:p w:rsidR="00D151CF" w:rsidP="0024521E" w:rsidRDefault="00D151CF" w14:paraId="00E2173A" w14:textId="7D99D8AD">
      <w:pPr>
        <w:rPr>
          <w:b/>
          <w:u w:val="single"/>
        </w:rPr>
      </w:pPr>
      <w:r>
        <w:rPr>
          <w:b/>
          <w:u w:val="single"/>
        </w:rPr>
        <w:t>List of Attachments</w:t>
      </w:r>
    </w:p>
    <w:p w:rsidR="00340BAC" w:rsidP="0024521E" w:rsidRDefault="00340BAC" w14:paraId="18CBD21D" w14:textId="663954FE">
      <w:pPr>
        <w:rPr>
          <w:bCs/>
        </w:rPr>
      </w:pPr>
      <w:r>
        <w:rPr>
          <w:bCs/>
        </w:rPr>
        <w:t>Attachment A – MyMobility Plan</w:t>
      </w:r>
      <w:r w:rsidR="006B02F6">
        <w:rPr>
          <w:bCs/>
        </w:rPr>
        <w:t xml:space="preserve"> (English)</w:t>
      </w:r>
    </w:p>
    <w:p w:rsidR="007E43BD" w:rsidP="0024521E" w:rsidRDefault="007E43BD" w14:paraId="407E79E0" w14:textId="5AFA03A4">
      <w:pPr>
        <w:rPr>
          <w:bCs/>
        </w:rPr>
      </w:pPr>
      <w:r>
        <w:rPr>
          <w:bCs/>
        </w:rPr>
        <w:t>Attachment B – MyMobility Plan (Spanish)</w:t>
      </w:r>
    </w:p>
    <w:p w:rsidR="007E43BD" w:rsidP="0024521E" w:rsidRDefault="007E43BD" w14:paraId="430767E1" w14:textId="7FC59BE1">
      <w:pPr>
        <w:rPr>
          <w:bCs/>
        </w:rPr>
      </w:pPr>
      <w:r>
        <w:rPr>
          <w:bCs/>
        </w:rPr>
        <w:t>Attachment C – MyMobility Plan (Tribal)</w:t>
      </w:r>
    </w:p>
    <w:p w:rsidR="00340BAC" w:rsidP="0024521E" w:rsidRDefault="00340BAC" w14:paraId="0212D083" w14:textId="06113BCC">
      <w:pPr>
        <w:rPr>
          <w:bCs/>
        </w:rPr>
      </w:pPr>
      <w:r>
        <w:rPr>
          <w:bCs/>
        </w:rPr>
        <w:t xml:space="preserve">Attachment </w:t>
      </w:r>
      <w:r w:rsidR="007E43BD">
        <w:rPr>
          <w:bCs/>
        </w:rPr>
        <w:t>D</w:t>
      </w:r>
      <w:r>
        <w:rPr>
          <w:bCs/>
        </w:rPr>
        <w:t xml:space="preserve"> – Medication Fact Sheet</w:t>
      </w:r>
      <w:r w:rsidR="006B02F6">
        <w:rPr>
          <w:bCs/>
        </w:rPr>
        <w:t xml:space="preserve"> (English)</w:t>
      </w:r>
    </w:p>
    <w:p w:rsidR="007E43BD" w:rsidP="0024521E" w:rsidRDefault="007E43BD" w14:paraId="08CAE95C" w14:textId="008AE649">
      <w:pPr>
        <w:rPr>
          <w:bCs/>
        </w:rPr>
      </w:pPr>
      <w:r>
        <w:rPr>
          <w:bCs/>
        </w:rPr>
        <w:t>Attachment E – Medication Fact Sheet (Spanish)</w:t>
      </w:r>
    </w:p>
    <w:p w:rsidR="007E43BD" w:rsidP="0024521E" w:rsidRDefault="007E43BD" w14:paraId="6BB127F4" w14:textId="44B9CCC8">
      <w:pPr>
        <w:rPr>
          <w:bCs/>
        </w:rPr>
      </w:pPr>
      <w:r>
        <w:rPr>
          <w:bCs/>
        </w:rPr>
        <w:t>Attachment F – Medication Fact Sheet (</w:t>
      </w:r>
      <w:r w:rsidR="005350D9">
        <w:rPr>
          <w:bCs/>
        </w:rPr>
        <w:t>Tribal)</w:t>
      </w:r>
    </w:p>
    <w:p w:rsidR="005350D9" w:rsidP="0024521E" w:rsidRDefault="005350D9" w14:paraId="26F1E4D5" w14:textId="0CCD6583">
      <w:pPr>
        <w:rPr>
          <w:bCs/>
        </w:rPr>
      </w:pPr>
      <w:r>
        <w:rPr>
          <w:bCs/>
        </w:rPr>
        <w:t>Attachment G – MyMedications List (English)</w:t>
      </w:r>
    </w:p>
    <w:p w:rsidR="005350D9" w:rsidP="0024521E" w:rsidRDefault="005350D9" w14:paraId="3EBC0B50" w14:textId="2BA22A48">
      <w:pPr>
        <w:rPr>
          <w:bCs/>
        </w:rPr>
      </w:pPr>
      <w:r>
        <w:rPr>
          <w:bCs/>
        </w:rPr>
        <w:t>Attachment H – MyMedications List (Spanish)</w:t>
      </w:r>
    </w:p>
    <w:p w:rsidR="005350D9" w:rsidP="0024521E" w:rsidRDefault="005350D9" w14:paraId="073CD909" w14:textId="6B9D3A1F">
      <w:pPr>
        <w:rPr>
          <w:bCs/>
        </w:rPr>
      </w:pPr>
      <w:r>
        <w:rPr>
          <w:bCs/>
        </w:rPr>
        <w:t>Attachment I – MyMedications List (Tribal)</w:t>
      </w:r>
    </w:p>
    <w:p w:rsidR="005350D9" w:rsidP="0024521E" w:rsidRDefault="005350D9" w14:paraId="09CBB73E" w14:textId="42A03CAA">
      <w:pPr>
        <w:rPr>
          <w:bCs/>
        </w:rPr>
      </w:pPr>
      <w:r>
        <w:rPr>
          <w:bCs/>
        </w:rPr>
        <w:t>Attachment J – MyMedications Action Plan (English)</w:t>
      </w:r>
    </w:p>
    <w:p w:rsidR="005350D9" w:rsidP="0024521E" w:rsidRDefault="005350D9" w14:paraId="17FD7B83" w14:textId="0DD431D2">
      <w:pPr>
        <w:rPr>
          <w:bCs/>
        </w:rPr>
      </w:pPr>
      <w:r>
        <w:rPr>
          <w:bCs/>
        </w:rPr>
        <w:t>Attachment K – MyMedications Action Plan (Spanish)</w:t>
      </w:r>
    </w:p>
    <w:p w:rsidR="005350D9" w:rsidP="0024521E" w:rsidRDefault="005350D9" w14:paraId="2087F6B5" w14:textId="03D9395C">
      <w:pPr>
        <w:rPr>
          <w:bCs/>
        </w:rPr>
      </w:pPr>
      <w:r>
        <w:rPr>
          <w:bCs/>
        </w:rPr>
        <w:t xml:space="preserve">Attachment </w:t>
      </w:r>
      <w:r w:rsidR="00CB6CB7">
        <w:rPr>
          <w:bCs/>
        </w:rPr>
        <w:t>L – MyMedications Action Plan (Tribal)</w:t>
      </w:r>
    </w:p>
    <w:p w:rsidR="00766DF4" w:rsidP="006F30C5" w:rsidRDefault="00A77E5E" w14:paraId="0B6C7534" w14:textId="4E73580B">
      <w:pPr>
        <w:rPr>
          <w:bCs/>
        </w:rPr>
      </w:pPr>
      <w:r>
        <w:rPr>
          <w:bCs/>
        </w:rPr>
        <w:t xml:space="preserve">Attachment </w:t>
      </w:r>
      <w:r w:rsidR="009B3410">
        <w:rPr>
          <w:bCs/>
        </w:rPr>
        <w:t>M</w:t>
      </w:r>
      <w:r>
        <w:rPr>
          <w:bCs/>
        </w:rPr>
        <w:t xml:space="preserve"> – </w:t>
      </w:r>
      <w:r w:rsidRPr="00526BB9" w:rsidR="00526BB9">
        <w:rPr>
          <w:bCs/>
        </w:rPr>
        <w:t xml:space="preserve">Participant Screeners </w:t>
      </w:r>
      <w:r w:rsidR="006F30C5">
        <w:rPr>
          <w:bCs/>
        </w:rPr>
        <w:t>(English, Spanish, Tribal)</w:t>
      </w:r>
    </w:p>
    <w:p w:rsidR="00766DF4" w:rsidP="00DD5651" w:rsidRDefault="00766DF4" w14:paraId="5B7B74C8" w14:textId="2D873ECB">
      <w:pPr>
        <w:rPr>
          <w:bCs/>
        </w:rPr>
      </w:pPr>
      <w:r>
        <w:rPr>
          <w:bCs/>
        </w:rPr>
        <w:t xml:space="preserve">Attachment </w:t>
      </w:r>
      <w:r w:rsidR="006F30C5">
        <w:rPr>
          <w:bCs/>
        </w:rPr>
        <w:t>N</w:t>
      </w:r>
      <w:r>
        <w:rPr>
          <w:bCs/>
        </w:rPr>
        <w:t xml:space="preserve"> – Pre-Interview Session Review Guide</w:t>
      </w:r>
      <w:r w:rsidR="006F30C5">
        <w:rPr>
          <w:bCs/>
        </w:rPr>
        <w:t>s</w:t>
      </w:r>
      <w:r w:rsidRPr="00526BB9" w:rsidR="006F30C5">
        <w:rPr>
          <w:bCs/>
        </w:rPr>
        <w:t xml:space="preserve"> </w:t>
      </w:r>
      <w:r w:rsidR="006F30C5">
        <w:rPr>
          <w:bCs/>
        </w:rPr>
        <w:t>(English, Spanish, Tribal)</w:t>
      </w:r>
    </w:p>
    <w:p w:rsidR="00766DF4" w:rsidP="006F30C5" w:rsidRDefault="00766DF4" w14:paraId="1F7F5A5B" w14:textId="3880B389">
      <w:pPr>
        <w:rPr>
          <w:bCs/>
        </w:rPr>
      </w:pPr>
      <w:r>
        <w:rPr>
          <w:bCs/>
        </w:rPr>
        <w:t xml:space="preserve">Attachment </w:t>
      </w:r>
      <w:r w:rsidR="006F30C5">
        <w:rPr>
          <w:bCs/>
        </w:rPr>
        <w:t>O</w:t>
      </w:r>
      <w:r>
        <w:rPr>
          <w:bCs/>
        </w:rPr>
        <w:t xml:space="preserve"> – Consent Form</w:t>
      </w:r>
      <w:r w:rsidR="006F30C5">
        <w:rPr>
          <w:bCs/>
        </w:rPr>
        <w:t>s</w:t>
      </w:r>
      <w:r w:rsidRPr="00526BB9" w:rsidR="006F30C5">
        <w:rPr>
          <w:bCs/>
        </w:rPr>
        <w:t xml:space="preserve"> </w:t>
      </w:r>
      <w:r w:rsidR="006F30C5">
        <w:rPr>
          <w:bCs/>
        </w:rPr>
        <w:t>(English, Spanish, Tribal)</w:t>
      </w:r>
    </w:p>
    <w:p w:rsidRPr="00DD054E" w:rsidR="00766DF4" w:rsidP="006F30C5" w:rsidRDefault="00766DF4" w14:paraId="6EEAC8DE" w14:textId="3C7454AE">
      <w:pPr>
        <w:rPr>
          <w:b/>
        </w:rPr>
      </w:pPr>
      <w:r>
        <w:rPr>
          <w:bCs/>
        </w:rPr>
        <w:t xml:space="preserve">Attachment </w:t>
      </w:r>
      <w:r w:rsidR="006F30C5">
        <w:rPr>
          <w:bCs/>
        </w:rPr>
        <w:t>P</w:t>
      </w:r>
      <w:r>
        <w:rPr>
          <w:bCs/>
        </w:rPr>
        <w:t xml:space="preserve"> – Focus Group Moderator Guide</w:t>
      </w:r>
      <w:r w:rsidR="006F30C5">
        <w:rPr>
          <w:bCs/>
        </w:rPr>
        <w:t>s</w:t>
      </w:r>
      <w:r w:rsidRPr="00526BB9" w:rsidR="006F30C5">
        <w:rPr>
          <w:bCs/>
        </w:rPr>
        <w:t xml:space="preserve"> </w:t>
      </w:r>
      <w:r w:rsidR="006F30C5">
        <w:rPr>
          <w:bCs/>
        </w:rPr>
        <w:t>(English, Spanish, Tribal)</w:t>
      </w:r>
    </w:p>
    <w:p w:rsidRPr="00F24CFC" w:rsidR="00526BB9" w:rsidP="00DD5651" w:rsidRDefault="00526BB9" w14:paraId="42405B8B" w14:textId="77777777">
      <w:pPr>
        <w:rPr>
          <w:b/>
        </w:rPr>
      </w:pPr>
    </w:p>
    <w:sectPr w:rsidRPr="00F24CFC" w:rsidR="00526BB9"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475A" w14:textId="77777777" w:rsidR="006C58E7" w:rsidRDefault="006C58E7">
      <w:r>
        <w:separator/>
      </w:r>
    </w:p>
  </w:endnote>
  <w:endnote w:type="continuationSeparator" w:id="0">
    <w:p w14:paraId="59840066" w14:textId="77777777" w:rsidR="006C58E7" w:rsidRDefault="006C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3E71" w14:textId="77777777" w:rsidR="002F374F" w:rsidRDefault="002F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F14D" w14:textId="77777777" w:rsidR="002F374F" w:rsidRDefault="002F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0135" w14:textId="77777777" w:rsidR="006C58E7" w:rsidRDefault="006C58E7">
      <w:r>
        <w:separator/>
      </w:r>
    </w:p>
  </w:footnote>
  <w:footnote w:type="continuationSeparator" w:id="0">
    <w:p w14:paraId="75EAC4C0" w14:textId="77777777" w:rsidR="006C58E7" w:rsidRDefault="006C58E7">
      <w:r>
        <w:continuationSeparator/>
      </w:r>
    </w:p>
  </w:footnote>
  <w:footnote w:id="1">
    <w:p w14:paraId="78A95689" w14:textId="0C251486" w:rsidR="000E41CF" w:rsidRDefault="000E41CF">
      <w:pPr>
        <w:pStyle w:val="FootnoteText"/>
      </w:pPr>
      <w:r>
        <w:rPr>
          <w:rStyle w:val="FootnoteReference"/>
        </w:rPr>
        <w:footnoteRef/>
      </w:r>
      <w:r>
        <w:t xml:space="preserve"> </w:t>
      </w:r>
      <w:r w:rsidRPr="000E41CF">
        <w:t xml:space="preserve">  Centers for Disease Control and Prevention, The State of Aging and Health in America 2013. Atlanta, GA: Centers for Disease Control and Prevention, US Dept of Health and Human Services; 2015.</w:t>
      </w:r>
    </w:p>
  </w:footnote>
  <w:footnote w:id="2">
    <w:p w14:paraId="1E82AAD8" w14:textId="77777777" w:rsidR="006236E8" w:rsidRDefault="006236E8" w:rsidP="006236E8">
      <w:pPr>
        <w:pStyle w:val="FootnoteText"/>
      </w:pPr>
      <w:r>
        <w:rPr>
          <w:rStyle w:val="FootnoteReference"/>
        </w:rPr>
        <w:footnoteRef/>
      </w:r>
      <w:r>
        <w:t xml:space="preserve"> </w:t>
      </w:r>
      <w:r w:rsidRPr="000E41CF">
        <w:t>National Cancer Institute. (2001) Making Health Communication Programs Work, http://www.cancer.gov/cancertopics/cancerlibrary/pinkbook/Pink_Book.pdf</w:t>
      </w:r>
    </w:p>
  </w:footnote>
  <w:footnote w:id="3">
    <w:p w14:paraId="15E0F045" w14:textId="77777777" w:rsidR="006236E8" w:rsidRDefault="006236E8" w:rsidP="006236E8">
      <w:pPr>
        <w:pStyle w:val="FootnoteText"/>
      </w:pPr>
      <w:r>
        <w:rPr>
          <w:rStyle w:val="FootnoteReference"/>
        </w:rPr>
        <w:footnoteRef/>
      </w:r>
      <w:r>
        <w:t xml:space="preserve"> </w:t>
      </w:r>
      <w:r w:rsidRPr="000E41CF">
        <w:t xml:space="preserve">  Krueger, RA and Casey, MA. (2008). Focus Groups: A Practical Guide for Applied Research, 4th ed.  Sage Publications, Inc., Thousand Oaks, 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FEEB" w14:textId="77777777" w:rsidR="002F374F" w:rsidRDefault="002F3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4511" w14:textId="77777777" w:rsidR="002F374F" w:rsidRDefault="002F3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C88F" w14:textId="77777777" w:rsidR="002F374F" w:rsidRDefault="002F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C605E"/>
    <w:multiLevelType w:val="hybridMultilevel"/>
    <w:tmpl w:val="069A86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B543EF1"/>
    <w:multiLevelType w:val="hybridMultilevel"/>
    <w:tmpl w:val="EBFA9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73E12"/>
    <w:multiLevelType w:val="hybridMultilevel"/>
    <w:tmpl w:val="D638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3"/>
  </w:num>
  <w:num w:numId="16">
    <w:abstractNumId w:val="12"/>
  </w:num>
  <w:num w:numId="17">
    <w:abstractNumId w:val="4"/>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994"/>
    <w:rsid w:val="00023A57"/>
    <w:rsid w:val="00047A64"/>
    <w:rsid w:val="00066F50"/>
    <w:rsid w:val="00067329"/>
    <w:rsid w:val="000924C8"/>
    <w:rsid w:val="000A6B14"/>
    <w:rsid w:val="000B2838"/>
    <w:rsid w:val="000B60AB"/>
    <w:rsid w:val="000B67E4"/>
    <w:rsid w:val="000D269B"/>
    <w:rsid w:val="000D44CA"/>
    <w:rsid w:val="000E200B"/>
    <w:rsid w:val="000E41CF"/>
    <w:rsid w:val="000E65E5"/>
    <w:rsid w:val="000F68BE"/>
    <w:rsid w:val="000F6D85"/>
    <w:rsid w:val="00145293"/>
    <w:rsid w:val="00146B20"/>
    <w:rsid w:val="001612AF"/>
    <w:rsid w:val="00170D16"/>
    <w:rsid w:val="00177EAF"/>
    <w:rsid w:val="001927A4"/>
    <w:rsid w:val="00194AC6"/>
    <w:rsid w:val="001A23B0"/>
    <w:rsid w:val="001A25CC"/>
    <w:rsid w:val="001A5799"/>
    <w:rsid w:val="001B0AAA"/>
    <w:rsid w:val="001C39F7"/>
    <w:rsid w:val="001C63A6"/>
    <w:rsid w:val="001C6CAD"/>
    <w:rsid w:val="001F3805"/>
    <w:rsid w:val="001F64F3"/>
    <w:rsid w:val="00217F8E"/>
    <w:rsid w:val="00237B48"/>
    <w:rsid w:val="0024035B"/>
    <w:rsid w:val="0024521E"/>
    <w:rsid w:val="00245330"/>
    <w:rsid w:val="00261DFE"/>
    <w:rsid w:val="00263C3D"/>
    <w:rsid w:val="00265236"/>
    <w:rsid w:val="00267D66"/>
    <w:rsid w:val="00274D0B"/>
    <w:rsid w:val="00282136"/>
    <w:rsid w:val="002821FF"/>
    <w:rsid w:val="00291893"/>
    <w:rsid w:val="002B3C95"/>
    <w:rsid w:val="002C1A89"/>
    <w:rsid w:val="002D0B92"/>
    <w:rsid w:val="002D23AA"/>
    <w:rsid w:val="002D4003"/>
    <w:rsid w:val="002E126B"/>
    <w:rsid w:val="002E45AF"/>
    <w:rsid w:val="002E52CD"/>
    <w:rsid w:val="002F374F"/>
    <w:rsid w:val="00324AC4"/>
    <w:rsid w:val="00340BAC"/>
    <w:rsid w:val="00341E07"/>
    <w:rsid w:val="00357FC0"/>
    <w:rsid w:val="003675DB"/>
    <w:rsid w:val="003859BC"/>
    <w:rsid w:val="0038712D"/>
    <w:rsid w:val="00391BB4"/>
    <w:rsid w:val="003A4C87"/>
    <w:rsid w:val="003B0612"/>
    <w:rsid w:val="003C4F49"/>
    <w:rsid w:val="003D5BBE"/>
    <w:rsid w:val="003E05AC"/>
    <w:rsid w:val="003E3C61"/>
    <w:rsid w:val="003F1C5B"/>
    <w:rsid w:val="003F25AD"/>
    <w:rsid w:val="0040417A"/>
    <w:rsid w:val="004122C2"/>
    <w:rsid w:val="0041337D"/>
    <w:rsid w:val="00434E33"/>
    <w:rsid w:val="00441434"/>
    <w:rsid w:val="00443C35"/>
    <w:rsid w:val="00450CC2"/>
    <w:rsid w:val="00451718"/>
    <w:rsid w:val="0045264C"/>
    <w:rsid w:val="00457406"/>
    <w:rsid w:val="00467067"/>
    <w:rsid w:val="00481C74"/>
    <w:rsid w:val="004876EC"/>
    <w:rsid w:val="004A52CE"/>
    <w:rsid w:val="004C75CF"/>
    <w:rsid w:val="004D6E14"/>
    <w:rsid w:val="004E1C18"/>
    <w:rsid w:val="004F32E0"/>
    <w:rsid w:val="005009B0"/>
    <w:rsid w:val="00512CA7"/>
    <w:rsid w:val="00515A7A"/>
    <w:rsid w:val="00520320"/>
    <w:rsid w:val="00526BB9"/>
    <w:rsid w:val="005350D9"/>
    <w:rsid w:val="005438CD"/>
    <w:rsid w:val="00544C9A"/>
    <w:rsid w:val="00574254"/>
    <w:rsid w:val="005779EF"/>
    <w:rsid w:val="005A1006"/>
    <w:rsid w:val="005A1ED9"/>
    <w:rsid w:val="005C60D6"/>
    <w:rsid w:val="005E190B"/>
    <w:rsid w:val="005E714A"/>
    <w:rsid w:val="006140A0"/>
    <w:rsid w:val="00621E79"/>
    <w:rsid w:val="006236E8"/>
    <w:rsid w:val="0063566E"/>
    <w:rsid w:val="00636621"/>
    <w:rsid w:val="00642B49"/>
    <w:rsid w:val="00655F9E"/>
    <w:rsid w:val="00660A3F"/>
    <w:rsid w:val="00663602"/>
    <w:rsid w:val="006832D9"/>
    <w:rsid w:val="0069403B"/>
    <w:rsid w:val="006B02F6"/>
    <w:rsid w:val="006B3ED2"/>
    <w:rsid w:val="006B5927"/>
    <w:rsid w:val="006C11EF"/>
    <w:rsid w:val="006C58E7"/>
    <w:rsid w:val="006F2EDA"/>
    <w:rsid w:val="006F30C5"/>
    <w:rsid w:val="006F3DDE"/>
    <w:rsid w:val="00704678"/>
    <w:rsid w:val="00727BD4"/>
    <w:rsid w:val="00740C61"/>
    <w:rsid w:val="007425E7"/>
    <w:rsid w:val="00744E0F"/>
    <w:rsid w:val="00756F45"/>
    <w:rsid w:val="00766DF4"/>
    <w:rsid w:val="007A5965"/>
    <w:rsid w:val="007B05B4"/>
    <w:rsid w:val="007B302F"/>
    <w:rsid w:val="007B44AA"/>
    <w:rsid w:val="007B6A1A"/>
    <w:rsid w:val="007C00CB"/>
    <w:rsid w:val="007E43BD"/>
    <w:rsid w:val="007F1E94"/>
    <w:rsid w:val="00800106"/>
    <w:rsid w:val="00802607"/>
    <w:rsid w:val="008101A5"/>
    <w:rsid w:val="00822664"/>
    <w:rsid w:val="00843796"/>
    <w:rsid w:val="00850077"/>
    <w:rsid w:val="00851CFC"/>
    <w:rsid w:val="008528D2"/>
    <w:rsid w:val="0088466D"/>
    <w:rsid w:val="00895229"/>
    <w:rsid w:val="00896AF5"/>
    <w:rsid w:val="008F0203"/>
    <w:rsid w:val="008F50D4"/>
    <w:rsid w:val="00916222"/>
    <w:rsid w:val="009239AA"/>
    <w:rsid w:val="00935927"/>
    <w:rsid w:val="00935ADA"/>
    <w:rsid w:val="00946B6C"/>
    <w:rsid w:val="00955A71"/>
    <w:rsid w:val="0096108F"/>
    <w:rsid w:val="00973B80"/>
    <w:rsid w:val="009930A5"/>
    <w:rsid w:val="009B3410"/>
    <w:rsid w:val="009C13B9"/>
    <w:rsid w:val="009C66C1"/>
    <w:rsid w:val="009C7D3B"/>
    <w:rsid w:val="009D01A2"/>
    <w:rsid w:val="009D1720"/>
    <w:rsid w:val="009F5923"/>
    <w:rsid w:val="00A1160F"/>
    <w:rsid w:val="00A12B71"/>
    <w:rsid w:val="00A15BF0"/>
    <w:rsid w:val="00A20C41"/>
    <w:rsid w:val="00A351B6"/>
    <w:rsid w:val="00A403BB"/>
    <w:rsid w:val="00A575FE"/>
    <w:rsid w:val="00A674DF"/>
    <w:rsid w:val="00A7562C"/>
    <w:rsid w:val="00A77E5E"/>
    <w:rsid w:val="00A81831"/>
    <w:rsid w:val="00A82CCB"/>
    <w:rsid w:val="00A83AA6"/>
    <w:rsid w:val="00AD3D72"/>
    <w:rsid w:val="00AE1809"/>
    <w:rsid w:val="00AF2AC3"/>
    <w:rsid w:val="00AF4CF9"/>
    <w:rsid w:val="00AF5D21"/>
    <w:rsid w:val="00B26074"/>
    <w:rsid w:val="00B36F81"/>
    <w:rsid w:val="00B46F2C"/>
    <w:rsid w:val="00B63C0E"/>
    <w:rsid w:val="00B64DD6"/>
    <w:rsid w:val="00B76F71"/>
    <w:rsid w:val="00B80D76"/>
    <w:rsid w:val="00B876F2"/>
    <w:rsid w:val="00BA2105"/>
    <w:rsid w:val="00BA7E06"/>
    <w:rsid w:val="00BB43B5"/>
    <w:rsid w:val="00BB6219"/>
    <w:rsid w:val="00BC6034"/>
    <w:rsid w:val="00BD290F"/>
    <w:rsid w:val="00BD2E74"/>
    <w:rsid w:val="00BD3D88"/>
    <w:rsid w:val="00BF0B83"/>
    <w:rsid w:val="00C008AA"/>
    <w:rsid w:val="00C14AEF"/>
    <w:rsid w:val="00C14CC4"/>
    <w:rsid w:val="00C2257C"/>
    <w:rsid w:val="00C33C52"/>
    <w:rsid w:val="00C40D8B"/>
    <w:rsid w:val="00C435C6"/>
    <w:rsid w:val="00C601FA"/>
    <w:rsid w:val="00C809B5"/>
    <w:rsid w:val="00C8407A"/>
    <w:rsid w:val="00C8488C"/>
    <w:rsid w:val="00C86E91"/>
    <w:rsid w:val="00C9606B"/>
    <w:rsid w:val="00CA2650"/>
    <w:rsid w:val="00CA3E62"/>
    <w:rsid w:val="00CA7824"/>
    <w:rsid w:val="00CB1078"/>
    <w:rsid w:val="00CB25FB"/>
    <w:rsid w:val="00CB6CB7"/>
    <w:rsid w:val="00CC6FAF"/>
    <w:rsid w:val="00CE7721"/>
    <w:rsid w:val="00D0739E"/>
    <w:rsid w:val="00D151CF"/>
    <w:rsid w:val="00D24698"/>
    <w:rsid w:val="00D33458"/>
    <w:rsid w:val="00D60BE7"/>
    <w:rsid w:val="00D6383F"/>
    <w:rsid w:val="00D71221"/>
    <w:rsid w:val="00D75A5A"/>
    <w:rsid w:val="00D75D68"/>
    <w:rsid w:val="00D947FC"/>
    <w:rsid w:val="00DB59D0"/>
    <w:rsid w:val="00DC33D3"/>
    <w:rsid w:val="00DC65AC"/>
    <w:rsid w:val="00DD054E"/>
    <w:rsid w:val="00DD5651"/>
    <w:rsid w:val="00DE691E"/>
    <w:rsid w:val="00DF7E5E"/>
    <w:rsid w:val="00E02391"/>
    <w:rsid w:val="00E10A52"/>
    <w:rsid w:val="00E217DE"/>
    <w:rsid w:val="00E252F3"/>
    <w:rsid w:val="00E26329"/>
    <w:rsid w:val="00E40B50"/>
    <w:rsid w:val="00E50293"/>
    <w:rsid w:val="00E57B71"/>
    <w:rsid w:val="00E65FFC"/>
    <w:rsid w:val="00E73A34"/>
    <w:rsid w:val="00E80951"/>
    <w:rsid w:val="00E854FE"/>
    <w:rsid w:val="00E86CC6"/>
    <w:rsid w:val="00E9722B"/>
    <w:rsid w:val="00EA5483"/>
    <w:rsid w:val="00EA69C4"/>
    <w:rsid w:val="00EB56B3"/>
    <w:rsid w:val="00EC0186"/>
    <w:rsid w:val="00EC408C"/>
    <w:rsid w:val="00ED6492"/>
    <w:rsid w:val="00ED75C8"/>
    <w:rsid w:val="00EF2095"/>
    <w:rsid w:val="00EF484B"/>
    <w:rsid w:val="00EF4EBC"/>
    <w:rsid w:val="00F06866"/>
    <w:rsid w:val="00F121F6"/>
    <w:rsid w:val="00F132BA"/>
    <w:rsid w:val="00F15956"/>
    <w:rsid w:val="00F24CFC"/>
    <w:rsid w:val="00F3170F"/>
    <w:rsid w:val="00F3472B"/>
    <w:rsid w:val="00F34E5A"/>
    <w:rsid w:val="00F4017B"/>
    <w:rsid w:val="00F44B9A"/>
    <w:rsid w:val="00F54F1F"/>
    <w:rsid w:val="00F60CA9"/>
    <w:rsid w:val="00F70E2F"/>
    <w:rsid w:val="00F74724"/>
    <w:rsid w:val="00F9293D"/>
    <w:rsid w:val="00F976B0"/>
    <w:rsid w:val="00FA6DE7"/>
    <w:rsid w:val="00FC0A8E"/>
    <w:rsid w:val="00FD6D92"/>
    <w:rsid w:val="00FE2FA6"/>
    <w:rsid w:val="00FE3DF2"/>
    <w:rsid w:val="00FE5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4E"/>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0E41CF"/>
    <w:rPr>
      <w:sz w:val="20"/>
      <w:szCs w:val="20"/>
    </w:rPr>
  </w:style>
  <w:style w:type="character" w:customStyle="1" w:styleId="FootnoteTextChar">
    <w:name w:val="Footnote Text Char"/>
    <w:basedOn w:val="DefaultParagraphFont"/>
    <w:link w:val="FootnoteText"/>
    <w:uiPriority w:val="99"/>
    <w:semiHidden/>
    <w:rsid w:val="000E41CF"/>
    <w:rPr>
      <w:sz w:val="20"/>
      <w:szCs w:val="20"/>
    </w:rPr>
  </w:style>
  <w:style w:type="character" w:styleId="FootnoteReference">
    <w:name w:val="footnote reference"/>
    <w:basedOn w:val="DefaultParagraphFont"/>
    <w:uiPriority w:val="99"/>
    <w:semiHidden/>
    <w:unhideWhenUsed/>
    <w:rsid w:val="000E41CF"/>
    <w:rPr>
      <w:vertAlign w:val="superscript"/>
    </w:rPr>
  </w:style>
  <w:style w:type="paragraph" w:styleId="Revision">
    <w:name w:val="Revision"/>
    <w:hidden/>
    <w:uiPriority w:val="99"/>
    <w:semiHidden/>
    <w:rsid w:val="00D947FC"/>
    <w:rPr>
      <w:sz w:val="24"/>
      <w:szCs w:val="24"/>
    </w:rPr>
  </w:style>
  <w:style w:type="paragraph" w:customStyle="1" w:styleId="Default">
    <w:name w:val="Default"/>
    <w:basedOn w:val="Normal"/>
    <w:rsid w:val="009D1720"/>
    <w:pPr>
      <w:autoSpaceDE w:val="0"/>
      <w:autoSpaceDN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3912">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952B104857424A87BBFB9CC8A08B46" ma:contentTypeVersion="4" ma:contentTypeDescription="Create a new document." ma:contentTypeScope="" ma:versionID="0b48b7005fbfa9c987255582d5428cb2">
  <xsd:schema xmlns:xsd="http://www.w3.org/2001/XMLSchema" xmlns:xs="http://www.w3.org/2001/XMLSchema" xmlns:p="http://schemas.microsoft.com/office/2006/metadata/properties" xmlns:ns2="e1afc643-ac0b-41eb-b8c7-a9040709ab58" xmlns:ns3="bddf4301-b463-4223-aa39-01c36584f48b" targetNamespace="http://schemas.microsoft.com/office/2006/metadata/properties" ma:root="true" ma:fieldsID="3ad23ebb62cc20c07a41b997db1d98c9" ns2:_="" ns3:_="">
    <xsd:import namespace="e1afc643-ac0b-41eb-b8c7-a9040709ab58"/>
    <xsd:import namespace="bddf4301-b463-4223-aa39-01c36584f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c643-ac0b-41eb-b8c7-a9040709a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f4301-b463-4223-aa39-01c36584f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6CE38-1E9E-4859-AA33-2951BDA9D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3.xml><?xml version="1.0" encoding="utf-8"?>
<ds:datastoreItem xmlns:ds="http://schemas.openxmlformats.org/officeDocument/2006/customXml" ds:itemID="{C1C24407-ED77-421F-9D68-3258C127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c643-ac0b-41eb-b8c7-a9040709ab58"/>
    <ds:schemaRef ds:uri="bddf4301-b463-4223-aa39-01c36584f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2EB71-A500-4E38-AF08-CE647A512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1849</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(CDC/DDNID/NCIPC/OD) (CTR)</cp:lastModifiedBy>
  <cp:revision>5</cp:revision>
  <cp:lastPrinted>2019-03-29T13:58:00Z</cp:lastPrinted>
  <dcterms:created xsi:type="dcterms:W3CDTF">2022-08-09T18:48:00Z</dcterms:created>
  <dcterms:modified xsi:type="dcterms:W3CDTF">2022-08-11T16:52:00Z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0x01010039952B104857424A87BBFB9CC8A08B46</vt:lpwstr>
  </property>
  <property fmtid="{D5CDD505-2E9C-101B-9397-08002B2CF9AE}" pid="4" name="_dlc_DocIdItemGuid">
    <vt:lpwstr>c0695f03-219c-4ff9-82d8-e4d88cfd62e7</vt:lpwstr>
  </property>
  <property fmtid="{D5CDD505-2E9C-101B-9397-08002B2CF9AE}" pid="5" name="URL">
    <vt:lpwstr/>
  </property>
  <property fmtid="{D5CDD505-2E9C-101B-9397-08002B2CF9AE}" pid="6" name="Order0">
    <vt:r8>4</vt:r8>
  </property>
  <property fmtid="{D5CDD505-2E9C-101B-9397-08002B2CF9AE}" pid="7" name="MSIP_Label_8af03ff0-41c5-4c41-b55e-fabb8fae94be_Enabled">
    <vt:lpwstr>true</vt:lpwstr>
  </property>
  <property fmtid="{D5CDD505-2E9C-101B-9397-08002B2CF9AE}" pid="8" name="MSIP_Label_8af03ff0-41c5-4c41-b55e-fabb8fae94be_SetDate">
    <vt:lpwstr>2021-10-12T15:32:40Z</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iteId">
    <vt:lpwstr>9ce70869-60db-44fd-abe8-d2767077fc8f</vt:lpwstr>
  </property>
  <property fmtid="{D5CDD505-2E9C-101B-9397-08002B2CF9AE}" pid="12" name="MSIP_Label_8af03ff0-41c5-4c41-b55e-fabb8fae94be_ActionId">
    <vt:lpwstr>6ca31ae0-5732-4b5c-8823-4f68eda831ae</vt:lpwstr>
  </property>
  <property fmtid="{D5CDD505-2E9C-101B-9397-08002B2CF9AE}" pid="13" name="MSIP_Label_8af03ff0-41c5-4c41-b55e-fabb8fae94be_ContentBits">
    <vt:lpwstr>0</vt:lpwstr>
  </property>
</Properties>
</file>