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114146095"/>
    <w:bookmarkStart w:id="1" w:name="_Hlk114146173"/>
    <w:bookmarkStart w:id="2" w:name="_Hlk7623435"/>
    <w:bookmarkStart w:id="3" w:name="_Hlk7623453"/>
    <w:p w:rsidR="00D2468C" w:rsidRPr="00F06B97" w:rsidP="00F06B97" w14:paraId="145E8822" w14:textId="20354975">
      <w:pPr>
        <w:spacing w:line="276" w:lineRule="auto"/>
        <w:jc w:val="center"/>
        <w:rPr>
          <w:rFonts w:ascii="Arial Nova" w:hAnsi="Arial Nova"/>
        </w:rPr>
      </w:pPr>
      <w:sdt>
        <w:sdtPr>
          <w:rPr>
            <w:rFonts w:ascii="Arial Nova" w:hAnsi="Arial Nova"/>
            <w:b/>
          </w:rPr>
          <w:alias w:val="Title"/>
          <w:tag w:val="Title"/>
          <w:id w:val="-956107503"/>
          <w:placeholder>
            <w:docPart w:val="42A4B6D111B74DE5B010E6D835C46139"/>
          </w:placeholder>
          <w:dataBinding w:prefixMappings="xmlns:ns0='http://purl.org/dc/elements/1.1/' xmlns:ns1='http://schemas.openxmlformats.org/package/2006/metadata/core-properties' " w:xpath="/ns1:coreProperties[1]/ns0:title[1]" w:storeItemID="{6C3C8BC8-F283-45AE-878A-BAB7291924A1}"/>
          <w:text/>
          <w15:color w:val="000000"/>
        </w:sdtPr>
        <w:sdtContent>
          <w:r w:rsidRPr="00A550C8" w:rsidR="002956FA">
            <w:rPr>
              <w:rFonts w:ascii="Arial Nova" w:hAnsi="Arial Nova"/>
              <w:b/>
            </w:rPr>
            <w:t>National Network of Sexually Transmitted Disease Clinical Prevention Training Centers (NNPTC)</w:t>
          </w:r>
        </w:sdtContent>
      </w:sdt>
      <w:bookmarkEnd w:id="0"/>
    </w:p>
    <w:bookmarkEnd w:id="1"/>
    <w:p w:rsidR="00D2468C" w:rsidRPr="00F06B97" w:rsidP="00CA0AE7" w14:paraId="09992D3D" w14:textId="77777777">
      <w:pPr>
        <w:jc w:val="center"/>
        <w:rPr>
          <w:rFonts w:ascii="Arial Nova" w:hAnsi="Arial Nova"/>
        </w:rPr>
      </w:pPr>
    </w:p>
    <w:p w:rsidR="00AD1E0B" w:rsidRPr="00F06B97" w:rsidP="00F06B97" w14:paraId="54692911" w14:textId="77777777">
      <w:pPr>
        <w:spacing w:line="276" w:lineRule="auto"/>
        <w:rPr>
          <w:rFonts w:ascii="Arial Nova" w:hAnsi="Arial Nova"/>
        </w:rPr>
      </w:pPr>
    </w:p>
    <w:bookmarkEnd w:id="2"/>
    <w:p w:rsidR="00F43032" w:rsidRPr="00A303DB" w:rsidP="00F06B97" w14:paraId="61595BF2" w14:textId="25956A10">
      <w:pPr>
        <w:spacing w:line="276" w:lineRule="auto"/>
        <w:jc w:val="center"/>
        <w:rPr>
          <w:rFonts w:ascii="Arial Nova" w:hAnsi="Arial Nova"/>
          <w:b/>
          <w:color w:val="6E6E6E"/>
        </w:rPr>
      </w:pPr>
      <w:sdt>
        <w:sdtPr>
          <w:rPr>
            <w:rFonts w:ascii="Arial Nova" w:hAnsi="Arial Nova"/>
            <w:color w:val="6E6E6E"/>
          </w:rPr>
          <w:alias w:val="choose from drop down"/>
          <w:tag w:val="Classification"/>
          <w:id w:val="-701165882"/>
          <w:placeholder>
            <w:docPart w:val="BC9E7DB4CF41442298ADDA8AF2340FD7"/>
          </w:placeholder>
          <w:dropDownList w:lastValue="Extension:">
            <w:listItem w:value="Choose an item."/>
            <w:listItem w:value="New" w:displayText="New"/>
            <w:listItem w:value="Existing Collection in Use Without an OMB Control No." w:displayText="Existing Collection in Use Without an OMB Control No."/>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color w:val="6E6E6E"/>
            </w:rPr>
            <w:t>Extension:</w:t>
          </w:r>
        </w:sdtContent>
      </w:sdt>
      <w:r w:rsidRPr="00A303DB" w:rsidR="006C6884">
        <w:rPr>
          <w:rFonts w:ascii="Arial Nova" w:hAnsi="Arial Nova"/>
          <w:color w:val="6E6E6E"/>
        </w:rPr>
        <w:t xml:space="preserve">  </w:t>
      </w:r>
      <w:sdt>
        <w:sdtPr>
          <w:rPr>
            <w:rFonts w:ascii="Arial Nova" w:hAnsi="Arial Nova"/>
            <w:color w:val="6E6E6E"/>
          </w:rPr>
          <w:alias w:val="delete if no number assigned yet"/>
          <w:id w:val="450981746"/>
          <w:placeholder>
            <w:docPart w:val="7A22CFE60C8340AEAE41BEDE614C5385"/>
          </w:placeholder>
          <w:richText/>
        </w:sdtPr>
        <w:sdtContent>
          <w:r w:rsidR="00C04D41">
            <w:rPr>
              <w:rFonts w:ascii="Arial Nova" w:hAnsi="Arial Nova"/>
              <w:color w:val="6E6E6E"/>
            </w:rPr>
            <w:t>OMB NO. 0920-0995</w:t>
          </w:r>
        </w:sdtContent>
      </w:sdt>
      <w:r w:rsidRPr="00A303DB" w:rsidR="006C6884">
        <w:rPr>
          <w:rFonts w:ascii="Arial Nova" w:hAnsi="Arial Nova"/>
          <w:color w:val="6E6E6E"/>
        </w:rPr>
        <w:t xml:space="preserve"> </w:t>
      </w:r>
      <w:sdt>
        <w:sdtPr>
          <w:rPr>
            <w:rFonts w:ascii="Arial Nova" w:hAnsi="Arial Nova"/>
            <w:color w:val="6E6E6E"/>
          </w:rPr>
          <w:alias w:val="OMB epiration date if applicable"/>
          <w:tag w:val="Expire"/>
          <w:id w:val="846829046"/>
          <w:placeholder>
            <w:docPart w:val="C5A7B7D54ED946F199B914BC4E2246B5"/>
          </w:placeholder>
          <w:richText/>
        </w:sdtPr>
        <w:sdtContent>
          <w:r w:rsidR="00C04D41">
            <w:rPr>
              <w:rFonts w:ascii="Arial Nova" w:hAnsi="Arial Nova"/>
              <w:color w:val="6E6E6E"/>
            </w:rPr>
            <w:t>OMB Expiration date 0</w:t>
          </w:r>
          <w:r w:rsidR="007E5225">
            <w:rPr>
              <w:rFonts w:ascii="Arial Nova" w:hAnsi="Arial Nova"/>
              <w:color w:val="6E6E6E"/>
            </w:rPr>
            <w:t>3</w:t>
          </w:r>
          <w:r w:rsidR="00C04D41">
            <w:rPr>
              <w:rFonts w:ascii="Arial Nova" w:hAnsi="Arial Nova"/>
              <w:color w:val="6E6E6E"/>
            </w:rPr>
            <w:t>/3</w:t>
          </w:r>
          <w:r w:rsidR="007E5225">
            <w:rPr>
              <w:rFonts w:ascii="Arial Nova" w:hAnsi="Arial Nova"/>
              <w:color w:val="6E6E6E"/>
            </w:rPr>
            <w:t>1</w:t>
          </w:r>
          <w:r w:rsidR="00C04D41">
            <w:rPr>
              <w:rFonts w:ascii="Arial Nova" w:hAnsi="Arial Nova"/>
              <w:color w:val="6E6E6E"/>
            </w:rPr>
            <w:t>/202</w:t>
          </w:r>
          <w:r w:rsidR="007E5225">
            <w:rPr>
              <w:rFonts w:ascii="Arial Nova" w:hAnsi="Arial Nova"/>
              <w:color w:val="6E6E6E"/>
            </w:rPr>
            <w:t>6</w:t>
          </w:r>
        </w:sdtContent>
      </w:sdt>
    </w:p>
    <w:p w:rsidR="00AD1E0B" w:rsidRPr="00F06B97" w:rsidP="00F06B97" w14:paraId="3C294CE6" w14:textId="77777777">
      <w:pPr>
        <w:spacing w:line="276" w:lineRule="auto"/>
        <w:jc w:val="center"/>
        <w:rPr>
          <w:rFonts w:ascii="Arial Nova" w:hAnsi="Arial Nova"/>
          <w:b/>
        </w:rPr>
      </w:pPr>
    </w:p>
    <w:p w:rsidR="00672B9C" w:rsidP="00F06B97" w14:paraId="1777E24F" w14:textId="77777777">
      <w:pPr>
        <w:spacing w:line="276" w:lineRule="auto"/>
        <w:jc w:val="center"/>
        <w:rPr>
          <w:rFonts w:ascii="Arial Nova" w:hAnsi="Arial Nova"/>
          <w:b/>
        </w:rPr>
      </w:pPr>
      <w:r w:rsidRPr="00F06B97">
        <w:rPr>
          <w:rFonts w:ascii="Arial Nova" w:hAnsi="Arial Nova"/>
          <w:b/>
        </w:rPr>
        <w:t xml:space="preserve">Supporting Statement </w:t>
      </w:r>
      <w:r w:rsidR="0052619E">
        <w:rPr>
          <w:rFonts w:ascii="Arial Nova" w:hAnsi="Arial Nova"/>
          <w:b/>
        </w:rPr>
        <w:t>A</w:t>
      </w:r>
    </w:p>
    <w:bookmarkEnd w:id="3"/>
    <w:p w:rsidR="00F96D9F" w:rsidP="00F06B97" w14:paraId="6D31A080" w14:textId="77777777">
      <w:pPr>
        <w:spacing w:line="276" w:lineRule="auto"/>
        <w:jc w:val="center"/>
        <w:rPr>
          <w:rFonts w:ascii="Arial Nova" w:hAnsi="Arial Nova"/>
          <w:b/>
        </w:rPr>
      </w:pPr>
    </w:p>
    <w:p w:rsidR="00F96D9F" w:rsidP="00F06B97" w14:paraId="23E74A5C" w14:textId="77777777">
      <w:pPr>
        <w:spacing w:line="276" w:lineRule="auto"/>
        <w:jc w:val="center"/>
        <w:rPr>
          <w:rFonts w:ascii="Arial Nova" w:hAnsi="Arial Nova"/>
          <w:b/>
        </w:rPr>
      </w:pPr>
    </w:p>
    <w:p w:rsidR="00F96D9F" w:rsidP="00F06B97" w14:paraId="7B1C68A3" w14:textId="77777777">
      <w:pPr>
        <w:spacing w:line="276" w:lineRule="auto"/>
        <w:jc w:val="center"/>
        <w:rPr>
          <w:rFonts w:ascii="Arial Nova" w:hAnsi="Arial Nova"/>
          <w:b/>
        </w:rPr>
      </w:pPr>
    </w:p>
    <w:p w:rsidR="0088291B" w:rsidP="00F06B97" w14:paraId="76C56F88" w14:textId="77777777">
      <w:pPr>
        <w:spacing w:line="276" w:lineRule="auto"/>
        <w:jc w:val="center"/>
        <w:rPr>
          <w:rFonts w:ascii="Arial Nova" w:hAnsi="Arial Nova"/>
          <w:b/>
        </w:rPr>
      </w:pPr>
    </w:p>
    <w:p w:rsidR="0088291B" w:rsidP="00F06B97" w14:paraId="07979005" w14:textId="5C7CB940">
      <w:pPr>
        <w:spacing w:line="276" w:lineRule="auto"/>
        <w:jc w:val="center"/>
        <w:rPr>
          <w:rFonts w:ascii="Arial Nova" w:hAnsi="Arial Nova"/>
          <w:b/>
        </w:rPr>
      </w:pPr>
    </w:p>
    <w:p w:rsidR="0088291B" w:rsidRPr="00F06B97" w:rsidP="00F06B97" w14:paraId="37DBB740" w14:textId="77777777">
      <w:pPr>
        <w:spacing w:line="276" w:lineRule="auto"/>
        <w:jc w:val="center"/>
        <w:rPr>
          <w:rFonts w:ascii="Arial Nova" w:hAnsi="Arial Nova"/>
          <w:b/>
        </w:rPr>
      </w:pPr>
    </w:p>
    <w:p w:rsidR="00880185" w:rsidRPr="00F06B97" w:rsidP="00F06B97" w14:paraId="3C86A33F" w14:textId="77777777">
      <w:pPr>
        <w:spacing w:line="276" w:lineRule="auto"/>
        <w:jc w:val="center"/>
        <w:rPr>
          <w:rFonts w:ascii="Arial Nova" w:hAnsi="Arial Nova"/>
          <w:b/>
        </w:rPr>
      </w:pPr>
    </w:p>
    <w:p w:rsidR="002C7AA6" w:rsidRPr="00F06B97" w:rsidP="00F06B97" w14:paraId="14318074" w14:textId="77777777">
      <w:pPr>
        <w:spacing w:line="276" w:lineRule="auto"/>
        <w:rPr>
          <w:rFonts w:ascii="Arial Nova" w:hAnsi="Arial Nova"/>
          <w:b/>
          <w:u w:val="single"/>
        </w:rPr>
      </w:pPr>
      <w:r w:rsidRPr="00F06B97">
        <w:rPr>
          <w:rFonts w:ascii="Arial Nova" w:hAnsi="Arial Nova"/>
          <w:b/>
          <w:u w:val="single"/>
        </w:rPr>
        <w:t>Program Official/Contact</w:t>
      </w:r>
    </w:p>
    <w:p w:rsidR="00F83908" w:rsidP="00F06B97" w14:paraId="589FD7EB" w14:textId="77777777">
      <w:pPr>
        <w:spacing w:line="276" w:lineRule="auto"/>
        <w:rPr>
          <w:rFonts w:ascii="Arial Nova" w:hAnsi="Arial Nova"/>
        </w:rPr>
      </w:pPr>
      <w:r>
        <w:rPr>
          <w:rFonts w:ascii="Arial Nova" w:hAnsi="Arial Nova"/>
        </w:rPr>
        <w:t>Alexandra Coor</w:t>
      </w:r>
    </w:p>
    <w:p w:rsidR="00EA25DD" w:rsidP="00F06B97" w14:paraId="5FD6E54B" w14:textId="41C778CB">
      <w:pPr>
        <w:spacing w:line="276" w:lineRule="auto"/>
        <w:rPr>
          <w:rFonts w:ascii="Arial Nova" w:hAnsi="Arial Nova"/>
        </w:rPr>
      </w:pPr>
      <w:r>
        <w:rPr>
          <w:rFonts w:ascii="Arial Nova" w:hAnsi="Arial Nova"/>
        </w:rPr>
        <w:t xml:space="preserve">National Centers for HIV, </w:t>
      </w:r>
      <w:r w:rsidR="00654CD8">
        <w:rPr>
          <w:rFonts w:ascii="Arial Nova" w:hAnsi="Arial Nova"/>
        </w:rPr>
        <w:t xml:space="preserve">Vital </w:t>
      </w:r>
      <w:r>
        <w:rPr>
          <w:rFonts w:ascii="Arial Nova" w:hAnsi="Arial Nova"/>
        </w:rPr>
        <w:t>Hep</w:t>
      </w:r>
      <w:r w:rsidR="00654CD8">
        <w:rPr>
          <w:rFonts w:ascii="Arial Nova" w:hAnsi="Arial Nova"/>
        </w:rPr>
        <w:t>a</w:t>
      </w:r>
      <w:r>
        <w:rPr>
          <w:rFonts w:ascii="Arial Nova" w:hAnsi="Arial Nova"/>
        </w:rPr>
        <w:t xml:space="preserve">titis, STD and </w:t>
      </w:r>
      <w:r w:rsidR="00654CD8">
        <w:rPr>
          <w:rFonts w:ascii="Arial Nova" w:hAnsi="Arial Nova"/>
        </w:rPr>
        <w:t>Tuberculosis</w:t>
      </w:r>
      <w:r>
        <w:rPr>
          <w:rFonts w:ascii="Arial Nova" w:hAnsi="Arial Nova"/>
        </w:rPr>
        <w:t xml:space="preserve"> Prevention</w:t>
      </w:r>
    </w:p>
    <w:p w:rsidR="00D91B20" w:rsidRPr="00F06B97" w:rsidP="00F06B97" w14:paraId="1B82C047" w14:textId="670FAFC4">
      <w:pPr>
        <w:spacing w:line="276" w:lineRule="auto"/>
        <w:rPr>
          <w:rFonts w:ascii="Arial Nova" w:hAnsi="Arial Nova"/>
        </w:rPr>
      </w:pPr>
      <w:sdt>
        <w:sdtPr>
          <w:rPr>
            <w:rFonts w:ascii="Arial Nova" w:hAnsi="Arial Nova"/>
          </w:r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r w:rsidR="00027618">
            <w:rPr>
              <w:rFonts w:ascii="Arial Nova" w:hAnsi="Arial Nova"/>
            </w:rPr>
            <w:t>Centers for Disease Control and Prevention</w:t>
          </w:r>
        </w:sdtContent>
      </w:sdt>
    </w:p>
    <w:p w:rsidR="00E97A21" w:rsidRPr="00F06B97" w:rsidP="00E97A21" w14:paraId="021734CB" w14:textId="61D18402">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65C5ED2CDB0B4D4EA0DE940B637B1092"/>
          </w:placeholder>
          <w:richText/>
        </w:sdtPr>
        <w:sdtContent>
          <w:sdt>
            <w:sdtPr>
              <w:rPr>
                <w:rFonts w:ascii="Arial Nova" w:hAnsi="Arial Nova"/>
              </w:rPr>
              <w:alias w:val="Contact Phone"/>
              <w:id w:val="1312299977"/>
              <w:placeholder>
                <w:docPart w:val="2178420AC4624DFE90B43C658025FAA3"/>
              </w:placeholder>
              <w:dataBinding w:prefixMappings="xmlns:ns0='http://schemas.microsoft.com/office/2006/coverPageProps' " w:xpath="/ns0:CoverPageProperties[1]/ns0:CompanyPhone[1]" w:storeItemID="{55AF091B-3C7A-41E3-B477-F2FDAA23CFDA}"/>
              <w:text/>
            </w:sdtPr>
            <w:sdtContent>
              <w:r w:rsidR="00A9456A">
                <w:rPr>
                  <w:rFonts w:ascii="Arial Nova" w:hAnsi="Arial Nova"/>
                </w:rPr>
                <w:t>404-</w:t>
              </w:r>
              <w:r w:rsidR="00E10482">
                <w:rPr>
                  <w:rFonts w:ascii="Arial Nova" w:hAnsi="Arial Nova"/>
                </w:rPr>
                <w:t>639</w:t>
              </w:r>
              <w:r w:rsidR="00A9456A">
                <w:rPr>
                  <w:rFonts w:ascii="Arial Nova" w:hAnsi="Arial Nova"/>
                </w:rPr>
                <w:t>-</w:t>
              </w:r>
              <w:r w:rsidR="00E10482">
                <w:rPr>
                  <w:rFonts w:ascii="Arial Nova" w:hAnsi="Arial Nova"/>
                </w:rPr>
                <w:t>6423</w:t>
              </w:r>
            </w:sdtContent>
          </w:sdt>
        </w:sdtContent>
      </w:sdt>
    </w:p>
    <w:p w:rsidR="0040756C" w:rsidP="00F06B97" w14:paraId="68211ED7" w14:textId="62AE6051">
      <w:pPr>
        <w:spacing w:line="276" w:lineRule="auto"/>
        <w:ind w:left="2160" w:hanging="2160"/>
        <w:rPr>
          <w:rFonts w:ascii="Arial Nova" w:hAnsi="Arial Nova"/>
        </w:rPr>
      </w:pPr>
      <w:r w:rsidRPr="00E10482">
        <w:rPr>
          <w:rStyle w:val="Hyperlink"/>
          <w:rFonts w:ascii="Arial Nova" w:hAnsi="Arial Nova"/>
        </w:rPr>
        <w:t>yfu3@cdc.gov</w:t>
      </w:r>
    </w:p>
    <w:p w:rsidR="00907049" w:rsidRPr="00F06B97" w:rsidP="00F06B97" w14:paraId="72487002" w14:textId="77777777">
      <w:pPr>
        <w:spacing w:line="276" w:lineRule="auto"/>
        <w:ind w:left="2160" w:hanging="2160"/>
        <w:rPr>
          <w:rFonts w:ascii="Arial Nova" w:hAnsi="Arial Nova"/>
        </w:rPr>
      </w:pPr>
    </w:p>
    <w:sdt>
      <w:sdtPr>
        <w:rPr>
          <w:rFonts w:ascii="Arial Nova" w:hAnsi="Arial Nova"/>
        </w:r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5-04-17T00:00:00Z">
          <w:dateFormat w:val="M/d/yyyy"/>
          <w:lid w:val="en-US"/>
          <w:storeMappedDataAs w:val="dateTime"/>
          <w:calendar w:val="gregorian"/>
        </w:date>
      </w:sdtPr>
      <w:sdtContent>
        <w:p w:rsidR="003635DF" w:rsidRPr="006C6884" w:rsidP="006C6884" w14:paraId="068FB2FC" w14:textId="118ACBFD">
          <w:pPr>
            <w:spacing w:line="276" w:lineRule="auto"/>
            <w:jc w:val="center"/>
            <w:rPr>
              <w:rFonts w:ascii="Arial Nova" w:hAnsi="Arial Nova"/>
            </w:rPr>
            <w:sectPr w:rsidSect="00A246E3">
              <w:headerReference w:type="default" r:id="rId9"/>
              <w:footerReference w:type="default" r:id="rId10"/>
              <w:headerReference w:type="first" r:id="rId11"/>
              <w:pgSz w:w="12240" w:h="15840" w:code="1"/>
              <w:pgMar w:top="720" w:right="1440" w:bottom="1890" w:left="1440" w:header="180" w:footer="720" w:gutter="0"/>
              <w:cols w:space="720"/>
              <w:vAlign w:val="center"/>
              <w:titlePg/>
              <w:docGrid w:linePitch="360"/>
            </w:sectPr>
          </w:pPr>
          <w:r>
            <w:rPr>
              <w:rFonts w:ascii="Arial Nova" w:hAnsi="Arial Nova"/>
            </w:rPr>
            <w:t>4</w:t>
          </w:r>
          <w:r w:rsidR="007E5225">
            <w:rPr>
              <w:rFonts w:ascii="Arial Nova" w:hAnsi="Arial Nova"/>
            </w:rPr>
            <w:t>/17/2025</w:t>
          </w:r>
        </w:p>
      </w:sdtContent>
    </w:sdt>
    <w:p w:rsidR="008A46F0" w:rsidRPr="00574679" w:rsidP="00907049" w14:paraId="51D21B41" w14:textId="65E1BCF3">
      <w:pPr>
        <w:rPr>
          <w:rFonts w:ascii="Arial Nova" w:hAnsi="Arial Nova" w:cstheme="minorHAnsi"/>
          <w:b/>
          <w:bCs/>
        </w:rPr>
      </w:pPr>
      <w:r w:rsidRPr="00574679">
        <w:rPr>
          <w:b/>
          <w:bCs/>
        </w:rPr>
        <w:t>TABLE OF CONTENTS</w:t>
      </w:r>
    </w:p>
    <w:p w:rsidR="007016C1" w:rsidP="005B2E63" w14:paraId="046C5ED0" w14:textId="77777777">
      <w:pPr>
        <w:pStyle w:val="TOC1"/>
        <w:rPr>
          <w:highlight w:val="lightGray"/>
        </w:rPr>
      </w:pPr>
    </w:p>
    <w:p w:rsidR="00634F7E" w:rsidP="005B2E63" w14:paraId="3F9890D4" w14:textId="5D090ABA">
      <w:pPr>
        <w:pStyle w:val="TOC1"/>
        <w:rPr>
          <w:rFonts w:asciiTheme="minorHAnsi" w:eastAsiaTheme="minorEastAsia" w:hAnsiTheme="minorHAnsi" w:cstheme="minorBidi"/>
          <w:b/>
          <w:sz w:val="22"/>
          <w:szCs w:val="22"/>
        </w:rPr>
      </w:pPr>
      <w:r>
        <w:rPr>
          <w:highlight w:val="lightGray"/>
        </w:rPr>
        <w:fldChar w:fldCharType="begin"/>
      </w:r>
      <w:r>
        <w:rPr>
          <w:highlight w:val="lightGray"/>
        </w:rPr>
        <w:instrText xml:space="preserve"> TOC \o "1-4" \h \z \u </w:instrText>
      </w:r>
      <w:r>
        <w:rPr>
          <w:highlight w:val="lightGray"/>
        </w:rPr>
        <w:fldChar w:fldCharType="separate"/>
      </w:r>
      <w:hyperlink w:anchor="_Toc36702988" w:history="1">
        <w:r w:rsidRPr="005B2E63">
          <w:rPr>
            <w:rStyle w:val="Hyperlink"/>
            <w:color w:val="auto"/>
          </w:rPr>
          <w:t>A.</w:t>
        </w:r>
        <w:r w:rsidRPr="005B2E63">
          <w:rPr>
            <w:rFonts w:asciiTheme="minorHAnsi" w:eastAsiaTheme="minorEastAsia" w:hAnsiTheme="minorHAnsi" w:cstheme="minorBidi"/>
            <w:sz w:val="22"/>
            <w:szCs w:val="22"/>
          </w:rPr>
          <w:tab/>
        </w:r>
        <w:r w:rsidRPr="005B2E63">
          <w:rPr>
            <w:rStyle w:val="Hyperlink"/>
            <w:color w:val="auto"/>
          </w:rPr>
          <w:t>JUSTIFICATION</w:t>
        </w:r>
        <w:r w:rsidRPr="005B2E63">
          <w:rPr>
            <w:webHidden/>
          </w:rPr>
          <w:tab/>
        </w:r>
        <w:r w:rsidRPr="005B2E63">
          <w:rPr>
            <w:webHidden/>
          </w:rPr>
          <w:fldChar w:fldCharType="begin"/>
        </w:r>
        <w:r w:rsidRPr="005B2E63">
          <w:rPr>
            <w:webHidden/>
          </w:rPr>
          <w:instrText xml:space="preserve"> PAGEREF _Toc36702988 \h </w:instrText>
        </w:r>
        <w:r w:rsidRPr="005B2E63">
          <w:rPr>
            <w:webHidden/>
          </w:rPr>
          <w:fldChar w:fldCharType="separate"/>
        </w:r>
        <w:r w:rsidRPr="005B2E63">
          <w:rPr>
            <w:webHidden/>
          </w:rPr>
          <w:t>4</w:t>
        </w:r>
        <w:r w:rsidRPr="005B2E63">
          <w:rPr>
            <w:webHidden/>
          </w:rPr>
          <w:fldChar w:fldCharType="end"/>
        </w:r>
      </w:hyperlink>
    </w:p>
    <w:p w:rsidR="00634F7E" w14:paraId="5AF8F213" w14:textId="353CE145">
      <w:pPr>
        <w:pStyle w:val="TOC2"/>
        <w:rPr>
          <w:rFonts w:asciiTheme="minorHAnsi" w:eastAsiaTheme="minorEastAsia" w:hAnsiTheme="minorHAnsi" w:cstheme="minorBidi"/>
          <w:noProof/>
          <w:sz w:val="22"/>
          <w:szCs w:val="22"/>
        </w:rPr>
      </w:pPr>
      <w:hyperlink w:anchor="_Toc36702989" w:history="1">
        <w:r w:rsidRPr="00FC3230" w:rsidR="00027618">
          <w:rPr>
            <w:rStyle w:val="Hyperlink"/>
            <w:rFonts w:ascii="Arial Nova" w:hAnsi="Arial Nova" w:cstheme="minorHAnsi"/>
            <w:i/>
            <w:noProof/>
          </w:rPr>
          <w:t>A1. Circumstances Making the Collection of Information Necessary</w:t>
        </w:r>
        <w:r w:rsidR="00027618">
          <w:rPr>
            <w:noProof/>
            <w:webHidden/>
          </w:rPr>
          <w:tab/>
        </w:r>
        <w:r w:rsidR="00027618">
          <w:rPr>
            <w:noProof/>
            <w:webHidden/>
          </w:rPr>
          <w:fldChar w:fldCharType="begin"/>
        </w:r>
        <w:r w:rsidR="00027618">
          <w:rPr>
            <w:noProof/>
            <w:webHidden/>
          </w:rPr>
          <w:instrText xml:space="preserve"> PAGEREF _Toc36702989 \h </w:instrText>
        </w:r>
        <w:r w:rsidR="00027618">
          <w:rPr>
            <w:noProof/>
            <w:webHidden/>
          </w:rPr>
          <w:fldChar w:fldCharType="separate"/>
        </w:r>
        <w:r w:rsidR="00027618">
          <w:rPr>
            <w:noProof/>
            <w:webHidden/>
          </w:rPr>
          <w:t>4</w:t>
        </w:r>
        <w:r w:rsidR="00027618">
          <w:rPr>
            <w:noProof/>
            <w:webHidden/>
          </w:rPr>
          <w:fldChar w:fldCharType="end"/>
        </w:r>
      </w:hyperlink>
    </w:p>
    <w:p w:rsidR="00634F7E" w14:paraId="1B6BB3AC" w14:textId="0243C7D8">
      <w:pPr>
        <w:pStyle w:val="TOC2"/>
        <w:rPr>
          <w:rFonts w:asciiTheme="minorHAnsi" w:eastAsiaTheme="minorEastAsia" w:hAnsiTheme="minorHAnsi" w:cstheme="minorBidi"/>
          <w:noProof/>
          <w:sz w:val="22"/>
          <w:szCs w:val="22"/>
        </w:rPr>
      </w:pPr>
      <w:hyperlink w:anchor="_Toc36702990" w:history="1">
        <w:r w:rsidRPr="00FC3230" w:rsidR="00027618">
          <w:rPr>
            <w:rStyle w:val="Hyperlink"/>
            <w:rFonts w:ascii="Arial Nova" w:hAnsi="Arial Nova" w:cstheme="minorHAnsi"/>
            <w:i/>
            <w:noProof/>
          </w:rPr>
          <w:t>A3. Use of Improved Information Technology and Burden Reduction</w:t>
        </w:r>
        <w:r w:rsidR="00027618">
          <w:rPr>
            <w:noProof/>
            <w:webHidden/>
          </w:rPr>
          <w:tab/>
        </w:r>
        <w:r w:rsidR="00027618">
          <w:rPr>
            <w:noProof/>
            <w:webHidden/>
          </w:rPr>
          <w:fldChar w:fldCharType="begin"/>
        </w:r>
        <w:r w:rsidR="00027618">
          <w:rPr>
            <w:noProof/>
            <w:webHidden/>
          </w:rPr>
          <w:instrText xml:space="preserve"> PAGEREF _Toc36702990 \h </w:instrText>
        </w:r>
        <w:r w:rsidR="00027618">
          <w:rPr>
            <w:noProof/>
            <w:webHidden/>
          </w:rPr>
          <w:fldChar w:fldCharType="separate"/>
        </w:r>
        <w:r w:rsidR="00027618">
          <w:rPr>
            <w:noProof/>
            <w:webHidden/>
          </w:rPr>
          <w:t>5</w:t>
        </w:r>
        <w:r w:rsidR="00027618">
          <w:rPr>
            <w:noProof/>
            <w:webHidden/>
          </w:rPr>
          <w:fldChar w:fldCharType="end"/>
        </w:r>
      </w:hyperlink>
    </w:p>
    <w:p w:rsidR="00634F7E" w14:paraId="0DD88F20" w14:textId="75B13C27">
      <w:pPr>
        <w:pStyle w:val="TOC2"/>
        <w:rPr>
          <w:rFonts w:asciiTheme="minorHAnsi" w:eastAsiaTheme="minorEastAsia" w:hAnsiTheme="minorHAnsi" w:cstheme="minorBidi"/>
          <w:noProof/>
          <w:sz w:val="22"/>
          <w:szCs w:val="22"/>
        </w:rPr>
      </w:pPr>
      <w:hyperlink w:anchor="_Toc36702991" w:history="1">
        <w:r w:rsidRPr="00FC3230" w:rsidR="00027618">
          <w:rPr>
            <w:rStyle w:val="Hyperlink"/>
            <w:rFonts w:ascii="Arial Nova" w:hAnsi="Arial Nova" w:cstheme="minorHAnsi"/>
            <w:i/>
            <w:noProof/>
          </w:rPr>
          <w:t>A4. Efforts to Identify Duplication and Use of Similar Information</w:t>
        </w:r>
        <w:r w:rsidR="00027618">
          <w:rPr>
            <w:noProof/>
            <w:webHidden/>
          </w:rPr>
          <w:tab/>
        </w:r>
        <w:r w:rsidR="00027618">
          <w:rPr>
            <w:noProof/>
            <w:webHidden/>
          </w:rPr>
          <w:fldChar w:fldCharType="begin"/>
        </w:r>
        <w:r w:rsidR="00027618">
          <w:rPr>
            <w:noProof/>
            <w:webHidden/>
          </w:rPr>
          <w:instrText xml:space="preserve"> PAGEREF _Toc36702991 \h </w:instrText>
        </w:r>
        <w:r w:rsidR="00027618">
          <w:rPr>
            <w:noProof/>
            <w:webHidden/>
          </w:rPr>
          <w:fldChar w:fldCharType="separate"/>
        </w:r>
        <w:r w:rsidR="00027618">
          <w:rPr>
            <w:noProof/>
            <w:webHidden/>
          </w:rPr>
          <w:t>6</w:t>
        </w:r>
        <w:r w:rsidR="00027618">
          <w:rPr>
            <w:noProof/>
            <w:webHidden/>
          </w:rPr>
          <w:fldChar w:fldCharType="end"/>
        </w:r>
      </w:hyperlink>
    </w:p>
    <w:p w:rsidR="00634F7E" w14:paraId="47F77699" w14:textId="42EA9D16">
      <w:pPr>
        <w:pStyle w:val="TOC2"/>
        <w:rPr>
          <w:rFonts w:asciiTheme="minorHAnsi" w:eastAsiaTheme="minorEastAsia" w:hAnsiTheme="minorHAnsi" w:cstheme="minorBidi"/>
          <w:noProof/>
          <w:sz w:val="22"/>
          <w:szCs w:val="22"/>
        </w:rPr>
      </w:pPr>
      <w:hyperlink w:anchor="_Toc36702992" w:history="1">
        <w:r w:rsidRPr="00FC3230" w:rsidR="00027618">
          <w:rPr>
            <w:rStyle w:val="Hyperlink"/>
            <w:rFonts w:ascii="Arial Nova" w:hAnsi="Arial Nova" w:cstheme="minorHAnsi"/>
            <w:i/>
            <w:noProof/>
          </w:rPr>
          <w:t>A5. Impact on Small Businesses or Other Small Entities</w:t>
        </w:r>
        <w:r w:rsidR="00027618">
          <w:rPr>
            <w:noProof/>
            <w:webHidden/>
          </w:rPr>
          <w:tab/>
        </w:r>
        <w:r w:rsidR="00027618">
          <w:rPr>
            <w:noProof/>
            <w:webHidden/>
          </w:rPr>
          <w:fldChar w:fldCharType="begin"/>
        </w:r>
        <w:r w:rsidR="00027618">
          <w:rPr>
            <w:noProof/>
            <w:webHidden/>
          </w:rPr>
          <w:instrText xml:space="preserve"> PAGEREF _Toc36702992 \h </w:instrText>
        </w:r>
        <w:r w:rsidR="00027618">
          <w:rPr>
            <w:noProof/>
            <w:webHidden/>
          </w:rPr>
          <w:fldChar w:fldCharType="separate"/>
        </w:r>
        <w:r w:rsidR="00027618">
          <w:rPr>
            <w:noProof/>
            <w:webHidden/>
          </w:rPr>
          <w:t>6</w:t>
        </w:r>
        <w:r w:rsidR="00027618">
          <w:rPr>
            <w:noProof/>
            <w:webHidden/>
          </w:rPr>
          <w:fldChar w:fldCharType="end"/>
        </w:r>
      </w:hyperlink>
    </w:p>
    <w:p w:rsidR="00634F7E" w14:paraId="7B8D995B" w14:textId="37EB9B75">
      <w:pPr>
        <w:pStyle w:val="TOC2"/>
        <w:rPr>
          <w:rFonts w:asciiTheme="minorHAnsi" w:eastAsiaTheme="minorEastAsia" w:hAnsiTheme="minorHAnsi" w:cstheme="minorBidi"/>
          <w:noProof/>
          <w:sz w:val="22"/>
          <w:szCs w:val="22"/>
        </w:rPr>
      </w:pPr>
      <w:hyperlink w:anchor="_Toc36702993" w:history="1">
        <w:r w:rsidRPr="00FC3230" w:rsidR="00027618">
          <w:rPr>
            <w:rStyle w:val="Hyperlink"/>
            <w:rFonts w:ascii="Arial Nova" w:hAnsi="Arial Nova" w:cstheme="minorHAnsi"/>
            <w:i/>
            <w:noProof/>
          </w:rPr>
          <w:t>A6. Consequences of Collecting the Information Less Frequently</w:t>
        </w:r>
        <w:r w:rsidR="00027618">
          <w:rPr>
            <w:noProof/>
            <w:webHidden/>
          </w:rPr>
          <w:tab/>
        </w:r>
        <w:r w:rsidR="00027618">
          <w:rPr>
            <w:noProof/>
            <w:webHidden/>
          </w:rPr>
          <w:fldChar w:fldCharType="begin"/>
        </w:r>
        <w:r w:rsidR="00027618">
          <w:rPr>
            <w:noProof/>
            <w:webHidden/>
          </w:rPr>
          <w:instrText xml:space="preserve"> PAGEREF _Toc36702993 \h </w:instrText>
        </w:r>
        <w:r w:rsidR="00027618">
          <w:rPr>
            <w:noProof/>
            <w:webHidden/>
          </w:rPr>
          <w:fldChar w:fldCharType="separate"/>
        </w:r>
        <w:r w:rsidR="00027618">
          <w:rPr>
            <w:noProof/>
            <w:webHidden/>
          </w:rPr>
          <w:t>6</w:t>
        </w:r>
        <w:r w:rsidR="00027618">
          <w:rPr>
            <w:noProof/>
            <w:webHidden/>
          </w:rPr>
          <w:fldChar w:fldCharType="end"/>
        </w:r>
      </w:hyperlink>
    </w:p>
    <w:p w:rsidR="00634F7E" w14:paraId="024126BB" w14:textId="75F03094">
      <w:pPr>
        <w:pStyle w:val="TOC2"/>
        <w:rPr>
          <w:rFonts w:asciiTheme="minorHAnsi" w:eastAsiaTheme="minorEastAsia" w:hAnsiTheme="minorHAnsi" w:cstheme="minorBidi"/>
          <w:noProof/>
          <w:sz w:val="22"/>
          <w:szCs w:val="22"/>
        </w:rPr>
      </w:pPr>
      <w:hyperlink w:anchor="_Toc36702994" w:history="1">
        <w:r w:rsidRPr="00FC3230" w:rsidR="00027618">
          <w:rPr>
            <w:rStyle w:val="Hyperlink"/>
            <w:rFonts w:ascii="Arial Nova" w:hAnsi="Arial Nova" w:cstheme="minorHAnsi"/>
            <w:i/>
            <w:noProof/>
          </w:rPr>
          <w:t>A7. Special Circumstances Relating to the Guidelines of 5 CRF 1320.5</w:t>
        </w:r>
        <w:r w:rsidR="00027618">
          <w:rPr>
            <w:noProof/>
            <w:webHidden/>
          </w:rPr>
          <w:tab/>
        </w:r>
        <w:r w:rsidR="00027618">
          <w:rPr>
            <w:noProof/>
            <w:webHidden/>
          </w:rPr>
          <w:fldChar w:fldCharType="begin"/>
        </w:r>
        <w:r w:rsidR="00027618">
          <w:rPr>
            <w:noProof/>
            <w:webHidden/>
          </w:rPr>
          <w:instrText xml:space="preserve"> PAGEREF _Toc36702994 \h </w:instrText>
        </w:r>
        <w:r w:rsidR="00027618">
          <w:rPr>
            <w:noProof/>
            <w:webHidden/>
          </w:rPr>
          <w:fldChar w:fldCharType="separate"/>
        </w:r>
        <w:r w:rsidR="00027618">
          <w:rPr>
            <w:noProof/>
            <w:webHidden/>
          </w:rPr>
          <w:t>7</w:t>
        </w:r>
        <w:r w:rsidR="00027618">
          <w:rPr>
            <w:noProof/>
            <w:webHidden/>
          </w:rPr>
          <w:fldChar w:fldCharType="end"/>
        </w:r>
      </w:hyperlink>
    </w:p>
    <w:bookmarkStart w:id="4" w:name="_Hlk36703127"/>
    <w:p w:rsidR="00634F7E" w14:paraId="1877925A" w14:textId="6A5FBF6D">
      <w:pPr>
        <w:pStyle w:val="TOC2"/>
        <w:rPr>
          <w:rFonts w:asciiTheme="minorHAnsi" w:eastAsiaTheme="minorEastAsia" w:hAnsiTheme="minorHAnsi" w:cstheme="minorBidi"/>
          <w:noProof/>
          <w:sz w:val="22"/>
          <w:szCs w:val="22"/>
        </w:rPr>
      </w:pPr>
      <w:r w:rsidRPr="00FC3230">
        <w:rPr>
          <w:rStyle w:val="Hyperlink"/>
          <w:noProof/>
        </w:rPr>
        <w:fldChar w:fldCharType="begin"/>
      </w:r>
      <w:r w:rsidRPr="00FC3230">
        <w:rPr>
          <w:rStyle w:val="Hyperlink"/>
          <w:noProof/>
        </w:rPr>
        <w:instrText xml:space="preserve"> </w:instrText>
      </w:r>
      <w:r>
        <w:rPr>
          <w:noProof/>
        </w:rPr>
        <w:instrText>HYPERLINK \l "_Toc36702995"</w:instrText>
      </w:r>
      <w:r w:rsidRPr="00FC3230">
        <w:rPr>
          <w:rStyle w:val="Hyperlink"/>
          <w:noProof/>
        </w:rPr>
        <w:instrText xml:space="preserve"> </w:instrText>
      </w:r>
      <w:r w:rsidRPr="00FC3230">
        <w:rPr>
          <w:rStyle w:val="Hyperlink"/>
          <w:noProof/>
        </w:rPr>
        <w:fldChar w:fldCharType="separate"/>
      </w:r>
      <w:r w:rsidRPr="00FC3230">
        <w:rPr>
          <w:rStyle w:val="Hyperlink"/>
          <w:rFonts w:ascii="Arial Nova" w:hAnsi="Arial Nova" w:cstheme="minorHAnsi"/>
          <w:i/>
          <w:noProof/>
        </w:rPr>
        <w:t>A8.</w:t>
      </w:r>
      <w:r>
        <w:rPr>
          <w:rStyle w:val="Hyperlink"/>
          <w:rFonts w:ascii="Arial Nova" w:hAnsi="Arial Nova" w:cstheme="minorHAnsi"/>
          <w:i/>
          <w:noProof/>
        </w:rPr>
        <w:t xml:space="preserve"> A</w:t>
      </w:r>
      <w:r w:rsidRPr="00FC3230">
        <w:rPr>
          <w:rStyle w:val="Hyperlink"/>
          <w:rFonts w:ascii="Arial Nova" w:hAnsi="Arial Nova" w:cstheme="minorHAnsi"/>
          <w:i/>
          <w:noProof/>
        </w:rPr>
        <w:t xml:space="preserve"> Comments in Response to the FRN and Efforts to Consult Outside the Agency</w:t>
      </w:r>
      <w:r>
        <w:rPr>
          <w:noProof/>
          <w:webHidden/>
        </w:rPr>
        <w:tab/>
      </w:r>
      <w:r>
        <w:rPr>
          <w:noProof/>
          <w:webHidden/>
        </w:rPr>
        <w:fldChar w:fldCharType="begin"/>
      </w:r>
      <w:r>
        <w:rPr>
          <w:noProof/>
          <w:webHidden/>
        </w:rPr>
        <w:instrText xml:space="preserve"> PAGEREF _Toc36702995 \h </w:instrText>
      </w:r>
      <w:r>
        <w:rPr>
          <w:noProof/>
          <w:webHidden/>
        </w:rPr>
        <w:fldChar w:fldCharType="separate"/>
      </w:r>
      <w:r>
        <w:rPr>
          <w:noProof/>
          <w:webHidden/>
        </w:rPr>
        <w:t>7</w:t>
      </w:r>
      <w:r>
        <w:rPr>
          <w:noProof/>
          <w:webHidden/>
        </w:rPr>
        <w:fldChar w:fldCharType="end"/>
      </w:r>
      <w:r w:rsidRPr="00FC3230">
        <w:rPr>
          <w:rStyle w:val="Hyperlink"/>
          <w:noProof/>
        </w:rPr>
        <w:fldChar w:fldCharType="end"/>
      </w:r>
    </w:p>
    <w:bookmarkEnd w:id="4"/>
    <w:p w:rsidR="00634F7E" w:rsidP="00634F7E" w14:paraId="5B8E039A" w14:textId="456AD759">
      <w:pPr>
        <w:pStyle w:val="TOC2"/>
        <w:rPr>
          <w:rFonts w:asciiTheme="minorHAnsi" w:eastAsiaTheme="minorEastAsia" w:hAnsiTheme="minorHAnsi" w:cstheme="minorBidi"/>
          <w:noProof/>
          <w:sz w:val="22"/>
          <w:szCs w:val="22"/>
        </w:rPr>
      </w:pPr>
      <w:r w:rsidRPr="00FC3230">
        <w:rPr>
          <w:rStyle w:val="Hyperlink"/>
          <w:noProof/>
        </w:rPr>
        <w:fldChar w:fldCharType="begin"/>
      </w:r>
      <w:r w:rsidRPr="00FC3230">
        <w:rPr>
          <w:rStyle w:val="Hyperlink"/>
          <w:noProof/>
        </w:rPr>
        <w:instrText xml:space="preserve"> </w:instrText>
      </w:r>
      <w:r>
        <w:rPr>
          <w:noProof/>
        </w:rPr>
        <w:instrText>HYPERLINK \l "_Toc36702995"</w:instrText>
      </w:r>
      <w:r w:rsidRPr="00FC3230">
        <w:rPr>
          <w:rStyle w:val="Hyperlink"/>
          <w:noProof/>
        </w:rPr>
        <w:instrText xml:space="preserve"> </w:instrText>
      </w:r>
      <w:r w:rsidRPr="00FC3230">
        <w:rPr>
          <w:rStyle w:val="Hyperlink"/>
          <w:noProof/>
        </w:rPr>
        <w:fldChar w:fldCharType="separate"/>
      </w:r>
      <w:r w:rsidRPr="00FC3230">
        <w:rPr>
          <w:rStyle w:val="Hyperlink"/>
          <w:rFonts w:ascii="Arial Nova" w:hAnsi="Arial Nova" w:cstheme="minorHAnsi"/>
          <w:i/>
          <w:noProof/>
        </w:rPr>
        <w:t>A</w:t>
      </w:r>
      <w:r>
        <w:rPr>
          <w:rStyle w:val="Hyperlink"/>
          <w:rFonts w:ascii="Arial Nova" w:hAnsi="Arial Nova" w:cstheme="minorHAnsi"/>
          <w:i/>
          <w:noProof/>
        </w:rPr>
        <w:t>9</w:t>
      </w:r>
      <w:r w:rsidRPr="00FC3230">
        <w:rPr>
          <w:rStyle w:val="Hyperlink"/>
          <w:rFonts w:ascii="Arial Nova" w:hAnsi="Arial Nova" w:cstheme="minorHAnsi"/>
          <w:i/>
          <w:noProof/>
        </w:rPr>
        <w:t>.</w:t>
      </w:r>
      <w:r>
        <w:rPr>
          <w:rStyle w:val="Hyperlink"/>
          <w:rFonts w:ascii="Arial Nova" w:hAnsi="Arial Nova" w:cstheme="minorHAnsi"/>
          <w:i/>
          <w:noProof/>
        </w:rPr>
        <w:t xml:space="preserve"> Explanation of any Payment or Gift to Respondents</w:t>
      </w:r>
      <w:r>
        <w:rPr>
          <w:noProof/>
          <w:webHidden/>
        </w:rPr>
        <w:tab/>
      </w:r>
      <w:r w:rsidR="00F61B74">
        <w:rPr>
          <w:noProof/>
          <w:webHidden/>
        </w:rPr>
        <w:t>8</w:t>
      </w:r>
      <w:r w:rsidRPr="00FC3230">
        <w:rPr>
          <w:rStyle w:val="Hyperlink"/>
          <w:noProof/>
        </w:rPr>
        <w:fldChar w:fldCharType="end"/>
      </w:r>
    </w:p>
    <w:p w:rsidR="00634F7E" w:rsidP="00634F7E" w14:paraId="3E3645F0" w14:textId="38154E64">
      <w:pPr>
        <w:pStyle w:val="TOC2"/>
        <w:outlineLvl w:val="1"/>
        <w:rPr>
          <w:rFonts w:asciiTheme="minorHAnsi" w:eastAsiaTheme="minorEastAsia" w:hAnsiTheme="minorHAnsi" w:cstheme="minorBidi"/>
          <w:noProof/>
          <w:sz w:val="22"/>
          <w:szCs w:val="22"/>
        </w:rPr>
      </w:pPr>
      <w:hyperlink w:anchor="_Toc36702996" w:history="1">
        <w:r w:rsidRPr="00FC3230" w:rsidR="00027618">
          <w:rPr>
            <w:rStyle w:val="Hyperlink"/>
            <w:rFonts w:ascii="Arial Nova" w:hAnsi="Arial Nova" w:cstheme="minorHAnsi"/>
            <w:i/>
            <w:noProof/>
          </w:rPr>
          <w:t>A10. Protection of the Privacy and Confidentiality of Information Provided by Respondent</w:t>
        </w:r>
        <w:r w:rsidR="00027618">
          <w:rPr>
            <w:noProof/>
            <w:webHidden/>
          </w:rPr>
          <w:tab/>
        </w:r>
        <w:r w:rsidR="00027618">
          <w:rPr>
            <w:noProof/>
            <w:webHidden/>
          </w:rPr>
          <w:fldChar w:fldCharType="begin"/>
        </w:r>
        <w:r w:rsidR="00027618">
          <w:rPr>
            <w:noProof/>
            <w:webHidden/>
          </w:rPr>
          <w:instrText xml:space="preserve"> PAGEREF _Toc36702996 \h </w:instrText>
        </w:r>
        <w:r w:rsidR="00027618">
          <w:rPr>
            <w:noProof/>
            <w:webHidden/>
          </w:rPr>
          <w:fldChar w:fldCharType="separate"/>
        </w:r>
        <w:r w:rsidR="00027618">
          <w:rPr>
            <w:noProof/>
            <w:webHidden/>
          </w:rPr>
          <w:t>8</w:t>
        </w:r>
        <w:r w:rsidR="00027618">
          <w:rPr>
            <w:noProof/>
            <w:webHidden/>
          </w:rPr>
          <w:fldChar w:fldCharType="end"/>
        </w:r>
      </w:hyperlink>
    </w:p>
    <w:p w:rsidR="00634F7E" w14:paraId="1ED01E8E" w14:textId="4717BCD6">
      <w:pPr>
        <w:pStyle w:val="TOC2"/>
        <w:rPr>
          <w:rFonts w:asciiTheme="minorHAnsi" w:eastAsiaTheme="minorEastAsia" w:hAnsiTheme="minorHAnsi" w:cstheme="minorBidi"/>
          <w:noProof/>
          <w:sz w:val="22"/>
          <w:szCs w:val="22"/>
        </w:rPr>
      </w:pPr>
      <w:hyperlink w:anchor="_Toc36702997" w:history="1">
        <w:r w:rsidRPr="00FC3230" w:rsidR="00027618">
          <w:rPr>
            <w:rStyle w:val="Hyperlink"/>
            <w:rFonts w:ascii="Arial Nova" w:hAnsi="Arial Nova" w:cstheme="minorHAnsi"/>
            <w:i/>
            <w:noProof/>
          </w:rPr>
          <w:t>A11. Institutional Review Board (IRB) and Justification for Sensitive Questions</w:t>
        </w:r>
        <w:r w:rsidR="00027618">
          <w:rPr>
            <w:noProof/>
            <w:webHidden/>
          </w:rPr>
          <w:tab/>
        </w:r>
        <w:r w:rsidR="00027618">
          <w:rPr>
            <w:noProof/>
            <w:webHidden/>
          </w:rPr>
          <w:fldChar w:fldCharType="begin"/>
        </w:r>
        <w:r w:rsidR="00027618">
          <w:rPr>
            <w:noProof/>
            <w:webHidden/>
          </w:rPr>
          <w:instrText xml:space="preserve"> PAGEREF _Toc36702997 \h </w:instrText>
        </w:r>
        <w:r w:rsidR="00027618">
          <w:rPr>
            <w:noProof/>
            <w:webHidden/>
          </w:rPr>
          <w:fldChar w:fldCharType="separate"/>
        </w:r>
        <w:r w:rsidR="00027618">
          <w:rPr>
            <w:noProof/>
            <w:webHidden/>
          </w:rPr>
          <w:t>10</w:t>
        </w:r>
        <w:r w:rsidR="00027618">
          <w:rPr>
            <w:noProof/>
            <w:webHidden/>
          </w:rPr>
          <w:fldChar w:fldCharType="end"/>
        </w:r>
      </w:hyperlink>
      <w:r w:rsidR="00E76710">
        <w:rPr>
          <w:noProof/>
        </w:rPr>
        <w:t xml:space="preserve">               </w:t>
      </w:r>
      <w:hyperlink w:anchor="_Toc36702998" w:history="1">
        <w:r w:rsidRPr="00FC3230" w:rsidR="00027618">
          <w:rPr>
            <w:rStyle w:val="Hyperlink"/>
            <w:rFonts w:ascii="Arial Nova" w:hAnsi="Arial Nova" w:cstheme="minorHAnsi"/>
            <w:i/>
            <w:noProof/>
          </w:rPr>
          <w:t>A12. Estimates of Annualized Burden Hours and Costs</w:t>
        </w:r>
        <w:r w:rsidR="00027618">
          <w:rPr>
            <w:noProof/>
            <w:webHidden/>
          </w:rPr>
          <w:tab/>
        </w:r>
        <w:r w:rsidR="00027618">
          <w:rPr>
            <w:noProof/>
            <w:webHidden/>
          </w:rPr>
          <w:fldChar w:fldCharType="begin"/>
        </w:r>
        <w:r w:rsidR="00027618">
          <w:rPr>
            <w:noProof/>
            <w:webHidden/>
          </w:rPr>
          <w:instrText xml:space="preserve"> PAGEREF _Toc36702998 \h </w:instrText>
        </w:r>
        <w:r w:rsidR="00027618">
          <w:rPr>
            <w:noProof/>
            <w:webHidden/>
          </w:rPr>
          <w:fldChar w:fldCharType="separate"/>
        </w:r>
        <w:r w:rsidR="00027618">
          <w:rPr>
            <w:noProof/>
            <w:webHidden/>
          </w:rPr>
          <w:t>10</w:t>
        </w:r>
        <w:r w:rsidR="00027618">
          <w:rPr>
            <w:noProof/>
            <w:webHidden/>
          </w:rPr>
          <w:fldChar w:fldCharType="end"/>
        </w:r>
      </w:hyperlink>
    </w:p>
    <w:p w:rsidR="00634F7E" w14:paraId="3130EABB" w14:textId="179ACD5F">
      <w:pPr>
        <w:pStyle w:val="TOC2"/>
        <w:rPr>
          <w:rFonts w:asciiTheme="minorHAnsi" w:eastAsiaTheme="minorEastAsia" w:hAnsiTheme="minorHAnsi" w:cstheme="minorBidi"/>
          <w:noProof/>
          <w:sz w:val="22"/>
          <w:szCs w:val="22"/>
        </w:rPr>
      </w:pPr>
      <w:hyperlink w:anchor="_Toc36702999" w:history="1">
        <w:r w:rsidRPr="00FC3230" w:rsidR="00027618">
          <w:rPr>
            <w:rStyle w:val="Hyperlink"/>
            <w:rFonts w:ascii="Arial Nova" w:hAnsi="Arial Nova" w:cstheme="minorHAnsi"/>
            <w:i/>
            <w:noProof/>
          </w:rPr>
          <w:t>A13. Estimates of Other Total Annual Cost Burden to Respondents and Record Keepers</w:t>
        </w:r>
        <w:r w:rsidR="00027618">
          <w:rPr>
            <w:noProof/>
            <w:webHidden/>
          </w:rPr>
          <w:tab/>
        </w:r>
        <w:r w:rsidR="00027618">
          <w:rPr>
            <w:noProof/>
            <w:webHidden/>
          </w:rPr>
          <w:fldChar w:fldCharType="begin"/>
        </w:r>
        <w:r w:rsidR="00027618">
          <w:rPr>
            <w:noProof/>
            <w:webHidden/>
          </w:rPr>
          <w:instrText xml:space="preserve"> PAGEREF _Toc36702999 \h </w:instrText>
        </w:r>
        <w:r w:rsidR="00027618">
          <w:rPr>
            <w:noProof/>
            <w:webHidden/>
          </w:rPr>
          <w:fldChar w:fldCharType="separate"/>
        </w:r>
        <w:r w:rsidR="00027618">
          <w:rPr>
            <w:noProof/>
            <w:webHidden/>
          </w:rPr>
          <w:t>12</w:t>
        </w:r>
        <w:r w:rsidR="00027618">
          <w:rPr>
            <w:noProof/>
            <w:webHidden/>
          </w:rPr>
          <w:fldChar w:fldCharType="end"/>
        </w:r>
      </w:hyperlink>
    </w:p>
    <w:p w:rsidR="00634F7E" w14:paraId="3CA9C3CD" w14:textId="3839E501">
      <w:pPr>
        <w:pStyle w:val="TOC2"/>
        <w:rPr>
          <w:rFonts w:asciiTheme="minorHAnsi" w:eastAsiaTheme="minorEastAsia" w:hAnsiTheme="minorHAnsi" w:cstheme="minorBidi"/>
          <w:noProof/>
          <w:sz w:val="22"/>
          <w:szCs w:val="22"/>
        </w:rPr>
      </w:pPr>
      <w:hyperlink w:anchor="_Toc36703000" w:history="1">
        <w:r w:rsidRPr="00FC3230" w:rsidR="00027618">
          <w:rPr>
            <w:rStyle w:val="Hyperlink"/>
            <w:rFonts w:ascii="Arial Nova" w:hAnsi="Arial Nova" w:cstheme="minorHAnsi"/>
            <w:i/>
            <w:noProof/>
          </w:rPr>
          <w:t>A14. Annualized Cost to the Federal Government</w:t>
        </w:r>
        <w:r w:rsidR="00027618">
          <w:rPr>
            <w:noProof/>
            <w:webHidden/>
          </w:rPr>
          <w:tab/>
        </w:r>
        <w:r w:rsidR="00027618">
          <w:rPr>
            <w:noProof/>
            <w:webHidden/>
          </w:rPr>
          <w:fldChar w:fldCharType="begin"/>
        </w:r>
        <w:r w:rsidR="00027618">
          <w:rPr>
            <w:noProof/>
            <w:webHidden/>
          </w:rPr>
          <w:instrText xml:space="preserve"> PAGEREF _Toc36703000 \h </w:instrText>
        </w:r>
        <w:r w:rsidR="00027618">
          <w:rPr>
            <w:noProof/>
            <w:webHidden/>
          </w:rPr>
          <w:fldChar w:fldCharType="separate"/>
        </w:r>
        <w:r w:rsidR="00027618">
          <w:rPr>
            <w:noProof/>
            <w:webHidden/>
          </w:rPr>
          <w:t>12</w:t>
        </w:r>
        <w:r w:rsidR="00027618">
          <w:rPr>
            <w:noProof/>
            <w:webHidden/>
          </w:rPr>
          <w:fldChar w:fldCharType="end"/>
        </w:r>
      </w:hyperlink>
    </w:p>
    <w:p w:rsidR="00634F7E" w14:paraId="57C96E55" w14:textId="1C4D7E50">
      <w:pPr>
        <w:pStyle w:val="TOC2"/>
        <w:rPr>
          <w:rFonts w:asciiTheme="minorHAnsi" w:eastAsiaTheme="minorEastAsia" w:hAnsiTheme="minorHAnsi" w:cstheme="minorBidi"/>
          <w:noProof/>
          <w:sz w:val="22"/>
          <w:szCs w:val="22"/>
        </w:rPr>
      </w:pPr>
      <w:hyperlink w:anchor="_Toc36703001" w:history="1">
        <w:r w:rsidRPr="00FC3230" w:rsidR="00027618">
          <w:rPr>
            <w:rStyle w:val="Hyperlink"/>
            <w:rFonts w:ascii="Arial Nova" w:hAnsi="Arial Nova" w:cstheme="minorHAnsi"/>
            <w:i/>
            <w:noProof/>
          </w:rPr>
          <w:t>A15. Explanation for Program Changes or Adjustments</w:t>
        </w:r>
        <w:r w:rsidR="00027618">
          <w:rPr>
            <w:noProof/>
            <w:webHidden/>
          </w:rPr>
          <w:tab/>
        </w:r>
        <w:r w:rsidR="00027618">
          <w:rPr>
            <w:noProof/>
            <w:webHidden/>
          </w:rPr>
          <w:fldChar w:fldCharType="begin"/>
        </w:r>
        <w:r w:rsidR="00027618">
          <w:rPr>
            <w:noProof/>
            <w:webHidden/>
          </w:rPr>
          <w:instrText xml:space="preserve"> PAGEREF _Toc36703001 \h </w:instrText>
        </w:r>
        <w:r w:rsidR="00027618">
          <w:rPr>
            <w:noProof/>
            <w:webHidden/>
          </w:rPr>
          <w:fldChar w:fldCharType="separate"/>
        </w:r>
        <w:r w:rsidR="00027618">
          <w:rPr>
            <w:noProof/>
            <w:webHidden/>
          </w:rPr>
          <w:t>13</w:t>
        </w:r>
        <w:r w:rsidR="00027618">
          <w:rPr>
            <w:noProof/>
            <w:webHidden/>
          </w:rPr>
          <w:fldChar w:fldCharType="end"/>
        </w:r>
      </w:hyperlink>
    </w:p>
    <w:p w:rsidR="00634F7E" w14:paraId="659A8B11" w14:textId="11C91342">
      <w:pPr>
        <w:pStyle w:val="TOC2"/>
        <w:rPr>
          <w:rFonts w:asciiTheme="minorHAnsi" w:eastAsiaTheme="minorEastAsia" w:hAnsiTheme="minorHAnsi" w:cstheme="minorBidi"/>
          <w:noProof/>
          <w:sz w:val="22"/>
          <w:szCs w:val="22"/>
        </w:rPr>
      </w:pPr>
      <w:hyperlink w:anchor="_Toc36703002" w:history="1">
        <w:r w:rsidRPr="00FC3230" w:rsidR="00027618">
          <w:rPr>
            <w:rStyle w:val="Hyperlink"/>
            <w:rFonts w:ascii="Arial Nova" w:hAnsi="Arial Nova" w:cstheme="minorHAnsi"/>
            <w:i/>
            <w:noProof/>
          </w:rPr>
          <w:t>A16. Plans for Tabulation and Publication and Project Time Schedule</w:t>
        </w:r>
        <w:r w:rsidR="00027618">
          <w:rPr>
            <w:noProof/>
            <w:webHidden/>
          </w:rPr>
          <w:tab/>
        </w:r>
        <w:r w:rsidR="00027618">
          <w:rPr>
            <w:noProof/>
            <w:webHidden/>
          </w:rPr>
          <w:fldChar w:fldCharType="begin"/>
        </w:r>
        <w:r w:rsidR="00027618">
          <w:rPr>
            <w:noProof/>
            <w:webHidden/>
          </w:rPr>
          <w:instrText xml:space="preserve"> PAGEREF _Toc36703002 \h </w:instrText>
        </w:r>
        <w:r w:rsidR="00027618">
          <w:rPr>
            <w:noProof/>
            <w:webHidden/>
          </w:rPr>
          <w:fldChar w:fldCharType="separate"/>
        </w:r>
        <w:r w:rsidR="00027618">
          <w:rPr>
            <w:noProof/>
            <w:webHidden/>
          </w:rPr>
          <w:t>13</w:t>
        </w:r>
        <w:r w:rsidR="00027618">
          <w:rPr>
            <w:noProof/>
            <w:webHidden/>
          </w:rPr>
          <w:fldChar w:fldCharType="end"/>
        </w:r>
      </w:hyperlink>
    </w:p>
    <w:p w:rsidR="00634F7E" w14:paraId="74D6035C" w14:textId="675B6F01">
      <w:pPr>
        <w:pStyle w:val="TOC2"/>
        <w:rPr>
          <w:rFonts w:asciiTheme="minorHAnsi" w:eastAsiaTheme="minorEastAsia" w:hAnsiTheme="minorHAnsi" w:cstheme="minorBidi"/>
          <w:noProof/>
          <w:sz w:val="22"/>
          <w:szCs w:val="22"/>
        </w:rPr>
      </w:pPr>
      <w:hyperlink w:anchor="_Toc36703003" w:history="1">
        <w:r w:rsidRPr="00FC3230" w:rsidR="00027618">
          <w:rPr>
            <w:rStyle w:val="Hyperlink"/>
            <w:rFonts w:ascii="Arial Nova" w:hAnsi="Arial Nova" w:cstheme="minorHAnsi"/>
            <w:i/>
            <w:noProof/>
          </w:rPr>
          <w:t>A17. Reason(s) Display of OMB Expiration Date is Inappropriate</w:t>
        </w:r>
        <w:r w:rsidR="00027618">
          <w:rPr>
            <w:noProof/>
            <w:webHidden/>
          </w:rPr>
          <w:tab/>
        </w:r>
        <w:r w:rsidR="00027618">
          <w:rPr>
            <w:noProof/>
            <w:webHidden/>
          </w:rPr>
          <w:fldChar w:fldCharType="begin"/>
        </w:r>
        <w:r w:rsidR="00027618">
          <w:rPr>
            <w:noProof/>
            <w:webHidden/>
          </w:rPr>
          <w:instrText xml:space="preserve"> PAGEREF _Toc36703003 \h </w:instrText>
        </w:r>
        <w:r w:rsidR="00027618">
          <w:rPr>
            <w:noProof/>
            <w:webHidden/>
          </w:rPr>
          <w:fldChar w:fldCharType="separate"/>
        </w:r>
        <w:r w:rsidR="00027618">
          <w:rPr>
            <w:noProof/>
            <w:webHidden/>
          </w:rPr>
          <w:t>14</w:t>
        </w:r>
        <w:r w:rsidR="00027618">
          <w:rPr>
            <w:noProof/>
            <w:webHidden/>
          </w:rPr>
          <w:fldChar w:fldCharType="end"/>
        </w:r>
      </w:hyperlink>
    </w:p>
    <w:p w:rsidR="00634F7E" w14:paraId="514BC7BF" w14:textId="580606FB">
      <w:pPr>
        <w:pStyle w:val="TOC2"/>
        <w:rPr>
          <w:rFonts w:asciiTheme="minorHAnsi" w:eastAsiaTheme="minorEastAsia" w:hAnsiTheme="minorHAnsi" w:cstheme="minorBidi"/>
          <w:noProof/>
          <w:sz w:val="22"/>
          <w:szCs w:val="22"/>
        </w:rPr>
      </w:pPr>
      <w:hyperlink w:anchor="_Toc36703004" w:history="1">
        <w:r w:rsidRPr="00FC3230" w:rsidR="00027618">
          <w:rPr>
            <w:rStyle w:val="Hyperlink"/>
            <w:rFonts w:ascii="Arial Nova" w:hAnsi="Arial Nova" w:cstheme="minorHAnsi"/>
            <w:i/>
            <w:noProof/>
          </w:rPr>
          <w:t>A18. Exceptions to Certification for Paperwork Reduction Act Submission</w:t>
        </w:r>
        <w:r w:rsidR="00027618">
          <w:rPr>
            <w:noProof/>
            <w:webHidden/>
          </w:rPr>
          <w:tab/>
        </w:r>
        <w:r w:rsidR="00027618">
          <w:rPr>
            <w:noProof/>
            <w:webHidden/>
          </w:rPr>
          <w:fldChar w:fldCharType="begin"/>
        </w:r>
        <w:r w:rsidR="00027618">
          <w:rPr>
            <w:noProof/>
            <w:webHidden/>
          </w:rPr>
          <w:instrText xml:space="preserve"> PAGEREF _Toc36703004 \h </w:instrText>
        </w:r>
        <w:r w:rsidR="00027618">
          <w:rPr>
            <w:noProof/>
            <w:webHidden/>
          </w:rPr>
          <w:fldChar w:fldCharType="separate"/>
        </w:r>
        <w:r w:rsidR="00027618">
          <w:rPr>
            <w:noProof/>
            <w:webHidden/>
          </w:rPr>
          <w:t>15</w:t>
        </w:r>
        <w:r w:rsidR="00027618">
          <w:rPr>
            <w:noProof/>
            <w:webHidden/>
          </w:rPr>
          <w:fldChar w:fldCharType="end"/>
        </w:r>
      </w:hyperlink>
    </w:p>
    <w:p w:rsidR="00634F7E" w:rsidP="005B2E63" w14:paraId="633AD6CE" w14:textId="04A2B86E">
      <w:pPr>
        <w:pStyle w:val="TOC1"/>
        <w:rPr>
          <w:rFonts w:asciiTheme="minorHAnsi" w:eastAsiaTheme="minorEastAsia" w:hAnsiTheme="minorHAnsi" w:cstheme="minorBidi"/>
          <w:b/>
          <w:sz w:val="22"/>
          <w:szCs w:val="22"/>
        </w:rPr>
      </w:pPr>
      <w:hyperlink w:anchor="_Toc36703005" w:history="1">
        <w:r w:rsidRPr="00FC3230" w:rsidR="00027618">
          <w:rPr>
            <w:rStyle w:val="Hyperlink"/>
            <w:rFonts w:cs="Times New Roman"/>
          </w:rPr>
          <w:t>REFERENCES</w:t>
        </w:r>
        <w:r w:rsidR="00027618">
          <w:rPr>
            <w:webHidden/>
          </w:rPr>
          <w:tab/>
        </w:r>
        <w:r w:rsidR="00027618">
          <w:rPr>
            <w:webHidden/>
          </w:rPr>
          <w:fldChar w:fldCharType="begin"/>
        </w:r>
        <w:r w:rsidR="00027618">
          <w:rPr>
            <w:webHidden/>
          </w:rPr>
          <w:instrText xml:space="preserve"> PAGEREF _Toc36703005 \h </w:instrText>
        </w:r>
        <w:r w:rsidR="00027618">
          <w:rPr>
            <w:webHidden/>
          </w:rPr>
          <w:fldChar w:fldCharType="separate"/>
        </w:r>
        <w:r w:rsidR="00027618">
          <w:rPr>
            <w:webHidden/>
          </w:rPr>
          <w:t>15</w:t>
        </w:r>
        <w:r w:rsidR="00027618">
          <w:rPr>
            <w:webHidden/>
          </w:rPr>
          <w:fldChar w:fldCharType="end"/>
        </w:r>
      </w:hyperlink>
    </w:p>
    <w:p w:rsidR="005A459E" w:rsidRPr="007B70F8" w:rsidP="005B2E63" w14:paraId="63D496EA" w14:textId="3A85DA9A">
      <w:pPr>
        <w:pStyle w:val="TOC1"/>
        <w:rPr>
          <w:color w:val="FFFFFF" w:themeColor="background1"/>
        </w:rPr>
      </w:pPr>
      <w:r>
        <w:rPr>
          <w:highlight w:val="lightGray"/>
        </w:rPr>
        <w:fldChar w:fldCharType="end"/>
      </w:r>
      <w:bookmarkStart w:id="5" w:name="_Hlk522972351"/>
    </w:p>
    <w:p w:rsidR="00AE6315" w:rsidRPr="006C6884" w:rsidP="00E1579B" w14:paraId="6DAE7356" w14:textId="77777777">
      <w:pPr>
        <w:spacing w:line="276" w:lineRule="auto"/>
        <w:rPr>
          <w:rFonts w:ascii="Arial Nova" w:hAnsi="Arial Nova"/>
          <w:b/>
        </w:rPr>
      </w:pPr>
    </w:p>
    <w:p w:rsidR="005867E3" w:rsidRPr="006C6884" w:rsidP="006C6884" w14:paraId="588B8C66" w14:textId="77777777">
      <w:pPr>
        <w:spacing w:line="276" w:lineRule="auto"/>
        <w:rPr>
          <w:rStyle w:val="Hyperlink"/>
          <w:rFonts w:ascii="Arial Nova" w:hAnsi="Arial Nova"/>
          <w:b/>
          <w:color w:val="auto"/>
          <w:u w:val="none"/>
        </w:rPr>
      </w:pPr>
      <w:r w:rsidRPr="006C6884">
        <w:rPr>
          <w:rFonts w:ascii="Arial Nova" w:hAnsi="Arial Nova"/>
          <w:b/>
        </w:rPr>
        <w:fldChar w:fldCharType="begin"/>
      </w:r>
      <w:r w:rsidRPr="006C6884">
        <w:rPr>
          <w:rFonts w:ascii="Arial Nova" w:hAnsi="Arial Nova"/>
          <w:b/>
        </w:rPr>
        <w:instrText xml:space="preserve"> HYPERLINK  \l "_REFERENCES_(Tool_Tip:" \o "Tool Tip: You may copy and paste your list of Attachments from SSA or fill in below)" </w:instrText>
      </w:r>
      <w:r w:rsidRPr="006C6884">
        <w:rPr>
          <w:rFonts w:ascii="Arial Nova" w:hAnsi="Arial Nova"/>
          <w:b/>
        </w:rPr>
        <w:fldChar w:fldCharType="separate"/>
      </w:r>
      <w:r w:rsidRPr="006C6884">
        <w:rPr>
          <w:rStyle w:val="Hyperlink"/>
          <w:rFonts w:ascii="Arial Nova" w:hAnsi="Arial Nova"/>
          <w:b/>
          <w:color w:val="auto"/>
          <w:u w:val="none"/>
        </w:rPr>
        <w:t>ATTACHMENTS</w:t>
      </w:r>
    </w:p>
    <w:p w:rsidR="000A3F81" w:rsidRPr="00CA0AE7" w:rsidP="00664A1E" w14:paraId="7C95FD18" w14:textId="52A77A03">
      <w:pPr>
        <w:spacing w:line="276" w:lineRule="auto"/>
        <w:rPr>
          <w:rFonts w:ascii="Arial Nova" w:hAnsi="Arial Nova"/>
          <w:b/>
          <w:color w:val="C75000"/>
        </w:rPr>
      </w:pPr>
      <w:r w:rsidRPr="006C6884">
        <w:rPr>
          <w:rFonts w:ascii="Arial Nova" w:hAnsi="Arial Nova"/>
          <w:b/>
        </w:rPr>
        <w:fldChar w:fldCharType="end"/>
      </w:r>
    </w:p>
    <w:p w:rsidR="00321CAE" w:rsidRPr="006C6884" w:rsidP="00B7211D" w14:paraId="3409D273" w14:textId="4B89DDCF">
      <w:pPr>
        <w:spacing w:line="276" w:lineRule="auto"/>
        <w:ind w:left="360" w:hanging="180"/>
        <w:rPr>
          <w:rFonts w:ascii="Arial Nova" w:hAnsi="Arial Nova"/>
          <w:color w:val="222222"/>
        </w:rPr>
      </w:pPr>
      <w:bookmarkStart w:id="6" w:name="_Hlk114146811"/>
      <w:r w:rsidRPr="006C6884">
        <w:rPr>
          <w:rFonts w:ascii="Arial Nova" w:hAnsi="Arial Nova"/>
          <w:color w:val="222222"/>
        </w:rPr>
        <w:t xml:space="preserve">1. </w:t>
      </w:r>
      <w:r w:rsidR="00BE707B">
        <w:rPr>
          <w:rFonts w:ascii="Arial Nova" w:hAnsi="Arial Nova"/>
          <w:color w:val="222222"/>
        </w:rPr>
        <w:t xml:space="preserve">Authorizing </w:t>
      </w:r>
      <w:r w:rsidR="00AF5870">
        <w:rPr>
          <w:rFonts w:ascii="Arial Nova" w:hAnsi="Arial Nova"/>
          <w:color w:val="222222"/>
        </w:rPr>
        <w:t>Legislation</w:t>
      </w:r>
      <w:r w:rsidR="00BE707B">
        <w:rPr>
          <w:rFonts w:ascii="Arial Nova" w:hAnsi="Arial Nova"/>
          <w:color w:val="222222"/>
        </w:rPr>
        <w:t xml:space="preserve">- </w:t>
      </w:r>
      <w:r w:rsidRPr="006C6884">
        <w:rPr>
          <w:rFonts w:ascii="Arial Nova" w:hAnsi="Arial Nova"/>
          <w:color w:val="222222"/>
        </w:rPr>
        <w:t xml:space="preserve">Public Health Service Act [42 U.S.C. 241] </w:t>
      </w:r>
    </w:p>
    <w:p w:rsidR="00D472C1" w:rsidP="00FF5FE6" w14:paraId="3DBFC704" w14:textId="77777777">
      <w:pPr>
        <w:spacing w:line="276" w:lineRule="auto"/>
        <w:ind w:left="360" w:hanging="180"/>
        <w:rPr>
          <w:rFonts w:ascii="Arial Nova" w:hAnsi="Arial Nova"/>
          <w:color w:val="222222"/>
        </w:rPr>
      </w:pPr>
      <w:r>
        <w:rPr>
          <w:rFonts w:ascii="Arial Nova" w:hAnsi="Arial Nova"/>
          <w:color w:val="222222"/>
        </w:rPr>
        <w:t>2a</w:t>
      </w:r>
      <w:r w:rsidRPr="006C6884" w:rsidR="00495E4F">
        <w:rPr>
          <w:rFonts w:ascii="Arial Nova" w:hAnsi="Arial Nova"/>
          <w:color w:val="222222"/>
        </w:rPr>
        <w:t xml:space="preserve">. </w:t>
      </w:r>
      <w:r w:rsidR="00BE707B">
        <w:rPr>
          <w:rFonts w:ascii="Arial Nova" w:hAnsi="Arial Nova"/>
          <w:color w:val="222222"/>
        </w:rPr>
        <w:t xml:space="preserve">60-Day </w:t>
      </w:r>
      <w:r w:rsidRPr="006C6884" w:rsidR="00495E4F">
        <w:rPr>
          <w:rFonts w:ascii="Arial Nova" w:hAnsi="Arial Nova"/>
          <w:color w:val="222222"/>
        </w:rPr>
        <w:t>Federal Register Notice</w:t>
      </w:r>
    </w:p>
    <w:p w:rsidR="00D472C1" w:rsidP="00CD1C1C" w14:paraId="77A7FF22" w14:textId="4345318E">
      <w:pPr>
        <w:spacing w:line="276" w:lineRule="auto"/>
        <w:ind w:left="360" w:firstLine="360"/>
        <w:rPr>
          <w:rFonts w:ascii="Arial Nova" w:hAnsi="Arial Nova"/>
          <w:color w:val="222222"/>
        </w:rPr>
      </w:pPr>
      <w:r>
        <w:rPr>
          <w:rFonts w:ascii="Arial Nova" w:hAnsi="Arial Nova"/>
          <w:color w:val="222222"/>
        </w:rPr>
        <w:t>2b. Non-substantive comment</w:t>
      </w:r>
      <w:r w:rsidR="00CD1C1C">
        <w:rPr>
          <w:rFonts w:ascii="Arial Nova" w:hAnsi="Arial Nova"/>
          <w:color w:val="222222"/>
        </w:rPr>
        <w:t xml:space="preserve"> #1 </w:t>
      </w:r>
      <w:r>
        <w:rPr>
          <w:rFonts w:ascii="Arial Nova" w:hAnsi="Arial Nova"/>
          <w:color w:val="222222"/>
        </w:rPr>
        <w:t>to published 60-day FRN</w:t>
      </w:r>
    </w:p>
    <w:p w:rsidR="00CD1C1C" w:rsidP="00CD1C1C" w14:paraId="508AE249" w14:textId="433489D9">
      <w:pPr>
        <w:spacing w:line="276" w:lineRule="auto"/>
        <w:ind w:left="360" w:firstLine="360"/>
        <w:rPr>
          <w:rFonts w:ascii="Arial Nova" w:hAnsi="Arial Nova"/>
          <w:color w:val="222222"/>
        </w:rPr>
      </w:pPr>
      <w:r>
        <w:rPr>
          <w:rFonts w:ascii="Arial Nova" w:hAnsi="Arial Nova"/>
          <w:color w:val="222222"/>
        </w:rPr>
        <w:t>2c. Non-substantive comment #2 to published 60-day FRN</w:t>
      </w:r>
    </w:p>
    <w:p w:rsidR="00BE707B" w:rsidP="00FF5FE6" w14:paraId="06D2BF33" w14:textId="1A6503F8">
      <w:pPr>
        <w:spacing w:line="276" w:lineRule="auto"/>
        <w:ind w:left="360" w:hanging="180"/>
        <w:rPr>
          <w:rFonts w:ascii="Arial Nova" w:hAnsi="Arial Nova"/>
          <w:color w:val="222222"/>
        </w:rPr>
      </w:pPr>
      <w:r>
        <w:rPr>
          <w:rFonts w:ascii="Arial Nova" w:hAnsi="Arial Nova"/>
          <w:color w:val="222222"/>
        </w:rPr>
        <w:t xml:space="preserve">3. Approved </w:t>
      </w:r>
      <w:r w:rsidRPr="00BE707B">
        <w:rPr>
          <w:rFonts w:ascii="Arial Nova" w:hAnsi="Arial Nova"/>
          <w:color w:val="222222"/>
        </w:rPr>
        <w:t>NNPTC Abbreviated Health Professional Application for Training (NNPTC HPAT)</w:t>
      </w:r>
    </w:p>
    <w:p w:rsidR="00AF5870" w:rsidP="00BE707B" w14:paraId="4E4564DA" w14:textId="6A6A0F3D">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r>
        <w:rPr>
          <w:rFonts w:ascii="Arial Nova" w:hAnsi="Arial Nova"/>
          <w:color w:val="222222"/>
        </w:rPr>
        <w:t>4</w:t>
      </w:r>
      <w:r w:rsidR="00BE707B">
        <w:rPr>
          <w:rFonts w:ascii="Arial Nova" w:hAnsi="Arial Nova"/>
          <w:color w:val="222222"/>
        </w:rPr>
        <w:t xml:space="preserve">. </w:t>
      </w:r>
      <w:r w:rsidR="00FF5FE6">
        <w:rPr>
          <w:rFonts w:ascii="Arial Nova" w:hAnsi="Arial Nova"/>
          <w:color w:val="222222"/>
        </w:rPr>
        <w:t>Approved</w:t>
      </w:r>
      <w:r>
        <w:rPr>
          <w:rFonts w:ascii="Arial Nova" w:hAnsi="Arial Nova"/>
          <w:color w:val="222222"/>
        </w:rPr>
        <w:t xml:space="preserve"> NNPTC HPAT- Screenshot</w:t>
      </w:r>
    </w:p>
    <w:p w:rsidR="00AF5870" w:rsidRPr="00BE707B" w:rsidP="00AF5870" w14:paraId="0F70D5D1" w14:textId="469D1F0B">
      <w:pPr>
        <w:spacing w:line="276" w:lineRule="auto"/>
        <w:ind w:left="360" w:hanging="180"/>
        <w:rPr>
          <w:rFonts w:ascii="Arial Nova" w:hAnsi="Arial Nova"/>
          <w:color w:val="222222"/>
        </w:rPr>
      </w:pPr>
      <w:r>
        <w:rPr>
          <w:rFonts w:ascii="Arial Nova" w:hAnsi="Arial Nova"/>
          <w:color w:val="222222"/>
        </w:rPr>
        <w:t xml:space="preserve">5. </w:t>
      </w:r>
      <w:r w:rsidRPr="00BE707B">
        <w:rPr>
          <w:rFonts w:ascii="Arial Nova" w:hAnsi="Arial Nova"/>
          <w:color w:val="222222"/>
        </w:rPr>
        <w:t xml:space="preserve">Immediate Post-Course email invitation </w:t>
      </w:r>
      <w:r w:rsidRPr="00BE707B" w:rsidR="001746B6">
        <w:rPr>
          <w:rFonts w:ascii="Arial Nova" w:hAnsi="Arial Nova"/>
          <w:color w:val="222222"/>
        </w:rPr>
        <w:t>–</w:t>
      </w:r>
      <w:r w:rsidRPr="00BE707B">
        <w:rPr>
          <w:rFonts w:ascii="Arial Nova" w:hAnsi="Arial Nova"/>
          <w:color w:val="222222"/>
        </w:rPr>
        <w:t xml:space="preserve"> Word version</w:t>
      </w:r>
    </w:p>
    <w:p w:rsidR="00AF5870" w:rsidRPr="00BE707B" w:rsidP="00AF5870" w14:paraId="76C7753C" w14:textId="2954AB5E">
      <w:pPr>
        <w:spacing w:line="276" w:lineRule="auto"/>
        <w:ind w:left="360" w:hanging="180"/>
        <w:rPr>
          <w:rFonts w:ascii="Arial Nova" w:hAnsi="Arial Nova"/>
          <w:color w:val="222222"/>
        </w:rPr>
      </w:pPr>
      <w:r>
        <w:rPr>
          <w:rFonts w:ascii="Arial Nova" w:hAnsi="Arial Nova"/>
          <w:color w:val="222222"/>
        </w:rPr>
        <w:t>6.</w:t>
      </w:r>
      <w:r w:rsidRPr="00BE707B">
        <w:rPr>
          <w:rFonts w:ascii="Arial Nova" w:hAnsi="Arial Nova"/>
          <w:color w:val="222222"/>
        </w:rPr>
        <w:t xml:space="preserve"> Immediate Post-Course email invitation </w:t>
      </w:r>
      <w:r w:rsidRPr="00BE707B" w:rsidR="001746B6">
        <w:rPr>
          <w:rFonts w:ascii="Arial Nova" w:hAnsi="Arial Nova"/>
          <w:color w:val="222222"/>
        </w:rPr>
        <w:t>–</w:t>
      </w:r>
      <w:r w:rsidRPr="00BE707B">
        <w:rPr>
          <w:rFonts w:ascii="Arial Nova" w:hAnsi="Arial Nova"/>
          <w:color w:val="222222"/>
        </w:rPr>
        <w:t xml:space="preserve"> Screenshot</w:t>
      </w:r>
    </w:p>
    <w:p w:rsidR="00AF5870" w:rsidRPr="00BE707B" w:rsidP="00AF5870" w14:paraId="5CE9757B" w14:textId="79C52467">
      <w:pPr>
        <w:spacing w:line="276" w:lineRule="auto"/>
        <w:ind w:left="360" w:hanging="180"/>
        <w:rPr>
          <w:rFonts w:ascii="Arial Nova" w:hAnsi="Arial Nova"/>
          <w:color w:val="222222"/>
        </w:rPr>
      </w:pPr>
      <w:r>
        <w:rPr>
          <w:rFonts w:ascii="Arial Nova" w:hAnsi="Arial Nova"/>
          <w:color w:val="222222"/>
        </w:rPr>
        <w:t>7.</w:t>
      </w:r>
      <w:r w:rsidRPr="00BE707B">
        <w:rPr>
          <w:rFonts w:ascii="Arial Nova" w:hAnsi="Arial Nova"/>
          <w:color w:val="222222"/>
        </w:rPr>
        <w:t xml:space="preserve"> 3 Month Long-Term email invitation – Word version</w:t>
      </w:r>
    </w:p>
    <w:p w:rsidR="00AF5870" w:rsidP="00AF5870" w14:paraId="105B08E4" w14:textId="317E0EDB">
      <w:pPr>
        <w:spacing w:line="276" w:lineRule="auto"/>
        <w:ind w:left="360" w:hanging="180"/>
        <w:rPr>
          <w:rFonts w:ascii="Arial Nova" w:hAnsi="Arial Nova"/>
          <w:color w:val="222222"/>
        </w:rPr>
      </w:pPr>
      <w:r>
        <w:rPr>
          <w:rFonts w:ascii="Arial Nova" w:hAnsi="Arial Nova"/>
          <w:color w:val="222222"/>
        </w:rPr>
        <w:t>8.</w:t>
      </w:r>
      <w:r w:rsidRPr="00BE707B">
        <w:rPr>
          <w:rFonts w:ascii="Arial Nova" w:hAnsi="Arial Nova"/>
          <w:color w:val="222222"/>
        </w:rPr>
        <w:t xml:space="preserve"> 3 Month Long-Term email invitation – Screenshot</w:t>
      </w:r>
    </w:p>
    <w:p w:rsidR="00BE707B" w:rsidRPr="00BE707B" w:rsidP="00BE707B" w14:paraId="001A2A98" w14:textId="10BF1241">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r>
        <w:rPr>
          <w:rFonts w:ascii="Arial Nova" w:hAnsi="Arial Nova"/>
          <w:color w:val="222222"/>
        </w:rPr>
        <w:t>9</w:t>
      </w:r>
      <w:r w:rsidR="00AF5870">
        <w:rPr>
          <w:rFonts w:ascii="Arial Nova" w:hAnsi="Arial Nova"/>
          <w:color w:val="222222"/>
        </w:rPr>
        <w:t xml:space="preserve">. </w:t>
      </w:r>
      <w:r>
        <w:rPr>
          <w:rFonts w:ascii="Arial Nova" w:hAnsi="Arial Nova"/>
          <w:color w:val="222222"/>
        </w:rPr>
        <w:t>Standard</w:t>
      </w:r>
      <w:r w:rsidRPr="00BE707B">
        <w:rPr>
          <w:rFonts w:ascii="Arial Nova" w:hAnsi="Arial Nova"/>
          <w:color w:val="222222"/>
        </w:rPr>
        <w:t xml:space="preserve"> Post-Course Evaluation </w:t>
      </w:r>
      <w:r w:rsidRPr="00BE707B" w:rsidR="001746B6">
        <w:rPr>
          <w:rFonts w:ascii="Arial Nova" w:hAnsi="Arial Nova"/>
          <w:color w:val="222222"/>
        </w:rPr>
        <w:t>–</w:t>
      </w:r>
      <w:r w:rsidR="001746B6">
        <w:rPr>
          <w:rFonts w:ascii="Arial Nova" w:hAnsi="Arial Nova"/>
          <w:color w:val="222222"/>
        </w:rPr>
        <w:t xml:space="preserve"> </w:t>
      </w:r>
      <w:r w:rsidRPr="00BE707B">
        <w:rPr>
          <w:rFonts w:ascii="Arial Nova" w:hAnsi="Arial Nova"/>
          <w:color w:val="222222"/>
        </w:rPr>
        <w:t xml:space="preserve">Word version </w:t>
      </w:r>
    </w:p>
    <w:p w:rsidR="00BE707B" w:rsidRPr="00BE707B" w:rsidP="001746B6" w14:paraId="06E0B535" w14:textId="6CB0E2FD">
      <w:pPr>
        <w:tabs>
          <w:tab w:val="left" w:pos="6520"/>
        </w:tabs>
        <w:spacing w:line="276" w:lineRule="auto"/>
        <w:ind w:left="360" w:hanging="180"/>
        <w:rPr>
          <w:rFonts w:ascii="Arial Nova" w:hAnsi="Arial Nova"/>
          <w:color w:val="222222"/>
        </w:rPr>
      </w:pPr>
      <w:r>
        <w:rPr>
          <w:rFonts w:ascii="Arial Nova" w:hAnsi="Arial Nova"/>
          <w:color w:val="222222"/>
        </w:rPr>
        <w:t>1</w:t>
      </w:r>
      <w:r w:rsidR="00FB0CDE">
        <w:rPr>
          <w:rFonts w:ascii="Arial Nova" w:hAnsi="Arial Nova"/>
          <w:color w:val="222222"/>
        </w:rPr>
        <w:t>0</w:t>
      </w:r>
      <w:r>
        <w:rPr>
          <w:rFonts w:ascii="Arial Nova" w:hAnsi="Arial Nova"/>
          <w:color w:val="222222"/>
        </w:rPr>
        <w:t>. Standard</w:t>
      </w:r>
      <w:r w:rsidRPr="00BE707B">
        <w:rPr>
          <w:rFonts w:ascii="Arial Nova" w:hAnsi="Arial Nova"/>
          <w:color w:val="222222"/>
        </w:rPr>
        <w:t xml:space="preserve"> Post-Course Evaluation </w:t>
      </w:r>
      <w:r w:rsidRPr="00BE707B" w:rsidR="001746B6">
        <w:rPr>
          <w:rFonts w:ascii="Arial Nova" w:hAnsi="Arial Nova"/>
          <w:color w:val="222222"/>
        </w:rPr>
        <w:t>–</w:t>
      </w:r>
      <w:r w:rsidR="001746B6">
        <w:rPr>
          <w:rFonts w:ascii="Arial Nova" w:hAnsi="Arial Nova"/>
          <w:color w:val="222222"/>
        </w:rPr>
        <w:t xml:space="preserve"> </w:t>
      </w:r>
      <w:r w:rsidRPr="00BE707B">
        <w:rPr>
          <w:rFonts w:ascii="Arial Nova" w:hAnsi="Arial Nova"/>
          <w:color w:val="222222"/>
        </w:rPr>
        <w:t>Screenshot</w:t>
      </w:r>
      <w:r w:rsidR="001746B6">
        <w:rPr>
          <w:rFonts w:ascii="Arial Nova" w:hAnsi="Arial Nova"/>
          <w:color w:val="222222"/>
        </w:rPr>
        <w:tab/>
      </w:r>
    </w:p>
    <w:p w:rsidR="00BE707B" w:rsidRPr="00BE707B" w:rsidP="00BE707B" w14:paraId="75945744" w14:textId="151EF445">
      <w:pPr>
        <w:spacing w:line="276" w:lineRule="auto"/>
        <w:ind w:left="360" w:hanging="180"/>
        <w:rPr>
          <w:rFonts w:ascii="Arial Nova" w:hAnsi="Arial Nova"/>
          <w:color w:val="222222"/>
        </w:rPr>
      </w:pPr>
      <w:r>
        <w:rPr>
          <w:rFonts w:ascii="Arial Nova" w:hAnsi="Arial Nova"/>
          <w:color w:val="222222"/>
        </w:rPr>
        <w:t>1</w:t>
      </w:r>
      <w:r w:rsidR="00FB0CDE">
        <w:rPr>
          <w:rFonts w:ascii="Arial Nova" w:hAnsi="Arial Nova"/>
          <w:color w:val="222222"/>
        </w:rPr>
        <w:t>1</w:t>
      </w:r>
      <w:r>
        <w:rPr>
          <w:rFonts w:ascii="Arial Nova" w:hAnsi="Arial Nova"/>
          <w:color w:val="222222"/>
        </w:rPr>
        <w:t xml:space="preserve">. Standard </w:t>
      </w:r>
      <w:r w:rsidRPr="00BE707B">
        <w:rPr>
          <w:rFonts w:ascii="Arial Nova" w:hAnsi="Arial Nova"/>
          <w:color w:val="222222"/>
        </w:rPr>
        <w:t xml:space="preserve">Long-Term Evaluation </w:t>
      </w:r>
      <w:r w:rsidRPr="00BE707B" w:rsidR="001746B6">
        <w:rPr>
          <w:rFonts w:ascii="Arial Nova" w:hAnsi="Arial Nova"/>
          <w:color w:val="222222"/>
        </w:rPr>
        <w:t>–</w:t>
      </w:r>
      <w:r w:rsidR="001746B6">
        <w:rPr>
          <w:rFonts w:ascii="Arial Nova" w:hAnsi="Arial Nova"/>
          <w:color w:val="222222"/>
        </w:rPr>
        <w:t xml:space="preserve"> </w:t>
      </w:r>
      <w:r w:rsidRPr="00BE707B">
        <w:rPr>
          <w:rFonts w:ascii="Arial Nova" w:hAnsi="Arial Nova"/>
          <w:color w:val="222222"/>
        </w:rPr>
        <w:t>Word version</w:t>
      </w:r>
    </w:p>
    <w:p w:rsidR="00AF5870" w:rsidP="00BE707B" w14:paraId="29DCEF94" w14:textId="5BE91F96">
      <w:pPr>
        <w:spacing w:line="276" w:lineRule="auto"/>
        <w:ind w:left="360" w:hanging="180"/>
        <w:rPr>
          <w:rFonts w:ascii="Arial Nova" w:hAnsi="Arial Nova"/>
          <w:color w:val="222222"/>
        </w:rPr>
      </w:pPr>
      <w:r>
        <w:rPr>
          <w:rFonts w:ascii="Arial Nova" w:hAnsi="Arial Nova"/>
          <w:color w:val="222222"/>
        </w:rPr>
        <w:t>1</w:t>
      </w:r>
      <w:r w:rsidR="00FB0CDE">
        <w:rPr>
          <w:rFonts w:ascii="Arial Nova" w:hAnsi="Arial Nova"/>
          <w:color w:val="222222"/>
        </w:rPr>
        <w:t>2</w:t>
      </w:r>
      <w:r>
        <w:rPr>
          <w:rFonts w:ascii="Arial Nova" w:hAnsi="Arial Nova"/>
          <w:color w:val="222222"/>
        </w:rPr>
        <w:t>.</w:t>
      </w:r>
      <w:r w:rsidRPr="00BE707B" w:rsidR="00BE707B">
        <w:rPr>
          <w:rFonts w:ascii="Arial Nova" w:hAnsi="Arial Nova"/>
          <w:color w:val="222222"/>
        </w:rPr>
        <w:t xml:space="preserve"> </w:t>
      </w:r>
      <w:r>
        <w:rPr>
          <w:rFonts w:ascii="Arial Nova" w:hAnsi="Arial Nova"/>
          <w:color w:val="222222"/>
        </w:rPr>
        <w:t>Standard</w:t>
      </w:r>
      <w:r w:rsidRPr="00BE707B" w:rsidR="00BE707B">
        <w:rPr>
          <w:rFonts w:ascii="Arial Nova" w:hAnsi="Arial Nova"/>
          <w:color w:val="222222"/>
        </w:rPr>
        <w:t xml:space="preserve"> Long-Term Evaluation -Screenshot</w:t>
      </w:r>
    </w:p>
    <w:p w:rsidR="00BE707B" w:rsidRPr="00BE707B" w:rsidP="00BE707B" w14:paraId="5A4C0FDD" w14:textId="1DC07921">
      <w:pPr>
        <w:spacing w:line="276" w:lineRule="auto"/>
        <w:ind w:left="360" w:hanging="180"/>
        <w:rPr>
          <w:rFonts w:ascii="Arial Nova" w:hAnsi="Arial Nova"/>
          <w:color w:val="222222"/>
        </w:rPr>
      </w:pPr>
      <w:r>
        <w:rPr>
          <w:rFonts w:ascii="Arial Nova" w:hAnsi="Arial Nova"/>
          <w:color w:val="222222"/>
        </w:rPr>
        <w:t>1</w:t>
      </w:r>
      <w:r w:rsidR="00FB0CDE">
        <w:rPr>
          <w:rFonts w:ascii="Arial Nova" w:hAnsi="Arial Nova"/>
          <w:color w:val="222222"/>
        </w:rPr>
        <w:t>3</w:t>
      </w:r>
      <w:r>
        <w:rPr>
          <w:rFonts w:ascii="Arial Nova" w:hAnsi="Arial Nova"/>
          <w:color w:val="222222"/>
        </w:rPr>
        <w:t xml:space="preserve">. </w:t>
      </w:r>
      <w:r w:rsidRPr="00BE707B">
        <w:rPr>
          <w:rFonts w:ascii="Arial Nova" w:hAnsi="Arial Nova"/>
          <w:color w:val="222222"/>
        </w:rPr>
        <w:t>Intensive Post-Course Evaluation -Word version</w:t>
      </w:r>
    </w:p>
    <w:p w:rsidR="00BE707B" w:rsidRPr="00BE707B" w:rsidP="00BE707B" w14:paraId="33096C53" w14:textId="4D766203">
      <w:pPr>
        <w:spacing w:line="276" w:lineRule="auto"/>
        <w:ind w:left="360" w:hanging="180"/>
        <w:rPr>
          <w:rFonts w:ascii="Arial Nova" w:hAnsi="Arial Nova"/>
          <w:color w:val="222222"/>
        </w:rPr>
      </w:pPr>
      <w:r>
        <w:rPr>
          <w:rFonts w:ascii="Arial Nova" w:hAnsi="Arial Nova"/>
          <w:color w:val="222222"/>
        </w:rPr>
        <w:t>1</w:t>
      </w:r>
      <w:r w:rsidR="00FB0CDE">
        <w:rPr>
          <w:rFonts w:ascii="Arial Nova" w:hAnsi="Arial Nova"/>
          <w:color w:val="222222"/>
        </w:rPr>
        <w:t>4</w:t>
      </w:r>
      <w:r>
        <w:rPr>
          <w:rFonts w:ascii="Arial Nova" w:hAnsi="Arial Nova"/>
          <w:color w:val="222222"/>
        </w:rPr>
        <w:t>.</w:t>
      </w:r>
      <w:r w:rsidRPr="00BE707B">
        <w:rPr>
          <w:rFonts w:ascii="Arial Nova" w:hAnsi="Arial Nova"/>
          <w:color w:val="222222"/>
        </w:rPr>
        <w:t xml:space="preserve"> Intensive Post-Course Evaluation -Screenshot</w:t>
      </w:r>
    </w:p>
    <w:p w:rsidR="00BE707B" w:rsidRPr="00BE707B" w:rsidP="00BE707B" w14:paraId="0B8D7A3B" w14:textId="3E778BAF">
      <w:pPr>
        <w:spacing w:line="276" w:lineRule="auto"/>
        <w:ind w:left="360" w:hanging="180"/>
        <w:rPr>
          <w:rFonts w:ascii="Arial Nova" w:hAnsi="Arial Nova"/>
          <w:color w:val="222222"/>
        </w:rPr>
      </w:pPr>
      <w:r>
        <w:rPr>
          <w:rFonts w:ascii="Arial Nova" w:hAnsi="Arial Nova"/>
          <w:color w:val="222222"/>
        </w:rPr>
        <w:t>1</w:t>
      </w:r>
      <w:r w:rsidR="00FB0CDE">
        <w:rPr>
          <w:rFonts w:ascii="Arial Nova" w:hAnsi="Arial Nova"/>
          <w:color w:val="222222"/>
        </w:rPr>
        <w:t>5</w:t>
      </w:r>
      <w:r>
        <w:rPr>
          <w:rFonts w:ascii="Arial Nova" w:hAnsi="Arial Nova"/>
          <w:color w:val="222222"/>
        </w:rPr>
        <w:t xml:space="preserve">. </w:t>
      </w:r>
      <w:r w:rsidRPr="00BE707B">
        <w:rPr>
          <w:rFonts w:ascii="Arial Nova" w:hAnsi="Arial Nova"/>
          <w:color w:val="222222"/>
        </w:rPr>
        <w:t>Intensive Long-Term Evaluation -Word version</w:t>
      </w:r>
    </w:p>
    <w:p w:rsidR="00BE707B" w:rsidP="00BE707B" w14:paraId="764E7533" w14:textId="4933EBD1">
      <w:pPr>
        <w:spacing w:line="276" w:lineRule="auto"/>
        <w:ind w:left="360" w:hanging="180"/>
        <w:rPr>
          <w:rFonts w:ascii="Arial Nova" w:hAnsi="Arial Nova"/>
          <w:color w:val="222222"/>
        </w:rPr>
      </w:pPr>
      <w:r>
        <w:rPr>
          <w:rFonts w:ascii="Arial Nova" w:hAnsi="Arial Nova"/>
          <w:color w:val="222222"/>
        </w:rPr>
        <w:t>1</w:t>
      </w:r>
      <w:r w:rsidR="00FB0CDE">
        <w:rPr>
          <w:rFonts w:ascii="Arial Nova" w:hAnsi="Arial Nova"/>
          <w:color w:val="222222"/>
        </w:rPr>
        <w:t>6</w:t>
      </w:r>
      <w:r>
        <w:rPr>
          <w:rFonts w:ascii="Arial Nova" w:hAnsi="Arial Nova"/>
          <w:color w:val="222222"/>
        </w:rPr>
        <w:t>.</w:t>
      </w:r>
      <w:r w:rsidRPr="00BE707B">
        <w:rPr>
          <w:rFonts w:ascii="Arial Nova" w:hAnsi="Arial Nova"/>
          <w:color w:val="222222"/>
        </w:rPr>
        <w:t xml:space="preserve"> Intensive Long-Term Evaluation -Screenshot</w:t>
      </w:r>
    </w:p>
    <w:p w:rsidR="00321CAE" w:rsidP="00C66639" w14:paraId="60CE8FCE" w14:textId="1D82541D">
      <w:pPr>
        <w:tabs>
          <w:tab w:val="left" w:pos="7640"/>
        </w:tabs>
        <w:spacing w:line="276" w:lineRule="auto"/>
        <w:ind w:left="360" w:hanging="180"/>
        <w:rPr>
          <w:rFonts w:ascii="Arial Nova" w:hAnsi="Arial Nova"/>
        </w:rPr>
      </w:pPr>
      <w:r>
        <w:rPr>
          <w:rFonts w:ascii="Arial Nova" w:hAnsi="Arial Nova"/>
          <w:color w:val="222222"/>
        </w:rPr>
        <w:t>1</w:t>
      </w:r>
      <w:r w:rsidR="00FB0CDE">
        <w:rPr>
          <w:rFonts w:ascii="Arial Nova" w:hAnsi="Arial Nova"/>
          <w:color w:val="222222"/>
        </w:rPr>
        <w:t>7</w:t>
      </w:r>
      <w:r>
        <w:rPr>
          <w:rFonts w:ascii="Arial Nova" w:hAnsi="Arial Nova"/>
          <w:color w:val="222222"/>
        </w:rPr>
        <w:t xml:space="preserve">. </w:t>
      </w:r>
      <w:r w:rsidR="00F74F09">
        <w:rPr>
          <w:rFonts w:ascii="Arial Nova" w:hAnsi="Arial Nova"/>
          <w:color w:val="222222"/>
        </w:rPr>
        <w:t xml:space="preserve">Human </w:t>
      </w:r>
      <w:r w:rsidR="000F418C">
        <w:rPr>
          <w:rFonts w:ascii="Arial Nova" w:hAnsi="Arial Nova"/>
          <w:color w:val="222222"/>
        </w:rPr>
        <w:t>s</w:t>
      </w:r>
      <w:r w:rsidR="00F74F09">
        <w:rPr>
          <w:rFonts w:ascii="Arial Nova" w:hAnsi="Arial Nova"/>
          <w:color w:val="222222"/>
        </w:rPr>
        <w:t xml:space="preserve">ubjects </w:t>
      </w:r>
      <w:r w:rsidR="000F418C">
        <w:rPr>
          <w:rFonts w:ascii="Arial Nova" w:hAnsi="Arial Nova"/>
          <w:color w:val="222222"/>
        </w:rPr>
        <w:t>d</w:t>
      </w:r>
      <w:r w:rsidR="00F74F09">
        <w:rPr>
          <w:rFonts w:ascii="Arial Nova" w:hAnsi="Arial Nova"/>
          <w:color w:val="222222"/>
        </w:rPr>
        <w:t>ocument</w:t>
      </w:r>
      <w:r w:rsidRPr="00F06B97">
        <w:rPr>
          <w:rFonts w:ascii="Arial Nova" w:hAnsi="Arial Nova"/>
        </w:rPr>
        <w:t xml:space="preserve"> </w:t>
      </w:r>
      <w:sdt>
        <w:sdtPr>
          <w:rPr>
            <w:rFonts w:ascii="Arial Nova" w:hAnsi="Arial Nova"/>
          </w:rPr>
          <w:alias w:val="IRB"/>
          <w:tag w:val="Classification"/>
          <w:id w:val="7877589"/>
          <w:placeholder>
            <w:docPart w:val="9053CA08DA7740ACB744EB681C8BB95C"/>
          </w:placeholder>
          <w:dropDownList w:lastValue="non-research determination">
            <w:listItem w:value="IRB approval" w:displayText="IRB approval"/>
            <w:listItem w:value="non-research determination" w:displayText="non-research determination"/>
            <w:listItem w:value="exemption determination" w:displayText="exemption determination"/>
          </w:dropDownList>
        </w:sdtPr>
        <w:sdtContent>
          <w:r>
            <w:rPr>
              <w:rFonts w:ascii="Arial Nova" w:hAnsi="Arial Nova"/>
            </w:rPr>
            <w:t>non-research determination</w:t>
          </w:r>
        </w:sdtContent>
      </w:sdt>
      <w:r w:rsidR="00C66639">
        <w:rPr>
          <w:rFonts w:ascii="Arial Nova" w:hAnsi="Arial Nova"/>
        </w:rPr>
        <w:tab/>
      </w:r>
    </w:p>
    <w:p w:rsidR="00C66639" w:rsidRPr="00F06B97" w:rsidP="00C66639" w14:paraId="2BE1A6A4" w14:textId="37C1ED04">
      <w:pPr>
        <w:tabs>
          <w:tab w:val="left" w:pos="7640"/>
        </w:tabs>
        <w:spacing w:line="276" w:lineRule="auto"/>
        <w:ind w:left="360" w:hanging="180"/>
        <w:rPr>
          <w:rFonts w:ascii="Arial Nova" w:hAnsi="Arial Nova"/>
          <w:color w:val="222222"/>
        </w:rPr>
      </w:pPr>
      <w:r>
        <w:rPr>
          <w:rFonts w:ascii="Arial Nova" w:hAnsi="Arial Nova"/>
        </w:rPr>
        <w:t xml:space="preserve">18. </w:t>
      </w:r>
      <w:r w:rsidR="001F1902">
        <w:rPr>
          <w:rFonts w:ascii="Arial Nova" w:hAnsi="Arial Nova"/>
        </w:rPr>
        <w:t>Privacy Impact Assessment Form</w:t>
      </w:r>
    </w:p>
    <w:p w:rsidR="00EA6029" w:rsidP="008453BF" w14:paraId="018EDDF6" w14:textId="77777777">
      <w:pPr>
        <w:rPr>
          <w:rFonts w:ascii="Arial Nova" w:hAnsi="Arial Nova"/>
          <w:i/>
          <w:color w:val="F79646" w:themeColor="accent6"/>
        </w:rPr>
      </w:pPr>
      <w:bookmarkStart w:id="7" w:name="_Toc511934869"/>
      <w:bookmarkStart w:id="8" w:name="_Toc329519280"/>
      <w:bookmarkStart w:id="9" w:name="_Toc523105666"/>
      <w:bookmarkEnd w:id="5"/>
    </w:p>
    <w:bookmarkEnd w:id="6"/>
    <w:p w:rsidR="00E23C89" w:rsidP="007E2303" w14:paraId="4F8FCB95" w14:textId="77777777">
      <w:pPr>
        <w:pStyle w:val="m-4824437483153403386msocommenttext"/>
        <w:shd w:val="clear" w:color="auto" w:fill="FFFFFF"/>
        <w:spacing w:before="0" w:beforeAutospacing="0" w:after="0" w:afterAutospacing="0" w:line="276" w:lineRule="auto"/>
        <w:rPr>
          <w:rFonts w:ascii="Arial Nova" w:hAnsi="Arial Nova"/>
          <w:i/>
          <w:color w:val="F79646" w:themeColor="accent6"/>
        </w:rPr>
      </w:pPr>
    </w:p>
    <w:p w:rsidR="0076746C" w14:paraId="2257C4DF" w14:textId="77777777">
      <w:pPr>
        <w:rPr>
          <w:rFonts w:ascii="Arial Nova" w:hAnsi="Arial Nova" w:cstheme="minorHAnsi"/>
          <w:b/>
        </w:rPr>
      </w:pPr>
      <w:r>
        <w:rPr>
          <w:rFonts w:ascii="Arial Nova" w:hAnsi="Arial Nova" w:cstheme="minorHAnsi"/>
          <w:b/>
        </w:rPr>
        <w:br w:type="page"/>
      </w:r>
    </w:p>
    <w:p w:rsidR="00E23C89" w:rsidRPr="00223E5A" w:rsidP="00E23C89" w14:paraId="5A81F369" w14:textId="059AE535">
      <w:pPr>
        <w:spacing w:line="276" w:lineRule="auto"/>
        <w:rPr>
          <w:rFonts w:ascii="Arial Nova" w:hAnsi="Arial Nova" w:cstheme="minorHAnsi"/>
          <w:b/>
        </w:rPr>
      </w:pPr>
      <w:r w:rsidRPr="00223E5A">
        <w:rPr>
          <w:rFonts w:ascii="Arial Nova" w:hAnsi="Arial Nova" w:cstheme="minorHAnsi"/>
          <w:b/>
        </w:rPr>
        <w:t>JUSTIFICATION SUMMARY</w:t>
      </w:r>
    </w:p>
    <w:tbl>
      <w:tblPr>
        <w:tblStyle w:val="TableGrid"/>
        <w:tblCaption w:val="Example Summary 2"/>
        <w:tblDescription w:val="Example Summary 2"/>
        <w:tblpPr w:leftFromText="187" w:rightFromText="187" w:bottomFromText="720" w:vertAnchor="text" w:horzAnchor="margin" w:tblpY="44"/>
        <w:tblOverlap w:val="never"/>
        <w:tblW w:w="10075" w:type="dxa"/>
        <w:tblBorders>
          <w:insideH w:val="none" w:sz="0" w:space="0" w:color="auto"/>
          <w:insideV w:val="none" w:sz="0" w:space="0" w:color="auto"/>
        </w:tblBorders>
        <w:tblCellMar>
          <w:top w:w="72" w:type="dxa"/>
          <w:left w:w="115" w:type="dxa"/>
          <w:bottom w:w="72" w:type="dxa"/>
          <w:right w:w="115" w:type="dxa"/>
        </w:tblCellMar>
        <w:tblLook w:val="04A0"/>
      </w:tblPr>
      <w:tblGrid>
        <w:gridCol w:w="10075"/>
      </w:tblGrid>
      <w:tr w14:paraId="68E091DC" w14:textId="77777777" w:rsidTr="002956FA">
        <w:tblPrEx>
          <w:tblW w:w="10075" w:type="dxa"/>
          <w:tblBorders>
            <w:insideH w:val="none" w:sz="0" w:space="0" w:color="auto"/>
            <w:insideV w:val="none" w:sz="0" w:space="0" w:color="auto"/>
          </w:tblBorders>
          <w:tblCellMar>
            <w:top w:w="72" w:type="dxa"/>
            <w:left w:w="115" w:type="dxa"/>
            <w:bottom w:w="72" w:type="dxa"/>
            <w:right w:w="115" w:type="dxa"/>
          </w:tblCellMar>
          <w:tblLook w:val="04A0"/>
        </w:tblPrEx>
        <w:trPr>
          <w:tblHeader/>
        </w:trPr>
        <w:tc>
          <w:tcPr>
            <w:tcW w:w="10075" w:type="dxa"/>
          </w:tcPr>
          <w:p w:rsidR="002956FA" w:rsidRPr="00223E5A" w:rsidP="002956FA" w14:paraId="4D80FFC2" w14:textId="21496BB2">
            <w:pPr>
              <w:spacing w:before="240" w:line="276" w:lineRule="auto"/>
              <w:rPr>
                <w:rFonts w:ascii="Arial Nova" w:hAnsi="Arial Nova"/>
                <w:b/>
                <w:color w:val="000000" w:themeColor="text1"/>
              </w:rPr>
            </w:pPr>
            <w:r w:rsidRPr="00223E5A">
              <w:rPr>
                <w:rFonts w:ascii="Arial Nova" w:hAnsi="Arial Nova"/>
                <w:b/>
                <w:color w:val="000000" w:themeColor="text1"/>
              </w:rPr>
              <w:t>Goal of the project</w:t>
            </w:r>
            <w:r w:rsidRPr="00223E5A">
              <w:rPr>
                <w:rFonts w:ascii="Arial Nova" w:hAnsi="Arial Nova"/>
                <w:color w:val="000000" w:themeColor="text1"/>
              </w:rPr>
              <w:t xml:space="preserve">: </w:t>
            </w:r>
            <w:r w:rsidRPr="00223E5A">
              <w:rPr>
                <w:rFonts w:ascii="Arial Nova" w:hAnsi="Arial Nova"/>
              </w:rPr>
              <w:t xml:space="preserve"> </w:t>
            </w:r>
            <w:r w:rsidRPr="00223E5A">
              <w:rPr>
                <w:rFonts w:ascii="Arial Nova" w:hAnsi="Arial Nova"/>
                <w:color w:val="000000" w:themeColor="text1"/>
              </w:rPr>
              <w:t xml:space="preserve">The purpose of this information collection is </w:t>
            </w:r>
            <w:bookmarkStart w:id="10" w:name="_Hlk94624090"/>
            <w:r w:rsidRPr="00223E5A">
              <w:rPr>
                <w:rFonts w:ascii="Arial Nova" w:hAnsi="Arial Nova"/>
                <w:color w:val="000000" w:themeColor="text1"/>
              </w:rPr>
              <w:t xml:space="preserve">to evaluate how well the NNPTC’s training and technical assistance reaches the DSTDP’s intended audiences and impacts the knowledge, skills, and practice patterns of providers of STD screening, diagnosis, treatment over time. </w:t>
            </w:r>
            <w:bookmarkEnd w:id="10"/>
            <w:r w:rsidRPr="00223E5A">
              <w:rPr>
                <w:rFonts w:ascii="Arial Nova" w:hAnsi="Arial Nova"/>
                <w:color w:val="000000" w:themeColor="text1"/>
              </w:rPr>
              <w:t xml:space="preserve">The evaluation will measure trainee satisfaction with NNPTC services and changes in capacity, knowledge, skills, practice patterns and self-efficacy as a result of NNPTC training and technical assistance.  This is a renewal request </w:t>
            </w:r>
            <w:r w:rsidR="00FF5FE6">
              <w:rPr>
                <w:rFonts w:ascii="Arial Nova" w:hAnsi="Arial Nova"/>
                <w:color w:val="000000" w:themeColor="text1"/>
              </w:rPr>
              <w:t>of currently approved</w:t>
            </w:r>
            <w:r w:rsidRPr="00223E5A">
              <w:rPr>
                <w:rFonts w:ascii="Arial Nova" w:hAnsi="Arial Nova"/>
                <w:color w:val="000000" w:themeColor="text1"/>
              </w:rPr>
              <w:t xml:space="preserve"> NNPTC HPAT and post-training surveys. </w:t>
            </w:r>
          </w:p>
        </w:tc>
      </w:tr>
      <w:tr w14:paraId="1FBCF0C2" w14:textId="77777777" w:rsidTr="002956FA">
        <w:tblPrEx>
          <w:tblW w:w="10075" w:type="dxa"/>
          <w:tblCellMar>
            <w:top w:w="72" w:type="dxa"/>
            <w:left w:w="115" w:type="dxa"/>
            <w:bottom w:w="72" w:type="dxa"/>
            <w:right w:w="115" w:type="dxa"/>
          </w:tblCellMar>
          <w:tblLook w:val="04A0"/>
        </w:tblPrEx>
        <w:tc>
          <w:tcPr>
            <w:tcW w:w="10075" w:type="dxa"/>
          </w:tcPr>
          <w:p w:rsidR="002956FA" w:rsidRPr="00223E5A" w:rsidP="002956FA" w14:paraId="0A48A3B4" w14:textId="77777777">
            <w:pPr>
              <w:spacing w:line="276" w:lineRule="auto"/>
              <w:rPr>
                <w:rFonts w:ascii="Arial Nova" w:hAnsi="Arial Nova"/>
                <w:b/>
                <w:color w:val="000000" w:themeColor="text1"/>
              </w:rPr>
            </w:pPr>
            <w:r w:rsidRPr="00223E5A">
              <w:rPr>
                <w:rFonts w:ascii="Arial Nova" w:hAnsi="Arial Nova"/>
                <w:b/>
                <w:color w:val="000000" w:themeColor="text1"/>
              </w:rPr>
              <w:t>Intended use of the resulting data</w:t>
            </w:r>
            <w:r w:rsidRPr="00223E5A">
              <w:rPr>
                <w:rFonts w:ascii="Arial Nova" w:hAnsi="Arial Nova"/>
                <w:color w:val="000000" w:themeColor="text1"/>
              </w:rPr>
              <w:t xml:space="preserve">: </w:t>
            </w:r>
            <w:r w:rsidRPr="00223E5A">
              <w:rPr>
                <w:rFonts w:ascii="Arial Nova" w:hAnsi="Arial Nova"/>
              </w:rPr>
              <w:t xml:space="preserve"> </w:t>
            </w:r>
            <w:r w:rsidRPr="00223E5A">
              <w:rPr>
                <w:rFonts w:ascii="Arial Nova" w:hAnsi="Arial Nova"/>
                <w:color w:val="000000" w:themeColor="text1"/>
              </w:rPr>
              <w:t xml:space="preserve">The resulting data will be used </w:t>
            </w:r>
            <w:bookmarkStart w:id="11" w:name="_Hlk94624119"/>
            <w:r w:rsidRPr="00223E5A">
              <w:rPr>
                <w:rFonts w:ascii="Arial Nova" w:hAnsi="Arial Nova"/>
                <w:color w:val="000000" w:themeColor="text1"/>
              </w:rPr>
              <w:t xml:space="preserve">to monitor and improve the NNPTC’s program delivery through assessment of trainee satisfaction and short-term and long-term outcomes of the DSTDP’s program.  </w:t>
            </w:r>
            <w:bookmarkEnd w:id="11"/>
          </w:p>
        </w:tc>
      </w:tr>
      <w:tr w14:paraId="254F8160" w14:textId="77777777" w:rsidTr="002956FA">
        <w:tblPrEx>
          <w:tblW w:w="10075" w:type="dxa"/>
          <w:tblCellMar>
            <w:top w:w="72" w:type="dxa"/>
            <w:left w:w="115" w:type="dxa"/>
            <w:bottom w:w="72" w:type="dxa"/>
            <w:right w:w="115" w:type="dxa"/>
          </w:tblCellMar>
          <w:tblLook w:val="04A0"/>
        </w:tblPrEx>
        <w:tc>
          <w:tcPr>
            <w:tcW w:w="10075" w:type="dxa"/>
          </w:tcPr>
          <w:p w:rsidR="002956FA" w:rsidRPr="00223E5A" w:rsidP="002956FA" w14:paraId="2E6CF714" w14:textId="77777777">
            <w:pPr>
              <w:spacing w:line="276" w:lineRule="auto"/>
              <w:rPr>
                <w:rFonts w:ascii="Arial Nova" w:hAnsi="Arial Nova"/>
                <w:color w:val="000000" w:themeColor="text1"/>
              </w:rPr>
            </w:pPr>
            <w:r w:rsidRPr="00223E5A">
              <w:rPr>
                <w:rFonts w:ascii="Arial Nova" w:hAnsi="Arial Nova"/>
                <w:b/>
                <w:color w:val="000000" w:themeColor="text1"/>
              </w:rPr>
              <w:t>Methods to be used to collect</w:t>
            </w:r>
            <w:r w:rsidRPr="00223E5A">
              <w:rPr>
                <w:rFonts w:ascii="Arial Nova" w:hAnsi="Arial Nova"/>
                <w:color w:val="000000" w:themeColor="text1"/>
              </w:rPr>
              <w:t xml:space="preserve">: Data will be </w:t>
            </w:r>
            <w:bookmarkStart w:id="12" w:name="_Hlk94626205"/>
            <w:r w:rsidRPr="00223E5A">
              <w:rPr>
                <w:rFonts w:ascii="Arial Nova" w:hAnsi="Arial Nova"/>
                <w:color w:val="000000" w:themeColor="text1"/>
              </w:rPr>
              <w:t>collected online using surveys with closed- and open-ended questions or in-person as necessary at training and technical assistance events.</w:t>
            </w:r>
            <w:bookmarkEnd w:id="12"/>
          </w:p>
        </w:tc>
      </w:tr>
      <w:tr w14:paraId="38095C68" w14:textId="77777777" w:rsidTr="002956FA">
        <w:tblPrEx>
          <w:tblW w:w="10075" w:type="dxa"/>
          <w:tblCellMar>
            <w:top w:w="72" w:type="dxa"/>
            <w:left w:w="115" w:type="dxa"/>
            <w:bottom w:w="72" w:type="dxa"/>
            <w:right w:w="115" w:type="dxa"/>
          </w:tblCellMar>
          <w:tblLook w:val="04A0"/>
        </w:tblPrEx>
        <w:tc>
          <w:tcPr>
            <w:tcW w:w="10075" w:type="dxa"/>
          </w:tcPr>
          <w:p w:rsidR="002956FA" w:rsidRPr="00223E5A" w:rsidP="002956FA" w14:paraId="762301CF" w14:textId="77777777">
            <w:pPr>
              <w:spacing w:line="276" w:lineRule="auto"/>
              <w:rPr>
                <w:rFonts w:ascii="Arial Nova" w:hAnsi="Arial Nova"/>
                <w:color w:val="000000" w:themeColor="text1"/>
              </w:rPr>
            </w:pPr>
            <w:r w:rsidRPr="00223E5A">
              <w:rPr>
                <w:rFonts w:ascii="Arial Nova" w:hAnsi="Arial Nova"/>
                <w:b/>
                <w:color w:val="000000" w:themeColor="text1"/>
              </w:rPr>
              <w:t>The subpopulation to be studied</w:t>
            </w:r>
            <w:r w:rsidRPr="00223E5A">
              <w:rPr>
                <w:rFonts w:ascii="Arial Nova" w:hAnsi="Arial Nova"/>
                <w:color w:val="000000" w:themeColor="text1"/>
              </w:rPr>
              <w:t xml:space="preserve">: The information will be collected from healthcare professionals who attend training or technical assistance events delivered by the NNPTC.    </w:t>
            </w:r>
          </w:p>
        </w:tc>
      </w:tr>
      <w:tr w14:paraId="3AB3A35D" w14:textId="77777777" w:rsidTr="002956FA">
        <w:tblPrEx>
          <w:tblW w:w="10075" w:type="dxa"/>
          <w:tblCellMar>
            <w:top w:w="72" w:type="dxa"/>
            <w:left w:w="115" w:type="dxa"/>
            <w:bottom w:w="72" w:type="dxa"/>
            <w:right w:w="115" w:type="dxa"/>
          </w:tblCellMar>
          <w:tblLook w:val="04A0"/>
        </w:tblPrEx>
        <w:tc>
          <w:tcPr>
            <w:tcW w:w="10075" w:type="dxa"/>
          </w:tcPr>
          <w:p w:rsidR="002956FA" w:rsidRPr="00223E5A" w:rsidP="002956FA" w14:paraId="5A2AE582" w14:textId="77777777">
            <w:pPr>
              <w:spacing w:after="240" w:line="276" w:lineRule="auto"/>
              <w:rPr>
                <w:rFonts w:ascii="Arial Nova" w:hAnsi="Arial Nova"/>
                <w:color w:val="000000" w:themeColor="text1"/>
              </w:rPr>
            </w:pPr>
            <w:r w:rsidRPr="00223E5A">
              <w:rPr>
                <w:rFonts w:ascii="Arial Nova" w:hAnsi="Arial Nova"/>
                <w:b/>
                <w:color w:val="000000" w:themeColor="text1"/>
              </w:rPr>
              <w:t>How the data will be analyzed</w:t>
            </w:r>
            <w:r w:rsidRPr="00223E5A">
              <w:rPr>
                <w:rFonts w:ascii="Arial Nova" w:hAnsi="Arial Nova"/>
                <w:color w:val="000000" w:themeColor="text1"/>
              </w:rPr>
              <w:t xml:space="preserve">: </w:t>
            </w:r>
            <w:r w:rsidRPr="00223E5A">
              <w:rPr>
                <w:rFonts w:ascii="Arial Nova" w:hAnsi="Arial Nova"/>
              </w:rPr>
              <w:t xml:space="preserve"> </w:t>
            </w:r>
            <w:r w:rsidRPr="00223E5A">
              <w:rPr>
                <w:rFonts w:ascii="Arial Nova" w:hAnsi="Arial Nova"/>
                <w:color w:val="000000" w:themeColor="text1"/>
              </w:rPr>
              <w:t>The following analytic tests will be applied to the quantitative data: frequencies and cross-tabulations, ANOVA, correlations, means, medians, non-response adjustment, non-parametric analyses, and logistic regression to explore relationships within the data.  Analyses of the qualitative data will be informed by grounded theory and principles of content analysis, including constant comparative method. Qualitative data will be coded and grouped by thematic categories.</w:t>
            </w:r>
          </w:p>
        </w:tc>
      </w:tr>
    </w:tbl>
    <w:p w:rsidR="001107D3" w:rsidRPr="00223E5A" w:rsidP="001107D3" w14:paraId="6C95078E" w14:textId="77777777">
      <w:pPr>
        <w:spacing w:line="276" w:lineRule="auto"/>
        <w:rPr>
          <w:rFonts w:ascii="Arial Nova" w:hAnsi="Arial Nova"/>
          <w:b/>
          <w:color w:val="F79646" w:themeColor="accent6"/>
        </w:rPr>
      </w:pPr>
    </w:p>
    <w:p w:rsidR="004C36E8" w:rsidRPr="00223E5A" w:rsidP="002956FA" w14:paraId="4E7226C9" w14:textId="77777777">
      <w:pPr>
        <w:spacing w:line="276" w:lineRule="auto"/>
        <w:outlineLvl w:val="0"/>
        <w:rPr>
          <w:rFonts w:ascii="Arial Nova" w:hAnsi="Arial Nova" w:cstheme="minorHAnsi"/>
          <w:b/>
        </w:rPr>
      </w:pPr>
    </w:p>
    <w:p w:rsidR="00E23C89" w:rsidRPr="00223E5A" w:rsidP="004C36E8" w14:paraId="0C46D912" w14:textId="77777777">
      <w:pPr>
        <w:pStyle w:val="ListParagraph"/>
        <w:numPr>
          <w:ilvl w:val="0"/>
          <w:numId w:val="1"/>
        </w:numPr>
        <w:spacing w:line="276" w:lineRule="auto"/>
        <w:outlineLvl w:val="0"/>
        <w:rPr>
          <w:rFonts w:ascii="Arial Nova" w:hAnsi="Arial Nova" w:cstheme="minorHAnsi"/>
          <w:b/>
        </w:rPr>
      </w:pPr>
      <w:bookmarkStart w:id="13" w:name="_Toc36702988"/>
      <w:r w:rsidRPr="00223E5A">
        <w:rPr>
          <w:rFonts w:ascii="Arial Nova" w:hAnsi="Arial Nova" w:cstheme="minorHAnsi"/>
          <w:b/>
        </w:rPr>
        <w:t>JUSTIFICATION</w:t>
      </w:r>
      <w:bookmarkEnd w:id="13"/>
    </w:p>
    <w:p w:rsidR="00D770BA" w:rsidRPr="00223E5A" w:rsidP="002956FA" w14:paraId="11319F0B" w14:textId="7ADBD9B1">
      <w:pPr>
        <w:pStyle w:val="Heading2"/>
        <w:spacing w:line="276" w:lineRule="auto"/>
        <w:rPr>
          <w:rFonts w:ascii="Arial Nova" w:hAnsi="Arial Nova" w:cstheme="minorHAnsi"/>
          <w:i/>
          <w:color w:val="auto"/>
          <w:sz w:val="24"/>
          <w:szCs w:val="24"/>
        </w:rPr>
      </w:pPr>
      <w:bookmarkStart w:id="14" w:name="_Toc36702989"/>
      <w:r w:rsidRPr="00223E5A">
        <w:rPr>
          <w:rFonts w:ascii="Arial Nova" w:hAnsi="Arial Nova" w:cstheme="minorHAnsi"/>
          <w:i/>
          <w:color w:val="auto"/>
          <w:sz w:val="24"/>
          <w:szCs w:val="24"/>
        </w:rPr>
        <w:t>A1. Circumstances Making the Collection of Information Necessary</w:t>
      </w:r>
      <w:bookmarkEnd w:id="14"/>
    </w:p>
    <w:p w:rsidR="002956FA" w:rsidRPr="00223E5A" w:rsidP="002956FA" w14:paraId="0C718528" w14:textId="0913633E">
      <w:pPr>
        <w:spacing w:before="240" w:after="240" w:line="276" w:lineRule="auto"/>
        <w:rPr>
          <w:rFonts w:ascii="Arial Nova" w:hAnsi="Arial Nova"/>
        </w:rPr>
      </w:pPr>
      <w:r w:rsidRPr="00223E5A">
        <w:rPr>
          <w:rFonts w:ascii="Arial Nova" w:hAnsi="Arial Nova"/>
        </w:rPr>
        <w:t>The Centers for Disease Control and Prevention (CDC), Division of STD Prevention (DSTDP) requests a 3-year renewal for the previously OMB approved information collection request (ICR) entitled, “</w:t>
      </w:r>
      <w:r w:rsidRPr="00223E5A">
        <w:rPr>
          <w:rFonts w:ascii="Arial Nova" w:hAnsi="Arial Nova"/>
          <w:i/>
        </w:rPr>
        <w:t>National Network of Sexually Transmitted Disease Clinical Prevention Training Centers (NNPTC)</w:t>
      </w:r>
      <w:r w:rsidRPr="00223E5A">
        <w:rPr>
          <w:rFonts w:ascii="Arial Nova" w:hAnsi="Arial Nova"/>
        </w:rPr>
        <w:t xml:space="preserve">” - OMB #: 0920-0995). </w:t>
      </w:r>
    </w:p>
    <w:p w:rsidR="002956FA" w:rsidRPr="00223E5A" w:rsidP="002956FA" w14:paraId="045A2F23" w14:textId="0421C643">
      <w:pPr>
        <w:spacing w:after="240" w:line="276" w:lineRule="auto"/>
        <w:rPr>
          <w:rFonts w:ascii="Arial Nova" w:hAnsi="Arial Nova"/>
        </w:rPr>
      </w:pPr>
      <w:r w:rsidRPr="00223E5A">
        <w:rPr>
          <w:rFonts w:ascii="Arial Nova" w:hAnsi="Arial Nova"/>
        </w:rPr>
        <w:t xml:space="preserve">The purpose of this information collection is to monitor and evaluate the performance of the NNPTC grantees and the NNPTC program. Data will be collected from a total of 4,500 health professionals annually who provide STD screening, diagnosis, and treatment or provide </w:t>
      </w:r>
      <w:r w:rsidRPr="00223E5A">
        <w:rPr>
          <w:rFonts w:ascii="Arial Nova" w:hAnsi="Arial Nova"/>
        </w:rPr>
        <w:t>services to populations at risk of STD and receive training or technical assistance delivered by the NNPTC (</w:t>
      </w:r>
      <w:r w:rsidRPr="00223E5A">
        <w:rPr>
          <w:rFonts w:ascii="Arial Nova" w:hAnsi="Arial Nova"/>
          <w:i/>
          <w:iCs/>
        </w:rPr>
        <w:t>Grant # PS20-2004</w:t>
      </w:r>
      <w:r w:rsidRPr="00223E5A">
        <w:rPr>
          <w:rFonts w:ascii="Arial Nova" w:hAnsi="Arial Nova"/>
        </w:rPr>
        <w:t xml:space="preserve">). </w:t>
      </w:r>
    </w:p>
    <w:p w:rsidR="002956FA" w:rsidRPr="00223E5A" w:rsidP="002956FA" w14:paraId="2D236229" w14:textId="55A6233C">
      <w:pPr>
        <w:spacing w:after="240" w:line="276" w:lineRule="auto"/>
        <w:rPr>
          <w:rFonts w:ascii="Arial Nova" w:hAnsi="Arial Nova"/>
        </w:rPr>
      </w:pPr>
      <w:r w:rsidRPr="00223E5A">
        <w:rPr>
          <w:rFonts w:ascii="Arial Nova" w:hAnsi="Arial Nova"/>
        </w:rPr>
        <w:t xml:space="preserve">This information collection is authorized by Section 301 of the Public Health Service Act (42 U.S. Code, Sec. 792[295k] (a)) (Att 1). This information collection falls under the essential public health service of 1) informing, educating, and empowering people about health issues; 2) mobilizing community partnerships to identify and solve health problems; 3) linking people to needed personal health services and assure the provision of health care when otherwise unavailable; 4) assuring a competent public health and personal health care workforce. </w:t>
      </w:r>
    </w:p>
    <w:p w:rsidR="002956FA" w:rsidRPr="00223E5A" w:rsidP="002956FA" w14:paraId="6FB483AD" w14:textId="44480080">
      <w:pPr>
        <w:autoSpaceDE w:val="0"/>
        <w:autoSpaceDN w:val="0"/>
        <w:adjustRightInd w:val="0"/>
        <w:spacing w:line="276" w:lineRule="auto"/>
        <w:rPr>
          <w:rFonts w:ascii="Arial Nova" w:hAnsi="Arial Nova" w:eastAsiaTheme="minorHAnsi"/>
        </w:rPr>
      </w:pPr>
      <w:r w:rsidRPr="00223E5A">
        <w:rPr>
          <w:rFonts w:ascii="Arial Nova" w:hAnsi="Arial Nova" w:eastAsiaTheme="minorHAnsi"/>
          <w:color w:val="000000"/>
        </w:rPr>
        <w:t xml:space="preserve">Despite widely available diagnostic tests and simple treatment for chlamydia, gonorrhea and syphilis, many at-risk individuals in the U.S. receive sub-optimal clinical care for these STDs. For example, even though evidenced-based guidelines have promoted annual chlamydia screening for women &lt;25 years since 1993, in 2010 less than half of commercially insured women aged 21-24 years were screened for chlamydia. Congenital syphilis cases can occur when prenatal care providers fail to screen pregnant women for syphilis as recommended. Many HIV-infected MSM who access clinical care do not receive recommended rectal and pharyngeal STD screening. Some STD-infected patients do not receive the recommended therapy in a timely fashion or are lost to follow up, and for some, partner notification and treatment are lacking. </w:t>
      </w:r>
      <w:r w:rsidRPr="00223E5A">
        <w:rPr>
          <w:rFonts w:ascii="Arial Nova" w:hAnsi="Arial Nova" w:eastAsiaTheme="minorHAnsi"/>
          <w:b/>
          <w:bCs/>
          <w:color w:val="000000"/>
        </w:rPr>
        <w:t>These examples highlight the need for STD clinical training to improve the care that infected and at-risk individuals need.</w:t>
      </w:r>
      <w:r w:rsidRPr="00223E5A">
        <w:rPr>
          <w:rFonts w:ascii="Arial Nova" w:hAnsi="Arial Nova" w:eastAsiaTheme="minorHAnsi"/>
          <w:color w:val="000000"/>
        </w:rPr>
        <w:t xml:space="preserve"> </w:t>
      </w:r>
      <w:r w:rsidRPr="00223E5A">
        <w:rPr>
          <w:rFonts w:ascii="Arial Nova" w:hAnsi="Arial Nova" w:eastAsiaTheme="minorHAnsi"/>
          <w:sz w:val="23"/>
          <w:szCs w:val="23"/>
        </w:rPr>
        <w:t xml:space="preserve">With widespread availability of health insurance, STD care has shifted to primary care (PC) providers in some areas of the country, while STD clinics continue to provide the majority of STD care in others. </w:t>
      </w:r>
      <w:r w:rsidRPr="00223E5A">
        <w:rPr>
          <w:rFonts w:ascii="Arial Nova" w:hAnsi="Arial Nova" w:eastAsiaTheme="minorHAnsi"/>
        </w:rPr>
        <w:t xml:space="preserve">Even for the previously insured, health insurance coverage has extended to STD clinical preventive services. Consequently, there has been an expanded pool of clinicians who need to provide STD clinical preventive services and who need additional training and resources to increase their knowledge, skill, and capacity to screen, diagnose, treat and counsel those with STDs. </w:t>
      </w:r>
    </w:p>
    <w:p w:rsidR="002956FA" w:rsidRPr="00223E5A" w:rsidP="002956FA" w14:paraId="19481A1A" w14:textId="77777777">
      <w:pPr>
        <w:autoSpaceDE w:val="0"/>
        <w:autoSpaceDN w:val="0"/>
        <w:adjustRightInd w:val="0"/>
        <w:spacing w:line="276" w:lineRule="auto"/>
        <w:rPr>
          <w:rFonts w:ascii="Arial Nova" w:hAnsi="Arial Nova" w:eastAsiaTheme="minorHAnsi"/>
          <w:color w:val="000000"/>
        </w:rPr>
      </w:pPr>
    </w:p>
    <w:p w:rsidR="002956FA" w:rsidRPr="00223E5A" w:rsidP="002956FA" w14:paraId="7B2C6C12" w14:textId="77777777">
      <w:pPr>
        <w:spacing w:after="120" w:line="276" w:lineRule="auto"/>
        <w:rPr>
          <w:rFonts w:ascii="Arial Nova" w:hAnsi="Arial Nova"/>
          <w:b/>
        </w:rPr>
      </w:pPr>
      <w:r w:rsidRPr="00223E5A">
        <w:rPr>
          <w:rFonts w:ascii="Arial Nova" w:hAnsi="Arial Nova" w:eastAsiaTheme="minorHAnsi"/>
          <w:color w:val="000000"/>
        </w:rPr>
        <w:t xml:space="preserve">Guidelines and training are necessary but insufficient to change an individual provider’s clinical practice. In 2001, the IOM committee on the Quality of Health Care in America released a report entitled “Crossing the Quality Chasm: A New Health System for the 21st Century.” The report documents the causes of the quality gap, identifies current practices that impede quality care, and explores how systems approaches can be used to implement change, for example by promoting evidence-based practice and strengthening clinical information systems. </w:t>
      </w:r>
    </w:p>
    <w:p w:rsidR="00223E5A" w:rsidRPr="004819D3" w:rsidP="004819D3" w14:paraId="2C4DC6EA" w14:textId="07450414">
      <w:pPr>
        <w:spacing w:after="240" w:line="276" w:lineRule="auto"/>
        <w:rPr>
          <w:rFonts w:ascii="Arial Nova" w:hAnsi="Arial Nova"/>
        </w:rPr>
      </w:pPr>
      <w:r w:rsidRPr="00223E5A">
        <w:rPr>
          <w:rFonts w:ascii="Arial Nova" w:hAnsi="Arial Nova"/>
        </w:rPr>
        <w:t xml:space="preserve">In addition to completing the NNPTC HPAT, these 4,500 healthcare professionals will receive an email </w:t>
      </w:r>
      <w:r w:rsidRPr="00223E5A">
        <w:rPr>
          <w:rFonts w:ascii="Arial Nova" w:hAnsi="Arial Nova"/>
          <w:bCs/>
        </w:rPr>
        <w:t xml:space="preserve">(Att. </w:t>
      </w:r>
      <w:r>
        <w:rPr>
          <w:rFonts w:ascii="Arial Nova" w:hAnsi="Arial Nova"/>
          <w:bCs/>
        </w:rPr>
        <w:t>5</w:t>
      </w:r>
      <w:r w:rsidRPr="00223E5A">
        <w:rPr>
          <w:rFonts w:ascii="Arial Nova" w:hAnsi="Arial Nova"/>
          <w:bCs/>
        </w:rPr>
        <w:t xml:space="preserve"> &amp; </w:t>
      </w:r>
      <w:r>
        <w:rPr>
          <w:rFonts w:ascii="Arial Nova" w:hAnsi="Arial Nova"/>
          <w:bCs/>
        </w:rPr>
        <w:t>6</w:t>
      </w:r>
      <w:r w:rsidRPr="00223E5A">
        <w:rPr>
          <w:rFonts w:ascii="Arial Nova" w:hAnsi="Arial Nova"/>
          <w:bCs/>
        </w:rPr>
        <w:t>)</w:t>
      </w:r>
      <w:r w:rsidRPr="00223E5A">
        <w:rPr>
          <w:rFonts w:ascii="Arial Nova" w:hAnsi="Arial Nova"/>
          <w:b/>
        </w:rPr>
        <w:t xml:space="preserve"> </w:t>
      </w:r>
      <w:r w:rsidRPr="00223E5A">
        <w:rPr>
          <w:rFonts w:ascii="Arial Nova" w:hAnsi="Arial Nova"/>
        </w:rPr>
        <w:t>inviting them to complete an evaluation within days after training, may voluntarily complete that evaluation, will receive an email inviting them to complete a follow-up evaluation 3 months after training, and may voluntarily complete that long-term evaluation.  As a result, we anticipate 11,710 total respondent instances.</w:t>
      </w:r>
    </w:p>
    <w:p w:rsidR="00BA6914" w:rsidRPr="00223E5A" w:rsidP="00E23C89" w14:paraId="338E0002" w14:textId="77777777">
      <w:pPr>
        <w:spacing w:line="276" w:lineRule="auto"/>
        <w:rPr>
          <w:rFonts w:ascii="Arial Nova" w:hAnsi="Arial Nova" w:eastAsiaTheme="majorEastAsia" w:cstheme="minorHAnsi"/>
          <w:b/>
          <w:bCs/>
        </w:rPr>
      </w:pPr>
    </w:p>
    <w:p w:rsidR="00E23C89" w:rsidRPr="00223E5A" w:rsidP="00560BEB" w14:paraId="69A311BC" w14:textId="77777777">
      <w:pPr>
        <w:spacing w:line="276" w:lineRule="auto"/>
        <w:rPr>
          <w:rFonts w:ascii="Arial Nova" w:hAnsi="Arial Nova" w:eastAsiaTheme="majorEastAsia" w:cstheme="minorHAnsi"/>
          <w:b/>
          <w:bCs/>
          <w:i/>
        </w:rPr>
      </w:pPr>
      <w:r w:rsidRPr="00223E5A">
        <w:rPr>
          <w:rFonts w:ascii="Arial Nova" w:hAnsi="Arial Nova" w:eastAsiaTheme="majorEastAsia" w:cstheme="minorHAnsi"/>
          <w:b/>
          <w:bCs/>
          <w:i/>
        </w:rPr>
        <w:t xml:space="preserve">A2. Purpose and Use of the Information Collection </w:t>
      </w:r>
    </w:p>
    <w:p w:rsidR="00E76710" w:rsidRPr="00223E5A" w:rsidP="00AE6315" w14:paraId="72438A3E" w14:textId="1FD984D3">
      <w:pPr>
        <w:spacing w:line="276" w:lineRule="auto"/>
        <w:rPr>
          <w:rFonts w:ascii="Arial Nova" w:hAnsi="Arial Nova"/>
          <w:b/>
          <w:color w:val="C75000"/>
        </w:rPr>
      </w:pPr>
    </w:p>
    <w:p w:rsidR="00E76710" w:rsidRPr="00223E5A" w:rsidP="00E76710" w14:paraId="25E14BA4" w14:textId="2D0F4BAD">
      <w:pPr>
        <w:spacing w:after="120" w:line="276" w:lineRule="auto"/>
        <w:rPr>
          <w:rFonts w:ascii="Arial Nova" w:hAnsi="Arial Nova"/>
        </w:rPr>
      </w:pPr>
      <w:r w:rsidRPr="00223E5A">
        <w:rPr>
          <w:rFonts w:ascii="Arial Nova" w:hAnsi="Arial Nova"/>
        </w:rPr>
        <w:t>The purpose of this information collection is to monitor and evaluate the performance of the NNPTC grantees and the NNPTC program. The information will be collected from health professionals that can include physicians, nurses, nurse practitioners etc. that provide STD screening and treatment who register to attend NNPTC training and/or technical assistance sessions. Specifically</w:t>
      </w:r>
      <w:r w:rsidR="00CE5997">
        <w:rPr>
          <w:rFonts w:ascii="Arial Nova" w:hAnsi="Arial Nova"/>
        </w:rPr>
        <w:t>,</w:t>
      </w:r>
      <w:r w:rsidRPr="00223E5A">
        <w:rPr>
          <w:rFonts w:ascii="Arial Nova" w:hAnsi="Arial Nova"/>
        </w:rPr>
        <w:t xml:space="preserve"> this information will be used to: </w:t>
      </w:r>
    </w:p>
    <w:p w:rsidR="00E76710" w:rsidRPr="00223E5A" w:rsidP="00E76710" w14:paraId="4F1F95A3" w14:textId="77777777">
      <w:pPr>
        <w:pStyle w:val="ListParagraph"/>
        <w:numPr>
          <w:ilvl w:val="0"/>
          <w:numId w:val="4"/>
        </w:numPr>
        <w:spacing w:after="120" w:line="276" w:lineRule="auto"/>
        <w:rPr>
          <w:rFonts w:ascii="Arial Nova" w:hAnsi="Arial Nova"/>
        </w:rPr>
      </w:pPr>
      <w:r w:rsidRPr="00223E5A">
        <w:rPr>
          <w:rFonts w:ascii="Arial Nova" w:hAnsi="Arial Nova"/>
        </w:rPr>
        <w:t>Determine whether NNPTC grantees are reaching their target audiences</w:t>
      </w:r>
    </w:p>
    <w:p w:rsidR="00E76710" w:rsidRPr="00223E5A" w:rsidP="00E76710" w14:paraId="09BC7DDD" w14:textId="77777777">
      <w:pPr>
        <w:pStyle w:val="ListParagraph"/>
        <w:spacing w:after="120" w:line="276" w:lineRule="auto"/>
        <w:rPr>
          <w:rFonts w:ascii="Arial Nova" w:hAnsi="Arial Nova"/>
          <w:sz w:val="8"/>
          <w:szCs w:val="8"/>
        </w:rPr>
      </w:pPr>
    </w:p>
    <w:p w:rsidR="00E76710" w:rsidRPr="00223E5A" w:rsidP="00E76710" w14:paraId="1F352D20" w14:textId="77777777">
      <w:pPr>
        <w:pStyle w:val="ListParagraph"/>
        <w:numPr>
          <w:ilvl w:val="0"/>
          <w:numId w:val="3"/>
        </w:numPr>
        <w:spacing w:line="276" w:lineRule="auto"/>
        <w:rPr>
          <w:rFonts w:ascii="Arial Nova" w:hAnsi="Arial Nova"/>
        </w:rPr>
      </w:pPr>
      <w:r w:rsidRPr="00223E5A">
        <w:rPr>
          <w:rFonts w:ascii="Arial Nova" w:hAnsi="Arial Nova"/>
        </w:rPr>
        <w:t>Measure trainee satisfaction with NNPTC services</w:t>
      </w:r>
    </w:p>
    <w:p w:rsidR="00E76710" w:rsidRPr="00223E5A" w:rsidP="00E76710" w14:paraId="5610F40C" w14:textId="77777777">
      <w:pPr>
        <w:pStyle w:val="ListParagraph"/>
        <w:spacing w:line="276" w:lineRule="auto"/>
        <w:rPr>
          <w:rFonts w:ascii="Arial Nova" w:hAnsi="Arial Nova"/>
          <w:sz w:val="8"/>
          <w:szCs w:val="8"/>
        </w:rPr>
      </w:pPr>
    </w:p>
    <w:p w:rsidR="00E76710" w:rsidRPr="00223E5A" w:rsidP="00E76710" w14:paraId="636F5EE0" w14:textId="77777777">
      <w:pPr>
        <w:pStyle w:val="ListParagraph"/>
        <w:numPr>
          <w:ilvl w:val="0"/>
          <w:numId w:val="3"/>
        </w:numPr>
        <w:spacing w:line="276" w:lineRule="auto"/>
        <w:rPr>
          <w:rFonts w:ascii="Arial Nova" w:hAnsi="Arial Nova"/>
        </w:rPr>
      </w:pPr>
      <w:r w:rsidRPr="00223E5A">
        <w:rPr>
          <w:rFonts w:ascii="Arial Nova" w:hAnsi="Arial Nova"/>
        </w:rPr>
        <w:t>Measure the impact of training on health professionals’ implementation of recommended STD screening, diagnosis, and treatment practices in the short and long term</w:t>
      </w:r>
    </w:p>
    <w:p w:rsidR="00E76710" w:rsidRPr="00223E5A" w:rsidP="00E76710" w14:paraId="4297B481" w14:textId="77777777">
      <w:pPr>
        <w:pStyle w:val="ListParagraph"/>
        <w:spacing w:line="276" w:lineRule="auto"/>
        <w:rPr>
          <w:rFonts w:ascii="Arial Nova" w:hAnsi="Arial Nova"/>
          <w:sz w:val="8"/>
          <w:szCs w:val="8"/>
        </w:rPr>
      </w:pPr>
    </w:p>
    <w:p w:rsidR="00E76710" w:rsidRPr="00223E5A" w:rsidP="00E76710" w14:paraId="50F49FBD" w14:textId="77777777">
      <w:pPr>
        <w:pStyle w:val="ListParagraph"/>
        <w:numPr>
          <w:ilvl w:val="0"/>
          <w:numId w:val="3"/>
        </w:numPr>
        <w:spacing w:line="276" w:lineRule="auto"/>
        <w:rPr>
          <w:rFonts w:ascii="Arial Nova" w:hAnsi="Arial Nova"/>
        </w:rPr>
      </w:pPr>
      <w:r w:rsidRPr="00223E5A">
        <w:rPr>
          <w:rFonts w:ascii="Arial Nova" w:hAnsi="Arial Nova"/>
        </w:rPr>
        <w:t>Identify factors that correlate with practice changes</w:t>
      </w:r>
    </w:p>
    <w:p w:rsidR="00E76710" w:rsidRPr="00223E5A" w:rsidP="00E76710" w14:paraId="53A0FE8F" w14:textId="77777777">
      <w:pPr>
        <w:pStyle w:val="ListParagraph"/>
        <w:spacing w:line="276" w:lineRule="auto"/>
        <w:rPr>
          <w:rFonts w:ascii="Arial Nova" w:hAnsi="Arial Nova"/>
          <w:sz w:val="8"/>
          <w:szCs w:val="8"/>
        </w:rPr>
      </w:pPr>
    </w:p>
    <w:p w:rsidR="00E76710" w:rsidRPr="00223E5A" w:rsidP="00E76710" w14:paraId="6252992D" w14:textId="77777777">
      <w:pPr>
        <w:pStyle w:val="ListParagraph"/>
        <w:numPr>
          <w:ilvl w:val="0"/>
          <w:numId w:val="3"/>
        </w:numPr>
        <w:spacing w:line="276" w:lineRule="auto"/>
        <w:rPr>
          <w:rFonts w:ascii="Arial Nova" w:hAnsi="Arial Nova"/>
        </w:rPr>
      </w:pPr>
      <w:r w:rsidRPr="00223E5A">
        <w:rPr>
          <w:rFonts w:ascii="Arial Nova" w:hAnsi="Arial Nova"/>
        </w:rPr>
        <w:t>Identify and address programmatic areas needing improvement</w:t>
      </w:r>
    </w:p>
    <w:p w:rsidR="00E76710" w:rsidRPr="00223E5A" w:rsidP="00E76710" w14:paraId="15CB3C66" w14:textId="77777777">
      <w:pPr>
        <w:pStyle w:val="ListParagraph"/>
        <w:spacing w:line="276" w:lineRule="auto"/>
        <w:rPr>
          <w:rFonts w:ascii="Arial Nova" w:hAnsi="Arial Nova"/>
          <w:sz w:val="8"/>
          <w:szCs w:val="8"/>
        </w:rPr>
      </w:pPr>
    </w:p>
    <w:p w:rsidR="00E76710" w:rsidRPr="00223E5A" w:rsidP="00E76710" w14:paraId="30D8E1DC" w14:textId="77777777">
      <w:pPr>
        <w:pStyle w:val="ListParagraph"/>
        <w:numPr>
          <w:ilvl w:val="0"/>
          <w:numId w:val="3"/>
        </w:numPr>
        <w:spacing w:after="120" w:line="276" w:lineRule="auto"/>
        <w:rPr>
          <w:rFonts w:ascii="Arial Nova" w:hAnsi="Arial Nova"/>
        </w:rPr>
      </w:pPr>
      <w:r w:rsidRPr="00223E5A">
        <w:rPr>
          <w:rFonts w:ascii="Arial Nova" w:hAnsi="Arial Nova"/>
        </w:rPr>
        <w:t>Provide timely, current, and accurate information in response to requests from Executive Branch officials, the Congress, constituents, or other federal, state, and local agencies concerning the needs of grantees and the types and quality of NNPTC services delivered.</w:t>
      </w:r>
    </w:p>
    <w:p w:rsidR="00E76710" w:rsidRPr="00223E5A" w:rsidP="00E76710" w14:paraId="0B5D6F5F" w14:textId="77777777">
      <w:pPr>
        <w:spacing w:line="276" w:lineRule="auto"/>
        <w:rPr>
          <w:rFonts w:ascii="Arial Nova" w:hAnsi="Arial Nova"/>
        </w:rPr>
      </w:pPr>
      <w:r w:rsidRPr="00223E5A">
        <w:rPr>
          <w:rFonts w:ascii="Arial Nova" w:hAnsi="Arial Nova"/>
        </w:rPr>
        <w:t>DSTDP will disseminate the summarized information through reports to DSTDP and the NNPTC, and possibly publications or presentations. All data will be published in the aggregate. No individual health professional will be identified in publications.</w:t>
      </w:r>
    </w:p>
    <w:p w:rsidR="00E76710" w:rsidRPr="00223E5A" w:rsidP="00E76710" w14:paraId="1A8636B4" w14:textId="77777777">
      <w:pPr>
        <w:spacing w:line="276" w:lineRule="auto"/>
        <w:rPr>
          <w:rFonts w:ascii="Arial Nova" w:hAnsi="Arial Nova"/>
        </w:rPr>
      </w:pPr>
    </w:p>
    <w:p w:rsidR="00E76710" w:rsidRPr="00223E5A" w:rsidP="00E76710" w14:paraId="29ED4ACB" w14:textId="3BB94A4B">
      <w:pPr>
        <w:spacing w:line="276" w:lineRule="auto"/>
        <w:rPr>
          <w:rFonts w:ascii="Arial Nova" w:hAnsi="Arial Nova"/>
        </w:rPr>
      </w:pPr>
      <w:r w:rsidRPr="004819D3">
        <w:rPr>
          <w:rFonts w:ascii="Arial Nova" w:hAnsi="Arial Nova"/>
        </w:rPr>
        <w:t xml:space="preserve">Information is collected at </w:t>
      </w:r>
      <w:r>
        <w:rPr>
          <w:rFonts w:ascii="Arial Nova" w:hAnsi="Arial Nova"/>
        </w:rPr>
        <w:t>five</w:t>
      </w:r>
      <w:r w:rsidRPr="004819D3">
        <w:rPr>
          <w:rFonts w:ascii="Arial Nova" w:hAnsi="Arial Nova"/>
        </w:rPr>
        <w:t xml:space="preserve"> points in time: first at registration, and then in </w:t>
      </w:r>
      <w:r>
        <w:rPr>
          <w:rFonts w:ascii="Arial Nova" w:hAnsi="Arial Nova"/>
        </w:rPr>
        <w:t>four</w:t>
      </w:r>
      <w:r w:rsidRPr="004819D3">
        <w:rPr>
          <w:rFonts w:ascii="Arial Nova" w:hAnsi="Arial Nova"/>
        </w:rPr>
        <w:t xml:space="preserve"> different </w:t>
      </w:r>
      <w:r>
        <w:rPr>
          <w:rFonts w:ascii="Arial Nova" w:hAnsi="Arial Nova"/>
        </w:rPr>
        <w:t>post-training</w:t>
      </w:r>
      <w:r w:rsidRPr="004819D3">
        <w:rPr>
          <w:rFonts w:ascii="Arial Nova" w:hAnsi="Arial Nova"/>
        </w:rPr>
        <w:t xml:space="preserve"> surveys.  Respondents are asked to complete different </w:t>
      </w:r>
      <w:r>
        <w:rPr>
          <w:rFonts w:ascii="Arial Nova" w:hAnsi="Arial Nova"/>
        </w:rPr>
        <w:t>post-training evaluation</w:t>
      </w:r>
      <w:r w:rsidRPr="004819D3">
        <w:rPr>
          <w:rFonts w:ascii="Arial Nova" w:hAnsi="Arial Nova"/>
        </w:rPr>
        <w:t xml:space="preserve"> surveys, depending on the type of training or technical assistance received.  </w:t>
      </w:r>
      <w:r w:rsidRPr="00223E5A">
        <w:rPr>
          <w:rFonts w:ascii="Arial Nova" w:hAnsi="Arial Nova"/>
        </w:rPr>
        <w:t>Health professionals wanting to attend NNPTC training will complete the NNPTC Abbreviated Health Professional Application for Training (NNPTC HPAT) (</w:t>
      </w:r>
      <w:r w:rsidRPr="00223E5A">
        <w:rPr>
          <w:rFonts w:ascii="Arial Nova" w:hAnsi="Arial Nova"/>
          <w:b/>
        </w:rPr>
        <w:t xml:space="preserve">Att </w:t>
      </w:r>
      <w:r w:rsidR="00FB0CDE">
        <w:rPr>
          <w:rFonts w:ascii="Arial Nova" w:hAnsi="Arial Nova"/>
          <w:b/>
        </w:rPr>
        <w:t>3</w:t>
      </w:r>
      <w:r w:rsidRPr="00223E5A">
        <w:rPr>
          <w:rFonts w:ascii="Arial Nova" w:hAnsi="Arial Nova"/>
        </w:rPr>
        <w:t xml:space="preserve">) as part of registration for training and technical assistance services. The Abbreviated HPAT is administered online through an NNPTC Learning Management System 95% of the time (or by paper 5% of the time if the registration process needs to be administered at the training site).  </w:t>
      </w:r>
    </w:p>
    <w:p w:rsidR="00E76710" w:rsidRPr="00223E5A" w:rsidP="00E76710" w14:paraId="0F5B1874" w14:textId="77777777">
      <w:pPr>
        <w:spacing w:line="276" w:lineRule="auto"/>
        <w:rPr>
          <w:rFonts w:ascii="Arial Nova" w:hAnsi="Arial Nova"/>
        </w:rPr>
      </w:pPr>
    </w:p>
    <w:p w:rsidR="00E76710" w:rsidRPr="00223E5A" w:rsidP="00E76710" w14:paraId="34C5D14A" w14:textId="2837288A">
      <w:pPr>
        <w:spacing w:line="276" w:lineRule="auto"/>
        <w:rPr>
          <w:rFonts w:ascii="Arial Nova" w:hAnsi="Arial Nova"/>
        </w:rPr>
      </w:pPr>
      <w:r w:rsidRPr="00223E5A">
        <w:rPr>
          <w:rFonts w:ascii="Arial Nova" w:hAnsi="Arial Nova"/>
        </w:rPr>
        <w:t>After NNPTC training or technical assistance has been delivered, the Learning Management System automatically sends each registrant an email invitation to complete an on-line Post-Course Evaluation Instrument corresponding to the type of training attended or type of technical assistance received.  The invitation contains a link to the appropriate online Post-Course Evaluation Instrument</w:t>
      </w:r>
      <w:r w:rsidRPr="00223E5A">
        <w:rPr>
          <w:rFonts w:ascii="Arial Nova" w:hAnsi="Arial Nova"/>
          <w:b/>
        </w:rPr>
        <w:t>.</w:t>
      </w:r>
      <w:r w:rsidRPr="00223E5A">
        <w:rPr>
          <w:rFonts w:ascii="Arial Nova" w:hAnsi="Arial Nova"/>
        </w:rPr>
        <w:t xml:space="preserve">  Email invitations </w:t>
      </w:r>
      <w:r w:rsidRPr="00223E5A">
        <w:rPr>
          <w:rFonts w:ascii="Arial Nova" w:hAnsi="Arial Nova"/>
          <w:b/>
        </w:rPr>
        <w:t xml:space="preserve">(Att </w:t>
      </w:r>
      <w:r w:rsidR="00FB0CDE">
        <w:rPr>
          <w:rFonts w:ascii="Arial Nova" w:hAnsi="Arial Nova"/>
          <w:b/>
        </w:rPr>
        <w:t>5</w:t>
      </w:r>
      <w:r w:rsidRPr="00223E5A">
        <w:rPr>
          <w:rFonts w:ascii="Arial Nova" w:hAnsi="Arial Nova"/>
          <w:b/>
        </w:rPr>
        <w:t xml:space="preserve">) </w:t>
      </w:r>
      <w:r w:rsidRPr="00223E5A">
        <w:rPr>
          <w:rFonts w:ascii="Arial Nova" w:hAnsi="Arial Nova"/>
        </w:rPr>
        <w:t xml:space="preserve">are sent after the end of the training session and again approximately 3 and 6 days after the first email to those who have not </w:t>
      </w:r>
      <w:r w:rsidRPr="00223E5A">
        <w:rPr>
          <w:rFonts w:ascii="Arial Nova" w:hAnsi="Arial Nova"/>
        </w:rPr>
        <w:t>responded. Approximately</w:t>
      </w:r>
      <w:r w:rsidRPr="00223E5A">
        <w:rPr>
          <w:rFonts w:ascii="Arial Nova" w:hAnsi="Arial Nova"/>
          <w:b/>
        </w:rPr>
        <w:t xml:space="preserve"> </w:t>
      </w:r>
      <w:r w:rsidRPr="00223E5A">
        <w:rPr>
          <w:rFonts w:ascii="Arial Nova" w:hAnsi="Arial Nova"/>
        </w:rPr>
        <w:t>90 days after the training or technical assistance the NNPTC’s Learning Management System sends an email invitation with a link to an online Long</w:t>
      </w:r>
      <w:r w:rsidRPr="00223E5A" w:rsidR="007516FB">
        <w:rPr>
          <w:rFonts w:ascii="Arial Nova" w:hAnsi="Arial Nova"/>
        </w:rPr>
        <w:t>-</w:t>
      </w:r>
      <w:r w:rsidRPr="00223E5A">
        <w:rPr>
          <w:rFonts w:ascii="Arial Nova" w:hAnsi="Arial Nova"/>
        </w:rPr>
        <w:t xml:space="preserve">Term Evaluation Instrument corresponding to the training attended </w:t>
      </w:r>
      <w:r w:rsidRPr="00223E5A">
        <w:rPr>
          <w:rFonts w:ascii="Arial Nova" w:hAnsi="Arial Nova"/>
          <w:b/>
        </w:rPr>
        <w:t xml:space="preserve">(Att </w:t>
      </w:r>
      <w:r w:rsidR="00FB0CDE">
        <w:rPr>
          <w:rFonts w:ascii="Arial Nova" w:hAnsi="Arial Nova"/>
          <w:b/>
        </w:rPr>
        <w:t>7</w:t>
      </w:r>
      <w:r w:rsidRPr="00223E5A">
        <w:rPr>
          <w:rFonts w:ascii="Arial Nova" w:hAnsi="Arial Nova"/>
          <w:b/>
        </w:rPr>
        <w:t>)</w:t>
      </w:r>
      <w:r w:rsidRPr="00223E5A">
        <w:rPr>
          <w:rFonts w:ascii="Arial Nova" w:hAnsi="Arial Nova"/>
        </w:rPr>
        <w:t>. This invitation is sent again approximately 3 and 6 days after the first invitation to those who have not completed the Long</w:t>
      </w:r>
      <w:r w:rsidRPr="00223E5A" w:rsidR="007516FB">
        <w:rPr>
          <w:rFonts w:ascii="Arial Nova" w:hAnsi="Arial Nova"/>
        </w:rPr>
        <w:t>-</w:t>
      </w:r>
      <w:r w:rsidRPr="00223E5A">
        <w:rPr>
          <w:rFonts w:ascii="Arial Nova" w:hAnsi="Arial Nova"/>
        </w:rPr>
        <w:t xml:space="preserve">Term Evaluation Instrument.  </w:t>
      </w:r>
    </w:p>
    <w:p w:rsidR="00E76710" w:rsidRPr="00223E5A" w:rsidP="00E76710" w14:paraId="23FAD1BC" w14:textId="77777777">
      <w:pPr>
        <w:spacing w:line="276" w:lineRule="auto"/>
        <w:rPr>
          <w:rFonts w:ascii="Arial Nova" w:hAnsi="Arial Nova"/>
        </w:rPr>
      </w:pPr>
    </w:p>
    <w:p w:rsidR="00E76710" w:rsidRPr="00223E5A" w:rsidP="00E76710" w14:paraId="684CE892" w14:textId="2000C69C">
      <w:pPr>
        <w:spacing w:line="276" w:lineRule="auto"/>
        <w:rPr>
          <w:rFonts w:ascii="Arial Nova" w:hAnsi="Arial Nova"/>
        </w:rPr>
      </w:pPr>
      <w:r w:rsidRPr="00223E5A">
        <w:rPr>
          <w:rFonts w:ascii="Arial Nova" w:hAnsi="Arial Nova"/>
        </w:rPr>
        <w:t xml:space="preserve">In the 2015 development phase, all data collection tools were informally reviewed by 108 NNPTC healthcare professional trainees and 22 NNPTC staff.  NO data were collected, only comments. Feedback from reviewers was used to refine questions as needed, ensure accurate </w:t>
      </w:r>
      <w:r w:rsidRPr="00223E5A" w:rsidR="007516FB">
        <w:rPr>
          <w:rFonts w:ascii="Arial Nova" w:hAnsi="Arial Nova"/>
        </w:rPr>
        <w:t>programming,</w:t>
      </w:r>
      <w:r w:rsidRPr="00223E5A">
        <w:rPr>
          <w:rFonts w:ascii="Arial Nova" w:hAnsi="Arial Nova"/>
        </w:rPr>
        <w:t xml:space="preserve"> and skip patterns and establish the estimated time required to complete the information collection instruments. </w:t>
      </w:r>
      <w:r w:rsidR="004819D3">
        <w:rPr>
          <w:rFonts w:ascii="Arial Nova" w:hAnsi="Arial Nova"/>
        </w:rPr>
        <w:t>In October</w:t>
      </w:r>
      <w:r w:rsidRPr="004819D3" w:rsidR="004819D3">
        <w:rPr>
          <w:rFonts w:ascii="Arial Nova" w:hAnsi="Arial Nova"/>
        </w:rPr>
        <w:t xml:space="preserve"> 2022</w:t>
      </w:r>
      <w:r w:rsidR="004819D3">
        <w:rPr>
          <w:rFonts w:ascii="Arial Nova" w:hAnsi="Arial Nova"/>
        </w:rPr>
        <w:t>,</w:t>
      </w:r>
      <w:r w:rsidRPr="004819D3" w:rsidR="004819D3">
        <w:rPr>
          <w:rFonts w:ascii="Arial Nova" w:hAnsi="Arial Nova"/>
        </w:rPr>
        <w:t xml:space="preserve"> changes were </w:t>
      </w:r>
      <w:r w:rsidR="004819D3">
        <w:rPr>
          <w:rFonts w:ascii="Arial Nova" w:hAnsi="Arial Nova"/>
        </w:rPr>
        <w:t>approved for a</w:t>
      </w:r>
      <w:r w:rsidRPr="004819D3" w:rsidR="004819D3">
        <w:rPr>
          <w:rFonts w:ascii="Arial Nova" w:hAnsi="Arial Nova"/>
        </w:rPr>
        <w:t xml:space="preserve"> number of instruments to</w:t>
      </w:r>
      <w:r w:rsidRPr="008E0F93" w:rsidR="008E0F93">
        <w:rPr>
          <w:rFonts w:ascii="Arial Nova" w:hAnsi="Arial Nova"/>
        </w:rPr>
        <w:t xml:space="preserve"> reduce </w:t>
      </w:r>
      <w:r w:rsidR="008E0F93">
        <w:rPr>
          <w:rFonts w:ascii="Arial Nova" w:hAnsi="Arial Nova"/>
        </w:rPr>
        <w:t>recipient</w:t>
      </w:r>
      <w:r w:rsidRPr="008E0F93" w:rsidR="008E0F93">
        <w:rPr>
          <w:rFonts w:ascii="Arial Nova" w:hAnsi="Arial Nova"/>
        </w:rPr>
        <w:t xml:space="preserve"> burden in administering instruments and increase precision in data collection.</w:t>
      </w:r>
    </w:p>
    <w:p w:rsidR="00E76710" w:rsidRPr="00223E5A" w:rsidP="00E76710" w14:paraId="6983099F" w14:textId="77777777">
      <w:pPr>
        <w:spacing w:line="276" w:lineRule="auto"/>
        <w:rPr>
          <w:rFonts w:ascii="Arial Nova" w:hAnsi="Arial Nova"/>
          <w:u w:val="single"/>
        </w:rPr>
      </w:pPr>
    </w:p>
    <w:p w:rsidR="00E76710" w:rsidRPr="00223E5A" w:rsidP="00E76710" w14:paraId="6314F7C5" w14:textId="50FC1927">
      <w:pPr>
        <w:spacing w:line="276" w:lineRule="auto"/>
        <w:rPr>
          <w:rFonts w:ascii="Arial Nova" w:hAnsi="Arial Nova"/>
        </w:rPr>
      </w:pPr>
      <w:r w:rsidRPr="00223E5A">
        <w:rPr>
          <w:rFonts w:ascii="Arial Nova" w:hAnsi="Arial Nova"/>
        </w:rPr>
        <w:t>The information collection system consists of fi</w:t>
      </w:r>
      <w:r w:rsidRPr="00223E5A" w:rsidR="007516FB">
        <w:rPr>
          <w:rFonts w:ascii="Arial Nova" w:hAnsi="Arial Nova"/>
        </w:rPr>
        <w:t>ve</w:t>
      </w:r>
      <w:r w:rsidRPr="00223E5A">
        <w:rPr>
          <w:rFonts w:ascii="Arial Nova" w:hAnsi="Arial Nova"/>
        </w:rPr>
        <w:t xml:space="preserve"> instruments administered to the recipients of NNPTC training and TA: 1) NNPTC HPAT (</w:t>
      </w:r>
      <w:r w:rsidRPr="00223E5A">
        <w:rPr>
          <w:rFonts w:ascii="Arial Nova" w:hAnsi="Arial Nova"/>
          <w:b/>
        </w:rPr>
        <w:t xml:space="preserve">Att </w:t>
      </w:r>
      <w:r w:rsidR="00FB0CDE">
        <w:rPr>
          <w:rFonts w:ascii="Arial Nova" w:hAnsi="Arial Nova"/>
          <w:b/>
        </w:rPr>
        <w:t>3</w:t>
      </w:r>
      <w:r w:rsidRPr="00223E5A">
        <w:rPr>
          <w:rFonts w:ascii="Arial Nova" w:hAnsi="Arial Nova"/>
          <w:b/>
        </w:rPr>
        <w:t xml:space="preserve">) </w:t>
      </w:r>
      <w:r w:rsidRPr="00223E5A">
        <w:rPr>
          <w:rFonts w:ascii="Arial Nova" w:hAnsi="Arial Nova"/>
        </w:rPr>
        <w:t>and 2) 4 Post-Course and Long term Evaluation Instruments (</w:t>
      </w:r>
      <w:r w:rsidRPr="00223E5A">
        <w:rPr>
          <w:rFonts w:ascii="Arial Nova" w:hAnsi="Arial Nova"/>
          <w:b/>
        </w:rPr>
        <w:t xml:space="preserve">Att </w:t>
      </w:r>
      <w:r w:rsidR="00FB0CDE">
        <w:rPr>
          <w:rFonts w:ascii="Arial Nova" w:hAnsi="Arial Nova"/>
          <w:b/>
        </w:rPr>
        <w:t xml:space="preserve"> 9</w:t>
      </w:r>
      <w:r w:rsidRPr="00223E5A" w:rsidR="007516FB">
        <w:rPr>
          <w:rFonts w:ascii="Arial Nova" w:hAnsi="Arial Nova"/>
          <w:b/>
        </w:rPr>
        <w:t xml:space="preserve"> - 1</w:t>
      </w:r>
      <w:r w:rsidR="00FB0CDE">
        <w:rPr>
          <w:rFonts w:ascii="Arial Nova" w:hAnsi="Arial Nova"/>
          <w:b/>
        </w:rPr>
        <w:t>6</w:t>
      </w:r>
      <w:r w:rsidRPr="00223E5A">
        <w:rPr>
          <w:rFonts w:ascii="Arial Nova" w:hAnsi="Arial Nova"/>
        </w:rPr>
        <w:t>).  Only one set of post-course and long-term evaluation instruments is administered per training event. The type of information collected with each instrument is described below.</w:t>
      </w:r>
    </w:p>
    <w:p w:rsidR="00E76710" w:rsidRPr="00223E5A" w:rsidP="00E76710" w14:paraId="367226B2" w14:textId="77777777">
      <w:pPr>
        <w:spacing w:line="276" w:lineRule="auto"/>
        <w:rPr>
          <w:rFonts w:ascii="Arial Nova" w:hAnsi="Arial Nova"/>
        </w:rPr>
      </w:pPr>
    </w:p>
    <w:p w:rsidR="00E76710" w:rsidRPr="00223E5A" w:rsidP="00E76710" w14:paraId="5443443E" w14:textId="2B4765FD">
      <w:pPr>
        <w:spacing w:line="276" w:lineRule="auto"/>
        <w:rPr>
          <w:rFonts w:ascii="Arial Nova" w:hAnsi="Arial Nova"/>
        </w:rPr>
      </w:pPr>
      <w:r w:rsidRPr="00223E5A">
        <w:rPr>
          <w:rFonts w:ascii="Arial Nova" w:hAnsi="Arial Nova"/>
        </w:rPr>
        <w:t>The Abbreviated HPAT</w:t>
      </w:r>
      <w:r w:rsidRPr="00223E5A">
        <w:rPr>
          <w:rFonts w:ascii="Arial Nova" w:hAnsi="Arial Nova"/>
          <w:b/>
        </w:rPr>
        <w:t xml:space="preserve"> (Att </w:t>
      </w:r>
      <w:r w:rsidR="005F6EA4">
        <w:rPr>
          <w:rFonts w:ascii="Arial Nova" w:hAnsi="Arial Nova"/>
          <w:b/>
        </w:rPr>
        <w:t>3</w:t>
      </w:r>
      <w:r w:rsidRPr="00223E5A">
        <w:rPr>
          <w:rFonts w:ascii="Arial Nova" w:hAnsi="Arial Nova"/>
          <w:b/>
        </w:rPr>
        <w:t>)</w:t>
      </w:r>
      <w:r w:rsidR="004819D3">
        <w:rPr>
          <w:rFonts w:ascii="Arial Nova" w:hAnsi="Arial Nova"/>
          <w:b/>
        </w:rPr>
        <w:t xml:space="preserve"> </w:t>
      </w:r>
      <w:r w:rsidRPr="00223E5A">
        <w:rPr>
          <w:rFonts w:ascii="Arial Nova" w:hAnsi="Arial Nova"/>
        </w:rPr>
        <w:t>standardizes the training registration process across the NNPTC. Th</w:t>
      </w:r>
      <w:r w:rsidR="005F6EA4">
        <w:rPr>
          <w:rFonts w:ascii="Arial Nova" w:hAnsi="Arial Nova"/>
        </w:rPr>
        <w:t xml:space="preserve">is </w:t>
      </w:r>
      <w:r w:rsidRPr="00223E5A" w:rsidR="005F6EA4">
        <w:rPr>
          <w:rFonts w:ascii="Arial Nova" w:hAnsi="Arial Nova"/>
        </w:rPr>
        <w:t xml:space="preserve">data collection </w:t>
      </w:r>
      <w:r w:rsidRPr="00223E5A">
        <w:rPr>
          <w:rFonts w:ascii="Arial Nova" w:hAnsi="Arial Nova"/>
        </w:rPr>
        <w:t>instrument collects information from trainees on their professions, functional roles, principal employment settings, location of their work settings, programmatic and population foci of their work, and characteristics of patients/clients served. The Abbreviated HPAT also collects the trainee’s workplace contact information, race, ethnicity,</w:t>
      </w:r>
      <w:r w:rsidR="001B4B21">
        <w:rPr>
          <w:rFonts w:ascii="Arial Nova" w:hAnsi="Arial Nova"/>
        </w:rPr>
        <w:t xml:space="preserve"> </w:t>
      </w:r>
      <w:r w:rsidRPr="00223E5A">
        <w:rPr>
          <w:rFonts w:ascii="Arial Nova" w:hAnsi="Arial Nova"/>
        </w:rPr>
        <w:t xml:space="preserve">and </w:t>
      </w:r>
      <w:r w:rsidR="00C03DB4">
        <w:rPr>
          <w:rFonts w:ascii="Arial Nova" w:hAnsi="Arial Nova"/>
        </w:rPr>
        <w:t>sex</w:t>
      </w:r>
      <w:r w:rsidRPr="00223E5A">
        <w:rPr>
          <w:rFonts w:ascii="Arial Nova" w:hAnsi="Arial Nova"/>
        </w:rPr>
        <w:t xml:space="preserve">.  This data collection provides CDC with information to determine whether the NNPTC is reaching its target audiences in terms of provider type, the types of organizations in which participants work, the focus of their work and the population groups and geographic areas served.  The Abbreviated HPAT is also used to monitor and evaluate performance of Prevention Training Center grantees funded by CDC/Division of STD Prevention (DSTDP) that offer STD prevention training and TA to health professionals.  </w:t>
      </w:r>
    </w:p>
    <w:p w:rsidR="00E76710" w:rsidRPr="00223E5A" w:rsidP="00E76710" w14:paraId="339DE69A" w14:textId="77777777">
      <w:pPr>
        <w:spacing w:line="276" w:lineRule="auto"/>
        <w:rPr>
          <w:rFonts w:ascii="Arial Nova" w:hAnsi="Arial Nova"/>
        </w:rPr>
      </w:pPr>
    </w:p>
    <w:p w:rsidR="00E76710" w:rsidRPr="00223E5A" w:rsidP="00EA5817" w14:paraId="4BA460E2" w14:textId="541E3D14">
      <w:pPr>
        <w:spacing w:after="120" w:line="276" w:lineRule="auto"/>
        <w:rPr>
          <w:rFonts w:ascii="Arial Nova" w:hAnsi="Arial Nova"/>
        </w:rPr>
      </w:pPr>
      <w:r w:rsidRPr="00223E5A">
        <w:rPr>
          <w:rFonts w:ascii="Arial Nova" w:hAnsi="Arial Nova"/>
        </w:rPr>
        <w:t xml:space="preserve">The Evaluation Instruments </w:t>
      </w:r>
      <w:r w:rsidRPr="00223E5A">
        <w:rPr>
          <w:rFonts w:ascii="Arial Nova" w:hAnsi="Arial Nova"/>
          <w:b/>
        </w:rPr>
        <w:t xml:space="preserve">(Att </w:t>
      </w:r>
      <w:r w:rsidR="005F6EA4">
        <w:rPr>
          <w:rFonts w:ascii="Arial Nova" w:hAnsi="Arial Nova"/>
          <w:b/>
        </w:rPr>
        <w:t xml:space="preserve">9 </w:t>
      </w:r>
      <w:r w:rsidRPr="00223E5A" w:rsidR="0076746C">
        <w:rPr>
          <w:rFonts w:ascii="Arial Nova" w:hAnsi="Arial Nova"/>
          <w:b/>
        </w:rPr>
        <w:t>- 1</w:t>
      </w:r>
      <w:r w:rsidR="005F6EA4">
        <w:rPr>
          <w:rFonts w:ascii="Arial Nova" w:hAnsi="Arial Nova"/>
          <w:b/>
        </w:rPr>
        <w:t>6</w:t>
      </w:r>
      <w:r w:rsidRPr="00223E5A">
        <w:rPr>
          <w:rFonts w:ascii="Arial Nova" w:hAnsi="Arial Nova"/>
          <w:b/>
        </w:rPr>
        <w:t>)</w:t>
      </w:r>
      <w:r w:rsidRPr="00223E5A" w:rsidR="00B7211D">
        <w:rPr>
          <w:rFonts w:ascii="Arial Nova" w:hAnsi="Arial Nova"/>
          <w:b/>
        </w:rPr>
        <w:t xml:space="preserve"> </w:t>
      </w:r>
      <w:r w:rsidR="00FF5FE6">
        <w:rPr>
          <w:rFonts w:ascii="Arial Nova" w:hAnsi="Arial Nova"/>
          <w:bCs/>
        </w:rPr>
        <w:t>consist of four</w:t>
      </w:r>
      <w:r w:rsidRPr="00223E5A" w:rsidR="00EA5817">
        <w:rPr>
          <w:rFonts w:ascii="Arial Nova" w:hAnsi="Arial Nova"/>
        </w:rPr>
        <w:t xml:space="preserve"> post-course evaluation instruments. The </w:t>
      </w:r>
      <w:r w:rsidR="00FF5FE6">
        <w:rPr>
          <w:rFonts w:ascii="Arial Nova" w:hAnsi="Arial Nova"/>
        </w:rPr>
        <w:t xml:space="preserve">post-course evaluation </w:t>
      </w:r>
      <w:r w:rsidRPr="00223E5A" w:rsidR="00EA5817">
        <w:rPr>
          <w:rFonts w:ascii="Arial Nova" w:hAnsi="Arial Nova"/>
        </w:rPr>
        <w:t xml:space="preserve">questions </w:t>
      </w:r>
      <w:r w:rsidRPr="00223E5A">
        <w:rPr>
          <w:rFonts w:ascii="Arial Nova" w:hAnsi="Arial Nova"/>
        </w:rPr>
        <w:t xml:space="preserve">consist of 80 questions: </w:t>
      </w:r>
      <w:r w:rsidRPr="00223E5A" w:rsidR="005F61E4">
        <w:rPr>
          <w:rFonts w:ascii="Arial Nova" w:hAnsi="Arial Nova"/>
        </w:rPr>
        <w:t xml:space="preserve">40 </w:t>
      </w:r>
      <w:r w:rsidRPr="00223E5A">
        <w:rPr>
          <w:rFonts w:ascii="Arial Nova" w:hAnsi="Arial Nova"/>
        </w:rPr>
        <w:t>closed-ended questions, 3</w:t>
      </w:r>
      <w:r w:rsidRPr="00223E5A" w:rsidR="005F61E4">
        <w:rPr>
          <w:rFonts w:ascii="Arial Nova" w:hAnsi="Arial Nova"/>
        </w:rPr>
        <w:t>7</w:t>
      </w:r>
      <w:r w:rsidRPr="00223E5A">
        <w:rPr>
          <w:rFonts w:ascii="Arial Nova" w:hAnsi="Arial Nova"/>
        </w:rPr>
        <w:t xml:space="preserve"> paired retrospective before-after practice pattern questions with questions on the follow-up evaluation, and </w:t>
      </w:r>
      <w:r w:rsidRPr="00223E5A" w:rsidR="005F61E4">
        <w:rPr>
          <w:rFonts w:ascii="Arial Nova" w:hAnsi="Arial Nova"/>
        </w:rPr>
        <w:t>3</w:t>
      </w:r>
      <w:r w:rsidRPr="00223E5A">
        <w:rPr>
          <w:rFonts w:ascii="Arial Nova" w:hAnsi="Arial Nova"/>
        </w:rPr>
        <w:t xml:space="preserve"> open-ended questions designed to elicit information from NNPTC clients about their satisfaction with training and trainers, changes in knowledge, skills, self-efficacy as a result of training, intention to implement at least one change in practice based on the training or TA, and barriers to change.  Questions are of various types including multiple response, Likert scale, retrospective assessments of confidence to demonstrate knowledge and skills, and open ended. Effort was made to limit questions requiring narrative responses </w:t>
      </w:r>
      <w:r w:rsidRPr="00223E5A">
        <w:rPr>
          <w:rFonts w:ascii="Arial Nova" w:hAnsi="Arial Nova"/>
        </w:rPr>
        <w:t xml:space="preserve">and include optional narrative questions for respondents to elaborate on their feedback if they choose to do so. There are </w:t>
      </w:r>
      <w:r w:rsidRPr="00223E5A" w:rsidR="0076746C">
        <w:rPr>
          <w:rFonts w:ascii="Arial Nova" w:hAnsi="Arial Nova"/>
        </w:rPr>
        <w:t>two</w:t>
      </w:r>
      <w:r w:rsidRPr="00223E5A">
        <w:rPr>
          <w:rFonts w:ascii="Arial Nova" w:hAnsi="Arial Nova"/>
        </w:rPr>
        <w:t xml:space="preserve"> Post-Course Evaluation Instruments that correspond to the content and length of training session and </w:t>
      </w:r>
      <w:r w:rsidRPr="00223E5A" w:rsidR="0076746C">
        <w:rPr>
          <w:rFonts w:ascii="Arial Nova" w:hAnsi="Arial Nova"/>
        </w:rPr>
        <w:t xml:space="preserve">two </w:t>
      </w:r>
      <w:r w:rsidRPr="00223E5A">
        <w:rPr>
          <w:rFonts w:ascii="Arial Nova" w:hAnsi="Arial Nova"/>
        </w:rPr>
        <w:t xml:space="preserve">corresponding Long-Term Evaluation Instruments. Collection of data using the NNPTC HPAT and the Evaluation Instruments estimates the burden to a total of </w:t>
      </w:r>
      <w:r w:rsidR="00AD5861">
        <w:rPr>
          <w:rFonts w:ascii="Arial Nova" w:hAnsi="Arial Nova"/>
        </w:rPr>
        <w:t>453</w:t>
      </w:r>
      <w:r w:rsidRPr="00223E5A">
        <w:rPr>
          <w:rFonts w:ascii="Arial Nova" w:hAnsi="Arial Nova"/>
        </w:rPr>
        <w:t xml:space="preserve"> hours (see Table 12A for the estimate of burden associated with each instrument). </w:t>
      </w:r>
    </w:p>
    <w:p w:rsidR="00E76710" w:rsidRPr="00223E5A" w:rsidP="00E76710" w14:paraId="7C25AE1E" w14:textId="77777777">
      <w:pPr>
        <w:spacing w:line="276" w:lineRule="auto"/>
        <w:rPr>
          <w:rFonts w:ascii="Arial Nova" w:hAnsi="Arial Nova"/>
        </w:rPr>
      </w:pPr>
      <w:r w:rsidRPr="00223E5A">
        <w:rPr>
          <w:rFonts w:ascii="Arial Nova" w:hAnsi="Arial Nova"/>
        </w:rPr>
        <w:t xml:space="preserve"> </w:t>
      </w:r>
    </w:p>
    <w:p w:rsidR="0076746C" w:rsidRPr="00223E5A" w:rsidP="00E76710" w14:paraId="14860341" w14:textId="0F2EE273">
      <w:pPr>
        <w:spacing w:after="120" w:line="276" w:lineRule="auto"/>
        <w:rPr>
          <w:rFonts w:ascii="Arial Nova" w:hAnsi="Arial Nova"/>
        </w:rPr>
      </w:pPr>
      <w:r w:rsidRPr="00223E5A">
        <w:rPr>
          <w:rFonts w:ascii="Arial Nova" w:hAnsi="Arial Nova"/>
        </w:rPr>
        <w:t>Attachments 10 &amp; 12:  Standard Post-Course and Long-Term Evaluations</w:t>
      </w:r>
    </w:p>
    <w:p w:rsidR="005D6B32" w:rsidRPr="00223E5A" w:rsidP="0076746C" w14:paraId="17C6487B" w14:textId="6E3BF4B5">
      <w:pPr>
        <w:spacing w:after="120" w:line="276" w:lineRule="auto"/>
        <w:rPr>
          <w:rFonts w:ascii="Arial Nova" w:hAnsi="Arial Nova"/>
        </w:rPr>
      </w:pPr>
      <w:r w:rsidRPr="00223E5A">
        <w:rPr>
          <w:rFonts w:ascii="Arial Nova" w:hAnsi="Arial Nova"/>
        </w:rPr>
        <w:t xml:space="preserve">Attachments </w:t>
      </w:r>
      <w:r w:rsidRPr="00223E5A" w:rsidR="0076746C">
        <w:rPr>
          <w:rFonts w:ascii="Arial Nova" w:hAnsi="Arial Nova"/>
        </w:rPr>
        <w:t>14 &amp; 16</w:t>
      </w:r>
      <w:r w:rsidRPr="00223E5A">
        <w:rPr>
          <w:rFonts w:ascii="Arial Nova" w:hAnsi="Arial Nova"/>
        </w:rPr>
        <w:t xml:space="preserve">: Intensive Post-Course and Long-Term Evaluations </w:t>
      </w:r>
    </w:p>
    <w:p w:rsidR="0076746C" w:rsidRPr="00223E5A" w:rsidP="0076746C" w14:paraId="37376B34" w14:textId="77777777">
      <w:pPr>
        <w:spacing w:after="120" w:line="276" w:lineRule="auto"/>
        <w:rPr>
          <w:rFonts w:ascii="Arial Nova" w:hAnsi="Arial Nova"/>
        </w:rPr>
      </w:pPr>
    </w:p>
    <w:p w:rsidR="005D6B32" w:rsidRPr="00223E5A" w:rsidP="005D6B32" w14:paraId="2CD75C5E" w14:textId="77777777">
      <w:pPr>
        <w:pStyle w:val="Heading2"/>
        <w:spacing w:line="276" w:lineRule="auto"/>
        <w:rPr>
          <w:rFonts w:ascii="Arial Nova" w:hAnsi="Arial Nova" w:cstheme="minorHAnsi"/>
          <w:i/>
          <w:color w:val="auto"/>
          <w:sz w:val="24"/>
          <w:szCs w:val="24"/>
        </w:rPr>
      </w:pPr>
      <w:bookmarkStart w:id="15" w:name="_Toc36702990"/>
      <w:r w:rsidRPr="00223E5A">
        <w:rPr>
          <w:rFonts w:ascii="Arial Nova" w:hAnsi="Arial Nova" w:cstheme="minorHAnsi"/>
          <w:i/>
          <w:color w:val="auto"/>
          <w:sz w:val="24"/>
          <w:szCs w:val="24"/>
        </w:rPr>
        <w:t>A3. Use of Improved Information Technology and Burden Reduction</w:t>
      </w:r>
      <w:bookmarkEnd w:id="15"/>
    </w:p>
    <w:p w:rsidR="005D6B32" w:rsidRPr="00223E5A" w:rsidP="00617DD9" w14:paraId="2F16ECDB" w14:textId="4A7E07D7">
      <w:pPr>
        <w:spacing w:before="240" w:line="276" w:lineRule="auto"/>
        <w:rPr>
          <w:rFonts w:ascii="Arial Nova" w:hAnsi="Arial Nova"/>
        </w:rPr>
      </w:pPr>
      <w:r w:rsidRPr="00223E5A">
        <w:rPr>
          <w:rFonts w:ascii="Arial Nova" w:hAnsi="Arial Nova"/>
        </w:rPr>
        <w:t xml:space="preserve">Online versions of the survey collection tools will be used as much as possible to reduce the overall burden on respondents.  All instruments may be completed comfortably by computer, tablet, or smartphone.  Paper instruments may be used when access to the Internet is not available or advance registration is not possible. These information collection instruments were designed to collect the minimum information necessary for the purposes of this project and to collect data using the same questions for multiple types of courses so that data may be aggregated during analysis when appropriate.  </w:t>
      </w:r>
    </w:p>
    <w:p w:rsidR="002956FA" w:rsidRPr="00223E5A" w:rsidP="002956FA" w14:paraId="763F2BDB" w14:textId="62DD64E8">
      <w:pPr>
        <w:pStyle w:val="Heading2"/>
        <w:spacing w:after="240" w:line="276" w:lineRule="auto"/>
        <w:rPr>
          <w:rFonts w:ascii="Arial Nova" w:hAnsi="Arial Nova" w:cstheme="minorHAnsi"/>
          <w:i/>
          <w:color w:val="auto"/>
          <w:sz w:val="24"/>
          <w:szCs w:val="24"/>
        </w:rPr>
      </w:pPr>
      <w:bookmarkStart w:id="16" w:name="_Toc36702991"/>
      <w:r w:rsidRPr="00223E5A">
        <w:rPr>
          <w:rFonts w:ascii="Arial Nova" w:hAnsi="Arial Nova" w:cstheme="minorHAnsi"/>
          <w:i/>
          <w:color w:val="auto"/>
          <w:sz w:val="24"/>
          <w:szCs w:val="24"/>
        </w:rPr>
        <w:t>A4. Efforts to Identify Duplication and Use of Similar Information</w:t>
      </w:r>
      <w:bookmarkEnd w:id="16"/>
    </w:p>
    <w:p w:rsidR="002956FA" w:rsidRPr="00223E5A" w:rsidP="002956FA" w14:paraId="25F90144" w14:textId="3EFC75C7">
      <w:pPr>
        <w:spacing w:line="276" w:lineRule="auto"/>
        <w:rPr>
          <w:rFonts w:ascii="Arial Nova" w:hAnsi="Arial Nova"/>
        </w:rPr>
      </w:pPr>
      <w:r w:rsidRPr="00223E5A">
        <w:rPr>
          <w:rFonts w:ascii="Arial Nova" w:hAnsi="Arial Nova"/>
        </w:rPr>
        <w:t xml:space="preserve">The information being collected is specific to DSTDP’s NNPTC program.  This information collection represents the DSTDP’s attempt to monitor and evaluate the NNPTC services and program.  There is currently no information available that can substitute for the responses to the data collection instruments and provide essential program improvement information. </w:t>
      </w:r>
    </w:p>
    <w:p w:rsidR="00C23DCB" w:rsidRPr="00223E5A" w:rsidP="00C23DCB" w14:paraId="41AF208B"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E702B3" w:rsidRPr="00223E5A" w:rsidP="00617DD9" w14:paraId="3B592195" w14:textId="69A11FB2">
      <w:pPr>
        <w:pStyle w:val="Heading2"/>
        <w:spacing w:line="276" w:lineRule="auto"/>
        <w:rPr>
          <w:rFonts w:ascii="Arial Nova" w:hAnsi="Arial Nova" w:cstheme="minorHAnsi"/>
          <w:i/>
          <w:color w:val="auto"/>
          <w:sz w:val="24"/>
          <w:szCs w:val="24"/>
        </w:rPr>
      </w:pPr>
      <w:bookmarkStart w:id="17" w:name="_Toc36702992"/>
      <w:r w:rsidRPr="00223E5A">
        <w:rPr>
          <w:rFonts w:ascii="Arial Nova" w:hAnsi="Arial Nova" w:cstheme="minorHAnsi"/>
          <w:i/>
          <w:color w:val="auto"/>
          <w:sz w:val="24"/>
          <w:szCs w:val="24"/>
        </w:rPr>
        <w:t>A5. Impact on Small Businesses or Other Small Entities</w:t>
      </w:r>
      <w:bookmarkEnd w:id="17"/>
    </w:p>
    <w:p w:rsidR="00617DD9" w:rsidRPr="00223E5A" w:rsidP="00617DD9" w14:paraId="09A687C3" w14:textId="77777777">
      <w:pPr>
        <w:spacing w:before="240"/>
        <w:rPr>
          <w:rFonts w:ascii="Arial Nova" w:hAnsi="Arial Nova"/>
        </w:rPr>
      </w:pPr>
      <w:r w:rsidRPr="00223E5A">
        <w:rPr>
          <w:rFonts w:ascii="Arial Nova" w:hAnsi="Arial Nova"/>
        </w:rPr>
        <w:t>This data collection will not involve small businesses or other small entities.</w:t>
      </w:r>
    </w:p>
    <w:p w:rsidR="00617DD9" w:rsidRPr="00223E5A" w:rsidP="006B550E" w14:paraId="70A09D5B" w14:textId="77777777">
      <w:pPr>
        <w:rPr>
          <w:rFonts w:ascii="Arial Nova" w:hAnsi="Arial Nova"/>
        </w:rPr>
      </w:pPr>
    </w:p>
    <w:p w:rsidR="004F07B5" w:rsidRPr="00223E5A" w:rsidP="005F61E4" w14:paraId="204E8B83" w14:textId="6A867333">
      <w:pPr>
        <w:pStyle w:val="Heading2"/>
        <w:spacing w:line="276" w:lineRule="auto"/>
        <w:rPr>
          <w:rFonts w:ascii="Arial Nova" w:hAnsi="Arial Nova" w:cstheme="minorHAnsi"/>
          <w:i/>
          <w:color w:val="auto"/>
          <w:sz w:val="24"/>
          <w:szCs w:val="24"/>
        </w:rPr>
      </w:pPr>
      <w:bookmarkStart w:id="18" w:name="_Toc36702993"/>
      <w:r w:rsidRPr="00223E5A">
        <w:rPr>
          <w:rFonts w:ascii="Arial Nova" w:hAnsi="Arial Nova" w:cstheme="minorHAnsi"/>
          <w:i/>
          <w:color w:val="auto"/>
          <w:sz w:val="24"/>
          <w:szCs w:val="24"/>
        </w:rPr>
        <w:t>A6. Consequences of Collecting the Information Less Frequently</w:t>
      </w:r>
      <w:bookmarkEnd w:id="18"/>
    </w:p>
    <w:p w:rsidR="005F61E4" w:rsidRPr="00223E5A" w:rsidP="005F61E4" w14:paraId="42FE686F" w14:textId="77777777">
      <w:pPr>
        <w:rPr>
          <w:rFonts w:ascii="Arial Nova" w:hAnsi="Arial Nova"/>
        </w:rPr>
      </w:pPr>
    </w:p>
    <w:p w:rsidR="005F61E4" w:rsidRPr="00223E5A" w:rsidP="008842C8" w14:paraId="4A33E76F" w14:textId="7917077E">
      <w:pPr>
        <w:spacing w:after="120" w:line="276" w:lineRule="auto"/>
        <w:rPr>
          <w:rFonts w:ascii="Arial Nova" w:hAnsi="Arial Nova"/>
        </w:rPr>
      </w:pPr>
      <w:r w:rsidRPr="00223E5A">
        <w:rPr>
          <w:rFonts w:ascii="Arial Nova" w:hAnsi="Arial Nova"/>
        </w:rPr>
        <w:t>The NNPTC HPAT (</w:t>
      </w:r>
      <w:r w:rsidRPr="00223E5A">
        <w:rPr>
          <w:rFonts w:ascii="Arial Nova" w:hAnsi="Arial Nova"/>
          <w:b/>
          <w:bCs/>
        </w:rPr>
        <w:t xml:space="preserve">Att </w:t>
      </w:r>
      <w:r w:rsidR="005F6EA4">
        <w:rPr>
          <w:rFonts w:ascii="Arial Nova" w:hAnsi="Arial Nova"/>
          <w:b/>
          <w:bCs/>
        </w:rPr>
        <w:t>3</w:t>
      </w:r>
      <w:r w:rsidRPr="00223E5A">
        <w:rPr>
          <w:rFonts w:ascii="Arial Nova" w:hAnsi="Arial Nova"/>
        </w:rPr>
        <w:t xml:space="preserve">) will be completed one time by individuals at the time of registration for any given course. The post-course and long-term evaluations will collect information from each recipient of training or technical assistance from the NNPTC.  It is necessary to collect registration information from all trainees in order to plan for class size and provide continuing education credit when applicable. Since completing the evaluation is voluntary, we estimate a 60% rate of completion for post-course evaluation information. Consequently, less frequent </w:t>
      </w:r>
      <w:r w:rsidRPr="00223E5A">
        <w:rPr>
          <w:rFonts w:ascii="Arial Nova" w:hAnsi="Arial Nova"/>
        </w:rPr>
        <w:t xml:space="preserve">collection of registration information would impede preparation for training activities and hinder monitoring and evaluation of the program.  </w:t>
      </w:r>
    </w:p>
    <w:p w:rsidR="005F61E4" w:rsidRPr="00223E5A" w:rsidP="008842C8" w14:paraId="44426211" w14:textId="77777777">
      <w:pPr>
        <w:spacing w:after="120" w:line="276" w:lineRule="auto"/>
        <w:rPr>
          <w:rFonts w:ascii="Arial Nova" w:hAnsi="Arial Nova"/>
        </w:rPr>
      </w:pPr>
      <w:r w:rsidRPr="00223E5A">
        <w:rPr>
          <w:rFonts w:ascii="Arial Nova" w:hAnsi="Arial Nova"/>
        </w:rPr>
        <w:t xml:space="preserve">If information is not collected, there will be no systematically obtained information for the NNPTC to make timely and essential corrections, if needed, to better meet the needs of its trainees and achieve the objectives of the program. Specifically, not collecting this information would hinder DSTDP’s ability to: </w:t>
      </w:r>
    </w:p>
    <w:p w:rsidR="005F61E4" w:rsidRPr="00223E5A" w:rsidP="008842C8" w14:paraId="41B910B9" w14:textId="77777777">
      <w:pPr>
        <w:spacing w:after="120" w:line="276" w:lineRule="auto"/>
        <w:ind w:left="720" w:hanging="270"/>
        <w:rPr>
          <w:rFonts w:ascii="Arial Nova" w:hAnsi="Arial Nova"/>
        </w:rPr>
      </w:pPr>
      <w:r w:rsidRPr="00223E5A">
        <w:rPr>
          <w:rFonts w:ascii="Arial Nova" w:hAnsi="Arial Nova"/>
        </w:rPr>
        <w:t>•</w:t>
      </w:r>
      <w:r w:rsidRPr="00223E5A">
        <w:rPr>
          <w:rFonts w:ascii="Arial Nova" w:hAnsi="Arial Nova"/>
        </w:rPr>
        <w:tab/>
        <w:t>Monitor and evaluate the NNPTC grantee performance;</w:t>
      </w:r>
    </w:p>
    <w:p w:rsidR="005F61E4" w:rsidRPr="00223E5A" w:rsidP="008842C8" w14:paraId="73C36E48" w14:textId="77777777">
      <w:pPr>
        <w:spacing w:after="120" w:line="276" w:lineRule="auto"/>
        <w:ind w:left="720" w:hanging="274"/>
        <w:rPr>
          <w:rFonts w:ascii="Arial Nova" w:hAnsi="Arial Nova"/>
        </w:rPr>
      </w:pPr>
      <w:r w:rsidRPr="00223E5A">
        <w:rPr>
          <w:rFonts w:ascii="Arial Nova" w:hAnsi="Arial Nova"/>
        </w:rPr>
        <w:t>•</w:t>
      </w:r>
      <w:r w:rsidRPr="00223E5A">
        <w:rPr>
          <w:rFonts w:ascii="Arial Nova" w:hAnsi="Arial Nova"/>
        </w:rPr>
        <w:tab/>
        <w:t xml:space="preserve">Assess trainee satisfaction with services delivered by CDC-funded NNPTC; </w:t>
      </w:r>
    </w:p>
    <w:p w:rsidR="005F61E4" w:rsidRPr="00223E5A" w:rsidP="008842C8" w14:paraId="0F87FBC2" w14:textId="77777777">
      <w:pPr>
        <w:spacing w:after="120" w:line="276" w:lineRule="auto"/>
        <w:ind w:left="720" w:hanging="274"/>
        <w:rPr>
          <w:rFonts w:ascii="Arial Nova" w:hAnsi="Arial Nova"/>
        </w:rPr>
      </w:pPr>
      <w:r w:rsidRPr="00223E5A">
        <w:rPr>
          <w:rFonts w:ascii="Arial Nova" w:hAnsi="Arial Nova"/>
        </w:rPr>
        <w:t>•</w:t>
      </w:r>
      <w:r w:rsidRPr="00223E5A">
        <w:rPr>
          <w:rFonts w:ascii="Arial Nova" w:hAnsi="Arial Nova"/>
        </w:rPr>
        <w:tab/>
        <w:t>Identify and address programmatic areas needing improvement;</w:t>
      </w:r>
    </w:p>
    <w:p w:rsidR="00E702B3" w:rsidRPr="00223E5A" w:rsidP="008842C8" w14:paraId="004AE335" w14:textId="00E30595">
      <w:pPr>
        <w:spacing w:after="120" w:line="276" w:lineRule="auto"/>
        <w:ind w:left="716" w:hanging="270"/>
        <w:rPr>
          <w:rFonts w:ascii="Arial Nova" w:hAnsi="Arial Nova"/>
        </w:rPr>
      </w:pPr>
      <w:r w:rsidRPr="00223E5A">
        <w:rPr>
          <w:rFonts w:ascii="Arial Nova" w:hAnsi="Arial Nova"/>
        </w:rPr>
        <w:t>•</w:t>
      </w:r>
      <w:r w:rsidRPr="00223E5A">
        <w:rPr>
          <w:rFonts w:ascii="Arial Nova" w:hAnsi="Arial Nova"/>
        </w:rPr>
        <w:tab/>
        <w:t>Provide timely, current, and accurate information in response to requests from Executive Branch officials, the Congress, constituents, or other federal, state, and local agencies on the needs of grantees and the types and quality of NNPTC services delivered</w:t>
      </w:r>
      <w:r w:rsidRPr="00223E5A" w:rsidR="008842C8">
        <w:rPr>
          <w:rFonts w:ascii="Arial Nova" w:hAnsi="Arial Nova"/>
        </w:rPr>
        <w:t>.</w:t>
      </w:r>
    </w:p>
    <w:p w:rsidR="005F61E4" w:rsidRPr="00223E5A" w:rsidP="005F61E4" w14:paraId="394C1186" w14:textId="77777777">
      <w:pPr>
        <w:spacing w:after="120"/>
        <w:ind w:left="716" w:hanging="270"/>
        <w:rPr>
          <w:rFonts w:ascii="Arial Nova" w:hAnsi="Arial Nova"/>
        </w:rPr>
      </w:pPr>
    </w:p>
    <w:p w:rsidR="00C23DCB" w:rsidRPr="00223E5A" w:rsidP="00C23DCB" w14:paraId="53FB07B9" w14:textId="77777777">
      <w:pPr>
        <w:pStyle w:val="Heading2"/>
        <w:spacing w:line="276" w:lineRule="auto"/>
        <w:rPr>
          <w:rFonts w:ascii="Arial Nova" w:hAnsi="Arial Nova" w:cstheme="minorHAnsi"/>
          <w:i/>
          <w:color w:val="auto"/>
          <w:sz w:val="24"/>
          <w:szCs w:val="24"/>
        </w:rPr>
      </w:pPr>
      <w:bookmarkStart w:id="19" w:name="_Toc36702994"/>
      <w:r w:rsidRPr="00223E5A">
        <w:rPr>
          <w:rFonts w:ascii="Arial Nova" w:hAnsi="Arial Nova" w:cstheme="minorHAnsi"/>
          <w:i/>
          <w:color w:val="auto"/>
          <w:sz w:val="24"/>
          <w:szCs w:val="24"/>
        </w:rPr>
        <w:t>A7. Special Circumstances Relating to the Guidelines of 5 CRF 1320.5</w:t>
      </w:r>
      <w:bookmarkEnd w:id="19"/>
    </w:p>
    <w:p w:rsidR="004F07B5" w:rsidRPr="00223E5A" w:rsidP="00617DD9" w14:paraId="4FE333E8" w14:textId="0D05C058">
      <w:pPr>
        <w:spacing w:before="240"/>
        <w:rPr>
          <w:rFonts w:ascii="Arial Nova" w:hAnsi="Arial Nova"/>
          <w:color w:val="C75000"/>
        </w:rPr>
      </w:pPr>
      <w:r w:rsidRPr="00223E5A">
        <w:rPr>
          <w:rFonts w:ascii="Arial Nova" w:hAnsi="Arial Nova"/>
        </w:rPr>
        <w:t>This request fully complies with the regulation 5 CFR 1320.5.</w:t>
      </w:r>
      <w:r w:rsidRPr="00223E5A" w:rsidR="0018105A">
        <w:rPr>
          <w:rFonts w:ascii="Arial Nova" w:hAnsi="Arial Nova"/>
        </w:rPr>
        <w:t xml:space="preserve"> </w:t>
      </w:r>
    </w:p>
    <w:p w:rsidR="00E702B3" w:rsidRPr="00223E5A" w:rsidP="007A47A5" w14:paraId="123D4C85" w14:textId="77777777">
      <w:pPr>
        <w:pStyle w:val="m-4824437483153403386msocommenttext"/>
        <w:shd w:val="clear" w:color="auto" w:fill="FFFFFF"/>
        <w:spacing w:before="0" w:beforeAutospacing="0" w:after="0" w:afterAutospacing="0" w:line="276" w:lineRule="auto"/>
        <w:ind w:left="450" w:hanging="180"/>
        <w:rPr>
          <w:rFonts w:ascii="Arial Nova" w:hAnsi="Arial Nova"/>
          <w:color w:val="F79646" w:themeColor="accent6"/>
        </w:rPr>
      </w:pPr>
    </w:p>
    <w:p w:rsidR="00CF3C2C" w:rsidRPr="00223E5A" w:rsidP="00CF3C2C" w14:paraId="54AD4609" w14:textId="77777777">
      <w:pPr>
        <w:pStyle w:val="Heading2"/>
        <w:spacing w:line="276" w:lineRule="auto"/>
        <w:rPr>
          <w:rFonts w:ascii="Arial Nova" w:hAnsi="Arial Nova" w:cstheme="minorHAnsi"/>
          <w:i/>
          <w:color w:val="auto"/>
          <w:sz w:val="24"/>
          <w:szCs w:val="24"/>
        </w:rPr>
      </w:pPr>
      <w:bookmarkStart w:id="20" w:name="_Toc36702995"/>
      <w:r w:rsidRPr="00223E5A">
        <w:rPr>
          <w:rFonts w:ascii="Arial Nova" w:hAnsi="Arial Nova" w:cstheme="minorHAnsi"/>
          <w:i/>
          <w:color w:val="auto"/>
          <w:sz w:val="24"/>
          <w:szCs w:val="24"/>
        </w:rPr>
        <w:t>A8. Comments in Response to the FRN and Efforts to Consult Outside the Agency</w:t>
      </w:r>
      <w:bookmarkEnd w:id="20"/>
    </w:p>
    <w:p w:rsidR="00CE44C0" w:rsidRPr="00756DC9" w:rsidP="00455D86" w14:paraId="32F17EDF" w14:textId="77777777">
      <w:pPr>
        <w:pStyle w:val="m-4824437483153403386msocommenttext"/>
        <w:shd w:val="clear" w:color="auto" w:fill="FFFFFF"/>
        <w:spacing w:before="0" w:beforeAutospacing="0" w:after="0" w:afterAutospacing="0" w:line="276" w:lineRule="auto"/>
        <w:rPr>
          <w:rFonts w:ascii="Arial Nova" w:hAnsi="Arial Nova"/>
        </w:rPr>
      </w:pPr>
    </w:p>
    <w:p w:rsidR="00185854" w:rsidRPr="00756DC9" w:rsidP="00756DC9" w14:paraId="759CF904" w14:textId="77777777">
      <w:pPr>
        <w:spacing w:after="240"/>
        <w:rPr>
          <w:rFonts w:ascii="Arial Nova" w:hAnsi="Arial Nova"/>
          <w:b/>
          <w:bCs/>
        </w:rPr>
      </w:pPr>
      <w:r w:rsidRPr="00756DC9">
        <w:rPr>
          <w:rFonts w:ascii="Arial Nova" w:hAnsi="Arial Nova"/>
          <w:b/>
          <w:bCs/>
        </w:rPr>
        <w:t>Part A: PUBLIC NOTICE</w:t>
      </w:r>
    </w:p>
    <w:p w:rsidR="00185854" w:rsidRPr="00756DC9" w:rsidP="002B550C" w14:paraId="2209FDA6" w14:textId="28AF2E63">
      <w:pPr>
        <w:spacing w:line="276" w:lineRule="auto"/>
        <w:rPr>
          <w:rFonts w:ascii="Arial Nova" w:hAnsi="Arial Nova"/>
        </w:rPr>
      </w:pPr>
      <w:r w:rsidRPr="00756DC9">
        <w:rPr>
          <w:rFonts w:ascii="Arial Nova" w:hAnsi="Arial Nova"/>
        </w:rPr>
        <w:t xml:space="preserve">A 60-day Federal Register Notice </w:t>
      </w:r>
      <w:r w:rsidR="00413CFF">
        <w:rPr>
          <w:rFonts w:ascii="Arial Nova" w:hAnsi="Arial Nova"/>
        </w:rPr>
        <w:t xml:space="preserve">to solicit public comments </w:t>
      </w:r>
      <w:r w:rsidRPr="00756DC9">
        <w:rPr>
          <w:rFonts w:ascii="Arial Nova" w:hAnsi="Arial Nova"/>
        </w:rPr>
        <w:t xml:space="preserve">was published in the </w:t>
      </w:r>
      <w:r w:rsidRPr="00756DC9">
        <w:rPr>
          <w:rFonts w:ascii="Arial Nova" w:hAnsi="Arial Nova"/>
          <w:i/>
        </w:rPr>
        <w:t>Federal Register</w:t>
      </w:r>
      <w:r w:rsidRPr="00756DC9">
        <w:rPr>
          <w:rFonts w:ascii="Arial Nova" w:hAnsi="Arial Nova"/>
        </w:rPr>
        <w:t xml:space="preserve"> on </w:t>
      </w:r>
      <w:r w:rsidRPr="00756DC9" w:rsidR="00D472C1">
        <w:rPr>
          <w:rFonts w:ascii="Arial Nova" w:hAnsi="Arial Nova"/>
        </w:rPr>
        <w:t>08 20</w:t>
      </w:r>
      <w:r w:rsidRPr="00756DC9">
        <w:rPr>
          <w:rFonts w:ascii="Arial Nova" w:hAnsi="Arial Nova"/>
        </w:rPr>
        <w:t>, 20</w:t>
      </w:r>
      <w:r w:rsidRPr="00756DC9" w:rsidR="00D472C1">
        <w:rPr>
          <w:rFonts w:ascii="Arial Nova" w:hAnsi="Arial Nova"/>
        </w:rPr>
        <w:t>22</w:t>
      </w:r>
      <w:r w:rsidRPr="00756DC9">
        <w:rPr>
          <w:rFonts w:ascii="Arial Nova" w:hAnsi="Arial Nova"/>
        </w:rPr>
        <w:t xml:space="preserve">, vol. </w:t>
      </w:r>
      <w:r w:rsidRPr="00756DC9" w:rsidR="00D472C1">
        <w:rPr>
          <w:rFonts w:ascii="Arial Nova" w:hAnsi="Arial Nova"/>
        </w:rPr>
        <w:t>87</w:t>
      </w:r>
      <w:r w:rsidRPr="00756DC9">
        <w:rPr>
          <w:rFonts w:ascii="Arial Nova" w:hAnsi="Arial Nova"/>
        </w:rPr>
        <w:t xml:space="preserve"> No.</w:t>
      </w:r>
      <w:r w:rsidRPr="00756DC9" w:rsidR="00DA23AB">
        <w:rPr>
          <w:rFonts w:ascii="Arial Nova" w:hAnsi="Arial Nova"/>
        </w:rPr>
        <w:t xml:space="preserve"> </w:t>
      </w:r>
      <w:r w:rsidRPr="00756DC9" w:rsidR="00D472C1">
        <w:rPr>
          <w:rFonts w:ascii="Arial Nova" w:hAnsi="Arial Nova"/>
        </w:rPr>
        <w:t>161</w:t>
      </w:r>
      <w:r w:rsidRPr="00756DC9">
        <w:rPr>
          <w:rFonts w:ascii="Arial Nova" w:hAnsi="Arial Nova"/>
        </w:rPr>
        <w:t>, pp.</w:t>
      </w:r>
      <w:r w:rsidRPr="00756DC9" w:rsidR="00253F2A">
        <w:rPr>
          <w:rFonts w:ascii="Arial Nova" w:hAnsi="Arial Nova"/>
        </w:rPr>
        <w:t xml:space="preserve"> </w:t>
      </w:r>
      <w:r w:rsidRPr="00756DC9" w:rsidR="00D472C1">
        <w:rPr>
          <w:rFonts w:ascii="Arial Nova" w:hAnsi="Arial Nova"/>
        </w:rPr>
        <w:t>54126</w:t>
      </w:r>
      <w:r w:rsidRPr="00756DC9">
        <w:rPr>
          <w:rFonts w:ascii="Arial Nova" w:hAnsi="Arial Nova"/>
        </w:rPr>
        <w:t xml:space="preserve"> (see </w:t>
      </w:r>
      <w:r w:rsidRPr="00413CFF">
        <w:rPr>
          <w:rFonts w:ascii="Arial Nova" w:hAnsi="Arial Nova"/>
          <w:b/>
          <w:bCs/>
        </w:rPr>
        <w:t xml:space="preserve">Att </w:t>
      </w:r>
      <w:r w:rsidRPr="00413CFF" w:rsidR="00D472C1">
        <w:rPr>
          <w:rFonts w:ascii="Arial Nova" w:hAnsi="Arial Nova"/>
          <w:b/>
          <w:bCs/>
        </w:rPr>
        <w:t>2a</w:t>
      </w:r>
      <w:r w:rsidRPr="00413CFF" w:rsidR="00413CFF">
        <w:rPr>
          <w:rFonts w:ascii="Arial Nova" w:hAnsi="Arial Nova"/>
          <w:b/>
          <w:bCs/>
        </w:rPr>
        <w:t>- 60 Day FRN</w:t>
      </w:r>
      <w:r w:rsidRPr="00756DC9">
        <w:rPr>
          <w:rFonts w:ascii="Arial Nova" w:hAnsi="Arial Nova"/>
        </w:rPr>
        <w:t xml:space="preserve">). </w:t>
      </w:r>
    </w:p>
    <w:p w:rsidR="00185854" w:rsidRPr="00756DC9" w:rsidP="00693EF9" w14:paraId="7ED6A4E8" w14:textId="5B5EECB8">
      <w:pPr>
        <w:spacing w:line="276" w:lineRule="auto"/>
        <w:rPr>
          <w:rFonts w:ascii="Arial Nova" w:hAnsi="Arial Nova"/>
        </w:rPr>
      </w:pPr>
      <w:r w:rsidRPr="00756DC9">
        <w:rPr>
          <w:rFonts w:ascii="Arial Nova" w:hAnsi="Arial Nova"/>
        </w:rPr>
        <w:t xml:space="preserve">CDC received </w:t>
      </w:r>
      <w:r w:rsidR="00E13716">
        <w:rPr>
          <w:rFonts w:ascii="Arial Nova" w:hAnsi="Arial Nova"/>
        </w:rPr>
        <w:t>two</w:t>
      </w:r>
      <w:r w:rsidRPr="00756DC9">
        <w:rPr>
          <w:rFonts w:ascii="Arial Nova" w:hAnsi="Arial Nova"/>
        </w:rPr>
        <w:t xml:space="preserve"> non-substantive comment</w:t>
      </w:r>
      <w:r w:rsidR="008E0F93">
        <w:rPr>
          <w:rFonts w:ascii="Arial Nova" w:hAnsi="Arial Nova"/>
        </w:rPr>
        <w:t>s</w:t>
      </w:r>
      <w:r w:rsidRPr="00756DC9" w:rsidR="00D472C1">
        <w:rPr>
          <w:rFonts w:ascii="Arial Nova" w:hAnsi="Arial Nova"/>
        </w:rPr>
        <w:t xml:space="preserve">. </w:t>
      </w:r>
      <w:r w:rsidR="008E0F93">
        <w:rPr>
          <w:rFonts w:ascii="Arial Nova" w:hAnsi="Arial Nova"/>
        </w:rPr>
        <w:t xml:space="preserve">The responses </w:t>
      </w:r>
      <w:r w:rsidRPr="008E0F93" w:rsidR="008E0F93">
        <w:rPr>
          <w:rFonts w:ascii="Arial Nova" w:hAnsi="Arial Nova"/>
        </w:rPr>
        <w:t>were general expressions of opinion that lacked specificity</w:t>
      </w:r>
      <w:r w:rsidR="008E0F93">
        <w:rPr>
          <w:rFonts w:ascii="Arial Nova" w:hAnsi="Arial Nova"/>
        </w:rPr>
        <w:t xml:space="preserve">, </w:t>
      </w:r>
      <w:r w:rsidRPr="008E0F93" w:rsidR="008E0F93">
        <w:rPr>
          <w:rFonts w:ascii="Arial Nova" w:hAnsi="Arial Nova"/>
        </w:rPr>
        <w:t>thus the comments did not result in changes to the data collection plan.</w:t>
      </w:r>
      <w:r w:rsidRPr="00756DC9" w:rsidR="00D472C1">
        <w:rPr>
          <w:rFonts w:ascii="Arial Nova" w:hAnsi="Arial Nova"/>
        </w:rPr>
        <w:t xml:space="preserve"> (See. </w:t>
      </w:r>
      <w:r w:rsidRPr="00413CFF" w:rsidR="00D472C1">
        <w:rPr>
          <w:rFonts w:ascii="Arial Nova" w:hAnsi="Arial Nova"/>
          <w:b/>
          <w:bCs/>
        </w:rPr>
        <w:t>Att 2b</w:t>
      </w:r>
      <w:r w:rsidRPr="00413CFF" w:rsidR="00E13716">
        <w:rPr>
          <w:rFonts w:ascii="Arial Nova" w:hAnsi="Arial Nova"/>
          <w:b/>
          <w:bCs/>
        </w:rPr>
        <w:t xml:space="preserve"> &amp; c</w:t>
      </w:r>
      <w:r w:rsidRPr="00756DC9" w:rsidR="00D472C1">
        <w:rPr>
          <w:rFonts w:ascii="Arial Nova" w:hAnsi="Arial Nova"/>
        </w:rPr>
        <w:t>).</w:t>
      </w:r>
    </w:p>
    <w:p w:rsidR="00185854" w:rsidRPr="00223E5A" w:rsidP="00185854" w14:paraId="0B81466E" w14:textId="77777777">
      <w:pPr>
        <w:rPr>
          <w:rFonts w:ascii="Arial Nova" w:hAnsi="Arial Nova"/>
        </w:rPr>
      </w:pPr>
    </w:p>
    <w:p w:rsidR="00185854" w:rsidRPr="002142AE" w:rsidP="00756DC9" w14:paraId="79779E08" w14:textId="77777777">
      <w:pPr>
        <w:spacing w:after="240"/>
        <w:rPr>
          <w:rFonts w:ascii="Arial Nova" w:hAnsi="Arial Nova"/>
          <w:b/>
          <w:bCs/>
        </w:rPr>
      </w:pPr>
      <w:r w:rsidRPr="002142AE">
        <w:rPr>
          <w:rFonts w:ascii="Arial Nova" w:hAnsi="Arial Nova"/>
          <w:b/>
          <w:bCs/>
        </w:rPr>
        <w:t>Part B: CONSULTATION</w:t>
      </w:r>
    </w:p>
    <w:p w:rsidR="008763DB" w:rsidRPr="00223E5A" w:rsidP="008842C8" w14:paraId="76326486" w14:textId="61BD969C">
      <w:pPr>
        <w:rPr>
          <w:rFonts w:ascii="Arial Nova" w:hAnsi="Arial Nova"/>
          <w:b/>
          <w:color w:val="F79646" w:themeColor="accent6"/>
        </w:rPr>
      </w:pPr>
      <w:r w:rsidRPr="00223E5A">
        <w:rPr>
          <w:rFonts w:ascii="Arial Nova" w:hAnsi="Arial Nova"/>
        </w:rPr>
        <w:t>No formal consultations within or outside CDC occurred. Awardees experiences with data collection informed the</w:t>
      </w:r>
      <w:r w:rsidR="004124BA">
        <w:rPr>
          <w:rFonts w:ascii="Arial Nova" w:hAnsi="Arial Nova"/>
        </w:rPr>
        <w:t xml:space="preserve"> previous</w:t>
      </w:r>
      <w:r w:rsidRPr="00223E5A">
        <w:rPr>
          <w:rFonts w:ascii="Arial Nova" w:hAnsi="Arial Nova"/>
        </w:rPr>
        <w:t xml:space="preserve"> revision of the</w:t>
      </w:r>
      <w:r w:rsidR="004124BA">
        <w:rPr>
          <w:rFonts w:ascii="Arial Nova" w:hAnsi="Arial Nova"/>
        </w:rPr>
        <w:t xml:space="preserve"> currently approved</w:t>
      </w:r>
      <w:r w:rsidRPr="00223E5A">
        <w:rPr>
          <w:rFonts w:ascii="Arial Nova" w:hAnsi="Arial Nova"/>
        </w:rPr>
        <w:t xml:space="preserve"> instruments</w:t>
      </w:r>
      <w:r w:rsidRPr="00223E5A">
        <w:rPr>
          <w:rFonts w:ascii="Arial Nova" w:hAnsi="Arial Nova"/>
          <w:i/>
          <w:color w:val="C75000"/>
        </w:rPr>
        <w:t>.</w:t>
      </w:r>
    </w:p>
    <w:p w:rsidR="00E702B3" w:rsidRPr="00223E5A" w:rsidP="00F86566" w14:paraId="064766CA"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865500" w:rsidRPr="00223E5A" w:rsidP="007A47A5" w14:paraId="7C3EFB77" w14:textId="77777777">
      <w:pPr>
        <w:pStyle w:val="m-4824437483153403386msocommenttext"/>
        <w:shd w:val="clear" w:color="auto" w:fill="FFFFFF"/>
        <w:spacing w:before="0" w:beforeAutospacing="0" w:after="0" w:afterAutospacing="0" w:line="276" w:lineRule="auto"/>
        <w:ind w:left="450" w:hanging="180"/>
        <w:rPr>
          <w:rFonts w:ascii="Arial Nova" w:hAnsi="Arial Nova"/>
          <w:color w:val="F79646" w:themeColor="accent6"/>
        </w:rPr>
      </w:pPr>
    </w:p>
    <w:p w:rsidR="00D770BA" w:rsidRPr="00756DC9" w:rsidP="00756DC9" w14:paraId="5BB67C60" w14:textId="6641421D">
      <w:pPr>
        <w:pStyle w:val="m-4824437483153403386msocommenttext"/>
        <w:shd w:val="clear" w:color="auto" w:fill="FFFFFF"/>
        <w:spacing w:before="0" w:beforeAutospacing="0" w:after="240" w:afterAutospacing="0" w:line="276" w:lineRule="auto"/>
        <w:rPr>
          <w:rFonts w:ascii="Arial Nova" w:hAnsi="Arial Nova" w:eastAsiaTheme="majorEastAsia" w:cstheme="minorHAnsi"/>
          <w:b/>
          <w:bCs/>
          <w:i/>
        </w:rPr>
      </w:pPr>
      <w:bookmarkStart w:id="21" w:name="_Hlk36702687"/>
      <w:r w:rsidRPr="00223E5A">
        <w:rPr>
          <w:rFonts w:ascii="Arial Nova" w:hAnsi="Arial Nova" w:eastAsiaTheme="majorEastAsia" w:cstheme="minorHAnsi"/>
          <w:b/>
          <w:bCs/>
          <w:i/>
        </w:rPr>
        <w:t>A9. Explanation of Any Payment or Gift to Respondents</w:t>
      </w:r>
      <w:bookmarkEnd w:id="21"/>
    </w:p>
    <w:p w:rsidR="008842C8" w:rsidRPr="00223E5A" w:rsidP="008842C8" w14:paraId="0D0B7C0D" w14:textId="77777777">
      <w:pPr>
        <w:spacing w:after="120"/>
        <w:rPr>
          <w:rFonts w:ascii="Arial Nova" w:hAnsi="Arial Nova"/>
        </w:rPr>
      </w:pPr>
      <w:r w:rsidRPr="00223E5A">
        <w:rPr>
          <w:rFonts w:ascii="Arial Nova" w:hAnsi="Arial Nova"/>
        </w:rPr>
        <w:t>CDC will not provide payments or gifts to respondents.</w:t>
      </w:r>
    </w:p>
    <w:p w:rsidR="00756DC9" w:rsidRPr="00223E5A" w:rsidP="002C0D73" w14:paraId="15221E92" w14:textId="77777777">
      <w:pPr>
        <w:spacing w:line="360" w:lineRule="auto"/>
        <w:rPr>
          <w:rFonts w:ascii="Arial Nova" w:hAnsi="Arial Nova"/>
          <w:color w:val="C75000"/>
        </w:rPr>
      </w:pPr>
    </w:p>
    <w:p w:rsidR="001A27EB" w:rsidRPr="00223E5A" w:rsidP="008842C8" w14:paraId="5C524D70" w14:textId="1F6C664E">
      <w:pPr>
        <w:pStyle w:val="Heading2"/>
        <w:spacing w:line="276" w:lineRule="auto"/>
        <w:rPr>
          <w:rFonts w:ascii="Arial Nova" w:hAnsi="Arial Nova" w:cstheme="minorHAnsi"/>
          <w:i/>
          <w:color w:val="auto"/>
          <w:sz w:val="24"/>
          <w:szCs w:val="24"/>
        </w:rPr>
      </w:pPr>
      <w:bookmarkStart w:id="22" w:name="_Toc36702996"/>
      <w:r w:rsidRPr="00223E5A">
        <w:rPr>
          <w:rFonts w:ascii="Arial Nova" w:hAnsi="Arial Nova" w:cstheme="minorHAnsi"/>
          <w:i/>
          <w:color w:val="auto"/>
          <w:sz w:val="24"/>
          <w:szCs w:val="24"/>
        </w:rPr>
        <w:t>A10. Protection of the Privacy and Confidentiality of Information Provided by Respondent</w:t>
      </w:r>
      <w:bookmarkEnd w:id="22"/>
    </w:p>
    <w:p w:rsidR="00413CFF" w:rsidP="008842C8" w14:paraId="63727132" w14:textId="77777777">
      <w:pPr>
        <w:spacing w:after="120" w:line="276" w:lineRule="auto"/>
        <w:rPr>
          <w:rFonts w:ascii="Arial Nova" w:hAnsi="Arial Nova"/>
        </w:rPr>
      </w:pPr>
      <w:r w:rsidRPr="00413CFF">
        <w:rPr>
          <w:rFonts w:ascii="Arial Nova" w:hAnsi="Arial Nova"/>
        </w:rPr>
        <w:t>The CDC/ATSDR Privacy Officer, has assessed this package for applicability of 5 U.S.C. § 552a, and determined that the Privacy Act does not apply to the overall information collection (</w:t>
      </w:r>
      <w:r w:rsidRPr="00413CFF">
        <w:rPr>
          <w:rFonts w:ascii="Arial Nova" w:hAnsi="Arial Nova"/>
          <w:b/>
          <w:bCs/>
        </w:rPr>
        <w:t>Att. 18</w:t>
      </w:r>
      <w:r w:rsidRPr="00413CFF">
        <w:rPr>
          <w:rFonts w:ascii="Arial Nova" w:hAnsi="Arial Nova"/>
        </w:rPr>
        <w:t xml:space="preserve">), because the respondents are providing business contact information and not personally identifiable information. CDC does have an applicable System of Records Notice is 09-20-0161, “Records of Health Professionals in Disease Prevention and Control Training Programs,” last published in entirety in the Federal Register, Vol. 51, No. 226, November 24, 1986, pp. 42485-87 and last updated in 1994 that covers the collection of information requested for this collection. </w:t>
      </w:r>
    </w:p>
    <w:p w:rsidR="008842C8" w:rsidRPr="00223E5A" w:rsidP="008842C8" w14:paraId="2D32BD5C" w14:textId="386D85E6">
      <w:pPr>
        <w:spacing w:after="120" w:line="276" w:lineRule="auto"/>
        <w:rPr>
          <w:rFonts w:ascii="Arial Nova" w:hAnsi="Arial Nova"/>
        </w:rPr>
      </w:pPr>
      <w:r w:rsidRPr="00223E5A">
        <w:rPr>
          <w:rFonts w:ascii="Arial Nova" w:hAnsi="Arial Nova"/>
        </w:rPr>
        <w:t xml:space="preserve">The NNPTC HPAT </w:t>
      </w:r>
      <w:r w:rsidRPr="00223E5A">
        <w:rPr>
          <w:rFonts w:ascii="Arial Nova" w:hAnsi="Arial Nova"/>
          <w:b/>
        </w:rPr>
        <w:t xml:space="preserve">(Att </w:t>
      </w:r>
      <w:r w:rsidR="005F6EA4">
        <w:rPr>
          <w:rFonts w:ascii="Arial Nova" w:hAnsi="Arial Nova"/>
          <w:b/>
        </w:rPr>
        <w:t>3</w:t>
      </w:r>
      <w:r w:rsidRPr="00223E5A">
        <w:rPr>
          <w:rFonts w:ascii="Arial Nova" w:hAnsi="Arial Nova"/>
          <w:b/>
        </w:rPr>
        <w:t>)</w:t>
      </w:r>
      <w:r w:rsidRPr="00223E5A">
        <w:rPr>
          <w:rFonts w:ascii="Arial Nova" w:hAnsi="Arial Nova"/>
        </w:rPr>
        <w:t xml:space="preserve"> is the only instrument that collects categories of information in identifiable format from individual respondents such as: name, work mailing address, work phone numbers, work email address, work organization, race</w:t>
      </w:r>
      <w:r w:rsidR="00413CFF">
        <w:rPr>
          <w:rFonts w:ascii="Arial Nova" w:hAnsi="Arial Nova"/>
        </w:rPr>
        <w:t>,</w:t>
      </w:r>
      <w:r w:rsidRPr="00223E5A">
        <w:rPr>
          <w:rFonts w:ascii="Arial Nova" w:hAnsi="Arial Nova"/>
        </w:rPr>
        <w:t xml:space="preserve"> and ethnicity. These identifiable NNPTC HPAT data elements are needed to send information about the training or technical assistance for which they have registered, send electronic invitations to complete evaluation instruments, and identify county of workplace and type of employment setting to analyze reach. </w:t>
      </w:r>
    </w:p>
    <w:p w:rsidR="008842C8" w:rsidRPr="00223E5A" w:rsidP="008842C8" w14:paraId="0E9733FD" w14:textId="6CBE70A1">
      <w:pPr>
        <w:spacing w:after="120" w:line="276" w:lineRule="auto"/>
        <w:rPr>
          <w:rFonts w:ascii="Arial Nova" w:hAnsi="Arial Nova"/>
        </w:rPr>
      </w:pPr>
      <w:r w:rsidRPr="00223E5A">
        <w:rPr>
          <w:rFonts w:ascii="Arial Nova" w:hAnsi="Arial Nova"/>
        </w:rPr>
        <w:t>Data on race and ethnicity</w:t>
      </w:r>
      <w:r w:rsidRPr="00223E5A" w:rsidR="00AF5870">
        <w:rPr>
          <w:rFonts w:ascii="Arial Nova" w:hAnsi="Arial Nova"/>
        </w:rPr>
        <w:t xml:space="preserve"> and sexual orientation</w:t>
      </w:r>
      <w:r w:rsidRPr="00223E5A">
        <w:rPr>
          <w:rFonts w:ascii="Arial Nova" w:hAnsi="Arial Nova"/>
        </w:rPr>
        <w:t xml:space="preserve"> are collected on the NNPTC HPAT (</w:t>
      </w:r>
      <w:r w:rsidRPr="00223E5A">
        <w:rPr>
          <w:rFonts w:ascii="Arial Nova" w:hAnsi="Arial Nova"/>
          <w:b/>
        </w:rPr>
        <w:t xml:space="preserve">Att </w:t>
      </w:r>
      <w:r w:rsidR="005F6EA4">
        <w:rPr>
          <w:rFonts w:ascii="Arial Nova" w:hAnsi="Arial Nova"/>
          <w:b/>
        </w:rPr>
        <w:t>3</w:t>
      </w:r>
      <w:r w:rsidRPr="00223E5A">
        <w:rPr>
          <w:rFonts w:ascii="Arial Nova" w:hAnsi="Arial Nova"/>
        </w:rPr>
        <w:t>) because STDs disproportionally impact African Americans and Latino/as</w:t>
      </w:r>
      <w:r w:rsidRPr="00223E5A" w:rsidR="00AF5870">
        <w:rPr>
          <w:rFonts w:ascii="Arial Nova" w:hAnsi="Arial Nova"/>
        </w:rPr>
        <w:t>, and MSM</w:t>
      </w:r>
      <w:r w:rsidRPr="00223E5A">
        <w:rPr>
          <w:rFonts w:ascii="Arial Nova" w:hAnsi="Arial Nova"/>
        </w:rPr>
        <w:t xml:space="preserve">.  As such it is important to make sure the NNPTC </w:t>
      </w:r>
      <w:r w:rsidR="00C03DB4">
        <w:rPr>
          <w:rFonts w:ascii="Arial Nova" w:hAnsi="Arial Nova"/>
        </w:rPr>
        <w:t>trains all</w:t>
      </w:r>
      <w:r w:rsidRPr="00223E5A">
        <w:rPr>
          <w:rFonts w:ascii="Arial Nova" w:hAnsi="Arial Nova"/>
        </w:rPr>
        <w:t xml:space="preserve"> providers who work with </w:t>
      </w:r>
      <w:r w:rsidR="00A9456A">
        <w:rPr>
          <w:rFonts w:ascii="Arial Nova" w:hAnsi="Arial Nova"/>
        </w:rPr>
        <w:t>disproportionally impacted</w:t>
      </w:r>
      <w:r w:rsidRPr="00223E5A" w:rsidR="00C03DB4">
        <w:rPr>
          <w:rFonts w:ascii="Arial Nova" w:hAnsi="Arial Nova"/>
        </w:rPr>
        <w:t xml:space="preserve"> </w:t>
      </w:r>
      <w:r w:rsidRPr="00223E5A">
        <w:rPr>
          <w:rFonts w:ascii="Arial Nova" w:hAnsi="Arial Nova"/>
        </w:rPr>
        <w:t>populations.</w:t>
      </w:r>
      <w:r w:rsidR="004124BA">
        <w:rPr>
          <w:rFonts w:ascii="Arial Nova" w:hAnsi="Arial Nova"/>
        </w:rPr>
        <w:t xml:space="preserve"> </w:t>
      </w:r>
      <w:r w:rsidRPr="00223E5A" w:rsidR="004124BA">
        <w:rPr>
          <w:rFonts w:ascii="Arial Nova" w:hAnsi="Arial Nova"/>
        </w:rPr>
        <w:t>The</w:t>
      </w:r>
      <w:r w:rsidR="004124BA">
        <w:rPr>
          <w:rFonts w:ascii="Arial Nova" w:hAnsi="Arial Nova"/>
        </w:rPr>
        <w:t>se</w:t>
      </w:r>
      <w:r w:rsidRPr="00223E5A" w:rsidR="004124BA">
        <w:rPr>
          <w:rFonts w:ascii="Arial Nova" w:hAnsi="Arial Nova"/>
        </w:rPr>
        <w:t xml:space="preserve"> demographic data are needed to complete registration and conduct training assistance. None of the identifiable HPAT data are transmitted to CDC.</w:t>
      </w:r>
    </w:p>
    <w:p w:rsidR="008842C8" w:rsidRPr="00223E5A" w:rsidP="008842C8" w14:paraId="59B221E9" w14:textId="6A00E65D">
      <w:pPr>
        <w:spacing w:after="120" w:line="276" w:lineRule="auto"/>
        <w:rPr>
          <w:rFonts w:ascii="Arial Nova" w:hAnsi="Arial Nova"/>
        </w:rPr>
      </w:pPr>
      <w:r w:rsidRPr="00223E5A">
        <w:rPr>
          <w:rFonts w:ascii="Arial Nova" w:hAnsi="Arial Nova"/>
        </w:rPr>
        <w:t xml:space="preserve">The NNPTC HPAT data transmitted to CDC will include no identifying information.  A unique identifier will be generated for all data collection instruments to enable linking data from multiple data collection tools.  </w:t>
      </w:r>
    </w:p>
    <w:p w:rsidR="008842C8" w:rsidRPr="00223E5A" w:rsidP="008842C8" w14:paraId="21CBDFE8" w14:textId="77777777">
      <w:pPr>
        <w:spacing w:after="120" w:line="276" w:lineRule="auto"/>
        <w:rPr>
          <w:rFonts w:ascii="Arial Nova" w:hAnsi="Arial Nova"/>
        </w:rPr>
      </w:pPr>
      <w:r w:rsidRPr="00223E5A">
        <w:rPr>
          <w:rFonts w:ascii="Arial Nova" w:hAnsi="Arial Nova"/>
        </w:rPr>
        <w:t xml:space="preserve">The identifiable information collected by the National Evaluation Center is stored behind firewalls at the NEC in password protected files and are available only to authorized users of the NEC.  As noted above, no IIF is provided to the DSTDP. </w:t>
      </w:r>
    </w:p>
    <w:p w:rsidR="008842C8" w:rsidRPr="00223E5A" w:rsidP="008842C8" w14:paraId="25598F37" w14:textId="77777777">
      <w:pPr>
        <w:spacing w:after="120" w:line="276" w:lineRule="auto"/>
        <w:rPr>
          <w:rFonts w:ascii="Arial Nova" w:hAnsi="Arial Nova"/>
        </w:rPr>
      </w:pPr>
      <w:r w:rsidRPr="00223E5A">
        <w:rPr>
          <w:rFonts w:ascii="Arial Nova" w:hAnsi="Arial Nova"/>
        </w:rPr>
        <w:t>There are several safeguards in place to handle de-identified data submitted to the CDC.  Data will be stored and managed based on current CDC/OCISO (Office of the Chief Information Security Officer) requirements and standards</w:t>
      </w:r>
      <w:r w:rsidRPr="00223E5A">
        <w:rPr>
          <w:rFonts w:ascii="Arial Nova" w:hAnsi="Arial Nova"/>
          <w:color w:val="FF0000"/>
        </w:rPr>
        <w:t xml:space="preserve">.  </w:t>
      </w:r>
      <w:r w:rsidRPr="00223E5A">
        <w:rPr>
          <w:rFonts w:ascii="Arial Nova" w:hAnsi="Arial Nova"/>
        </w:rPr>
        <w:t>This includes protecting stored data within the CDC Internet Firewall.  The data are stored and managed based on current CDC/OCISO requirements and standards which also includes the process for handling security incidents and the event monitoring and incident response.  All administrative controls required by OCISO are validated through a “Certification and Authorization” (C&amp;A) process as conducted by OCISO prior to moving any software application into “Production” on the CDC network.</w:t>
      </w:r>
    </w:p>
    <w:p w:rsidR="008842C8" w:rsidRPr="00223E5A" w:rsidP="008842C8" w14:paraId="77D7F2D7" w14:textId="77777777">
      <w:pPr>
        <w:spacing w:after="120" w:line="276" w:lineRule="auto"/>
        <w:rPr>
          <w:rFonts w:ascii="Arial Nova" w:hAnsi="Arial Nova"/>
        </w:rPr>
      </w:pPr>
      <w:r w:rsidRPr="00223E5A">
        <w:rPr>
          <w:rFonts w:ascii="Arial Nova" w:hAnsi="Arial Nova"/>
        </w:rPr>
        <w:t xml:space="preserve">Files are backed up daily and stored both onsite and offsite in accordance with CDC standards and OCISO guidelines. Contractors who operate and use the system are managed </w:t>
      </w:r>
      <w:r w:rsidRPr="00223E5A">
        <w:rPr>
          <w:rFonts w:ascii="Arial Nova" w:hAnsi="Arial Nova"/>
        </w:rPr>
        <w:t xml:space="preserve">via the “CDC Information Management Services” (CIMS) contract which requires signed confidentiality agreements.  All users’ access is “role based” and reflects a “need to know” policy established by CDC. Accountability is maintained with a user access log file which tracks users’ access to the system. Records will be retained and destroyed in accordance with the applicable CDC Records Control Schedule as mandated by OCISO. </w:t>
      </w:r>
    </w:p>
    <w:p w:rsidR="008842C8" w:rsidRPr="00223E5A" w:rsidP="008842C8" w14:paraId="328C1559" w14:textId="77777777">
      <w:pPr>
        <w:spacing w:after="120" w:line="276" w:lineRule="auto"/>
        <w:rPr>
          <w:rFonts w:ascii="Arial Nova" w:hAnsi="Arial Nova"/>
        </w:rPr>
      </w:pPr>
      <w:r w:rsidRPr="00223E5A">
        <w:rPr>
          <w:rFonts w:ascii="Arial Nova" w:hAnsi="Arial Nova"/>
        </w:rPr>
        <w:t xml:space="preserve">(http://www.cdc.gov/about/leadership/leaders/seligman.htm” (http://aops-mas-iis.od.cdc.gov/Policy/Doc/policy449.htm) </w:t>
      </w:r>
    </w:p>
    <w:p w:rsidR="00643C52" w:rsidRPr="00223E5A" w:rsidP="001A27EB" w14:paraId="550E2C2C" w14:textId="77777777">
      <w:pPr>
        <w:spacing w:line="360" w:lineRule="auto"/>
        <w:rPr>
          <w:rFonts w:ascii="Arial Nova" w:hAnsi="Arial Nova" w:cstheme="minorHAnsi"/>
          <w:color w:val="C75000"/>
        </w:rPr>
      </w:pPr>
    </w:p>
    <w:p w:rsidR="00247D67" w:rsidRPr="00223E5A" w:rsidP="00247D67" w14:paraId="1BC1783E" w14:textId="77777777">
      <w:pPr>
        <w:pStyle w:val="Heading2"/>
        <w:spacing w:line="276" w:lineRule="auto"/>
        <w:rPr>
          <w:rFonts w:ascii="Arial Nova" w:hAnsi="Arial Nova" w:cstheme="minorHAnsi"/>
          <w:i/>
          <w:color w:val="auto"/>
          <w:sz w:val="24"/>
          <w:szCs w:val="24"/>
        </w:rPr>
      </w:pPr>
      <w:bookmarkStart w:id="23" w:name="_Toc36702997"/>
      <w:r w:rsidRPr="00223E5A">
        <w:rPr>
          <w:rFonts w:ascii="Arial Nova" w:hAnsi="Arial Nova" w:cstheme="minorHAnsi"/>
          <w:i/>
          <w:color w:val="auto"/>
          <w:sz w:val="24"/>
          <w:szCs w:val="24"/>
        </w:rPr>
        <w:t>A11. Institutional Review Board (IRB) and Justification for Sensitive Questions</w:t>
      </w:r>
      <w:bookmarkEnd w:id="23"/>
      <w:r w:rsidRPr="00223E5A">
        <w:rPr>
          <w:rFonts w:ascii="Arial Nova" w:hAnsi="Arial Nova" w:cstheme="minorHAnsi"/>
          <w:sz w:val="24"/>
          <w:szCs w:val="24"/>
        </w:rPr>
        <w:t xml:space="preserve"> </w:t>
      </w:r>
    </w:p>
    <w:p w:rsidR="00D770BA" w:rsidRPr="00223E5A" w:rsidP="00643C52" w14:paraId="682E9759" w14:textId="77777777">
      <w:pPr>
        <w:rPr>
          <w:rFonts w:ascii="Arial Nova" w:hAnsi="Arial Nova"/>
          <w:b/>
          <w:i/>
          <w:color w:val="F79646" w:themeColor="accent6"/>
        </w:rPr>
      </w:pPr>
    </w:p>
    <w:p w:rsidR="008842C8" w:rsidRPr="00223E5A" w:rsidP="008842C8" w14:paraId="41031F52" w14:textId="777B6B63">
      <w:pPr>
        <w:spacing w:after="120" w:line="276" w:lineRule="auto"/>
        <w:rPr>
          <w:rFonts w:ascii="Arial Nova" w:hAnsi="Arial Nova"/>
        </w:rPr>
      </w:pPr>
      <w:r w:rsidRPr="00223E5A">
        <w:rPr>
          <w:rFonts w:ascii="Arial Nova" w:hAnsi="Arial Nova"/>
        </w:rPr>
        <w:t>This project is an evaluation activity for the purpose of monitoring program activity, and it does not involve human subjects research. The Funding Announcement PS14-1407 included a non-research determination, therefore, IRB review is not required (</w:t>
      </w:r>
      <w:r w:rsidRPr="00223E5A">
        <w:rPr>
          <w:rFonts w:ascii="Arial Nova" w:hAnsi="Arial Nova"/>
          <w:b/>
        </w:rPr>
        <w:t>Att 1</w:t>
      </w:r>
      <w:r w:rsidR="005F6EA4">
        <w:rPr>
          <w:rFonts w:ascii="Arial Nova" w:hAnsi="Arial Nova"/>
          <w:b/>
        </w:rPr>
        <w:t>7</w:t>
      </w:r>
      <w:r w:rsidRPr="00223E5A">
        <w:rPr>
          <w:rFonts w:ascii="Arial Nova" w:hAnsi="Arial Nova"/>
        </w:rPr>
        <w:t xml:space="preserve">).   </w:t>
      </w:r>
    </w:p>
    <w:p w:rsidR="00E702B3" w:rsidRPr="00223E5A" w:rsidP="008842C8" w14:paraId="2D61F33C" w14:textId="18ADEC0B">
      <w:pPr>
        <w:spacing w:after="120" w:line="276" w:lineRule="auto"/>
        <w:rPr>
          <w:rFonts w:ascii="Arial Nova" w:hAnsi="Arial Nova"/>
        </w:rPr>
      </w:pPr>
      <w:r w:rsidRPr="00223E5A">
        <w:rPr>
          <w:rFonts w:ascii="Arial Nova" w:hAnsi="Arial Nova"/>
        </w:rPr>
        <w:t xml:space="preserve">No sensitive information is being collected. </w:t>
      </w:r>
    </w:p>
    <w:p w:rsidR="007300ED" w:rsidRPr="00223E5A" w:rsidP="00744AAE" w14:paraId="0C4C8BC7" w14:textId="19B153C2">
      <w:pPr>
        <w:pStyle w:val="Heading2"/>
        <w:spacing w:line="276" w:lineRule="auto"/>
        <w:rPr>
          <w:rFonts w:ascii="Arial Nova" w:hAnsi="Arial Nova" w:cstheme="minorHAnsi"/>
          <w:i/>
          <w:color w:val="auto"/>
          <w:sz w:val="24"/>
          <w:szCs w:val="24"/>
        </w:rPr>
      </w:pPr>
    </w:p>
    <w:p w:rsidR="00E76710" w:rsidRPr="00223E5A" w:rsidP="00E76710" w14:paraId="42E6FFFC" w14:textId="0F70EA88">
      <w:pPr>
        <w:rPr>
          <w:rFonts w:ascii="Arial Nova" w:hAnsi="Arial Nova"/>
        </w:rPr>
      </w:pPr>
      <w:bookmarkStart w:id="24" w:name="_Toc36702998"/>
      <w:r w:rsidRPr="00223E5A">
        <w:rPr>
          <w:rFonts w:ascii="Arial Nova" w:hAnsi="Arial Nova" w:eastAsiaTheme="majorEastAsia" w:cstheme="minorHAnsi"/>
          <w:b/>
          <w:bCs/>
          <w:i/>
        </w:rPr>
        <w:t>A12. Estimates of Annualized Burden Hours and Costs</w:t>
      </w:r>
      <w:bookmarkEnd w:id="24"/>
    </w:p>
    <w:p w:rsidR="0029646E" w:rsidRPr="00223E5A" w:rsidP="0029646E" w14:paraId="361ECABC" w14:textId="77777777">
      <w:pPr>
        <w:spacing w:line="276" w:lineRule="auto"/>
        <w:rPr>
          <w:rFonts w:ascii="Arial Nova" w:hAnsi="Arial Nova" w:cstheme="minorHAnsi"/>
          <w:b/>
          <w:color w:val="C75000"/>
        </w:rPr>
      </w:pPr>
    </w:p>
    <w:p w:rsidR="0029646E" w:rsidRPr="00223E5A" w:rsidP="007C3ACE" w14:paraId="56544E0F" w14:textId="30A5607F">
      <w:pPr>
        <w:spacing w:after="120" w:line="276" w:lineRule="auto"/>
        <w:rPr>
          <w:rFonts w:ascii="Arial Nova" w:hAnsi="Arial Nova"/>
        </w:rPr>
      </w:pPr>
      <w:r w:rsidRPr="00223E5A">
        <w:rPr>
          <w:rFonts w:ascii="Arial Nova" w:hAnsi="Arial Nova"/>
        </w:rPr>
        <w:t xml:space="preserve">The estimate for burden hours is based on informal review of the information collection instruments by multiple and various types of health professionals (e.g., nurses, physicians, Disease intervention specialist). Table </w:t>
      </w:r>
      <w:r w:rsidRPr="00223E5A" w:rsidR="00634AFA">
        <w:rPr>
          <w:rFonts w:ascii="Arial Nova" w:hAnsi="Arial Nova"/>
        </w:rPr>
        <w:t>A</w:t>
      </w:r>
      <w:r w:rsidRPr="00223E5A">
        <w:rPr>
          <w:rFonts w:ascii="Arial Nova" w:hAnsi="Arial Nova"/>
        </w:rPr>
        <w:t>1</w:t>
      </w:r>
      <w:r w:rsidRPr="00223E5A" w:rsidR="00634AFA">
        <w:rPr>
          <w:rFonts w:ascii="Arial Nova" w:hAnsi="Arial Nova"/>
        </w:rPr>
        <w:t>2.-A</w:t>
      </w:r>
      <w:r w:rsidRPr="00223E5A">
        <w:rPr>
          <w:rFonts w:ascii="Arial Nova" w:hAnsi="Arial Nova"/>
        </w:rPr>
        <w:t xml:space="preserve"> summarizes the average time to complete the instruments, including time for reviewing instructions, gathering needed information, and completing the instrument for a description of the instruments.</w:t>
      </w:r>
    </w:p>
    <w:p w:rsidR="0029646E" w:rsidRPr="00223E5A" w:rsidP="007C3ACE" w14:paraId="7B438564" w14:textId="326B47A2">
      <w:pPr>
        <w:spacing w:after="120" w:line="276" w:lineRule="auto"/>
        <w:rPr>
          <w:rFonts w:ascii="Arial Nova" w:hAnsi="Arial Nova"/>
        </w:rPr>
      </w:pPr>
      <w:r w:rsidRPr="00223E5A">
        <w:rPr>
          <w:rFonts w:ascii="Arial Nova" w:hAnsi="Arial Nova"/>
        </w:rPr>
        <w:t>The estimated number of respondents is 4,500 health professionals. The estimated number of respondents is based on the annual average number of health professionals, trained by the NNPTC in one year. We estimate 4,500 health professionals will provide one response each per NNPTC HPAT (</w:t>
      </w:r>
      <w:r w:rsidRPr="00223E5A">
        <w:rPr>
          <w:rFonts w:ascii="Arial Nova" w:hAnsi="Arial Nova"/>
          <w:b/>
          <w:bCs/>
        </w:rPr>
        <w:t>Att</w:t>
      </w:r>
      <w:r w:rsidRPr="00223E5A" w:rsidR="00634AFA">
        <w:rPr>
          <w:rFonts w:ascii="Arial Nova" w:hAnsi="Arial Nova"/>
          <w:b/>
          <w:bCs/>
        </w:rPr>
        <w:t xml:space="preserve"> </w:t>
      </w:r>
      <w:r w:rsidR="005F6EA4">
        <w:rPr>
          <w:rFonts w:ascii="Arial Nova" w:hAnsi="Arial Nova"/>
          <w:b/>
          <w:bCs/>
        </w:rPr>
        <w:t>3</w:t>
      </w:r>
      <w:r w:rsidRPr="00223E5A">
        <w:rPr>
          <w:rFonts w:ascii="Arial Nova" w:hAnsi="Arial Nova"/>
        </w:rPr>
        <w:t xml:space="preserve">) per year at an estimated 3 minutes per response for a total of 225 burden hours.  Out of the 4,500 respondents, approximately 60% will complete the appropriate post-course evaluation based upon the course they complete and approximately 30% of post-course respondents will complete the appropriate Long-Term Evaluation instrument for each episode of training or technical assistance in which they participate. The additional collection instruments total </w:t>
      </w:r>
      <w:r w:rsidR="00AD5861">
        <w:rPr>
          <w:rFonts w:ascii="Arial Nova" w:hAnsi="Arial Nova"/>
        </w:rPr>
        <w:t>142</w:t>
      </w:r>
      <w:r w:rsidRPr="00223E5A">
        <w:rPr>
          <w:rFonts w:ascii="Arial Nova" w:hAnsi="Arial Nova"/>
        </w:rPr>
        <w:t xml:space="preserve"> burden hours.  Respondents will also receive email notifications with link. Immediate Post-Course email invitation, Att </w:t>
      </w:r>
      <w:r w:rsidR="005F6EA4">
        <w:rPr>
          <w:rFonts w:ascii="Arial Nova" w:hAnsi="Arial Nova"/>
        </w:rPr>
        <w:t>5</w:t>
      </w:r>
      <w:r w:rsidRPr="00223E5A">
        <w:rPr>
          <w:rFonts w:ascii="Arial Nova" w:hAnsi="Arial Nova"/>
        </w:rPr>
        <w:t xml:space="preserve"> will be sent to the 4,500 course participants. Reading of the email is estimated at 1 minute per response for a total burden of 75 hours and the 3 Month Long-Term email invitation Att </w:t>
      </w:r>
      <w:r w:rsidR="005F6EA4">
        <w:rPr>
          <w:rFonts w:ascii="Arial Nova" w:hAnsi="Arial Nova"/>
        </w:rPr>
        <w:t>7</w:t>
      </w:r>
      <w:r w:rsidRPr="00223E5A">
        <w:rPr>
          <w:rFonts w:ascii="Arial Nova" w:hAnsi="Arial Nova"/>
        </w:rPr>
        <w:t xml:space="preserve">, will be sent to 660 respondents, with 1 minute response time; equaling 11 total burden hours. The total burden hours for the email are 86 burden hours. </w:t>
      </w:r>
    </w:p>
    <w:p w:rsidR="0029646E" w:rsidRPr="00223E5A" w:rsidP="007C3ACE" w14:paraId="68613567" w14:textId="1951BCCE">
      <w:pPr>
        <w:spacing w:after="120" w:line="276" w:lineRule="auto"/>
        <w:rPr>
          <w:rFonts w:ascii="Arial Nova" w:hAnsi="Arial Nova"/>
        </w:rPr>
      </w:pPr>
      <w:r w:rsidRPr="00223E5A">
        <w:rPr>
          <w:rFonts w:ascii="Arial Nova" w:hAnsi="Arial Nova"/>
        </w:rPr>
        <w:t xml:space="preserve">The total annualized burden hours for the annual information collection is </w:t>
      </w:r>
      <w:r w:rsidR="00AD5861">
        <w:rPr>
          <w:rFonts w:ascii="Arial Nova" w:hAnsi="Arial Nova"/>
        </w:rPr>
        <w:t>453</w:t>
      </w:r>
      <w:r w:rsidRPr="00223E5A">
        <w:rPr>
          <w:rFonts w:ascii="Arial Nova" w:hAnsi="Arial Nova"/>
        </w:rPr>
        <w:t xml:space="preserve">.  Table </w:t>
      </w:r>
      <w:r w:rsidRPr="00223E5A" w:rsidR="00BC3F8C">
        <w:rPr>
          <w:rFonts w:ascii="Arial Nova" w:hAnsi="Arial Nova"/>
        </w:rPr>
        <w:t>A</w:t>
      </w:r>
      <w:r w:rsidRPr="00223E5A">
        <w:rPr>
          <w:rFonts w:ascii="Arial Nova" w:hAnsi="Arial Nova"/>
        </w:rPr>
        <w:t>1</w:t>
      </w:r>
      <w:r w:rsidRPr="00223E5A" w:rsidR="00BC3F8C">
        <w:rPr>
          <w:rFonts w:ascii="Arial Nova" w:hAnsi="Arial Nova"/>
        </w:rPr>
        <w:t>2</w:t>
      </w:r>
      <w:r w:rsidRPr="00223E5A" w:rsidR="00B7211D">
        <w:rPr>
          <w:rFonts w:ascii="Arial Nova" w:hAnsi="Arial Nova"/>
        </w:rPr>
        <w:t>.-</w:t>
      </w:r>
      <w:r w:rsidRPr="00223E5A" w:rsidR="00BC3F8C">
        <w:rPr>
          <w:rFonts w:ascii="Arial Nova" w:hAnsi="Arial Nova"/>
        </w:rPr>
        <w:t>A</w:t>
      </w:r>
      <w:r w:rsidRPr="00223E5A">
        <w:rPr>
          <w:rFonts w:ascii="Arial Nova" w:hAnsi="Arial Nova"/>
        </w:rPr>
        <w:t xml:space="preserve"> shows estimated time burden.</w:t>
      </w:r>
    </w:p>
    <w:tbl>
      <w:tblPr>
        <w:tblpPr w:leftFromText="180" w:rightFromText="180" w:vertAnchor="text" w:horzAnchor="margin" w:tblpY="301"/>
        <w:tblOverlap w:val="never"/>
        <w:tblW w:w="16140" w:type="dxa"/>
        <w:tblCellMar>
          <w:left w:w="0" w:type="dxa"/>
          <w:right w:w="0" w:type="dxa"/>
        </w:tblCellMar>
        <w:tblLook w:val="04A0"/>
      </w:tblPr>
      <w:tblGrid>
        <w:gridCol w:w="1495"/>
        <w:gridCol w:w="3010"/>
        <w:gridCol w:w="1545"/>
        <w:gridCol w:w="1423"/>
        <w:gridCol w:w="1569"/>
        <w:gridCol w:w="1221"/>
        <w:gridCol w:w="1470"/>
        <w:gridCol w:w="1469"/>
        <w:gridCol w:w="1469"/>
        <w:gridCol w:w="1469"/>
      </w:tblGrid>
      <w:tr w14:paraId="7FC87A91" w14:textId="77777777" w:rsidTr="0029646E">
        <w:tblPrEx>
          <w:tblW w:w="16140" w:type="dxa"/>
          <w:tblCellMar>
            <w:left w:w="0" w:type="dxa"/>
            <w:right w:w="0" w:type="dxa"/>
          </w:tblCellMar>
          <w:tblLook w:val="04A0"/>
        </w:tblPrEx>
        <w:trPr>
          <w:gridAfter w:val="4"/>
          <w:wAfter w:w="6065" w:type="dxa"/>
          <w:trHeight w:val="610"/>
          <w:tblHeader/>
        </w:trPr>
        <w:tc>
          <w:tcPr>
            <w:tcW w:w="1484" w:type="dxa"/>
            <w:tcBorders>
              <w:top w:val="single" w:sz="8" w:space="0" w:color="000000"/>
              <w:left w:val="single" w:sz="8" w:space="0" w:color="000000"/>
              <w:bottom w:val="single" w:sz="8" w:space="0" w:color="000000"/>
              <w:right w:val="single" w:sz="8" w:space="0" w:color="000000"/>
            </w:tcBorders>
            <w:tcMar>
              <w:top w:w="0" w:type="dxa"/>
              <w:left w:w="29" w:type="dxa"/>
              <w:bottom w:w="0" w:type="dxa"/>
              <w:right w:w="29" w:type="dxa"/>
            </w:tcMar>
            <w:vAlign w:val="center"/>
            <w:hideMark/>
          </w:tcPr>
          <w:p w:rsidR="0029646E" w:rsidRPr="00223E5A" w:rsidP="00115FCE" w14:paraId="744A95CB" w14:textId="6DD30A7D">
            <w:pPr>
              <w:spacing w:after="120"/>
              <w:contextualSpacing/>
              <w:jc w:val="center"/>
              <w:rPr>
                <w:rFonts w:ascii="Arial Nova" w:hAnsi="Arial Nova"/>
                <w:b/>
                <w:bCs/>
              </w:rPr>
            </w:pPr>
            <w:bookmarkStart w:id="25" w:name="_Hlk94615667"/>
            <w:r w:rsidRPr="00223E5A">
              <w:rPr>
                <w:rFonts w:ascii="Arial Nova" w:hAnsi="Arial Nova"/>
                <w:b/>
                <w:bCs/>
              </w:rPr>
              <w:t>Type of Respondent</w:t>
            </w:r>
          </w:p>
        </w:tc>
        <w:tc>
          <w:tcPr>
            <w:tcW w:w="3067" w:type="dxa"/>
            <w:tcBorders>
              <w:top w:val="single" w:sz="8" w:space="0" w:color="000000"/>
              <w:left w:val="nil"/>
              <w:bottom w:val="single" w:sz="8" w:space="0" w:color="000000"/>
              <w:right w:val="single" w:sz="8" w:space="0" w:color="000000"/>
            </w:tcBorders>
            <w:tcMar>
              <w:top w:w="0" w:type="dxa"/>
              <w:left w:w="29" w:type="dxa"/>
              <w:bottom w:w="0" w:type="dxa"/>
              <w:right w:w="29" w:type="dxa"/>
            </w:tcMar>
            <w:vAlign w:val="center"/>
            <w:hideMark/>
          </w:tcPr>
          <w:p w:rsidR="0029646E" w:rsidRPr="00223E5A" w:rsidP="00115FCE" w14:paraId="6C6183BB" w14:textId="77777777">
            <w:pPr>
              <w:spacing w:after="120"/>
              <w:contextualSpacing/>
              <w:rPr>
                <w:rFonts w:ascii="Arial Nova" w:hAnsi="Arial Nova"/>
                <w:b/>
                <w:bCs/>
              </w:rPr>
            </w:pPr>
            <w:r w:rsidRPr="00223E5A">
              <w:rPr>
                <w:rFonts w:ascii="Arial Nova" w:hAnsi="Arial Nova"/>
                <w:b/>
                <w:bCs/>
              </w:rPr>
              <w:t>Form Name</w:t>
            </w:r>
          </w:p>
        </w:tc>
        <w:tc>
          <w:tcPr>
            <w:tcW w:w="1365" w:type="dxa"/>
            <w:tcBorders>
              <w:top w:val="single" w:sz="8" w:space="0" w:color="000000"/>
              <w:left w:val="nil"/>
              <w:bottom w:val="single" w:sz="8" w:space="0" w:color="000000"/>
              <w:right w:val="single" w:sz="8" w:space="0" w:color="000000"/>
            </w:tcBorders>
            <w:tcMar>
              <w:top w:w="0" w:type="dxa"/>
              <w:left w:w="29" w:type="dxa"/>
              <w:bottom w:w="0" w:type="dxa"/>
              <w:right w:w="29" w:type="dxa"/>
            </w:tcMar>
            <w:vAlign w:val="center"/>
            <w:hideMark/>
          </w:tcPr>
          <w:p w:rsidR="0029646E" w:rsidRPr="00223E5A" w:rsidP="00115FCE" w14:paraId="740787DA" w14:textId="77777777">
            <w:pPr>
              <w:spacing w:after="120"/>
              <w:contextualSpacing/>
              <w:jc w:val="center"/>
              <w:rPr>
                <w:rFonts w:ascii="Arial Nova" w:hAnsi="Arial Nova"/>
                <w:b/>
                <w:bCs/>
              </w:rPr>
            </w:pPr>
            <w:r w:rsidRPr="00223E5A">
              <w:rPr>
                <w:rFonts w:ascii="Arial Nova" w:hAnsi="Arial Nova"/>
                <w:b/>
                <w:bCs/>
              </w:rPr>
              <w:t>No. of Respondents</w:t>
            </w:r>
          </w:p>
        </w:tc>
        <w:tc>
          <w:tcPr>
            <w:tcW w:w="1345" w:type="dxa"/>
            <w:tcBorders>
              <w:top w:val="single" w:sz="8" w:space="0" w:color="000000"/>
              <w:left w:val="nil"/>
              <w:bottom w:val="single" w:sz="8" w:space="0" w:color="000000"/>
              <w:right w:val="single" w:sz="8" w:space="0" w:color="000000"/>
            </w:tcBorders>
            <w:tcMar>
              <w:top w:w="0" w:type="dxa"/>
              <w:left w:w="29" w:type="dxa"/>
              <w:bottom w:w="0" w:type="dxa"/>
              <w:right w:w="29" w:type="dxa"/>
            </w:tcMar>
            <w:vAlign w:val="center"/>
            <w:hideMark/>
          </w:tcPr>
          <w:p w:rsidR="0029646E" w:rsidRPr="00223E5A" w:rsidP="00115FCE" w14:paraId="5FF3BE30" w14:textId="77777777">
            <w:pPr>
              <w:spacing w:line="200" w:lineRule="exact"/>
              <w:contextualSpacing/>
              <w:jc w:val="center"/>
              <w:rPr>
                <w:rFonts w:ascii="Arial Nova" w:hAnsi="Arial Nova"/>
                <w:b/>
                <w:bCs/>
              </w:rPr>
            </w:pPr>
            <w:r w:rsidRPr="00223E5A">
              <w:rPr>
                <w:rFonts w:ascii="Arial Nova" w:hAnsi="Arial Nova"/>
                <w:b/>
                <w:bCs/>
              </w:rPr>
              <w:t>No. Responses per Respondent</w:t>
            </w:r>
          </w:p>
        </w:tc>
        <w:tc>
          <w:tcPr>
            <w:tcW w:w="1582" w:type="dxa"/>
            <w:tcBorders>
              <w:top w:val="single" w:sz="8" w:space="0" w:color="000000"/>
              <w:left w:val="nil"/>
              <w:bottom w:val="single" w:sz="8" w:space="0" w:color="000000"/>
              <w:right w:val="single" w:sz="8" w:space="0" w:color="000000"/>
            </w:tcBorders>
            <w:tcMar>
              <w:top w:w="0" w:type="dxa"/>
              <w:left w:w="29" w:type="dxa"/>
              <w:bottom w:w="0" w:type="dxa"/>
              <w:right w:w="29" w:type="dxa"/>
            </w:tcMar>
            <w:vAlign w:val="center"/>
            <w:hideMark/>
          </w:tcPr>
          <w:p w:rsidR="0029646E" w:rsidRPr="00223E5A" w:rsidP="00115FCE" w14:paraId="24D42B5B" w14:textId="77777777">
            <w:pPr>
              <w:spacing w:line="200" w:lineRule="exact"/>
              <w:contextualSpacing/>
              <w:jc w:val="center"/>
              <w:rPr>
                <w:rFonts w:ascii="Arial Nova" w:hAnsi="Arial Nova"/>
                <w:b/>
                <w:bCs/>
              </w:rPr>
            </w:pPr>
            <w:r w:rsidRPr="00223E5A">
              <w:rPr>
                <w:rFonts w:ascii="Arial Nova" w:hAnsi="Arial Nova"/>
                <w:b/>
                <w:bCs/>
              </w:rPr>
              <w:t xml:space="preserve">Average Burden per Response </w:t>
            </w:r>
            <w:r w:rsidRPr="00223E5A">
              <w:rPr>
                <w:rFonts w:ascii="Arial Nova" w:hAnsi="Arial Nova"/>
                <w:b/>
                <w:bCs/>
              </w:rPr>
              <w:br/>
              <w:t>(in hours)</w:t>
            </w:r>
          </w:p>
        </w:tc>
        <w:tc>
          <w:tcPr>
            <w:tcW w:w="1232" w:type="dxa"/>
            <w:tcBorders>
              <w:top w:val="single" w:sz="8" w:space="0" w:color="000000"/>
              <w:left w:val="nil"/>
              <w:bottom w:val="single" w:sz="8" w:space="0" w:color="000000"/>
              <w:right w:val="single" w:sz="8" w:space="0" w:color="000000"/>
            </w:tcBorders>
            <w:tcMar>
              <w:top w:w="0" w:type="dxa"/>
              <w:left w:w="29" w:type="dxa"/>
              <w:bottom w:w="0" w:type="dxa"/>
              <w:right w:w="29" w:type="dxa"/>
            </w:tcMar>
            <w:vAlign w:val="center"/>
            <w:hideMark/>
          </w:tcPr>
          <w:p w:rsidR="0029646E" w:rsidRPr="00223E5A" w:rsidP="00115FCE" w14:paraId="7A8FF575" w14:textId="77777777">
            <w:pPr>
              <w:spacing w:line="200" w:lineRule="exact"/>
              <w:contextualSpacing/>
              <w:jc w:val="center"/>
              <w:rPr>
                <w:rFonts w:ascii="Arial Nova" w:hAnsi="Arial Nova"/>
                <w:b/>
                <w:bCs/>
              </w:rPr>
            </w:pPr>
            <w:r w:rsidRPr="00223E5A">
              <w:rPr>
                <w:rFonts w:ascii="Arial Nova" w:hAnsi="Arial Nova"/>
                <w:b/>
                <w:bCs/>
              </w:rPr>
              <w:t>Total Burden Hours</w:t>
            </w:r>
          </w:p>
        </w:tc>
      </w:tr>
      <w:tr w14:paraId="571E312C" w14:textId="77777777" w:rsidTr="0029646E">
        <w:tblPrEx>
          <w:tblW w:w="16140" w:type="dxa"/>
          <w:tblCellMar>
            <w:left w:w="0" w:type="dxa"/>
            <w:right w:w="0" w:type="dxa"/>
          </w:tblCellMar>
          <w:tblLook w:val="04A0"/>
        </w:tblPrEx>
        <w:trPr>
          <w:gridAfter w:val="4"/>
          <w:wAfter w:w="6065" w:type="dxa"/>
          <w:trHeight w:val="1042"/>
          <w:tblHeader/>
        </w:trPr>
        <w:tc>
          <w:tcPr>
            <w:tcW w:w="1484" w:type="dxa"/>
            <w:tcBorders>
              <w:top w:val="nil"/>
              <w:left w:val="single" w:sz="8" w:space="0" w:color="000000"/>
              <w:bottom w:val="single" w:sz="8" w:space="0" w:color="000000"/>
              <w:right w:val="single" w:sz="8" w:space="0" w:color="000000"/>
            </w:tcBorders>
            <w:tcMar>
              <w:top w:w="0" w:type="dxa"/>
              <w:left w:w="29" w:type="dxa"/>
              <w:bottom w:w="0" w:type="dxa"/>
              <w:right w:w="29" w:type="dxa"/>
            </w:tcMar>
            <w:vAlign w:val="center"/>
            <w:hideMark/>
          </w:tcPr>
          <w:p w:rsidR="0029646E" w:rsidRPr="00223E5A" w:rsidP="0029646E" w14:paraId="491310A0" w14:textId="481E62E9">
            <w:pPr>
              <w:ind w:left="144"/>
              <w:rPr>
                <w:rFonts w:ascii="Arial Nova" w:hAnsi="Arial Nova"/>
                <w:b/>
                <w:bCs/>
                <w:sz w:val="22"/>
                <w:szCs w:val="22"/>
              </w:rPr>
            </w:pPr>
            <w:r w:rsidRPr="00223E5A">
              <w:rPr>
                <w:rFonts w:ascii="Arial Nova" w:hAnsi="Arial Nova"/>
                <w:sz w:val="22"/>
                <w:szCs w:val="22"/>
              </w:rPr>
              <w:t>Healthcare Professionals</w:t>
            </w:r>
          </w:p>
        </w:tc>
        <w:tc>
          <w:tcPr>
            <w:tcW w:w="3067" w:type="dxa"/>
            <w:tcBorders>
              <w:top w:val="nil"/>
              <w:left w:val="nil"/>
              <w:bottom w:val="single" w:sz="8" w:space="0" w:color="000000"/>
              <w:right w:val="single" w:sz="8" w:space="0" w:color="000000"/>
            </w:tcBorders>
            <w:tcMar>
              <w:top w:w="0" w:type="dxa"/>
              <w:left w:w="29" w:type="dxa"/>
              <w:bottom w:w="0" w:type="dxa"/>
              <w:right w:w="29" w:type="dxa"/>
            </w:tcMar>
            <w:vAlign w:val="center"/>
            <w:hideMark/>
          </w:tcPr>
          <w:p w:rsidR="0029646E" w:rsidRPr="00223E5A" w:rsidP="0029646E" w14:paraId="7B719F04" w14:textId="142E76C2">
            <w:pPr>
              <w:contextualSpacing/>
              <w:rPr>
                <w:rFonts w:ascii="Arial Nova" w:hAnsi="Arial Nova"/>
                <w:sz w:val="22"/>
                <w:szCs w:val="22"/>
              </w:rPr>
            </w:pPr>
            <w:r w:rsidRPr="00223E5A">
              <w:rPr>
                <w:rFonts w:ascii="Arial Nova" w:hAnsi="Arial Nova"/>
                <w:sz w:val="22"/>
                <w:szCs w:val="22"/>
              </w:rPr>
              <w:t>NNPTC Abbreviated Health Professional Application for Training (NNPTC HPAT)</w:t>
            </w:r>
          </w:p>
          <w:p w:rsidR="0029646E" w:rsidRPr="00223E5A" w:rsidP="0029646E" w14:paraId="50EE54F0" w14:textId="47ADB804">
            <w:pPr>
              <w:contextualSpacing/>
              <w:rPr>
                <w:rFonts w:ascii="Arial Nova" w:hAnsi="Arial Nova"/>
                <w:b/>
                <w:bCs/>
                <w:sz w:val="22"/>
                <w:szCs w:val="22"/>
              </w:rPr>
            </w:pPr>
            <w:r w:rsidRPr="00223E5A">
              <w:rPr>
                <w:rFonts w:ascii="Arial Nova" w:hAnsi="Arial Nova"/>
                <w:sz w:val="22"/>
                <w:szCs w:val="22"/>
              </w:rPr>
              <w:t>Att 4</w:t>
            </w:r>
            <w:r w:rsidRPr="00223E5A" w:rsidR="0076746C">
              <w:rPr>
                <w:rFonts w:ascii="Arial Nova" w:hAnsi="Arial Nova"/>
                <w:sz w:val="22"/>
                <w:szCs w:val="22"/>
              </w:rPr>
              <w:t xml:space="preserve"> </w:t>
            </w:r>
          </w:p>
        </w:tc>
        <w:tc>
          <w:tcPr>
            <w:tcW w:w="1365" w:type="dxa"/>
            <w:tcBorders>
              <w:top w:val="nil"/>
              <w:left w:val="nil"/>
              <w:bottom w:val="single" w:sz="8" w:space="0" w:color="000000"/>
              <w:right w:val="single" w:sz="8" w:space="0" w:color="000000"/>
            </w:tcBorders>
            <w:tcMar>
              <w:top w:w="0" w:type="dxa"/>
              <w:left w:w="29" w:type="dxa"/>
              <w:bottom w:w="0" w:type="dxa"/>
              <w:right w:w="29" w:type="dxa"/>
            </w:tcMar>
            <w:vAlign w:val="center"/>
            <w:hideMark/>
          </w:tcPr>
          <w:p w:rsidR="0029646E" w:rsidRPr="00223E5A" w:rsidP="0029646E" w14:paraId="623D5806" w14:textId="77777777">
            <w:pPr>
              <w:jc w:val="center"/>
              <w:rPr>
                <w:rFonts w:ascii="Arial Nova" w:hAnsi="Arial Nova"/>
                <w:b/>
                <w:bCs/>
                <w:sz w:val="22"/>
                <w:szCs w:val="22"/>
              </w:rPr>
            </w:pPr>
            <w:r w:rsidRPr="00223E5A">
              <w:rPr>
                <w:rFonts w:ascii="Arial Nova" w:hAnsi="Arial Nova"/>
                <w:sz w:val="22"/>
                <w:szCs w:val="22"/>
              </w:rPr>
              <w:t>4,500</w:t>
            </w:r>
          </w:p>
        </w:tc>
        <w:tc>
          <w:tcPr>
            <w:tcW w:w="1345" w:type="dxa"/>
            <w:tcBorders>
              <w:top w:val="nil"/>
              <w:left w:val="nil"/>
              <w:bottom w:val="single" w:sz="8" w:space="0" w:color="000000"/>
              <w:right w:val="single" w:sz="8" w:space="0" w:color="000000"/>
            </w:tcBorders>
            <w:tcMar>
              <w:top w:w="0" w:type="dxa"/>
              <w:left w:w="29" w:type="dxa"/>
              <w:bottom w:w="0" w:type="dxa"/>
              <w:right w:w="29" w:type="dxa"/>
            </w:tcMar>
            <w:vAlign w:val="center"/>
            <w:hideMark/>
          </w:tcPr>
          <w:p w:rsidR="0029646E" w:rsidRPr="00223E5A" w:rsidP="0029646E" w14:paraId="6666BA0A" w14:textId="77777777">
            <w:pPr>
              <w:jc w:val="center"/>
              <w:rPr>
                <w:rFonts w:ascii="Arial Nova" w:hAnsi="Arial Nova"/>
                <w:b/>
                <w:bCs/>
                <w:sz w:val="22"/>
                <w:szCs w:val="22"/>
              </w:rPr>
            </w:pPr>
            <w:r w:rsidRPr="00223E5A">
              <w:rPr>
                <w:rFonts w:ascii="Arial Nova" w:hAnsi="Arial Nova"/>
                <w:sz w:val="22"/>
                <w:szCs w:val="22"/>
              </w:rPr>
              <w:t>1</w:t>
            </w:r>
          </w:p>
        </w:tc>
        <w:tc>
          <w:tcPr>
            <w:tcW w:w="1582" w:type="dxa"/>
            <w:tcBorders>
              <w:top w:val="nil"/>
              <w:left w:val="nil"/>
              <w:bottom w:val="single" w:sz="8" w:space="0" w:color="000000"/>
              <w:right w:val="single" w:sz="8" w:space="0" w:color="000000"/>
            </w:tcBorders>
            <w:tcMar>
              <w:top w:w="0" w:type="dxa"/>
              <w:left w:w="29" w:type="dxa"/>
              <w:bottom w:w="0" w:type="dxa"/>
              <w:right w:w="29" w:type="dxa"/>
            </w:tcMar>
            <w:vAlign w:val="center"/>
            <w:hideMark/>
          </w:tcPr>
          <w:p w:rsidR="0029646E" w:rsidRPr="00223E5A" w:rsidP="0029646E" w14:paraId="0DFC0600" w14:textId="77777777">
            <w:pPr>
              <w:jc w:val="center"/>
              <w:rPr>
                <w:rFonts w:ascii="Arial Nova" w:hAnsi="Arial Nova"/>
                <w:b/>
                <w:bCs/>
                <w:sz w:val="22"/>
                <w:szCs w:val="22"/>
              </w:rPr>
            </w:pPr>
            <w:r w:rsidRPr="00223E5A">
              <w:rPr>
                <w:rFonts w:ascii="Arial Nova" w:hAnsi="Arial Nova"/>
                <w:sz w:val="22"/>
                <w:szCs w:val="22"/>
              </w:rPr>
              <w:t>3/60</w:t>
            </w:r>
          </w:p>
        </w:tc>
        <w:tc>
          <w:tcPr>
            <w:tcW w:w="1232" w:type="dxa"/>
            <w:tcBorders>
              <w:top w:val="nil"/>
              <w:left w:val="nil"/>
              <w:bottom w:val="single" w:sz="8" w:space="0" w:color="000000"/>
              <w:right w:val="single" w:sz="8" w:space="0" w:color="000000"/>
            </w:tcBorders>
            <w:tcMar>
              <w:top w:w="0" w:type="dxa"/>
              <w:left w:w="29" w:type="dxa"/>
              <w:bottom w:w="0" w:type="dxa"/>
              <w:right w:w="29" w:type="dxa"/>
            </w:tcMar>
            <w:vAlign w:val="center"/>
            <w:hideMark/>
          </w:tcPr>
          <w:p w:rsidR="0029646E" w:rsidRPr="00223E5A" w:rsidP="0029646E" w14:paraId="187EE4DA" w14:textId="77777777">
            <w:pPr>
              <w:jc w:val="center"/>
              <w:rPr>
                <w:rFonts w:ascii="Arial Nova" w:hAnsi="Arial Nova"/>
                <w:b/>
                <w:bCs/>
                <w:sz w:val="22"/>
                <w:szCs w:val="22"/>
              </w:rPr>
            </w:pPr>
            <w:r w:rsidRPr="00223E5A">
              <w:rPr>
                <w:rFonts w:ascii="Arial Nova" w:hAnsi="Arial Nova"/>
                <w:sz w:val="22"/>
                <w:szCs w:val="22"/>
              </w:rPr>
              <w:t>225 hours</w:t>
            </w:r>
          </w:p>
        </w:tc>
      </w:tr>
      <w:tr w14:paraId="3D53CEA4" w14:textId="77777777" w:rsidTr="0029646E">
        <w:tblPrEx>
          <w:tblW w:w="16140" w:type="dxa"/>
          <w:tblCellMar>
            <w:left w:w="0" w:type="dxa"/>
            <w:right w:w="0" w:type="dxa"/>
          </w:tblCellMar>
          <w:tblLook w:val="04A0"/>
        </w:tblPrEx>
        <w:trPr>
          <w:gridAfter w:val="4"/>
          <w:wAfter w:w="6065" w:type="dxa"/>
          <w:trHeight w:val="805"/>
          <w:tblHeader/>
        </w:trPr>
        <w:tc>
          <w:tcPr>
            <w:tcW w:w="1484" w:type="dxa"/>
            <w:tcBorders>
              <w:top w:val="nil"/>
              <w:left w:val="single" w:sz="8" w:space="0" w:color="000000"/>
              <w:bottom w:val="single" w:sz="8" w:space="0" w:color="000000"/>
              <w:right w:val="single" w:sz="8" w:space="0" w:color="000000"/>
            </w:tcBorders>
            <w:tcMar>
              <w:top w:w="0" w:type="dxa"/>
              <w:left w:w="29" w:type="dxa"/>
              <w:bottom w:w="0" w:type="dxa"/>
              <w:right w:w="29" w:type="dxa"/>
            </w:tcMar>
            <w:vAlign w:val="center"/>
          </w:tcPr>
          <w:p w:rsidR="0029646E" w:rsidRPr="00223E5A" w:rsidP="0029646E" w14:paraId="3C5144BE" w14:textId="77777777">
            <w:pPr>
              <w:ind w:left="144"/>
              <w:rPr>
                <w:rFonts w:ascii="Arial Nova" w:hAnsi="Arial Nova"/>
                <w:sz w:val="22"/>
                <w:szCs w:val="22"/>
              </w:rPr>
            </w:pPr>
            <w:r w:rsidRPr="00223E5A">
              <w:rPr>
                <w:rFonts w:ascii="Arial Nova" w:hAnsi="Arial Nova"/>
                <w:sz w:val="22"/>
                <w:szCs w:val="22"/>
              </w:rPr>
              <w:t>Healthcare Professionals</w:t>
            </w:r>
          </w:p>
        </w:tc>
        <w:tc>
          <w:tcPr>
            <w:tcW w:w="3067" w:type="dxa"/>
            <w:tcBorders>
              <w:top w:val="nil"/>
              <w:left w:val="nil"/>
              <w:bottom w:val="single" w:sz="8" w:space="0" w:color="000000"/>
              <w:right w:val="single" w:sz="8" w:space="0" w:color="000000"/>
            </w:tcBorders>
            <w:tcMar>
              <w:top w:w="0" w:type="dxa"/>
              <w:left w:w="29" w:type="dxa"/>
              <w:bottom w:w="0" w:type="dxa"/>
              <w:right w:w="29" w:type="dxa"/>
            </w:tcMar>
            <w:vAlign w:val="center"/>
          </w:tcPr>
          <w:p w:rsidR="0029646E" w:rsidRPr="00223E5A" w:rsidP="0029646E" w14:paraId="14C70C1C" w14:textId="77777777">
            <w:pPr>
              <w:contextualSpacing/>
              <w:rPr>
                <w:rFonts w:ascii="Arial Nova" w:hAnsi="Arial Nova"/>
                <w:sz w:val="22"/>
                <w:szCs w:val="22"/>
              </w:rPr>
            </w:pPr>
            <w:r w:rsidRPr="00223E5A">
              <w:rPr>
                <w:rFonts w:ascii="Arial Nova" w:hAnsi="Arial Nova"/>
                <w:sz w:val="22"/>
                <w:szCs w:val="22"/>
              </w:rPr>
              <w:t>Immediate Post-Course email invitation</w:t>
            </w:r>
          </w:p>
          <w:p w:rsidR="0029646E" w:rsidRPr="00223E5A" w:rsidP="0029646E" w14:paraId="332854E8" w14:textId="6E795854">
            <w:pPr>
              <w:contextualSpacing/>
              <w:rPr>
                <w:rFonts w:ascii="Arial Nova" w:hAnsi="Arial Nova"/>
                <w:sz w:val="22"/>
                <w:szCs w:val="22"/>
              </w:rPr>
            </w:pPr>
            <w:r w:rsidRPr="00223E5A">
              <w:rPr>
                <w:rFonts w:ascii="Arial Nova" w:hAnsi="Arial Nova"/>
                <w:sz w:val="22"/>
                <w:szCs w:val="22"/>
              </w:rPr>
              <w:t>Att 6</w:t>
            </w:r>
            <w:r w:rsidRPr="00223E5A" w:rsidR="0076746C">
              <w:rPr>
                <w:rFonts w:ascii="Arial Nova" w:hAnsi="Arial Nova"/>
                <w:sz w:val="22"/>
                <w:szCs w:val="22"/>
              </w:rPr>
              <w:t xml:space="preserve"> </w:t>
            </w:r>
          </w:p>
        </w:tc>
        <w:tc>
          <w:tcPr>
            <w:tcW w:w="1365" w:type="dxa"/>
            <w:tcBorders>
              <w:top w:val="nil"/>
              <w:left w:val="nil"/>
              <w:bottom w:val="single" w:sz="8" w:space="0" w:color="000000"/>
              <w:right w:val="single" w:sz="8" w:space="0" w:color="000000"/>
            </w:tcBorders>
            <w:tcMar>
              <w:top w:w="0" w:type="dxa"/>
              <w:left w:w="29" w:type="dxa"/>
              <w:bottom w:w="0" w:type="dxa"/>
              <w:right w:w="29" w:type="dxa"/>
            </w:tcMar>
            <w:vAlign w:val="center"/>
          </w:tcPr>
          <w:p w:rsidR="0029646E" w:rsidRPr="00223E5A" w:rsidP="0029646E" w14:paraId="2D4E0DBE" w14:textId="77777777">
            <w:pPr>
              <w:jc w:val="center"/>
              <w:rPr>
                <w:rFonts w:ascii="Arial Nova" w:hAnsi="Arial Nova"/>
                <w:sz w:val="22"/>
                <w:szCs w:val="22"/>
              </w:rPr>
            </w:pPr>
            <w:r w:rsidRPr="00223E5A">
              <w:rPr>
                <w:rFonts w:ascii="Arial Nova" w:hAnsi="Arial Nova"/>
                <w:sz w:val="22"/>
                <w:szCs w:val="22"/>
              </w:rPr>
              <w:t>4,500</w:t>
            </w:r>
          </w:p>
        </w:tc>
        <w:tc>
          <w:tcPr>
            <w:tcW w:w="1345" w:type="dxa"/>
            <w:tcBorders>
              <w:top w:val="nil"/>
              <w:left w:val="nil"/>
              <w:bottom w:val="single" w:sz="8" w:space="0" w:color="000000"/>
              <w:right w:val="single" w:sz="8" w:space="0" w:color="000000"/>
            </w:tcBorders>
            <w:tcMar>
              <w:top w:w="0" w:type="dxa"/>
              <w:left w:w="29" w:type="dxa"/>
              <w:bottom w:w="0" w:type="dxa"/>
              <w:right w:w="29" w:type="dxa"/>
            </w:tcMar>
            <w:vAlign w:val="center"/>
          </w:tcPr>
          <w:p w:rsidR="0029646E" w:rsidRPr="00223E5A" w:rsidP="0029646E" w14:paraId="2671F41D" w14:textId="77777777">
            <w:pPr>
              <w:jc w:val="center"/>
              <w:rPr>
                <w:rFonts w:ascii="Arial Nova" w:hAnsi="Arial Nova"/>
                <w:sz w:val="22"/>
                <w:szCs w:val="22"/>
              </w:rPr>
            </w:pPr>
            <w:r w:rsidRPr="00223E5A">
              <w:rPr>
                <w:rFonts w:ascii="Arial Nova" w:hAnsi="Arial Nova"/>
                <w:sz w:val="22"/>
                <w:szCs w:val="22"/>
              </w:rPr>
              <w:t>1</w:t>
            </w:r>
          </w:p>
        </w:tc>
        <w:tc>
          <w:tcPr>
            <w:tcW w:w="1582" w:type="dxa"/>
            <w:tcBorders>
              <w:top w:val="nil"/>
              <w:left w:val="nil"/>
              <w:bottom w:val="single" w:sz="8" w:space="0" w:color="000000"/>
              <w:right w:val="single" w:sz="8" w:space="0" w:color="000000"/>
            </w:tcBorders>
            <w:tcMar>
              <w:top w:w="0" w:type="dxa"/>
              <w:left w:w="29" w:type="dxa"/>
              <w:bottom w:w="0" w:type="dxa"/>
              <w:right w:w="29" w:type="dxa"/>
            </w:tcMar>
            <w:vAlign w:val="center"/>
          </w:tcPr>
          <w:p w:rsidR="0029646E" w:rsidRPr="00223E5A" w:rsidP="0029646E" w14:paraId="7CAEB7F3" w14:textId="77777777">
            <w:pPr>
              <w:jc w:val="center"/>
              <w:rPr>
                <w:rFonts w:ascii="Arial Nova" w:hAnsi="Arial Nova"/>
                <w:sz w:val="22"/>
                <w:szCs w:val="22"/>
              </w:rPr>
            </w:pPr>
            <w:r w:rsidRPr="00223E5A">
              <w:rPr>
                <w:rFonts w:ascii="Arial Nova" w:hAnsi="Arial Nova"/>
                <w:sz w:val="22"/>
                <w:szCs w:val="22"/>
              </w:rPr>
              <w:t>1/60</w:t>
            </w:r>
          </w:p>
        </w:tc>
        <w:tc>
          <w:tcPr>
            <w:tcW w:w="1232" w:type="dxa"/>
            <w:tcBorders>
              <w:top w:val="nil"/>
              <w:left w:val="nil"/>
              <w:bottom w:val="single" w:sz="8" w:space="0" w:color="000000"/>
              <w:right w:val="single" w:sz="8" w:space="0" w:color="000000"/>
            </w:tcBorders>
            <w:tcMar>
              <w:top w:w="0" w:type="dxa"/>
              <w:left w:w="29" w:type="dxa"/>
              <w:bottom w:w="0" w:type="dxa"/>
              <w:right w:w="29" w:type="dxa"/>
            </w:tcMar>
            <w:vAlign w:val="center"/>
          </w:tcPr>
          <w:p w:rsidR="0029646E" w:rsidRPr="00223E5A" w:rsidP="0029646E" w14:paraId="55D3E70D" w14:textId="77777777">
            <w:pPr>
              <w:jc w:val="center"/>
              <w:rPr>
                <w:rFonts w:ascii="Arial Nova" w:hAnsi="Arial Nova"/>
                <w:sz w:val="22"/>
                <w:szCs w:val="22"/>
              </w:rPr>
            </w:pPr>
            <w:r w:rsidRPr="00223E5A">
              <w:rPr>
                <w:rFonts w:ascii="Arial Nova" w:hAnsi="Arial Nova"/>
                <w:sz w:val="22"/>
                <w:szCs w:val="22"/>
              </w:rPr>
              <w:t>75 hours</w:t>
            </w:r>
          </w:p>
        </w:tc>
      </w:tr>
      <w:tr w14:paraId="36B37FEC" w14:textId="77777777" w:rsidTr="0029646E">
        <w:tblPrEx>
          <w:tblW w:w="16140" w:type="dxa"/>
          <w:tblCellMar>
            <w:left w:w="0" w:type="dxa"/>
            <w:right w:w="0" w:type="dxa"/>
          </w:tblCellMar>
          <w:tblLook w:val="04A0"/>
        </w:tblPrEx>
        <w:trPr>
          <w:gridAfter w:val="4"/>
          <w:wAfter w:w="6065" w:type="dxa"/>
          <w:trHeight w:val="877"/>
          <w:tblHeader/>
        </w:trPr>
        <w:tc>
          <w:tcPr>
            <w:tcW w:w="1484" w:type="dxa"/>
            <w:tcBorders>
              <w:top w:val="nil"/>
              <w:left w:val="single" w:sz="8" w:space="0" w:color="000000"/>
              <w:bottom w:val="single" w:sz="8" w:space="0" w:color="000000"/>
              <w:right w:val="single" w:sz="8" w:space="0" w:color="000000"/>
            </w:tcBorders>
            <w:tcMar>
              <w:top w:w="0" w:type="dxa"/>
              <w:left w:w="29" w:type="dxa"/>
              <w:bottom w:w="0" w:type="dxa"/>
              <w:right w:w="29" w:type="dxa"/>
            </w:tcMar>
            <w:vAlign w:val="center"/>
          </w:tcPr>
          <w:p w:rsidR="0029646E" w:rsidRPr="00223E5A" w:rsidP="0029646E" w14:paraId="532B3927" w14:textId="77777777">
            <w:pPr>
              <w:ind w:left="144"/>
              <w:rPr>
                <w:rFonts w:ascii="Arial Nova" w:hAnsi="Arial Nova"/>
                <w:sz w:val="22"/>
                <w:szCs w:val="22"/>
              </w:rPr>
            </w:pPr>
            <w:r w:rsidRPr="00223E5A">
              <w:rPr>
                <w:rFonts w:ascii="Arial Nova" w:hAnsi="Arial Nova"/>
                <w:sz w:val="22"/>
                <w:szCs w:val="22"/>
              </w:rPr>
              <w:t>Healthcare Professionals</w:t>
            </w:r>
          </w:p>
        </w:tc>
        <w:tc>
          <w:tcPr>
            <w:tcW w:w="3067" w:type="dxa"/>
            <w:tcBorders>
              <w:top w:val="nil"/>
              <w:left w:val="nil"/>
              <w:bottom w:val="single" w:sz="8" w:space="0" w:color="000000"/>
              <w:right w:val="single" w:sz="8" w:space="0" w:color="000000"/>
            </w:tcBorders>
            <w:tcMar>
              <w:top w:w="0" w:type="dxa"/>
              <w:left w:w="29" w:type="dxa"/>
              <w:bottom w:w="0" w:type="dxa"/>
              <w:right w:w="29" w:type="dxa"/>
            </w:tcMar>
            <w:vAlign w:val="center"/>
          </w:tcPr>
          <w:p w:rsidR="0029646E" w:rsidRPr="00223E5A" w:rsidP="0029646E" w14:paraId="3C3C6343" w14:textId="77777777">
            <w:pPr>
              <w:contextualSpacing/>
              <w:rPr>
                <w:rFonts w:ascii="Arial Nova" w:hAnsi="Arial Nova"/>
                <w:sz w:val="22"/>
                <w:szCs w:val="22"/>
              </w:rPr>
            </w:pPr>
            <w:r w:rsidRPr="00223E5A">
              <w:rPr>
                <w:rFonts w:ascii="Arial Nova" w:hAnsi="Arial Nova"/>
                <w:sz w:val="22"/>
                <w:szCs w:val="22"/>
              </w:rPr>
              <w:t>3 Month Long-Term email invitation</w:t>
            </w:r>
          </w:p>
          <w:p w:rsidR="0029646E" w:rsidRPr="00223E5A" w:rsidP="0029646E" w14:paraId="73B8CFDD" w14:textId="403E776A">
            <w:pPr>
              <w:contextualSpacing/>
              <w:rPr>
                <w:rFonts w:ascii="Arial Nova" w:hAnsi="Arial Nova"/>
                <w:sz w:val="22"/>
                <w:szCs w:val="22"/>
              </w:rPr>
            </w:pPr>
            <w:r w:rsidRPr="00223E5A">
              <w:rPr>
                <w:rFonts w:ascii="Arial Nova" w:hAnsi="Arial Nova"/>
                <w:sz w:val="22"/>
                <w:szCs w:val="22"/>
              </w:rPr>
              <w:t>Att 8</w:t>
            </w:r>
            <w:r w:rsidRPr="00223E5A" w:rsidR="0076746C">
              <w:rPr>
                <w:rFonts w:ascii="Arial Nova" w:hAnsi="Arial Nova"/>
                <w:sz w:val="22"/>
                <w:szCs w:val="22"/>
              </w:rPr>
              <w:t xml:space="preserve"> </w:t>
            </w:r>
          </w:p>
        </w:tc>
        <w:tc>
          <w:tcPr>
            <w:tcW w:w="1365" w:type="dxa"/>
            <w:tcBorders>
              <w:top w:val="nil"/>
              <w:left w:val="nil"/>
              <w:bottom w:val="single" w:sz="8" w:space="0" w:color="000000"/>
              <w:right w:val="single" w:sz="8" w:space="0" w:color="000000"/>
            </w:tcBorders>
            <w:tcMar>
              <w:top w:w="0" w:type="dxa"/>
              <w:left w:w="29" w:type="dxa"/>
              <w:bottom w:w="0" w:type="dxa"/>
              <w:right w:w="29" w:type="dxa"/>
            </w:tcMar>
            <w:vAlign w:val="center"/>
          </w:tcPr>
          <w:p w:rsidR="0029646E" w:rsidRPr="00223E5A" w:rsidP="0029646E" w14:paraId="140B38EA" w14:textId="77777777">
            <w:pPr>
              <w:jc w:val="center"/>
              <w:rPr>
                <w:rFonts w:ascii="Arial Nova" w:hAnsi="Arial Nova"/>
                <w:sz w:val="22"/>
                <w:szCs w:val="22"/>
              </w:rPr>
            </w:pPr>
            <w:r w:rsidRPr="00223E5A">
              <w:rPr>
                <w:rFonts w:ascii="Arial Nova" w:hAnsi="Arial Nova"/>
                <w:sz w:val="22"/>
                <w:szCs w:val="22"/>
              </w:rPr>
              <w:t>660</w:t>
            </w:r>
          </w:p>
        </w:tc>
        <w:tc>
          <w:tcPr>
            <w:tcW w:w="1345" w:type="dxa"/>
            <w:tcBorders>
              <w:top w:val="nil"/>
              <w:left w:val="nil"/>
              <w:bottom w:val="single" w:sz="8" w:space="0" w:color="000000"/>
              <w:right w:val="single" w:sz="8" w:space="0" w:color="000000"/>
            </w:tcBorders>
            <w:tcMar>
              <w:top w:w="0" w:type="dxa"/>
              <w:left w:w="29" w:type="dxa"/>
              <w:bottom w:w="0" w:type="dxa"/>
              <w:right w:w="29" w:type="dxa"/>
            </w:tcMar>
            <w:vAlign w:val="center"/>
          </w:tcPr>
          <w:p w:rsidR="0029646E" w:rsidRPr="00223E5A" w:rsidP="0029646E" w14:paraId="0D932494" w14:textId="77777777">
            <w:pPr>
              <w:jc w:val="center"/>
              <w:rPr>
                <w:rFonts w:ascii="Arial Nova" w:hAnsi="Arial Nova"/>
                <w:sz w:val="22"/>
                <w:szCs w:val="22"/>
              </w:rPr>
            </w:pPr>
            <w:r w:rsidRPr="00223E5A">
              <w:rPr>
                <w:rFonts w:ascii="Arial Nova" w:hAnsi="Arial Nova"/>
                <w:sz w:val="22"/>
                <w:szCs w:val="22"/>
              </w:rPr>
              <w:t>1</w:t>
            </w:r>
          </w:p>
        </w:tc>
        <w:tc>
          <w:tcPr>
            <w:tcW w:w="1582" w:type="dxa"/>
            <w:tcBorders>
              <w:top w:val="nil"/>
              <w:left w:val="nil"/>
              <w:bottom w:val="single" w:sz="8" w:space="0" w:color="000000"/>
              <w:right w:val="single" w:sz="8" w:space="0" w:color="000000"/>
            </w:tcBorders>
            <w:tcMar>
              <w:top w:w="0" w:type="dxa"/>
              <w:left w:w="29" w:type="dxa"/>
              <w:bottom w:w="0" w:type="dxa"/>
              <w:right w:w="29" w:type="dxa"/>
            </w:tcMar>
            <w:vAlign w:val="center"/>
          </w:tcPr>
          <w:p w:rsidR="0029646E" w:rsidRPr="00223E5A" w:rsidP="0029646E" w14:paraId="60EF04C0" w14:textId="77777777">
            <w:pPr>
              <w:jc w:val="center"/>
              <w:rPr>
                <w:rFonts w:ascii="Arial Nova" w:hAnsi="Arial Nova"/>
                <w:sz w:val="22"/>
                <w:szCs w:val="22"/>
              </w:rPr>
            </w:pPr>
            <w:r w:rsidRPr="00223E5A">
              <w:rPr>
                <w:rFonts w:ascii="Arial Nova" w:hAnsi="Arial Nova"/>
                <w:sz w:val="22"/>
                <w:szCs w:val="22"/>
              </w:rPr>
              <w:t>1/60</w:t>
            </w:r>
          </w:p>
        </w:tc>
        <w:tc>
          <w:tcPr>
            <w:tcW w:w="1232" w:type="dxa"/>
            <w:tcBorders>
              <w:top w:val="nil"/>
              <w:left w:val="nil"/>
              <w:bottom w:val="single" w:sz="8" w:space="0" w:color="000000"/>
              <w:right w:val="single" w:sz="8" w:space="0" w:color="000000"/>
            </w:tcBorders>
            <w:tcMar>
              <w:top w:w="0" w:type="dxa"/>
              <w:left w:w="29" w:type="dxa"/>
              <w:bottom w:w="0" w:type="dxa"/>
              <w:right w:w="29" w:type="dxa"/>
            </w:tcMar>
            <w:vAlign w:val="center"/>
          </w:tcPr>
          <w:p w:rsidR="0029646E" w:rsidRPr="00223E5A" w:rsidP="0029646E" w14:paraId="4C96226D" w14:textId="77777777">
            <w:pPr>
              <w:jc w:val="center"/>
              <w:rPr>
                <w:rFonts w:ascii="Arial Nova" w:hAnsi="Arial Nova"/>
                <w:sz w:val="22"/>
                <w:szCs w:val="22"/>
              </w:rPr>
            </w:pPr>
            <w:r w:rsidRPr="00223E5A">
              <w:rPr>
                <w:rFonts w:ascii="Arial Nova" w:hAnsi="Arial Nova"/>
                <w:sz w:val="22"/>
                <w:szCs w:val="22"/>
              </w:rPr>
              <w:t>11 hours</w:t>
            </w:r>
          </w:p>
        </w:tc>
      </w:tr>
      <w:tr w14:paraId="12C4B39E" w14:textId="77777777" w:rsidTr="0029646E">
        <w:tblPrEx>
          <w:tblW w:w="16140" w:type="dxa"/>
          <w:tblCellMar>
            <w:left w:w="0" w:type="dxa"/>
            <w:right w:w="0" w:type="dxa"/>
          </w:tblCellMar>
          <w:tblLook w:val="04A0"/>
        </w:tblPrEx>
        <w:trPr>
          <w:gridAfter w:val="4"/>
          <w:wAfter w:w="6065" w:type="dxa"/>
          <w:trHeight w:val="535"/>
          <w:tblHeader/>
        </w:trPr>
        <w:tc>
          <w:tcPr>
            <w:tcW w:w="1484" w:type="dxa"/>
            <w:vMerge w:val="restart"/>
            <w:tcBorders>
              <w:top w:val="nil"/>
              <w:left w:val="single" w:sz="8" w:space="0" w:color="000000"/>
              <w:right w:val="single" w:sz="8" w:space="0" w:color="000000"/>
            </w:tcBorders>
            <w:tcMar>
              <w:top w:w="0" w:type="dxa"/>
              <w:left w:w="29" w:type="dxa"/>
              <w:bottom w:w="0" w:type="dxa"/>
              <w:right w:w="29" w:type="dxa"/>
            </w:tcMar>
            <w:vAlign w:val="center"/>
          </w:tcPr>
          <w:p w:rsidR="0029646E" w:rsidRPr="00223E5A" w:rsidP="0029646E" w14:paraId="1F3F4FC9" w14:textId="63086128">
            <w:pPr>
              <w:ind w:left="144"/>
              <w:rPr>
                <w:rFonts w:ascii="Arial Nova" w:hAnsi="Arial Nova"/>
                <w:sz w:val="22"/>
                <w:szCs w:val="22"/>
              </w:rPr>
            </w:pPr>
            <w:r w:rsidRPr="00223E5A">
              <w:rPr>
                <w:rFonts w:ascii="Arial Nova" w:hAnsi="Arial Nova"/>
                <w:sz w:val="22"/>
                <w:szCs w:val="22"/>
              </w:rPr>
              <w:t>Healthcare Professionals</w:t>
            </w:r>
          </w:p>
        </w:tc>
        <w:tc>
          <w:tcPr>
            <w:tcW w:w="3067" w:type="dxa"/>
            <w:tcBorders>
              <w:top w:val="nil"/>
              <w:left w:val="nil"/>
              <w:bottom w:val="single" w:sz="8" w:space="0" w:color="000000"/>
              <w:right w:val="single" w:sz="8" w:space="0" w:color="000000"/>
            </w:tcBorders>
            <w:tcMar>
              <w:top w:w="0" w:type="dxa"/>
              <w:left w:w="29" w:type="dxa"/>
              <w:bottom w:w="0" w:type="dxa"/>
              <w:right w:w="29" w:type="dxa"/>
            </w:tcMar>
            <w:vAlign w:val="center"/>
          </w:tcPr>
          <w:p w:rsidR="0029646E" w:rsidRPr="00223E5A" w:rsidP="0029646E" w14:paraId="5AE49DB2" w14:textId="6AD09BA5">
            <w:pPr>
              <w:contextualSpacing/>
              <w:rPr>
                <w:rFonts w:ascii="Arial Nova" w:hAnsi="Arial Nova"/>
                <w:sz w:val="22"/>
                <w:szCs w:val="22"/>
              </w:rPr>
            </w:pPr>
            <w:r>
              <w:rPr>
                <w:rFonts w:ascii="Arial Nova" w:hAnsi="Arial Nova"/>
                <w:sz w:val="22"/>
                <w:szCs w:val="22"/>
              </w:rPr>
              <w:t>Standard</w:t>
            </w:r>
            <w:r w:rsidRPr="00223E5A">
              <w:rPr>
                <w:rFonts w:ascii="Arial Nova" w:hAnsi="Arial Nova"/>
                <w:sz w:val="22"/>
                <w:szCs w:val="22"/>
              </w:rPr>
              <w:t xml:space="preserve"> Post-Course Evaluation</w:t>
            </w:r>
          </w:p>
          <w:p w:rsidR="0029646E" w:rsidRPr="00223E5A" w:rsidP="0029646E" w14:paraId="0F82A10A" w14:textId="377802BD">
            <w:pPr>
              <w:contextualSpacing/>
              <w:rPr>
                <w:rFonts w:ascii="Arial Nova" w:hAnsi="Arial Nova"/>
                <w:sz w:val="22"/>
                <w:szCs w:val="22"/>
              </w:rPr>
            </w:pPr>
            <w:r w:rsidRPr="00223E5A">
              <w:rPr>
                <w:rFonts w:ascii="Arial Nova" w:hAnsi="Arial Nova"/>
                <w:sz w:val="22"/>
                <w:szCs w:val="22"/>
              </w:rPr>
              <w:t>Att 10</w:t>
            </w:r>
            <w:r w:rsidRPr="00223E5A" w:rsidR="0076746C">
              <w:rPr>
                <w:rFonts w:ascii="Arial Nova" w:hAnsi="Arial Nova"/>
                <w:sz w:val="22"/>
                <w:szCs w:val="22"/>
              </w:rPr>
              <w:t xml:space="preserve"> </w:t>
            </w:r>
          </w:p>
        </w:tc>
        <w:tc>
          <w:tcPr>
            <w:tcW w:w="1365" w:type="dxa"/>
            <w:tcBorders>
              <w:top w:val="nil"/>
              <w:left w:val="nil"/>
              <w:bottom w:val="single" w:sz="8" w:space="0" w:color="000000"/>
              <w:right w:val="single" w:sz="8" w:space="0" w:color="000000"/>
            </w:tcBorders>
            <w:tcMar>
              <w:top w:w="0" w:type="dxa"/>
              <w:left w:w="29" w:type="dxa"/>
              <w:bottom w:w="0" w:type="dxa"/>
              <w:right w:w="29" w:type="dxa"/>
            </w:tcMar>
            <w:vAlign w:val="center"/>
          </w:tcPr>
          <w:p w:rsidR="0029646E" w:rsidRPr="00223E5A" w:rsidP="0029646E" w14:paraId="2168BB46" w14:textId="77777777">
            <w:pPr>
              <w:jc w:val="center"/>
              <w:rPr>
                <w:rFonts w:ascii="Arial Nova" w:hAnsi="Arial Nova"/>
                <w:sz w:val="22"/>
                <w:szCs w:val="22"/>
              </w:rPr>
            </w:pPr>
            <w:r w:rsidRPr="00223E5A">
              <w:rPr>
                <w:rFonts w:ascii="Arial Nova" w:hAnsi="Arial Nova"/>
                <w:sz w:val="22"/>
                <w:szCs w:val="22"/>
              </w:rPr>
              <w:t>1200</w:t>
            </w:r>
          </w:p>
        </w:tc>
        <w:tc>
          <w:tcPr>
            <w:tcW w:w="1345" w:type="dxa"/>
            <w:tcBorders>
              <w:top w:val="nil"/>
              <w:left w:val="nil"/>
              <w:bottom w:val="single" w:sz="8" w:space="0" w:color="000000"/>
              <w:right w:val="single" w:sz="8" w:space="0" w:color="000000"/>
            </w:tcBorders>
            <w:tcMar>
              <w:top w:w="0" w:type="dxa"/>
              <w:left w:w="29" w:type="dxa"/>
              <w:bottom w:w="0" w:type="dxa"/>
              <w:right w:w="29" w:type="dxa"/>
            </w:tcMar>
            <w:vAlign w:val="center"/>
          </w:tcPr>
          <w:p w:rsidR="0029646E" w:rsidRPr="00223E5A" w:rsidP="0029646E" w14:paraId="49E54093" w14:textId="77777777">
            <w:pPr>
              <w:jc w:val="center"/>
              <w:rPr>
                <w:rFonts w:ascii="Arial Nova" w:hAnsi="Arial Nova"/>
                <w:sz w:val="22"/>
                <w:szCs w:val="22"/>
              </w:rPr>
            </w:pPr>
            <w:r w:rsidRPr="00223E5A">
              <w:rPr>
                <w:rFonts w:ascii="Arial Nova" w:hAnsi="Arial Nova"/>
                <w:sz w:val="22"/>
                <w:szCs w:val="22"/>
              </w:rPr>
              <w:t>1</w:t>
            </w:r>
          </w:p>
        </w:tc>
        <w:tc>
          <w:tcPr>
            <w:tcW w:w="1582" w:type="dxa"/>
            <w:tcBorders>
              <w:top w:val="nil"/>
              <w:left w:val="nil"/>
              <w:bottom w:val="single" w:sz="8" w:space="0" w:color="000000"/>
              <w:right w:val="single" w:sz="8" w:space="0" w:color="000000"/>
            </w:tcBorders>
            <w:tcMar>
              <w:top w:w="0" w:type="dxa"/>
              <w:left w:w="29" w:type="dxa"/>
              <w:bottom w:w="0" w:type="dxa"/>
              <w:right w:w="29" w:type="dxa"/>
            </w:tcMar>
            <w:vAlign w:val="center"/>
          </w:tcPr>
          <w:p w:rsidR="0029646E" w:rsidRPr="00223E5A" w:rsidP="0029646E" w14:paraId="7AEB2090" w14:textId="77777777">
            <w:pPr>
              <w:jc w:val="center"/>
              <w:rPr>
                <w:rFonts w:ascii="Arial Nova" w:hAnsi="Arial Nova"/>
                <w:sz w:val="22"/>
                <w:szCs w:val="22"/>
              </w:rPr>
            </w:pPr>
            <w:r w:rsidRPr="00223E5A">
              <w:rPr>
                <w:rFonts w:ascii="Arial Nova" w:hAnsi="Arial Nova"/>
                <w:sz w:val="22"/>
                <w:szCs w:val="22"/>
              </w:rPr>
              <w:t>3/60</w:t>
            </w:r>
          </w:p>
        </w:tc>
        <w:tc>
          <w:tcPr>
            <w:tcW w:w="1232" w:type="dxa"/>
            <w:tcBorders>
              <w:top w:val="nil"/>
              <w:left w:val="nil"/>
              <w:bottom w:val="single" w:sz="8" w:space="0" w:color="000000"/>
              <w:right w:val="single" w:sz="8" w:space="0" w:color="000000"/>
            </w:tcBorders>
            <w:tcMar>
              <w:top w:w="0" w:type="dxa"/>
              <w:left w:w="29" w:type="dxa"/>
              <w:bottom w:w="0" w:type="dxa"/>
              <w:right w:w="29" w:type="dxa"/>
            </w:tcMar>
            <w:vAlign w:val="center"/>
          </w:tcPr>
          <w:p w:rsidR="0029646E" w:rsidRPr="00223E5A" w:rsidP="0029646E" w14:paraId="294D3A5C" w14:textId="77777777">
            <w:pPr>
              <w:jc w:val="center"/>
              <w:rPr>
                <w:rFonts w:ascii="Arial Nova" w:hAnsi="Arial Nova"/>
                <w:sz w:val="22"/>
                <w:szCs w:val="22"/>
              </w:rPr>
            </w:pPr>
            <w:r w:rsidRPr="00223E5A">
              <w:rPr>
                <w:rFonts w:ascii="Arial Nova" w:hAnsi="Arial Nova"/>
                <w:sz w:val="22"/>
                <w:szCs w:val="22"/>
              </w:rPr>
              <w:t>60 hours</w:t>
            </w:r>
          </w:p>
        </w:tc>
      </w:tr>
      <w:tr w14:paraId="14320321" w14:textId="77777777" w:rsidTr="0029646E">
        <w:tblPrEx>
          <w:tblW w:w="16140" w:type="dxa"/>
          <w:tblCellMar>
            <w:left w:w="0" w:type="dxa"/>
            <w:right w:w="0" w:type="dxa"/>
          </w:tblCellMar>
          <w:tblLook w:val="04A0"/>
        </w:tblPrEx>
        <w:trPr>
          <w:trHeight w:val="517"/>
          <w:tblHeader/>
        </w:trPr>
        <w:tc>
          <w:tcPr>
            <w:tcW w:w="1484" w:type="dxa"/>
            <w:vMerge/>
            <w:tcBorders>
              <w:left w:val="single" w:sz="8" w:space="0" w:color="000000"/>
              <w:bottom w:val="single" w:sz="8" w:space="0" w:color="000000"/>
              <w:right w:val="single" w:sz="8" w:space="0" w:color="000000"/>
            </w:tcBorders>
            <w:tcMar>
              <w:top w:w="0" w:type="dxa"/>
              <w:left w:w="29" w:type="dxa"/>
              <w:bottom w:w="0" w:type="dxa"/>
              <w:right w:w="29" w:type="dxa"/>
            </w:tcMar>
            <w:vAlign w:val="center"/>
          </w:tcPr>
          <w:p w:rsidR="0029646E" w:rsidRPr="00223E5A" w:rsidP="0029646E" w14:paraId="1F2B5FDC" w14:textId="77777777">
            <w:pPr>
              <w:ind w:left="144"/>
              <w:rPr>
                <w:rFonts w:ascii="Arial Nova" w:hAnsi="Arial Nova"/>
                <w:sz w:val="22"/>
                <w:szCs w:val="22"/>
              </w:rPr>
            </w:pPr>
          </w:p>
        </w:tc>
        <w:tc>
          <w:tcPr>
            <w:tcW w:w="3067" w:type="dxa"/>
            <w:tcBorders>
              <w:top w:val="nil"/>
              <w:left w:val="nil"/>
              <w:bottom w:val="single" w:sz="8" w:space="0" w:color="000000"/>
              <w:right w:val="single" w:sz="8" w:space="0" w:color="000000"/>
            </w:tcBorders>
            <w:tcMar>
              <w:top w:w="0" w:type="dxa"/>
              <w:left w:w="29" w:type="dxa"/>
              <w:bottom w:w="0" w:type="dxa"/>
              <w:right w:w="29" w:type="dxa"/>
            </w:tcMar>
            <w:vAlign w:val="center"/>
          </w:tcPr>
          <w:p w:rsidR="0029646E" w:rsidRPr="00223E5A" w:rsidP="0029646E" w14:paraId="5E093BE2" w14:textId="3DBBA770">
            <w:pPr>
              <w:contextualSpacing/>
              <w:rPr>
                <w:rFonts w:ascii="Arial Nova" w:hAnsi="Arial Nova"/>
                <w:sz w:val="22"/>
                <w:szCs w:val="22"/>
              </w:rPr>
            </w:pPr>
            <w:r>
              <w:rPr>
                <w:rFonts w:ascii="Arial Nova" w:hAnsi="Arial Nova"/>
                <w:sz w:val="22"/>
                <w:szCs w:val="22"/>
              </w:rPr>
              <w:t>Standard</w:t>
            </w:r>
            <w:r w:rsidR="004F7698">
              <w:rPr>
                <w:rFonts w:ascii="Arial Nova" w:hAnsi="Arial Nova"/>
                <w:sz w:val="22"/>
                <w:szCs w:val="22"/>
              </w:rPr>
              <w:t xml:space="preserve"> </w:t>
            </w:r>
            <w:r w:rsidRPr="00223E5A">
              <w:rPr>
                <w:rFonts w:ascii="Arial Nova" w:hAnsi="Arial Nova"/>
                <w:sz w:val="22"/>
                <w:szCs w:val="22"/>
              </w:rPr>
              <w:t>Long-Term Evaluation</w:t>
            </w:r>
          </w:p>
          <w:p w:rsidR="0029646E" w:rsidRPr="00223E5A" w:rsidP="0029646E" w14:paraId="234B3973" w14:textId="120DCF59">
            <w:pPr>
              <w:contextualSpacing/>
              <w:rPr>
                <w:rFonts w:ascii="Arial Nova" w:hAnsi="Arial Nova"/>
                <w:sz w:val="22"/>
                <w:szCs w:val="22"/>
              </w:rPr>
            </w:pPr>
            <w:r w:rsidRPr="00223E5A">
              <w:rPr>
                <w:rFonts w:ascii="Arial Nova" w:hAnsi="Arial Nova"/>
                <w:sz w:val="22"/>
                <w:szCs w:val="22"/>
              </w:rPr>
              <w:t>Att 12</w:t>
            </w:r>
            <w:r w:rsidRPr="00223E5A" w:rsidR="0076746C">
              <w:rPr>
                <w:rFonts w:ascii="Arial Nova" w:hAnsi="Arial Nova"/>
                <w:sz w:val="22"/>
                <w:szCs w:val="22"/>
              </w:rPr>
              <w:t xml:space="preserve"> </w:t>
            </w:r>
          </w:p>
        </w:tc>
        <w:tc>
          <w:tcPr>
            <w:tcW w:w="1365" w:type="dxa"/>
            <w:tcBorders>
              <w:top w:val="nil"/>
              <w:left w:val="nil"/>
              <w:bottom w:val="single" w:sz="8" w:space="0" w:color="000000"/>
              <w:right w:val="single" w:sz="8" w:space="0" w:color="000000"/>
            </w:tcBorders>
            <w:tcMar>
              <w:top w:w="0" w:type="dxa"/>
              <w:left w:w="29" w:type="dxa"/>
              <w:bottom w:w="0" w:type="dxa"/>
              <w:right w:w="29" w:type="dxa"/>
            </w:tcMar>
            <w:vAlign w:val="center"/>
          </w:tcPr>
          <w:p w:rsidR="0029646E" w:rsidRPr="00223E5A" w:rsidP="0029646E" w14:paraId="17E7BD48" w14:textId="77777777">
            <w:pPr>
              <w:jc w:val="center"/>
              <w:rPr>
                <w:rFonts w:ascii="Arial Nova" w:hAnsi="Arial Nova"/>
                <w:sz w:val="22"/>
                <w:szCs w:val="22"/>
              </w:rPr>
            </w:pPr>
            <w:r w:rsidRPr="00223E5A">
              <w:rPr>
                <w:rFonts w:ascii="Arial Nova" w:hAnsi="Arial Nova"/>
                <w:sz w:val="22"/>
                <w:szCs w:val="22"/>
              </w:rPr>
              <w:t>400</w:t>
            </w:r>
          </w:p>
        </w:tc>
        <w:tc>
          <w:tcPr>
            <w:tcW w:w="1345" w:type="dxa"/>
            <w:tcBorders>
              <w:top w:val="nil"/>
              <w:left w:val="nil"/>
              <w:bottom w:val="single" w:sz="8" w:space="0" w:color="000000"/>
              <w:right w:val="single" w:sz="8" w:space="0" w:color="000000"/>
            </w:tcBorders>
            <w:tcMar>
              <w:top w:w="0" w:type="dxa"/>
              <w:left w:w="29" w:type="dxa"/>
              <w:bottom w:w="0" w:type="dxa"/>
              <w:right w:w="29" w:type="dxa"/>
            </w:tcMar>
            <w:vAlign w:val="center"/>
          </w:tcPr>
          <w:p w:rsidR="0029646E" w:rsidRPr="00223E5A" w:rsidP="0029646E" w14:paraId="30553817" w14:textId="77777777">
            <w:pPr>
              <w:jc w:val="center"/>
              <w:rPr>
                <w:rFonts w:ascii="Arial Nova" w:hAnsi="Arial Nova"/>
                <w:sz w:val="22"/>
                <w:szCs w:val="22"/>
              </w:rPr>
            </w:pPr>
            <w:r w:rsidRPr="00223E5A">
              <w:rPr>
                <w:rFonts w:ascii="Arial Nova" w:hAnsi="Arial Nova"/>
                <w:sz w:val="22"/>
                <w:szCs w:val="22"/>
              </w:rPr>
              <w:t>1</w:t>
            </w:r>
          </w:p>
        </w:tc>
        <w:tc>
          <w:tcPr>
            <w:tcW w:w="1582" w:type="dxa"/>
            <w:tcBorders>
              <w:top w:val="nil"/>
              <w:left w:val="nil"/>
              <w:bottom w:val="single" w:sz="8" w:space="0" w:color="000000"/>
              <w:right w:val="single" w:sz="8" w:space="0" w:color="000000"/>
            </w:tcBorders>
            <w:tcMar>
              <w:top w:w="0" w:type="dxa"/>
              <w:left w:w="29" w:type="dxa"/>
              <w:bottom w:w="0" w:type="dxa"/>
              <w:right w:w="29" w:type="dxa"/>
            </w:tcMar>
            <w:vAlign w:val="center"/>
          </w:tcPr>
          <w:p w:rsidR="0029646E" w:rsidRPr="00223E5A" w:rsidP="0029646E" w14:paraId="5055A864" w14:textId="77777777">
            <w:pPr>
              <w:jc w:val="center"/>
              <w:rPr>
                <w:rFonts w:ascii="Arial Nova" w:hAnsi="Arial Nova"/>
                <w:sz w:val="22"/>
                <w:szCs w:val="22"/>
              </w:rPr>
            </w:pPr>
            <w:r w:rsidRPr="00223E5A">
              <w:rPr>
                <w:rFonts w:ascii="Arial Nova" w:hAnsi="Arial Nova"/>
                <w:sz w:val="22"/>
                <w:szCs w:val="22"/>
              </w:rPr>
              <w:t>3/60</w:t>
            </w:r>
          </w:p>
        </w:tc>
        <w:tc>
          <w:tcPr>
            <w:tcW w:w="1232" w:type="dxa"/>
            <w:tcBorders>
              <w:top w:val="nil"/>
              <w:left w:val="nil"/>
              <w:bottom w:val="single" w:sz="8" w:space="0" w:color="000000"/>
              <w:right w:val="single" w:sz="8" w:space="0" w:color="000000"/>
            </w:tcBorders>
            <w:tcMar>
              <w:top w:w="0" w:type="dxa"/>
              <w:left w:w="29" w:type="dxa"/>
              <w:bottom w:w="0" w:type="dxa"/>
              <w:right w:w="29" w:type="dxa"/>
            </w:tcMar>
            <w:vAlign w:val="center"/>
          </w:tcPr>
          <w:p w:rsidR="0029646E" w:rsidRPr="00223E5A" w:rsidP="0029646E" w14:paraId="0129DC99" w14:textId="0516279E">
            <w:pPr>
              <w:jc w:val="center"/>
              <w:rPr>
                <w:rFonts w:ascii="Arial Nova" w:hAnsi="Arial Nova"/>
                <w:sz w:val="22"/>
                <w:szCs w:val="22"/>
              </w:rPr>
            </w:pPr>
            <w:r>
              <w:rPr>
                <w:rFonts w:ascii="Arial Nova" w:hAnsi="Arial Nova"/>
                <w:sz w:val="22"/>
                <w:szCs w:val="22"/>
              </w:rPr>
              <w:t>20</w:t>
            </w:r>
            <w:r w:rsidRPr="00223E5A">
              <w:rPr>
                <w:rFonts w:ascii="Arial Nova" w:hAnsi="Arial Nova"/>
                <w:sz w:val="22"/>
                <w:szCs w:val="22"/>
              </w:rPr>
              <w:t xml:space="preserve"> hours</w:t>
            </w:r>
          </w:p>
        </w:tc>
        <w:tc>
          <w:tcPr>
            <w:tcW w:w="1517" w:type="dxa"/>
            <w:vAlign w:val="center"/>
          </w:tcPr>
          <w:p w:rsidR="0029646E" w:rsidRPr="00223E5A" w:rsidP="0029646E" w14:paraId="3E008C02" w14:textId="77777777">
            <w:pPr>
              <w:spacing w:line="259" w:lineRule="auto"/>
              <w:rPr>
                <w:rFonts w:ascii="Arial Nova" w:hAnsi="Arial Nova"/>
              </w:rPr>
            </w:pPr>
          </w:p>
        </w:tc>
        <w:tc>
          <w:tcPr>
            <w:tcW w:w="1516" w:type="dxa"/>
            <w:vAlign w:val="center"/>
          </w:tcPr>
          <w:p w:rsidR="0029646E" w:rsidRPr="00223E5A" w:rsidP="0029646E" w14:paraId="36080BEF" w14:textId="77777777">
            <w:pPr>
              <w:spacing w:line="259" w:lineRule="auto"/>
              <w:rPr>
                <w:rFonts w:ascii="Arial Nova" w:hAnsi="Arial Nova"/>
              </w:rPr>
            </w:pPr>
          </w:p>
        </w:tc>
        <w:tc>
          <w:tcPr>
            <w:tcW w:w="1516" w:type="dxa"/>
            <w:vAlign w:val="center"/>
          </w:tcPr>
          <w:p w:rsidR="0029646E" w:rsidRPr="00223E5A" w:rsidP="0029646E" w14:paraId="6DBEA1A5" w14:textId="77777777">
            <w:pPr>
              <w:spacing w:line="259" w:lineRule="auto"/>
              <w:rPr>
                <w:rFonts w:ascii="Arial Nova" w:hAnsi="Arial Nova"/>
              </w:rPr>
            </w:pPr>
          </w:p>
        </w:tc>
        <w:tc>
          <w:tcPr>
            <w:tcW w:w="1516" w:type="dxa"/>
            <w:vAlign w:val="center"/>
          </w:tcPr>
          <w:p w:rsidR="0029646E" w:rsidRPr="00223E5A" w:rsidP="0029646E" w14:paraId="454C1E44" w14:textId="77777777">
            <w:pPr>
              <w:spacing w:line="259" w:lineRule="auto"/>
              <w:rPr>
                <w:rFonts w:ascii="Arial Nova" w:hAnsi="Arial Nova"/>
              </w:rPr>
            </w:pPr>
          </w:p>
        </w:tc>
      </w:tr>
      <w:tr w14:paraId="7919C956" w14:textId="77777777" w:rsidTr="0029646E">
        <w:tblPrEx>
          <w:tblW w:w="16140" w:type="dxa"/>
          <w:tblCellMar>
            <w:left w:w="0" w:type="dxa"/>
            <w:right w:w="0" w:type="dxa"/>
          </w:tblCellMar>
          <w:tblLook w:val="04A0"/>
        </w:tblPrEx>
        <w:trPr>
          <w:tblHeader/>
        </w:trPr>
        <w:tc>
          <w:tcPr>
            <w:tcW w:w="1484" w:type="dxa"/>
            <w:vMerge w:val="restart"/>
            <w:tcBorders>
              <w:top w:val="nil"/>
              <w:left w:val="single" w:sz="8" w:space="0" w:color="000000"/>
              <w:bottom w:val="single" w:sz="8" w:space="0" w:color="000000"/>
              <w:right w:val="single" w:sz="8" w:space="0" w:color="000000"/>
            </w:tcBorders>
            <w:tcMar>
              <w:top w:w="0" w:type="dxa"/>
              <w:left w:w="29" w:type="dxa"/>
              <w:bottom w:w="0" w:type="dxa"/>
              <w:right w:w="29" w:type="dxa"/>
            </w:tcMar>
            <w:vAlign w:val="center"/>
            <w:hideMark/>
          </w:tcPr>
          <w:p w:rsidR="0029646E" w:rsidRPr="00223E5A" w:rsidP="0029646E" w14:paraId="5DAEB618" w14:textId="77777777">
            <w:pPr>
              <w:ind w:left="144"/>
              <w:rPr>
                <w:rFonts w:ascii="Arial Nova" w:hAnsi="Arial Nova"/>
                <w:sz w:val="22"/>
                <w:szCs w:val="22"/>
              </w:rPr>
            </w:pPr>
            <w:r w:rsidRPr="00223E5A">
              <w:rPr>
                <w:rFonts w:ascii="Arial Nova" w:hAnsi="Arial Nova"/>
                <w:sz w:val="22"/>
                <w:szCs w:val="22"/>
              </w:rPr>
              <w:t>Healthcare Professionals</w:t>
            </w:r>
          </w:p>
        </w:tc>
        <w:tc>
          <w:tcPr>
            <w:tcW w:w="3067" w:type="dxa"/>
            <w:tcBorders>
              <w:top w:val="nil"/>
              <w:left w:val="nil"/>
              <w:bottom w:val="single" w:sz="8" w:space="0" w:color="000000"/>
              <w:right w:val="single" w:sz="8" w:space="0" w:color="000000"/>
            </w:tcBorders>
            <w:tcMar>
              <w:top w:w="0" w:type="dxa"/>
              <w:left w:w="29" w:type="dxa"/>
              <w:bottom w:w="0" w:type="dxa"/>
              <w:right w:w="29" w:type="dxa"/>
            </w:tcMar>
            <w:vAlign w:val="center"/>
            <w:hideMark/>
          </w:tcPr>
          <w:p w:rsidR="0029646E" w:rsidRPr="00223E5A" w:rsidP="0029646E" w14:paraId="128C9DE6" w14:textId="77777777">
            <w:pPr>
              <w:contextualSpacing/>
              <w:rPr>
                <w:rFonts w:ascii="Arial Nova" w:hAnsi="Arial Nova"/>
                <w:sz w:val="22"/>
                <w:szCs w:val="22"/>
              </w:rPr>
            </w:pPr>
            <w:r w:rsidRPr="00223E5A">
              <w:rPr>
                <w:rFonts w:ascii="Arial Nova" w:hAnsi="Arial Nova"/>
                <w:sz w:val="22"/>
                <w:szCs w:val="22"/>
              </w:rPr>
              <w:t>Intensive Complete</w:t>
            </w:r>
          </w:p>
          <w:p w:rsidR="0029646E" w:rsidRPr="00223E5A" w:rsidP="0029646E" w14:paraId="3792389A" w14:textId="77777777">
            <w:pPr>
              <w:contextualSpacing/>
              <w:rPr>
                <w:rFonts w:ascii="Arial Nova" w:hAnsi="Arial Nova"/>
                <w:sz w:val="22"/>
                <w:szCs w:val="22"/>
              </w:rPr>
            </w:pPr>
            <w:r w:rsidRPr="00223E5A">
              <w:rPr>
                <w:rFonts w:ascii="Arial Nova" w:hAnsi="Arial Nova"/>
                <w:sz w:val="22"/>
                <w:szCs w:val="22"/>
              </w:rPr>
              <w:t>Post-Course Evaluation</w:t>
            </w:r>
          </w:p>
          <w:p w:rsidR="0029646E" w:rsidRPr="00223E5A" w:rsidP="0029646E" w14:paraId="7F9240B0" w14:textId="36D85622">
            <w:pPr>
              <w:contextualSpacing/>
              <w:rPr>
                <w:rFonts w:ascii="Arial Nova" w:hAnsi="Arial Nova"/>
                <w:b/>
                <w:bCs/>
                <w:sz w:val="22"/>
                <w:szCs w:val="22"/>
              </w:rPr>
            </w:pPr>
            <w:r w:rsidRPr="00223E5A">
              <w:rPr>
                <w:rFonts w:ascii="Arial Nova" w:hAnsi="Arial Nova"/>
                <w:sz w:val="22"/>
                <w:szCs w:val="22"/>
              </w:rPr>
              <w:t>Att 14</w:t>
            </w:r>
            <w:r w:rsidRPr="00223E5A" w:rsidR="0076746C">
              <w:rPr>
                <w:rFonts w:ascii="Arial Nova" w:hAnsi="Arial Nova"/>
                <w:sz w:val="22"/>
                <w:szCs w:val="22"/>
              </w:rPr>
              <w:t xml:space="preserve"> </w:t>
            </w:r>
          </w:p>
        </w:tc>
        <w:tc>
          <w:tcPr>
            <w:tcW w:w="1365" w:type="dxa"/>
            <w:tcBorders>
              <w:top w:val="nil"/>
              <w:left w:val="nil"/>
              <w:bottom w:val="single" w:sz="8" w:space="0" w:color="000000"/>
              <w:right w:val="single" w:sz="8" w:space="0" w:color="000000"/>
            </w:tcBorders>
            <w:tcMar>
              <w:top w:w="0" w:type="dxa"/>
              <w:left w:w="29" w:type="dxa"/>
              <w:bottom w:w="0" w:type="dxa"/>
              <w:right w:w="29" w:type="dxa"/>
            </w:tcMar>
            <w:vAlign w:val="center"/>
            <w:hideMark/>
          </w:tcPr>
          <w:p w:rsidR="0029646E" w:rsidRPr="00223E5A" w:rsidP="0029646E" w14:paraId="28C88A7D" w14:textId="77777777">
            <w:pPr>
              <w:jc w:val="center"/>
              <w:rPr>
                <w:rFonts w:ascii="Arial Nova" w:hAnsi="Arial Nova"/>
                <w:b/>
                <w:bCs/>
                <w:sz w:val="22"/>
                <w:szCs w:val="22"/>
              </w:rPr>
            </w:pPr>
            <w:r w:rsidRPr="00223E5A">
              <w:rPr>
                <w:rFonts w:ascii="Arial Nova" w:hAnsi="Arial Nova"/>
                <w:sz w:val="22"/>
                <w:szCs w:val="22"/>
              </w:rPr>
              <w:t>300</w:t>
            </w:r>
          </w:p>
        </w:tc>
        <w:tc>
          <w:tcPr>
            <w:tcW w:w="1345" w:type="dxa"/>
            <w:tcBorders>
              <w:top w:val="nil"/>
              <w:left w:val="nil"/>
              <w:bottom w:val="single" w:sz="8" w:space="0" w:color="000000"/>
              <w:right w:val="single" w:sz="8" w:space="0" w:color="000000"/>
            </w:tcBorders>
            <w:tcMar>
              <w:top w:w="0" w:type="dxa"/>
              <w:left w:w="29" w:type="dxa"/>
              <w:bottom w:w="0" w:type="dxa"/>
              <w:right w:w="29" w:type="dxa"/>
            </w:tcMar>
            <w:vAlign w:val="center"/>
            <w:hideMark/>
          </w:tcPr>
          <w:p w:rsidR="0029646E" w:rsidRPr="00223E5A" w:rsidP="0029646E" w14:paraId="30759C47" w14:textId="77777777">
            <w:pPr>
              <w:jc w:val="center"/>
              <w:rPr>
                <w:rFonts w:ascii="Arial Nova" w:hAnsi="Arial Nova"/>
                <w:b/>
                <w:bCs/>
                <w:sz w:val="22"/>
                <w:szCs w:val="22"/>
              </w:rPr>
            </w:pPr>
            <w:r w:rsidRPr="00223E5A">
              <w:rPr>
                <w:rFonts w:ascii="Arial Nova" w:hAnsi="Arial Nova"/>
                <w:sz w:val="22"/>
                <w:szCs w:val="22"/>
              </w:rPr>
              <w:t>1</w:t>
            </w:r>
          </w:p>
        </w:tc>
        <w:tc>
          <w:tcPr>
            <w:tcW w:w="1582" w:type="dxa"/>
            <w:tcBorders>
              <w:top w:val="nil"/>
              <w:left w:val="nil"/>
              <w:bottom w:val="single" w:sz="8" w:space="0" w:color="000000"/>
              <w:right w:val="single" w:sz="8" w:space="0" w:color="000000"/>
            </w:tcBorders>
            <w:tcMar>
              <w:top w:w="0" w:type="dxa"/>
              <w:left w:w="29" w:type="dxa"/>
              <w:bottom w:w="0" w:type="dxa"/>
              <w:right w:w="29" w:type="dxa"/>
            </w:tcMar>
            <w:vAlign w:val="center"/>
            <w:hideMark/>
          </w:tcPr>
          <w:p w:rsidR="0029646E" w:rsidRPr="00223E5A" w:rsidP="0029646E" w14:paraId="2AF9127B" w14:textId="77777777">
            <w:pPr>
              <w:jc w:val="center"/>
              <w:rPr>
                <w:rFonts w:ascii="Arial Nova" w:hAnsi="Arial Nova"/>
                <w:b/>
                <w:bCs/>
                <w:sz w:val="22"/>
                <w:szCs w:val="22"/>
              </w:rPr>
            </w:pPr>
            <w:r w:rsidRPr="00223E5A">
              <w:rPr>
                <w:rFonts w:ascii="Arial Nova" w:hAnsi="Arial Nova"/>
                <w:sz w:val="22"/>
                <w:szCs w:val="22"/>
              </w:rPr>
              <w:t>10/60</w:t>
            </w:r>
          </w:p>
        </w:tc>
        <w:tc>
          <w:tcPr>
            <w:tcW w:w="1232" w:type="dxa"/>
            <w:tcBorders>
              <w:top w:val="nil"/>
              <w:left w:val="nil"/>
              <w:bottom w:val="single" w:sz="8" w:space="0" w:color="000000"/>
              <w:right w:val="single" w:sz="8" w:space="0" w:color="000000"/>
            </w:tcBorders>
            <w:tcMar>
              <w:top w:w="0" w:type="dxa"/>
              <w:left w:w="29" w:type="dxa"/>
              <w:bottom w:w="0" w:type="dxa"/>
              <w:right w:w="29" w:type="dxa"/>
            </w:tcMar>
            <w:vAlign w:val="center"/>
            <w:hideMark/>
          </w:tcPr>
          <w:p w:rsidR="0029646E" w:rsidRPr="00223E5A" w:rsidP="0029646E" w14:paraId="3046C57D" w14:textId="77777777">
            <w:pPr>
              <w:jc w:val="center"/>
              <w:rPr>
                <w:rFonts w:ascii="Arial Nova" w:hAnsi="Arial Nova"/>
                <w:sz w:val="22"/>
                <w:szCs w:val="22"/>
              </w:rPr>
            </w:pPr>
            <w:r w:rsidRPr="00223E5A">
              <w:rPr>
                <w:rFonts w:ascii="Arial Nova" w:hAnsi="Arial Nova"/>
                <w:sz w:val="22"/>
                <w:szCs w:val="22"/>
              </w:rPr>
              <w:t>50 hours</w:t>
            </w:r>
          </w:p>
        </w:tc>
        <w:tc>
          <w:tcPr>
            <w:tcW w:w="1517" w:type="dxa"/>
            <w:vAlign w:val="center"/>
          </w:tcPr>
          <w:p w:rsidR="0029646E" w:rsidRPr="00223E5A" w:rsidP="0029646E" w14:paraId="261306DB" w14:textId="77777777">
            <w:pPr>
              <w:spacing w:line="259" w:lineRule="auto"/>
              <w:rPr>
                <w:rFonts w:ascii="Arial Nova" w:hAnsi="Arial Nova"/>
              </w:rPr>
            </w:pPr>
          </w:p>
        </w:tc>
        <w:tc>
          <w:tcPr>
            <w:tcW w:w="1516" w:type="dxa"/>
            <w:vAlign w:val="center"/>
          </w:tcPr>
          <w:p w:rsidR="0029646E" w:rsidRPr="00223E5A" w:rsidP="0029646E" w14:paraId="42FACD1C" w14:textId="77777777">
            <w:pPr>
              <w:spacing w:line="259" w:lineRule="auto"/>
              <w:rPr>
                <w:rFonts w:ascii="Arial Nova" w:hAnsi="Arial Nova"/>
              </w:rPr>
            </w:pPr>
          </w:p>
        </w:tc>
        <w:tc>
          <w:tcPr>
            <w:tcW w:w="1516" w:type="dxa"/>
            <w:vAlign w:val="center"/>
          </w:tcPr>
          <w:p w:rsidR="0029646E" w:rsidRPr="00223E5A" w:rsidP="0029646E" w14:paraId="2A9B84F0" w14:textId="77777777">
            <w:pPr>
              <w:spacing w:line="259" w:lineRule="auto"/>
              <w:rPr>
                <w:rFonts w:ascii="Arial Nova" w:hAnsi="Arial Nova"/>
              </w:rPr>
            </w:pPr>
          </w:p>
        </w:tc>
        <w:tc>
          <w:tcPr>
            <w:tcW w:w="1516" w:type="dxa"/>
            <w:vAlign w:val="center"/>
          </w:tcPr>
          <w:p w:rsidR="0029646E" w:rsidRPr="00223E5A" w:rsidP="0029646E" w14:paraId="2B47B5E5" w14:textId="77777777">
            <w:pPr>
              <w:spacing w:line="259" w:lineRule="auto"/>
              <w:rPr>
                <w:rFonts w:ascii="Arial Nova" w:hAnsi="Arial Nova"/>
              </w:rPr>
            </w:pPr>
          </w:p>
        </w:tc>
      </w:tr>
      <w:tr w14:paraId="11E3D16B" w14:textId="77777777" w:rsidTr="0029646E">
        <w:tblPrEx>
          <w:tblW w:w="16140" w:type="dxa"/>
          <w:tblCellMar>
            <w:left w:w="0" w:type="dxa"/>
            <w:right w:w="0" w:type="dxa"/>
          </w:tblCellMar>
          <w:tblLook w:val="04A0"/>
        </w:tblPrEx>
        <w:trPr>
          <w:gridAfter w:val="4"/>
          <w:wAfter w:w="6065" w:type="dxa"/>
          <w:tblHeader/>
        </w:trPr>
        <w:tc>
          <w:tcPr>
            <w:tcW w:w="1484" w:type="dxa"/>
            <w:vMerge/>
            <w:tcBorders>
              <w:top w:val="nil"/>
              <w:left w:val="single" w:sz="8" w:space="0" w:color="000000"/>
              <w:bottom w:val="single" w:sz="8" w:space="0" w:color="000000"/>
              <w:right w:val="single" w:sz="8" w:space="0" w:color="000000"/>
            </w:tcBorders>
            <w:vAlign w:val="center"/>
            <w:hideMark/>
          </w:tcPr>
          <w:p w:rsidR="0029646E" w:rsidRPr="00223E5A" w:rsidP="0029646E" w14:paraId="6D4DDC74" w14:textId="77777777">
            <w:pPr>
              <w:rPr>
                <w:rFonts w:ascii="Arial Nova" w:hAnsi="Arial Nova"/>
                <w:sz w:val="22"/>
                <w:szCs w:val="22"/>
              </w:rPr>
            </w:pPr>
          </w:p>
        </w:tc>
        <w:tc>
          <w:tcPr>
            <w:tcW w:w="3067" w:type="dxa"/>
            <w:tcBorders>
              <w:top w:val="nil"/>
              <w:left w:val="nil"/>
              <w:bottom w:val="single" w:sz="8" w:space="0" w:color="000000"/>
              <w:right w:val="single" w:sz="8" w:space="0" w:color="000000"/>
            </w:tcBorders>
            <w:tcMar>
              <w:top w:w="0" w:type="dxa"/>
              <w:left w:w="29" w:type="dxa"/>
              <w:bottom w:w="0" w:type="dxa"/>
              <w:right w:w="29" w:type="dxa"/>
            </w:tcMar>
            <w:vAlign w:val="center"/>
            <w:hideMark/>
          </w:tcPr>
          <w:p w:rsidR="0029646E" w:rsidRPr="00223E5A" w:rsidP="0029646E" w14:paraId="5F0F43DA" w14:textId="77777777">
            <w:pPr>
              <w:contextualSpacing/>
              <w:rPr>
                <w:rFonts w:ascii="Arial Nova" w:hAnsi="Arial Nova"/>
                <w:sz w:val="22"/>
                <w:szCs w:val="22"/>
              </w:rPr>
            </w:pPr>
            <w:r w:rsidRPr="00223E5A">
              <w:rPr>
                <w:rFonts w:ascii="Arial Nova" w:hAnsi="Arial Nova"/>
                <w:sz w:val="22"/>
                <w:szCs w:val="22"/>
              </w:rPr>
              <w:t>Intensive Complete</w:t>
            </w:r>
          </w:p>
          <w:p w:rsidR="0029646E" w:rsidRPr="00223E5A" w:rsidP="0029646E" w14:paraId="67AAE9D2" w14:textId="77777777">
            <w:pPr>
              <w:contextualSpacing/>
              <w:rPr>
                <w:rFonts w:ascii="Arial Nova" w:hAnsi="Arial Nova"/>
                <w:sz w:val="22"/>
                <w:szCs w:val="22"/>
              </w:rPr>
            </w:pPr>
            <w:r w:rsidRPr="00223E5A">
              <w:rPr>
                <w:rFonts w:ascii="Arial Nova" w:hAnsi="Arial Nova"/>
                <w:sz w:val="22"/>
                <w:szCs w:val="22"/>
              </w:rPr>
              <w:t>Long-Term Evaluation</w:t>
            </w:r>
          </w:p>
          <w:p w:rsidR="0029646E" w:rsidRPr="00223E5A" w:rsidP="0029646E" w14:paraId="22D8FF26" w14:textId="246D3729">
            <w:pPr>
              <w:contextualSpacing/>
              <w:rPr>
                <w:rFonts w:ascii="Arial Nova" w:hAnsi="Arial Nova"/>
                <w:b/>
                <w:bCs/>
                <w:sz w:val="22"/>
                <w:szCs w:val="22"/>
              </w:rPr>
            </w:pPr>
            <w:r w:rsidRPr="00223E5A">
              <w:rPr>
                <w:rFonts w:ascii="Arial Nova" w:hAnsi="Arial Nova"/>
                <w:sz w:val="22"/>
                <w:szCs w:val="22"/>
              </w:rPr>
              <w:t>Att 16</w:t>
            </w:r>
            <w:r w:rsidRPr="00223E5A" w:rsidR="0076746C">
              <w:rPr>
                <w:rFonts w:ascii="Arial Nova" w:hAnsi="Arial Nova"/>
                <w:sz w:val="22"/>
                <w:szCs w:val="22"/>
              </w:rPr>
              <w:t xml:space="preserve"> </w:t>
            </w:r>
          </w:p>
        </w:tc>
        <w:tc>
          <w:tcPr>
            <w:tcW w:w="1365" w:type="dxa"/>
            <w:tcBorders>
              <w:top w:val="nil"/>
              <w:left w:val="nil"/>
              <w:bottom w:val="single" w:sz="8" w:space="0" w:color="000000"/>
              <w:right w:val="single" w:sz="8" w:space="0" w:color="000000"/>
            </w:tcBorders>
            <w:tcMar>
              <w:top w:w="0" w:type="dxa"/>
              <w:left w:w="29" w:type="dxa"/>
              <w:bottom w:w="0" w:type="dxa"/>
              <w:right w:w="29" w:type="dxa"/>
            </w:tcMar>
            <w:vAlign w:val="center"/>
            <w:hideMark/>
          </w:tcPr>
          <w:p w:rsidR="0029646E" w:rsidRPr="00223E5A" w:rsidP="0029646E" w14:paraId="79C110D2" w14:textId="77777777">
            <w:pPr>
              <w:jc w:val="center"/>
              <w:rPr>
                <w:rFonts w:ascii="Arial Nova" w:hAnsi="Arial Nova"/>
                <w:b/>
                <w:bCs/>
                <w:sz w:val="22"/>
                <w:szCs w:val="22"/>
              </w:rPr>
            </w:pPr>
            <w:r w:rsidRPr="00223E5A">
              <w:rPr>
                <w:rFonts w:ascii="Arial Nova" w:hAnsi="Arial Nova"/>
                <w:sz w:val="22"/>
                <w:szCs w:val="22"/>
              </w:rPr>
              <w:t>120</w:t>
            </w:r>
          </w:p>
        </w:tc>
        <w:tc>
          <w:tcPr>
            <w:tcW w:w="1345" w:type="dxa"/>
            <w:tcBorders>
              <w:top w:val="nil"/>
              <w:left w:val="nil"/>
              <w:bottom w:val="single" w:sz="8" w:space="0" w:color="000000"/>
              <w:right w:val="single" w:sz="8" w:space="0" w:color="000000"/>
            </w:tcBorders>
            <w:tcMar>
              <w:top w:w="0" w:type="dxa"/>
              <w:left w:w="29" w:type="dxa"/>
              <w:bottom w:w="0" w:type="dxa"/>
              <w:right w:w="29" w:type="dxa"/>
            </w:tcMar>
            <w:vAlign w:val="center"/>
            <w:hideMark/>
          </w:tcPr>
          <w:p w:rsidR="0029646E" w:rsidRPr="00223E5A" w:rsidP="0029646E" w14:paraId="7EAF3515" w14:textId="77777777">
            <w:pPr>
              <w:jc w:val="center"/>
              <w:rPr>
                <w:rFonts w:ascii="Arial Nova" w:hAnsi="Arial Nova"/>
                <w:b/>
                <w:bCs/>
                <w:sz w:val="22"/>
                <w:szCs w:val="22"/>
              </w:rPr>
            </w:pPr>
            <w:r w:rsidRPr="00223E5A">
              <w:rPr>
                <w:rFonts w:ascii="Arial Nova" w:hAnsi="Arial Nova"/>
                <w:sz w:val="22"/>
                <w:szCs w:val="22"/>
              </w:rPr>
              <w:t>1</w:t>
            </w:r>
          </w:p>
        </w:tc>
        <w:tc>
          <w:tcPr>
            <w:tcW w:w="1582" w:type="dxa"/>
            <w:tcBorders>
              <w:top w:val="nil"/>
              <w:left w:val="nil"/>
              <w:bottom w:val="single" w:sz="8" w:space="0" w:color="000000"/>
              <w:right w:val="single" w:sz="8" w:space="0" w:color="000000"/>
            </w:tcBorders>
            <w:tcMar>
              <w:top w:w="0" w:type="dxa"/>
              <w:left w:w="29" w:type="dxa"/>
              <w:bottom w:w="0" w:type="dxa"/>
              <w:right w:w="29" w:type="dxa"/>
            </w:tcMar>
            <w:vAlign w:val="center"/>
            <w:hideMark/>
          </w:tcPr>
          <w:p w:rsidR="0029646E" w:rsidRPr="00223E5A" w:rsidP="0029646E" w14:paraId="22945CF1" w14:textId="77777777">
            <w:pPr>
              <w:jc w:val="center"/>
              <w:rPr>
                <w:rFonts w:ascii="Arial Nova" w:hAnsi="Arial Nova"/>
                <w:b/>
                <w:bCs/>
                <w:sz w:val="22"/>
                <w:szCs w:val="22"/>
              </w:rPr>
            </w:pPr>
            <w:r w:rsidRPr="00223E5A">
              <w:rPr>
                <w:rFonts w:ascii="Arial Nova" w:hAnsi="Arial Nova"/>
                <w:sz w:val="22"/>
                <w:szCs w:val="22"/>
              </w:rPr>
              <w:t>6/60</w:t>
            </w:r>
          </w:p>
        </w:tc>
        <w:tc>
          <w:tcPr>
            <w:tcW w:w="1232" w:type="dxa"/>
            <w:tcBorders>
              <w:top w:val="nil"/>
              <w:left w:val="nil"/>
              <w:bottom w:val="single" w:sz="8" w:space="0" w:color="000000"/>
              <w:right w:val="single" w:sz="8" w:space="0" w:color="000000"/>
            </w:tcBorders>
            <w:tcMar>
              <w:top w:w="0" w:type="dxa"/>
              <w:left w:w="29" w:type="dxa"/>
              <w:bottom w:w="0" w:type="dxa"/>
              <w:right w:w="29" w:type="dxa"/>
            </w:tcMar>
            <w:vAlign w:val="center"/>
            <w:hideMark/>
          </w:tcPr>
          <w:p w:rsidR="0029646E" w:rsidRPr="00223E5A" w:rsidP="0029646E" w14:paraId="30BE5C33" w14:textId="77777777">
            <w:pPr>
              <w:jc w:val="center"/>
              <w:rPr>
                <w:rFonts w:ascii="Arial Nova" w:hAnsi="Arial Nova"/>
                <w:b/>
                <w:bCs/>
                <w:sz w:val="22"/>
                <w:szCs w:val="22"/>
              </w:rPr>
            </w:pPr>
            <w:r w:rsidRPr="00223E5A">
              <w:rPr>
                <w:rFonts w:ascii="Arial Nova" w:hAnsi="Arial Nova"/>
                <w:sz w:val="22"/>
                <w:szCs w:val="22"/>
              </w:rPr>
              <w:t>12 hours</w:t>
            </w:r>
          </w:p>
        </w:tc>
      </w:tr>
      <w:tr w14:paraId="409179B9" w14:textId="77777777" w:rsidTr="00223E5A">
        <w:tblPrEx>
          <w:tblW w:w="16140" w:type="dxa"/>
          <w:tblCellMar>
            <w:left w:w="0" w:type="dxa"/>
            <w:right w:w="0" w:type="dxa"/>
          </w:tblCellMar>
          <w:tblLook w:val="04A0"/>
        </w:tblPrEx>
        <w:trPr>
          <w:gridAfter w:val="4"/>
          <w:wAfter w:w="6065" w:type="dxa"/>
          <w:trHeight w:val="450"/>
          <w:tblHeader/>
        </w:trPr>
        <w:tc>
          <w:tcPr>
            <w:tcW w:w="1484" w:type="dxa"/>
            <w:tcBorders>
              <w:top w:val="nil"/>
              <w:left w:val="single" w:sz="8" w:space="0" w:color="000000"/>
              <w:bottom w:val="single" w:sz="8" w:space="0" w:color="000000"/>
              <w:right w:val="single" w:sz="8" w:space="0" w:color="000000"/>
            </w:tcBorders>
            <w:tcMar>
              <w:top w:w="0" w:type="dxa"/>
              <w:left w:w="29" w:type="dxa"/>
              <w:bottom w:w="0" w:type="dxa"/>
              <w:right w:w="29" w:type="dxa"/>
            </w:tcMar>
            <w:vAlign w:val="center"/>
            <w:hideMark/>
          </w:tcPr>
          <w:p w:rsidR="0029646E" w:rsidRPr="00223E5A" w:rsidP="0029646E" w14:paraId="6BE5B4E2" w14:textId="77777777">
            <w:pPr>
              <w:spacing w:before="40"/>
              <w:ind w:left="144"/>
              <w:rPr>
                <w:rFonts w:ascii="Arial Nova" w:hAnsi="Arial Nova"/>
                <w:b/>
                <w:bCs/>
              </w:rPr>
            </w:pPr>
            <w:r w:rsidRPr="00223E5A">
              <w:rPr>
                <w:rFonts w:ascii="Arial Nova" w:hAnsi="Arial Nova"/>
                <w:b/>
                <w:bCs/>
              </w:rPr>
              <w:t>Total</w:t>
            </w:r>
          </w:p>
        </w:tc>
        <w:tc>
          <w:tcPr>
            <w:tcW w:w="3067" w:type="dxa"/>
            <w:tcBorders>
              <w:top w:val="nil"/>
              <w:left w:val="nil"/>
              <w:bottom w:val="single" w:sz="8" w:space="0" w:color="000000"/>
              <w:right w:val="single" w:sz="8" w:space="0" w:color="000000"/>
            </w:tcBorders>
            <w:tcMar>
              <w:top w:w="0" w:type="dxa"/>
              <w:left w:w="29" w:type="dxa"/>
              <w:bottom w:w="0" w:type="dxa"/>
              <w:right w:w="29" w:type="dxa"/>
            </w:tcMar>
            <w:vAlign w:val="center"/>
          </w:tcPr>
          <w:p w:rsidR="0029646E" w:rsidRPr="00223E5A" w:rsidP="0029646E" w14:paraId="66593916" w14:textId="77777777">
            <w:pPr>
              <w:spacing w:before="40"/>
              <w:jc w:val="center"/>
              <w:rPr>
                <w:rFonts w:ascii="Arial Nova" w:hAnsi="Arial Nova"/>
              </w:rPr>
            </w:pPr>
          </w:p>
        </w:tc>
        <w:tc>
          <w:tcPr>
            <w:tcW w:w="1365" w:type="dxa"/>
            <w:tcBorders>
              <w:top w:val="nil"/>
              <w:left w:val="nil"/>
              <w:bottom w:val="single" w:sz="8" w:space="0" w:color="000000"/>
              <w:right w:val="single" w:sz="8" w:space="0" w:color="000000"/>
            </w:tcBorders>
            <w:tcMar>
              <w:top w:w="0" w:type="dxa"/>
              <w:left w:w="29" w:type="dxa"/>
              <w:bottom w:w="0" w:type="dxa"/>
              <w:right w:w="29" w:type="dxa"/>
            </w:tcMar>
            <w:vAlign w:val="center"/>
            <w:hideMark/>
          </w:tcPr>
          <w:p w:rsidR="0029646E" w:rsidRPr="00223E5A" w:rsidP="0029646E" w14:paraId="07EFEBEB" w14:textId="77777777">
            <w:pPr>
              <w:spacing w:before="40"/>
              <w:jc w:val="center"/>
              <w:rPr>
                <w:rFonts w:ascii="Arial Nova" w:hAnsi="Arial Nova"/>
              </w:rPr>
            </w:pPr>
            <w:r w:rsidRPr="00223E5A">
              <w:rPr>
                <w:rFonts w:ascii="Arial Nova" w:hAnsi="Arial Nova"/>
                <w:b/>
                <w:bCs/>
              </w:rPr>
              <w:t>11,680</w:t>
            </w:r>
          </w:p>
        </w:tc>
        <w:tc>
          <w:tcPr>
            <w:tcW w:w="1345" w:type="dxa"/>
            <w:tcBorders>
              <w:top w:val="nil"/>
              <w:left w:val="nil"/>
              <w:bottom w:val="single" w:sz="8" w:space="0" w:color="000000"/>
              <w:right w:val="single" w:sz="8" w:space="0" w:color="000000"/>
            </w:tcBorders>
            <w:tcMar>
              <w:top w:w="0" w:type="dxa"/>
              <w:left w:w="29" w:type="dxa"/>
              <w:bottom w:w="0" w:type="dxa"/>
              <w:right w:w="29" w:type="dxa"/>
            </w:tcMar>
            <w:vAlign w:val="center"/>
          </w:tcPr>
          <w:p w:rsidR="0029646E" w:rsidRPr="00223E5A" w:rsidP="0029646E" w14:paraId="1A3A5191" w14:textId="77777777">
            <w:pPr>
              <w:spacing w:before="40"/>
              <w:jc w:val="center"/>
              <w:rPr>
                <w:rFonts w:ascii="Arial Nova" w:hAnsi="Arial Nova"/>
              </w:rPr>
            </w:pPr>
          </w:p>
        </w:tc>
        <w:tc>
          <w:tcPr>
            <w:tcW w:w="1582" w:type="dxa"/>
            <w:tcBorders>
              <w:top w:val="nil"/>
              <w:left w:val="nil"/>
              <w:bottom w:val="single" w:sz="8" w:space="0" w:color="000000"/>
              <w:right w:val="single" w:sz="8" w:space="0" w:color="000000"/>
            </w:tcBorders>
            <w:tcMar>
              <w:top w:w="0" w:type="dxa"/>
              <w:left w:w="29" w:type="dxa"/>
              <w:bottom w:w="0" w:type="dxa"/>
              <w:right w:w="29" w:type="dxa"/>
            </w:tcMar>
            <w:vAlign w:val="center"/>
          </w:tcPr>
          <w:p w:rsidR="0029646E" w:rsidRPr="00223E5A" w:rsidP="0029646E" w14:paraId="4A57EE2F" w14:textId="77777777">
            <w:pPr>
              <w:spacing w:before="40"/>
              <w:jc w:val="center"/>
              <w:rPr>
                <w:rFonts w:ascii="Arial Nova" w:hAnsi="Arial Nova"/>
              </w:rPr>
            </w:pPr>
          </w:p>
        </w:tc>
        <w:tc>
          <w:tcPr>
            <w:tcW w:w="1232" w:type="dxa"/>
            <w:tcBorders>
              <w:top w:val="nil"/>
              <w:left w:val="nil"/>
              <w:bottom w:val="single" w:sz="8" w:space="0" w:color="000000"/>
              <w:right w:val="single" w:sz="8" w:space="0" w:color="000000"/>
            </w:tcBorders>
            <w:tcMar>
              <w:top w:w="0" w:type="dxa"/>
              <w:left w:w="29" w:type="dxa"/>
              <w:bottom w:w="0" w:type="dxa"/>
              <w:right w:w="29" w:type="dxa"/>
            </w:tcMar>
            <w:vAlign w:val="center"/>
            <w:hideMark/>
          </w:tcPr>
          <w:p w:rsidR="0029646E" w:rsidRPr="00223E5A" w:rsidP="0029646E" w14:paraId="2A5957FE" w14:textId="269F64D7">
            <w:pPr>
              <w:spacing w:before="40"/>
              <w:jc w:val="center"/>
              <w:rPr>
                <w:rFonts w:ascii="Arial Nova" w:hAnsi="Arial Nova"/>
              </w:rPr>
            </w:pPr>
            <w:r>
              <w:rPr>
                <w:rFonts w:ascii="Arial Nova" w:hAnsi="Arial Nova"/>
                <w:b/>
                <w:bCs/>
              </w:rPr>
              <w:t>453</w:t>
            </w:r>
            <w:r w:rsidRPr="00223E5A">
              <w:rPr>
                <w:rFonts w:ascii="Arial Nova" w:hAnsi="Arial Nova"/>
                <w:b/>
                <w:bCs/>
              </w:rPr>
              <w:t xml:space="preserve"> Hours</w:t>
            </w:r>
          </w:p>
        </w:tc>
      </w:tr>
    </w:tbl>
    <w:bookmarkEnd w:id="25"/>
    <w:p w:rsidR="0029646E" w:rsidRPr="00634AFA" w:rsidP="0029646E" w14:paraId="27F78EDE" w14:textId="167FB816">
      <w:pPr>
        <w:spacing w:after="60"/>
        <w:contextualSpacing/>
        <w:rPr>
          <w:rFonts w:ascii="Arial Nova" w:hAnsi="Arial Nova"/>
          <w:b/>
          <w:bCs/>
        </w:rPr>
      </w:pPr>
      <w:r w:rsidRPr="00634AFA">
        <w:rPr>
          <w:rFonts w:ascii="Arial Nova" w:hAnsi="Arial Nova"/>
          <w:b/>
          <w:bCs/>
        </w:rPr>
        <w:t xml:space="preserve">Table </w:t>
      </w:r>
      <w:r w:rsidRPr="00634AFA" w:rsidR="00BC3F8C">
        <w:rPr>
          <w:rFonts w:ascii="Arial Nova" w:hAnsi="Arial Nova"/>
          <w:b/>
          <w:bCs/>
        </w:rPr>
        <w:t>A</w:t>
      </w:r>
      <w:r w:rsidRPr="00634AFA">
        <w:rPr>
          <w:rFonts w:ascii="Arial Nova" w:hAnsi="Arial Nova"/>
          <w:b/>
          <w:bCs/>
        </w:rPr>
        <w:t>1</w:t>
      </w:r>
      <w:r w:rsidRPr="00634AFA" w:rsidR="00BC3F8C">
        <w:rPr>
          <w:rFonts w:ascii="Arial Nova" w:hAnsi="Arial Nova"/>
          <w:b/>
          <w:bCs/>
        </w:rPr>
        <w:t>2</w:t>
      </w:r>
      <w:r w:rsidR="00634AFA">
        <w:rPr>
          <w:rFonts w:ascii="Arial Nova" w:hAnsi="Arial Nova"/>
          <w:b/>
          <w:bCs/>
        </w:rPr>
        <w:t>.-</w:t>
      </w:r>
      <w:r w:rsidRPr="00634AFA" w:rsidR="00BC3F8C">
        <w:rPr>
          <w:rFonts w:ascii="Arial Nova" w:hAnsi="Arial Nova"/>
          <w:b/>
          <w:bCs/>
        </w:rPr>
        <w:t>A</w:t>
      </w:r>
      <w:r w:rsidRPr="00634AFA">
        <w:rPr>
          <w:rFonts w:ascii="Arial Nova" w:hAnsi="Arial Nova"/>
          <w:b/>
          <w:bCs/>
        </w:rPr>
        <w:t xml:space="preserve">: </w:t>
      </w:r>
      <w:r w:rsidRPr="00634AFA">
        <w:rPr>
          <w:rFonts w:ascii="Arial Nova" w:hAnsi="Arial Nova"/>
        </w:rPr>
        <w:t>Estimated Annual Burden Hours</w:t>
      </w:r>
    </w:p>
    <w:p w:rsidR="0029646E" w:rsidRPr="00793474" w:rsidP="0029646E" w14:paraId="5F309A43" w14:textId="77777777">
      <w:pPr>
        <w:rPr>
          <w:rFonts w:ascii="Arial Nova" w:hAnsi="Arial Nova"/>
          <w:color w:val="C75000"/>
        </w:rPr>
      </w:pPr>
    </w:p>
    <w:p w:rsidR="00BC3F8C" w:rsidP="00BC3F8C" w14:paraId="23900F08" w14:textId="77777777">
      <w:pPr>
        <w:spacing w:line="276" w:lineRule="auto"/>
      </w:pPr>
    </w:p>
    <w:p w:rsidR="00BC3F8C" w:rsidRPr="00223E5A" w:rsidP="00BC3F8C" w14:paraId="13BF19C9" w14:textId="21336BF4">
      <w:pPr>
        <w:spacing w:line="276" w:lineRule="auto"/>
        <w:rPr>
          <w:rFonts w:ascii="Arial Nova" w:hAnsi="Arial Nova"/>
        </w:rPr>
      </w:pPr>
      <w:r w:rsidRPr="00223E5A">
        <w:rPr>
          <w:rFonts w:ascii="Arial Nova" w:hAnsi="Arial Nova"/>
        </w:rPr>
        <w:t xml:space="preserve">Estimates for the average hourly wage for respondents are based on the </w:t>
      </w:r>
      <w:hyperlink r:id="rId12" w:history="1">
        <w:r w:rsidRPr="00223E5A">
          <w:rPr>
            <w:rStyle w:val="Hyperlink"/>
            <w:rFonts w:ascii="Arial Nova" w:hAnsi="Arial Nova"/>
          </w:rPr>
          <w:t>Bureau of Labor Statistics</w:t>
        </w:r>
      </w:hyperlink>
      <w:r w:rsidRPr="00223E5A">
        <w:rPr>
          <w:rFonts w:ascii="Arial Nova" w:hAnsi="Arial Nova"/>
        </w:rPr>
        <w:t xml:space="preserve"> May 2020 mean estimate for healthcare practitioners and technical occupations of $41.30 (</w:t>
      </w:r>
      <w:hyperlink r:id="rId13" w:history="1">
        <w:r w:rsidRPr="00223E5A">
          <w:rPr>
            <w:rStyle w:val="Hyperlink"/>
            <w:rFonts w:ascii="Arial Nova" w:hAnsi="Arial Nova" w:eastAsiaTheme="majorEastAsia"/>
            <w:color w:val="auto"/>
          </w:rPr>
          <w:t>http://www.bls.gov/oes/current/oes290000.htm</w:t>
        </w:r>
      </w:hyperlink>
      <w:r w:rsidRPr="00223E5A">
        <w:rPr>
          <w:rFonts w:ascii="Arial Nova" w:hAnsi="Arial Nova"/>
        </w:rPr>
        <w:t>).</w:t>
      </w:r>
      <w:r w:rsidRPr="00223E5A">
        <w:rPr>
          <w:rFonts w:ascii="Arial Nova" w:hAnsi="Arial Nova" w:cstheme="minorHAnsi"/>
          <w:color w:val="F79646" w:themeColor="accent6"/>
        </w:rPr>
        <w:t xml:space="preserve"> </w:t>
      </w:r>
      <w:r w:rsidRPr="00223E5A">
        <w:rPr>
          <w:rFonts w:ascii="Arial Nova" w:hAnsi="Arial Nova"/>
        </w:rPr>
        <w:t>The total cost to respondents is</w:t>
      </w:r>
      <w:r w:rsidRPr="00223E5A" w:rsidR="00744AAE">
        <w:rPr>
          <w:rFonts w:ascii="Arial Nova" w:hAnsi="Arial Nova"/>
        </w:rPr>
        <w:t xml:space="preserve"> $18,</w:t>
      </w:r>
      <w:r w:rsidR="000D6AAF">
        <w:rPr>
          <w:rFonts w:ascii="Arial Nova" w:hAnsi="Arial Nova"/>
        </w:rPr>
        <w:t>708.9</w:t>
      </w:r>
      <w:r w:rsidRPr="00223E5A">
        <w:rPr>
          <w:rFonts w:ascii="Arial Nova" w:hAnsi="Arial Nova"/>
        </w:rPr>
        <w:t xml:space="preserve"> as summarized in table A.12B below, which shows estimated time burden and cost information.</w:t>
      </w:r>
    </w:p>
    <w:p w:rsidR="00BC3F8C" w:rsidRPr="00634AFA" w:rsidP="00BC3F8C" w14:paraId="3AF14D97" w14:textId="77777777">
      <w:pPr>
        <w:spacing w:line="276" w:lineRule="auto"/>
        <w:rPr>
          <w:rFonts w:ascii="Arial Nova" w:hAnsi="Arial Nova" w:cstheme="minorHAnsi"/>
          <w:color w:val="F79646" w:themeColor="accent6"/>
        </w:rPr>
      </w:pPr>
    </w:p>
    <w:p w:rsidR="00BC3F8C" w:rsidRPr="00634AFA" w:rsidP="00BC3F8C" w14:paraId="254CF25D" w14:textId="3E38B7AC">
      <w:pPr>
        <w:spacing w:after="120"/>
        <w:rPr>
          <w:bCs/>
        </w:rPr>
      </w:pPr>
      <w:r w:rsidRPr="00634AFA">
        <w:rPr>
          <w:rFonts w:ascii="Arial Nova" w:hAnsi="Arial Nova"/>
          <w:b/>
        </w:rPr>
        <w:t xml:space="preserve">   Table A12</w:t>
      </w:r>
      <w:r w:rsidRPr="00634AFA" w:rsidR="00634AFA">
        <w:rPr>
          <w:rFonts w:ascii="Arial Nova" w:hAnsi="Arial Nova"/>
          <w:b/>
        </w:rPr>
        <w:t>.-</w:t>
      </w:r>
      <w:r w:rsidRPr="00634AFA">
        <w:rPr>
          <w:rFonts w:ascii="Arial Nova" w:hAnsi="Arial Nova"/>
          <w:b/>
        </w:rPr>
        <w:t xml:space="preserve">B: </w:t>
      </w:r>
      <w:r w:rsidRPr="00634AFA">
        <w:rPr>
          <w:rFonts w:ascii="Arial Nova" w:hAnsi="Arial Nova"/>
          <w:bCs/>
        </w:rPr>
        <w:t>Estimated Annual Cost Burden to Respondents</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602"/>
        <w:gridCol w:w="1998"/>
        <w:gridCol w:w="1441"/>
        <w:gridCol w:w="1890"/>
      </w:tblGrid>
      <w:tr w14:paraId="7C28AA0A" w14:textId="77777777" w:rsidTr="00BC3F8C">
        <w:tblPrEx>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21"/>
          <w:jc w:val="center"/>
        </w:trPr>
        <w:tc>
          <w:tcPr>
            <w:tcW w:w="2628" w:type="dxa"/>
            <w:vAlign w:val="center"/>
          </w:tcPr>
          <w:p w:rsidR="00BC3F8C" w:rsidRPr="00223E5A" w:rsidP="00115FCE" w14:paraId="13FA920F" w14:textId="77777777">
            <w:pPr>
              <w:widowControl w:val="0"/>
              <w:tabs>
                <w:tab w:val="left" w:pos="0"/>
              </w:tabs>
              <w:jc w:val="center"/>
              <w:rPr>
                <w:rFonts w:ascii="Arial Nova" w:hAnsi="Arial Nova"/>
                <w:b/>
              </w:rPr>
            </w:pPr>
            <w:r w:rsidRPr="00223E5A">
              <w:rPr>
                <w:rFonts w:ascii="Arial Nova" w:hAnsi="Arial Nova"/>
                <w:b/>
              </w:rPr>
              <w:t>Type of Respondent</w:t>
            </w:r>
          </w:p>
        </w:tc>
        <w:tc>
          <w:tcPr>
            <w:tcW w:w="1602" w:type="dxa"/>
            <w:vAlign w:val="center"/>
          </w:tcPr>
          <w:p w:rsidR="00BC3F8C" w:rsidRPr="00223E5A" w:rsidP="00115FCE" w14:paraId="0EC20CBD" w14:textId="77777777">
            <w:pPr>
              <w:widowControl w:val="0"/>
              <w:tabs>
                <w:tab w:val="left" w:pos="0"/>
              </w:tabs>
              <w:jc w:val="center"/>
              <w:rPr>
                <w:rFonts w:ascii="Arial Nova" w:hAnsi="Arial Nova"/>
                <w:b/>
              </w:rPr>
            </w:pPr>
            <w:r w:rsidRPr="00223E5A">
              <w:rPr>
                <w:rFonts w:ascii="Arial Nova" w:hAnsi="Arial Nova"/>
                <w:b/>
              </w:rPr>
              <w:t>Form Name</w:t>
            </w:r>
          </w:p>
        </w:tc>
        <w:tc>
          <w:tcPr>
            <w:tcW w:w="1998" w:type="dxa"/>
          </w:tcPr>
          <w:p w:rsidR="00BC3F8C" w:rsidRPr="00223E5A" w:rsidP="00115FCE" w14:paraId="456F667B" w14:textId="6ACA453E">
            <w:pPr>
              <w:widowControl w:val="0"/>
              <w:tabs>
                <w:tab w:val="left" w:pos="0"/>
              </w:tabs>
              <w:jc w:val="center"/>
              <w:rPr>
                <w:rFonts w:ascii="Arial Nova" w:hAnsi="Arial Nova"/>
                <w:b/>
              </w:rPr>
            </w:pPr>
            <w:r w:rsidRPr="00223E5A">
              <w:rPr>
                <w:rFonts w:ascii="Arial Nova" w:hAnsi="Arial Nova"/>
                <w:b/>
              </w:rPr>
              <w:t>Total Annual Burden Hours</w:t>
            </w:r>
          </w:p>
        </w:tc>
        <w:tc>
          <w:tcPr>
            <w:tcW w:w="1441" w:type="dxa"/>
          </w:tcPr>
          <w:p w:rsidR="00BC3F8C" w:rsidRPr="00223E5A" w:rsidP="00115FCE" w14:paraId="5DBB62E2" w14:textId="3F781379">
            <w:pPr>
              <w:widowControl w:val="0"/>
              <w:tabs>
                <w:tab w:val="left" w:pos="0"/>
              </w:tabs>
              <w:jc w:val="center"/>
              <w:rPr>
                <w:rFonts w:ascii="Arial Nova" w:hAnsi="Arial Nova"/>
                <w:b/>
              </w:rPr>
            </w:pPr>
            <w:r w:rsidRPr="00223E5A">
              <w:rPr>
                <w:rFonts w:ascii="Arial Nova" w:hAnsi="Arial Nova"/>
                <w:b/>
              </w:rPr>
              <w:t>Average Hourly Wage Rate</w:t>
            </w:r>
          </w:p>
        </w:tc>
        <w:tc>
          <w:tcPr>
            <w:tcW w:w="1890" w:type="dxa"/>
          </w:tcPr>
          <w:p w:rsidR="00BC3F8C" w:rsidRPr="00223E5A" w:rsidP="00115FCE" w14:paraId="78CD6F02" w14:textId="3EFB6940">
            <w:pPr>
              <w:widowControl w:val="0"/>
              <w:tabs>
                <w:tab w:val="left" w:pos="0"/>
              </w:tabs>
              <w:jc w:val="center"/>
              <w:rPr>
                <w:rFonts w:ascii="Arial Nova" w:hAnsi="Arial Nova"/>
                <w:b/>
              </w:rPr>
            </w:pPr>
            <w:r w:rsidRPr="00223E5A">
              <w:rPr>
                <w:rFonts w:ascii="Arial Nova" w:hAnsi="Arial Nova"/>
                <w:b/>
              </w:rPr>
              <w:t>Total Respondent Labor Costs</w:t>
            </w:r>
          </w:p>
        </w:tc>
      </w:tr>
      <w:tr w14:paraId="684D8C4D" w14:textId="77777777" w:rsidTr="00BC3F8C">
        <w:tblPrEx>
          <w:tblW w:w="9559" w:type="dxa"/>
          <w:jc w:val="center"/>
          <w:tblLayout w:type="fixed"/>
          <w:tblLook w:val="01E0"/>
        </w:tblPrEx>
        <w:trPr>
          <w:trHeight w:val="440"/>
          <w:jc w:val="center"/>
        </w:trPr>
        <w:tc>
          <w:tcPr>
            <w:tcW w:w="2628" w:type="dxa"/>
            <w:vAlign w:val="center"/>
          </w:tcPr>
          <w:p w:rsidR="00BC3F8C" w:rsidRPr="00223E5A" w:rsidP="00115FCE" w14:paraId="3F104DD3" w14:textId="77777777">
            <w:pPr>
              <w:widowControl w:val="0"/>
              <w:tabs>
                <w:tab w:val="left" w:pos="0"/>
              </w:tabs>
              <w:jc w:val="center"/>
              <w:rPr>
                <w:rFonts w:ascii="Arial Nova" w:hAnsi="Arial Nova"/>
              </w:rPr>
            </w:pPr>
            <w:r w:rsidRPr="00223E5A">
              <w:rPr>
                <w:rFonts w:ascii="Arial Nova" w:hAnsi="Arial Nova"/>
              </w:rPr>
              <w:t>Healthcare professionals</w:t>
            </w:r>
          </w:p>
        </w:tc>
        <w:tc>
          <w:tcPr>
            <w:tcW w:w="1602" w:type="dxa"/>
            <w:vAlign w:val="center"/>
          </w:tcPr>
          <w:p w:rsidR="00BC3F8C" w:rsidRPr="00223E5A" w:rsidP="00115FCE" w14:paraId="6F866BCB" w14:textId="77777777">
            <w:pPr>
              <w:widowControl w:val="0"/>
              <w:tabs>
                <w:tab w:val="left" w:pos="0"/>
              </w:tabs>
              <w:jc w:val="center"/>
              <w:rPr>
                <w:rFonts w:ascii="Arial Nova" w:hAnsi="Arial Nova"/>
              </w:rPr>
            </w:pPr>
            <w:r w:rsidRPr="00223E5A">
              <w:rPr>
                <w:rFonts w:ascii="Arial Nova" w:hAnsi="Arial Nova"/>
              </w:rPr>
              <w:t>NNPTC HPAT</w:t>
            </w:r>
          </w:p>
        </w:tc>
        <w:tc>
          <w:tcPr>
            <w:tcW w:w="1998" w:type="dxa"/>
            <w:vAlign w:val="center"/>
          </w:tcPr>
          <w:p w:rsidR="00BC3F8C" w:rsidRPr="00223E5A" w:rsidP="00115FCE" w14:paraId="12E24A47" w14:textId="77777777">
            <w:pPr>
              <w:widowControl w:val="0"/>
              <w:tabs>
                <w:tab w:val="left" w:pos="0"/>
              </w:tabs>
              <w:jc w:val="center"/>
              <w:rPr>
                <w:rFonts w:ascii="Arial Nova" w:hAnsi="Arial Nova"/>
              </w:rPr>
            </w:pPr>
            <w:r w:rsidRPr="00223E5A">
              <w:rPr>
                <w:rFonts w:ascii="Arial Nova" w:hAnsi="Arial Nova"/>
              </w:rPr>
              <w:t>225 hours</w:t>
            </w:r>
          </w:p>
        </w:tc>
        <w:tc>
          <w:tcPr>
            <w:tcW w:w="1441" w:type="dxa"/>
            <w:vAlign w:val="center"/>
          </w:tcPr>
          <w:p w:rsidR="00BC3F8C" w:rsidRPr="00223E5A" w:rsidP="00115FCE" w14:paraId="0E483F44" w14:textId="78917964">
            <w:pPr>
              <w:widowControl w:val="0"/>
              <w:tabs>
                <w:tab w:val="left" w:pos="0"/>
              </w:tabs>
              <w:jc w:val="center"/>
              <w:rPr>
                <w:rFonts w:ascii="Arial Nova" w:hAnsi="Arial Nova"/>
              </w:rPr>
            </w:pPr>
            <w:r w:rsidRPr="00223E5A">
              <w:rPr>
                <w:rFonts w:ascii="Arial Nova" w:hAnsi="Arial Nova"/>
              </w:rPr>
              <w:t>$</w:t>
            </w:r>
            <w:r w:rsidRPr="00223E5A" w:rsidR="00744AAE">
              <w:rPr>
                <w:rFonts w:ascii="Arial Nova" w:hAnsi="Arial Nova"/>
              </w:rPr>
              <w:t>41.30</w:t>
            </w:r>
          </w:p>
        </w:tc>
        <w:tc>
          <w:tcPr>
            <w:tcW w:w="1890" w:type="dxa"/>
            <w:vAlign w:val="center"/>
          </w:tcPr>
          <w:p w:rsidR="00BC3F8C" w:rsidRPr="00223E5A" w:rsidP="00115FCE" w14:paraId="04AFD365" w14:textId="04D09306">
            <w:pPr>
              <w:widowControl w:val="0"/>
              <w:tabs>
                <w:tab w:val="left" w:pos="0"/>
              </w:tabs>
              <w:jc w:val="center"/>
              <w:rPr>
                <w:rFonts w:ascii="Arial Nova" w:hAnsi="Arial Nova"/>
              </w:rPr>
            </w:pPr>
            <w:r w:rsidRPr="00223E5A">
              <w:rPr>
                <w:rFonts w:ascii="Arial Nova" w:hAnsi="Arial Nova"/>
              </w:rPr>
              <w:t>$</w:t>
            </w:r>
            <w:r w:rsidRPr="00223E5A" w:rsidR="00744AAE">
              <w:rPr>
                <w:rFonts w:ascii="Arial Nova" w:hAnsi="Arial Nova"/>
              </w:rPr>
              <w:t>9,292.50</w:t>
            </w:r>
          </w:p>
        </w:tc>
      </w:tr>
      <w:tr w14:paraId="793ECD27" w14:textId="77777777" w:rsidTr="00BC3F8C">
        <w:tblPrEx>
          <w:tblW w:w="9559" w:type="dxa"/>
          <w:jc w:val="center"/>
          <w:tblLayout w:type="fixed"/>
          <w:tblLook w:val="01E0"/>
        </w:tblPrEx>
        <w:trPr>
          <w:trHeight w:val="530"/>
          <w:jc w:val="center"/>
        </w:trPr>
        <w:tc>
          <w:tcPr>
            <w:tcW w:w="2628" w:type="dxa"/>
            <w:vAlign w:val="center"/>
          </w:tcPr>
          <w:p w:rsidR="00BC3F8C" w:rsidRPr="00223E5A" w:rsidP="00115FCE" w14:paraId="020C522C" w14:textId="77777777">
            <w:pPr>
              <w:widowControl w:val="0"/>
              <w:tabs>
                <w:tab w:val="left" w:pos="0"/>
              </w:tabs>
              <w:jc w:val="center"/>
              <w:rPr>
                <w:rFonts w:ascii="Arial Nova" w:hAnsi="Arial Nova"/>
              </w:rPr>
            </w:pPr>
            <w:r w:rsidRPr="00223E5A">
              <w:rPr>
                <w:rFonts w:ascii="Arial Nova" w:hAnsi="Arial Nova"/>
              </w:rPr>
              <w:t>Healthcare professionals</w:t>
            </w:r>
          </w:p>
        </w:tc>
        <w:tc>
          <w:tcPr>
            <w:tcW w:w="1602" w:type="dxa"/>
            <w:vAlign w:val="center"/>
          </w:tcPr>
          <w:p w:rsidR="00BC3F8C" w:rsidRPr="00223E5A" w:rsidP="00115FCE" w14:paraId="2DB9208D" w14:textId="77777777">
            <w:pPr>
              <w:widowControl w:val="0"/>
              <w:tabs>
                <w:tab w:val="left" w:pos="0"/>
              </w:tabs>
              <w:jc w:val="center"/>
              <w:rPr>
                <w:rFonts w:ascii="Arial Nova" w:hAnsi="Arial Nova"/>
              </w:rPr>
            </w:pPr>
            <w:r w:rsidRPr="00223E5A">
              <w:rPr>
                <w:rFonts w:ascii="Arial Nova" w:hAnsi="Arial Nova"/>
              </w:rPr>
              <w:t>Evaluation Instruments</w:t>
            </w:r>
          </w:p>
        </w:tc>
        <w:tc>
          <w:tcPr>
            <w:tcW w:w="1998" w:type="dxa"/>
            <w:vAlign w:val="center"/>
          </w:tcPr>
          <w:p w:rsidR="00BC3F8C" w:rsidRPr="00223E5A" w:rsidP="00115FCE" w14:paraId="32228E67" w14:textId="653AA882">
            <w:pPr>
              <w:widowControl w:val="0"/>
              <w:tabs>
                <w:tab w:val="left" w:pos="0"/>
              </w:tabs>
              <w:jc w:val="center"/>
              <w:rPr>
                <w:rFonts w:ascii="Arial Nova" w:hAnsi="Arial Nova"/>
              </w:rPr>
            </w:pPr>
            <w:r>
              <w:rPr>
                <w:rFonts w:ascii="Arial Nova" w:hAnsi="Arial Nova"/>
              </w:rPr>
              <w:t>142</w:t>
            </w:r>
            <w:r w:rsidRPr="00223E5A">
              <w:rPr>
                <w:rFonts w:ascii="Arial Nova" w:hAnsi="Arial Nova"/>
              </w:rPr>
              <w:t xml:space="preserve"> hours</w:t>
            </w:r>
          </w:p>
        </w:tc>
        <w:tc>
          <w:tcPr>
            <w:tcW w:w="1441" w:type="dxa"/>
            <w:vAlign w:val="center"/>
          </w:tcPr>
          <w:p w:rsidR="00BC3F8C" w:rsidRPr="00223E5A" w:rsidP="00115FCE" w14:paraId="72BDD357" w14:textId="129A2902">
            <w:pPr>
              <w:jc w:val="center"/>
              <w:rPr>
                <w:rFonts w:ascii="Arial Nova" w:hAnsi="Arial Nova"/>
              </w:rPr>
            </w:pPr>
            <w:r w:rsidRPr="00223E5A">
              <w:rPr>
                <w:rFonts w:ascii="Arial Nova" w:hAnsi="Arial Nova"/>
              </w:rPr>
              <w:t>$</w:t>
            </w:r>
            <w:r w:rsidRPr="00223E5A" w:rsidR="00744AAE">
              <w:rPr>
                <w:rFonts w:ascii="Arial Nova" w:hAnsi="Arial Nova"/>
              </w:rPr>
              <w:t>41.30</w:t>
            </w:r>
          </w:p>
        </w:tc>
        <w:tc>
          <w:tcPr>
            <w:tcW w:w="1890" w:type="dxa"/>
            <w:vAlign w:val="center"/>
          </w:tcPr>
          <w:p w:rsidR="00BC3F8C" w:rsidRPr="00223E5A" w:rsidP="00115FCE" w14:paraId="7761AD35" w14:textId="4FB55D2C">
            <w:pPr>
              <w:widowControl w:val="0"/>
              <w:tabs>
                <w:tab w:val="left" w:pos="0"/>
              </w:tabs>
              <w:jc w:val="center"/>
              <w:rPr>
                <w:rFonts w:ascii="Arial Nova" w:hAnsi="Arial Nova"/>
              </w:rPr>
            </w:pPr>
            <w:r w:rsidRPr="00223E5A">
              <w:rPr>
                <w:rFonts w:ascii="Arial Nova" w:hAnsi="Arial Nova"/>
              </w:rPr>
              <w:t>$</w:t>
            </w:r>
            <w:r w:rsidRPr="00223E5A" w:rsidR="00744AAE">
              <w:rPr>
                <w:rFonts w:ascii="Arial Nova" w:hAnsi="Arial Nova"/>
              </w:rPr>
              <w:t>5,</w:t>
            </w:r>
            <w:r w:rsidR="000D6AAF">
              <w:rPr>
                <w:rFonts w:ascii="Arial Nova" w:hAnsi="Arial Nova"/>
              </w:rPr>
              <w:t>864.6</w:t>
            </w:r>
          </w:p>
        </w:tc>
      </w:tr>
      <w:tr w14:paraId="137B64B7" w14:textId="77777777" w:rsidTr="00BC3F8C">
        <w:tblPrEx>
          <w:tblW w:w="9559" w:type="dxa"/>
          <w:jc w:val="center"/>
          <w:tblLayout w:type="fixed"/>
          <w:tblLook w:val="01E0"/>
        </w:tblPrEx>
        <w:trPr>
          <w:trHeight w:val="530"/>
          <w:jc w:val="center"/>
        </w:trPr>
        <w:tc>
          <w:tcPr>
            <w:tcW w:w="2628" w:type="dxa"/>
            <w:vAlign w:val="center"/>
          </w:tcPr>
          <w:p w:rsidR="00BC3F8C" w:rsidRPr="00223E5A" w:rsidP="00115FCE" w14:paraId="79513797" w14:textId="77777777">
            <w:pPr>
              <w:widowControl w:val="0"/>
              <w:tabs>
                <w:tab w:val="left" w:pos="0"/>
              </w:tabs>
              <w:jc w:val="center"/>
              <w:rPr>
                <w:rFonts w:ascii="Arial Nova" w:hAnsi="Arial Nova"/>
              </w:rPr>
            </w:pPr>
            <w:r w:rsidRPr="00223E5A">
              <w:rPr>
                <w:rFonts w:ascii="Arial Nova" w:hAnsi="Arial Nova"/>
              </w:rPr>
              <w:t>Healthcare professionals</w:t>
            </w:r>
          </w:p>
        </w:tc>
        <w:tc>
          <w:tcPr>
            <w:tcW w:w="1602" w:type="dxa"/>
            <w:vAlign w:val="center"/>
          </w:tcPr>
          <w:p w:rsidR="00BC3F8C" w:rsidRPr="00223E5A" w:rsidP="00115FCE" w14:paraId="3BCEA7BF" w14:textId="77777777">
            <w:pPr>
              <w:widowControl w:val="0"/>
              <w:tabs>
                <w:tab w:val="left" w:pos="0"/>
              </w:tabs>
              <w:jc w:val="center"/>
              <w:rPr>
                <w:rFonts w:ascii="Arial Nova" w:hAnsi="Arial Nova"/>
              </w:rPr>
            </w:pPr>
            <w:r w:rsidRPr="00223E5A">
              <w:rPr>
                <w:rFonts w:ascii="Arial Nova" w:hAnsi="Arial Nova"/>
              </w:rPr>
              <w:t>Email invitations</w:t>
            </w:r>
          </w:p>
        </w:tc>
        <w:tc>
          <w:tcPr>
            <w:tcW w:w="1998" w:type="dxa"/>
            <w:vAlign w:val="center"/>
          </w:tcPr>
          <w:p w:rsidR="00BC3F8C" w:rsidRPr="00223E5A" w:rsidP="00115FCE" w14:paraId="02062906" w14:textId="77777777">
            <w:pPr>
              <w:widowControl w:val="0"/>
              <w:tabs>
                <w:tab w:val="left" w:pos="0"/>
              </w:tabs>
              <w:jc w:val="center"/>
              <w:rPr>
                <w:rFonts w:ascii="Arial Nova" w:hAnsi="Arial Nova"/>
              </w:rPr>
            </w:pPr>
            <w:r w:rsidRPr="00223E5A">
              <w:rPr>
                <w:rFonts w:ascii="Arial Nova" w:hAnsi="Arial Nova"/>
              </w:rPr>
              <w:t>86 hours</w:t>
            </w:r>
          </w:p>
        </w:tc>
        <w:tc>
          <w:tcPr>
            <w:tcW w:w="1441" w:type="dxa"/>
            <w:vAlign w:val="center"/>
          </w:tcPr>
          <w:p w:rsidR="00BC3F8C" w:rsidRPr="00223E5A" w:rsidP="00115FCE" w14:paraId="41608E77" w14:textId="52031411">
            <w:pPr>
              <w:jc w:val="center"/>
              <w:rPr>
                <w:rFonts w:ascii="Arial Nova" w:hAnsi="Arial Nova"/>
              </w:rPr>
            </w:pPr>
            <w:r w:rsidRPr="00223E5A">
              <w:rPr>
                <w:rFonts w:ascii="Arial Nova" w:hAnsi="Arial Nova"/>
              </w:rPr>
              <w:t>$</w:t>
            </w:r>
            <w:r w:rsidRPr="00223E5A" w:rsidR="00744AAE">
              <w:rPr>
                <w:rFonts w:ascii="Arial Nova" w:hAnsi="Arial Nova"/>
              </w:rPr>
              <w:t>41.30</w:t>
            </w:r>
          </w:p>
        </w:tc>
        <w:tc>
          <w:tcPr>
            <w:tcW w:w="1890" w:type="dxa"/>
            <w:vAlign w:val="center"/>
          </w:tcPr>
          <w:p w:rsidR="00BC3F8C" w:rsidRPr="00223E5A" w:rsidP="00115FCE" w14:paraId="3046496B" w14:textId="50F9FE9E">
            <w:pPr>
              <w:widowControl w:val="0"/>
              <w:tabs>
                <w:tab w:val="left" w:pos="0"/>
              </w:tabs>
              <w:jc w:val="center"/>
              <w:rPr>
                <w:rFonts w:ascii="Arial Nova" w:hAnsi="Arial Nova"/>
              </w:rPr>
            </w:pPr>
            <w:r w:rsidRPr="00223E5A">
              <w:rPr>
                <w:rFonts w:ascii="Arial Nova" w:hAnsi="Arial Nova"/>
              </w:rPr>
              <w:t>$</w:t>
            </w:r>
            <w:r w:rsidRPr="00223E5A" w:rsidR="00744AAE">
              <w:rPr>
                <w:rFonts w:ascii="Arial Nova" w:hAnsi="Arial Nova"/>
              </w:rPr>
              <w:t>3551.80</w:t>
            </w:r>
          </w:p>
        </w:tc>
      </w:tr>
      <w:tr w14:paraId="7706BCEE" w14:textId="77777777" w:rsidTr="00BC3F8C">
        <w:tblPrEx>
          <w:tblW w:w="9559" w:type="dxa"/>
          <w:jc w:val="center"/>
          <w:tblLayout w:type="fixed"/>
          <w:tblLook w:val="01E0"/>
        </w:tblPrEx>
        <w:trPr>
          <w:trHeight w:val="325"/>
          <w:jc w:val="center"/>
        </w:trPr>
        <w:tc>
          <w:tcPr>
            <w:tcW w:w="2628" w:type="dxa"/>
            <w:vAlign w:val="center"/>
          </w:tcPr>
          <w:p w:rsidR="00BC3F8C" w:rsidRPr="00223E5A" w:rsidP="00115FCE" w14:paraId="7FD387F5" w14:textId="77777777">
            <w:pPr>
              <w:widowControl w:val="0"/>
              <w:tabs>
                <w:tab w:val="left" w:pos="0"/>
              </w:tabs>
              <w:spacing w:before="60" w:after="60"/>
              <w:rPr>
                <w:rFonts w:ascii="Arial Nova" w:hAnsi="Arial Nova"/>
              </w:rPr>
            </w:pPr>
            <w:r w:rsidRPr="00223E5A">
              <w:rPr>
                <w:rFonts w:ascii="Arial Nova" w:hAnsi="Arial Nova"/>
                <w:b/>
              </w:rPr>
              <w:t>Total</w:t>
            </w:r>
          </w:p>
        </w:tc>
        <w:tc>
          <w:tcPr>
            <w:tcW w:w="1602" w:type="dxa"/>
            <w:vAlign w:val="center"/>
          </w:tcPr>
          <w:p w:rsidR="00BC3F8C" w:rsidRPr="00223E5A" w:rsidP="00115FCE" w14:paraId="7113CD25" w14:textId="77777777">
            <w:pPr>
              <w:widowControl w:val="0"/>
              <w:tabs>
                <w:tab w:val="left" w:pos="0"/>
              </w:tabs>
              <w:spacing w:before="60" w:after="60"/>
              <w:jc w:val="center"/>
              <w:rPr>
                <w:rFonts w:ascii="Arial Nova" w:hAnsi="Arial Nova"/>
              </w:rPr>
            </w:pPr>
          </w:p>
        </w:tc>
        <w:tc>
          <w:tcPr>
            <w:tcW w:w="1998" w:type="dxa"/>
            <w:vAlign w:val="center"/>
          </w:tcPr>
          <w:p w:rsidR="00BC3F8C" w:rsidRPr="00223E5A" w:rsidP="00115FCE" w14:paraId="1FB1EA1F" w14:textId="5D98ACBE">
            <w:pPr>
              <w:widowControl w:val="0"/>
              <w:tabs>
                <w:tab w:val="left" w:pos="0"/>
              </w:tabs>
              <w:spacing w:before="60" w:after="60"/>
              <w:jc w:val="center"/>
              <w:rPr>
                <w:rFonts w:ascii="Arial Nova" w:hAnsi="Arial Nova"/>
                <w:b/>
              </w:rPr>
            </w:pPr>
            <w:r>
              <w:rPr>
                <w:rFonts w:ascii="Arial Nova" w:hAnsi="Arial Nova"/>
                <w:b/>
              </w:rPr>
              <w:t>453</w:t>
            </w:r>
            <w:r w:rsidRPr="00223E5A">
              <w:rPr>
                <w:rFonts w:ascii="Arial Nova" w:hAnsi="Arial Nova"/>
                <w:b/>
              </w:rPr>
              <w:t xml:space="preserve"> hours</w:t>
            </w:r>
          </w:p>
        </w:tc>
        <w:tc>
          <w:tcPr>
            <w:tcW w:w="1441" w:type="dxa"/>
            <w:vAlign w:val="center"/>
          </w:tcPr>
          <w:p w:rsidR="00BC3F8C" w:rsidRPr="00223E5A" w:rsidP="00115FCE" w14:paraId="076F6D79" w14:textId="77777777">
            <w:pPr>
              <w:widowControl w:val="0"/>
              <w:tabs>
                <w:tab w:val="left" w:pos="0"/>
              </w:tabs>
              <w:spacing w:before="60" w:after="60"/>
              <w:jc w:val="center"/>
              <w:rPr>
                <w:rFonts w:ascii="Arial Nova" w:hAnsi="Arial Nova"/>
              </w:rPr>
            </w:pPr>
          </w:p>
        </w:tc>
        <w:tc>
          <w:tcPr>
            <w:tcW w:w="1890" w:type="dxa"/>
            <w:vAlign w:val="center"/>
          </w:tcPr>
          <w:p w:rsidR="00BC3F8C" w:rsidRPr="00223E5A" w:rsidP="00115FCE" w14:paraId="58C77600" w14:textId="5AEE14F7">
            <w:pPr>
              <w:widowControl w:val="0"/>
              <w:tabs>
                <w:tab w:val="left" w:pos="0"/>
              </w:tabs>
              <w:spacing w:before="60" w:after="60"/>
              <w:jc w:val="center"/>
              <w:rPr>
                <w:rFonts w:ascii="Arial Nova" w:hAnsi="Arial Nova"/>
                <w:b/>
              </w:rPr>
            </w:pPr>
            <w:r w:rsidRPr="00223E5A">
              <w:rPr>
                <w:rFonts w:ascii="Arial Nova" w:hAnsi="Arial Nova"/>
                <w:b/>
              </w:rPr>
              <w:t>$</w:t>
            </w:r>
            <w:r w:rsidRPr="00223E5A" w:rsidR="00744AAE">
              <w:rPr>
                <w:rFonts w:ascii="Arial Nova" w:hAnsi="Arial Nova"/>
                <w:b/>
              </w:rPr>
              <w:t>18,</w:t>
            </w:r>
            <w:r w:rsidR="000D6AAF">
              <w:rPr>
                <w:rFonts w:ascii="Arial Nova" w:hAnsi="Arial Nova"/>
                <w:b/>
              </w:rPr>
              <w:t>708.9</w:t>
            </w:r>
          </w:p>
        </w:tc>
      </w:tr>
    </w:tbl>
    <w:p w:rsidR="001425F9" w:rsidRPr="00174127" w:rsidP="004C36E8" w14:paraId="6F9AF5C8" w14:textId="77777777">
      <w:pPr>
        <w:spacing w:line="276" w:lineRule="auto"/>
        <w:rPr>
          <w:rFonts w:ascii="Arial Nova" w:hAnsi="Arial Nova" w:cstheme="minorHAnsi"/>
          <w:color w:val="F79646" w:themeColor="accent6"/>
        </w:rPr>
      </w:pPr>
    </w:p>
    <w:p w:rsidR="001425F9" w:rsidRPr="00223E5A" w:rsidP="001425F9" w14:paraId="26D3E51B" w14:textId="77777777">
      <w:pPr>
        <w:pStyle w:val="Heading2"/>
        <w:spacing w:line="276" w:lineRule="auto"/>
        <w:rPr>
          <w:rFonts w:ascii="Arial Nova" w:hAnsi="Arial Nova" w:cstheme="minorHAnsi"/>
          <w:i/>
          <w:color w:val="auto"/>
          <w:sz w:val="24"/>
          <w:szCs w:val="24"/>
        </w:rPr>
      </w:pPr>
      <w:bookmarkStart w:id="26" w:name="_Toc36702999"/>
      <w:r w:rsidRPr="00223E5A">
        <w:rPr>
          <w:rFonts w:ascii="Arial Nova" w:hAnsi="Arial Nova" w:cstheme="minorHAnsi"/>
          <w:i/>
          <w:color w:val="auto"/>
          <w:sz w:val="24"/>
          <w:szCs w:val="24"/>
        </w:rPr>
        <w:t>A13. Estimates of Other Total Annual Cost Burden to Respondents and Record Keepers</w:t>
      </w:r>
      <w:bookmarkEnd w:id="26"/>
    </w:p>
    <w:p w:rsidR="00D770BA" w:rsidRPr="00223E5A" w:rsidP="00744AAE" w14:paraId="2A090292" w14:textId="77777777">
      <w:pPr>
        <w:pStyle w:val="ListParagraph"/>
        <w:spacing w:line="276" w:lineRule="auto"/>
        <w:ind w:left="0"/>
        <w:rPr>
          <w:rFonts w:ascii="Arial Nova" w:hAnsi="Arial Nova" w:cstheme="minorHAnsi"/>
          <w:b/>
          <w:color w:val="F79646" w:themeColor="accent6"/>
        </w:rPr>
      </w:pPr>
    </w:p>
    <w:p w:rsidR="00744AAE" w:rsidRPr="00223E5A" w:rsidP="00744AAE" w14:paraId="729936B2" w14:textId="4C4FBFB1">
      <w:pPr>
        <w:spacing w:after="120" w:line="276" w:lineRule="auto"/>
        <w:rPr>
          <w:rFonts w:ascii="Arial Nova" w:hAnsi="Arial Nova"/>
        </w:rPr>
      </w:pPr>
      <w:r w:rsidRPr="00223E5A">
        <w:rPr>
          <w:rFonts w:ascii="Arial Nova" w:hAnsi="Arial Nova"/>
        </w:rPr>
        <w:t>There are no other costs. There will be no direct costs to the respondents other than their time to participate in each information collection.</w:t>
      </w:r>
    </w:p>
    <w:p w:rsidR="00DA1523" w:rsidRPr="00223E5A" w:rsidP="00DA1523" w14:paraId="5BA1F510" w14:textId="77777777">
      <w:pPr>
        <w:spacing w:line="276" w:lineRule="auto"/>
        <w:rPr>
          <w:rFonts w:ascii="Arial Nova" w:eastAsia="MS Mincho" w:hAnsi="Arial Nova"/>
          <w:color w:val="F79646" w:themeColor="accent6"/>
        </w:rPr>
      </w:pPr>
    </w:p>
    <w:p w:rsidR="001425F9" w:rsidRPr="00223E5A" w:rsidP="001425F9" w14:paraId="6F433BA1" w14:textId="77777777">
      <w:pPr>
        <w:pStyle w:val="Heading2"/>
        <w:spacing w:line="276" w:lineRule="auto"/>
        <w:rPr>
          <w:rFonts w:ascii="Arial Nova" w:hAnsi="Arial Nova" w:cstheme="minorHAnsi"/>
          <w:i/>
          <w:color w:val="auto"/>
          <w:sz w:val="24"/>
          <w:szCs w:val="24"/>
        </w:rPr>
      </w:pPr>
      <w:bookmarkStart w:id="27" w:name="_Toc36703000"/>
      <w:r w:rsidRPr="00223E5A">
        <w:rPr>
          <w:rFonts w:ascii="Arial Nova" w:hAnsi="Arial Nova" w:cstheme="minorHAnsi"/>
          <w:i/>
          <w:color w:val="auto"/>
          <w:sz w:val="24"/>
          <w:szCs w:val="24"/>
        </w:rPr>
        <w:t>A14. Annualized Cost to the Federal Government</w:t>
      </w:r>
      <w:bookmarkEnd w:id="27"/>
    </w:p>
    <w:p w:rsidR="00D770BA" w:rsidRPr="00223E5A" w:rsidP="007C3ACE" w14:paraId="01538102" w14:textId="77777777">
      <w:pPr>
        <w:spacing w:line="276" w:lineRule="auto"/>
        <w:rPr>
          <w:rFonts w:ascii="Arial Nova" w:hAnsi="Arial Nova"/>
          <w:b/>
          <w:i/>
          <w:color w:val="F79646" w:themeColor="accent6"/>
        </w:rPr>
      </w:pPr>
    </w:p>
    <w:p w:rsidR="007C3ACE" w:rsidRPr="00223E5A" w:rsidP="007C3ACE" w14:paraId="593F2FA7" w14:textId="77777777">
      <w:pPr>
        <w:spacing w:after="120" w:line="276" w:lineRule="auto"/>
        <w:rPr>
          <w:rFonts w:ascii="Arial Nova" w:hAnsi="Arial Nova"/>
        </w:rPr>
      </w:pPr>
      <w:bookmarkStart w:id="28" w:name="_Toc307224726"/>
      <w:bookmarkStart w:id="29" w:name="_Toc275433793"/>
      <w:r w:rsidRPr="00223E5A">
        <w:rPr>
          <w:rFonts w:ascii="Arial Nova" w:hAnsi="Arial Nova"/>
        </w:rPr>
        <w:t xml:space="preserve">There are no equipment or overhead costs. The only cost to the federal government would be the salary of CDC staff and contractors supporting the data collection activities and associated tasks. </w:t>
      </w:r>
    </w:p>
    <w:p w:rsidR="006D6E38" w:rsidRPr="00223E5A" w:rsidP="007C3ACE" w14:paraId="494CA335" w14:textId="796E0307">
      <w:pPr>
        <w:spacing w:after="120" w:line="276" w:lineRule="auto"/>
        <w:rPr>
          <w:rFonts w:ascii="Arial Nova" w:hAnsi="Arial Nova"/>
        </w:rPr>
      </w:pPr>
      <w:r w:rsidRPr="00223E5A">
        <w:rPr>
          <w:rFonts w:ascii="Arial Nova" w:hAnsi="Arial Nova"/>
        </w:rPr>
        <w:t>Annually the estimated cost of the assessment is $ 102,</w:t>
      </w:r>
      <w:r w:rsidR="00930C9F">
        <w:rPr>
          <w:rFonts w:ascii="Arial Nova" w:hAnsi="Arial Nova"/>
        </w:rPr>
        <w:t>073</w:t>
      </w:r>
      <w:r w:rsidRPr="00223E5A">
        <w:rPr>
          <w:rFonts w:ascii="Arial Nova" w:hAnsi="Arial Nova"/>
        </w:rPr>
        <w:t>.50. The personnel cost of the CDC oversight of the project and contractors will be $2,</w:t>
      </w:r>
      <w:r w:rsidR="00930C9F">
        <w:rPr>
          <w:rFonts w:ascii="Arial Nova" w:hAnsi="Arial Nova"/>
        </w:rPr>
        <w:t>073</w:t>
      </w:r>
      <w:r w:rsidRPr="00223E5A">
        <w:rPr>
          <w:rFonts w:ascii="Arial Nova" w:hAnsi="Arial Nova"/>
        </w:rPr>
        <w:t xml:space="preserve">.50 for the Lead Behavioral Scientist.  The cost of the NEC contractor (Denver Health &amp; Hospital Authority) to provide assistance in the preparation of the OMB package, assessment design, instrument development, data collection, quality control, data analysis, and report preparation will be $100,000.  </w:t>
      </w:r>
    </w:p>
    <w:p w:rsidR="001425F9" w:rsidRPr="00793474" w:rsidP="00DA1523" w14:paraId="6A44CED9" w14:textId="77777777">
      <w:pPr>
        <w:spacing w:before="240" w:line="276" w:lineRule="auto"/>
        <w:rPr>
          <w:rFonts w:ascii="Arial Nova" w:hAnsi="Arial Nova"/>
          <w:b/>
          <w:color w:val="C75000"/>
        </w:rPr>
      </w:pPr>
      <w:r>
        <w:rPr>
          <w:rFonts w:ascii="Arial Nova" w:hAnsi="Arial Nova"/>
          <w:b/>
          <w:color w:val="F79646" w:themeColor="accent6"/>
        </w:rPr>
        <w:t xml:space="preserve">  </w:t>
      </w:r>
      <w:r w:rsidRPr="007C3ACE">
        <w:rPr>
          <w:rFonts w:ascii="Arial Nova" w:hAnsi="Arial Nova"/>
          <w:b/>
        </w:rPr>
        <w:t xml:space="preserve">Table </w:t>
      </w:r>
      <w:r w:rsidRPr="007C3ACE" w:rsidR="006C68C7">
        <w:rPr>
          <w:rFonts w:ascii="Arial Nova" w:hAnsi="Arial Nova"/>
          <w:b/>
        </w:rPr>
        <w:t>A</w:t>
      </w:r>
      <w:r w:rsidRPr="007C3ACE">
        <w:rPr>
          <w:rFonts w:ascii="Arial Nova" w:hAnsi="Arial Nova"/>
          <w:b/>
        </w:rPr>
        <w:t>14</w:t>
      </w:r>
      <w:r w:rsidRPr="007C3ACE" w:rsidR="00B96181">
        <w:rPr>
          <w:rFonts w:ascii="Arial Nova" w:hAnsi="Arial Nova"/>
          <w:b/>
        </w:rPr>
        <w:t>.</w:t>
      </w:r>
      <w:r w:rsidRPr="007C3ACE">
        <w:rPr>
          <w:rFonts w:ascii="Arial Nova" w:hAnsi="Arial Nova"/>
          <w:b/>
        </w:rPr>
        <w:t xml:space="preserve">-A. </w:t>
      </w:r>
      <w:r w:rsidRPr="007C3ACE">
        <w:rPr>
          <w:rFonts w:ascii="Arial Nova" w:hAnsi="Arial Nova"/>
        </w:rPr>
        <w:t>Estimated Annualized Federal Government Cost Distribution</w:t>
      </w:r>
      <w:bookmarkEnd w:id="28"/>
      <w:bookmarkEnd w:id="29"/>
    </w:p>
    <w:tbl>
      <w:tblPr>
        <w:tblpPr w:leftFromText="180" w:rightFromText="180" w:vertAnchor="text" w:tblpX="93"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6925"/>
        <w:gridCol w:w="2435"/>
      </w:tblGrid>
      <w:tr w14:paraId="7E6CF8C6" w14:textId="77777777" w:rsidTr="007C3ACE">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c>
          <w:tcPr>
            <w:tcW w:w="6925" w:type="dxa"/>
            <w:vAlign w:val="bottom"/>
            <w:hideMark/>
          </w:tcPr>
          <w:p w:rsidR="001425F9" w:rsidRPr="00223E5A" w:rsidP="007C3ACE" w14:paraId="6CC04F7E" w14:textId="6D5CC86C">
            <w:pPr>
              <w:keepNext/>
              <w:spacing w:before="80" w:after="80"/>
              <w:jc w:val="center"/>
              <w:rPr>
                <w:rFonts w:ascii="Arial Nova" w:hAnsi="Arial Nova"/>
              </w:rPr>
            </w:pPr>
            <w:r w:rsidRPr="00223E5A">
              <w:rPr>
                <w:rFonts w:ascii="Arial Nova" w:hAnsi="Arial Nova"/>
              </w:rPr>
              <w:t>Staff (FTE)</w:t>
            </w:r>
          </w:p>
        </w:tc>
        <w:tc>
          <w:tcPr>
            <w:tcW w:w="2435" w:type="dxa"/>
            <w:vAlign w:val="bottom"/>
            <w:hideMark/>
          </w:tcPr>
          <w:p w:rsidR="001425F9" w:rsidRPr="00223E5A" w:rsidP="007C3ACE" w14:paraId="28B68DDC" w14:textId="77777777">
            <w:pPr>
              <w:keepNext/>
              <w:spacing w:before="80" w:after="80"/>
              <w:jc w:val="center"/>
              <w:rPr>
                <w:rFonts w:ascii="Arial Nova" w:hAnsi="Arial Nova"/>
              </w:rPr>
            </w:pPr>
            <w:r w:rsidRPr="00223E5A">
              <w:rPr>
                <w:rFonts w:ascii="Arial Nova" w:hAnsi="Arial Nova"/>
              </w:rPr>
              <w:t>Annualized Cost</w:t>
            </w:r>
          </w:p>
        </w:tc>
      </w:tr>
      <w:tr w14:paraId="69EA587C" w14:textId="77777777" w:rsidTr="007C3ACE">
        <w:tblPrEx>
          <w:tblW w:w="9360" w:type="dxa"/>
          <w:tblLayout w:type="fixed"/>
          <w:tblCellMar>
            <w:left w:w="115" w:type="dxa"/>
            <w:right w:w="115" w:type="dxa"/>
          </w:tblCellMar>
          <w:tblLook w:val="04A0"/>
        </w:tblPrEx>
        <w:tc>
          <w:tcPr>
            <w:tcW w:w="6925" w:type="dxa"/>
            <w:noWrap/>
            <w:hideMark/>
          </w:tcPr>
          <w:p w:rsidR="001425F9" w:rsidRPr="00223E5A" w:rsidP="007C3ACE" w14:paraId="3590CB8D" w14:textId="6B4A3414">
            <w:pPr>
              <w:rPr>
                <w:rFonts w:ascii="Arial Nova" w:hAnsi="Arial Nova"/>
                <w:sz w:val="22"/>
                <w:szCs w:val="22"/>
              </w:rPr>
            </w:pPr>
            <w:r w:rsidRPr="00223E5A">
              <w:rPr>
                <w:rFonts w:ascii="Arial Nova" w:hAnsi="Arial Nova"/>
                <w:b/>
                <w:bCs/>
                <w:sz w:val="22"/>
                <w:szCs w:val="22"/>
              </w:rPr>
              <w:t>Evaluation contractor</w:t>
            </w:r>
            <w:r w:rsidRPr="00223E5A">
              <w:rPr>
                <w:rFonts w:ascii="Arial Nova" w:hAnsi="Arial Nova"/>
                <w:sz w:val="22"/>
                <w:szCs w:val="22"/>
              </w:rPr>
              <w:t>:  Web-based information collection instrument programming, data collection, OMB package preparation, assessment design, instrument development, pilot testing, data collection, quality control, data analysis, and report preparation (NEC staff; Denver Health &amp; Hospital Authority)</w:t>
            </w:r>
          </w:p>
        </w:tc>
        <w:tc>
          <w:tcPr>
            <w:tcW w:w="2435" w:type="dxa"/>
            <w:noWrap/>
            <w:hideMark/>
          </w:tcPr>
          <w:p w:rsidR="001425F9" w:rsidRPr="00223E5A" w:rsidP="007C3ACE" w14:paraId="0EDDB160" w14:textId="30400F06">
            <w:pPr>
              <w:keepNext/>
              <w:tabs>
                <w:tab w:val="decimal" w:pos="1865"/>
              </w:tabs>
              <w:spacing w:before="80" w:after="80"/>
              <w:jc w:val="center"/>
              <w:rPr>
                <w:rFonts w:ascii="Arial Nova" w:hAnsi="Arial Nova"/>
                <w:sz w:val="22"/>
                <w:szCs w:val="22"/>
              </w:rPr>
            </w:pPr>
            <w:r w:rsidRPr="00223E5A">
              <w:rPr>
                <w:rFonts w:ascii="Arial Nova" w:hAnsi="Arial Nova"/>
                <w:sz w:val="22"/>
                <w:szCs w:val="22"/>
              </w:rPr>
              <w:t>$</w:t>
            </w:r>
            <w:r w:rsidRPr="00223E5A" w:rsidR="007C3ACE">
              <w:rPr>
                <w:rFonts w:ascii="Arial Nova" w:hAnsi="Arial Nova"/>
                <w:sz w:val="22"/>
                <w:szCs w:val="22"/>
              </w:rPr>
              <w:t>100,000</w:t>
            </w:r>
          </w:p>
        </w:tc>
      </w:tr>
      <w:tr w14:paraId="01B76F88" w14:textId="77777777" w:rsidTr="007C3ACE">
        <w:tblPrEx>
          <w:tblW w:w="9360" w:type="dxa"/>
          <w:tblLayout w:type="fixed"/>
          <w:tblCellMar>
            <w:left w:w="115" w:type="dxa"/>
            <w:right w:w="115" w:type="dxa"/>
          </w:tblCellMar>
          <w:tblLook w:val="04A0"/>
        </w:tblPrEx>
        <w:tc>
          <w:tcPr>
            <w:tcW w:w="6925" w:type="dxa"/>
            <w:noWrap/>
            <w:hideMark/>
          </w:tcPr>
          <w:p w:rsidR="001425F9" w:rsidRPr="00223E5A" w:rsidP="007C3ACE" w14:paraId="0EDAFD50" w14:textId="62848F42">
            <w:pPr>
              <w:keepNext/>
              <w:spacing w:before="80" w:after="80"/>
              <w:rPr>
                <w:rFonts w:ascii="Arial Nova" w:hAnsi="Arial Nova"/>
                <w:sz w:val="22"/>
                <w:szCs w:val="22"/>
              </w:rPr>
            </w:pPr>
            <w:r w:rsidRPr="00223E5A">
              <w:rPr>
                <w:rFonts w:ascii="Arial Nova" w:hAnsi="Arial Nova"/>
                <w:b/>
                <w:bCs/>
                <w:sz w:val="22"/>
                <w:szCs w:val="22"/>
              </w:rPr>
              <w:t>GS-1</w:t>
            </w:r>
            <w:r w:rsidR="00AD5861">
              <w:rPr>
                <w:rFonts w:ascii="Arial Nova" w:hAnsi="Arial Nova"/>
                <w:b/>
                <w:bCs/>
                <w:sz w:val="22"/>
                <w:szCs w:val="22"/>
              </w:rPr>
              <w:t>2</w:t>
            </w:r>
            <w:r w:rsidRPr="00223E5A">
              <w:rPr>
                <w:rFonts w:ascii="Arial Nova" w:hAnsi="Arial Nova"/>
                <w:b/>
                <w:bCs/>
                <w:sz w:val="22"/>
                <w:szCs w:val="22"/>
              </w:rPr>
              <w:t xml:space="preserve"> health scientist</w:t>
            </w:r>
            <w:r w:rsidRPr="00223E5A" w:rsidR="007C3ACE">
              <w:rPr>
                <w:rFonts w:ascii="Arial Nova" w:hAnsi="Arial Nova"/>
                <w:sz w:val="22"/>
                <w:szCs w:val="22"/>
              </w:rPr>
              <w:t>- 50 average hours per collection at $</w:t>
            </w:r>
            <w:r w:rsidR="00AD5861">
              <w:rPr>
                <w:rFonts w:ascii="Arial Nova" w:hAnsi="Arial Nova"/>
                <w:sz w:val="22"/>
                <w:szCs w:val="22"/>
              </w:rPr>
              <w:t>41.47</w:t>
            </w:r>
            <w:r w:rsidRPr="00223E5A" w:rsidR="007C3ACE">
              <w:rPr>
                <w:rFonts w:ascii="Arial Nova" w:hAnsi="Arial Nova"/>
                <w:sz w:val="22"/>
                <w:szCs w:val="22"/>
              </w:rPr>
              <w:t xml:space="preserve"> hourly rate</w:t>
            </w:r>
          </w:p>
          <w:p w:rsidR="007C3ACE" w:rsidRPr="00223E5A" w:rsidP="007C3ACE" w14:paraId="2DCEA4BF" w14:textId="0234AE69">
            <w:pPr>
              <w:keepNext/>
              <w:spacing w:before="80" w:after="80"/>
              <w:ind w:left="187"/>
              <w:rPr>
                <w:rFonts w:ascii="Arial Nova" w:hAnsi="Arial Nova"/>
                <w:sz w:val="22"/>
                <w:szCs w:val="22"/>
              </w:rPr>
            </w:pPr>
            <w:r w:rsidRPr="00223E5A">
              <w:rPr>
                <w:rFonts w:ascii="Arial Nova" w:hAnsi="Arial Nova"/>
                <w:sz w:val="22"/>
                <w:szCs w:val="22"/>
              </w:rPr>
              <w:t>OMB package preparation; review and oversight of assessment design, instrument development, pilot testing, data collection, quality control, data analysis and report preparation</w:t>
            </w:r>
          </w:p>
        </w:tc>
        <w:tc>
          <w:tcPr>
            <w:tcW w:w="2435" w:type="dxa"/>
            <w:noWrap/>
          </w:tcPr>
          <w:p w:rsidR="001425F9" w:rsidRPr="00223E5A" w:rsidP="007C3ACE" w14:paraId="6B9301C2" w14:textId="7C1F3E39">
            <w:pPr>
              <w:keepNext/>
              <w:tabs>
                <w:tab w:val="decimal" w:pos="1865"/>
              </w:tabs>
              <w:spacing w:before="80" w:after="80"/>
              <w:jc w:val="center"/>
              <w:rPr>
                <w:rFonts w:ascii="Arial Nova" w:hAnsi="Arial Nova"/>
                <w:sz w:val="22"/>
                <w:szCs w:val="22"/>
              </w:rPr>
            </w:pPr>
            <w:r w:rsidRPr="00223E5A">
              <w:rPr>
                <w:rFonts w:ascii="Arial Nova" w:hAnsi="Arial Nova"/>
                <w:sz w:val="22"/>
                <w:szCs w:val="22"/>
              </w:rPr>
              <w:t>$2,</w:t>
            </w:r>
            <w:r w:rsidR="00AD5861">
              <w:rPr>
                <w:rFonts w:ascii="Arial Nova" w:hAnsi="Arial Nova"/>
                <w:sz w:val="22"/>
                <w:szCs w:val="22"/>
              </w:rPr>
              <w:t>073</w:t>
            </w:r>
            <w:r w:rsidRPr="00223E5A">
              <w:rPr>
                <w:rFonts w:ascii="Arial Nova" w:hAnsi="Arial Nova"/>
                <w:sz w:val="22"/>
                <w:szCs w:val="22"/>
              </w:rPr>
              <w:t>.50</w:t>
            </w:r>
          </w:p>
        </w:tc>
      </w:tr>
      <w:tr w14:paraId="4733FB54" w14:textId="77777777" w:rsidTr="007C3ACE">
        <w:tblPrEx>
          <w:tblW w:w="9360" w:type="dxa"/>
          <w:tblLayout w:type="fixed"/>
          <w:tblCellMar>
            <w:left w:w="115" w:type="dxa"/>
            <w:right w:w="115" w:type="dxa"/>
          </w:tblCellMar>
          <w:tblLook w:val="04A0"/>
        </w:tblPrEx>
        <w:tc>
          <w:tcPr>
            <w:tcW w:w="6925" w:type="dxa"/>
            <w:hideMark/>
          </w:tcPr>
          <w:p w:rsidR="001425F9" w:rsidRPr="00223E5A" w:rsidP="007C3ACE" w14:paraId="6B457775" w14:textId="77777777">
            <w:pPr>
              <w:keepNext/>
              <w:spacing w:before="80" w:after="80"/>
              <w:rPr>
                <w:rFonts w:ascii="Arial Nova" w:hAnsi="Arial Nova"/>
                <w:b/>
                <w:bCs/>
              </w:rPr>
            </w:pPr>
            <w:r w:rsidRPr="00223E5A">
              <w:rPr>
                <w:rFonts w:ascii="Arial Nova" w:hAnsi="Arial Nova"/>
                <w:b/>
                <w:bCs/>
              </w:rPr>
              <w:t>Total</w:t>
            </w:r>
          </w:p>
        </w:tc>
        <w:tc>
          <w:tcPr>
            <w:tcW w:w="2435" w:type="dxa"/>
            <w:noWrap/>
            <w:hideMark/>
          </w:tcPr>
          <w:p w:rsidR="001425F9" w:rsidRPr="00223E5A" w:rsidP="007C3ACE" w14:paraId="6304B8D7" w14:textId="5D5FE203">
            <w:pPr>
              <w:keepNext/>
              <w:tabs>
                <w:tab w:val="decimal" w:pos="1865"/>
              </w:tabs>
              <w:spacing w:before="80" w:after="80"/>
              <w:jc w:val="center"/>
              <w:rPr>
                <w:rFonts w:ascii="Arial Nova" w:hAnsi="Arial Nova"/>
                <w:b/>
                <w:bCs/>
              </w:rPr>
            </w:pPr>
            <w:r w:rsidRPr="00223E5A">
              <w:rPr>
                <w:rFonts w:ascii="Arial Nova" w:hAnsi="Arial Nova"/>
                <w:b/>
                <w:bCs/>
              </w:rPr>
              <w:t>$</w:t>
            </w:r>
            <w:r w:rsidRPr="00223E5A" w:rsidR="007C3ACE">
              <w:rPr>
                <w:rFonts w:ascii="Arial Nova" w:hAnsi="Arial Nova"/>
                <w:b/>
                <w:bCs/>
              </w:rPr>
              <w:t>102,</w:t>
            </w:r>
            <w:r w:rsidR="00AD5861">
              <w:rPr>
                <w:rFonts w:ascii="Arial Nova" w:hAnsi="Arial Nova"/>
                <w:b/>
                <w:bCs/>
              </w:rPr>
              <w:t>073</w:t>
            </w:r>
            <w:r w:rsidRPr="00223E5A" w:rsidR="007C3ACE">
              <w:rPr>
                <w:rFonts w:ascii="Arial Nova" w:hAnsi="Arial Nova"/>
                <w:b/>
                <w:bCs/>
              </w:rPr>
              <w:t>.50</w:t>
            </w:r>
          </w:p>
        </w:tc>
      </w:tr>
    </w:tbl>
    <w:p w:rsidR="007C3ACE" w:rsidP="007C3ACE" w14:paraId="48E56D5D" w14:textId="77777777">
      <w:pPr>
        <w:keepNext/>
        <w:keepLines/>
        <w:tabs>
          <w:tab w:val="right" w:pos="9360"/>
        </w:tabs>
        <w:spacing w:before="240"/>
        <w:rPr>
          <w:rFonts w:ascii="Arial Nova" w:hAnsi="Arial Nova"/>
          <w:b/>
        </w:rPr>
      </w:pPr>
    </w:p>
    <w:p w:rsidR="001425F9" w:rsidRPr="00174127" w:rsidP="007C3ACE" w14:paraId="514C0FFC" w14:textId="27A40782">
      <w:pPr>
        <w:keepNext/>
        <w:keepLines/>
        <w:tabs>
          <w:tab w:val="right" w:pos="9360"/>
        </w:tabs>
        <w:spacing w:before="240"/>
        <w:rPr>
          <w:rFonts w:ascii="Arial Nova" w:hAnsi="Arial Nova"/>
        </w:rPr>
      </w:pPr>
      <w:r>
        <w:rPr>
          <w:rFonts w:ascii="Arial Nova" w:hAnsi="Arial Nova"/>
          <w:b/>
        </w:rPr>
        <w:t xml:space="preserve"> </w:t>
      </w:r>
      <w:r w:rsidRPr="00174127">
        <w:rPr>
          <w:rFonts w:ascii="Arial Nova" w:hAnsi="Arial Nova"/>
          <w:b/>
        </w:rPr>
        <w:t xml:space="preserve">Table </w:t>
      </w:r>
      <w:r w:rsidRPr="00174127" w:rsidR="006C68C7">
        <w:rPr>
          <w:rFonts w:ascii="Arial Nova" w:hAnsi="Arial Nova"/>
          <w:b/>
        </w:rPr>
        <w:t>A</w:t>
      </w:r>
      <w:r w:rsidRPr="00174127">
        <w:rPr>
          <w:rFonts w:ascii="Arial Nova" w:hAnsi="Arial Nova"/>
          <w:b/>
        </w:rPr>
        <w:t>14</w:t>
      </w:r>
      <w:r w:rsidRPr="00174127" w:rsidR="00174127">
        <w:rPr>
          <w:rFonts w:ascii="Arial Nova" w:hAnsi="Arial Nova"/>
          <w:b/>
        </w:rPr>
        <w:t>-</w:t>
      </w:r>
      <w:r w:rsidR="00067800">
        <w:rPr>
          <w:rFonts w:ascii="Arial Nova" w:hAnsi="Arial Nova"/>
          <w:b/>
        </w:rPr>
        <w:t>C</w:t>
      </w:r>
      <w:r w:rsidRPr="00174127">
        <w:rPr>
          <w:rFonts w:ascii="Arial Nova" w:hAnsi="Arial Nova"/>
          <w:b/>
        </w:rPr>
        <w:t>.</w:t>
      </w:r>
      <w:r w:rsidRPr="00174127">
        <w:rPr>
          <w:rFonts w:ascii="Arial Nova" w:hAnsi="Arial Nova"/>
        </w:rPr>
        <w:t xml:space="preserve"> Total Cost to the Federal Government</w:t>
      </w:r>
    </w:p>
    <w:tbl>
      <w:tblPr>
        <w:tblW w:w="9352" w:type="dxa"/>
        <w:tblInd w:w="93" w:type="dxa"/>
        <w:tblLayout w:type="fixed"/>
        <w:tblCellMar>
          <w:left w:w="115" w:type="dxa"/>
          <w:right w:w="115" w:type="dxa"/>
        </w:tblCellMar>
        <w:tblLook w:val="04A0"/>
      </w:tblPr>
      <w:tblGrid>
        <w:gridCol w:w="3507"/>
        <w:gridCol w:w="3145"/>
        <w:gridCol w:w="2700"/>
      </w:tblGrid>
      <w:tr w14:paraId="0DC1DC5B" w14:textId="77777777" w:rsidTr="006D6E38">
        <w:tblPrEx>
          <w:tblW w:w="9352" w:type="dxa"/>
          <w:tblInd w:w="93" w:type="dxa"/>
          <w:tblLayout w:type="fixed"/>
          <w:tblCellMar>
            <w:left w:w="115" w:type="dxa"/>
            <w:right w:w="115" w:type="dxa"/>
          </w:tblCellMar>
          <w:tblLook w:val="04A0"/>
        </w:tblPrEx>
        <w:trPr>
          <w:cantSplit/>
          <w:trHeight w:val="800"/>
        </w:trPr>
        <w:tc>
          <w:tcPr>
            <w:tcW w:w="3507" w:type="dxa"/>
            <w:tcBorders>
              <w:top w:val="single" w:sz="4" w:space="0" w:color="auto"/>
              <w:left w:val="single" w:sz="4" w:space="0" w:color="auto"/>
              <w:bottom w:val="single" w:sz="4" w:space="0" w:color="auto"/>
              <w:right w:val="single" w:sz="4" w:space="0" w:color="auto"/>
            </w:tcBorders>
            <w:hideMark/>
          </w:tcPr>
          <w:p w:rsidR="001425F9" w:rsidRPr="00174127" w:rsidP="006D6E38" w14:paraId="6E0E0D16" w14:textId="77777777">
            <w:pPr>
              <w:tabs>
                <w:tab w:val="right" w:pos="9360"/>
              </w:tabs>
              <w:spacing w:after="240"/>
              <w:rPr>
                <w:rFonts w:ascii="Arial Nova" w:hAnsi="Arial Nova"/>
              </w:rPr>
            </w:pPr>
            <w:r w:rsidRPr="00174127">
              <w:rPr>
                <w:rFonts w:ascii="Arial Nova" w:hAnsi="Arial Nova"/>
              </w:rPr>
              <w:t>Operational and Maintenance Costs</w:t>
            </w:r>
          </w:p>
        </w:tc>
        <w:tc>
          <w:tcPr>
            <w:tcW w:w="3145" w:type="dxa"/>
            <w:tcBorders>
              <w:top w:val="single" w:sz="4" w:space="0" w:color="auto"/>
              <w:left w:val="single" w:sz="4" w:space="0" w:color="auto"/>
              <w:bottom w:val="single" w:sz="4" w:space="0" w:color="auto"/>
              <w:right w:val="single" w:sz="4" w:space="0" w:color="auto"/>
            </w:tcBorders>
          </w:tcPr>
          <w:p w:rsidR="001425F9" w:rsidRPr="00174127" w:rsidP="004B4C91" w14:paraId="2C18FD54" w14:textId="77777777">
            <w:pPr>
              <w:tabs>
                <w:tab w:val="right" w:pos="9360"/>
              </w:tabs>
              <w:spacing w:after="240"/>
              <w:rPr>
                <w:rFonts w:ascii="Arial Nova" w:hAnsi="Arial Nova"/>
              </w:rPr>
            </w:pPr>
            <w:r w:rsidRPr="00174127">
              <w:rPr>
                <w:rFonts w:ascii="Arial Nova" w:hAnsi="Arial Nova"/>
              </w:rPr>
              <w:t>Estimated Annualized Federal Government Cost</w:t>
            </w:r>
          </w:p>
        </w:tc>
        <w:tc>
          <w:tcPr>
            <w:tcW w:w="2700" w:type="dxa"/>
            <w:tcBorders>
              <w:top w:val="single" w:sz="4" w:space="0" w:color="auto"/>
              <w:left w:val="single" w:sz="4" w:space="0" w:color="auto"/>
              <w:bottom w:val="single" w:sz="4" w:space="0" w:color="auto"/>
              <w:right w:val="single" w:sz="4" w:space="0" w:color="auto"/>
            </w:tcBorders>
            <w:hideMark/>
          </w:tcPr>
          <w:p w:rsidR="001425F9" w:rsidRPr="00174127" w:rsidP="006D6E38" w14:paraId="55BB4E90" w14:textId="274F82AB">
            <w:pPr>
              <w:tabs>
                <w:tab w:val="right" w:pos="9360"/>
              </w:tabs>
              <w:spacing w:after="240"/>
              <w:rPr>
                <w:rFonts w:ascii="Arial Nova" w:hAnsi="Arial Nova"/>
              </w:rPr>
            </w:pPr>
            <w:r w:rsidRPr="00174127">
              <w:rPr>
                <w:rFonts w:ascii="Arial Nova" w:hAnsi="Arial Nova"/>
              </w:rPr>
              <w:t xml:space="preserve">Total </w:t>
            </w:r>
            <w:r w:rsidR="006D6E38">
              <w:rPr>
                <w:rFonts w:ascii="Arial Nova" w:hAnsi="Arial Nova"/>
              </w:rPr>
              <w:t xml:space="preserve">Annualized </w:t>
            </w:r>
            <w:r w:rsidRPr="00174127">
              <w:rPr>
                <w:rFonts w:ascii="Arial Nova" w:hAnsi="Arial Nova"/>
              </w:rPr>
              <w:t>Cost (O&amp;M + Labor)</w:t>
            </w:r>
          </w:p>
        </w:tc>
      </w:tr>
      <w:tr w14:paraId="6EC0DFCC" w14:textId="77777777" w:rsidTr="007C3ACE">
        <w:tblPrEx>
          <w:tblW w:w="9352" w:type="dxa"/>
          <w:tblInd w:w="93" w:type="dxa"/>
          <w:tblLayout w:type="fixed"/>
          <w:tblCellMar>
            <w:left w:w="115" w:type="dxa"/>
            <w:right w:w="115" w:type="dxa"/>
          </w:tblCellMar>
          <w:tblLook w:val="04A0"/>
        </w:tblPrEx>
        <w:trPr>
          <w:cantSplit/>
          <w:trHeight w:val="341"/>
        </w:trPr>
        <w:tc>
          <w:tcPr>
            <w:tcW w:w="3507" w:type="dxa"/>
            <w:tcBorders>
              <w:top w:val="single" w:sz="4" w:space="0" w:color="auto"/>
              <w:left w:val="single" w:sz="4" w:space="0" w:color="auto"/>
              <w:bottom w:val="single" w:sz="4" w:space="0" w:color="auto"/>
              <w:right w:val="single" w:sz="4" w:space="0" w:color="auto"/>
            </w:tcBorders>
            <w:hideMark/>
          </w:tcPr>
          <w:p w:rsidR="007C3ACE" w:rsidRPr="00793474" w:rsidP="007C3ACE" w14:paraId="612F5411" w14:textId="2755134E">
            <w:pPr>
              <w:tabs>
                <w:tab w:val="right" w:pos="9360"/>
              </w:tabs>
              <w:spacing w:after="240"/>
              <w:rPr>
                <w:rFonts w:ascii="Arial Nova" w:hAnsi="Arial Nova"/>
                <w:color w:val="C75000"/>
              </w:rPr>
            </w:pPr>
            <w:r w:rsidRPr="00634AFA">
              <w:rPr>
                <w:rFonts w:ascii="Arial Nova" w:hAnsi="Arial Nova"/>
              </w:rPr>
              <w:t>0</w:t>
            </w:r>
          </w:p>
        </w:tc>
        <w:tc>
          <w:tcPr>
            <w:tcW w:w="3145" w:type="dxa"/>
            <w:tcBorders>
              <w:top w:val="single" w:sz="4" w:space="0" w:color="auto"/>
              <w:left w:val="single" w:sz="4" w:space="0" w:color="auto"/>
              <w:bottom w:val="single" w:sz="4" w:space="0" w:color="auto"/>
              <w:right w:val="single" w:sz="4" w:space="0" w:color="auto"/>
            </w:tcBorders>
          </w:tcPr>
          <w:p w:rsidR="007C3ACE" w:rsidRPr="00793474" w:rsidP="007C3ACE" w14:paraId="6FB8F52D" w14:textId="5C7EE277">
            <w:pPr>
              <w:tabs>
                <w:tab w:val="right" w:pos="9360"/>
              </w:tabs>
              <w:spacing w:after="240"/>
              <w:rPr>
                <w:rFonts w:ascii="Arial Nova" w:hAnsi="Arial Nova"/>
                <w:color w:val="C75000"/>
              </w:rPr>
            </w:pPr>
            <w:r w:rsidRPr="00387A5A">
              <w:rPr>
                <w:b/>
                <w:bCs/>
              </w:rPr>
              <w:t>$102,783.50</w:t>
            </w:r>
          </w:p>
        </w:tc>
        <w:tc>
          <w:tcPr>
            <w:tcW w:w="2700" w:type="dxa"/>
            <w:tcBorders>
              <w:top w:val="single" w:sz="4" w:space="0" w:color="auto"/>
              <w:left w:val="single" w:sz="4" w:space="0" w:color="auto"/>
              <w:bottom w:val="single" w:sz="4" w:space="0" w:color="auto"/>
              <w:right w:val="single" w:sz="4" w:space="0" w:color="auto"/>
            </w:tcBorders>
            <w:noWrap/>
            <w:hideMark/>
          </w:tcPr>
          <w:p w:rsidR="007C3ACE" w:rsidRPr="00793474" w:rsidP="007C3ACE" w14:paraId="25A2B9DB" w14:textId="6E6435A3">
            <w:pPr>
              <w:tabs>
                <w:tab w:val="right" w:pos="9360"/>
              </w:tabs>
              <w:spacing w:after="240"/>
              <w:rPr>
                <w:rFonts w:ascii="Arial Nova" w:hAnsi="Arial Nova"/>
                <w:color w:val="C75000"/>
              </w:rPr>
            </w:pPr>
            <w:r w:rsidRPr="00387A5A">
              <w:rPr>
                <w:b/>
                <w:bCs/>
              </w:rPr>
              <w:t>$102,</w:t>
            </w:r>
            <w:r w:rsidR="00AD5861">
              <w:rPr>
                <w:b/>
                <w:bCs/>
              </w:rPr>
              <w:t>073</w:t>
            </w:r>
            <w:r w:rsidRPr="00387A5A">
              <w:rPr>
                <w:b/>
                <w:bCs/>
              </w:rPr>
              <w:t>.50</w:t>
            </w:r>
          </w:p>
        </w:tc>
      </w:tr>
    </w:tbl>
    <w:p w:rsidR="00223E5A" w:rsidRPr="00174127" w:rsidP="004C36E8" w14:paraId="1E20DE3C" w14:textId="77777777">
      <w:pPr>
        <w:spacing w:line="276" w:lineRule="auto"/>
        <w:rPr>
          <w:rFonts w:ascii="Arial Nova" w:hAnsi="Arial Nova"/>
          <w:b/>
          <w:color w:val="F79646" w:themeColor="accent6"/>
        </w:rPr>
      </w:pPr>
    </w:p>
    <w:p w:rsidR="00CC7AB1" w:rsidRPr="00174127" w:rsidP="00CC7AB1" w14:paraId="50F68BC9" w14:textId="77777777">
      <w:pPr>
        <w:pStyle w:val="Heading2"/>
        <w:spacing w:line="276" w:lineRule="auto"/>
        <w:rPr>
          <w:rFonts w:ascii="Arial Nova" w:hAnsi="Arial Nova" w:cstheme="minorHAnsi"/>
          <w:i/>
          <w:color w:val="auto"/>
          <w:sz w:val="24"/>
          <w:szCs w:val="24"/>
        </w:rPr>
      </w:pPr>
      <w:bookmarkStart w:id="30" w:name="_Toc36703001"/>
      <w:r w:rsidRPr="00174127">
        <w:rPr>
          <w:rFonts w:ascii="Arial Nova" w:hAnsi="Arial Nova" w:cstheme="minorHAnsi"/>
          <w:i/>
          <w:color w:val="auto"/>
          <w:sz w:val="24"/>
          <w:szCs w:val="24"/>
        </w:rPr>
        <w:t>A15. Explanation for Program Changes or Adjustments</w:t>
      </w:r>
      <w:bookmarkEnd w:id="30"/>
    </w:p>
    <w:p w:rsidR="00823609" w:rsidP="00DA1523" w14:paraId="477ED724" w14:textId="67C5195C">
      <w:pPr>
        <w:spacing w:line="276" w:lineRule="auto"/>
        <w:rPr>
          <w:rFonts w:ascii="Arial Nova" w:hAnsi="Arial Nova"/>
          <w:b/>
          <w:color w:val="F79646" w:themeColor="accent6"/>
        </w:rPr>
      </w:pPr>
    </w:p>
    <w:p w:rsidR="007516FB" w:rsidP="00634AFA" w14:paraId="579F530A" w14:textId="2664D3E3">
      <w:pPr>
        <w:spacing w:after="120" w:line="276" w:lineRule="auto"/>
        <w:rPr>
          <w:rFonts w:ascii="Arial Nova" w:hAnsi="Arial Nova"/>
        </w:rPr>
      </w:pPr>
      <w:r w:rsidRPr="00223E5A">
        <w:rPr>
          <w:rFonts w:ascii="Arial Nova" w:hAnsi="Arial Nova"/>
        </w:rPr>
        <w:t xml:space="preserve">The </w:t>
      </w:r>
      <w:r w:rsidR="00FF5FE6">
        <w:rPr>
          <w:rFonts w:ascii="Arial Nova" w:hAnsi="Arial Nova"/>
        </w:rPr>
        <w:t>recently</w:t>
      </w:r>
      <w:r w:rsidRPr="00223E5A">
        <w:rPr>
          <w:rFonts w:ascii="Arial Nova" w:hAnsi="Arial Nova"/>
        </w:rPr>
        <w:t xml:space="preserve"> approved</w:t>
      </w:r>
      <w:r w:rsidR="00FF5FE6">
        <w:rPr>
          <w:rFonts w:ascii="Arial Nova" w:hAnsi="Arial Nova"/>
        </w:rPr>
        <w:t xml:space="preserve"> data collection instruments </w:t>
      </w:r>
      <w:r w:rsidRPr="00223E5A">
        <w:rPr>
          <w:rFonts w:ascii="Arial Nova" w:hAnsi="Arial Nova"/>
        </w:rPr>
        <w:t>will remain unchanged</w:t>
      </w:r>
      <w:r w:rsidR="00FF5FE6">
        <w:rPr>
          <w:rFonts w:ascii="Arial Nova" w:hAnsi="Arial Nova"/>
        </w:rPr>
        <w:t xml:space="preserve">. </w:t>
      </w:r>
      <w:r w:rsidRPr="00223E5A">
        <w:rPr>
          <w:rFonts w:ascii="Arial Nova" w:hAnsi="Arial Nova"/>
        </w:rPr>
        <w:t xml:space="preserve">The total time burden for respondents will </w:t>
      </w:r>
      <w:r w:rsidR="00FF5FE6">
        <w:rPr>
          <w:rFonts w:ascii="Arial Nova" w:hAnsi="Arial Nova"/>
        </w:rPr>
        <w:t>is</w:t>
      </w:r>
      <w:r w:rsidRPr="00223E5A">
        <w:rPr>
          <w:rFonts w:ascii="Arial Nova" w:hAnsi="Arial Nova"/>
        </w:rPr>
        <w:t xml:space="preserve"> </w:t>
      </w:r>
      <w:r w:rsidR="00AD5861">
        <w:rPr>
          <w:rFonts w:ascii="Arial Nova" w:hAnsi="Arial Nova"/>
        </w:rPr>
        <w:t>453</w:t>
      </w:r>
      <w:r w:rsidRPr="00223E5A">
        <w:rPr>
          <w:rFonts w:ascii="Arial Nova" w:hAnsi="Arial Nova"/>
        </w:rPr>
        <w:t xml:space="preserve"> hours. This extension is necessary to monitor and evaluate the NNPTC program on a systematic national basis.</w:t>
      </w:r>
    </w:p>
    <w:p w:rsidR="00FF5FE6" w:rsidRPr="00223E5A" w:rsidP="00634AFA" w14:paraId="761BA096" w14:textId="77777777">
      <w:pPr>
        <w:spacing w:after="120" w:line="276" w:lineRule="auto"/>
        <w:rPr>
          <w:rFonts w:ascii="Arial Nova" w:hAnsi="Arial Nova"/>
        </w:rPr>
      </w:pPr>
    </w:p>
    <w:p w:rsidR="00823609" w:rsidRPr="00174127" w:rsidP="00823609" w14:paraId="587E4536" w14:textId="77777777">
      <w:pPr>
        <w:pStyle w:val="Heading2"/>
        <w:spacing w:line="276" w:lineRule="auto"/>
        <w:rPr>
          <w:rFonts w:ascii="Arial Nova" w:hAnsi="Arial Nova" w:cstheme="minorHAnsi"/>
          <w:i/>
          <w:color w:val="auto"/>
          <w:sz w:val="24"/>
          <w:szCs w:val="24"/>
        </w:rPr>
      </w:pPr>
      <w:bookmarkStart w:id="31" w:name="_Toc36703002"/>
      <w:r w:rsidRPr="00174127">
        <w:rPr>
          <w:rFonts w:ascii="Arial Nova" w:hAnsi="Arial Nova" w:cstheme="minorHAnsi"/>
          <w:i/>
          <w:color w:val="auto"/>
          <w:sz w:val="24"/>
          <w:szCs w:val="24"/>
        </w:rPr>
        <w:t>A16. Plans for Tabulation and Publication and Project Time Schedule</w:t>
      </w:r>
      <w:bookmarkEnd w:id="31"/>
    </w:p>
    <w:p w:rsidR="0029646E" w:rsidRPr="00223E5A" w:rsidP="0029646E" w14:paraId="676F7575" w14:textId="44473E02">
      <w:pPr>
        <w:spacing w:after="120" w:line="276" w:lineRule="auto"/>
        <w:rPr>
          <w:rFonts w:ascii="Arial Nova" w:hAnsi="Arial Nova"/>
        </w:rPr>
      </w:pPr>
      <w:r w:rsidRPr="00223E5A">
        <w:rPr>
          <w:rFonts w:ascii="Arial Nova" w:hAnsi="Arial Nova"/>
        </w:rPr>
        <w:t>CDC will use both quantitative and qualitative methods to analyze the data. Prior to conducting any formal analyses on quantitative data, exploratory univariate and bivariate tests will be performed first to determine trends and patterns in the data. This will be accomplished using frequencies and cross-tabulations, and by examining univariate distributions and correlations. The frequency analysis will give various chi-squared tests for association for categorical ordinal or nominal data, while the ANOVA will provide F-tests for continuous data. We also expect to use various non-parametric tests on the Likert scale interval data.</w:t>
      </w:r>
    </w:p>
    <w:p w:rsidR="0029646E" w:rsidP="0029646E" w14:paraId="39F9F8A0" w14:textId="154B13E9">
      <w:pPr>
        <w:spacing w:line="276" w:lineRule="auto"/>
        <w:rPr>
          <w:rFonts w:ascii="Arial Nova" w:hAnsi="Arial Nova"/>
        </w:rPr>
      </w:pPr>
      <w:r w:rsidRPr="00223E5A">
        <w:rPr>
          <w:rFonts w:ascii="Arial Nova" w:hAnsi="Arial Nova"/>
        </w:rPr>
        <w:t xml:space="preserve">Qualitative data include open-ended responses within the web-based information collection tools, Open-ended responses in otherwise categorical questions within the information collection instruments (e.g., “Other, please specify”) will be abstracted and grouped by thematic categories, and analyses will be used to determine the frequency of categories. Other qualitative responses (e.g., how can this training be improved) will undergo content analysis. </w:t>
      </w:r>
    </w:p>
    <w:p w:rsidR="00FF5FE6" w:rsidRPr="00223E5A" w:rsidP="005F6EA4" w14:paraId="382239ED" w14:textId="77777777">
      <w:pPr>
        <w:spacing w:line="276" w:lineRule="auto"/>
        <w:rPr>
          <w:rFonts w:ascii="Arial Nova" w:hAnsi="Arial Nova"/>
        </w:rPr>
      </w:pPr>
    </w:p>
    <w:p w:rsidR="00022645" w:rsidRPr="00174127" w:rsidP="00823609" w14:paraId="1BCFC161" w14:textId="77777777">
      <w:pPr>
        <w:spacing w:line="360" w:lineRule="auto"/>
        <w:rPr>
          <w:rFonts w:ascii="Arial Nova" w:eastAsia="MS Mincho" w:hAnsi="Arial Nova"/>
          <w:b/>
          <w:color w:val="F79646" w:themeColor="accent6"/>
        </w:rPr>
      </w:pPr>
      <w:bookmarkStart w:id="32" w:name="_Toc307224728"/>
      <w:bookmarkStart w:id="33" w:name="_Toc275433795"/>
    </w:p>
    <w:p w:rsidR="00823609" w:rsidRPr="00174127" w:rsidP="00823609" w14:paraId="0C3A72E5" w14:textId="77777777">
      <w:pPr>
        <w:spacing w:line="360" w:lineRule="auto"/>
        <w:rPr>
          <w:rFonts w:ascii="Arial Nova" w:eastAsia="MS Mincho" w:hAnsi="Arial Nova"/>
        </w:rPr>
      </w:pPr>
      <w:r w:rsidRPr="00174127">
        <w:rPr>
          <w:rFonts w:ascii="Arial Nova" w:eastAsia="MS Mincho" w:hAnsi="Arial Nova"/>
          <w:b/>
        </w:rPr>
        <w:t>Table A.16</w:t>
      </w:r>
      <w:r w:rsidRPr="00174127">
        <w:rPr>
          <w:rFonts w:ascii="Arial Nova" w:eastAsia="MS Mincho" w:hAnsi="Arial Nova"/>
        </w:rPr>
        <w:t>. Estimated Time Schedule for Project Activities</w:t>
      </w:r>
      <w:bookmarkEnd w:id="32"/>
      <w:bookmarkEnd w:id="33"/>
    </w:p>
    <w:tbl>
      <w:tblPr>
        <w:tblW w:w="9360" w:type="dxa"/>
        <w:tblInd w:w="86" w:type="dxa"/>
        <w:tblBorders>
          <w:top w:val="single" w:sz="12" w:space="0" w:color="auto"/>
          <w:bottom w:val="single" w:sz="12" w:space="0" w:color="auto"/>
        </w:tblBorders>
        <w:tblLayout w:type="fixed"/>
        <w:tblCellMar>
          <w:left w:w="115" w:type="dxa"/>
          <w:right w:w="115" w:type="dxa"/>
        </w:tblCellMar>
        <w:tblLook w:val="01E0"/>
      </w:tblPr>
      <w:tblGrid>
        <w:gridCol w:w="4954"/>
        <w:gridCol w:w="4406"/>
      </w:tblGrid>
      <w:tr w14:paraId="0366384F" w14:textId="77777777" w:rsidTr="0029646E">
        <w:tblPrEx>
          <w:tblW w:w="9360" w:type="dxa"/>
          <w:tblInd w:w="86" w:type="dxa"/>
          <w:tblBorders>
            <w:top w:val="single" w:sz="12" w:space="0" w:color="auto"/>
            <w:bottom w:val="single" w:sz="12" w:space="0" w:color="auto"/>
          </w:tblBorders>
          <w:tblLayout w:type="fixed"/>
          <w:tblCellMar>
            <w:left w:w="115" w:type="dxa"/>
            <w:right w:w="115" w:type="dxa"/>
          </w:tblCellMar>
          <w:tblLook w:val="01E0"/>
        </w:tblPrEx>
        <w:trPr>
          <w:cantSplit/>
        </w:trPr>
        <w:tc>
          <w:tcPr>
            <w:tcW w:w="4954" w:type="dxa"/>
            <w:tcBorders>
              <w:top w:val="single" w:sz="12" w:space="0" w:color="auto"/>
              <w:left w:val="nil"/>
              <w:bottom w:val="single" w:sz="6" w:space="0" w:color="auto"/>
              <w:right w:val="nil"/>
            </w:tcBorders>
            <w:vAlign w:val="bottom"/>
            <w:hideMark/>
          </w:tcPr>
          <w:p w:rsidR="00823609" w:rsidRPr="00223E5A" w:rsidP="004B4C91" w14:paraId="395667B3" w14:textId="77777777">
            <w:pPr>
              <w:spacing w:line="360" w:lineRule="auto"/>
              <w:rPr>
                <w:rFonts w:ascii="Arial Nova" w:eastAsia="MS Mincho" w:hAnsi="Arial Nova"/>
              </w:rPr>
            </w:pPr>
            <w:r w:rsidRPr="00223E5A">
              <w:rPr>
                <w:rFonts w:ascii="Arial Nova" w:eastAsia="MS Mincho" w:hAnsi="Arial Nova"/>
              </w:rPr>
              <w:t>Activity</w:t>
            </w:r>
          </w:p>
        </w:tc>
        <w:tc>
          <w:tcPr>
            <w:tcW w:w="4406" w:type="dxa"/>
            <w:tcBorders>
              <w:top w:val="single" w:sz="12" w:space="0" w:color="auto"/>
              <w:left w:val="nil"/>
              <w:bottom w:val="single" w:sz="6" w:space="0" w:color="auto"/>
              <w:right w:val="nil"/>
            </w:tcBorders>
            <w:vAlign w:val="bottom"/>
            <w:hideMark/>
          </w:tcPr>
          <w:p w:rsidR="00823609" w:rsidRPr="00223E5A" w:rsidP="004B4C91" w14:paraId="42D513D2" w14:textId="77777777">
            <w:pPr>
              <w:spacing w:line="360" w:lineRule="auto"/>
              <w:rPr>
                <w:rFonts w:ascii="Arial Nova" w:eastAsia="MS Mincho" w:hAnsi="Arial Nova"/>
              </w:rPr>
            </w:pPr>
            <w:r w:rsidRPr="00223E5A">
              <w:rPr>
                <w:rFonts w:ascii="Arial Nova" w:eastAsia="MS Mincho" w:hAnsi="Arial Nova"/>
              </w:rPr>
              <w:t>Timeline</w:t>
            </w:r>
          </w:p>
        </w:tc>
      </w:tr>
      <w:tr w14:paraId="41B9AF04" w14:textId="77777777" w:rsidTr="0029646E">
        <w:tblPrEx>
          <w:tblW w:w="9360" w:type="dxa"/>
          <w:tblInd w:w="86" w:type="dxa"/>
          <w:tblLayout w:type="fixed"/>
          <w:tblCellMar>
            <w:left w:w="115" w:type="dxa"/>
            <w:right w:w="115" w:type="dxa"/>
          </w:tblCellMar>
          <w:tblLook w:val="01E0"/>
        </w:tblPrEx>
        <w:trPr>
          <w:cantSplit/>
          <w:trHeight w:val="393"/>
        </w:trPr>
        <w:tc>
          <w:tcPr>
            <w:tcW w:w="4954" w:type="dxa"/>
            <w:tcBorders>
              <w:top w:val="single" w:sz="12" w:space="0" w:color="auto"/>
              <w:left w:val="nil"/>
              <w:bottom w:val="single" w:sz="6" w:space="0" w:color="auto"/>
              <w:right w:val="nil"/>
            </w:tcBorders>
            <w:vAlign w:val="center"/>
          </w:tcPr>
          <w:p w:rsidR="0029646E" w:rsidRPr="00223E5A" w:rsidP="0029646E" w14:paraId="038ADA16" w14:textId="615A4BBE">
            <w:pPr>
              <w:rPr>
                <w:rFonts w:ascii="Arial Nova" w:hAnsi="Arial Nova"/>
              </w:rPr>
            </w:pPr>
            <w:r w:rsidRPr="00223E5A">
              <w:rPr>
                <w:rFonts w:ascii="Arial Nova" w:hAnsi="Arial Nova"/>
              </w:rPr>
              <w:t xml:space="preserve">Collect, enter, code, quality control, and analyze data </w:t>
            </w:r>
          </w:p>
        </w:tc>
        <w:tc>
          <w:tcPr>
            <w:tcW w:w="4406" w:type="dxa"/>
            <w:tcBorders>
              <w:top w:val="single" w:sz="12" w:space="0" w:color="auto"/>
              <w:left w:val="nil"/>
              <w:bottom w:val="single" w:sz="6" w:space="0" w:color="auto"/>
              <w:right w:val="nil"/>
            </w:tcBorders>
          </w:tcPr>
          <w:p w:rsidR="0029646E" w:rsidRPr="00223E5A" w:rsidP="0029646E" w14:paraId="00DD37FE" w14:textId="5170FAC2">
            <w:pPr>
              <w:rPr>
                <w:rFonts w:ascii="Arial Nova" w:hAnsi="Arial Nova"/>
              </w:rPr>
            </w:pPr>
            <w:r w:rsidRPr="00223E5A">
              <w:rPr>
                <w:rFonts w:ascii="Arial Nova" w:hAnsi="Arial Nova"/>
              </w:rPr>
              <w:t xml:space="preserve">Within 36 months after OMB approval </w:t>
            </w:r>
          </w:p>
        </w:tc>
      </w:tr>
      <w:tr w14:paraId="4131F6FC" w14:textId="77777777" w:rsidTr="0029646E">
        <w:tblPrEx>
          <w:tblW w:w="9360" w:type="dxa"/>
          <w:tblInd w:w="86" w:type="dxa"/>
          <w:tblLayout w:type="fixed"/>
          <w:tblCellMar>
            <w:left w:w="115" w:type="dxa"/>
            <w:right w:w="115" w:type="dxa"/>
          </w:tblCellMar>
          <w:tblLook w:val="01E0"/>
        </w:tblPrEx>
        <w:trPr>
          <w:cantSplit/>
        </w:trPr>
        <w:tc>
          <w:tcPr>
            <w:tcW w:w="4954" w:type="dxa"/>
            <w:tcBorders>
              <w:top w:val="single" w:sz="6" w:space="0" w:color="auto"/>
              <w:left w:val="nil"/>
              <w:bottom w:val="single" w:sz="6" w:space="0" w:color="auto"/>
              <w:right w:val="nil"/>
            </w:tcBorders>
            <w:vAlign w:val="center"/>
          </w:tcPr>
          <w:p w:rsidR="0029646E" w:rsidRPr="00223E5A" w:rsidP="0029646E" w14:paraId="0B7BF896" w14:textId="29C31B68">
            <w:pPr>
              <w:rPr>
                <w:rFonts w:ascii="Arial Nova" w:hAnsi="Arial Nova"/>
              </w:rPr>
            </w:pPr>
            <w:r w:rsidRPr="00223E5A">
              <w:rPr>
                <w:rFonts w:ascii="Arial Nova" w:hAnsi="Arial Nova"/>
              </w:rPr>
              <w:t xml:space="preserve">Prepare report </w:t>
            </w:r>
          </w:p>
        </w:tc>
        <w:tc>
          <w:tcPr>
            <w:tcW w:w="4406" w:type="dxa"/>
            <w:tcBorders>
              <w:top w:val="single" w:sz="6" w:space="0" w:color="auto"/>
              <w:left w:val="nil"/>
              <w:bottom w:val="single" w:sz="6" w:space="0" w:color="auto"/>
              <w:right w:val="nil"/>
            </w:tcBorders>
            <w:hideMark/>
          </w:tcPr>
          <w:p w:rsidR="0029646E" w:rsidRPr="00223E5A" w:rsidP="0029646E" w14:paraId="2DFC400D" w14:textId="1B62B095">
            <w:pPr>
              <w:rPr>
                <w:rFonts w:ascii="Arial Nova" w:hAnsi="Arial Nova"/>
              </w:rPr>
            </w:pPr>
            <w:r w:rsidRPr="00223E5A">
              <w:rPr>
                <w:rFonts w:ascii="Arial Nova" w:hAnsi="Arial Nova"/>
              </w:rPr>
              <w:t>12 months after OMB approval to 36 months</w:t>
            </w:r>
          </w:p>
        </w:tc>
      </w:tr>
      <w:tr w14:paraId="1ACDC005" w14:textId="77777777" w:rsidTr="0029646E">
        <w:tblPrEx>
          <w:tblW w:w="9360" w:type="dxa"/>
          <w:tblInd w:w="86" w:type="dxa"/>
          <w:tblLayout w:type="fixed"/>
          <w:tblCellMar>
            <w:left w:w="115" w:type="dxa"/>
            <w:right w:w="115" w:type="dxa"/>
          </w:tblCellMar>
          <w:tblLook w:val="01E0"/>
        </w:tblPrEx>
        <w:trPr>
          <w:cantSplit/>
          <w:trHeight w:val="300"/>
        </w:trPr>
        <w:tc>
          <w:tcPr>
            <w:tcW w:w="4954" w:type="dxa"/>
            <w:tcBorders>
              <w:top w:val="single" w:sz="6" w:space="0" w:color="auto"/>
              <w:left w:val="nil"/>
              <w:bottom w:val="single" w:sz="4" w:space="0" w:color="auto"/>
              <w:right w:val="nil"/>
            </w:tcBorders>
            <w:vAlign w:val="center"/>
          </w:tcPr>
          <w:p w:rsidR="0029646E" w:rsidRPr="00223E5A" w:rsidP="0029646E" w14:paraId="34DCE73B" w14:textId="25577F5A">
            <w:pPr>
              <w:rPr>
                <w:rFonts w:ascii="Arial Nova" w:hAnsi="Arial Nova"/>
              </w:rPr>
            </w:pPr>
            <w:r w:rsidRPr="00223E5A">
              <w:rPr>
                <w:rFonts w:ascii="Arial Nova" w:hAnsi="Arial Nova"/>
              </w:rPr>
              <w:t>Disseminate results/reports</w:t>
            </w:r>
          </w:p>
        </w:tc>
        <w:tc>
          <w:tcPr>
            <w:tcW w:w="4406" w:type="dxa"/>
            <w:tcBorders>
              <w:top w:val="single" w:sz="6" w:space="0" w:color="auto"/>
              <w:left w:val="nil"/>
              <w:bottom w:val="single" w:sz="4" w:space="0" w:color="auto"/>
              <w:right w:val="nil"/>
            </w:tcBorders>
          </w:tcPr>
          <w:p w:rsidR="0029646E" w:rsidRPr="00223E5A" w:rsidP="0029646E" w14:paraId="199F996E" w14:textId="77777777">
            <w:pPr>
              <w:rPr>
                <w:rFonts w:ascii="Arial Nova" w:hAnsi="Arial Nova"/>
              </w:rPr>
            </w:pPr>
            <w:r w:rsidRPr="00223E5A">
              <w:rPr>
                <w:rFonts w:ascii="Arial Nova" w:hAnsi="Arial Nova"/>
              </w:rPr>
              <w:t xml:space="preserve">5-8 months after OMB approval </w:t>
            </w:r>
          </w:p>
        </w:tc>
      </w:tr>
    </w:tbl>
    <w:p w:rsidR="00E702B3" w:rsidRPr="00174127" w:rsidP="002C0D73" w14:paraId="5629A969" w14:textId="77777777">
      <w:pPr>
        <w:spacing w:line="360" w:lineRule="auto"/>
        <w:rPr>
          <w:rFonts w:ascii="Arial Nova" w:eastAsia="MS Mincho" w:hAnsi="Arial Nova"/>
          <w:color w:val="F79646" w:themeColor="accent6"/>
        </w:rPr>
      </w:pPr>
    </w:p>
    <w:p w:rsidR="0029646E" w:rsidRPr="00EA5817" w:rsidP="00EA5817" w14:paraId="6EA0E01A" w14:textId="2544E78A">
      <w:pPr>
        <w:pStyle w:val="Heading2"/>
        <w:spacing w:after="240" w:line="276" w:lineRule="auto"/>
        <w:rPr>
          <w:rFonts w:ascii="Arial Nova" w:hAnsi="Arial Nova" w:cstheme="minorHAnsi"/>
          <w:i/>
          <w:color w:val="auto"/>
          <w:sz w:val="24"/>
          <w:szCs w:val="24"/>
        </w:rPr>
      </w:pPr>
      <w:bookmarkStart w:id="34" w:name="_Toc36703003"/>
      <w:r w:rsidRPr="00174127">
        <w:rPr>
          <w:rFonts w:ascii="Arial Nova" w:hAnsi="Arial Nova" w:cstheme="minorHAnsi"/>
          <w:i/>
          <w:color w:val="auto"/>
          <w:sz w:val="24"/>
          <w:szCs w:val="24"/>
        </w:rPr>
        <w:t>A17. Reason(s) Display of OMB Expiration Date is Inappropriat</w:t>
      </w:r>
      <w:bookmarkEnd w:id="34"/>
      <w:r w:rsidR="00EA5817">
        <w:rPr>
          <w:rFonts w:ascii="Arial Nova" w:hAnsi="Arial Nova" w:cstheme="minorHAnsi"/>
          <w:i/>
          <w:color w:val="auto"/>
          <w:sz w:val="24"/>
          <w:szCs w:val="24"/>
        </w:rPr>
        <w:t>e</w:t>
      </w:r>
    </w:p>
    <w:p w:rsidR="00E702B3" w:rsidRPr="00223E5A" w:rsidP="004B7802" w14:paraId="6604E96F" w14:textId="38F8CAB6">
      <w:pPr>
        <w:spacing w:after="120"/>
        <w:rPr>
          <w:rStyle w:val="CommentReference"/>
          <w:rFonts w:ascii="Arial Nova" w:hAnsi="Arial Nova"/>
          <w:sz w:val="22"/>
          <w:szCs w:val="22"/>
        </w:rPr>
      </w:pPr>
      <w:r w:rsidRPr="00223E5A">
        <w:rPr>
          <w:rFonts w:ascii="Arial Nova" w:hAnsi="Arial Nova"/>
        </w:rPr>
        <w:t>The display of the OMB expiration date is appropriate.</w:t>
      </w:r>
      <w:r w:rsidRPr="00223E5A">
        <w:rPr>
          <w:rStyle w:val="CommentReference"/>
          <w:rFonts w:ascii="Arial Nova" w:hAnsi="Arial Nova"/>
          <w:sz w:val="22"/>
          <w:szCs w:val="22"/>
        </w:rPr>
        <w:t xml:space="preserve"> </w:t>
      </w:r>
    </w:p>
    <w:p w:rsidR="00EA5817" w:rsidRPr="00223E5A" w:rsidP="004B7802" w14:paraId="3B85863A" w14:textId="77777777">
      <w:pPr>
        <w:spacing w:after="120"/>
        <w:rPr>
          <w:rFonts w:ascii="Arial Nova" w:hAnsi="Arial Nova"/>
        </w:rPr>
      </w:pPr>
    </w:p>
    <w:p w:rsidR="00823609" w:rsidRPr="00223E5A" w:rsidP="00823609" w14:paraId="657C46ED" w14:textId="77777777">
      <w:pPr>
        <w:pStyle w:val="Heading2"/>
        <w:spacing w:line="276" w:lineRule="auto"/>
        <w:rPr>
          <w:rFonts w:ascii="Arial Nova" w:hAnsi="Arial Nova" w:cstheme="minorHAnsi"/>
          <w:i/>
          <w:color w:val="auto"/>
          <w:sz w:val="24"/>
          <w:szCs w:val="24"/>
        </w:rPr>
      </w:pPr>
      <w:bookmarkStart w:id="35" w:name="_Toc36703004"/>
      <w:r w:rsidRPr="00223E5A">
        <w:rPr>
          <w:rFonts w:ascii="Arial Nova" w:hAnsi="Arial Nova" w:cstheme="minorHAnsi"/>
          <w:i/>
          <w:color w:val="auto"/>
          <w:sz w:val="24"/>
          <w:szCs w:val="24"/>
        </w:rPr>
        <w:t>A18. Exceptions to Certification for Paperwork Reduction Act Submission</w:t>
      </w:r>
      <w:bookmarkEnd w:id="35"/>
    </w:p>
    <w:p w:rsidR="0017104A" w:rsidRPr="00223E5A" w:rsidP="0029646E" w14:paraId="25C7A3A0" w14:textId="7B39800B">
      <w:pPr>
        <w:spacing w:before="240" w:line="360" w:lineRule="auto"/>
        <w:rPr>
          <w:rFonts w:ascii="Arial Nova" w:hAnsi="Arial Nova"/>
        </w:rPr>
      </w:pPr>
      <w:r w:rsidRPr="00223E5A">
        <w:rPr>
          <w:rFonts w:ascii="Arial Nova" w:hAnsi="Arial Nova"/>
        </w:rPr>
        <w:t>There are no exceptions to the certification</w:t>
      </w:r>
      <w:bookmarkEnd w:id="7"/>
      <w:bookmarkEnd w:id="8"/>
      <w:bookmarkEnd w:id="9"/>
    </w:p>
    <w:p w:rsidR="00174127" w:rsidP="004C36E8" w14:paraId="76DD0365" w14:textId="77777777">
      <w:pPr>
        <w:spacing w:line="276" w:lineRule="auto"/>
        <w:rPr>
          <w:rFonts w:ascii="Arial Nova" w:hAnsi="Arial Nova" w:eastAsiaTheme="minorHAnsi" w:cstheme="minorBidi"/>
          <w:b/>
          <w:i/>
          <w:color w:val="F79646" w:themeColor="accent6"/>
        </w:rPr>
      </w:pPr>
    </w:p>
    <w:p w:rsidR="00174127" w:rsidP="00F2743F" w14:paraId="17D82478" w14:textId="77777777">
      <w:pPr>
        <w:spacing w:line="360" w:lineRule="auto"/>
        <w:rPr>
          <w:rFonts w:ascii="Arial Nova" w:hAnsi="Arial Nova" w:eastAsiaTheme="minorHAnsi" w:cstheme="minorBidi"/>
          <w:b/>
          <w:i/>
          <w:color w:val="F79646" w:themeColor="accent6"/>
        </w:rPr>
      </w:pPr>
    </w:p>
    <w:bookmarkStart w:id="36" w:name="_Hlk523104886"/>
    <w:p w:rsidR="007B70F8" w:rsidP="007B70F8" w14:paraId="486B5002" w14:textId="77777777">
      <w:pPr>
        <w:pStyle w:val="Heading1"/>
        <w:spacing w:before="0" w:line="276" w:lineRule="auto"/>
        <w:rPr>
          <w:rFonts w:ascii="Arial Nova" w:hAnsi="Arial Nova" w:cs="Times New Roman"/>
          <w:color w:val="000000" w:themeColor="text1"/>
          <w:sz w:val="24"/>
          <w:szCs w:val="24"/>
        </w:rPr>
      </w:pPr>
      <w:r w:rsidRPr="00F06B97">
        <w:rPr>
          <w:rFonts w:ascii="Arial Nova" w:hAnsi="Arial Nova" w:cs="Times New Roman"/>
          <w:color w:val="auto"/>
          <w:sz w:val="24"/>
          <w:szCs w:val="24"/>
        </w:rPr>
        <w:fldChar w:fldCharType="begin"/>
      </w:r>
      <w:r w:rsidRPr="00F06B97">
        <w:rPr>
          <w:rFonts w:ascii="Arial Nova" w:hAnsi="Arial Nova" w:cs="Times New Roman"/>
          <w:color w:val="auto"/>
          <w:sz w:val="24"/>
          <w:szCs w:val="24"/>
        </w:rPr>
        <w:instrText xml:space="preserve"> HYPERLINK  \l "_REFERENCES_(Tool_Tip:" \o "Tool Tip: Use End Notes" </w:instrText>
      </w:r>
      <w:r w:rsidRPr="00F06B97">
        <w:rPr>
          <w:rFonts w:ascii="Arial Nova" w:hAnsi="Arial Nova" w:cs="Times New Roman"/>
          <w:color w:val="auto"/>
          <w:sz w:val="24"/>
          <w:szCs w:val="24"/>
        </w:rPr>
        <w:fldChar w:fldCharType="separate"/>
      </w:r>
      <w:bookmarkStart w:id="37" w:name="_Toc36703005"/>
      <w:r w:rsidRPr="00F06B97">
        <w:rPr>
          <w:rStyle w:val="Hyperlink"/>
          <w:rFonts w:ascii="Arial Nova" w:hAnsi="Arial Nova" w:cs="Times New Roman"/>
          <w:color w:val="auto"/>
          <w:sz w:val="24"/>
          <w:szCs w:val="24"/>
          <w:u w:val="none"/>
        </w:rPr>
        <w:t>REFERENCES</w:t>
      </w:r>
      <w:bookmarkEnd w:id="37"/>
      <w:r w:rsidRPr="00F06B97">
        <w:rPr>
          <w:rFonts w:ascii="Arial Nova" w:hAnsi="Arial Nova" w:cs="Times New Roman"/>
          <w:color w:val="auto"/>
          <w:sz w:val="24"/>
          <w:szCs w:val="24"/>
        </w:rPr>
        <w:fldChar w:fldCharType="end"/>
      </w:r>
      <w:r w:rsidRPr="00F06B97">
        <w:rPr>
          <w:rFonts w:ascii="Arial Nova" w:hAnsi="Arial Nova" w:cs="Times New Roman"/>
          <w:color w:val="auto"/>
          <w:sz w:val="24"/>
          <w:szCs w:val="24"/>
        </w:rPr>
        <w:t xml:space="preserve"> </w:t>
      </w:r>
      <w:r w:rsidRPr="00F06B97">
        <w:rPr>
          <w:rFonts w:ascii="Arial Nova" w:hAnsi="Arial Nova" w:cs="Times New Roman"/>
          <w:color w:val="000000" w:themeColor="text1"/>
          <w:sz w:val="24"/>
          <w:szCs w:val="24"/>
        </w:rPr>
        <w:t xml:space="preserve"> </w:t>
      </w:r>
    </w:p>
    <w:bookmarkEnd w:id="36"/>
    <w:p w:rsidR="00174127" w:rsidRPr="00174127" w:rsidP="00F2743F" w14:paraId="6D6514F8" w14:textId="77777777">
      <w:pPr>
        <w:spacing w:line="360" w:lineRule="auto"/>
        <w:rPr>
          <w:rFonts w:ascii="Arial Nova" w:hAnsi="Arial Nova" w:eastAsiaTheme="minorHAnsi" w:cstheme="minorBidi"/>
          <w:color w:val="F79646" w:themeColor="accent6"/>
        </w:rPr>
      </w:pPr>
    </w:p>
    <w:sectPr w:rsidSect="006C6884">
      <w:footerReference w:type="default" r:id="rId14"/>
      <w:pgSz w:w="12240" w:h="15840"/>
      <w:pgMar w:top="900" w:right="117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5194885"/>
      <w:docPartObj>
        <w:docPartGallery w:val="Page Numbers (Bottom of Page)"/>
        <w:docPartUnique/>
      </w:docPartObj>
    </w:sdtPr>
    <w:sdtEndPr>
      <w:rPr>
        <w:noProof/>
      </w:rPr>
    </w:sdtEndPr>
    <w:sdtContent>
      <w:p w:rsidR="00634F7E" w:rsidRPr="00880185" w:rsidP="007A47A5" w14:paraId="593AD233" w14:textId="77777777">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rsidR="00634F7E" w:rsidRPr="0015668B" w:rsidP="00CB20E7" w14:paraId="409ED029" w14:textId="77777777">
    <w:pPr>
      <w:rPr>
        <w:b/>
        <w:sz w:val="28"/>
        <w:szCs w:val="28"/>
      </w:rPr>
    </w:pPr>
  </w:p>
  <w:p w:rsidR="00634F7E" w:rsidP="00880185" w14:paraId="27A4825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6780294"/>
      <w:docPartObj>
        <w:docPartGallery w:val="Page Numbers (Bottom of Page)"/>
        <w:docPartUnique/>
      </w:docPartObj>
    </w:sdtPr>
    <w:sdtEndPr>
      <w:rPr>
        <w:noProof/>
      </w:rPr>
    </w:sdtEndPr>
    <w:sdtContent>
      <w:p w:rsidR="00634F7E" w:rsidRPr="00880185" w:rsidP="007A47A5" w14:paraId="7D193ECD" w14:textId="4D1E1597">
        <w:pPr>
          <w:pStyle w:val="Footer"/>
          <w:jc w:val="right"/>
          <w:rPr>
            <w:sz w:val="16"/>
            <w:szCs w:val="16"/>
          </w:rPr>
        </w:pPr>
        <w:r>
          <w:fldChar w:fldCharType="begin"/>
        </w:r>
        <w:r>
          <w:instrText xml:space="preserve"> PAGE   \* MERGEFORMAT </w:instrText>
        </w:r>
        <w:r>
          <w:fldChar w:fldCharType="separate"/>
        </w:r>
        <w:r>
          <w:rPr>
            <w:noProof/>
          </w:rPr>
          <w:t>14</w:t>
        </w:r>
        <w:r>
          <w:rPr>
            <w:noProof/>
          </w:rPr>
          <w:fldChar w:fldCharType="end"/>
        </w:r>
      </w:p>
    </w:sdtContent>
  </w:sdt>
  <w:bookmarkStart w:id="38" w:name="_Hlk114146675"/>
  <w:p w:rsidR="00634F7E" w:rsidRPr="000E451B" w:rsidP="00F421B3" w14:paraId="4C8B3529" w14:textId="0B9C787C">
    <w:pPr>
      <w:spacing w:line="276" w:lineRule="auto"/>
      <w:rPr>
        <w:rFonts w:ascii="Arial Nova" w:hAnsi="Arial Nova"/>
        <w:b/>
        <w:i/>
        <w:color w:val="C75000"/>
        <w:sz w:val="22"/>
      </w:rPr>
    </w:pPr>
    <w:sdt>
      <w:sdtPr>
        <w:rPr>
          <w:rStyle w:val="Heading2Char"/>
          <w:rFonts w:ascii="Arial Nova" w:hAnsi="Arial Nova" w:cs="Times New Roman"/>
          <w:color w:val="auto"/>
          <w:sz w:val="18"/>
          <w:szCs w:val="24"/>
        </w:rPr>
        <w:alias w:val="Title"/>
        <w:id w:val="866721770"/>
        <w:placeholder>
          <w:docPart w:val="836FBAA8A2DB48A5B2435A85BC7EFFAC"/>
        </w:placeholder>
        <w:dataBinding w:prefixMappings="xmlns:ns0='http://purl.org/dc/elements/1.1/' xmlns:ns1='http://schemas.openxmlformats.org/package/2006/metadata/core-properties' " w:xpath="/ns1:coreProperties[1]/ns0:title[1]" w:storeItemID="{6C3C8BC8-F283-45AE-878A-BAB7291924A1}"/>
        <w:text/>
      </w:sdtPr>
      <w:sdtEndPr>
        <w:rPr>
          <w:rStyle w:val="Heading2Char"/>
          <w:color w:val="4F81BD" w:themeColor="accent1"/>
        </w:rPr>
      </w:sdtEndPr>
      <w:sdtContent>
        <w:r w:rsidR="00AD5861">
          <w:rPr>
            <w:rStyle w:val="Heading2Char"/>
            <w:rFonts w:ascii="Arial Nova" w:hAnsi="Arial Nova" w:cs="Times New Roman"/>
            <w:color w:val="auto"/>
            <w:sz w:val="18"/>
            <w:szCs w:val="24"/>
          </w:rPr>
          <w:t>National Network of Sexually Transmitted Disease Clinical Prevention Training Centers (NNPTC)</w:t>
        </w:r>
      </w:sdtContent>
    </w:sdt>
    <w:bookmarkEnd w:id="38"/>
    <w:r w:rsidR="00027618">
      <w:rPr>
        <w:rStyle w:val="Heading2Char"/>
        <w:rFonts w:ascii="Arial Nova" w:hAnsi="Arial Nova" w:cs="Times New Roman"/>
        <w:color w:val="auto"/>
        <w:sz w:val="18"/>
        <w:szCs w:val="24"/>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7E" w:rsidRPr="00CB20E7" w:rsidP="00CB20E7" w14:paraId="5B4D0AD4" w14:textId="77777777">
    <w:pPr>
      <w:pStyle w:val="Header"/>
      <w:ind w:left="-810"/>
      <w:rPr>
        <w:color w:val="595959" w:themeColor="text1" w:themeTint="A6"/>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7E" w:rsidP="00A246E3" w14:paraId="0A4B2A87" w14:textId="77777777">
    <w:pPr>
      <w:pStyle w:val="Header"/>
      <w:jc w:val="center"/>
    </w:pPr>
  </w:p>
  <w:p w:rsidR="00634F7E" w14:paraId="00AB33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EA1825"/>
    <w:multiLevelType w:val="hybridMultilevel"/>
    <w:tmpl w:val="E376A73C"/>
    <w:lvl w:ilvl="0">
      <w:start w:val="1"/>
      <w:numFmt w:val="bullet"/>
      <w:lvlText w:val=""/>
      <w:lvlJc w:val="left"/>
      <w:pPr>
        <w:ind w:left="806" w:hanging="360"/>
      </w:pPr>
      <w:rPr>
        <w:rFonts w:ascii="Symbol" w:hAnsi="Symbol" w:hint="default"/>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1">
    <w:nsid w:val="09C61A0B"/>
    <w:multiLevelType w:val="hybridMultilevel"/>
    <w:tmpl w:val="E724E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83781D"/>
    <w:multiLevelType w:val="hybridMultilevel"/>
    <w:tmpl w:val="947A97AC"/>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
    <w:nsid w:val="51E80AAA"/>
    <w:multiLevelType w:val="hybridMultilevel"/>
    <w:tmpl w:val="7CBE16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6D5361F7"/>
    <w:multiLevelType w:val="hybridMultilevel"/>
    <w:tmpl w:val="27AC7E36"/>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6">
    <w:nsid w:val="6EEA5DDC"/>
    <w:multiLevelType w:val="hybridMultilevel"/>
    <w:tmpl w:val="2CB2F9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325665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0469467">
    <w:abstractNumId w:val="1"/>
  </w:num>
  <w:num w:numId="3" w16cid:durableId="31733905">
    <w:abstractNumId w:val="3"/>
  </w:num>
  <w:num w:numId="4" w16cid:durableId="761029548">
    <w:abstractNumId w:val="6"/>
  </w:num>
  <w:num w:numId="5" w16cid:durableId="1362173213">
    <w:abstractNumId w:val="4"/>
  </w:num>
  <w:num w:numId="6" w16cid:durableId="2125884008">
    <w:abstractNumId w:val="0"/>
  </w:num>
  <w:num w:numId="7" w16cid:durableId="1387534879">
    <w:abstractNumId w:val="5"/>
  </w:num>
  <w:num w:numId="8" w16cid:durableId="63105442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25C3"/>
    <w:rsid w:val="000033EF"/>
    <w:rsid w:val="000037D0"/>
    <w:rsid w:val="00004259"/>
    <w:rsid w:val="0000512E"/>
    <w:rsid w:val="00005189"/>
    <w:rsid w:val="000062B0"/>
    <w:rsid w:val="0000793A"/>
    <w:rsid w:val="0001151F"/>
    <w:rsid w:val="00013103"/>
    <w:rsid w:val="00017FAF"/>
    <w:rsid w:val="00022645"/>
    <w:rsid w:val="00022E71"/>
    <w:rsid w:val="000237A2"/>
    <w:rsid w:val="00024725"/>
    <w:rsid w:val="00027618"/>
    <w:rsid w:val="000309E3"/>
    <w:rsid w:val="000319C8"/>
    <w:rsid w:val="000324D6"/>
    <w:rsid w:val="00033648"/>
    <w:rsid w:val="00033796"/>
    <w:rsid w:val="00035D4B"/>
    <w:rsid w:val="00040A1B"/>
    <w:rsid w:val="00040B8C"/>
    <w:rsid w:val="000433C4"/>
    <w:rsid w:val="00044E54"/>
    <w:rsid w:val="00045A69"/>
    <w:rsid w:val="00046505"/>
    <w:rsid w:val="000501C2"/>
    <w:rsid w:val="00050767"/>
    <w:rsid w:val="000512F8"/>
    <w:rsid w:val="00051B8F"/>
    <w:rsid w:val="000522B5"/>
    <w:rsid w:val="000530D1"/>
    <w:rsid w:val="00053E32"/>
    <w:rsid w:val="00055D5E"/>
    <w:rsid w:val="000579E1"/>
    <w:rsid w:val="00064195"/>
    <w:rsid w:val="0006499B"/>
    <w:rsid w:val="00065A2F"/>
    <w:rsid w:val="000664E6"/>
    <w:rsid w:val="00066C84"/>
    <w:rsid w:val="00067800"/>
    <w:rsid w:val="00070107"/>
    <w:rsid w:val="000725F2"/>
    <w:rsid w:val="00072862"/>
    <w:rsid w:val="0007590D"/>
    <w:rsid w:val="0007619B"/>
    <w:rsid w:val="000766C9"/>
    <w:rsid w:val="00076E31"/>
    <w:rsid w:val="0007746B"/>
    <w:rsid w:val="00080332"/>
    <w:rsid w:val="0008145F"/>
    <w:rsid w:val="00081AE9"/>
    <w:rsid w:val="00081EEB"/>
    <w:rsid w:val="00082B16"/>
    <w:rsid w:val="00083542"/>
    <w:rsid w:val="000854EA"/>
    <w:rsid w:val="000909FC"/>
    <w:rsid w:val="00092684"/>
    <w:rsid w:val="00094119"/>
    <w:rsid w:val="000941C5"/>
    <w:rsid w:val="000946D5"/>
    <w:rsid w:val="00094DB5"/>
    <w:rsid w:val="0009527A"/>
    <w:rsid w:val="000967B7"/>
    <w:rsid w:val="00096C70"/>
    <w:rsid w:val="000A08FD"/>
    <w:rsid w:val="000A3F81"/>
    <w:rsid w:val="000A65C9"/>
    <w:rsid w:val="000A69F7"/>
    <w:rsid w:val="000A6B50"/>
    <w:rsid w:val="000B0295"/>
    <w:rsid w:val="000B0852"/>
    <w:rsid w:val="000B094E"/>
    <w:rsid w:val="000B09C8"/>
    <w:rsid w:val="000B2641"/>
    <w:rsid w:val="000B3851"/>
    <w:rsid w:val="000B3999"/>
    <w:rsid w:val="000B58C3"/>
    <w:rsid w:val="000B70DD"/>
    <w:rsid w:val="000C132A"/>
    <w:rsid w:val="000C1F14"/>
    <w:rsid w:val="000C285F"/>
    <w:rsid w:val="000C51C2"/>
    <w:rsid w:val="000C5919"/>
    <w:rsid w:val="000C619C"/>
    <w:rsid w:val="000C6D0F"/>
    <w:rsid w:val="000C7912"/>
    <w:rsid w:val="000D11BC"/>
    <w:rsid w:val="000D1673"/>
    <w:rsid w:val="000D194D"/>
    <w:rsid w:val="000D2195"/>
    <w:rsid w:val="000D5F4D"/>
    <w:rsid w:val="000D6AAF"/>
    <w:rsid w:val="000D7EF9"/>
    <w:rsid w:val="000E2E84"/>
    <w:rsid w:val="000E451B"/>
    <w:rsid w:val="000E526C"/>
    <w:rsid w:val="000E5540"/>
    <w:rsid w:val="000E576B"/>
    <w:rsid w:val="000E6748"/>
    <w:rsid w:val="000E7395"/>
    <w:rsid w:val="000F0603"/>
    <w:rsid w:val="000F06E9"/>
    <w:rsid w:val="000F0DCE"/>
    <w:rsid w:val="000F1078"/>
    <w:rsid w:val="000F1F30"/>
    <w:rsid w:val="000F244F"/>
    <w:rsid w:val="000F2885"/>
    <w:rsid w:val="000F2DB9"/>
    <w:rsid w:val="000F3623"/>
    <w:rsid w:val="000F418C"/>
    <w:rsid w:val="000F4F1C"/>
    <w:rsid w:val="000F7EEF"/>
    <w:rsid w:val="0010150C"/>
    <w:rsid w:val="00105229"/>
    <w:rsid w:val="001107D3"/>
    <w:rsid w:val="0011180A"/>
    <w:rsid w:val="00112FD5"/>
    <w:rsid w:val="00114387"/>
    <w:rsid w:val="001148F6"/>
    <w:rsid w:val="001148FC"/>
    <w:rsid w:val="00114FD4"/>
    <w:rsid w:val="001153F8"/>
    <w:rsid w:val="0011553A"/>
    <w:rsid w:val="00115816"/>
    <w:rsid w:val="00115E34"/>
    <w:rsid w:val="00115FCE"/>
    <w:rsid w:val="00117560"/>
    <w:rsid w:val="00121138"/>
    <w:rsid w:val="00121838"/>
    <w:rsid w:val="00121CC6"/>
    <w:rsid w:val="00122E6C"/>
    <w:rsid w:val="001242B8"/>
    <w:rsid w:val="00125761"/>
    <w:rsid w:val="00126574"/>
    <w:rsid w:val="00130C39"/>
    <w:rsid w:val="001313E9"/>
    <w:rsid w:val="00132652"/>
    <w:rsid w:val="0013354D"/>
    <w:rsid w:val="00134607"/>
    <w:rsid w:val="001352C9"/>
    <w:rsid w:val="00136849"/>
    <w:rsid w:val="0014099F"/>
    <w:rsid w:val="00140C6E"/>
    <w:rsid w:val="001425F9"/>
    <w:rsid w:val="00143AB2"/>
    <w:rsid w:val="00144DE3"/>
    <w:rsid w:val="001470A0"/>
    <w:rsid w:val="00147EB9"/>
    <w:rsid w:val="00147F1A"/>
    <w:rsid w:val="00150710"/>
    <w:rsid w:val="00151981"/>
    <w:rsid w:val="001531DE"/>
    <w:rsid w:val="00153475"/>
    <w:rsid w:val="001538D4"/>
    <w:rsid w:val="0015439F"/>
    <w:rsid w:val="00155038"/>
    <w:rsid w:val="0015668B"/>
    <w:rsid w:val="0015783D"/>
    <w:rsid w:val="001616EB"/>
    <w:rsid w:val="00161974"/>
    <w:rsid w:val="00162473"/>
    <w:rsid w:val="00164C6F"/>
    <w:rsid w:val="001657F2"/>
    <w:rsid w:val="00165ECD"/>
    <w:rsid w:val="001671C5"/>
    <w:rsid w:val="001673E8"/>
    <w:rsid w:val="00170E23"/>
    <w:rsid w:val="0017104A"/>
    <w:rsid w:val="001724E5"/>
    <w:rsid w:val="00173254"/>
    <w:rsid w:val="001738AE"/>
    <w:rsid w:val="00174127"/>
    <w:rsid w:val="001746B6"/>
    <w:rsid w:val="00175229"/>
    <w:rsid w:val="00175487"/>
    <w:rsid w:val="00176F65"/>
    <w:rsid w:val="00177623"/>
    <w:rsid w:val="00180BEC"/>
    <w:rsid w:val="00180FCF"/>
    <w:rsid w:val="0018105A"/>
    <w:rsid w:val="001813F6"/>
    <w:rsid w:val="00182BDA"/>
    <w:rsid w:val="00182DF6"/>
    <w:rsid w:val="00185854"/>
    <w:rsid w:val="001878A2"/>
    <w:rsid w:val="001904B6"/>
    <w:rsid w:val="00192CEC"/>
    <w:rsid w:val="001931EB"/>
    <w:rsid w:val="00193E62"/>
    <w:rsid w:val="00193EC8"/>
    <w:rsid w:val="0019555B"/>
    <w:rsid w:val="00196C0B"/>
    <w:rsid w:val="00196E50"/>
    <w:rsid w:val="001A11C3"/>
    <w:rsid w:val="001A189A"/>
    <w:rsid w:val="001A1A87"/>
    <w:rsid w:val="001A1FA4"/>
    <w:rsid w:val="001A27EB"/>
    <w:rsid w:val="001A2BBF"/>
    <w:rsid w:val="001A4B39"/>
    <w:rsid w:val="001A4C40"/>
    <w:rsid w:val="001A5DAC"/>
    <w:rsid w:val="001A63F1"/>
    <w:rsid w:val="001A68E9"/>
    <w:rsid w:val="001A7079"/>
    <w:rsid w:val="001A7AA6"/>
    <w:rsid w:val="001B005D"/>
    <w:rsid w:val="001B0389"/>
    <w:rsid w:val="001B133D"/>
    <w:rsid w:val="001B1AA5"/>
    <w:rsid w:val="001B2987"/>
    <w:rsid w:val="001B2B26"/>
    <w:rsid w:val="001B2C45"/>
    <w:rsid w:val="001B2F80"/>
    <w:rsid w:val="001B4405"/>
    <w:rsid w:val="001B4B21"/>
    <w:rsid w:val="001B5844"/>
    <w:rsid w:val="001B6897"/>
    <w:rsid w:val="001B6AD7"/>
    <w:rsid w:val="001B6FBB"/>
    <w:rsid w:val="001C1DDB"/>
    <w:rsid w:val="001C1E51"/>
    <w:rsid w:val="001C3B28"/>
    <w:rsid w:val="001C555B"/>
    <w:rsid w:val="001C5962"/>
    <w:rsid w:val="001C62E4"/>
    <w:rsid w:val="001C6A40"/>
    <w:rsid w:val="001C77B5"/>
    <w:rsid w:val="001C7A1A"/>
    <w:rsid w:val="001D00B3"/>
    <w:rsid w:val="001D04E0"/>
    <w:rsid w:val="001D0592"/>
    <w:rsid w:val="001D1790"/>
    <w:rsid w:val="001D1A2C"/>
    <w:rsid w:val="001D209E"/>
    <w:rsid w:val="001D2B91"/>
    <w:rsid w:val="001D2ED8"/>
    <w:rsid w:val="001D30C6"/>
    <w:rsid w:val="001D4A3E"/>
    <w:rsid w:val="001D6FC8"/>
    <w:rsid w:val="001E0844"/>
    <w:rsid w:val="001E1CFC"/>
    <w:rsid w:val="001E228B"/>
    <w:rsid w:val="001E6905"/>
    <w:rsid w:val="001E6ECA"/>
    <w:rsid w:val="001E701A"/>
    <w:rsid w:val="001F0EC4"/>
    <w:rsid w:val="001F1214"/>
    <w:rsid w:val="001F1902"/>
    <w:rsid w:val="001F1EEB"/>
    <w:rsid w:val="001F2EF5"/>
    <w:rsid w:val="001F33BD"/>
    <w:rsid w:val="001F360D"/>
    <w:rsid w:val="001F376D"/>
    <w:rsid w:val="001F480C"/>
    <w:rsid w:val="001F4DA7"/>
    <w:rsid w:val="001F5EF6"/>
    <w:rsid w:val="00201A49"/>
    <w:rsid w:val="0020465C"/>
    <w:rsid w:val="002056A0"/>
    <w:rsid w:val="0020707A"/>
    <w:rsid w:val="00207A38"/>
    <w:rsid w:val="00207B4E"/>
    <w:rsid w:val="002114F2"/>
    <w:rsid w:val="00213ADD"/>
    <w:rsid w:val="002142AE"/>
    <w:rsid w:val="00217EEA"/>
    <w:rsid w:val="00223E5A"/>
    <w:rsid w:val="002279EB"/>
    <w:rsid w:val="002301FE"/>
    <w:rsid w:val="00232AB4"/>
    <w:rsid w:val="00233784"/>
    <w:rsid w:val="002337E9"/>
    <w:rsid w:val="002348A3"/>
    <w:rsid w:val="00235238"/>
    <w:rsid w:val="00235357"/>
    <w:rsid w:val="0023775C"/>
    <w:rsid w:val="00243F50"/>
    <w:rsid w:val="002446F7"/>
    <w:rsid w:val="00245E33"/>
    <w:rsid w:val="002472C8"/>
    <w:rsid w:val="00247D67"/>
    <w:rsid w:val="002505D6"/>
    <w:rsid w:val="00251480"/>
    <w:rsid w:val="002518C9"/>
    <w:rsid w:val="002527E9"/>
    <w:rsid w:val="0025332B"/>
    <w:rsid w:val="00253630"/>
    <w:rsid w:val="00253F2A"/>
    <w:rsid w:val="0025458C"/>
    <w:rsid w:val="00254BD2"/>
    <w:rsid w:val="00255804"/>
    <w:rsid w:val="00256A23"/>
    <w:rsid w:val="00257423"/>
    <w:rsid w:val="002616D0"/>
    <w:rsid w:val="00262BB5"/>
    <w:rsid w:val="00262C62"/>
    <w:rsid w:val="00262F82"/>
    <w:rsid w:val="00270A99"/>
    <w:rsid w:val="0027486C"/>
    <w:rsid w:val="002751C6"/>
    <w:rsid w:val="0027592C"/>
    <w:rsid w:val="002759B6"/>
    <w:rsid w:val="002775E1"/>
    <w:rsid w:val="00277689"/>
    <w:rsid w:val="002811F8"/>
    <w:rsid w:val="002815D9"/>
    <w:rsid w:val="00283710"/>
    <w:rsid w:val="0028430A"/>
    <w:rsid w:val="00284424"/>
    <w:rsid w:val="002848A3"/>
    <w:rsid w:val="00286F22"/>
    <w:rsid w:val="00290C22"/>
    <w:rsid w:val="002928D1"/>
    <w:rsid w:val="00292CB3"/>
    <w:rsid w:val="00292DA5"/>
    <w:rsid w:val="002953D1"/>
    <w:rsid w:val="002956FA"/>
    <w:rsid w:val="0029646E"/>
    <w:rsid w:val="00296953"/>
    <w:rsid w:val="002A17E0"/>
    <w:rsid w:val="002A27C7"/>
    <w:rsid w:val="002A49BA"/>
    <w:rsid w:val="002A6CEE"/>
    <w:rsid w:val="002B0FAD"/>
    <w:rsid w:val="002B1A07"/>
    <w:rsid w:val="002B21B1"/>
    <w:rsid w:val="002B550C"/>
    <w:rsid w:val="002B7EE8"/>
    <w:rsid w:val="002C06B0"/>
    <w:rsid w:val="002C0D73"/>
    <w:rsid w:val="002C209D"/>
    <w:rsid w:val="002C4CE2"/>
    <w:rsid w:val="002C535D"/>
    <w:rsid w:val="002C7AA6"/>
    <w:rsid w:val="002D1885"/>
    <w:rsid w:val="002D229F"/>
    <w:rsid w:val="002D376A"/>
    <w:rsid w:val="002D4E3F"/>
    <w:rsid w:val="002D57D1"/>
    <w:rsid w:val="002D6547"/>
    <w:rsid w:val="002D7CA9"/>
    <w:rsid w:val="002E23A6"/>
    <w:rsid w:val="002E2846"/>
    <w:rsid w:val="002E4650"/>
    <w:rsid w:val="002E6805"/>
    <w:rsid w:val="002E7947"/>
    <w:rsid w:val="002E7982"/>
    <w:rsid w:val="002F1D85"/>
    <w:rsid w:val="00300142"/>
    <w:rsid w:val="00301312"/>
    <w:rsid w:val="00301626"/>
    <w:rsid w:val="00301725"/>
    <w:rsid w:val="00301898"/>
    <w:rsid w:val="00302530"/>
    <w:rsid w:val="00304671"/>
    <w:rsid w:val="00306010"/>
    <w:rsid w:val="003065A4"/>
    <w:rsid w:val="00307367"/>
    <w:rsid w:val="00307495"/>
    <w:rsid w:val="00310F15"/>
    <w:rsid w:val="00311476"/>
    <w:rsid w:val="00313B45"/>
    <w:rsid w:val="0031613B"/>
    <w:rsid w:val="00316168"/>
    <w:rsid w:val="003161A1"/>
    <w:rsid w:val="00317DB7"/>
    <w:rsid w:val="00320835"/>
    <w:rsid w:val="00320905"/>
    <w:rsid w:val="00321CAE"/>
    <w:rsid w:val="00321F49"/>
    <w:rsid w:val="00322521"/>
    <w:rsid w:val="00322EBA"/>
    <w:rsid w:val="003235EF"/>
    <w:rsid w:val="0032572C"/>
    <w:rsid w:val="00325DF6"/>
    <w:rsid w:val="00325F15"/>
    <w:rsid w:val="00326F66"/>
    <w:rsid w:val="0032763D"/>
    <w:rsid w:val="00327E3E"/>
    <w:rsid w:val="00331769"/>
    <w:rsid w:val="00333B64"/>
    <w:rsid w:val="00334D22"/>
    <w:rsid w:val="003351A7"/>
    <w:rsid w:val="00335F87"/>
    <w:rsid w:val="003366D9"/>
    <w:rsid w:val="00336B28"/>
    <w:rsid w:val="0033790F"/>
    <w:rsid w:val="0034061F"/>
    <w:rsid w:val="00340723"/>
    <w:rsid w:val="00341165"/>
    <w:rsid w:val="003436CA"/>
    <w:rsid w:val="00344185"/>
    <w:rsid w:val="003441DD"/>
    <w:rsid w:val="00345100"/>
    <w:rsid w:val="003472E6"/>
    <w:rsid w:val="00347663"/>
    <w:rsid w:val="0034797C"/>
    <w:rsid w:val="0035065E"/>
    <w:rsid w:val="00350ADE"/>
    <w:rsid w:val="00351000"/>
    <w:rsid w:val="00351E79"/>
    <w:rsid w:val="00352574"/>
    <w:rsid w:val="00353484"/>
    <w:rsid w:val="0035505A"/>
    <w:rsid w:val="00355865"/>
    <w:rsid w:val="003572FC"/>
    <w:rsid w:val="00360DA1"/>
    <w:rsid w:val="00361013"/>
    <w:rsid w:val="00361985"/>
    <w:rsid w:val="00361E36"/>
    <w:rsid w:val="003635DF"/>
    <w:rsid w:val="00363770"/>
    <w:rsid w:val="00363C73"/>
    <w:rsid w:val="0036467C"/>
    <w:rsid w:val="00364798"/>
    <w:rsid w:val="00364D24"/>
    <w:rsid w:val="00364DA9"/>
    <w:rsid w:val="003663B2"/>
    <w:rsid w:val="003669B7"/>
    <w:rsid w:val="00366A62"/>
    <w:rsid w:val="00367A1D"/>
    <w:rsid w:val="00367DDB"/>
    <w:rsid w:val="00370412"/>
    <w:rsid w:val="003707A5"/>
    <w:rsid w:val="003708C3"/>
    <w:rsid w:val="003728DD"/>
    <w:rsid w:val="00373659"/>
    <w:rsid w:val="00373A48"/>
    <w:rsid w:val="003746F6"/>
    <w:rsid w:val="00374DFA"/>
    <w:rsid w:val="00375AE4"/>
    <w:rsid w:val="00376B95"/>
    <w:rsid w:val="00376DE3"/>
    <w:rsid w:val="0038134A"/>
    <w:rsid w:val="00382D3D"/>
    <w:rsid w:val="00383011"/>
    <w:rsid w:val="00383590"/>
    <w:rsid w:val="00385744"/>
    <w:rsid w:val="0038577C"/>
    <w:rsid w:val="0038690C"/>
    <w:rsid w:val="00386C4E"/>
    <w:rsid w:val="00387A30"/>
    <w:rsid w:val="00387A5A"/>
    <w:rsid w:val="00391186"/>
    <w:rsid w:val="00391AE3"/>
    <w:rsid w:val="003924F9"/>
    <w:rsid w:val="00392AB1"/>
    <w:rsid w:val="003930F8"/>
    <w:rsid w:val="00394A6F"/>
    <w:rsid w:val="0039597F"/>
    <w:rsid w:val="00396342"/>
    <w:rsid w:val="003963B5"/>
    <w:rsid w:val="00397C80"/>
    <w:rsid w:val="003A08BD"/>
    <w:rsid w:val="003A3EFA"/>
    <w:rsid w:val="003A463D"/>
    <w:rsid w:val="003A4D3B"/>
    <w:rsid w:val="003B0DA8"/>
    <w:rsid w:val="003B1BF5"/>
    <w:rsid w:val="003B2D46"/>
    <w:rsid w:val="003B3C0D"/>
    <w:rsid w:val="003B6AAC"/>
    <w:rsid w:val="003C0E51"/>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5BDC"/>
    <w:rsid w:val="003D6C5D"/>
    <w:rsid w:val="003D7006"/>
    <w:rsid w:val="003D71A3"/>
    <w:rsid w:val="003D7B02"/>
    <w:rsid w:val="003E1C69"/>
    <w:rsid w:val="003E1D37"/>
    <w:rsid w:val="003E4334"/>
    <w:rsid w:val="003E5A17"/>
    <w:rsid w:val="003E7199"/>
    <w:rsid w:val="003F02E5"/>
    <w:rsid w:val="003F06AB"/>
    <w:rsid w:val="003F0857"/>
    <w:rsid w:val="003F168A"/>
    <w:rsid w:val="003F22D7"/>
    <w:rsid w:val="003F2AE3"/>
    <w:rsid w:val="003F2F29"/>
    <w:rsid w:val="003F3496"/>
    <w:rsid w:val="003F35FA"/>
    <w:rsid w:val="003F37D0"/>
    <w:rsid w:val="003F5C4E"/>
    <w:rsid w:val="003F74D5"/>
    <w:rsid w:val="00403D6E"/>
    <w:rsid w:val="00406357"/>
    <w:rsid w:val="0040756C"/>
    <w:rsid w:val="004103A2"/>
    <w:rsid w:val="004115EE"/>
    <w:rsid w:val="004124BA"/>
    <w:rsid w:val="00413CFF"/>
    <w:rsid w:val="00416413"/>
    <w:rsid w:val="0041655E"/>
    <w:rsid w:val="004201F7"/>
    <w:rsid w:val="004220F8"/>
    <w:rsid w:val="004225DA"/>
    <w:rsid w:val="0042260D"/>
    <w:rsid w:val="00423C9A"/>
    <w:rsid w:val="00424010"/>
    <w:rsid w:val="00424A1E"/>
    <w:rsid w:val="00424C3D"/>
    <w:rsid w:val="00425600"/>
    <w:rsid w:val="0042620F"/>
    <w:rsid w:val="00426C96"/>
    <w:rsid w:val="00426CD8"/>
    <w:rsid w:val="00426D57"/>
    <w:rsid w:val="00427E22"/>
    <w:rsid w:val="00430724"/>
    <w:rsid w:val="004309BB"/>
    <w:rsid w:val="004315A8"/>
    <w:rsid w:val="004330A4"/>
    <w:rsid w:val="004335AA"/>
    <w:rsid w:val="004335BE"/>
    <w:rsid w:val="00434F30"/>
    <w:rsid w:val="004350F7"/>
    <w:rsid w:val="00435FFF"/>
    <w:rsid w:val="00440589"/>
    <w:rsid w:val="0044133C"/>
    <w:rsid w:val="00444D6D"/>
    <w:rsid w:val="00445781"/>
    <w:rsid w:val="0045043E"/>
    <w:rsid w:val="004506E7"/>
    <w:rsid w:val="0045102E"/>
    <w:rsid w:val="00451978"/>
    <w:rsid w:val="00451AF1"/>
    <w:rsid w:val="00451EAF"/>
    <w:rsid w:val="00452332"/>
    <w:rsid w:val="00452535"/>
    <w:rsid w:val="00452B5A"/>
    <w:rsid w:val="00452D93"/>
    <w:rsid w:val="00452F2E"/>
    <w:rsid w:val="0045375E"/>
    <w:rsid w:val="00453DC6"/>
    <w:rsid w:val="00455D86"/>
    <w:rsid w:val="0045770B"/>
    <w:rsid w:val="00460BAE"/>
    <w:rsid w:val="00462041"/>
    <w:rsid w:val="00462DB7"/>
    <w:rsid w:val="00463D95"/>
    <w:rsid w:val="00465615"/>
    <w:rsid w:val="00465D0A"/>
    <w:rsid w:val="00466835"/>
    <w:rsid w:val="00467A41"/>
    <w:rsid w:val="004703F2"/>
    <w:rsid w:val="0047173A"/>
    <w:rsid w:val="00472A41"/>
    <w:rsid w:val="004737F1"/>
    <w:rsid w:val="00474382"/>
    <w:rsid w:val="00474C19"/>
    <w:rsid w:val="00475326"/>
    <w:rsid w:val="004754DE"/>
    <w:rsid w:val="00475659"/>
    <w:rsid w:val="0047616C"/>
    <w:rsid w:val="00477D3F"/>
    <w:rsid w:val="004819D3"/>
    <w:rsid w:val="0048677E"/>
    <w:rsid w:val="004902E1"/>
    <w:rsid w:val="00490900"/>
    <w:rsid w:val="00491AC5"/>
    <w:rsid w:val="00492376"/>
    <w:rsid w:val="00492C06"/>
    <w:rsid w:val="00494576"/>
    <w:rsid w:val="00494A9D"/>
    <w:rsid w:val="004952AF"/>
    <w:rsid w:val="00495599"/>
    <w:rsid w:val="00495E4F"/>
    <w:rsid w:val="00496003"/>
    <w:rsid w:val="004967F3"/>
    <w:rsid w:val="00496EBD"/>
    <w:rsid w:val="00497B6A"/>
    <w:rsid w:val="004A2A37"/>
    <w:rsid w:val="004A30E3"/>
    <w:rsid w:val="004A3677"/>
    <w:rsid w:val="004A4045"/>
    <w:rsid w:val="004A484D"/>
    <w:rsid w:val="004A5144"/>
    <w:rsid w:val="004A581E"/>
    <w:rsid w:val="004A7D6D"/>
    <w:rsid w:val="004B06EB"/>
    <w:rsid w:val="004B126A"/>
    <w:rsid w:val="004B1B4C"/>
    <w:rsid w:val="004B20AE"/>
    <w:rsid w:val="004B27A4"/>
    <w:rsid w:val="004B387A"/>
    <w:rsid w:val="004B3B6B"/>
    <w:rsid w:val="004B4A98"/>
    <w:rsid w:val="004B4C91"/>
    <w:rsid w:val="004B5F61"/>
    <w:rsid w:val="004B7802"/>
    <w:rsid w:val="004C04D3"/>
    <w:rsid w:val="004C075C"/>
    <w:rsid w:val="004C2E97"/>
    <w:rsid w:val="004C322E"/>
    <w:rsid w:val="004C36E8"/>
    <w:rsid w:val="004C6013"/>
    <w:rsid w:val="004C6383"/>
    <w:rsid w:val="004D07EB"/>
    <w:rsid w:val="004D0ECC"/>
    <w:rsid w:val="004D164E"/>
    <w:rsid w:val="004D1A3D"/>
    <w:rsid w:val="004D2605"/>
    <w:rsid w:val="004D4ECD"/>
    <w:rsid w:val="004D6D1D"/>
    <w:rsid w:val="004E0A58"/>
    <w:rsid w:val="004E14BD"/>
    <w:rsid w:val="004E1EEE"/>
    <w:rsid w:val="004E2DDF"/>
    <w:rsid w:val="004E3B22"/>
    <w:rsid w:val="004E3D1E"/>
    <w:rsid w:val="004E48CA"/>
    <w:rsid w:val="004E5EBF"/>
    <w:rsid w:val="004E7A19"/>
    <w:rsid w:val="004F0345"/>
    <w:rsid w:val="004F0587"/>
    <w:rsid w:val="004F07B5"/>
    <w:rsid w:val="004F0CDE"/>
    <w:rsid w:val="004F6931"/>
    <w:rsid w:val="004F7698"/>
    <w:rsid w:val="00501096"/>
    <w:rsid w:val="00501761"/>
    <w:rsid w:val="00501CE6"/>
    <w:rsid w:val="0050258A"/>
    <w:rsid w:val="00502878"/>
    <w:rsid w:val="00502B83"/>
    <w:rsid w:val="00502F80"/>
    <w:rsid w:val="00502FF7"/>
    <w:rsid w:val="00504809"/>
    <w:rsid w:val="00504B70"/>
    <w:rsid w:val="00504DC3"/>
    <w:rsid w:val="00505368"/>
    <w:rsid w:val="005054C6"/>
    <w:rsid w:val="00506AEB"/>
    <w:rsid w:val="00506F5B"/>
    <w:rsid w:val="00507E20"/>
    <w:rsid w:val="005100B4"/>
    <w:rsid w:val="00510394"/>
    <w:rsid w:val="0051264D"/>
    <w:rsid w:val="00512B2C"/>
    <w:rsid w:val="005132CE"/>
    <w:rsid w:val="00513319"/>
    <w:rsid w:val="00514AF7"/>
    <w:rsid w:val="00515847"/>
    <w:rsid w:val="005162E0"/>
    <w:rsid w:val="00517D13"/>
    <w:rsid w:val="00520156"/>
    <w:rsid w:val="00520DDE"/>
    <w:rsid w:val="005234CB"/>
    <w:rsid w:val="00523EEC"/>
    <w:rsid w:val="0052413D"/>
    <w:rsid w:val="005245AD"/>
    <w:rsid w:val="00524752"/>
    <w:rsid w:val="005252D8"/>
    <w:rsid w:val="00525B26"/>
    <w:rsid w:val="0052619E"/>
    <w:rsid w:val="005265E0"/>
    <w:rsid w:val="005303CC"/>
    <w:rsid w:val="005308BB"/>
    <w:rsid w:val="00530D61"/>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467E"/>
    <w:rsid w:val="005464DB"/>
    <w:rsid w:val="005512D2"/>
    <w:rsid w:val="00552D1A"/>
    <w:rsid w:val="005554CD"/>
    <w:rsid w:val="0056050D"/>
    <w:rsid w:val="00560BEB"/>
    <w:rsid w:val="005614B5"/>
    <w:rsid w:val="00561540"/>
    <w:rsid w:val="00562F89"/>
    <w:rsid w:val="0056314D"/>
    <w:rsid w:val="00563FF7"/>
    <w:rsid w:val="00564ADE"/>
    <w:rsid w:val="005653A6"/>
    <w:rsid w:val="005655BB"/>
    <w:rsid w:val="005679DE"/>
    <w:rsid w:val="00570BEF"/>
    <w:rsid w:val="005725A0"/>
    <w:rsid w:val="00572F44"/>
    <w:rsid w:val="0057301E"/>
    <w:rsid w:val="00573C0B"/>
    <w:rsid w:val="00574182"/>
    <w:rsid w:val="00574679"/>
    <w:rsid w:val="00575122"/>
    <w:rsid w:val="00575FAA"/>
    <w:rsid w:val="005764B6"/>
    <w:rsid w:val="00582B40"/>
    <w:rsid w:val="00584E83"/>
    <w:rsid w:val="005850CC"/>
    <w:rsid w:val="00586723"/>
    <w:rsid w:val="005867E3"/>
    <w:rsid w:val="00586FB1"/>
    <w:rsid w:val="00587482"/>
    <w:rsid w:val="00587E22"/>
    <w:rsid w:val="00590B93"/>
    <w:rsid w:val="0059143A"/>
    <w:rsid w:val="00591DA0"/>
    <w:rsid w:val="0059213B"/>
    <w:rsid w:val="00592EE0"/>
    <w:rsid w:val="00592FCD"/>
    <w:rsid w:val="0059395A"/>
    <w:rsid w:val="00593A47"/>
    <w:rsid w:val="00595229"/>
    <w:rsid w:val="0059571E"/>
    <w:rsid w:val="00595B87"/>
    <w:rsid w:val="0059635F"/>
    <w:rsid w:val="00596DAE"/>
    <w:rsid w:val="0059774C"/>
    <w:rsid w:val="005A1524"/>
    <w:rsid w:val="005A238A"/>
    <w:rsid w:val="005A2529"/>
    <w:rsid w:val="005A459E"/>
    <w:rsid w:val="005B02FD"/>
    <w:rsid w:val="005B0735"/>
    <w:rsid w:val="005B0824"/>
    <w:rsid w:val="005B153F"/>
    <w:rsid w:val="005B204D"/>
    <w:rsid w:val="005B2CEB"/>
    <w:rsid w:val="005B2E63"/>
    <w:rsid w:val="005B3C44"/>
    <w:rsid w:val="005B557A"/>
    <w:rsid w:val="005B5846"/>
    <w:rsid w:val="005B6E0D"/>
    <w:rsid w:val="005B7342"/>
    <w:rsid w:val="005C113F"/>
    <w:rsid w:val="005C2E09"/>
    <w:rsid w:val="005C3BAC"/>
    <w:rsid w:val="005C429C"/>
    <w:rsid w:val="005C4E97"/>
    <w:rsid w:val="005C4EB9"/>
    <w:rsid w:val="005C5D90"/>
    <w:rsid w:val="005C5E74"/>
    <w:rsid w:val="005C6E5C"/>
    <w:rsid w:val="005C7F68"/>
    <w:rsid w:val="005D0688"/>
    <w:rsid w:val="005D12BA"/>
    <w:rsid w:val="005D148D"/>
    <w:rsid w:val="005D1CA3"/>
    <w:rsid w:val="005D4175"/>
    <w:rsid w:val="005D44FA"/>
    <w:rsid w:val="005D6B32"/>
    <w:rsid w:val="005D76B6"/>
    <w:rsid w:val="005E092E"/>
    <w:rsid w:val="005E15B3"/>
    <w:rsid w:val="005E1760"/>
    <w:rsid w:val="005E2EB1"/>
    <w:rsid w:val="005E3B2F"/>
    <w:rsid w:val="005E3B44"/>
    <w:rsid w:val="005E46C6"/>
    <w:rsid w:val="005E53D4"/>
    <w:rsid w:val="005E5A6F"/>
    <w:rsid w:val="005E5D77"/>
    <w:rsid w:val="005E5EB3"/>
    <w:rsid w:val="005E71D9"/>
    <w:rsid w:val="005E72D3"/>
    <w:rsid w:val="005F0118"/>
    <w:rsid w:val="005F42B2"/>
    <w:rsid w:val="005F59E3"/>
    <w:rsid w:val="005F61E4"/>
    <w:rsid w:val="005F6A3C"/>
    <w:rsid w:val="005F6EA4"/>
    <w:rsid w:val="00600721"/>
    <w:rsid w:val="00600CE2"/>
    <w:rsid w:val="00601A7C"/>
    <w:rsid w:val="00602338"/>
    <w:rsid w:val="00602496"/>
    <w:rsid w:val="006061AD"/>
    <w:rsid w:val="00607423"/>
    <w:rsid w:val="00607A3C"/>
    <w:rsid w:val="00607F5E"/>
    <w:rsid w:val="006113BF"/>
    <w:rsid w:val="00611BE9"/>
    <w:rsid w:val="00611F0E"/>
    <w:rsid w:val="00612564"/>
    <w:rsid w:val="00612C88"/>
    <w:rsid w:val="00612D94"/>
    <w:rsid w:val="0061561B"/>
    <w:rsid w:val="00616165"/>
    <w:rsid w:val="0061738C"/>
    <w:rsid w:val="00617C01"/>
    <w:rsid w:val="00617DD9"/>
    <w:rsid w:val="00621035"/>
    <w:rsid w:val="006229F4"/>
    <w:rsid w:val="00622A90"/>
    <w:rsid w:val="00622D0A"/>
    <w:rsid w:val="00623673"/>
    <w:rsid w:val="00623B89"/>
    <w:rsid w:val="0062414D"/>
    <w:rsid w:val="006244AE"/>
    <w:rsid w:val="00625969"/>
    <w:rsid w:val="0063115C"/>
    <w:rsid w:val="006321AE"/>
    <w:rsid w:val="0063273E"/>
    <w:rsid w:val="00633256"/>
    <w:rsid w:val="00633D93"/>
    <w:rsid w:val="00634AFA"/>
    <w:rsid w:val="00634F7E"/>
    <w:rsid w:val="00635767"/>
    <w:rsid w:val="00635DFC"/>
    <w:rsid w:val="0063657F"/>
    <w:rsid w:val="00636837"/>
    <w:rsid w:val="00637791"/>
    <w:rsid w:val="00641327"/>
    <w:rsid w:val="006424E2"/>
    <w:rsid w:val="0064336E"/>
    <w:rsid w:val="00643C52"/>
    <w:rsid w:val="006467B3"/>
    <w:rsid w:val="0064724F"/>
    <w:rsid w:val="00647E10"/>
    <w:rsid w:val="0065226A"/>
    <w:rsid w:val="006529B0"/>
    <w:rsid w:val="00652FCF"/>
    <w:rsid w:val="006530C9"/>
    <w:rsid w:val="00654CD8"/>
    <w:rsid w:val="006568FB"/>
    <w:rsid w:val="0066017E"/>
    <w:rsid w:val="00660353"/>
    <w:rsid w:val="006605E1"/>
    <w:rsid w:val="00661110"/>
    <w:rsid w:val="006612BC"/>
    <w:rsid w:val="0066283D"/>
    <w:rsid w:val="00664A1E"/>
    <w:rsid w:val="00664CB6"/>
    <w:rsid w:val="00666384"/>
    <w:rsid w:val="00671208"/>
    <w:rsid w:val="00672889"/>
    <w:rsid w:val="00672B9C"/>
    <w:rsid w:val="0067390D"/>
    <w:rsid w:val="00674C79"/>
    <w:rsid w:val="00676065"/>
    <w:rsid w:val="00681915"/>
    <w:rsid w:val="006819F5"/>
    <w:rsid w:val="00681EDB"/>
    <w:rsid w:val="00682C5B"/>
    <w:rsid w:val="00684213"/>
    <w:rsid w:val="00684904"/>
    <w:rsid w:val="00684B49"/>
    <w:rsid w:val="006857CD"/>
    <w:rsid w:val="00685F63"/>
    <w:rsid w:val="00692260"/>
    <w:rsid w:val="006925DC"/>
    <w:rsid w:val="00693EF9"/>
    <w:rsid w:val="006940B9"/>
    <w:rsid w:val="0069422D"/>
    <w:rsid w:val="00696914"/>
    <w:rsid w:val="00697826"/>
    <w:rsid w:val="006A00FC"/>
    <w:rsid w:val="006A126A"/>
    <w:rsid w:val="006A1435"/>
    <w:rsid w:val="006A35D1"/>
    <w:rsid w:val="006A56DD"/>
    <w:rsid w:val="006A57B3"/>
    <w:rsid w:val="006A5F6A"/>
    <w:rsid w:val="006A642F"/>
    <w:rsid w:val="006B0943"/>
    <w:rsid w:val="006B13F1"/>
    <w:rsid w:val="006B37A5"/>
    <w:rsid w:val="006B4D41"/>
    <w:rsid w:val="006B53EA"/>
    <w:rsid w:val="006B550E"/>
    <w:rsid w:val="006B5B13"/>
    <w:rsid w:val="006B6C77"/>
    <w:rsid w:val="006C198F"/>
    <w:rsid w:val="006C1B41"/>
    <w:rsid w:val="006C4150"/>
    <w:rsid w:val="006C6884"/>
    <w:rsid w:val="006C68C7"/>
    <w:rsid w:val="006D0630"/>
    <w:rsid w:val="006D07A7"/>
    <w:rsid w:val="006D2398"/>
    <w:rsid w:val="006D2E8D"/>
    <w:rsid w:val="006D32AC"/>
    <w:rsid w:val="006D4CEA"/>
    <w:rsid w:val="006D5195"/>
    <w:rsid w:val="006D546F"/>
    <w:rsid w:val="006D5856"/>
    <w:rsid w:val="006D6E38"/>
    <w:rsid w:val="006D74AB"/>
    <w:rsid w:val="006E37A1"/>
    <w:rsid w:val="006E3A24"/>
    <w:rsid w:val="006E3AC5"/>
    <w:rsid w:val="006E4357"/>
    <w:rsid w:val="006E6105"/>
    <w:rsid w:val="006E69B1"/>
    <w:rsid w:val="006E6EBA"/>
    <w:rsid w:val="006E731C"/>
    <w:rsid w:val="006F1D28"/>
    <w:rsid w:val="006F604B"/>
    <w:rsid w:val="006F686D"/>
    <w:rsid w:val="006F688B"/>
    <w:rsid w:val="007016C1"/>
    <w:rsid w:val="00703126"/>
    <w:rsid w:val="00705BCE"/>
    <w:rsid w:val="007061DA"/>
    <w:rsid w:val="0070677F"/>
    <w:rsid w:val="00706B50"/>
    <w:rsid w:val="00707077"/>
    <w:rsid w:val="0071174E"/>
    <w:rsid w:val="00711C11"/>
    <w:rsid w:val="00713566"/>
    <w:rsid w:val="007135AC"/>
    <w:rsid w:val="00717306"/>
    <w:rsid w:val="00721BBA"/>
    <w:rsid w:val="00722941"/>
    <w:rsid w:val="00722F58"/>
    <w:rsid w:val="00724B74"/>
    <w:rsid w:val="00727BC4"/>
    <w:rsid w:val="007300ED"/>
    <w:rsid w:val="00730482"/>
    <w:rsid w:val="00730F6D"/>
    <w:rsid w:val="00731DF5"/>
    <w:rsid w:val="0073296F"/>
    <w:rsid w:val="00735B20"/>
    <w:rsid w:val="00735DAE"/>
    <w:rsid w:val="00736929"/>
    <w:rsid w:val="00744977"/>
    <w:rsid w:val="00744AAE"/>
    <w:rsid w:val="007468F1"/>
    <w:rsid w:val="00747C9C"/>
    <w:rsid w:val="00747DB9"/>
    <w:rsid w:val="00750E46"/>
    <w:rsid w:val="007516FB"/>
    <w:rsid w:val="007527C3"/>
    <w:rsid w:val="007537C3"/>
    <w:rsid w:val="00754514"/>
    <w:rsid w:val="0075459E"/>
    <w:rsid w:val="007553BA"/>
    <w:rsid w:val="0075647F"/>
    <w:rsid w:val="0075687C"/>
    <w:rsid w:val="00756DC9"/>
    <w:rsid w:val="00756ECB"/>
    <w:rsid w:val="00757AEA"/>
    <w:rsid w:val="00760FB0"/>
    <w:rsid w:val="0076225F"/>
    <w:rsid w:val="007624A1"/>
    <w:rsid w:val="0076406E"/>
    <w:rsid w:val="00766652"/>
    <w:rsid w:val="0076746C"/>
    <w:rsid w:val="00767B70"/>
    <w:rsid w:val="007701B4"/>
    <w:rsid w:val="00770D9A"/>
    <w:rsid w:val="0077178B"/>
    <w:rsid w:val="00775E85"/>
    <w:rsid w:val="007762FE"/>
    <w:rsid w:val="00776E81"/>
    <w:rsid w:val="0078038C"/>
    <w:rsid w:val="007805AF"/>
    <w:rsid w:val="007806AB"/>
    <w:rsid w:val="00780913"/>
    <w:rsid w:val="00782079"/>
    <w:rsid w:val="007847C7"/>
    <w:rsid w:val="00786D0F"/>
    <w:rsid w:val="0078739A"/>
    <w:rsid w:val="00790761"/>
    <w:rsid w:val="00793474"/>
    <w:rsid w:val="00796A1D"/>
    <w:rsid w:val="007A04B1"/>
    <w:rsid w:val="007A080B"/>
    <w:rsid w:val="007A0D5D"/>
    <w:rsid w:val="007A1CA9"/>
    <w:rsid w:val="007A38DD"/>
    <w:rsid w:val="007A47A5"/>
    <w:rsid w:val="007A5E51"/>
    <w:rsid w:val="007A7B78"/>
    <w:rsid w:val="007B2A9E"/>
    <w:rsid w:val="007B3A18"/>
    <w:rsid w:val="007B3EE6"/>
    <w:rsid w:val="007B49C8"/>
    <w:rsid w:val="007B70F8"/>
    <w:rsid w:val="007B72E9"/>
    <w:rsid w:val="007B7FCF"/>
    <w:rsid w:val="007C3A7E"/>
    <w:rsid w:val="007C3ACE"/>
    <w:rsid w:val="007C46FF"/>
    <w:rsid w:val="007C49FE"/>
    <w:rsid w:val="007C525F"/>
    <w:rsid w:val="007C67B0"/>
    <w:rsid w:val="007C6B4B"/>
    <w:rsid w:val="007D0251"/>
    <w:rsid w:val="007D036F"/>
    <w:rsid w:val="007D0BF5"/>
    <w:rsid w:val="007D0E3B"/>
    <w:rsid w:val="007D27DD"/>
    <w:rsid w:val="007D53E9"/>
    <w:rsid w:val="007D73F9"/>
    <w:rsid w:val="007E00C3"/>
    <w:rsid w:val="007E0FAB"/>
    <w:rsid w:val="007E1076"/>
    <w:rsid w:val="007E13DB"/>
    <w:rsid w:val="007E1AEE"/>
    <w:rsid w:val="007E2303"/>
    <w:rsid w:val="007E2599"/>
    <w:rsid w:val="007E39E4"/>
    <w:rsid w:val="007E3ECD"/>
    <w:rsid w:val="007E5225"/>
    <w:rsid w:val="007E5A65"/>
    <w:rsid w:val="007E6699"/>
    <w:rsid w:val="007E7274"/>
    <w:rsid w:val="007E7815"/>
    <w:rsid w:val="007F1F47"/>
    <w:rsid w:val="007F4B24"/>
    <w:rsid w:val="007F5BA4"/>
    <w:rsid w:val="007F6B67"/>
    <w:rsid w:val="00801358"/>
    <w:rsid w:val="00802F1E"/>
    <w:rsid w:val="00803CD8"/>
    <w:rsid w:val="008056F5"/>
    <w:rsid w:val="00805C22"/>
    <w:rsid w:val="00807208"/>
    <w:rsid w:val="00816E98"/>
    <w:rsid w:val="00817EB8"/>
    <w:rsid w:val="00820AA6"/>
    <w:rsid w:val="00820B53"/>
    <w:rsid w:val="00821FBD"/>
    <w:rsid w:val="00823609"/>
    <w:rsid w:val="0082381F"/>
    <w:rsid w:val="00825471"/>
    <w:rsid w:val="00825A18"/>
    <w:rsid w:val="00825AEE"/>
    <w:rsid w:val="0082642C"/>
    <w:rsid w:val="00826750"/>
    <w:rsid w:val="00827409"/>
    <w:rsid w:val="008303B6"/>
    <w:rsid w:val="00830EFB"/>
    <w:rsid w:val="00831A73"/>
    <w:rsid w:val="00834033"/>
    <w:rsid w:val="008348F5"/>
    <w:rsid w:val="0083538A"/>
    <w:rsid w:val="008354A1"/>
    <w:rsid w:val="008355E3"/>
    <w:rsid w:val="008361C5"/>
    <w:rsid w:val="008371FF"/>
    <w:rsid w:val="008407C2"/>
    <w:rsid w:val="00843E42"/>
    <w:rsid w:val="0084413F"/>
    <w:rsid w:val="00844E9D"/>
    <w:rsid w:val="008453BF"/>
    <w:rsid w:val="00845FE8"/>
    <w:rsid w:val="00846071"/>
    <w:rsid w:val="008470F1"/>
    <w:rsid w:val="00850F2F"/>
    <w:rsid w:val="008524B8"/>
    <w:rsid w:val="00855B3D"/>
    <w:rsid w:val="00856493"/>
    <w:rsid w:val="00856B88"/>
    <w:rsid w:val="008577D9"/>
    <w:rsid w:val="0085795B"/>
    <w:rsid w:val="00860C54"/>
    <w:rsid w:val="0086466C"/>
    <w:rsid w:val="00864BCB"/>
    <w:rsid w:val="00865500"/>
    <w:rsid w:val="00867A1D"/>
    <w:rsid w:val="00870573"/>
    <w:rsid w:val="00871463"/>
    <w:rsid w:val="0087179F"/>
    <w:rsid w:val="00871DA5"/>
    <w:rsid w:val="0087289D"/>
    <w:rsid w:val="00873FF3"/>
    <w:rsid w:val="00875E93"/>
    <w:rsid w:val="008763DB"/>
    <w:rsid w:val="00877E30"/>
    <w:rsid w:val="00877E8B"/>
    <w:rsid w:val="00880185"/>
    <w:rsid w:val="0088111F"/>
    <w:rsid w:val="008815BC"/>
    <w:rsid w:val="00881B28"/>
    <w:rsid w:val="00881C43"/>
    <w:rsid w:val="00881C58"/>
    <w:rsid w:val="008820A0"/>
    <w:rsid w:val="0088291B"/>
    <w:rsid w:val="0088293E"/>
    <w:rsid w:val="008829BB"/>
    <w:rsid w:val="00884292"/>
    <w:rsid w:val="008842C8"/>
    <w:rsid w:val="00884744"/>
    <w:rsid w:val="00884994"/>
    <w:rsid w:val="00890D87"/>
    <w:rsid w:val="00891BF9"/>
    <w:rsid w:val="008925CF"/>
    <w:rsid w:val="00893C46"/>
    <w:rsid w:val="00896E6F"/>
    <w:rsid w:val="008977C3"/>
    <w:rsid w:val="00897835"/>
    <w:rsid w:val="008A3961"/>
    <w:rsid w:val="008A3B13"/>
    <w:rsid w:val="008A3B5F"/>
    <w:rsid w:val="008A46F0"/>
    <w:rsid w:val="008A5D7E"/>
    <w:rsid w:val="008B041C"/>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7F29"/>
    <w:rsid w:val="008C10DD"/>
    <w:rsid w:val="008C184E"/>
    <w:rsid w:val="008C1998"/>
    <w:rsid w:val="008C28FA"/>
    <w:rsid w:val="008C39DE"/>
    <w:rsid w:val="008C3EFF"/>
    <w:rsid w:val="008C4930"/>
    <w:rsid w:val="008C64CB"/>
    <w:rsid w:val="008C7ADF"/>
    <w:rsid w:val="008C7FB7"/>
    <w:rsid w:val="008D0264"/>
    <w:rsid w:val="008D0701"/>
    <w:rsid w:val="008D076B"/>
    <w:rsid w:val="008D17CA"/>
    <w:rsid w:val="008D1F05"/>
    <w:rsid w:val="008D4146"/>
    <w:rsid w:val="008D4692"/>
    <w:rsid w:val="008D5160"/>
    <w:rsid w:val="008D6FC7"/>
    <w:rsid w:val="008D73D7"/>
    <w:rsid w:val="008E003E"/>
    <w:rsid w:val="008E0F93"/>
    <w:rsid w:val="008E1E9F"/>
    <w:rsid w:val="008E3549"/>
    <w:rsid w:val="008E3A68"/>
    <w:rsid w:val="008E4F5E"/>
    <w:rsid w:val="008E5120"/>
    <w:rsid w:val="008E5C8F"/>
    <w:rsid w:val="008E6115"/>
    <w:rsid w:val="008E6300"/>
    <w:rsid w:val="008E6585"/>
    <w:rsid w:val="008F06FD"/>
    <w:rsid w:val="008F09C7"/>
    <w:rsid w:val="008F0D19"/>
    <w:rsid w:val="008F2484"/>
    <w:rsid w:val="008F573D"/>
    <w:rsid w:val="008F5A3B"/>
    <w:rsid w:val="008F5F4B"/>
    <w:rsid w:val="008F62AD"/>
    <w:rsid w:val="008F6F62"/>
    <w:rsid w:val="009016BA"/>
    <w:rsid w:val="00901816"/>
    <w:rsid w:val="00901A46"/>
    <w:rsid w:val="00901CFF"/>
    <w:rsid w:val="009031F2"/>
    <w:rsid w:val="00903F21"/>
    <w:rsid w:val="009062F1"/>
    <w:rsid w:val="00906AF9"/>
    <w:rsid w:val="00907049"/>
    <w:rsid w:val="0090718A"/>
    <w:rsid w:val="00912AB1"/>
    <w:rsid w:val="00913070"/>
    <w:rsid w:val="00914AE5"/>
    <w:rsid w:val="00914DDD"/>
    <w:rsid w:val="009152E4"/>
    <w:rsid w:val="00915A7C"/>
    <w:rsid w:val="00917A76"/>
    <w:rsid w:val="00920032"/>
    <w:rsid w:val="009209AB"/>
    <w:rsid w:val="0092271D"/>
    <w:rsid w:val="009252F3"/>
    <w:rsid w:val="0092533F"/>
    <w:rsid w:val="00926231"/>
    <w:rsid w:val="009273DE"/>
    <w:rsid w:val="00927E21"/>
    <w:rsid w:val="00927FD3"/>
    <w:rsid w:val="00930C9F"/>
    <w:rsid w:val="00931BA1"/>
    <w:rsid w:val="00937DD4"/>
    <w:rsid w:val="00942FF6"/>
    <w:rsid w:val="00943394"/>
    <w:rsid w:val="009433D0"/>
    <w:rsid w:val="00943596"/>
    <w:rsid w:val="00943731"/>
    <w:rsid w:val="00943F38"/>
    <w:rsid w:val="009449AD"/>
    <w:rsid w:val="00944A4E"/>
    <w:rsid w:val="00945272"/>
    <w:rsid w:val="00946805"/>
    <w:rsid w:val="00947197"/>
    <w:rsid w:val="00947B45"/>
    <w:rsid w:val="0095039E"/>
    <w:rsid w:val="00950A85"/>
    <w:rsid w:val="00951FC4"/>
    <w:rsid w:val="00953C77"/>
    <w:rsid w:val="009543A4"/>
    <w:rsid w:val="00954807"/>
    <w:rsid w:val="009549FE"/>
    <w:rsid w:val="00955CBF"/>
    <w:rsid w:val="009562FB"/>
    <w:rsid w:val="00957FBB"/>
    <w:rsid w:val="00961682"/>
    <w:rsid w:val="00961AB3"/>
    <w:rsid w:val="009621D8"/>
    <w:rsid w:val="00962979"/>
    <w:rsid w:val="009629FE"/>
    <w:rsid w:val="009631A6"/>
    <w:rsid w:val="009636B0"/>
    <w:rsid w:val="009639AB"/>
    <w:rsid w:val="00964EA3"/>
    <w:rsid w:val="00965078"/>
    <w:rsid w:val="0096597B"/>
    <w:rsid w:val="009660F6"/>
    <w:rsid w:val="00966D3C"/>
    <w:rsid w:val="009709D7"/>
    <w:rsid w:val="0097101F"/>
    <w:rsid w:val="00972DDD"/>
    <w:rsid w:val="009740A0"/>
    <w:rsid w:val="0097423E"/>
    <w:rsid w:val="009751C9"/>
    <w:rsid w:val="00975360"/>
    <w:rsid w:val="0097577D"/>
    <w:rsid w:val="00975E5B"/>
    <w:rsid w:val="009764B2"/>
    <w:rsid w:val="009775E8"/>
    <w:rsid w:val="009815E1"/>
    <w:rsid w:val="00983A51"/>
    <w:rsid w:val="009843A6"/>
    <w:rsid w:val="00984576"/>
    <w:rsid w:val="00987BAB"/>
    <w:rsid w:val="009915DC"/>
    <w:rsid w:val="00991FF9"/>
    <w:rsid w:val="0099295F"/>
    <w:rsid w:val="00992B70"/>
    <w:rsid w:val="009933A8"/>
    <w:rsid w:val="00993896"/>
    <w:rsid w:val="00995866"/>
    <w:rsid w:val="00995ED7"/>
    <w:rsid w:val="00997FED"/>
    <w:rsid w:val="009A1CD1"/>
    <w:rsid w:val="009A20D0"/>
    <w:rsid w:val="009A3838"/>
    <w:rsid w:val="009A473B"/>
    <w:rsid w:val="009A47DD"/>
    <w:rsid w:val="009A537E"/>
    <w:rsid w:val="009A58AD"/>
    <w:rsid w:val="009A64D9"/>
    <w:rsid w:val="009A7A03"/>
    <w:rsid w:val="009B41C8"/>
    <w:rsid w:val="009B45D5"/>
    <w:rsid w:val="009B4CBC"/>
    <w:rsid w:val="009C00DD"/>
    <w:rsid w:val="009C09FA"/>
    <w:rsid w:val="009C0EB2"/>
    <w:rsid w:val="009C14C4"/>
    <w:rsid w:val="009C22FF"/>
    <w:rsid w:val="009C24FE"/>
    <w:rsid w:val="009C3263"/>
    <w:rsid w:val="009C3361"/>
    <w:rsid w:val="009C4FC4"/>
    <w:rsid w:val="009C65E2"/>
    <w:rsid w:val="009C68E5"/>
    <w:rsid w:val="009C74E6"/>
    <w:rsid w:val="009D01D0"/>
    <w:rsid w:val="009D1026"/>
    <w:rsid w:val="009D5A11"/>
    <w:rsid w:val="009D5E19"/>
    <w:rsid w:val="009D6781"/>
    <w:rsid w:val="009E13CC"/>
    <w:rsid w:val="009E1554"/>
    <w:rsid w:val="009E43D4"/>
    <w:rsid w:val="009E503F"/>
    <w:rsid w:val="009E6B84"/>
    <w:rsid w:val="009E781C"/>
    <w:rsid w:val="009F120B"/>
    <w:rsid w:val="009F1C1B"/>
    <w:rsid w:val="009F285F"/>
    <w:rsid w:val="009F2E8A"/>
    <w:rsid w:val="009F3D81"/>
    <w:rsid w:val="009F450A"/>
    <w:rsid w:val="009F6568"/>
    <w:rsid w:val="009F7006"/>
    <w:rsid w:val="00A00965"/>
    <w:rsid w:val="00A0324A"/>
    <w:rsid w:val="00A04D24"/>
    <w:rsid w:val="00A05425"/>
    <w:rsid w:val="00A06525"/>
    <w:rsid w:val="00A0692D"/>
    <w:rsid w:val="00A073F0"/>
    <w:rsid w:val="00A1278A"/>
    <w:rsid w:val="00A129AA"/>
    <w:rsid w:val="00A12B6B"/>
    <w:rsid w:val="00A12DEC"/>
    <w:rsid w:val="00A13123"/>
    <w:rsid w:val="00A137AD"/>
    <w:rsid w:val="00A1400C"/>
    <w:rsid w:val="00A14A78"/>
    <w:rsid w:val="00A17040"/>
    <w:rsid w:val="00A20379"/>
    <w:rsid w:val="00A2136E"/>
    <w:rsid w:val="00A21CCD"/>
    <w:rsid w:val="00A2270C"/>
    <w:rsid w:val="00A22740"/>
    <w:rsid w:val="00A23FC2"/>
    <w:rsid w:val="00A246E3"/>
    <w:rsid w:val="00A24BF6"/>
    <w:rsid w:val="00A254E4"/>
    <w:rsid w:val="00A25BD3"/>
    <w:rsid w:val="00A27B7E"/>
    <w:rsid w:val="00A27F5B"/>
    <w:rsid w:val="00A303DB"/>
    <w:rsid w:val="00A3310C"/>
    <w:rsid w:val="00A335E6"/>
    <w:rsid w:val="00A34405"/>
    <w:rsid w:val="00A36875"/>
    <w:rsid w:val="00A37A48"/>
    <w:rsid w:val="00A41772"/>
    <w:rsid w:val="00A41E87"/>
    <w:rsid w:val="00A427B3"/>
    <w:rsid w:val="00A445CC"/>
    <w:rsid w:val="00A47DE7"/>
    <w:rsid w:val="00A50883"/>
    <w:rsid w:val="00A50B4F"/>
    <w:rsid w:val="00A5196D"/>
    <w:rsid w:val="00A51DEF"/>
    <w:rsid w:val="00A526E9"/>
    <w:rsid w:val="00A531B6"/>
    <w:rsid w:val="00A533F8"/>
    <w:rsid w:val="00A550C8"/>
    <w:rsid w:val="00A55602"/>
    <w:rsid w:val="00A565DC"/>
    <w:rsid w:val="00A57713"/>
    <w:rsid w:val="00A57A4F"/>
    <w:rsid w:val="00A61B46"/>
    <w:rsid w:val="00A61C78"/>
    <w:rsid w:val="00A62DC3"/>
    <w:rsid w:val="00A6438A"/>
    <w:rsid w:val="00A64CF2"/>
    <w:rsid w:val="00A65D6D"/>
    <w:rsid w:val="00A65EA2"/>
    <w:rsid w:val="00A666C4"/>
    <w:rsid w:val="00A66ADC"/>
    <w:rsid w:val="00A70059"/>
    <w:rsid w:val="00A70AAA"/>
    <w:rsid w:val="00A7120A"/>
    <w:rsid w:val="00A714C6"/>
    <w:rsid w:val="00A72991"/>
    <w:rsid w:val="00A73F79"/>
    <w:rsid w:val="00A73FC8"/>
    <w:rsid w:val="00A763C7"/>
    <w:rsid w:val="00A76D0A"/>
    <w:rsid w:val="00A80261"/>
    <w:rsid w:val="00A817FF"/>
    <w:rsid w:val="00A81969"/>
    <w:rsid w:val="00A82353"/>
    <w:rsid w:val="00A836CA"/>
    <w:rsid w:val="00A838B9"/>
    <w:rsid w:val="00A83BDE"/>
    <w:rsid w:val="00A8475D"/>
    <w:rsid w:val="00A84D5D"/>
    <w:rsid w:val="00A85426"/>
    <w:rsid w:val="00A86370"/>
    <w:rsid w:val="00A872D2"/>
    <w:rsid w:val="00A9066F"/>
    <w:rsid w:val="00A90827"/>
    <w:rsid w:val="00A9175D"/>
    <w:rsid w:val="00A9456A"/>
    <w:rsid w:val="00A94585"/>
    <w:rsid w:val="00A952B4"/>
    <w:rsid w:val="00A9536A"/>
    <w:rsid w:val="00A95ADC"/>
    <w:rsid w:val="00A97D8B"/>
    <w:rsid w:val="00AA0079"/>
    <w:rsid w:val="00AA0A2D"/>
    <w:rsid w:val="00AA0AB7"/>
    <w:rsid w:val="00AA1F44"/>
    <w:rsid w:val="00AB0D37"/>
    <w:rsid w:val="00AB13A4"/>
    <w:rsid w:val="00AB3750"/>
    <w:rsid w:val="00AB3CD2"/>
    <w:rsid w:val="00AB4404"/>
    <w:rsid w:val="00AB5D7A"/>
    <w:rsid w:val="00AB5F5A"/>
    <w:rsid w:val="00AB6717"/>
    <w:rsid w:val="00AB690E"/>
    <w:rsid w:val="00AB76A8"/>
    <w:rsid w:val="00AB7AA6"/>
    <w:rsid w:val="00AB7E66"/>
    <w:rsid w:val="00AC26F2"/>
    <w:rsid w:val="00AC4BD3"/>
    <w:rsid w:val="00AC6049"/>
    <w:rsid w:val="00AD1647"/>
    <w:rsid w:val="00AD1E0B"/>
    <w:rsid w:val="00AD2969"/>
    <w:rsid w:val="00AD2FF5"/>
    <w:rsid w:val="00AD3B18"/>
    <w:rsid w:val="00AD43BA"/>
    <w:rsid w:val="00AD5861"/>
    <w:rsid w:val="00AD645D"/>
    <w:rsid w:val="00AE002E"/>
    <w:rsid w:val="00AE1B71"/>
    <w:rsid w:val="00AE2B27"/>
    <w:rsid w:val="00AE33A2"/>
    <w:rsid w:val="00AE573E"/>
    <w:rsid w:val="00AE59FB"/>
    <w:rsid w:val="00AE5A86"/>
    <w:rsid w:val="00AE5F27"/>
    <w:rsid w:val="00AE6315"/>
    <w:rsid w:val="00AE7360"/>
    <w:rsid w:val="00AF2A28"/>
    <w:rsid w:val="00AF2DDA"/>
    <w:rsid w:val="00AF351E"/>
    <w:rsid w:val="00AF3705"/>
    <w:rsid w:val="00AF5870"/>
    <w:rsid w:val="00AF6059"/>
    <w:rsid w:val="00AF6787"/>
    <w:rsid w:val="00AF7655"/>
    <w:rsid w:val="00B00C14"/>
    <w:rsid w:val="00B021C0"/>
    <w:rsid w:val="00B03118"/>
    <w:rsid w:val="00B038AA"/>
    <w:rsid w:val="00B04573"/>
    <w:rsid w:val="00B04DC4"/>
    <w:rsid w:val="00B056D8"/>
    <w:rsid w:val="00B06E47"/>
    <w:rsid w:val="00B1004B"/>
    <w:rsid w:val="00B128BB"/>
    <w:rsid w:val="00B13C31"/>
    <w:rsid w:val="00B175DB"/>
    <w:rsid w:val="00B17C48"/>
    <w:rsid w:val="00B20D2B"/>
    <w:rsid w:val="00B21A16"/>
    <w:rsid w:val="00B227B3"/>
    <w:rsid w:val="00B24C44"/>
    <w:rsid w:val="00B260EE"/>
    <w:rsid w:val="00B261E3"/>
    <w:rsid w:val="00B27A40"/>
    <w:rsid w:val="00B321E2"/>
    <w:rsid w:val="00B3225A"/>
    <w:rsid w:val="00B33BC0"/>
    <w:rsid w:val="00B3490B"/>
    <w:rsid w:val="00B35A8D"/>
    <w:rsid w:val="00B35BAB"/>
    <w:rsid w:val="00B366E1"/>
    <w:rsid w:val="00B37537"/>
    <w:rsid w:val="00B41032"/>
    <w:rsid w:val="00B411AA"/>
    <w:rsid w:val="00B444C4"/>
    <w:rsid w:val="00B44C6C"/>
    <w:rsid w:val="00B4568A"/>
    <w:rsid w:val="00B45DEE"/>
    <w:rsid w:val="00B46DEF"/>
    <w:rsid w:val="00B47018"/>
    <w:rsid w:val="00B47537"/>
    <w:rsid w:val="00B5071E"/>
    <w:rsid w:val="00B514A8"/>
    <w:rsid w:val="00B531FB"/>
    <w:rsid w:val="00B53D9F"/>
    <w:rsid w:val="00B55975"/>
    <w:rsid w:val="00B55B9F"/>
    <w:rsid w:val="00B55F22"/>
    <w:rsid w:val="00B562DA"/>
    <w:rsid w:val="00B56D8D"/>
    <w:rsid w:val="00B57F24"/>
    <w:rsid w:val="00B61D3F"/>
    <w:rsid w:val="00B61D65"/>
    <w:rsid w:val="00B61E98"/>
    <w:rsid w:val="00B62712"/>
    <w:rsid w:val="00B62DD2"/>
    <w:rsid w:val="00B62E81"/>
    <w:rsid w:val="00B633B7"/>
    <w:rsid w:val="00B657C3"/>
    <w:rsid w:val="00B669C7"/>
    <w:rsid w:val="00B6744D"/>
    <w:rsid w:val="00B71957"/>
    <w:rsid w:val="00B7211D"/>
    <w:rsid w:val="00B72565"/>
    <w:rsid w:val="00B72D44"/>
    <w:rsid w:val="00B732ED"/>
    <w:rsid w:val="00B73E97"/>
    <w:rsid w:val="00B74732"/>
    <w:rsid w:val="00B748B2"/>
    <w:rsid w:val="00B77CE5"/>
    <w:rsid w:val="00B800B3"/>
    <w:rsid w:val="00B82D6E"/>
    <w:rsid w:val="00B849FB"/>
    <w:rsid w:val="00B854BD"/>
    <w:rsid w:val="00B86187"/>
    <w:rsid w:val="00B87069"/>
    <w:rsid w:val="00B9082C"/>
    <w:rsid w:val="00B9424D"/>
    <w:rsid w:val="00B94C2E"/>
    <w:rsid w:val="00B94CA9"/>
    <w:rsid w:val="00B96181"/>
    <w:rsid w:val="00B963A0"/>
    <w:rsid w:val="00B97D14"/>
    <w:rsid w:val="00BA0288"/>
    <w:rsid w:val="00BA03B1"/>
    <w:rsid w:val="00BA1B75"/>
    <w:rsid w:val="00BA37C9"/>
    <w:rsid w:val="00BA3839"/>
    <w:rsid w:val="00BA4F9C"/>
    <w:rsid w:val="00BA5032"/>
    <w:rsid w:val="00BA6914"/>
    <w:rsid w:val="00BA7953"/>
    <w:rsid w:val="00BA79D7"/>
    <w:rsid w:val="00BA79E4"/>
    <w:rsid w:val="00BB0B39"/>
    <w:rsid w:val="00BB0C46"/>
    <w:rsid w:val="00BB4C31"/>
    <w:rsid w:val="00BB6941"/>
    <w:rsid w:val="00BB6B41"/>
    <w:rsid w:val="00BB7E82"/>
    <w:rsid w:val="00BC000F"/>
    <w:rsid w:val="00BC0D69"/>
    <w:rsid w:val="00BC2936"/>
    <w:rsid w:val="00BC2FEB"/>
    <w:rsid w:val="00BC3288"/>
    <w:rsid w:val="00BC3A00"/>
    <w:rsid w:val="00BC3DA1"/>
    <w:rsid w:val="00BC3F8C"/>
    <w:rsid w:val="00BC4603"/>
    <w:rsid w:val="00BC50A2"/>
    <w:rsid w:val="00BC5804"/>
    <w:rsid w:val="00BC5BA0"/>
    <w:rsid w:val="00BC6F2E"/>
    <w:rsid w:val="00BC75DC"/>
    <w:rsid w:val="00BD0575"/>
    <w:rsid w:val="00BD1396"/>
    <w:rsid w:val="00BD4B47"/>
    <w:rsid w:val="00BD4E10"/>
    <w:rsid w:val="00BD5005"/>
    <w:rsid w:val="00BD6B3D"/>
    <w:rsid w:val="00BD6BD1"/>
    <w:rsid w:val="00BE05A3"/>
    <w:rsid w:val="00BE07F7"/>
    <w:rsid w:val="00BE19F8"/>
    <w:rsid w:val="00BE3138"/>
    <w:rsid w:val="00BE4CB2"/>
    <w:rsid w:val="00BE51E7"/>
    <w:rsid w:val="00BE5BFC"/>
    <w:rsid w:val="00BE6334"/>
    <w:rsid w:val="00BE6789"/>
    <w:rsid w:val="00BE6C91"/>
    <w:rsid w:val="00BE6F91"/>
    <w:rsid w:val="00BE707B"/>
    <w:rsid w:val="00BF0AD1"/>
    <w:rsid w:val="00BF297D"/>
    <w:rsid w:val="00BF3763"/>
    <w:rsid w:val="00BF499E"/>
    <w:rsid w:val="00BF4DA0"/>
    <w:rsid w:val="00BF7B02"/>
    <w:rsid w:val="00C0083E"/>
    <w:rsid w:val="00C016AE"/>
    <w:rsid w:val="00C019F6"/>
    <w:rsid w:val="00C01DB7"/>
    <w:rsid w:val="00C02FEC"/>
    <w:rsid w:val="00C03B20"/>
    <w:rsid w:val="00C03DB4"/>
    <w:rsid w:val="00C04D41"/>
    <w:rsid w:val="00C0547C"/>
    <w:rsid w:val="00C05A1A"/>
    <w:rsid w:val="00C06A0E"/>
    <w:rsid w:val="00C073C6"/>
    <w:rsid w:val="00C117AA"/>
    <w:rsid w:val="00C1201A"/>
    <w:rsid w:val="00C1203E"/>
    <w:rsid w:val="00C126D1"/>
    <w:rsid w:val="00C1431E"/>
    <w:rsid w:val="00C145CB"/>
    <w:rsid w:val="00C151A1"/>
    <w:rsid w:val="00C1624F"/>
    <w:rsid w:val="00C16C9F"/>
    <w:rsid w:val="00C16E57"/>
    <w:rsid w:val="00C20D93"/>
    <w:rsid w:val="00C21955"/>
    <w:rsid w:val="00C23360"/>
    <w:rsid w:val="00C23A87"/>
    <w:rsid w:val="00C23DCB"/>
    <w:rsid w:val="00C25CF7"/>
    <w:rsid w:val="00C269C3"/>
    <w:rsid w:val="00C27E8D"/>
    <w:rsid w:val="00C30143"/>
    <w:rsid w:val="00C31CBD"/>
    <w:rsid w:val="00C323A3"/>
    <w:rsid w:val="00C33F15"/>
    <w:rsid w:val="00C35B0F"/>
    <w:rsid w:val="00C37969"/>
    <w:rsid w:val="00C37EBE"/>
    <w:rsid w:val="00C40B5D"/>
    <w:rsid w:val="00C41179"/>
    <w:rsid w:val="00C41CBA"/>
    <w:rsid w:val="00C42859"/>
    <w:rsid w:val="00C437B7"/>
    <w:rsid w:val="00C44DD8"/>
    <w:rsid w:val="00C45DB4"/>
    <w:rsid w:val="00C47F88"/>
    <w:rsid w:val="00C50C79"/>
    <w:rsid w:val="00C512C3"/>
    <w:rsid w:val="00C51F59"/>
    <w:rsid w:val="00C5274F"/>
    <w:rsid w:val="00C54922"/>
    <w:rsid w:val="00C555A4"/>
    <w:rsid w:val="00C565F6"/>
    <w:rsid w:val="00C57A7E"/>
    <w:rsid w:val="00C604BC"/>
    <w:rsid w:val="00C60BFF"/>
    <w:rsid w:val="00C617EE"/>
    <w:rsid w:val="00C6195E"/>
    <w:rsid w:val="00C62C1B"/>
    <w:rsid w:val="00C6313E"/>
    <w:rsid w:val="00C66005"/>
    <w:rsid w:val="00C66639"/>
    <w:rsid w:val="00C66A69"/>
    <w:rsid w:val="00C7071D"/>
    <w:rsid w:val="00C709BA"/>
    <w:rsid w:val="00C70E8A"/>
    <w:rsid w:val="00C71598"/>
    <w:rsid w:val="00C71E80"/>
    <w:rsid w:val="00C73109"/>
    <w:rsid w:val="00C74FBE"/>
    <w:rsid w:val="00C75D4D"/>
    <w:rsid w:val="00C76676"/>
    <w:rsid w:val="00C776CA"/>
    <w:rsid w:val="00C77BAA"/>
    <w:rsid w:val="00C77BE8"/>
    <w:rsid w:val="00C80C55"/>
    <w:rsid w:val="00C81522"/>
    <w:rsid w:val="00C83853"/>
    <w:rsid w:val="00C8701D"/>
    <w:rsid w:val="00C92A0E"/>
    <w:rsid w:val="00C92B9E"/>
    <w:rsid w:val="00C9330B"/>
    <w:rsid w:val="00C93A71"/>
    <w:rsid w:val="00C93E67"/>
    <w:rsid w:val="00C9464A"/>
    <w:rsid w:val="00C95C05"/>
    <w:rsid w:val="00C95C53"/>
    <w:rsid w:val="00C9744B"/>
    <w:rsid w:val="00C974BE"/>
    <w:rsid w:val="00C978E3"/>
    <w:rsid w:val="00CA0161"/>
    <w:rsid w:val="00CA0A80"/>
    <w:rsid w:val="00CA0AE7"/>
    <w:rsid w:val="00CA1EC6"/>
    <w:rsid w:val="00CA1F73"/>
    <w:rsid w:val="00CA468C"/>
    <w:rsid w:val="00CA4C6C"/>
    <w:rsid w:val="00CA6AE7"/>
    <w:rsid w:val="00CB1018"/>
    <w:rsid w:val="00CB1CCB"/>
    <w:rsid w:val="00CB20E7"/>
    <w:rsid w:val="00CB249A"/>
    <w:rsid w:val="00CB2678"/>
    <w:rsid w:val="00CB2928"/>
    <w:rsid w:val="00CB3420"/>
    <w:rsid w:val="00CB3B34"/>
    <w:rsid w:val="00CB44B9"/>
    <w:rsid w:val="00CB4C2F"/>
    <w:rsid w:val="00CB5ED5"/>
    <w:rsid w:val="00CB6852"/>
    <w:rsid w:val="00CB70B0"/>
    <w:rsid w:val="00CB7200"/>
    <w:rsid w:val="00CB7687"/>
    <w:rsid w:val="00CB7766"/>
    <w:rsid w:val="00CC0B1F"/>
    <w:rsid w:val="00CC19BC"/>
    <w:rsid w:val="00CC1D9B"/>
    <w:rsid w:val="00CC7AB1"/>
    <w:rsid w:val="00CD0DB4"/>
    <w:rsid w:val="00CD1C1C"/>
    <w:rsid w:val="00CD1E56"/>
    <w:rsid w:val="00CD2CA9"/>
    <w:rsid w:val="00CD324E"/>
    <w:rsid w:val="00CD4C5C"/>
    <w:rsid w:val="00CD6F75"/>
    <w:rsid w:val="00CD7711"/>
    <w:rsid w:val="00CE03C4"/>
    <w:rsid w:val="00CE050B"/>
    <w:rsid w:val="00CE0B31"/>
    <w:rsid w:val="00CE0F15"/>
    <w:rsid w:val="00CE2371"/>
    <w:rsid w:val="00CE3A3C"/>
    <w:rsid w:val="00CE44C0"/>
    <w:rsid w:val="00CE5997"/>
    <w:rsid w:val="00CF0258"/>
    <w:rsid w:val="00CF056B"/>
    <w:rsid w:val="00CF05FA"/>
    <w:rsid w:val="00CF088C"/>
    <w:rsid w:val="00CF0E3E"/>
    <w:rsid w:val="00CF1614"/>
    <w:rsid w:val="00CF2BB5"/>
    <w:rsid w:val="00CF33EE"/>
    <w:rsid w:val="00CF3C2C"/>
    <w:rsid w:val="00CF5CA5"/>
    <w:rsid w:val="00CF72A2"/>
    <w:rsid w:val="00D02AA3"/>
    <w:rsid w:val="00D06755"/>
    <w:rsid w:val="00D068D3"/>
    <w:rsid w:val="00D06E44"/>
    <w:rsid w:val="00D07712"/>
    <w:rsid w:val="00D10723"/>
    <w:rsid w:val="00D108DF"/>
    <w:rsid w:val="00D11205"/>
    <w:rsid w:val="00D11D2A"/>
    <w:rsid w:val="00D11E5E"/>
    <w:rsid w:val="00D12CBC"/>
    <w:rsid w:val="00D20396"/>
    <w:rsid w:val="00D21B69"/>
    <w:rsid w:val="00D224CC"/>
    <w:rsid w:val="00D22831"/>
    <w:rsid w:val="00D22B58"/>
    <w:rsid w:val="00D22C91"/>
    <w:rsid w:val="00D2386A"/>
    <w:rsid w:val="00D2468C"/>
    <w:rsid w:val="00D249D0"/>
    <w:rsid w:val="00D24BAA"/>
    <w:rsid w:val="00D25E6A"/>
    <w:rsid w:val="00D265F0"/>
    <w:rsid w:val="00D27EE6"/>
    <w:rsid w:val="00D30CB1"/>
    <w:rsid w:val="00D3306D"/>
    <w:rsid w:val="00D3313B"/>
    <w:rsid w:val="00D34401"/>
    <w:rsid w:val="00D34A89"/>
    <w:rsid w:val="00D35CFB"/>
    <w:rsid w:val="00D35E4E"/>
    <w:rsid w:val="00D37408"/>
    <w:rsid w:val="00D375F2"/>
    <w:rsid w:val="00D42C85"/>
    <w:rsid w:val="00D42D2F"/>
    <w:rsid w:val="00D42FBD"/>
    <w:rsid w:val="00D4355A"/>
    <w:rsid w:val="00D4394C"/>
    <w:rsid w:val="00D45D0E"/>
    <w:rsid w:val="00D472C1"/>
    <w:rsid w:val="00D50ABE"/>
    <w:rsid w:val="00D51496"/>
    <w:rsid w:val="00D51B94"/>
    <w:rsid w:val="00D52F89"/>
    <w:rsid w:val="00D5343F"/>
    <w:rsid w:val="00D57BC8"/>
    <w:rsid w:val="00D60798"/>
    <w:rsid w:val="00D610BD"/>
    <w:rsid w:val="00D611F6"/>
    <w:rsid w:val="00D63668"/>
    <w:rsid w:val="00D64A11"/>
    <w:rsid w:val="00D65329"/>
    <w:rsid w:val="00D673C8"/>
    <w:rsid w:val="00D67FA3"/>
    <w:rsid w:val="00D70234"/>
    <w:rsid w:val="00D70B06"/>
    <w:rsid w:val="00D71DC9"/>
    <w:rsid w:val="00D720FC"/>
    <w:rsid w:val="00D73D68"/>
    <w:rsid w:val="00D749C2"/>
    <w:rsid w:val="00D749CE"/>
    <w:rsid w:val="00D76B9E"/>
    <w:rsid w:val="00D770BA"/>
    <w:rsid w:val="00D7714B"/>
    <w:rsid w:val="00D774FE"/>
    <w:rsid w:val="00D803C8"/>
    <w:rsid w:val="00D80BB6"/>
    <w:rsid w:val="00D825DD"/>
    <w:rsid w:val="00D84445"/>
    <w:rsid w:val="00D8560D"/>
    <w:rsid w:val="00D90600"/>
    <w:rsid w:val="00D91B20"/>
    <w:rsid w:val="00D91C33"/>
    <w:rsid w:val="00D93442"/>
    <w:rsid w:val="00D97265"/>
    <w:rsid w:val="00DA0159"/>
    <w:rsid w:val="00DA05E4"/>
    <w:rsid w:val="00DA0F22"/>
    <w:rsid w:val="00DA1523"/>
    <w:rsid w:val="00DA23AB"/>
    <w:rsid w:val="00DA389C"/>
    <w:rsid w:val="00DA3E24"/>
    <w:rsid w:val="00DA5007"/>
    <w:rsid w:val="00DB219F"/>
    <w:rsid w:val="00DB3E83"/>
    <w:rsid w:val="00DB434A"/>
    <w:rsid w:val="00DB4380"/>
    <w:rsid w:val="00DB4F16"/>
    <w:rsid w:val="00DC5D72"/>
    <w:rsid w:val="00DC5F3F"/>
    <w:rsid w:val="00DD0198"/>
    <w:rsid w:val="00DD1DB3"/>
    <w:rsid w:val="00DD3083"/>
    <w:rsid w:val="00DD3AA5"/>
    <w:rsid w:val="00DD4A7A"/>
    <w:rsid w:val="00DD4FE7"/>
    <w:rsid w:val="00DD54F0"/>
    <w:rsid w:val="00DD5FCC"/>
    <w:rsid w:val="00DD7F48"/>
    <w:rsid w:val="00DE0052"/>
    <w:rsid w:val="00DE0A8A"/>
    <w:rsid w:val="00DE0AF9"/>
    <w:rsid w:val="00DE1899"/>
    <w:rsid w:val="00DE3671"/>
    <w:rsid w:val="00DE58B3"/>
    <w:rsid w:val="00DE5E74"/>
    <w:rsid w:val="00DE6D24"/>
    <w:rsid w:val="00DE7C4A"/>
    <w:rsid w:val="00DF0546"/>
    <w:rsid w:val="00DF0DC9"/>
    <w:rsid w:val="00DF1A06"/>
    <w:rsid w:val="00DF1C11"/>
    <w:rsid w:val="00DF364B"/>
    <w:rsid w:val="00DF4F01"/>
    <w:rsid w:val="00DF52FF"/>
    <w:rsid w:val="00DF7D24"/>
    <w:rsid w:val="00E001D4"/>
    <w:rsid w:val="00E007CB"/>
    <w:rsid w:val="00E0145A"/>
    <w:rsid w:val="00E01DFA"/>
    <w:rsid w:val="00E02497"/>
    <w:rsid w:val="00E038F8"/>
    <w:rsid w:val="00E03BF1"/>
    <w:rsid w:val="00E0449E"/>
    <w:rsid w:val="00E05268"/>
    <w:rsid w:val="00E060D7"/>
    <w:rsid w:val="00E0619E"/>
    <w:rsid w:val="00E06C4D"/>
    <w:rsid w:val="00E06EDE"/>
    <w:rsid w:val="00E10482"/>
    <w:rsid w:val="00E108ED"/>
    <w:rsid w:val="00E10F38"/>
    <w:rsid w:val="00E118FB"/>
    <w:rsid w:val="00E13716"/>
    <w:rsid w:val="00E1464A"/>
    <w:rsid w:val="00E1579B"/>
    <w:rsid w:val="00E16E2D"/>
    <w:rsid w:val="00E172DB"/>
    <w:rsid w:val="00E2042C"/>
    <w:rsid w:val="00E21A13"/>
    <w:rsid w:val="00E232B1"/>
    <w:rsid w:val="00E23C89"/>
    <w:rsid w:val="00E309ED"/>
    <w:rsid w:val="00E3166F"/>
    <w:rsid w:val="00E31992"/>
    <w:rsid w:val="00E33000"/>
    <w:rsid w:val="00E340A8"/>
    <w:rsid w:val="00E35CE2"/>
    <w:rsid w:val="00E35D22"/>
    <w:rsid w:val="00E35D50"/>
    <w:rsid w:val="00E363C4"/>
    <w:rsid w:val="00E41A19"/>
    <w:rsid w:val="00E425ED"/>
    <w:rsid w:val="00E435C8"/>
    <w:rsid w:val="00E45CB1"/>
    <w:rsid w:val="00E46894"/>
    <w:rsid w:val="00E47070"/>
    <w:rsid w:val="00E51679"/>
    <w:rsid w:val="00E51DFF"/>
    <w:rsid w:val="00E51ECD"/>
    <w:rsid w:val="00E520A6"/>
    <w:rsid w:val="00E5285A"/>
    <w:rsid w:val="00E54420"/>
    <w:rsid w:val="00E54448"/>
    <w:rsid w:val="00E546D2"/>
    <w:rsid w:val="00E554E0"/>
    <w:rsid w:val="00E564F3"/>
    <w:rsid w:val="00E57B55"/>
    <w:rsid w:val="00E60814"/>
    <w:rsid w:val="00E61326"/>
    <w:rsid w:val="00E633E6"/>
    <w:rsid w:val="00E65195"/>
    <w:rsid w:val="00E653A7"/>
    <w:rsid w:val="00E661C0"/>
    <w:rsid w:val="00E6651A"/>
    <w:rsid w:val="00E702B3"/>
    <w:rsid w:val="00E70622"/>
    <w:rsid w:val="00E71323"/>
    <w:rsid w:val="00E71AC4"/>
    <w:rsid w:val="00E724CE"/>
    <w:rsid w:val="00E7522C"/>
    <w:rsid w:val="00E76277"/>
    <w:rsid w:val="00E76710"/>
    <w:rsid w:val="00E77508"/>
    <w:rsid w:val="00E77EB0"/>
    <w:rsid w:val="00E80965"/>
    <w:rsid w:val="00E80A9E"/>
    <w:rsid w:val="00E81349"/>
    <w:rsid w:val="00E81892"/>
    <w:rsid w:val="00E8221D"/>
    <w:rsid w:val="00E84AD7"/>
    <w:rsid w:val="00E853BF"/>
    <w:rsid w:val="00E8696B"/>
    <w:rsid w:val="00E879DD"/>
    <w:rsid w:val="00E90192"/>
    <w:rsid w:val="00E907D4"/>
    <w:rsid w:val="00E91A9E"/>
    <w:rsid w:val="00E91CBD"/>
    <w:rsid w:val="00E91F00"/>
    <w:rsid w:val="00E9259E"/>
    <w:rsid w:val="00E94A3B"/>
    <w:rsid w:val="00E9500B"/>
    <w:rsid w:val="00E96358"/>
    <w:rsid w:val="00E97956"/>
    <w:rsid w:val="00E97A21"/>
    <w:rsid w:val="00EA03F5"/>
    <w:rsid w:val="00EA04FB"/>
    <w:rsid w:val="00EA06B0"/>
    <w:rsid w:val="00EA2324"/>
    <w:rsid w:val="00EA24A8"/>
    <w:rsid w:val="00EA25DD"/>
    <w:rsid w:val="00EA3B32"/>
    <w:rsid w:val="00EA3F4E"/>
    <w:rsid w:val="00EA4DF0"/>
    <w:rsid w:val="00EA5630"/>
    <w:rsid w:val="00EA5817"/>
    <w:rsid w:val="00EA58D1"/>
    <w:rsid w:val="00EA5B16"/>
    <w:rsid w:val="00EA6029"/>
    <w:rsid w:val="00EA6F2A"/>
    <w:rsid w:val="00EA7338"/>
    <w:rsid w:val="00EB1B18"/>
    <w:rsid w:val="00EB1CA9"/>
    <w:rsid w:val="00EB205C"/>
    <w:rsid w:val="00EB23C8"/>
    <w:rsid w:val="00EB4B06"/>
    <w:rsid w:val="00EB531C"/>
    <w:rsid w:val="00EB5452"/>
    <w:rsid w:val="00EB6433"/>
    <w:rsid w:val="00EB664C"/>
    <w:rsid w:val="00EC1415"/>
    <w:rsid w:val="00EC1D6C"/>
    <w:rsid w:val="00EC2222"/>
    <w:rsid w:val="00EC2472"/>
    <w:rsid w:val="00EC2739"/>
    <w:rsid w:val="00EC3042"/>
    <w:rsid w:val="00EC3388"/>
    <w:rsid w:val="00EC542F"/>
    <w:rsid w:val="00EC5D42"/>
    <w:rsid w:val="00EC66CE"/>
    <w:rsid w:val="00EC6ACD"/>
    <w:rsid w:val="00EC6F93"/>
    <w:rsid w:val="00ED1BDF"/>
    <w:rsid w:val="00ED2505"/>
    <w:rsid w:val="00ED468C"/>
    <w:rsid w:val="00ED5808"/>
    <w:rsid w:val="00ED70A7"/>
    <w:rsid w:val="00ED773E"/>
    <w:rsid w:val="00EE140E"/>
    <w:rsid w:val="00EE437B"/>
    <w:rsid w:val="00EE4621"/>
    <w:rsid w:val="00EE4E9E"/>
    <w:rsid w:val="00EE7598"/>
    <w:rsid w:val="00EF012B"/>
    <w:rsid w:val="00EF02FB"/>
    <w:rsid w:val="00EF0446"/>
    <w:rsid w:val="00EF6B07"/>
    <w:rsid w:val="00EF7BC9"/>
    <w:rsid w:val="00EF7CA2"/>
    <w:rsid w:val="00EF7F81"/>
    <w:rsid w:val="00F02181"/>
    <w:rsid w:val="00F036E7"/>
    <w:rsid w:val="00F038D3"/>
    <w:rsid w:val="00F04011"/>
    <w:rsid w:val="00F0683D"/>
    <w:rsid w:val="00F06B97"/>
    <w:rsid w:val="00F06F9F"/>
    <w:rsid w:val="00F06FDC"/>
    <w:rsid w:val="00F1268F"/>
    <w:rsid w:val="00F15BED"/>
    <w:rsid w:val="00F15C44"/>
    <w:rsid w:val="00F15DEA"/>
    <w:rsid w:val="00F16183"/>
    <w:rsid w:val="00F16567"/>
    <w:rsid w:val="00F168A8"/>
    <w:rsid w:val="00F17F01"/>
    <w:rsid w:val="00F21960"/>
    <w:rsid w:val="00F22931"/>
    <w:rsid w:val="00F24411"/>
    <w:rsid w:val="00F24E9E"/>
    <w:rsid w:val="00F251B5"/>
    <w:rsid w:val="00F25A1A"/>
    <w:rsid w:val="00F261D5"/>
    <w:rsid w:val="00F2743F"/>
    <w:rsid w:val="00F27CE9"/>
    <w:rsid w:val="00F3003F"/>
    <w:rsid w:val="00F30BB9"/>
    <w:rsid w:val="00F31832"/>
    <w:rsid w:val="00F3206C"/>
    <w:rsid w:val="00F3241A"/>
    <w:rsid w:val="00F33B2D"/>
    <w:rsid w:val="00F347B6"/>
    <w:rsid w:val="00F34DFD"/>
    <w:rsid w:val="00F3577B"/>
    <w:rsid w:val="00F35B18"/>
    <w:rsid w:val="00F3627E"/>
    <w:rsid w:val="00F36613"/>
    <w:rsid w:val="00F369F2"/>
    <w:rsid w:val="00F37CD4"/>
    <w:rsid w:val="00F402A7"/>
    <w:rsid w:val="00F41FCA"/>
    <w:rsid w:val="00F421B3"/>
    <w:rsid w:val="00F42917"/>
    <w:rsid w:val="00F42C6F"/>
    <w:rsid w:val="00F43032"/>
    <w:rsid w:val="00F43091"/>
    <w:rsid w:val="00F4388B"/>
    <w:rsid w:val="00F441FC"/>
    <w:rsid w:val="00F44CD7"/>
    <w:rsid w:val="00F466F2"/>
    <w:rsid w:val="00F46819"/>
    <w:rsid w:val="00F47246"/>
    <w:rsid w:val="00F472F2"/>
    <w:rsid w:val="00F54385"/>
    <w:rsid w:val="00F54B40"/>
    <w:rsid w:val="00F5598D"/>
    <w:rsid w:val="00F5613A"/>
    <w:rsid w:val="00F566D3"/>
    <w:rsid w:val="00F567F6"/>
    <w:rsid w:val="00F56CA5"/>
    <w:rsid w:val="00F5786D"/>
    <w:rsid w:val="00F61785"/>
    <w:rsid w:val="00F61B74"/>
    <w:rsid w:val="00F61BCF"/>
    <w:rsid w:val="00F61BFB"/>
    <w:rsid w:val="00F63449"/>
    <w:rsid w:val="00F637CF"/>
    <w:rsid w:val="00F63F61"/>
    <w:rsid w:val="00F64CD4"/>
    <w:rsid w:val="00F64F9E"/>
    <w:rsid w:val="00F66316"/>
    <w:rsid w:val="00F66664"/>
    <w:rsid w:val="00F668CE"/>
    <w:rsid w:val="00F6692C"/>
    <w:rsid w:val="00F7020C"/>
    <w:rsid w:val="00F70DA6"/>
    <w:rsid w:val="00F712C2"/>
    <w:rsid w:val="00F71483"/>
    <w:rsid w:val="00F71CCB"/>
    <w:rsid w:val="00F72254"/>
    <w:rsid w:val="00F73666"/>
    <w:rsid w:val="00F74F09"/>
    <w:rsid w:val="00F75C2C"/>
    <w:rsid w:val="00F7631D"/>
    <w:rsid w:val="00F76666"/>
    <w:rsid w:val="00F76D95"/>
    <w:rsid w:val="00F7712B"/>
    <w:rsid w:val="00F77CF2"/>
    <w:rsid w:val="00F8065C"/>
    <w:rsid w:val="00F8101A"/>
    <w:rsid w:val="00F81191"/>
    <w:rsid w:val="00F82E14"/>
    <w:rsid w:val="00F83908"/>
    <w:rsid w:val="00F8481C"/>
    <w:rsid w:val="00F84A5D"/>
    <w:rsid w:val="00F856DE"/>
    <w:rsid w:val="00F863D5"/>
    <w:rsid w:val="00F86566"/>
    <w:rsid w:val="00F86EC2"/>
    <w:rsid w:val="00F873D6"/>
    <w:rsid w:val="00F90B57"/>
    <w:rsid w:val="00F90E6E"/>
    <w:rsid w:val="00F92062"/>
    <w:rsid w:val="00F9218B"/>
    <w:rsid w:val="00F92671"/>
    <w:rsid w:val="00F92EEA"/>
    <w:rsid w:val="00F93349"/>
    <w:rsid w:val="00F9444F"/>
    <w:rsid w:val="00F96D9F"/>
    <w:rsid w:val="00F9719E"/>
    <w:rsid w:val="00FA002B"/>
    <w:rsid w:val="00FA1544"/>
    <w:rsid w:val="00FA28EC"/>
    <w:rsid w:val="00FA2E47"/>
    <w:rsid w:val="00FA395C"/>
    <w:rsid w:val="00FA39AD"/>
    <w:rsid w:val="00FA3B52"/>
    <w:rsid w:val="00FA3FBF"/>
    <w:rsid w:val="00FA4B93"/>
    <w:rsid w:val="00FA4C5D"/>
    <w:rsid w:val="00FA4E21"/>
    <w:rsid w:val="00FA540B"/>
    <w:rsid w:val="00FA643A"/>
    <w:rsid w:val="00FA64BA"/>
    <w:rsid w:val="00FA6B49"/>
    <w:rsid w:val="00FA71CD"/>
    <w:rsid w:val="00FB0CDE"/>
    <w:rsid w:val="00FB1406"/>
    <w:rsid w:val="00FB267C"/>
    <w:rsid w:val="00FB296B"/>
    <w:rsid w:val="00FB4401"/>
    <w:rsid w:val="00FB69B5"/>
    <w:rsid w:val="00FB7634"/>
    <w:rsid w:val="00FB766F"/>
    <w:rsid w:val="00FC06B2"/>
    <w:rsid w:val="00FC0FB4"/>
    <w:rsid w:val="00FC1887"/>
    <w:rsid w:val="00FC198E"/>
    <w:rsid w:val="00FC30F6"/>
    <w:rsid w:val="00FC3230"/>
    <w:rsid w:val="00FC4BF0"/>
    <w:rsid w:val="00FC59E1"/>
    <w:rsid w:val="00FD0DF4"/>
    <w:rsid w:val="00FD14BA"/>
    <w:rsid w:val="00FD1843"/>
    <w:rsid w:val="00FD1DC3"/>
    <w:rsid w:val="00FD3293"/>
    <w:rsid w:val="00FD3389"/>
    <w:rsid w:val="00FD3683"/>
    <w:rsid w:val="00FD3A9D"/>
    <w:rsid w:val="00FD4746"/>
    <w:rsid w:val="00FD5EC6"/>
    <w:rsid w:val="00FE263A"/>
    <w:rsid w:val="00FE2E0A"/>
    <w:rsid w:val="00FE2F5E"/>
    <w:rsid w:val="00FE5BD1"/>
    <w:rsid w:val="00FE5E35"/>
    <w:rsid w:val="00FE6D96"/>
    <w:rsid w:val="00FE704B"/>
    <w:rsid w:val="00FE71BE"/>
    <w:rsid w:val="00FE742E"/>
    <w:rsid w:val="00FF06A2"/>
    <w:rsid w:val="00FF1C8C"/>
    <w:rsid w:val="00FF3972"/>
    <w:rsid w:val="00FF5540"/>
    <w:rsid w:val="00FF5EC0"/>
    <w:rsid w:val="00FF5FE6"/>
    <w:rsid w:val="00FF68AC"/>
    <w:rsid w:val="00FF7A09"/>
  </w:rsids>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487FD6"/>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5B2E63"/>
    <w:pPr>
      <w:tabs>
        <w:tab w:val="left" w:pos="270"/>
        <w:tab w:val="right" w:leader="dot" w:pos="9350"/>
      </w:tabs>
    </w:pPr>
    <w:rPr>
      <w:rFonts w:ascii="Arial Nova" w:hAnsi="Arial Nova" w:cstheme="minorHAnsi"/>
      <w:noProof/>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uiPriority w:val="99"/>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character" w:styleId="UnresolvedMention">
    <w:name w:val="Unresolved Mention"/>
    <w:basedOn w:val="DefaultParagraphFont"/>
    <w:uiPriority w:val="99"/>
    <w:semiHidden/>
    <w:unhideWhenUsed/>
    <w:rsid w:val="00BC3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hyperlink" Target="file:///\\cdc.gov\project\NCHHSTP_DSTD_Admin\PDQIB_NNPTC_Documents\PS20-2004\Evaluation\OMB%20Files%20For%20HPAT\OMB%20Extension-2022\30-Day%20FRN\Bureau%20of%20Labor%20Statistics" TargetMode="External" /><Relationship Id="rId13" Type="http://schemas.openxmlformats.org/officeDocument/2006/relationships/hyperlink" Target="http://www.bls.gov/oes/current/oes290000.htm" TargetMode="External" /><Relationship Id="rId14" Type="http://schemas.openxmlformats.org/officeDocument/2006/relationships/footer" Target="footer2.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Heading2Char"/>
            </w:rPr>
            <w:t>[Company]</w:t>
          </w:r>
        </w:p>
      </w:docPartBody>
    </w:docPart>
    <w:docPart>
      <w:docPartPr>
        <w:name w:val="42A4B6D111B74DE5B010E6D835C46139"/>
        <w:category>
          <w:name w:val="General"/>
          <w:gallery w:val="placeholder"/>
        </w:category>
        <w:types>
          <w:type w:val="bbPlcHdr"/>
        </w:types>
        <w:behaviors>
          <w:behavior w:val="content"/>
        </w:behaviors>
        <w:guid w:val="{5D5B105D-2A83-48C2-A5CD-BAAC888E2A45}"/>
      </w:docPartPr>
      <w:docPartBody>
        <w:p w:rsidR="005054C6" w:rsidP="00FC1887">
          <w:hyperlink w:anchor="_A17._Reason(s)_Display" w:tooltip="TOOLTIP: Make your titles consistent" w:history="1">
            <w:r w:rsidRPr="00514AF7" w:rsidR="00FC1887">
              <w:rPr>
                <w:rFonts w:ascii="Arial Nova" w:hAnsi="Arial Nova"/>
                <w:color w:val="000000" w:themeColor="text1"/>
              </w:rPr>
              <w:t>[Click here to enter the Information Collection project title]</w:t>
            </w:r>
          </w:hyperlink>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FC1887">
          <w:r w:rsidRPr="00F06B97">
            <w:rPr>
              <w:rStyle w:val="Heading2Char"/>
              <w:rFonts w:ascii="Arial Nova" w:hAnsi="Arial Nova"/>
            </w:rPr>
            <w:t xml:space="preserve">[Click here to enter </w:t>
          </w:r>
          <w:r>
            <w:rPr>
              <w:rStyle w:val="Heading2Char"/>
              <w:rFonts w:ascii="Arial Nova" w:hAnsi="Arial Nova"/>
            </w:rPr>
            <w:t>submission</w:t>
          </w:r>
          <w:r w:rsidRPr="00F06B97">
            <w:rPr>
              <w:rStyle w:val="Heading2Char"/>
              <w:rFonts w:ascii="Arial Nova" w:hAnsi="Arial Nova"/>
            </w:rPr>
            <w:t xml:space="preserve"> date</w:t>
          </w:r>
          <w:r>
            <w:rPr>
              <w:rStyle w:val="Heading2Char"/>
              <w:rFonts w:ascii="Arial Nova" w:hAnsi="Arial Nova"/>
            </w:rPr>
            <w:t xml:space="preserve"> Month day, 20##</w:t>
          </w:r>
          <w:r w:rsidRPr="00F06B97">
            <w:rPr>
              <w:rStyle w:val="Heading2Char"/>
              <w:rFonts w:ascii="Arial Nova" w:hAnsi="Arial Nova"/>
            </w:rPr>
            <w:t>]</w:t>
          </w:r>
        </w:p>
      </w:docPartBody>
    </w:docPart>
    <w:docPart>
      <w:docPartPr>
        <w:name w:val="9053CA08DA7740ACB744EB681C8BB95C"/>
        <w:category>
          <w:name w:val="General"/>
          <w:gallery w:val="placeholder"/>
        </w:category>
        <w:types>
          <w:type w:val="bbPlcHdr"/>
        </w:types>
        <w:behaviors>
          <w:behavior w:val="content"/>
        </w:behaviors>
        <w:guid w:val="{97755A39-5C6C-4F60-8CD3-47F8DDA95D8C}"/>
      </w:docPartPr>
      <w:docPartBody>
        <w:p w:rsidR="00530D61" w:rsidP="00FC1887">
          <w:r>
            <w:rPr>
              <w:rStyle w:val="Heading2Char"/>
              <w:rFonts w:ascii="Arial Nova" w:hAnsi="Arial Nova"/>
            </w:rPr>
            <w:t>[Choose a document type from the drop down</w:t>
          </w:r>
          <w:r w:rsidRPr="00F06B97">
            <w:rPr>
              <w:rStyle w:val="Heading2Char"/>
              <w:rFonts w:ascii="Arial Nova" w:hAnsi="Arial Nova"/>
            </w:rPr>
            <w:t>]</w:t>
          </w:r>
        </w:p>
      </w:docPartBody>
    </w:docPart>
    <w:docPart>
      <w:docPartPr>
        <w:name w:val="BC9E7DB4CF41442298ADDA8AF2340FD7"/>
        <w:category>
          <w:name w:val="General"/>
          <w:gallery w:val="placeholder"/>
        </w:category>
        <w:types>
          <w:type w:val="bbPlcHdr"/>
        </w:types>
        <w:behaviors>
          <w:behavior w:val="content"/>
        </w:behaviors>
        <w:guid w:val="{B195C64D-4752-479A-9A18-1A8B2F828EFB}"/>
      </w:docPartPr>
      <w:docPartBody>
        <w:p w:rsidR="001D1790" w:rsidP="00FC1887">
          <w:r>
            <w:rPr>
              <w:rStyle w:val="Heading2Char"/>
              <w:rFonts w:ascii="Arial Nova" w:hAnsi="Arial Nova"/>
            </w:rPr>
            <w:t xml:space="preserve">[Select an </w:t>
          </w:r>
          <w:r w:rsidRPr="00F06B97">
            <w:rPr>
              <w:rStyle w:val="Heading2Char"/>
              <w:rFonts w:ascii="Arial Nova" w:hAnsi="Arial Nova"/>
            </w:rPr>
            <w:t>ICR</w:t>
          </w:r>
          <w:r>
            <w:rPr>
              <w:rStyle w:val="Heading2Char"/>
              <w:rFonts w:ascii="Arial Nova" w:hAnsi="Arial Nova"/>
            </w:rPr>
            <w:t xml:space="preserve"> type]</w:t>
          </w:r>
        </w:p>
      </w:docPartBody>
    </w:docPart>
    <w:docPart>
      <w:docPartPr>
        <w:name w:val="7A22CFE60C8340AEAE41BEDE614C5385"/>
        <w:category>
          <w:name w:val="General"/>
          <w:gallery w:val="placeholder"/>
        </w:category>
        <w:types>
          <w:type w:val="bbPlcHdr"/>
        </w:types>
        <w:behaviors>
          <w:behavior w:val="content"/>
        </w:behaviors>
        <w:guid w:val="{59DA063E-6779-4F13-9AE1-91C78EC612C1}"/>
      </w:docPartPr>
      <w:docPartBody>
        <w:p w:rsidR="001D1790" w:rsidP="00FC1887">
          <w:r>
            <w:rPr>
              <w:rStyle w:val="Heading2Char"/>
              <w:rFonts w:ascii="Arial Nova" w:hAnsi="Arial Nova"/>
            </w:rPr>
            <w:t>[O</w:t>
          </w:r>
          <w:r w:rsidRPr="00F06B97">
            <w:rPr>
              <w:rStyle w:val="Heading2Char"/>
              <w:rFonts w:ascii="Arial Nova" w:hAnsi="Arial Nova"/>
            </w:rPr>
            <w:t xml:space="preserve">MB </w:t>
          </w:r>
          <w:r>
            <w:rPr>
              <w:rStyle w:val="Heading2Char"/>
              <w:rFonts w:ascii="Arial Nova" w:hAnsi="Arial Nova"/>
            </w:rPr>
            <w:t>No.</w:t>
          </w:r>
          <w:r w:rsidRPr="00F06B97">
            <w:rPr>
              <w:rStyle w:val="Heading2Char"/>
              <w:rFonts w:ascii="Arial Nova" w:hAnsi="Arial Nova"/>
            </w:rPr>
            <w:t xml:space="preserve"> 0920-</w:t>
          </w:r>
          <w:r>
            <w:rPr>
              <w:rStyle w:val="Heading2Char"/>
              <w:rFonts w:ascii="Arial Nova" w:hAnsi="Arial Nova"/>
            </w:rPr>
            <w:t>xxxx]</w:t>
          </w:r>
        </w:p>
      </w:docPartBody>
    </w:docPart>
    <w:docPart>
      <w:docPartPr>
        <w:name w:val="C5A7B7D54ED946F199B914BC4E2246B5"/>
        <w:category>
          <w:name w:val="General"/>
          <w:gallery w:val="placeholder"/>
        </w:category>
        <w:types>
          <w:type w:val="bbPlcHdr"/>
        </w:types>
        <w:behaviors>
          <w:behavior w:val="content"/>
        </w:behaviors>
        <w:guid w:val="{9E86248C-834F-4DB6-8551-4F93450C229B}"/>
      </w:docPartPr>
      <w:docPartBody>
        <w:p w:rsidR="001D1790" w:rsidP="00FC1887">
          <w:r>
            <w:rPr>
              <w:rStyle w:val="Heading2Char"/>
              <w:rFonts w:ascii="Arial Nova" w:hAnsi="Arial Nova"/>
            </w:rPr>
            <w:t>[O</w:t>
          </w:r>
          <w:r w:rsidRPr="00F06B97">
            <w:rPr>
              <w:rStyle w:val="Heading2Char"/>
              <w:rFonts w:ascii="Arial Nova" w:hAnsi="Arial Nova"/>
            </w:rPr>
            <w:t>MB expiration dat</w:t>
          </w:r>
          <w:r>
            <w:rPr>
              <w:rStyle w:val="Heading2Char"/>
              <w:rFonts w:ascii="Arial Nova" w:hAnsi="Arial Nova"/>
            </w:rPr>
            <w:t>e]</w:t>
          </w:r>
        </w:p>
      </w:docPartBody>
    </w:docPart>
    <w:docPart>
      <w:docPartPr>
        <w:name w:val="836FBAA8A2DB48A5B2435A85BC7EFFAC"/>
        <w:category>
          <w:name w:val="General"/>
          <w:gallery w:val="placeholder"/>
        </w:category>
        <w:types>
          <w:type w:val="bbPlcHdr"/>
        </w:types>
        <w:behaviors>
          <w:behavior w:val="content"/>
        </w:behaviors>
        <w:guid w:val="{EC19858F-43E4-40AC-8171-2095687F8CDC}"/>
      </w:docPartPr>
      <w:docPartBody>
        <w:p w:rsidR="001D1790" w:rsidP="00FC1887">
          <w:r w:rsidRPr="001352C9">
            <w:rPr>
              <w:rFonts w:ascii="Arial Nova" w:hAnsi="Arial Nova"/>
            </w:rPr>
            <w:t>[</w:t>
          </w:r>
          <w:hyperlink w:anchor="_A17._Reason(s)_Display" w:tooltip="TOOLTIP: Make your titles consistent" w:history="1">
            <w:r w:rsidRPr="001352C9">
              <w:rPr>
                <w:rFonts w:ascii="Arial Nova" w:hAnsi="Arial Nova"/>
              </w:rPr>
              <w:t>Click here to enter your information collection project title</w:t>
            </w:r>
          </w:hyperlink>
          <w:r w:rsidRPr="001352C9">
            <w:rPr>
              <w:rFonts w:ascii="Arial Nova" w:hAnsi="Arial Nova"/>
            </w:rPr>
            <w:t>]</w:t>
          </w:r>
        </w:p>
      </w:docPartBody>
    </w:docPart>
    <w:docPart>
      <w:docPartPr>
        <w:name w:val="65C5ED2CDB0B4D4EA0DE940B637B1092"/>
        <w:category>
          <w:name w:val="General"/>
          <w:gallery w:val="placeholder"/>
        </w:category>
        <w:types>
          <w:type w:val="bbPlcHdr"/>
        </w:types>
        <w:behaviors>
          <w:behavior w:val="content"/>
        </w:behaviors>
        <w:guid w:val="{4ABC298D-7952-43D2-81BA-AA285B6E99F1}"/>
      </w:docPartPr>
      <w:docPartBody>
        <w:p w:rsidR="00C51F59" w:rsidP="00E172DB">
          <w:r w:rsidRPr="006B37A5">
            <w:rPr>
              <w:rStyle w:val="Heading2Char"/>
            </w:rPr>
            <w:t>Click or tap here to enter text.</w:t>
          </w:r>
        </w:p>
      </w:docPartBody>
    </w:docPart>
    <w:docPart>
      <w:docPartPr>
        <w:name w:val="2178420AC4624DFE90B43C658025FAA3"/>
        <w:category>
          <w:name w:val="General"/>
          <w:gallery w:val="placeholder"/>
        </w:category>
        <w:types>
          <w:type w:val="bbPlcHdr"/>
        </w:types>
        <w:behaviors>
          <w:behavior w:val="content"/>
        </w:behaviors>
        <w:guid w:val="{31305AE6-4709-4A7E-8435-C8347DE6CEC0}"/>
      </w:docPartPr>
      <w:docPartBody>
        <w:p w:rsidR="00C51F59" w:rsidP="00FC1887">
          <w:r w:rsidRPr="00F06B97">
            <w:rPr>
              <w:rStyle w:val="Heading2Char"/>
              <w:rFonts w:ascii="Arial Nova" w:hAnsi="Arial Nova"/>
            </w:rPr>
            <w:t>[Contact 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17323"/>
    <w:rsid w:val="00026998"/>
    <w:rsid w:val="00043CB3"/>
    <w:rsid w:val="00051B8F"/>
    <w:rsid w:val="00071AFD"/>
    <w:rsid w:val="00090968"/>
    <w:rsid w:val="00090B15"/>
    <w:rsid w:val="001D1790"/>
    <w:rsid w:val="00217AB3"/>
    <w:rsid w:val="00257423"/>
    <w:rsid w:val="002C1AED"/>
    <w:rsid w:val="002D1E91"/>
    <w:rsid w:val="00324879"/>
    <w:rsid w:val="0037100E"/>
    <w:rsid w:val="00374DFA"/>
    <w:rsid w:val="00452CD5"/>
    <w:rsid w:val="0049439E"/>
    <w:rsid w:val="004B227E"/>
    <w:rsid w:val="004F0CDE"/>
    <w:rsid w:val="00500D4F"/>
    <w:rsid w:val="0050293A"/>
    <w:rsid w:val="005054C6"/>
    <w:rsid w:val="00513319"/>
    <w:rsid w:val="00530D61"/>
    <w:rsid w:val="005C4E97"/>
    <w:rsid w:val="005D76E4"/>
    <w:rsid w:val="006529B0"/>
    <w:rsid w:val="006F155D"/>
    <w:rsid w:val="006F56B9"/>
    <w:rsid w:val="00780251"/>
    <w:rsid w:val="007D5417"/>
    <w:rsid w:val="007E2871"/>
    <w:rsid w:val="00830327"/>
    <w:rsid w:val="00841CC2"/>
    <w:rsid w:val="00892F4F"/>
    <w:rsid w:val="00915D89"/>
    <w:rsid w:val="00937A73"/>
    <w:rsid w:val="009B59D3"/>
    <w:rsid w:val="009C3B97"/>
    <w:rsid w:val="009F0FE7"/>
    <w:rsid w:val="00A03DAD"/>
    <w:rsid w:val="00AB7736"/>
    <w:rsid w:val="00AC1DF5"/>
    <w:rsid w:val="00AC4AF5"/>
    <w:rsid w:val="00B65677"/>
    <w:rsid w:val="00BB543C"/>
    <w:rsid w:val="00C51F59"/>
    <w:rsid w:val="00C551AB"/>
    <w:rsid w:val="00C972D9"/>
    <w:rsid w:val="00D12CBC"/>
    <w:rsid w:val="00DA4192"/>
    <w:rsid w:val="00E172DB"/>
    <w:rsid w:val="00E323EE"/>
    <w:rsid w:val="00E429AB"/>
    <w:rsid w:val="00E81892"/>
    <w:rsid w:val="00ED678D"/>
    <w:rsid w:val="00EF2352"/>
    <w:rsid w:val="00FB0D39"/>
    <w:rsid w:val="00FC1887"/>
    <w:rsid w:val="00FD1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1560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156082" w:themeColor="accent1"/>
      <w:sz w:val="26"/>
      <w:szCs w:val="26"/>
    </w:rPr>
  </w:style>
  <w:style w:type="character" w:styleId="PlaceholderText">
    <w:name w:val="Placeholder Text"/>
    <w:basedOn w:val="DefaultParagraphFont"/>
    <w:uiPriority w:val="99"/>
    <w:semiHidden/>
    <w:rsid w:val="00AC1DF5"/>
    <w:rPr>
      <w:color w:val="808080"/>
    </w:rPr>
  </w:style>
  <w:style w:type="character" w:styleId="Hyperlink">
    <w:name w:val="Hyperlink"/>
    <w:basedOn w:val="DefaultParagraphFont"/>
    <w:uiPriority w:val="99"/>
    <w:rsid w:val="00FC1887"/>
    <w:rPr>
      <w:color w:val="467886"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2025-04-17T00:00:00</PublishDate>
  <Abstract/>
  <CompanyAddress/>
  <CompanyPhone>404-639-6423</CompanyPhone>
  <CompanyFax/>
  <CompanyEmail>nig9@cdc.gov</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A866B2C54E2F4FA404D3613FA4A989" ma:contentTypeVersion="17" ma:contentTypeDescription="Create a new document." ma:contentTypeScope="" ma:versionID="fce97752cbf21278a3f2207d8fbdde21">
  <xsd:schema xmlns:xsd="http://www.w3.org/2001/XMLSchema" xmlns:xs="http://www.w3.org/2001/XMLSchema" xmlns:p="http://schemas.microsoft.com/office/2006/metadata/properties" xmlns:ns2="85af0595-0bea-44ae-8885-19a842fb39fa" xmlns:ns3="6b1f0e93-9dee-42ef-b5aa-8a352d0746f3" targetNamespace="http://schemas.microsoft.com/office/2006/metadata/properties" ma:root="true" ma:fieldsID="bcc30e1c2cf1ced6b506ab3d091f7347" ns2:_="" ns3:_="">
    <xsd:import namespace="85af0595-0bea-44ae-8885-19a842fb39fa"/>
    <xsd:import namespace="6b1f0e93-9dee-42ef-b5aa-8a352d0746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f0595-0bea-44ae-8885-19a842fb3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1f0e93-9dee-42ef-b5aa-8a352d0746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9a7b6b-8d62-45da-adc2-6406e945928f}" ma:internalName="TaxCatchAll" ma:showField="CatchAllData" ma:web="6b1f0e93-9dee-42ef-b5aa-8a352d074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b1f0e93-9dee-42ef-b5aa-8a352d0746f3" xsi:nil="true"/>
    <lcf76f155ced4ddcb4097134ff3c332f xmlns="85af0595-0bea-44ae-8885-19a842fb39f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852619-9F6C-49EA-B61F-398954970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f0595-0bea-44ae-8885-19a842fb39fa"/>
    <ds:schemaRef ds:uri="6b1f0e93-9dee-42ef-b5aa-8a352d07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3F57CD-4321-4C6E-B8B4-E0EDAAA0522C}">
  <ds:schemaRefs>
    <ds:schemaRef ds:uri="http://schemas.openxmlformats.org/officeDocument/2006/bibliography"/>
  </ds:schemaRefs>
</ds:datastoreItem>
</file>

<file path=customXml/itemProps4.xml><?xml version="1.0" encoding="utf-8"?>
<ds:datastoreItem xmlns:ds="http://schemas.openxmlformats.org/officeDocument/2006/customXml" ds:itemID="{F1A37468-C8DE-4AA7-ABE0-80E1ED5EAA2F}">
  <ds:schemaRefs>
    <ds:schemaRef ds:uri="http://schemas.microsoft.com/office/2006/metadata/properties"/>
    <ds:schemaRef ds:uri="http://schemas.microsoft.com/office/infopath/2007/PartnerControls"/>
    <ds:schemaRef ds:uri="6b1f0e93-9dee-42ef-b5aa-8a352d0746f3"/>
    <ds:schemaRef ds:uri="85af0595-0bea-44ae-8885-19a842fb39fa"/>
  </ds:schemaRefs>
</ds:datastoreItem>
</file>

<file path=customXml/itemProps5.xml><?xml version="1.0" encoding="utf-8"?>
<ds:datastoreItem xmlns:ds="http://schemas.openxmlformats.org/officeDocument/2006/customXml" ds:itemID="{46E0F237-948D-4BEC-B35A-613439813C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4666</Words>
  <Characters>26600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National Network of Sexually Transmitted Disease Clinical Prevention Training Centers (NNPTC)</vt:lpstr>
    </vt:vector>
  </TitlesOfParts>
  <Company>Centers for Disease Control and Prevention</Company>
  <LinksUpToDate>false</LinksUpToDate>
  <CharactersWithSpaces>31204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Network of Sexually Transmitted Disease Clinical Prevention Training Centers (NNPTC)</dc:title>
  <dc:subject>Supporting Statement A template</dc:subject>
  <dc:creator>Centers for Disease Control and Prevention</dc:creator>
  <cp:keywords>Supporting Statement A template</cp:keywords>
  <cp:lastModifiedBy>Cody, Aisha (CDC/NCHHSTP/OD)</cp:lastModifiedBy>
  <cp:revision>3</cp:revision>
  <cp:lastPrinted>2018-04-12T17:17:00Z</cp:lastPrinted>
  <dcterms:created xsi:type="dcterms:W3CDTF">2025-04-24T16:08:00Z</dcterms:created>
  <dcterms:modified xsi:type="dcterms:W3CDTF">2025-04-29T21:50:00Z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0x010100AAA866B2C54E2F4FA404D3613FA4A989</vt:lpwstr>
  </property>
  <property fmtid="{D5CDD505-2E9C-101B-9397-08002B2CF9AE}" pid="3" name="Language">
    <vt:lpwstr>English</vt:lpwstr>
  </property>
  <property fmtid="{D5CDD505-2E9C-101B-9397-08002B2CF9AE}" pid="4" name="MSIP_Label_7b94a7b8-f06c-4dfe-bdcc-9b548fd58c31_ActionId">
    <vt:lpwstr>a109d485-9fcf-4fcb-8a62-3f716b0c2ceb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2022-02-03T18:01:38Z</vt:lpwstr>
  </property>
  <property fmtid="{D5CDD505-2E9C-101B-9397-08002B2CF9AE}" pid="10" name="MSIP_Label_7b94a7b8-f06c-4dfe-bdcc-9b548fd58c31_SiteId">
    <vt:lpwstr>9ce70869-60db-44fd-abe8-d2767077fc8f</vt:lpwstr>
  </property>
  <property fmtid="{D5CDD505-2E9C-101B-9397-08002B2CF9AE}" pid="11" name="_DocHome">
    <vt:i4>2003644290</vt:i4>
  </property>
</Properties>
</file>