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CB630A" w14:paraId="19EA8A80" w14:textId="77777777">
      <w:pPr>
        <w:tabs>
          <w:tab w:val="left" w:pos="3876"/>
        </w:tabs>
        <w:jc w:val="center"/>
        <w:rPr>
          <w:rFonts w:eastAsia="Calibri"/>
        </w:rPr>
      </w:pPr>
      <w:r w:rsidRPr="00357C8A">
        <w:rPr>
          <w:rFonts w:eastAsia="Calibri"/>
        </w:rPr>
        <w:t>United States Food and Drug Administration</w:t>
      </w:r>
    </w:p>
    <w:p w:rsidR="00357C8A" w:rsidP="00357C8A" w14:paraId="55D01881" w14:textId="77777777">
      <w:pPr>
        <w:jc w:val="center"/>
        <w:rPr>
          <w:rFonts w:eastAsia="Calibri"/>
        </w:rPr>
      </w:pPr>
    </w:p>
    <w:p w:rsidR="00357C8A" w:rsidRPr="00113D82" w:rsidP="00357C8A" w14:paraId="2B48FC0F" w14:textId="77777777">
      <w:pPr>
        <w:jc w:val="center"/>
        <w:rPr>
          <w:rFonts w:eastAsia="Calibri"/>
          <w:sz w:val="28"/>
          <w:szCs w:val="28"/>
        </w:rPr>
      </w:pPr>
      <w:r w:rsidRPr="00113D82">
        <w:rPr>
          <w:sz w:val="28"/>
          <w:szCs w:val="28"/>
        </w:rPr>
        <w:t>Medical</w:t>
      </w:r>
      <w:r w:rsidRPr="00113D82">
        <w:rPr>
          <w:spacing w:val="-10"/>
          <w:sz w:val="28"/>
          <w:szCs w:val="28"/>
        </w:rPr>
        <w:t xml:space="preserve"> </w:t>
      </w:r>
      <w:r w:rsidRPr="00113D82">
        <w:rPr>
          <w:sz w:val="28"/>
          <w:szCs w:val="28"/>
        </w:rPr>
        <w:t>Devices;</w:t>
      </w:r>
      <w:r w:rsidRPr="00113D82">
        <w:rPr>
          <w:spacing w:val="-15"/>
          <w:sz w:val="28"/>
          <w:szCs w:val="28"/>
        </w:rPr>
        <w:t xml:space="preserve"> </w:t>
      </w:r>
      <w:r w:rsidRPr="00113D82">
        <w:rPr>
          <w:sz w:val="28"/>
          <w:szCs w:val="28"/>
        </w:rPr>
        <w:t>Humanitarian</w:t>
      </w:r>
      <w:r w:rsidRPr="00113D82">
        <w:rPr>
          <w:spacing w:val="7"/>
          <w:sz w:val="28"/>
          <w:szCs w:val="28"/>
        </w:rPr>
        <w:t xml:space="preserve"> </w:t>
      </w:r>
      <w:r w:rsidRPr="00113D82">
        <w:rPr>
          <w:sz w:val="28"/>
          <w:szCs w:val="28"/>
        </w:rPr>
        <w:t>Use</w:t>
      </w:r>
      <w:r w:rsidRPr="00113D82">
        <w:rPr>
          <w:spacing w:val="-15"/>
          <w:sz w:val="28"/>
          <w:szCs w:val="28"/>
        </w:rPr>
        <w:t xml:space="preserve"> </w:t>
      </w:r>
      <w:r w:rsidRPr="00113D82">
        <w:rPr>
          <w:sz w:val="28"/>
          <w:szCs w:val="28"/>
        </w:rPr>
        <w:t>Devices</w:t>
      </w:r>
    </w:p>
    <w:p w:rsidR="00357C8A" w:rsidP="00357C8A" w14:paraId="29FA9435" w14:textId="77777777">
      <w:pPr>
        <w:jc w:val="center"/>
        <w:rPr>
          <w:rFonts w:eastAsia="Calibri"/>
        </w:rPr>
      </w:pPr>
    </w:p>
    <w:p w:rsidR="00357C8A" w:rsidP="00357C8A" w14:paraId="0D14770B" w14:textId="77777777">
      <w:pPr>
        <w:jc w:val="center"/>
        <w:rPr>
          <w:rFonts w:eastAsia="Calibri"/>
        </w:rPr>
      </w:pPr>
      <w:r w:rsidRPr="00357C8A">
        <w:rPr>
          <w:rFonts w:eastAsia="Calibri"/>
        </w:rPr>
        <w:t>OMB Control No. 0910-</w:t>
      </w:r>
      <w:r w:rsidR="00113D82">
        <w:rPr>
          <w:rFonts w:eastAsia="Calibri"/>
        </w:rPr>
        <w:t>0332</w:t>
      </w:r>
      <w:r w:rsidR="00727CDF">
        <w:rPr>
          <w:rFonts w:eastAsia="Calibri"/>
        </w:rPr>
        <w:t xml:space="preserve"> EXTENSION</w:t>
      </w:r>
    </w:p>
    <w:p w:rsidR="00357C8A" w:rsidP="00357C8A" w14:paraId="6527A6E7" w14:textId="77777777">
      <w:pPr>
        <w:jc w:val="center"/>
        <w:rPr>
          <w:rFonts w:eastAsia="Calibri"/>
        </w:rPr>
      </w:pPr>
    </w:p>
    <w:p w:rsidR="00357C8A" w:rsidP="00357C8A" w14:paraId="3D3AD7D1" w14:textId="77777777">
      <w:pPr>
        <w:jc w:val="center"/>
        <w:rPr>
          <w:rFonts w:eastAsia="Calibri"/>
        </w:rPr>
      </w:pPr>
      <w:r w:rsidRPr="00357C8A">
        <w:rPr>
          <w:rFonts w:eastAsia="Calibri"/>
        </w:rPr>
        <w:t>SUPPORTING STATEMENT</w:t>
      </w:r>
    </w:p>
    <w:p w:rsidR="00C71649" w:rsidP="009B4DF2" w14:paraId="157635FC" w14:textId="77777777"/>
    <w:p w:rsidR="00357C8A" w:rsidP="000D79CC" w14:paraId="7301BBD7" w14:textId="77777777">
      <w:pPr>
        <w:rPr>
          <w:rFonts w:eastAsia="Calibri"/>
        </w:rPr>
      </w:pPr>
      <w:r w:rsidRPr="00357C8A">
        <w:rPr>
          <w:rFonts w:eastAsia="Calibri"/>
          <w:b/>
        </w:rPr>
        <w:t>Part A:  Justification</w:t>
      </w:r>
      <w:r w:rsidRPr="00357C8A">
        <w:rPr>
          <w:rFonts w:eastAsia="Calibri"/>
        </w:rPr>
        <w:t>:</w:t>
      </w:r>
    </w:p>
    <w:p w:rsidR="000D79CC" w:rsidRPr="00357C8A" w:rsidP="000D79CC" w14:paraId="24902942" w14:textId="77777777">
      <w:pPr>
        <w:rPr>
          <w:rFonts w:eastAsia="Calibri"/>
        </w:rPr>
      </w:pPr>
    </w:p>
    <w:p w:rsidR="00357C8A" w:rsidRPr="00357C8A" w:rsidP="006705EA" w14:paraId="498B9015"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13D82" w:rsidP="00FE31B5" w14:paraId="0A235DEF" w14:textId="77777777">
      <w:pPr>
        <w:pStyle w:val="BodyText"/>
        <w:ind w:right="171"/>
      </w:pPr>
      <w:r>
        <w:t>This</w:t>
      </w:r>
      <w:r>
        <w:rPr>
          <w:spacing w:val="-7"/>
        </w:rPr>
        <w:t xml:space="preserve"> </w:t>
      </w:r>
      <w:r>
        <w:t>information</w:t>
      </w:r>
      <w:r>
        <w:rPr>
          <w:spacing w:val="28"/>
        </w:rPr>
        <w:t xml:space="preserve"> </w:t>
      </w:r>
      <w:r>
        <w:t>collection</w:t>
      </w:r>
      <w:r>
        <w:rPr>
          <w:spacing w:val="18"/>
        </w:rPr>
        <w:t xml:space="preserve"> </w:t>
      </w:r>
      <w:r>
        <w:t>supports</w:t>
      </w:r>
      <w:r>
        <w:rPr>
          <w:spacing w:val="-6"/>
        </w:rPr>
        <w:t xml:space="preserve"> </w:t>
      </w:r>
      <w:r>
        <w:t>Food</w:t>
      </w:r>
      <w:r>
        <w:rPr>
          <w:spacing w:val="-3"/>
        </w:rPr>
        <w:t xml:space="preserve"> </w:t>
      </w:r>
      <w:r>
        <w:t>and</w:t>
      </w:r>
      <w:r>
        <w:rPr>
          <w:spacing w:val="-15"/>
        </w:rPr>
        <w:t xml:space="preserve"> </w:t>
      </w:r>
      <w:r>
        <w:t>Drug</w:t>
      </w:r>
      <w:r>
        <w:rPr>
          <w:spacing w:val="-14"/>
        </w:rPr>
        <w:t xml:space="preserve"> </w:t>
      </w:r>
      <w:r>
        <w:t>Administration</w:t>
      </w:r>
      <w:r>
        <w:rPr>
          <w:spacing w:val="29"/>
        </w:rPr>
        <w:t xml:space="preserve"> </w:t>
      </w:r>
      <w:r>
        <w:t>(FDA)</w:t>
      </w:r>
      <w:r>
        <w:rPr>
          <w:spacing w:val="-15"/>
        </w:rPr>
        <w:t xml:space="preserve"> </w:t>
      </w:r>
      <w:r>
        <w:t>regulations.</w:t>
      </w:r>
      <w:r>
        <w:rPr>
          <w:spacing w:val="24"/>
        </w:rPr>
        <w:t xml:space="preserve"> </w:t>
      </w:r>
      <w:r>
        <w:t>The regulations</w:t>
      </w:r>
      <w:r>
        <w:rPr>
          <w:spacing w:val="27"/>
        </w:rPr>
        <w:t xml:space="preserve"> </w:t>
      </w:r>
      <w:r>
        <w:t>implement</w:t>
      </w:r>
      <w:r>
        <w:rPr>
          <w:spacing w:val="37"/>
        </w:rPr>
        <w:t xml:space="preserve"> </w:t>
      </w:r>
      <w:r>
        <w:t>provisions</w:t>
      </w:r>
      <w:r>
        <w:rPr>
          <w:spacing w:val="40"/>
        </w:rPr>
        <w:t xml:space="preserve"> </w:t>
      </w:r>
      <w:r>
        <w:t>under</w:t>
      </w:r>
      <w:r>
        <w:rPr>
          <w:spacing w:val="-10"/>
        </w:rPr>
        <w:t xml:space="preserve"> </w:t>
      </w:r>
      <w:r>
        <w:t>sections</w:t>
      </w:r>
      <w:r>
        <w:rPr>
          <w:spacing w:val="17"/>
        </w:rPr>
        <w:t xml:space="preserve"> </w:t>
      </w:r>
      <w:r>
        <w:t>515A and</w:t>
      </w:r>
      <w:r>
        <w:rPr>
          <w:spacing w:val="-15"/>
        </w:rPr>
        <w:t xml:space="preserve"> </w:t>
      </w:r>
      <w:r>
        <w:t>520(m)</w:t>
      </w:r>
      <w:r>
        <w:rPr>
          <w:spacing w:val="15"/>
        </w:rPr>
        <w:t xml:space="preserve"> </w:t>
      </w:r>
      <w:r>
        <w:t>of</w:t>
      </w:r>
      <w:r>
        <w:rPr>
          <w:spacing w:val="-10"/>
        </w:rPr>
        <w:t xml:space="preserve"> </w:t>
      </w:r>
      <w:r>
        <w:t>the</w:t>
      </w:r>
      <w:r>
        <w:rPr>
          <w:spacing w:val="-6"/>
        </w:rPr>
        <w:t xml:space="preserve"> </w:t>
      </w:r>
      <w:r>
        <w:t>Federal</w:t>
      </w:r>
      <w:r>
        <w:rPr>
          <w:spacing w:val="-12"/>
        </w:rPr>
        <w:t xml:space="preserve"> </w:t>
      </w:r>
      <w:r>
        <w:t>Food, Drug,</w:t>
      </w:r>
      <w:r>
        <w:rPr>
          <w:spacing w:val="-9"/>
        </w:rPr>
        <w:t xml:space="preserve"> </w:t>
      </w:r>
      <w:r>
        <w:t>and Cosmetic</w:t>
      </w:r>
      <w:r>
        <w:rPr>
          <w:spacing w:val="15"/>
        </w:rPr>
        <w:t xml:space="preserve"> </w:t>
      </w:r>
      <w:r>
        <w:t>Act</w:t>
      </w:r>
      <w:r>
        <w:rPr>
          <w:spacing w:val="-6"/>
        </w:rPr>
        <w:t xml:space="preserve"> </w:t>
      </w:r>
      <w:r>
        <w:t>(FD&amp;C</w:t>
      </w:r>
      <w:r>
        <w:rPr>
          <w:spacing w:val="-15"/>
        </w:rPr>
        <w:t xml:space="preserve"> </w:t>
      </w:r>
      <w:r>
        <w:t>Act),</w:t>
      </w:r>
      <w:r>
        <w:rPr>
          <w:spacing w:val="-14"/>
        </w:rPr>
        <w:t xml:space="preserve"> </w:t>
      </w:r>
      <w:r>
        <w:t>codified</w:t>
      </w:r>
      <w:r>
        <w:rPr>
          <w:spacing w:val="32"/>
        </w:rPr>
        <w:t xml:space="preserve"> </w:t>
      </w:r>
      <w:r>
        <w:t>at</w:t>
      </w:r>
      <w:r>
        <w:rPr>
          <w:spacing w:val="-15"/>
        </w:rPr>
        <w:t xml:space="preserve"> </w:t>
      </w:r>
      <w:r>
        <w:t>21 CFR</w:t>
      </w:r>
      <w:r>
        <w:rPr>
          <w:spacing w:val="-4"/>
        </w:rPr>
        <w:t xml:space="preserve"> </w:t>
      </w:r>
      <w:r>
        <w:t>part</w:t>
      </w:r>
      <w:r>
        <w:rPr>
          <w:spacing w:val="-6"/>
        </w:rPr>
        <w:t xml:space="preserve"> </w:t>
      </w:r>
      <w:r>
        <w:t>814, subpart H: Humanitarian</w:t>
      </w:r>
      <w:r>
        <w:rPr>
          <w:spacing w:val="7"/>
        </w:rPr>
        <w:t xml:space="preserve"> </w:t>
      </w:r>
      <w:r>
        <w:t>Use</w:t>
      </w:r>
      <w:r>
        <w:rPr>
          <w:spacing w:val="-15"/>
        </w:rPr>
        <w:t xml:space="preserve"> </w:t>
      </w:r>
      <w:r>
        <w:t>Devices</w:t>
      </w:r>
      <w:r>
        <w:rPr>
          <w:spacing w:val="-15"/>
        </w:rPr>
        <w:t xml:space="preserve"> </w:t>
      </w:r>
      <w:r>
        <w:t>(HUDs).</w:t>
      </w:r>
      <w:r>
        <w:rPr>
          <w:spacing w:val="-15"/>
        </w:rPr>
        <w:t xml:space="preserve"> </w:t>
      </w:r>
      <w:r>
        <w:t>The</w:t>
      </w:r>
      <w:r>
        <w:rPr>
          <w:spacing w:val="-15"/>
        </w:rPr>
        <w:t xml:space="preserve"> </w:t>
      </w:r>
      <w:r>
        <w:t>regulations</w:t>
      </w:r>
      <w:r>
        <w:rPr>
          <w:spacing w:val="26"/>
        </w:rPr>
        <w:t xml:space="preserve"> </w:t>
      </w:r>
      <w:r>
        <w:t>set</w:t>
      </w:r>
      <w:r>
        <w:rPr>
          <w:spacing w:val="-15"/>
        </w:rPr>
        <w:t xml:space="preserve"> </w:t>
      </w:r>
      <w:r>
        <w:t>forth</w:t>
      </w:r>
      <w:r>
        <w:rPr>
          <w:spacing w:val="-7"/>
        </w:rPr>
        <w:t xml:space="preserve"> </w:t>
      </w:r>
      <w:r>
        <w:t>procedures for</w:t>
      </w:r>
      <w:r>
        <w:rPr>
          <w:spacing w:val="-14"/>
        </w:rPr>
        <w:t xml:space="preserve"> </w:t>
      </w:r>
      <w:r>
        <w:t>obtaining</w:t>
      </w:r>
      <w:r>
        <w:rPr>
          <w:spacing w:val="27"/>
        </w:rPr>
        <w:t xml:space="preserve"> </w:t>
      </w:r>
      <w:r>
        <w:t>HUD designation</w:t>
      </w:r>
      <w:r>
        <w:rPr>
          <w:spacing w:val="40"/>
        </w:rPr>
        <w:t xml:space="preserve"> </w:t>
      </w:r>
      <w:r>
        <w:t>of</w:t>
      </w:r>
      <w:r>
        <w:rPr>
          <w:spacing w:val="-2"/>
        </w:rPr>
        <w:t xml:space="preserve"> </w:t>
      </w:r>
      <w:r>
        <w:t>a medical device and</w:t>
      </w:r>
      <w:r>
        <w:rPr>
          <w:spacing w:val="-9"/>
        </w:rPr>
        <w:t xml:space="preserve"> </w:t>
      </w:r>
      <w:r>
        <w:t>are</w:t>
      </w:r>
      <w:r>
        <w:rPr>
          <w:spacing w:val="-12"/>
        </w:rPr>
        <w:t xml:space="preserve"> </w:t>
      </w:r>
      <w:r>
        <w:t>intended</w:t>
      </w:r>
      <w:r>
        <w:rPr>
          <w:spacing w:val="35"/>
        </w:rPr>
        <w:t xml:space="preserve"> </w:t>
      </w:r>
      <w:r>
        <w:t>“to encourage the discovery</w:t>
      </w:r>
      <w:r>
        <w:rPr>
          <w:spacing w:val="20"/>
        </w:rPr>
        <w:t xml:space="preserve"> </w:t>
      </w:r>
      <w:r>
        <w:t>and use</w:t>
      </w:r>
      <w:r>
        <w:rPr>
          <w:spacing w:val="-12"/>
        </w:rPr>
        <w:t xml:space="preserve"> </w:t>
      </w:r>
      <w:r>
        <w:t>of devices intended to</w:t>
      </w:r>
      <w:r>
        <w:rPr>
          <w:spacing w:val="-1"/>
        </w:rPr>
        <w:t xml:space="preserve"> </w:t>
      </w:r>
      <w:r>
        <w:t>benefit patients in the</w:t>
      </w:r>
      <w:r>
        <w:rPr>
          <w:spacing w:val="-4"/>
        </w:rPr>
        <w:t xml:space="preserve"> </w:t>
      </w:r>
      <w:r>
        <w:t>treatment</w:t>
      </w:r>
      <w:r>
        <w:rPr>
          <w:spacing w:val="-10"/>
        </w:rPr>
        <w:t xml:space="preserve"> </w:t>
      </w:r>
      <w:r>
        <w:t>or</w:t>
      </w:r>
      <w:r>
        <w:rPr>
          <w:spacing w:val="-8"/>
        </w:rPr>
        <w:t xml:space="preserve"> </w:t>
      </w:r>
      <w:r>
        <w:t>diagnosis</w:t>
      </w:r>
      <w:r>
        <w:rPr>
          <w:spacing w:val="40"/>
        </w:rPr>
        <w:t xml:space="preserve"> </w:t>
      </w:r>
      <w:r>
        <w:t>of</w:t>
      </w:r>
      <w:r>
        <w:rPr>
          <w:spacing w:val="-8"/>
        </w:rPr>
        <w:t xml:space="preserve"> </w:t>
      </w:r>
      <w:r>
        <w:t>diseases</w:t>
      </w:r>
      <w:r>
        <w:rPr>
          <w:spacing w:val="-6"/>
        </w:rPr>
        <w:t xml:space="preserve"> </w:t>
      </w:r>
      <w:r>
        <w:t>or</w:t>
      </w:r>
      <w:r>
        <w:rPr>
          <w:spacing w:val="-8"/>
        </w:rPr>
        <w:t xml:space="preserve"> </w:t>
      </w:r>
      <w:r>
        <w:t>conditions that</w:t>
      </w:r>
      <w:r>
        <w:rPr>
          <w:spacing w:val="-12"/>
        </w:rPr>
        <w:t xml:space="preserve"> </w:t>
      </w:r>
      <w:r>
        <w:t>affect</w:t>
      </w:r>
      <w:r>
        <w:rPr>
          <w:spacing w:val="-15"/>
        </w:rPr>
        <w:t xml:space="preserve"> </w:t>
      </w:r>
      <w:r>
        <w:t>or</w:t>
      </w:r>
      <w:r>
        <w:rPr>
          <w:spacing w:val="-3"/>
        </w:rPr>
        <w:t xml:space="preserve"> </w:t>
      </w:r>
      <w:r>
        <w:t>are</w:t>
      </w:r>
      <w:r>
        <w:rPr>
          <w:spacing w:val="-13"/>
        </w:rPr>
        <w:t xml:space="preserve"> </w:t>
      </w:r>
      <w:r>
        <w:t>manifested</w:t>
      </w:r>
      <w:r>
        <w:rPr>
          <w:spacing w:val="19"/>
        </w:rPr>
        <w:t xml:space="preserve"> </w:t>
      </w:r>
      <w:r>
        <w:t>in not more than</w:t>
      </w:r>
      <w:r>
        <w:rPr>
          <w:spacing w:val="-10"/>
        </w:rPr>
        <w:t xml:space="preserve"> </w:t>
      </w:r>
      <w:r>
        <w:t>8,000</w:t>
      </w:r>
      <w:r>
        <w:rPr>
          <w:spacing w:val="33"/>
        </w:rPr>
        <w:t xml:space="preserve"> </w:t>
      </w:r>
      <w:r>
        <w:t>individua</w:t>
      </w:r>
      <w:r>
        <w:rPr>
          <w:spacing w:val="-39"/>
        </w:rPr>
        <w:t xml:space="preserve"> </w:t>
      </w:r>
      <w:r>
        <w:t>ls</w:t>
      </w:r>
      <w:r>
        <w:rPr>
          <w:spacing w:val="40"/>
        </w:rPr>
        <w:t xml:space="preserve"> </w:t>
      </w:r>
      <w:r>
        <w:t>in</w:t>
      </w:r>
      <w:r>
        <w:rPr>
          <w:spacing w:val="19"/>
        </w:rPr>
        <w:t xml:space="preserve"> </w:t>
      </w:r>
      <w:r>
        <w:t>the United States</w:t>
      </w:r>
      <w:r>
        <w:rPr>
          <w:spacing w:val="-1"/>
        </w:rPr>
        <w:t xml:space="preserve"> </w:t>
      </w:r>
      <w:r>
        <w:t xml:space="preserve">per year,” (see 21 CFR 814.100).  </w:t>
      </w:r>
      <w:r>
        <w:rPr>
          <w:bCs/>
        </w:rPr>
        <w:t>The information collection also includes burden associated with the submission of h</w:t>
      </w:r>
      <w:r w:rsidRPr="006E4561">
        <w:rPr>
          <w:bCs/>
        </w:rPr>
        <w:t xml:space="preserve">umanitarian </w:t>
      </w:r>
      <w:r>
        <w:rPr>
          <w:bCs/>
        </w:rPr>
        <w:t>d</w:t>
      </w:r>
      <w:r w:rsidRPr="006E4561">
        <w:rPr>
          <w:bCs/>
        </w:rPr>
        <w:t xml:space="preserve">evice </w:t>
      </w:r>
      <w:r>
        <w:rPr>
          <w:bCs/>
        </w:rPr>
        <w:t>e</w:t>
      </w:r>
      <w:r w:rsidRPr="006E4561">
        <w:rPr>
          <w:bCs/>
        </w:rPr>
        <w:t xml:space="preserve">xemption </w:t>
      </w:r>
      <w:r>
        <w:rPr>
          <w:bCs/>
        </w:rPr>
        <w:t>a</w:t>
      </w:r>
      <w:r w:rsidRPr="006E4561">
        <w:rPr>
          <w:bCs/>
        </w:rPr>
        <w:t xml:space="preserve">pplications and </w:t>
      </w:r>
      <w:r>
        <w:rPr>
          <w:bCs/>
        </w:rPr>
        <w:t>a</w:t>
      </w:r>
      <w:r w:rsidRPr="006E4561">
        <w:rPr>
          <w:bCs/>
        </w:rPr>
        <w:t xml:space="preserve">nnual </w:t>
      </w:r>
      <w:r>
        <w:rPr>
          <w:bCs/>
        </w:rPr>
        <w:t>d</w:t>
      </w:r>
      <w:r w:rsidRPr="006E4561">
        <w:rPr>
          <w:bCs/>
        </w:rPr>
        <w:t xml:space="preserve">istribution </w:t>
      </w:r>
      <w:r>
        <w:rPr>
          <w:bCs/>
        </w:rPr>
        <w:t>n</w:t>
      </w:r>
      <w:r w:rsidRPr="006E4561">
        <w:rPr>
          <w:bCs/>
        </w:rPr>
        <w:t xml:space="preserve">umber </w:t>
      </w:r>
      <w:r>
        <w:rPr>
          <w:bCs/>
        </w:rPr>
        <w:t>r</w:t>
      </w:r>
      <w:r w:rsidRPr="006E4561">
        <w:rPr>
          <w:bCs/>
        </w:rPr>
        <w:t xml:space="preserve">eporting </w:t>
      </w:r>
      <w:r>
        <w:rPr>
          <w:bCs/>
        </w:rPr>
        <w:t>r</w:t>
      </w:r>
      <w:r w:rsidRPr="006E4561">
        <w:rPr>
          <w:bCs/>
        </w:rPr>
        <w:t>equirements</w:t>
      </w:r>
      <w:r>
        <w:rPr>
          <w:bCs/>
        </w:rPr>
        <w:t>.</w:t>
      </w:r>
      <w:r w:rsidRPr="006927D1">
        <w:rPr>
          <w:bCs/>
        </w:rPr>
        <w:t xml:space="preserve"> </w:t>
      </w:r>
    </w:p>
    <w:p w:rsidR="00113D82" w:rsidP="00FE31B5" w14:paraId="09D7474F" w14:textId="77777777">
      <w:pPr>
        <w:pStyle w:val="BodyText"/>
        <w:spacing w:before="1" w:line="237" w:lineRule="auto"/>
        <w:ind w:right="171"/>
      </w:pPr>
      <w:r>
        <w:t>HUDs approved under a Humanitarian Device Exemption (HDE) cannot be sold for an amount that exceeds the costs of research and development, fabrication, and distribution of the device (i.e., for profit), except in narrow circumstances.  Section 520(m)(6)(A)(</w:t>
      </w:r>
      <w:r>
        <w:t>i</w:t>
      </w:r>
      <w:r>
        <w:t xml:space="preserve">) of the FD&amp;C Act, provides that a HUD approved under an HDE is eligible to be sold for profit if the device meets </w:t>
      </w:r>
      <w:r w:rsidR="00EF3EA2">
        <w:t xml:space="preserve">certain </w:t>
      </w:r>
      <w:r>
        <w:t>criteria:</w:t>
      </w:r>
    </w:p>
    <w:p w:rsidR="00113D82" w:rsidP="00FE31B5" w14:paraId="22D75EFE" w14:textId="77777777">
      <w:pPr>
        <w:pStyle w:val="BodyText"/>
        <w:numPr>
          <w:ilvl w:val="0"/>
          <w:numId w:val="9"/>
        </w:numPr>
        <w:spacing w:before="1" w:line="237" w:lineRule="auto"/>
        <w:ind w:left="360" w:right="171"/>
      </w:pPr>
      <w:r>
        <w:t>Section 520(m)(6)(A)(ii) provides that the Secretary of Health and Human Services (the Secretary) will assign an annual distribution number (ADN) for devices that meet the eligibility criteria to be permitted to be sold for profit.  The ADN is defined as the number of devices “reasonably needed to treat, diagnose, or cure a population of 8,000 individuals in the United States,” and therefore shall be based on the following information in a humanitarian device exemption (HDE) application: the number of devices reasonably necessary to treat such individuals.</w:t>
      </w:r>
    </w:p>
    <w:p w:rsidR="00113D82" w:rsidP="00FE31B5" w14:paraId="3B640014" w14:textId="77777777">
      <w:pPr>
        <w:pStyle w:val="BodyText"/>
        <w:numPr>
          <w:ilvl w:val="0"/>
          <w:numId w:val="9"/>
        </w:numPr>
        <w:spacing w:before="1" w:line="237" w:lineRule="auto"/>
        <w:ind w:left="360" w:right="171"/>
      </w:pPr>
      <w:r>
        <w:t>Section 520(m)(6)(A)(iii) provides that an HDE holder immediately notify the agency if the number of devices distributed during any calendar year exceeds the ADN.  Section 520(m)(6)(C) provides that an HDE holder may petition to modify the ADN if additional information arises.</w:t>
      </w:r>
    </w:p>
    <w:p w:rsidR="005B3F47" w:rsidP="00FE31B5" w14:paraId="0663D5E3" w14:textId="77777777">
      <w:pPr>
        <w:pStyle w:val="BodyText"/>
        <w:ind w:right="171"/>
      </w:pPr>
      <w:r>
        <w:t xml:space="preserve">The </w:t>
      </w:r>
      <w:r w:rsidR="00113D82">
        <w:t xml:space="preserve">FDA guidance entitled </w:t>
      </w:r>
      <w:r w:rsidRPr="005B3F47" w:rsidR="00113D82">
        <w:rPr>
          <w:i/>
          <w:iCs/>
        </w:rPr>
        <w:t>“Guidance for HDE Holders, Institutional Review Boards (IRBs), Clinical Investigators, and Food and Drug Administration Staff – Humanitarian Device Exemption (HDE) Regulation: Questions and Answers”</w:t>
      </w:r>
      <w:r w:rsidR="00113D82">
        <w:t xml:space="preserve"> </w:t>
      </w:r>
      <w:r>
        <w:t xml:space="preserve">(HDE guidance) </w:t>
      </w:r>
      <w:r w:rsidR="00B25AE8">
        <w:t>(</w:t>
      </w:r>
      <w:r>
        <w:t>July 2010</w:t>
      </w:r>
      <w:r w:rsidR="00B25AE8">
        <w:t xml:space="preserve">) </w:t>
      </w:r>
      <w:r w:rsidR="00113D82">
        <w:t>(</w:t>
      </w:r>
      <w:hyperlink r:id="rId8" w:history="1">
        <w:r w:rsidRPr="00FC6A30">
          <w:rPr>
            <w:rStyle w:val="Hyperlink"/>
          </w:rPr>
          <w:t>http://www.fda.gov/downloads/MedicalDevices/DeviceRegulationandGuidance/GuidanceDocuments/ucm110203.pdf</w:t>
        </w:r>
      </w:hyperlink>
      <w:r w:rsidR="00113D82">
        <w:t>)</w:t>
      </w:r>
      <w:r w:rsidRPr="00615CAC">
        <w:rPr>
          <w:rStyle w:val="cf01"/>
          <w:rFonts w:ascii="Times New Roman" w:hAnsi="Times New Roman" w:cs="Times New Roman"/>
          <w:sz w:val="24"/>
          <w:szCs w:val="24"/>
        </w:rPr>
        <w:t xml:space="preserve"> was </w:t>
      </w:r>
      <w:bookmarkStart w:id="0" w:name="_Hlk193878574"/>
      <w:r w:rsidRPr="00615CAC">
        <w:rPr>
          <w:rStyle w:val="cf01"/>
          <w:rFonts w:ascii="Times New Roman" w:hAnsi="Times New Roman" w:cs="Times New Roman"/>
          <w:sz w:val="24"/>
          <w:szCs w:val="24"/>
        </w:rPr>
        <w:t>updated in September 2019</w:t>
      </w:r>
      <w:bookmarkEnd w:id="0"/>
      <w:r w:rsidRPr="00615CAC">
        <w:rPr>
          <w:rStyle w:val="cf01"/>
          <w:rFonts w:ascii="Times New Roman" w:hAnsi="Times New Roman" w:cs="Times New Roman"/>
          <w:sz w:val="24"/>
          <w:szCs w:val="24"/>
        </w:rPr>
        <w:t xml:space="preserve"> t</w:t>
      </w:r>
      <w:r w:rsidRPr="00615CAC">
        <w:rPr>
          <w:rStyle w:val="cf11"/>
          <w:rFonts w:ascii="Times New Roman" w:hAnsi="Times New Roman" w:cs="Times New Roman"/>
          <w:sz w:val="24"/>
          <w:szCs w:val="24"/>
        </w:rPr>
        <w:t xml:space="preserve">o provide clarity to industry and FDA staff about the current review practices for the Humanitarian Device Exemption (HDE) Program. This programmatic guidance addresses commonly asked questions about HDEs and Humanitarian Use Devices (HUDs), including FDA actions on HDE applications, post-approval </w:t>
      </w:r>
      <w:r w:rsidRPr="00615CAC">
        <w:rPr>
          <w:rStyle w:val="cf11"/>
          <w:rFonts w:ascii="Times New Roman" w:hAnsi="Times New Roman" w:cs="Times New Roman"/>
          <w:sz w:val="24"/>
          <w:szCs w:val="24"/>
        </w:rPr>
        <w:t>requirements, and special considerations for devices marketed under the HDE Program. </w:t>
      </w:r>
      <w:r w:rsidR="00B25AE8">
        <w:t xml:space="preserve"> </w:t>
      </w:r>
      <w:r w:rsidR="00D40132">
        <w:t xml:space="preserve">  </w:t>
      </w:r>
      <w:r w:rsidR="00113D82">
        <w:t>Th</w:t>
      </w:r>
      <w:r w:rsidR="00D40132">
        <w:t>e</w:t>
      </w:r>
      <w:r w:rsidR="00113D82">
        <w:t xml:space="preserve"> guidance document reflects changes in the HDE Program resulting from statutory amendments made by the 21st Century Cures Act (Cures Act) and explains the criteria FDA considers to determine if “probable benefit” has been demonstrated as part of the Agency’s decision-making process regarding marketing authorization for a HUD. This guidance document also reflects amendments made to the HDE provision of the Federal Food, Drug, and Cosmetic Act (FD&amp;C Act) by the FDA Reauthorization Act of 2017 (FDARA).</w:t>
      </w:r>
    </w:p>
    <w:p w:rsidR="00113D82" w:rsidP="00FE31B5" w14:paraId="3F11180B" w14:textId="77777777">
      <w:pPr>
        <w:pStyle w:val="BodyText"/>
        <w:spacing w:after="240"/>
        <w:ind w:left="-2" w:right="173"/>
      </w:pPr>
      <w:r w:rsidRPr="00011627">
        <w:t xml:space="preserve">Section 402(j)(5)(B) (42 U.S.C. 282(j)) of the Public Health Service Act (PHS Act), requires a certification to accompany human drug, biological, and device product submissions made to FDA.  Specifically, at the time of submission of an application under sections 505, 515, or 520(m) of the FD&amp;C Act (21 U.S.C. 354, 360e, or 360j(m)), or under section 351 of the PHS Act (21 U.S.C. 262), or submission of a report under section 510(k) of the FD&amp;C Act (21 U.S.C. 360(k)), such application or submission must be accompanied by a certification that all applicable requirements of section 402(j) of the PHS Act have been met.  The certification is effected by respondents’ completion of Form FDA 3674 entitled, “Certification of Compliance – Under 42 U.S.C. § 282(j)(5)(B), with Requirements of ClinicalTrials.gov Data Bank.”  Relevant regulations are found in 21 CFR parts 312 (investigational new drugs), 314 (applications to market new drug), 601 (biologic license applications), 807 (premarket device notifications), and 814, subpart H (humanitarian use devices – HUDs) and discussed in FDA’s notice of implementation of the certification on December 12, 2007 (72 FR 70599).  </w:t>
      </w:r>
    </w:p>
    <w:p w:rsidR="00157BA2" w:rsidRPr="00157BA2" w:rsidP="002F579C" w14:paraId="0DD428C7" w14:textId="77777777">
      <w:pPr>
        <w:pStyle w:val="BodyText"/>
        <w:spacing w:after="0"/>
        <w:ind w:right="173"/>
      </w:pPr>
      <w:r w:rsidRPr="00157BA2">
        <w:t>Reporting Requirements:</w:t>
      </w:r>
    </w:p>
    <w:p w:rsidR="00157BA2" w:rsidP="002F579C" w14:paraId="1F2D1869" w14:textId="77777777">
      <w:pPr>
        <w:pStyle w:val="BodyText"/>
        <w:spacing w:after="0"/>
        <w:ind w:right="173"/>
        <w:rPr>
          <w:u w:val="single"/>
        </w:rPr>
      </w:pPr>
      <w:r w:rsidRPr="00157BA2">
        <w:rPr>
          <w:u w:val="single"/>
        </w:rPr>
        <w:t>Pediatric Subpopulation and Patient Information--Section 515A(a)(2)</w:t>
      </w:r>
    </w:p>
    <w:p w:rsidR="00157BA2" w:rsidRPr="00157BA2" w:rsidP="002F579C" w14:paraId="200E3DE0" w14:textId="77777777">
      <w:pPr>
        <w:pStyle w:val="BodyText"/>
        <w:spacing w:after="0"/>
        <w:ind w:right="173"/>
      </w:pPr>
      <w:r w:rsidRPr="00157BA2">
        <w:t>Requires that an HDE application include a description of any pediatric subpopulations that suffer from the disease or condition that the device is intended to treat, diagnose, or cure and the number of affected pediatric patients.</w:t>
      </w:r>
    </w:p>
    <w:p w:rsidR="00157BA2" w:rsidRPr="00157BA2" w:rsidP="002F579C" w14:paraId="5D688A06" w14:textId="77777777">
      <w:pPr>
        <w:pStyle w:val="BodyText"/>
        <w:spacing w:after="0"/>
        <w:ind w:right="173"/>
      </w:pPr>
    </w:p>
    <w:p w:rsidR="00157BA2" w:rsidRPr="00157BA2" w:rsidP="002F579C" w14:paraId="0E83E53E" w14:textId="77777777">
      <w:pPr>
        <w:pStyle w:val="BodyText"/>
        <w:spacing w:after="0"/>
        <w:ind w:right="173"/>
        <w:rPr>
          <w:u w:val="single"/>
        </w:rPr>
      </w:pPr>
      <w:r w:rsidRPr="00157BA2">
        <w:rPr>
          <w:u w:val="single"/>
        </w:rPr>
        <w:t>Exemption from Profit Prohibition--Section 520(m)(6)(A)(</w:t>
      </w:r>
      <w:r w:rsidRPr="00157BA2">
        <w:rPr>
          <w:u w:val="single"/>
        </w:rPr>
        <w:t>i</w:t>
      </w:r>
      <w:r w:rsidRPr="00157BA2">
        <w:rPr>
          <w:u w:val="single"/>
        </w:rPr>
        <w:t>) and (ii)</w:t>
      </w:r>
    </w:p>
    <w:p w:rsidR="00157BA2" w:rsidRPr="00157BA2" w:rsidP="002F579C" w14:paraId="74FE45ED" w14:textId="77777777">
      <w:pPr>
        <w:pStyle w:val="BodyText"/>
        <w:spacing w:after="0"/>
        <w:ind w:right="173"/>
      </w:pPr>
      <w:r w:rsidRPr="00157BA2">
        <w:t>Provides that the HUD meets the eligibility criteria under section 520(m)(6)(A)(</w:t>
      </w:r>
      <w:r w:rsidRPr="00157BA2">
        <w:t>i</w:t>
      </w:r>
      <w:r w:rsidRPr="00157BA2">
        <w:t>) to be exempt from the profit prohibition on HUDs approved under an HDE, the Secretary will determine the ADN when the Secretary grants the HDE.  The ADN shall be based on the number of such devices reasonably needed to treat, diagnose, or cure a population of 8,000 individuals in the United States.</w:t>
      </w:r>
    </w:p>
    <w:p w:rsidR="00157BA2" w:rsidRPr="00157BA2" w:rsidP="00157BA2" w14:paraId="59CD7D19" w14:textId="77777777">
      <w:pPr>
        <w:pStyle w:val="BodyText"/>
        <w:spacing w:after="240"/>
        <w:ind w:left="-2" w:right="173"/>
        <w:rPr>
          <w:u w:val="single"/>
        </w:rPr>
      </w:pPr>
    </w:p>
    <w:p w:rsidR="00157BA2" w:rsidRPr="00157BA2" w:rsidP="002F579C" w14:paraId="3B45066B" w14:textId="77777777">
      <w:pPr>
        <w:pStyle w:val="BodyText"/>
        <w:spacing w:after="0"/>
        <w:ind w:right="173"/>
        <w:rPr>
          <w:u w:val="single"/>
        </w:rPr>
      </w:pPr>
      <w:r w:rsidRPr="00157BA2">
        <w:rPr>
          <w:u w:val="single"/>
        </w:rPr>
        <w:t>Request for Determination of Eligibility Criteria—Section 613(b) of FDASIA</w:t>
      </w:r>
    </w:p>
    <w:p w:rsidR="00157BA2" w:rsidRPr="00157BA2" w:rsidP="002F579C" w14:paraId="621404A5" w14:textId="77777777">
      <w:pPr>
        <w:pStyle w:val="BodyText"/>
        <w:spacing w:after="0"/>
        <w:ind w:right="173"/>
      </w:pPr>
      <w:r w:rsidRPr="00157BA2">
        <w:t>A sponsor of a HUD for which an HDE was approved prior to the enactment of FDASIA on July 9, 2012, may seek a determination that their HUD meets the eligibility criteria for exemption from the profit prohibition for an HUD under section 520(m)(6)(A)(</w:t>
      </w:r>
      <w:r w:rsidRPr="00157BA2">
        <w:t>i</w:t>
      </w:r>
      <w:r w:rsidRPr="00157BA2">
        <w:t>) of the FD&amp;C Act.  If the Secretary determines that the HUD meets the eligibility criteria, the Secretary will determine the ADN for the HUD.</w:t>
      </w:r>
    </w:p>
    <w:p w:rsidR="00157BA2" w:rsidRPr="00157BA2" w:rsidP="002F579C" w14:paraId="35031C9D" w14:textId="77777777">
      <w:pPr>
        <w:pStyle w:val="BodyText"/>
        <w:spacing w:after="0"/>
        <w:ind w:right="173"/>
      </w:pPr>
    </w:p>
    <w:p w:rsidR="00157BA2" w:rsidRPr="00157BA2" w:rsidP="002F579C" w14:paraId="536D7160" w14:textId="77777777">
      <w:pPr>
        <w:pStyle w:val="BodyText"/>
        <w:spacing w:after="0"/>
        <w:ind w:right="173"/>
        <w:rPr>
          <w:u w:val="single"/>
        </w:rPr>
      </w:pPr>
      <w:r w:rsidRPr="00157BA2">
        <w:rPr>
          <w:u w:val="single"/>
        </w:rPr>
        <w:t xml:space="preserve">ADN Notification--Section 520(m)(6)(A)(iii) </w:t>
      </w:r>
    </w:p>
    <w:p w:rsidR="00157BA2" w:rsidRPr="00157BA2" w:rsidP="002F579C" w14:paraId="28A34E83" w14:textId="77777777">
      <w:pPr>
        <w:pStyle w:val="BodyText"/>
        <w:spacing w:after="0"/>
        <w:ind w:right="173"/>
      </w:pPr>
      <w:r w:rsidRPr="00157BA2">
        <w:t>Requires an HDE holder immediately notify the agency if the number of devices distributed during any calendar year exceeds the ADN.</w:t>
      </w:r>
    </w:p>
    <w:p w:rsidR="00157BA2" w:rsidRPr="00157BA2" w:rsidP="002F579C" w14:paraId="1C07BAE1" w14:textId="77777777">
      <w:pPr>
        <w:pStyle w:val="BodyText"/>
        <w:spacing w:after="0"/>
        <w:ind w:right="173"/>
        <w:rPr>
          <w:u w:val="single"/>
        </w:rPr>
      </w:pPr>
      <w:r w:rsidRPr="00157BA2">
        <w:rPr>
          <w:u w:val="single"/>
        </w:rPr>
        <w:t>ADN Modification--Section 520(m)(6)(C)</w:t>
      </w:r>
    </w:p>
    <w:p w:rsidR="00157BA2" w:rsidRPr="00157BA2" w:rsidP="002F579C" w14:paraId="6F99018F" w14:textId="77777777">
      <w:pPr>
        <w:pStyle w:val="BodyText"/>
        <w:spacing w:after="0"/>
        <w:ind w:right="173"/>
      </w:pPr>
      <w:r w:rsidRPr="00157BA2">
        <w:t>Provides that an HDE holder may petition to modify the ADN if additional information arises.</w:t>
      </w:r>
    </w:p>
    <w:p w:rsidR="00157BA2" w:rsidRPr="00157BA2" w:rsidP="002F579C" w14:paraId="5BDDB126" w14:textId="77777777">
      <w:pPr>
        <w:pStyle w:val="BodyText"/>
        <w:spacing w:after="0"/>
        <w:ind w:right="173"/>
      </w:pPr>
    </w:p>
    <w:p w:rsidR="00157BA2" w:rsidP="002F579C" w14:paraId="62E1F5B7" w14:textId="77777777">
      <w:pPr>
        <w:pStyle w:val="BodyText"/>
        <w:spacing w:after="0"/>
        <w:ind w:right="173"/>
      </w:pPr>
    </w:p>
    <w:p w:rsidR="00113D82" w:rsidP="00FE31B5" w14:paraId="119C5170" w14:textId="77777777">
      <w:pPr>
        <w:pStyle w:val="BodyText"/>
        <w:spacing w:after="240"/>
        <w:ind w:left="-2" w:right="173"/>
      </w:pPr>
      <w:r>
        <w:t>Therefore, FDA is requesting OMB approval for the collection of information required under the statutory mandate of sections 515A and 520(m) of the FD&amp;C Act as amend</w:t>
      </w:r>
      <w:r w:rsidR="00615CAC">
        <w:t>ed</w:t>
      </w:r>
      <w:r>
        <w:t>,</w:t>
      </w:r>
      <w:r>
        <w:rPr>
          <w:spacing w:val="32"/>
        </w:rPr>
        <w:t xml:space="preserve"> </w:t>
      </w:r>
      <w:r>
        <w:rPr>
          <w:spacing w:val="-2"/>
        </w:rPr>
        <w:t>provisions</w:t>
      </w:r>
      <w:r>
        <w:rPr>
          <w:spacing w:val="40"/>
        </w:rPr>
        <w:t xml:space="preserve"> </w:t>
      </w:r>
      <w:r>
        <w:rPr>
          <w:spacing w:val="-2"/>
        </w:rPr>
        <w:t xml:space="preserve">found </w:t>
      </w:r>
      <w:r>
        <w:t>in 21 CFR part</w:t>
      </w:r>
      <w:r>
        <w:rPr>
          <w:spacing w:val="-2"/>
        </w:rPr>
        <w:t xml:space="preserve"> </w:t>
      </w:r>
      <w:r>
        <w:t>814, in</w:t>
      </w:r>
      <w:r>
        <w:rPr>
          <w:spacing w:val="23"/>
        </w:rPr>
        <w:t xml:space="preserve"> </w:t>
      </w:r>
      <w:r>
        <w:t xml:space="preserve">the </w:t>
      </w:r>
      <w:r w:rsidR="00615CAC">
        <w:t>HDE guidance</w:t>
      </w:r>
      <w:r>
        <w:t>, and</w:t>
      </w:r>
      <w:r>
        <w:rPr>
          <w:spacing w:val="-7"/>
        </w:rPr>
        <w:t xml:space="preserve"> </w:t>
      </w:r>
      <w:r>
        <w:t>discussed in</w:t>
      </w:r>
      <w:r>
        <w:rPr>
          <w:spacing w:val="23"/>
        </w:rPr>
        <w:t xml:space="preserve"> </w:t>
      </w:r>
      <w:r>
        <w:t>this supporting</w:t>
      </w:r>
      <w:r>
        <w:rPr>
          <w:spacing w:val="40"/>
        </w:rPr>
        <w:t xml:space="preserve"> </w:t>
      </w:r>
      <w:r>
        <w:t xml:space="preserve">statement. </w:t>
      </w:r>
    </w:p>
    <w:p w:rsidR="00357C8A" w:rsidRPr="00357C8A" w:rsidP="000E3DB3" w14:paraId="34ECF501" w14:textId="77777777">
      <w:pPr>
        <w:keepNext/>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113D82" w:rsidP="00FE31B5" w14:paraId="017FED80" w14:textId="77777777">
      <w:pPr>
        <w:pStyle w:val="BodyText"/>
        <w:ind w:right="295"/>
      </w:pPr>
      <w:r>
        <w:t>Respondents</w:t>
      </w:r>
      <w:r>
        <w:rPr>
          <w:spacing w:val="-2"/>
        </w:rPr>
        <w:t xml:space="preserve"> </w:t>
      </w:r>
      <w:r>
        <w:t>may</w:t>
      </w:r>
      <w:r>
        <w:rPr>
          <w:spacing w:val="-2"/>
        </w:rPr>
        <w:t xml:space="preserve"> </w:t>
      </w:r>
      <w:r>
        <w:t>submit</w:t>
      </w:r>
      <w:r>
        <w:rPr>
          <w:spacing w:val="28"/>
        </w:rPr>
        <w:t xml:space="preserve"> </w:t>
      </w:r>
      <w:r>
        <w:t>a</w:t>
      </w:r>
      <w:r>
        <w:rPr>
          <w:spacing w:val="-15"/>
        </w:rPr>
        <w:t xml:space="preserve"> </w:t>
      </w:r>
      <w:r>
        <w:t>humanitarian</w:t>
      </w:r>
      <w:r>
        <w:rPr>
          <w:spacing w:val="37"/>
        </w:rPr>
        <w:t xml:space="preserve"> </w:t>
      </w:r>
      <w:r>
        <w:t>device exemption</w:t>
      </w:r>
      <w:r>
        <w:rPr>
          <w:spacing w:val="24"/>
        </w:rPr>
        <w:t xml:space="preserve"> </w:t>
      </w:r>
      <w:r>
        <w:t>(HDE)</w:t>
      </w:r>
      <w:r>
        <w:rPr>
          <w:spacing w:val="-15"/>
        </w:rPr>
        <w:t xml:space="preserve"> </w:t>
      </w:r>
      <w:r>
        <w:t>application</w:t>
      </w:r>
      <w:r>
        <w:rPr>
          <w:spacing w:val="40"/>
        </w:rPr>
        <w:t xml:space="preserve"> </w:t>
      </w:r>
      <w:r>
        <w:t>seeking exemption</w:t>
      </w:r>
      <w:r>
        <w:rPr>
          <w:spacing w:val="24"/>
        </w:rPr>
        <w:t xml:space="preserve"> </w:t>
      </w:r>
      <w:r>
        <w:t>from</w:t>
      </w:r>
      <w:r>
        <w:rPr>
          <w:spacing w:val="-1"/>
        </w:rPr>
        <w:t xml:space="preserve"> </w:t>
      </w:r>
      <w:r>
        <w:t>the</w:t>
      </w:r>
      <w:r>
        <w:rPr>
          <w:spacing w:val="-1"/>
        </w:rPr>
        <w:t xml:space="preserve"> </w:t>
      </w:r>
      <w:r>
        <w:t>effectiveness</w:t>
      </w:r>
      <w:r>
        <w:rPr>
          <w:spacing w:val="-4"/>
        </w:rPr>
        <w:t xml:space="preserve"> </w:t>
      </w:r>
      <w:r>
        <w:t>requirements</w:t>
      </w:r>
      <w:r>
        <w:rPr>
          <w:spacing w:val="24"/>
        </w:rPr>
        <w:t xml:space="preserve"> </w:t>
      </w:r>
      <w:r>
        <w:t>of</w:t>
      </w:r>
      <w:r>
        <w:rPr>
          <w:spacing w:val="-5"/>
        </w:rPr>
        <w:t xml:space="preserve"> </w:t>
      </w:r>
      <w:r>
        <w:t>sections 514 and</w:t>
      </w:r>
      <w:r>
        <w:rPr>
          <w:spacing w:val="-12"/>
        </w:rPr>
        <w:t xml:space="preserve"> </w:t>
      </w:r>
      <w:r>
        <w:t>515 of the</w:t>
      </w:r>
      <w:r>
        <w:rPr>
          <w:spacing w:val="-1"/>
        </w:rPr>
        <w:t xml:space="preserve"> </w:t>
      </w:r>
      <w:r>
        <w:t>FD&amp;C</w:t>
      </w:r>
      <w:r>
        <w:rPr>
          <w:spacing w:val="-15"/>
        </w:rPr>
        <w:t xml:space="preserve"> </w:t>
      </w:r>
      <w:r>
        <w:t>Act as</w:t>
      </w:r>
      <w:r>
        <w:rPr>
          <w:spacing w:val="-15"/>
        </w:rPr>
        <w:t xml:space="preserve"> </w:t>
      </w:r>
      <w:r>
        <w:t>authorized</w:t>
      </w:r>
      <w:r>
        <w:rPr>
          <w:spacing w:val="7"/>
        </w:rPr>
        <w:t xml:space="preserve"> </w:t>
      </w:r>
      <w:r>
        <w:t>by</w:t>
      </w:r>
      <w:r>
        <w:rPr>
          <w:spacing w:val="-13"/>
        </w:rPr>
        <w:t xml:space="preserve"> </w:t>
      </w:r>
      <w:r>
        <w:t>section</w:t>
      </w:r>
      <w:r>
        <w:rPr>
          <w:spacing w:val="-13"/>
        </w:rPr>
        <w:t xml:space="preserve"> </w:t>
      </w:r>
      <w:r>
        <w:t>520(m)(2).</w:t>
      </w:r>
      <w:r>
        <w:rPr>
          <w:spacing w:val="5"/>
        </w:rPr>
        <w:t xml:space="preserve"> </w:t>
      </w:r>
      <w:r>
        <w:t>The</w:t>
      </w:r>
      <w:r>
        <w:rPr>
          <w:spacing w:val="-5"/>
        </w:rPr>
        <w:t xml:space="preserve"> </w:t>
      </w:r>
      <w:r>
        <w:t>information</w:t>
      </w:r>
      <w:r>
        <w:rPr>
          <w:spacing w:val="18"/>
        </w:rPr>
        <w:t xml:space="preserve"> </w:t>
      </w:r>
      <w:r>
        <w:t>gathered</w:t>
      </w:r>
      <w:r>
        <w:rPr>
          <w:spacing w:val="-15"/>
        </w:rPr>
        <w:t xml:space="preserve"> </w:t>
      </w:r>
      <w:r>
        <w:t>by</w:t>
      </w:r>
      <w:r>
        <w:rPr>
          <w:spacing w:val="-13"/>
        </w:rPr>
        <w:t xml:space="preserve"> </w:t>
      </w:r>
      <w:r>
        <w:t>this</w:t>
      </w:r>
      <w:r>
        <w:rPr>
          <w:spacing w:val="3"/>
        </w:rPr>
        <w:t xml:space="preserve"> </w:t>
      </w:r>
      <w:r>
        <w:t>collection</w:t>
      </w:r>
      <w:r>
        <w:rPr>
          <w:spacing w:val="18"/>
        </w:rPr>
        <w:t xml:space="preserve"> </w:t>
      </w:r>
      <w:r>
        <w:t>enables</w:t>
      </w:r>
      <w:r>
        <w:rPr>
          <w:spacing w:val="-15"/>
        </w:rPr>
        <w:t xml:space="preserve"> </w:t>
      </w:r>
      <w:r w:rsidR="00011627">
        <w:t xml:space="preserve">FDA </w:t>
      </w:r>
      <w:r>
        <w:t>to</w:t>
      </w:r>
      <w:r>
        <w:rPr>
          <w:spacing w:val="-14"/>
        </w:rPr>
        <w:t xml:space="preserve"> </w:t>
      </w:r>
      <w:r>
        <w:t>determine</w:t>
      </w:r>
      <w:r>
        <w:rPr>
          <w:spacing w:val="22"/>
        </w:rPr>
        <w:t xml:space="preserve"> </w:t>
      </w:r>
      <w:r>
        <w:t>whether</w:t>
      </w:r>
      <w:r>
        <w:rPr>
          <w:spacing w:val="-8"/>
        </w:rPr>
        <w:t xml:space="preserve"> </w:t>
      </w:r>
      <w:r>
        <w:t>an</w:t>
      </w:r>
      <w:r>
        <w:rPr>
          <w:spacing w:val="-14"/>
        </w:rPr>
        <w:t xml:space="preserve"> </w:t>
      </w:r>
      <w:r>
        <w:t>HDE</w:t>
      </w:r>
      <w:r>
        <w:rPr>
          <w:spacing w:val="-10"/>
        </w:rPr>
        <w:t xml:space="preserve"> </w:t>
      </w:r>
      <w:r>
        <w:t>holder</w:t>
      </w:r>
      <w:r>
        <w:rPr>
          <w:spacing w:val="18"/>
        </w:rPr>
        <w:t xml:space="preserve"> </w:t>
      </w:r>
      <w:r>
        <w:t>is in</w:t>
      </w:r>
      <w:r>
        <w:rPr>
          <w:spacing w:val="-1"/>
        </w:rPr>
        <w:t xml:space="preserve"> </w:t>
      </w:r>
      <w:r>
        <w:t>compliance</w:t>
      </w:r>
      <w:r>
        <w:rPr>
          <w:spacing w:val="36"/>
        </w:rPr>
        <w:t xml:space="preserve"> </w:t>
      </w:r>
      <w:r>
        <w:t>with</w:t>
      </w:r>
      <w:r>
        <w:rPr>
          <w:spacing w:val="-1"/>
        </w:rPr>
        <w:t xml:space="preserve"> </w:t>
      </w:r>
      <w:r>
        <w:t>the</w:t>
      </w:r>
      <w:r>
        <w:rPr>
          <w:spacing w:val="-4"/>
        </w:rPr>
        <w:t xml:space="preserve"> </w:t>
      </w:r>
      <w:r>
        <w:t>HDE</w:t>
      </w:r>
      <w:r>
        <w:rPr>
          <w:spacing w:val="-10"/>
        </w:rPr>
        <w:t xml:space="preserve"> </w:t>
      </w:r>
      <w:r>
        <w:t>requirements.</w:t>
      </w:r>
      <w:r>
        <w:rPr>
          <w:spacing w:val="21"/>
        </w:rPr>
        <w:t xml:space="preserve"> </w:t>
      </w:r>
      <w:r>
        <w:t>It</w:t>
      </w:r>
      <w:r>
        <w:rPr>
          <w:spacing w:val="-10"/>
        </w:rPr>
        <w:t xml:space="preserve"> </w:t>
      </w:r>
      <w:r>
        <w:t>also allows</w:t>
      </w:r>
      <w:r>
        <w:rPr>
          <w:spacing w:val="29"/>
        </w:rPr>
        <w:t xml:space="preserve"> </w:t>
      </w:r>
      <w:r>
        <w:t>us to</w:t>
      </w:r>
      <w:r>
        <w:rPr>
          <w:spacing w:val="-9"/>
        </w:rPr>
        <w:t xml:space="preserve"> </w:t>
      </w:r>
      <w:r>
        <w:t>determine</w:t>
      </w:r>
      <w:r>
        <w:rPr>
          <w:spacing w:val="32"/>
        </w:rPr>
        <w:t xml:space="preserve"> </w:t>
      </w:r>
      <w:r>
        <w:t>whether</w:t>
      </w:r>
      <w:r>
        <w:rPr>
          <w:spacing w:val="-2"/>
        </w:rPr>
        <w:t xml:space="preserve"> </w:t>
      </w:r>
      <w:r>
        <w:t>to: (1)</w:t>
      </w:r>
      <w:r>
        <w:rPr>
          <w:spacing w:val="-2"/>
        </w:rPr>
        <w:t xml:space="preserve"> </w:t>
      </w:r>
      <w:r>
        <w:t>grant HUD</w:t>
      </w:r>
      <w:r>
        <w:rPr>
          <w:spacing w:val="-15"/>
        </w:rPr>
        <w:t xml:space="preserve"> </w:t>
      </w:r>
      <w:r>
        <w:t>designation</w:t>
      </w:r>
      <w:r>
        <w:rPr>
          <w:spacing w:val="40"/>
        </w:rPr>
        <w:t xml:space="preserve"> </w:t>
      </w:r>
      <w:r>
        <w:t>of</w:t>
      </w:r>
      <w:r>
        <w:rPr>
          <w:spacing w:val="-2"/>
        </w:rPr>
        <w:t xml:space="preserve"> </w:t>
      </w:r>
      <w:r>
        <w:t>a</w:t>
      </w:r>
      <w:r>
        <w:rPr>
          <w:spacing w:val="-12"/>
        </w:rPr>
        <w:t xml:space="preserve"> </w:t>
      </w:r>
      <w:r>
        <w:t>medical</w:t>
      </w:r>
      <w:r>
        <w:rPr>
          <w:spacing w:val="25"/>
        </w:rPr>
        <w:t xml:space="preserve"> </w:t>
      </w:r>
      <w:r>
        <w:t>device; (2)</w:t>
      </w:r>
      <w:r w:rsidR="00FE31B5">
        <w:t xml:space="preserve"> </w:t>
      </w:r>
      <w:r>
        <w:t>exempt a</w:t>
      </w:r>
      <w:r>
        <w:rPr>
          <w:spacing w:val="-15"/>
        </w:rPr>
        <w:t xml:space="preserve"> </w:t>
      </w:r>
      <w:r>
        <w:t>HUD</w:t>
      </w:r>
      <w:r>
        <w:rPr>
          <w:spacing w:val="32"/>
        </w:rPr>
        <w:t xml:space="preserve"> </w:t>
      </w:r>
      <w:r>
        <w:t>from</w:t>
      </w:r>
      <w:r>
        <w:rPr>
          <w:spacing w:val="-4"/>
        </w:rPr>
        <w:t xml:space="preserve"> </w:t>
      </w:r>
      <w:r>
        <w:t>the</w:t>
      </w:r>
      <w:r>
        <w:rPr>
          <w:spacing w:val="-4"/>
        </w:rPr>
        <w:t xml:space="preserve"> </w:t>
      </w:r>
      <w:r>
        <w:t>effectiveness</w:t>
      </w:r>
      <w:r>
        <w:rPr>
          <w:spacing w:val="-7"/>
        </w:rPr>
        <w:t xml:space="preserve"> </w:t>
      </w:r>
      <w:r>
        <w:t>requirements</w:t>
      </w:r>
      <w:r>
        <w:rPr>
          <w:spacing w:val="19"/>
        </w:rPr>
        <w:t xml:space="preserve"> </w:t>
      </w:r>
      <w:r>
        <w:t>in sections 514</w:t>
      </w:r>
      <w:r>
        <w:rPr>
          <w:spacing w:val="-2"/>
        </w:rPr>
        <w:t xml:space="preserve"> </w:t>
      </w:r>
      <w:r>
        <w:t>and</w:t>
      </w:r>
      <w:r>
        <w:rPr>
          <w:spacing w:val="-2"/>
        </w:rPr>
        <w:t xml:space="preserve"> </w:t>
      </w:r>
      <w:r>
        <w:t>515</w:t>
      </w:r>
      <w:r>
        <w:rPr>
          <w:spacing w:val="-2"/>
        </w:rPr>
        <w:t xml:space="preserve"> </w:t>
      </w:r>
      <w:r>
        <w:t>of</w:t>
      </w:r>
      <w:r>
        <w:rPr>
          <w:spacing w:val="-9"/>
        </w:rPr>
        <w:t xml:space="preserve"> </w:t>
      </w:r>
      <w:r>
        <w:t>the</w:t>
      </w:r>
      <w:r>
        <w:rPr>
          <w:spacing w:val="-4"/>
        </w:rPr>
        <w:t xml:space="preserve"> </w:t>
      </w:r>
      <w:r>
        <w:t>FD&amp;C Act</w:t>
      </w:r>
      <w:r>
        <w:rPr>
          <w:spacing w:val="-15"/>
        </w:rPr>
        <w:t xml:space="preserve"> </w:t>
      </w:r>
      <w:r>
        <w:t>(21 U.S.C.</w:t>
      </w:r>
      <w:r>
        <w:rPr>
          <w:spacing w:val="-11"/>
        </w:rPr>
        <w:t xml:space="preserve"> </w:t>
      </w:r>
      <w:r>
        <w:t>360d</w:t>
      </w:r>
      <w:r>
        <w:rPr>
          <w:spacing w:val="24"/>
        </w:rPr>
        <w:t xml:space="preserve"> </w:t>
      </w:r>
      <w:r>
        <w:t>and</w:t>
      </w:r>
      <w:r>
        <w:rPr>
          <w:spacing w:val="-7"/>
        </w:rPr>
        <w:t xml:space="preserve"> </w:t>
      </w:r>
      <w:r>
        <w:t>360e) provided</w:t>
      </w:r>
      <w:r>
        <w:rPr>
          <w:spacing w:val="39"/>
        </w:rPr>
        <w:t xml:space="preserve"> </w:t>
      </w:r>
      <w:r>
        <w:t>that the device meets</w:t>
      </w:r>
      <w:r>
        <w:rPr>
          <w:spacing w:val="-13"/>
        </w:rPr>
        <w:t xml:space="preserve"> </w:t>
      </w:r>
      <w:r>
        <w:t>requirements</w:t>
      </w:r>
      <w:r>
        <w:rPr>
          <w:spacing w:val="33"/>
        </w:rPr>
        <w:t xml:space="preserve"> </w:t>
      </w:r>
      <w:r>
        <w:t>set</w:t>
      </w:r>
      <w:r>
        <w:rPr>
          <w:spacing w:val="-2"/>
        </w:rPr>
        <w:t xml:space="preserve"> </w:t>
      </w:r>
      <w:r>
        <w:t>forth in section 520(m)</w:t>
      </w:r>
      <w:r>
        <w:rPr>
          <w:spacing w:val="34"/>
        </w:rPr>
        <w:t xml:space="preserve"> </w:t>
      </w:r>
      <w:r>
        <w:t>of the FD&amp;C Act;</w:t>
      </w:r>
      <w:r>
        <w:rPr>
          <w:spacing w:val="-1"/>
        </w:rPr>
        <w:t xml:space="preserve"> </w:t>
      </w:r>
      <w:r>
        <w:t>and</w:t>
      </w:r>
      <w:r>
        <w:rPr>
          <w:spacing w:val="-6"/>
        </w:rPr>
        <w:t xml:space="preserve"> </w:t>
      </w:r>
      <w:r>
        <w:t>(3) grant marketing approval(s)</w:t>
      </w:r>
      <w:r>
        <w:rPr>
          <w:spacing w:val="32"/>
        </w:rPr>
        <w:t xml:space="preserve"> </w:t>
      </w:r>
      <w:r>
        <w:t>for the HUD. Without</w:t>
      </w:r>
      <w:r>
        <w:rPr>
          <w:spacing w:val="29"/>
        </w:rPr>
        <w:t xml:space="preserve"> </w:t>
      </w:r>
      <w:r>
        <w:t>the</w:t>
      </w:r>
      <w:r>
        <w:rPr>
          <w:spacing w:val="-3"/>
        </w:rPr>
        <w:t xml:space="preserve"> </w:t>
      </w:r>
      <w:r>
        <w:t>information</w:t>
      </w:r>
      <w:r>
        <w:rPr>
          <w:spacing w:val="40"/>
        </w:rPr>
        <w:t xml:space="preserve"> </w:t>
      </w:r>
      <w:r>
        <w:t>we</w:t>
      </w:r>
      <w:r>
        <w:rPr>
          <w:spacing w:val="-15"/>
        </w:rPr>
        <w:t xml:space="preserve"> </w:t>
      </w:r>
      <w:r>
        <w:t>are</w:t>
      </w:r>
      <w:r>
        <w:rPr>
          <w:spacing w:val="-15"/>
        </w:rPr>
        <w:t xml:space="preserve"> </w:t>
      </w:r>
      <w:r>
        <w:t>unable</w:t>
      </w:r>
      <w:r>
        <w:rPr>
          <w:spacing w:val="24"/>
        </w:rPr>
        <w:t xml:space="preserve"> </w:t>
      </w:r>
      <w:r>
        <w:t>to</w:t>
      </w:r>
      <w:r>
        <w:rPr>
          <w:spacing w:val="-14"/>
        </w:rPr>
        <w:t xml:space="preserve"> </w:t>
      </w:r>
      <w:r>
        <w:t>make</w:t>
      </w:r>
      <w:r>
        <w:rPr>
          <w:spacing w:val="-3"/>
        </w:rPr>
        <w:t xml:space="preserve"> </w:t>
      </w:r>
      <w:r w:rsidR="0090584C">
        <w:t>those</w:t>
      </w:r>
      <w:r w:rsidR="0090584C">
        <w:rPr>
          <w:spacing w:val="-10"/>
        </w:rPr>
        <w:t xml:space="preserve"> </w:t>
      </w:r>
      <w:r>
        <w:t>determination</w:t>
      </w:r>
      <w:r w:rsidR="0090584C">
        <w:t>s</w:t>
      </w:r>
      <w:r>
        <w:t>.</w:t>
      </w:r>
      <w:r>
        <w:rPr>
          <w:spacing w:val="40"/>
        </w:rPr>
        <w:t xml:space="preserve"> </w:t>
      </w:r>
      <w:r>
        <w:t>Respondents</w:t>
      </w:r>
      <w:r>
        <w:rPr>
          <w:spacing w:val="21"/>
        </w:rPr>
        <w:t xml:space="preserve"> </w:t>
      </w:r>
      <w:r>
        <w:t>to</w:t>
      </w:r>
      <w:r>
        <w:rPr>
          <w:spacing w:val="-14"/>
        </w:rPr>
        <w:t xml:space="preserve"> </w:t>
      </w:r>
      <w:r>
        <w:t>this information</w:t>
      </w:r>
      <w:r>
        <w:rPr>
          <w:spacing w:val="40"/>
        </w:rPr>
        <w:t xml:space="preserve"> </w:t>
      </w:r>
      <w:r>
        <w:t>collection</w:t>
      </w:r>
      <w:r>
        <w:rPr>
          <w:spacing w:val="30"/>
        </w:rPr>
        <w:t xml:space="preserve"> </w:t>
      </w:r>
      <w:r>
        <w:t>are</w:t>
      </w:r>
      <w:r>
        <w:rPr>
          <w:spacing w:val="-1"/>
        </w:rPr>
        <w:t xml:space="preserve"> </w:t>
      </w:r>
      <w:r>
        <w:t>private, for-profit</w:t>
      </w:r>
      <w:r>
        <w:rPr>
          <w:spacing w:val="20"/>
        </w:rPr>
        <w:t xml:space="preserve"> </w:t>
      </w:r>
      <w:r>
        <w:t>businesses.</w:t>
      </w:r>
    </w:p>
    <w:p w:rsidR="00113D82" w:rsidP="00FE31B5" w14:paraId="23C6FB94" w14:textId="77777777">
      <w:r w:rsidRPr="002D0BDD">
        <w:t>HUDs are subject to the general restriction that no profit may be made on their use.  For HUDs labeled for use in certain populations, FDA exempts a certain number of these devices each year from the prohibition on profit.  This number is known as the ADN.  The information gathered by this collection enables FDA to set this number.  Failure to collect this information would prevent FDA from assigning an ADN.</w:t>
      </w:r>
    </w:p>
    <w:p w:rsidR="00113D82" w:rsidRPr="002D0BDD" w:rsidP="00113D82" w14:paraId="23AE1976" w14:textId="77777777">
      <w:pPr>
        <w:ind w:left="290"/>
      </w:pPr>
    </w:p>
    <w:p w:rsidR="00357C8A" w:rsidRPr="00357C8A" w:rsidP="006705EA" w14:paraId="691387CA"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C2506F" w:rsidP="003B0148" w14:paraId="2D4D3041" w14:textId="77777777">
      <w:pPr>
        <w:pStyle w:val="BodyText"/>
        <w:spacing w:before="70" w:line="237" w:lineRule="auto"/>
      </w:pPr>
      <w:r>
        <w:t>FDA</w:t>
      </w:r>
      <w:r>
        <w:rPr>
          <w:spacing w:val="-10"/>
        </w:rPr>
        <w:t xml:space="preserve"> </w:t>
      </w:r>
      <w:r>
        <w:t>estimates</w:t>
      </w:r>
      <w:r>
        <w:rPr>
          <w:spacing w:val="-10"/>
        </w:rPr>
        <w:t xml:space="preserve"> </w:t>
      </w:r>
      <w:r>
        <w:t>that</w:t>
      </w:r>
      <w:r>
        <w:rPr>
          <w:spacing w:val="-2"/>
        </w:rPr>
        <w:t xml:space="preserve"> </w:t>
      </w:r>
      <w:r>
        <w:t>100%</w:t>
      </w:r>
      <w:r>
        <w:rPr>
          <w:spacing w:val="-6"/>
        </w:rPr>
        <w:t xml:space="preserve"> </w:t>
      </w:r>
      <w:r>
        <w:t>of the</w:t>
      </w:r>
      <w:r>
        <w:rPr>
          <w:spacing w:val="-8"/>
        </w:rPr>
        <w:t xml:space="preserve"> </w:t>
      </w:r>
      <w:r>
        <w:t>respondents will</w:t>
      </w:r>
      <w:r>
        <w:rPr>
          <w:spacing w:val="10"/>
        </w:rPr>
        <w:t xml:space="preserve"> </w:t>
      </w:r>
      <w:r>
        <w:t>use</w:t>
      </w:r>
      <w:r>
        <w:rPr>
          <w:spacing w:val="-8"/>
        </w:rPr>
        <w:t xml:space="preserve"> </w:t>
      </w:r>
      <w:r>
        <w:t>electronic</w:t>
      </w:r>
      <w:r>
        <w:rPr>
          <w:spacing w:val="16"/>
        </w:rPr>
        <w:t xml:space="preserve"> </w:t>
      </w:r>
      <w:r>
        <w:t>means</w:t>
      </w:r>
      <w:r>
        <w:rPr>
          <w:spacing w:val="-10"/>
        </w:rPr>
        <w:t xml:space="preserve"> </w:t>
      </w:r>
      <w:r>
        <w:t>to fulfill</w:t>
      </w:r>
      <w:r>
        <w:rPr>
          <w:spacing w:val="40"/>
        </w:rPr>
        <w:t xml:space="preserve"> </w:t>
      </w:r>
      <w:r>
        <w:t>the agency’s requirement</w:t>
      </w:r>
      <w:r>
        <w:rPr>
          <w:spacing w:val="37"/>
        </w:rPr>
        <w:t xml:space="preserve"> </w:t>
      </w:r>
      <w:r>
        <w:t>or request.</w:t>
      </w:r>
      <w:r w:rsidR="0090584C">
        <w:t xml:space="preserve">  </w:t>
      </w:r>
    </w:p>
    <w:p w:rsidR="00837A8C" w:rsidP="003B0148" w14:paraId="054103EF" w14:textId="77777777">
      <w:pPr>
        <w:pStyle w:val="BodyText"/>
        <w:spacing w:before="70" w:line="237" w:lineRule="auto"/>
      </w:pPr>
      <w:r>
        <w:t>T</w:t>
      </w:r>
      <w:r w:rsidRPr="00837A8C">
        <w:t>he final rule, “Amending Premarket Regulations That Require Multiple Copies and Specify Paper Copies to be Allowed in Electronic Format”</w:t>
      </w:r>
      <w:r>
        <w:t xml:space="preserve"> (</w:t>
      </w:r>
      <w:r w:rsidRPr="00837A8C">
        <w:t>84 FR 68334</w:t>
      </w:r>
      <w:r>
        <w:t>; 12/16/2019)</w:t>
      </w:r>
      <w:r w:rsidRPr="00837A8C">
        <w:t xml:space="preserve"> remove</w:t>
      </w:r>
      <w:r>
        <w:t>d</w:t>
      </w:r>
      <w:r w:rsidRPr="00837A8C">
        <w:t xml:space="preserve"> requirements to submit multiple paper copies of medical device regulatory pre-submissions and submissions and replace them with one copy in an electronic format.</w:t>
      </w:r>
      <w:r>
        <w:t xml:space="preserve">  </w:t>
      </w:r>
    </w:p>
    <w:p w:rsidR="0090584C" w:rsidP="003B0148" w14:paraId="2A40A4E4" w14:textId="77777777">
      <w:pPr>
        <w:pStyle w:val="BodyText"/>
        <w:spacing w:before="70" w:line="237" w:lineRule="auto"/>
      </w:pPr>
      <w:r>
        <w:t>T</w:t>
      </w:r>
      <w:r>
        <w:t>he information</w:t>
      </w:r>
      <w:r>
        <w:t xml:space="preserve"> is submitted to FDA</w:t>
      </w:r>
      <w:r>
        <w:t xml:space="preserve"> as an </w:t>
      </w:r>
      <w:r w:rsidR="003B0148">
        <w:t>“</w:t>
      </w:r>
      <w:r>
        <w:t>eCopy</w:t>
      </w:r>
      <w:r w:rsidR="003B0148">
        <w:t>”</w:t>
      </w:r>
      <w:r>
        <w:t xml:space="preserve"> via FDA’s Center for Devices and Radiological Health (CDRH) Customer Collaboration Portal (</w:t>
      </w:r>
      <w:hyperlink r:id="rId9" w:history="1">
        <w:r w:rsidRPr="003B0148">
          <w:rPr>
            <w:rStyle w:val="Hyperlink"/>
          </w:rPr>
          <w:t>https://www.fda.gov/medical-devices/industry-medical-devices/send-and-track-medical-device-premarket-submissions-online-cdrh-portal</w:t>
        </w:r>
      </w:hyperlink>
      <w:r>
        <w:t>).</w:t>
      </w:r>
      <w:r w:rsidR="00837A8C">
        <w:t xml:space="preserve">  </w:t>
      </w:r>
      <w:r>
        <w:t xml:space="preserve">Instructions and information regarding eCopy submission </w:t>
      </w:r>
      <w:r w:rsidR="00837A8C">
        <w:t>are</w:t>
      </w:r>
      <w:r>
        <w:t xml:space="preserve"> available on FDA’s website at</w:t>
      </w:r>
      <w:r w:rsidR="003B0148">
        <w:t xml:space="preserve"> </w:t>
      </w:r>
      <w:hyperlink r:id="rId10" w:history="1">
        <w:r w:rsidR="003B0148">
          <w:rPr>
            <w:rStyle w:val="Hyperlink"/>
          </w:rPr>
          <w:t>https://www.fda.gov/medical-devices/how-study-and-market-your-device/ecopy-medical-device-submissions</w:t>
        </w:r>
      </w:hyperlink>
      <w:r w:rsidR="003B0148">
        <w:t xml:space="preserve"> and </w:t>
      </w:r>
      <w:r>
        <w:t xml:space="preserve">in </w:t>
      </w:r>
      <w:r w:rsidR="003B0148">
        <w:t>the FDA guidance</w:t>
      </w:r>
      <w:r>
        <w:t xml:space="preserve"> document,</w:t>
      </w:r>
      <w:r w:rsidR="003B0148">
        <w:t xml:space="preserve"> “</w:t>
      </w:r>
      <w:r w:rsidRPr="003B0148" w:rsidR="003B0148">
        <w:t>eCopy Program for Medical Device Submissions</w:t>
      </w:r>
      <w:r w:rsidR="003B0148">
        <w:t>” (</w:t>
      </w:r>
      <w:bookmarkStart w:id="1" w:name="_Hlk193878660"/>
      <w:hyperlink r:id="rId11" w:history="1">
        <w:r w:rsidRPr="003B0148" w:rsidR="003B0148">
          <w:rPr>
            <w:rStyle w:val="Hyperlink"/>
          </w:rPr>
          <w:t>https://www.fda.gov/regulatory-information/search-fda-guidance-documents/ecopy-program-medical-device-submissions</w:t>
        </w:r>
      </w:hyperlink>
      <w:bookmarkEnd w:id="1"/>
      <w:r w:rsidR="003B0148">
        <w:t>).</w:t>
      </w:r>
      <w:r>
        <w:t xml:space="preserve"> </w:t>
      </w:r>
    </w:p>
    <w:p w:rsidR="00357C8A" w:rsidRPr="00357C8A" w:rsidP="000E3DB3" w14:paraId="0D029A18" w14:textId="77777777">
      <w:pPr>
        <w:keepNext/>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113D82" w:rsidRPr="00113D82" w:rsidP="0053380B" w14:paraId="37DE4756" w14:textId="77777777">
      <w:pPr>
        <w:spacing w:after="200"/>
      </w:pPr>
      <w:r w:rsidRPr="00113D82">
        <w:t>We are unaware of duplicative information collection.</w:t>
      </w:r>
    </w:p>
    <w:p w:rsidR="00357C8A" w:rsidRPr="00357C8A" w:rsidP="006705EA" w14:paraId="6563860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113D82" w:rsidP="00113D82" w14:paraId="361AC2CB" w14:textId="77777777">
      <w:pPr>
        <w:pStyle w:val="BodyText"/>
        <w:spacing w:line="249" w:lineRule="auto"/>
        <w:ind w:right="825"/>
        <w:contextualSpacing/>
      </w:pPr>
      <w:r>
        <w:t>FDA</w:t>
      </w:r>
      <w:r>
        <w:rPr>
          <w:spacing w:val="-15"/>
        </w:rPr>
        <w:t xml:space="preserve"> </w:t>
      </w:r>
      <w:r>
        <w:t>regulations</w:t>
      </w:r>
      <w:r>
        <w:rPr>
          <w:spacing w:val="14"/>
        </w:rPr>
        <w:t xml:space="preserve"> </w:t>
      </w:r>
      <w:r>
        <w:t>regarding</w:t>
      </w:r>
      <w:r>
        <w:rPr>
          <w:spacing w:val="-3"/>
        </w:rPr>
        <w:t xml:space="preserve"> </w:t>
      </w:r>
      <w:r>
        <w:t>HUDs</w:t>
      </w:r>
      <w:r>
        <w:rPr>
          <w:spacing w:val="-15"/>
        </w:rPr>
        <w:t xml:space="preserve"> </w:t>
      </w:r>
      <w:r w:rsidR="00925225">
        <w:rPr>
          <w:spacing w:val="-15"/>
        </w:rPr>
        <w:t xml:space="preserve">do not </w:t>
      </w:r>
      <w:r>
        <w:t>provide</w:t>
      </w:r>
      <w:r>
        <w:rPr>
          <w:spacing w:val="16"/>
        </w:rPr>
        <w:t xml:space="preserve"> </w:t>
      </w:r>
      <w:r>
        <w:t>for</w:t>
      </w:r>
      <w:r>
        <w:rPr>
          <w:spacing w:val="-15"/>
        </w:rPr>
        <w:t xml:space="preserve"> </w:t>
      </w:r>
      <w:r>
        <w:t>small</w:t>
      </w:r>
      <w:r>
        <w:rPr>
          <w:spacing w:val="-10"/>
        </w:rPr>
        <w:t xml:space="preserve"> </w:t>
      </w:r>
      <w:r>
        <w:t>business</w:t>
      </w:r>
      <w:r>
        <w:rPr>
          <w:spacing w:val="3"/>
        </w:rPr>
        <w:t xml:space="preserve"> </w:t>
      </w:r>
      <w:r>
        <w:t>exceptions.</w:t>
      </w:r>
      <w:r>
        <w:rPr>
          <w:spacing w:val="5"/>
        </w:rPr>
        <w:t xml:space="preserve"> </w:t>
      </w:r>
      <w:r>
        <w:t>Because</w:t>
      </w:r>
      <w:r>
        <w:rPr>
          <w:spacing w:val="-15"/>
        </w:rPr>
        <w:t xml:space="preserve"> </w:t>
      </w:r>
      <w:r>
        <w:t>HDE</w:t>
      </w:r>
      <w:r>
        <w:rPr>
          <w:spacing w:val="-15"/>
        </w:rPr>
        <w:t xml:space="preserve"> </w:t>
      </w:r>
      <w:r>
        <w:t>applicants</w:t>
      </w:r>
      <w:r>
        <w:rPr>
          <w:spacing w:val="28"/>
        </w:rPr>
        <w:t xml:space="preserve"> </w:t>
      </w:r>
      <w:r>
        <w:t>are</w:t>
      </w:r>
      <w:r>
        <w:rPr>
          <w:spacing w:val="-15"/>
        </w:rPr>
        <w:t xml:space="preserve"> </w:t>
      </w:r>
      <w:r>
        <w:t>not</w:t>
      </w:r>
      <w:r>
        <w:rPr>
          <w:spacing w:val="-1"/>
        </w:rPr>
        <w:t xml:space="preserve"> </w:t>
      </w:r>
      <w:r>
        <w:t>subject</w:t>
      </w:r>
      <w:r>
        <w:rPr>
          <w:spacing w:val="-1"/>
        </w:rPr>
        <w:t xml:space="preserve"> </w:t>
      </w:r>
      <w:r>
        <w:t>to user</w:t>
      </w:r>
      <w:r>
        <w:rPr>
          <w:spacing w:val="-11"/>
        </w:rPr>
        <w:t xml:space="preserve"> </w:t>
      </w:r>
      <w:r>
        <w:t>fees</w:t>
      </w:r>
      <w:r>
        <w:rPr>
          <w:spacing w:val="-15"/>
        </w:rPr>
        <w:t xml:space="preserve"> </w:t>
      </w:r>
      <w:r>
        <w:t>and</w:t>
      </w:r>
      <w:r>
        <w:rPr>
          <w:spacing w:val="-14"/>
        </w:rPr>
        <w:t xml:space="preserve"> </w:t>
      </w:r>
      <w:r>
        <w:t>may not have</w:t>
      </w:r>
      <w:r>
        <w:rPr>
          <w:spacing w:val="-3"/>
        </w:rPr>
        <w:t xml:space="preserve"> </w:t>
      </w:r>
      <w:r>
        <w:t>applied</w:t>
      </w:r>
      <w:r>
        <w:rPr>
          <w:spacing w:val="26"/>
        </w:rPr>
        <w:t xml:space="preserve"> </w:t>
      </w:r>
      <w:r>
        <w:t>for</w:t>
      </w:r>
      <w:r>
        <w:rPr>
          <w:spacing w:val="-7"/>
        </w:rPr>
        <w:t xml:space="preserve"> </w:t>
      </w:r>
      <w:r>
        <w:t>a</w:t>
      </w:r>
      <w:r>
        <w:rPr>
          <w:spacing w:val="-15"/>
        </w:rPr>
        <w:t xml:space="preserve"> </w:t>
      </w:r>
      <w:r>
        <w:t>small business</w:t>
      </w:r>
      <w:r>
        <w:rPr>
          <w:spacing w:val="21"/>
        </w:rPr>
        <w:t xml:space="preserve"> </w:t>
      </w:r>
      <w:r>
        <w:t>determination</w:t>
      </w:r>
      <w:r>
        <w:rPr>
          <w:spacing w:val="40"/>
        </w:rPr>
        <w:t xml:space="preserve"> </w:t>
      </w:r>
      <w:r>
        <w:t>(SBD)</w:t>
      </w:r>
      <w:r>
        <w:rPr>
          <w:spacing w:val="-7"/>
        </w:rPr>
        <w:t xml:space="preserve"> </w:t>
      </w:r>
      <w:r>
        <w:t>approval unless</w:t>
      </w:r>
      <w:r>
        <w:rPr>
          <w:spacing w:val="-7"/>
        </w:rPr>
        <w:t xml:space="preserve"> </w:t>
      </w:r>
      <w:r>
        <w:t>they</w:t>
      </w:r>
      <w:r>
        <w:rPr>
          <w:spacing w:val="-13"/>
        </w:rPr>
        <w:t xml:space="preserve"> </w:t>
      </w:r>
      <w:r>
        <w:t>submitted</w:t>
      </w:r>
      <w:r>
        <w:rPr>
          <w:spacing w:val="20"/>
        </w:rPr>
        <w:t xml:space="preserve"> </w:t>
      </w:r>
      <w:r>
        <w:t>a</w:t>
      </w:r>
      <w:r>
        <w:rPr>
          <w:spacing w:val="-15"/>
        </w:rPr>
        <w:t xml:space="preserve"> </w:t>
      </w:r>
      <w:r>
        <w:t>fee-based</w:t>
      </w:r>
      <w:r>
        <w:rPr>
          <w:spacing w:val="-20"/>
        </w:rPr>
        <w:t xml:space="preserve"> </w:t>
      </w:r>
      <w:r>
        <w:t>application/notification</w:t>
      </w:r>
      <w:r>
        <w:rPr>
          <w:spacing w:val="40"/>
        </w:rPr>
        <w:t xml:space="preserve"> </w:t>
      </w:r>
      <w:r w:rsidR="00FA7BB6">
        <w:t>for</w:t>
      </w:r>
      <w:r w:rsidR="00FA7BB6">
        <w:rPr>
          <w:spacing w:val="-15"/>
        </w:rPr>
        <w:t xml:space="preserve"> </w:t>
      </w:r>
      <w:r>
        <w:t>another program area,</w:t>
      </w:r>
      <w:r>
        <w:rPr>
          <w:spacing w:val="-24"/>
        </w:rPr>
        <w:t xml:space="preserve"> </w:t>
      </w:r>
      <w:r>
        <w:t>it is difficult</w:t>
      </w:r>
      <w:r>
        <w:rPr>
          <w:spacing w:val="21"/>
        </w:rPr>
        <w:t xml:space="preserve"> </w:t>
      </w:r>
      <w:r>
        <w:t>to</w:t>
      </w:r>
      <w:r>
        <w:rPr>
          <w:spacing w:val="-15"/>
        </w:rPr>
        <w:t xml:space="preserve"> </w:t>
      </w:r>
      <w:r>
        <w:t>determine</w:t>
      </w:r>
      <w:r>
        <w:rPr>
          <w:spacing w:val="5"/>
        </w:rPr>
        <w:t xml:space="preserve"> </w:t>
      </w:r>
      <w:r>
        <w:t>the</w:t>
      </w:r>
      <w:r>
        <w:rPr>
          <w:spacing w:val="-15"/>
        </w:rPr>
        <w:t xml:space="preserve"> </w:t>
      </w:r>
      <w:r>
        <w:t>number</w:t>
      </w:r>
      <w:r>
        <w:rPr>
          <w:spacing w:val="8"/>
        </w:rPr>
        <w:t xml:space="preserve"> </w:t>
      </w:r>
      <w:r>
        <w:t>of</w:t>
      </w:r>
      <w:r>
        <w:rPr>
          <w:spacing w:val="-15"/>
        </w:rPr>
        <w:t xml:space="preserve"> </w:t>
      </w:r>
      <w:r>
        <w:t>respondents</w:t>
      </w:r>
      <w:r>
        <w:rPr>
          <w:spacing w:val="-2"/>
        </w:rPr>
        <w:t xml:space="preserve"> </w:t>
      </w:r>
      <w:r>
        <w:t>that</w:t>
      </w:r>
      <w:r>
        <w:rPr>
          <w:spacing w:val="-6"/>
        </w:rPr>
        <w:t xml:space="preserve"> </w:t>
      </w:r>
      <w:r>
        <w:t>are</w:t>
      </w:r>
      <w:r>
        <w:rPr>
          <w:spacing w:val="-15"/>
        </w:rPr>
        <w:t xml:space="preserve"> </w:t>
      </w:r>
      <w:r>
        <w:t>small</w:t>
      </w:r>
      <w:r>
        <w:rPr>
          <w:spacing w:val="-6"/>
        </w:rPr>
        <w:t xml:space="preserve"> </w:t>
      </w:r>
      <w:r>
        <w:t>businesses.</w:t>
      </w:r>
      <w:r>
        <w:rPr>
          <w:spacing w:val="-1"/>
        </w:rPr>
        <w:t xml:space="preserve"> </w:t>
      </w:r>
      <w:r w:rsidR="00FA7BB6">
        <w:rPr>
          <w:spacing w:val="-1"/>
        </w:rPr>
        <w:t xml:space="preserve">However, </w:t>
      </w:r>
      <w:r w:rsidR="00FA7BB6">
        <w:t>w</w:t>
      </w:r>
      <w:r>
        <w:t>e</w:t>
      </w:r>
      <w:r>
        <w:rPr>
          <w:spacing w:val="-15"/>
        </w:rPr>
        <w:t xml:space="preserve"> </w:t>
      </w:r>
      <w:r w:rsidR="00FA7BB6">
        <w:t xml:space="preserve">assume </w:t>
      </w:r>
      <w:r>
        <w:t>that approximately</w:t>
      </w:r>
      <w:r>
        <w:rPr>
          <w:spacing w:val="40"/>
        </w:rPr>
        <w:t xml:space="preserve"> </w:t>
      </w:r>
      <w:r>
        <w:t>10</w:t>
      </w:r>
      <w:r>
        <w:rPr>
          <w:spacing w:val="-6"/>
        </w:rPr>
        <w:t xml:space="preserve"> </w:t>
      </w:r>
      <w:r>
        <w:t>percent of respondents are</w:t>
      </w:r>
      <w:r>
        <w:rPr>
          <w:spacing w:val="-8"/>
        </w:rPr>
        <w:t xml:space="preserve"> </w:t>
      </w:r>
      <w:r>
        <w:t>small businesses.</w:t>
      </w:r>
    </w:p>
    <w:p w:rsidR="00113D82" w:rsidP="00113D82" w14:paraId="3BAFBB51" w14:textId="77777777">
      <w:pPr>
        <w:pStyle w:val="BodyText"/>
        <w:spacing w:line="237" w:lineRule="auto"/>
        <w:ind w:right="252"/>
        <w:contextualSpacing/>
      </w:pPr>
    </w:p>
    <w:p w:rsidR="00113D82" w:rsidRPr="00C659B4" w:rsidP="00FE31B5" w14:paraId="5FB1D689" w14:textId="77777777">
      <w:pPr>
        <w:pStyle w:val="BodyText"/>
        <w:spacing w:line="237" w:lineRule="auto"/>
        <w:ind w:right="252"/>
        <w:contextualSpacing/>
      </w:pPr>
      <w:r w:rsidRPr="00C659B4">
        <w:rPr>
          <w:spacing w:val="-2"/>
        </w:rPr>
        <w:t>Submission</w:t>
      </w:r>
      <w:r w:rsidRPr="00C659B4">
        <w:rPr>
          <w:spacing w:val="34"/>
        </w:rPr>
        <w:t xml:space="preserve"> </w:t>
      </w:r>
      <w:r w:rsidRPr="00C659B4">
        <w:rPr>
          <w:spacing w:val="-2"/>
        </w:rPr>
        <w:t>of</w:t>
      </w:r>
      <w:r w:rsidRPr="00C659B4">
        <w:rPr>
          <w:spacing w:val="-13"/>
        </w:rPr>
        <w:t xml:space="preserve"> </w:t>
      </w:r>
      <w:r w:rsidRPr="00C659B4">
        <w:rPr>
          <w:spacing w:val="-2"/>
        </w:rPr>
        <w:t>HDE</w:t>
      </w:r>
      <w:r w:rsidRPr="00C659B4">
        <w:rPr>
          <w:spacing w:val="-13"/>
        </w:rPr>
        <w:t xml:space="preserve"> </w:t>
      </w:r>
      <w:r w:rsidRPr="00C659B4">
        <w:rPr>
          <w:spacing w:val="-2"/>
        </w:rPr>
        <w:t>applications</w:t>
      </w:r>
      <w:r w:rsidRPr="00C659B4">
        <w:rPr>
          <w:spacing w:val="37"/>
        </w:rPr>
        <w:t xml:space="preserve"> </w:t>
      </w:r>
      <w:r w:rsidRPr="00C659B4">
        <w:rPr>
          <w:spacing w:val="-2"/>
        </w:rPr>
        <w:t>is entirely</w:t>
      </w:r>
      <w:r w:rsidRPr="00C659B4">
        <w:t xml:space="preserve"> </w:t>
      </w:r>
      <w:r w:rsidRPr="00C659B4">
        <w:rPr>
          <w:spacing w:val="-2"/>
        </w:rPr>
        <w:t>voluntary.</w:t>
      </w:r>
      <w:r w:rsidRPr="00C659B4">
        <w:rPr>
          <w:spacing w:val="26"/>
        </w:rPr>
        <w:t xml:space="preserve"> </w:t>
      </w:r>
      <w:r w:rsidRPr="00C659B4" w:rsidR="005C2091">
        <w:rPr>
          <w:spacing w:val="-15"/>
        </w:rPr>
        <w:t xml:space="preserve">Because a HUD that meets the HDE standard for approval is exempt from the requirement of establishing a reasonable assurance of effectiveness that would otherwise be required under sections 514 and 515 of the FD&amp;C Act, respondents would not need to submit a more burdensome premarket approval application.  </w:t>
      </w:r>
    </w:p>
    <w:p w:rsidR="00113D82" w:rsidRPr="00C659B4" w:rsidP="00113D82" w14:paraId="448023E1" w14:textId="77777777">
      <w:pPr>
        <w:pStyle w:val="BodyText"/>
        <w:ind w:right="407"/>
        <w:contextualSpacing/>
      </w:pPr>
    </w:p>
    <w:p w:rsidR="00357C8A" w:rsidRPr="00357C8A" w:rsidP="006705EA" w14:paraId="02ED4DFA"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113D82" w:rsidP="00FE31B5" w14:paraId="64D51E20" w14:textId="77777777">
      <w:pPr>
        <w:pStyle w:val="BodyText"/>
        <w:ind w:right="252"/>
      </w:pPr>
      <w:r>
        <w:t>The</w:t>
      </w:r>
      <w:r>
        <w:rPr>
          <w:spacing w:val="-9"/>
        </w:rPr>
        <w:t xml:space="preserve"> </w:t>
      </w:r>
      <w:r>
        <w:t>information</w:t>
      </w:r>
      <w:r>
        <w:rPr>
          <w:spacing w:val="40"/>
        </w:rPr>
        <w:t xml:space="preserve"> </w:t>
      </w:r>
      <w:r>
        <w:t>collection</w:t>
      </w:r>
      <w:r w:rsidR="00FE31B5">
        <w:rPr>
          <w:spacing w:val="37"/>
        </w:rPr>
        <w:t xml:space="preserve"> </w:t>
      </w:r>
      <w:r>
        <w:t>schedule is consistent with statutory</w:t>
      </w:r>
      <w:r>
        <w:rPr>
          <w:spacing w:val="-2"/>
        </w:rPr>
        <w:t xml:space="preserve"> </w:t>
      </w:r>
      <w:r>
        <w:t>requirements.</w:t>
      </w:r>
      <w:r w:rsidR="001E5D36">
        <w:rPr>
          <w:spacing w:val="21"/>
        </w:rPr>
        <w:t xml:space="preserve"> </w:t>
      </w:r>
    </w:p>
    <w:p w:rsidR="00E02F77" w:rsidP="00FE31B5" w14:paraId="5EF19535" w14:textId="77777777">
      <w:pPr>
        <w:pStyle w:val="BodyText"/>
        <w:ind w:right="252"/>
      </w:pPr>
    </w:p>
    <w:p w:rsidR="00357C8A" w:rsidRPr="00357C8A" w:rsidP="006705EA" w14:paraId="74F5EC17"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113D82" w:rsidP="00E02F77" w14:paraId="196F2665" w14:textId="77777777">
      <w:pPr>
        <w:pStyle w:val="BodyText"/>
        <w:rPr>
          <w:spacing w:val="-2"/>
        </w:rPr>
      </w:pPr>
      <w:r>
        <w:t>There</w:t>
      </w:r>
      <w:r>
        <w:rPr>
          <w:spacing w:val="-11"/>
        </w:rPr>
        <w:t xml:space="preserve"> </w:t>
      </w:r>
      <w:r>
        <w:t>are</w:t>
      </w:r>
      <w:r>
        <w:rPr>
          <w:spacing w:val="-15"/>
        </w:rPr>
        <w:t xml:space="preserve"> </w:t>
      </w:r>
      <w:r>
        <w:t>no</w:t>
      </w:r>
      <w:r>
        <w:rPr>
          <w:spacing w:val="-5"/>
        </w:rPr>
        <w:t xml:space="preserve"> </w:t>
      </w:r>
      <w:r>
        <w:t>special</w:t>
      </w:r>
      <w:r>
        <w:rPr>
          <w:spacing w:val="-13"/>
        </w:rPr>
        <w:t xml:space="preserve"> </w:t>
      </w:r>
      <w:r>
        <w:t>circumstances</w:t>
      </w:r>
      <w:r>
        <w:rPr>
          <w:spacing w:val="3"/>
        </w:rPr>
        <w:t xml:space="preserve"> </w:t>
      </w:r>
      <w:r>
        <w:t>for</w:t>
      </w:r>
      <w:r>
        <w:rPr>
          <w:spacing w:val="-11"/>
        </w:rPr>
        <w:t xml:space="preserve"> </w:t>
      </w:r>
      <w:r>
        <w:t>this</w:t>
      </w:r>
      <w:r>
        <w:rPr>
          <w:spacing w:val="4"/>
        </w:rPr>
        <w:t xml:space="preserve"> </w:t>
      </w:r>
      <w:r>
        <w:t>collection</w:t>
      </w:r>
      <w:r>
        <w:rPr>
          <w:spacing w:val="32"/>
        </w:rPr>
        <w:t xml:space="preserve"> </w:t>
      </w:r>
      <w:r>
        <w:t>of</w:t>
      </w:r>
      <w:r>
        <w:rPr>
          <w:spacing w:val="-10"/>
        </w:rPr>
        <w:t xml:space="preserve"> </w:t>
      </w:r>
      <w:r>
        <w:rPr>
          <w:spacing w:val="-2"/>
        </w:rPr>
        <w:t>information.</w:t>
      </w:r>
    </w:p>
    <w:p w:rsidR="00E02F77" w:rsidP="00E02F77" w14:paraId="5820A3DE" w14:textId="77777777">
      <w:pPr>
        <w:pStyle w:val="BodyText"/>
      </w:pPr>
    </w:p>
    <w:p w:rsidR="0010493E" w:rsidRPr="00113D82" w:rsidP="0053380B" w14:paraId="773B57C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r w:rsidRPr="00113D82" w:rsidR="002074FE">
        <w:rPr>
          <w:rFonts w:eastAsia="Calibri"/>
        </w:rPr>
        <w:t>.</w:t>
      </w:r>
    </w:p>
    <w:p w:rsidR="00113D82" w:rsidP="00357C8A" w14:paraId="3AA48A13" w14:textId="3308B97E">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D612CB">
        <w:rPr>
          <w:rFonts w:eastAsia="Calibri"/>
        </w:rPr>
        <w:t xml:space="preserve">August 7, 2025 </w:t>
      </w:r>
      <w:r w:rsidR="00872E4C">
        <w:rPr>
          <w:rFonts w:eastAsia="Calibri"/>
        </w:rPr>
        <w:t>(90</w:t>
      </w:r>
      <w:r w:rsidR="00BA0723">
        <w:rPr>
          <w:rFonts w:eastAsia="Calibri"/>
        </w:rPr>
        <w:t xml:space="preserve"> FR </w:t>
      </w:r>
      <w:r w:rsidRPr="00B82943" w:rsidR="00B82943">
        <w:rPr>
          <w:rFonts w:eastAsia="Calibri"/>
        </w:rPr>
        <w:t>38151</w:t>
      </w:r>
      <w:r w:rsidR="00BA0723">
        <w:rPr>
          <w:rFonts w:eastAsia="Calibri"/>
        </w:rPr>
        <w:t>)</w:t>
      </w:r>
      <w:r w:rsidR="00D612CB">
        <w:rPr>
          <w:rFonts w:eastAsia="Calibri"/>
        </w:rPr>
        <w:t>. No Comments were received.</w:t>
      </w:r>
    </w:p>
    <w:p w:rsidR="00357C8A" w:rsidRPr="00357C8A" w:rsidP="006705EA" w14:paraId="3D672533"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113D82" w:rsidRPr="00113D82" w:rsidP="00E02F77" w14:paraId="71B65007" w14:textId="248F83E8">
      <w:pPr>
        <w:pStyle w:val="BodyText"/>
        <w:rPr>
          <w:spacing w:val="-2"/>
        </w:rPr>
      </w:pPr>
      <w:r>
        <w:t>No</w:t>
      </w:r>
      <w:r>
        <w:rPr>
          <w:spacing w:val="-15"/>
        </w:rPr>
        <w:t xml:space="preserve"> </w:t>
      </w:r>
      <w:r>
        <w:t>payment</w:t>
      </w:r>
      <w:r>
        <w:rPr>
          <w:spacing w:val="-10"/>
        </w:rPr>
        <w:t xml:space="preserve"> </w:t>
      </w:r>
      <w:r>
        <w:t>or</w:t>
      </w:r>
      <w:r>
        <w:rPr>
          <w:spacing w:val="-5"/>
        </w:rPr>
        <w:t xml:space="preserve"> </w:t>
      </w:r>
      <w:r>
        <w:t>gifts</w:t>
      </w:r>
      <w:r>
        <w:rPr>
          <w:spacing w:val="1"/>
        </w:rPr>
        <w:t xml:space="preserve"> </w:t>
      </w:r>
      <w:r>
        <w:t>are</w:t>
      </w:r>
      <w:r>
        <w:rPr>
          <w:spacing w:val="-15"/>
        </w:rPr>
        <w:t xml:space="preserve"> </w:t>
      </w:r>
      <w:r>
        <w:t>provided</w:t>
      </w:r>
      <w:r>
        <w:rPr>
          <w:spacing w:val="16"/>
        </w:rPr>
        <w:t xml:space="preserve"> </w:t>
      </w:r>
      <w:r>
        <w:t>to</w:t>
      </w:r>
      <w:r>
        <w:rPr>
          <w:spacing w:val="-7"/>
        </w:rPr>
        <w:t xml:space="preserve"> </w:t>
      </w:r>
      <w:r>
        <w:t>respondents</w:t>
      </w:r>
      <w:r>
        <w:rPr>
          <w:spacing w:val="1"/>
        </w:rPr>
        <w:t xml:space="preserve"> </w:t>
      </w:r>
      <w:r>
        <w:t>of</w:t>
      </w:r>
      <w:r>
        <w:rPr>
          <w:spacing w:val="-13"/>
        </w:rPr>
        <w:t xml:space="preserve"> </w:t>
      </w:r>
      <w:r>
        <w:t>the</w:t>
      </w:r>
      <w:r>
        <w:rPr>
          <w:spacing w:val="-9"/>
        </w:rPr>
        <w:t xml:space="preserve"> </w:t>
      </w:r>
      <w:r>
        <w:t>information</w:t>
      </w:r>
      <w:r>
        <w:rPr>
          <w:spacing w:val="40"/>
        </w:rPr>
        <w:t xml:space="preserve"> </w:t>
      </w:r>
      <w:r>
        <w:rPr>
          <w:spacing w:val="-2"/>
        </w:rPr>
        <w:t>collection.</w:t>
      </w:r>
    </w:p>
    <w:p w:rsidR="00357C8A" w:rsidRPr="00357C8A" w:rsidP="006705EA" w14:paraId="7A290D9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C8426A" w:rsidP="00C8426A" w14:paraId="13FBF743" w14:textId="77777777">
      <w:pPr>
        <w:spacing w:line="276" w:lineRule="auto"/>
        <w:rPr>
          <w:i/>
          <w:iCs/>
        </w:rPr>
      </w:pPr>
      <w:r w:rsidRPr="00DD18DF">
        <w:rPr>
          <w:i/>
          <w:iCs/>
        </w:rPr>
        <w:t>The Privacy Act of 1974 (5 U.S.C. 552a)</w:t>
      </w:r>
    </w:p>
    <w:p w:rsidR="00C8426A" w:rsidRPr="00254F9B" w:rsidP="00C8426A" w14:paraId="444973DF" w14:textId="77777777">
      <w:pPr>
        <w:spacing w:line="276" w:lineRule="auto"/>
        <w:rPr>
          <w:i/>
          <w:iCs/>
        </w:rPr>
      </w:pPr>
    </w:p>
    <w:p w:rsidR="00C8426A" w:rsidP="00C8426A" w14:paraId="50EF0422" w14:textId="77777777">
      <w:pPr>
        <w:pStyle w:val="BodyText"/>
        <w:spacing w:before="6"/>
      </w:pPr>
      <w:r>
        <w:t>In preparing this Supporting Statement, we consulted our Privacy Office to ensure appropriate identification and handling of information collected. Although this ICR collects personally identifiable information (PII), it is</w:t>
      </w:r>
    </w:p>
    <w:p w:rsidR="00C8426A" w:rsidP="00C8426A" w14:paraId="7C7E692F" w14:textId="77777777">
      <w:pPr>
        <w:pStyle w:val="BodyText"/>
        <w:spacing w:before="6"/>
      </w:pPr>
      <w:r>
        <w:t>collected in the context of the subject individuals’ professional capacity and the FDA-related work they perform for their employer (e.g., point of contact at a regulated entity).  The PII submitted via Form FDA 3514 (CDRH Premarket Review Submission Cover Sheet; see OMB control number 0910-0120) is name, title, phone number, fax number, email address, and address. FDA determined that although PII is collected it is not subject to the Privacy Act of 1974 and the particular notice and other requirements of the Act do not apply. Specifically, FDA does not use name or any other personal identifier to retrieve records from the information collected. Through appropriate form design, FDA limited submission fields and minimized the PII collected to protect the privacy of the individuals.</w:t>
      </w:r>
    </w:p>
    <w:p w:rsidR="00C8426A" w:rsidP="00C8426A" w14:paraId="1896324D" w14:textId="77777777">
      <w:pPr>
        <w:rPr>
          <w:i/>
          <w:iCs/>
        </w:rPr>
      </w:pPr>
      <w:bookmarkStart w:id="2" w:name="_Hlk193178378"/>
      <w:bookmarkStart w:id="3" w:name="_Hlk192592846"/>
      <w:r w:rsidRPr="00D161D2">
        <w:rPr>
          <w:i/>
          <w:iCs/>
        </w:rPr>
        <w:t>The Freedom of Information Act (FOIA)</w:t>
      </w:r>
    </w:p>
    <w:p w:rsidR="00C8426A" w:rsidRPr="00D161D2" w:rsidP="00C8426A" w14:paraId="5514821F" w14:textId="77777777"/>
    <w:bookmarkEnd w:id="2"/>
    <w:p w:rsidR="00C8426A" w:rsidP="00C8426A" w14:paraId="0ED0CA6A" w14:textId="77777777">
      <w:r w:rsidRPr="00D161D2">
        <w:t>Under FOIA (5 U.S.C. 552), the public has broad access to government documents. However, FOIA provides certain exemptions from mandatory public disclosure of government records (5 U.S.C. 552(b)(1-9)).  FDA will make the fullest possible disclosure of records to the public (see 21 CFR 20), consistent with the rights of individuals to privacy, the property rights of persons in trade and confidential commercial or financial information.</w:t>
      </w:r>
      <w:bookmarkEnd w:id="3"/>
    </w:p>
    <w:p w:rsidR="00C8426A" w:rsidP="00C8426A" w14:paraId="7AF1EE3D" w14:textId="77777777"/>
    <w:p w:rsidR="00113D82" w:rsidP="00113D82" w14:paraId="2E4DA108" w14:textId="77777777">
      <w:pPr>
        <w:numPr>
          <w:ilvl w:val="0"/>
          <w:numId w:val="6"/>
        </w:numPr>
        <w:spacing w:after="200" w:line="276" w:lineRule="auto"/>
        <w:rPr>
          <w:rFonts w:eastAsia="Calibri"/>
        </w:rPr>
      </w:pPr>
      <w:r w:rsidRPr="00357C8A">
        <w:rPr>
          <w:rFonts w:eastAsia="Calibri"/>
          <w:u w:val="single"/>
        </w:rPr>
        <w:t>Justification for Sensitive Questions</w:t>
      </w:r>
    </w:p>
    <w:p w:rsidR="00E6242A" w:rsidP="002339EF" w14:paraId="2B6B0562" w14:textId="226BBDF0">
      <w:pPr>
        <w:spacing w:after="200" w:line="276" w:lineRule="auto"/>
      </w:pPr>
      <w:r>
        <w:t>The</w:t>
      </w:r>
      <w:r w:rsidRPr="00113D82">
        <w:rPr>
          <w:spacing w:val="-15"/>
        </w:rPr>
        <w:t xml:space="preserve"> </w:t>
      </w:r>
      <w:r>
        <w:t>information</w:t>
      </w:r>
      <w:r w:rsidRPr="00113D82">
        <w:rPr>
          <w:spacing w:val="28"/>
        </w:rPr>
        <w:t xml:space="preserve"> </w:t>
      </w:r>
      <w:r>
        <w:t>collection</w:t>
      </w:r>
      <w:r w:rsidRPr="00113D82">
        <w:rPr>
          <w:spacing w:val="18"/>
        </w:rPr>
        <w:t xml:space="preserve"> </w:t>
      </w:r>
      <w:r>
        <w:t>does</w:t>
      </w:r>
      <w:r w:rsidRPr="00113D82">
        <w:rPr>
          <w:spacing w:val="-15"/>
        </w:rPr>
        <w:t xml:space="preserve"> </w:t>
      </w:r>
      <w:r>
        <w:t>not</w:t>
      </w:r>
      <w:r w:rsidRPr="00113D82">
        <w:rPr>
          <w:spacing w:val="-10"/>
        </w:rPr>
        <w:t xml:space="preserve"> </w:t>
      </w:r>
      <w:r>
        <w:t>include</w:t>
      </w:r>
      <w:r w:rsidRPr="00113D82">
        <w:rPr>
          <w:spacing w:val="16"/>
        </w:rPr>
        <w:t xml:space="preserve"> </w:t>
      </w:r>
      <w:r>
        <w:t>information</w:t>
      </w:r>
      <w:r w:rsidRPr="00113D82">
        <w:rPr>
          <w:spacing w:val="18"/>
        </w:rPr>
        <w:t xml:space="preserve"> </w:t>
      </w:r>
      <w:r>
        <w:t>that</w:t>
      </w:r>
      <w:r w:rsidRPr="00113D82">
        <w:rPr>
          <w:spacing w:val="-15"/>
        </w:rPr>
        <w:t xml:space="preserve"> </w:t>
      </w:r>
      <w:r>
        <w:t>is</w:t>
      </w:r>
      <w:r w:rsidRPr="00113D82">
        <w:rPr>
          <w:spacing w:val="-7"/>
        </w:rPr>
        <w:t xml:space="preserve"> </w:t>
      </w:r>
      <w:r>
        <w:t>of</w:t>
      </w:r>
      <w:r w:rsidRPr="00113D82">
        <w:rPr>
          <w:spacing w:val="-15"/>
        </w:rPr>
        <w:t xml:space="preserve"> </w:t>
      </w:r>
      <w:r>
        <w:t>a</w:t>
      </w:r>
      <w:r w:rsidRPr="00113D82">
        <w:rPr>
          <w:spacing w:val="-15"/>
        </w:rPr>
        <w:t xml:space="preserve"> </w:t>
      </w:r>
      <w:r>
        <w:t>sensitive</w:t>
      </w:r>
      <w:r w:rsidRPr="00113D82">
        <w:rPr>
          <w:spacing w:val="6"/>
        </w:rPr>
        <w:t xml:space="preserve"> </w:t>
      </w:r>
      <w:r>
        <w:t>nature,</w:t>
      </w:r>
      <w:r w:rsidRPr="00113D82">
        <w:rPr>
          <w:spacing w:val="-15"/>
        </w:rPr>
        <w:t xml:space="preserve"> </w:t>
      </w:r>
      <w:r>
        <w:t>such as,</w:t>
      </w:r>
      <w:r w:rsidRPr="00113D82">
        <w:rPr>
          <w:spacing w:val="-15"/>
        </w:rPr>
        <w:t xml:space="preserve"> </w:t>
      </w:r>
      <w:r>
        <w:t>sexual</w:t>
      </w:r>
      <w:r w:rsidRPr="00113D82">
        <w:rPr>
          <w:spacing w:val="-7"/>
        </w:rPr>
        <w:t xml:space="preserve"> </w:t>
      </w:r>
      <w:r>
        <w:t>behavior</w:t>
      </w:r>
      <w:r w:rsidRPr="00113D82">
        <w:rPr>
          <w:spacing w:val="24"/>
        </w:rPr>
        <w:t xml:space="preserve"> </w:t>
      </w:r>
      <w:r>
        <w:t>and attitudes, religious</w:t>
      </w:r>
      <w:r w:rsidRPr="00113D82">
        <w:rPr>
          <w:spacing w:val="40"/>
        </w:rPr>
        <w:t xml:space="preserve"> </w:t>
      </w:r>
      <w:r>
        <w:t>beliefs,</w:t>
      </w:r>
      <w:r w:rsidRPr="00113D82">
        <w:rPr>
          <w:spacing w:val="27"/>
        </w:rPr>
        <w:t xml:space="preserve"> </w:t>
      </w:r>
      <w:r>
        <w:t>and</w:t>
      </w:r>
      <w:r w:rsidRPr="00113D82">
        <w:rPr>
          <w:spacing w:val="-11"/>
        </w:rPr>
        <w:t xml:space="preserve"> </w:t>
      </w:r>
      <w:r>
        <w:t>other matters</w:t>
      </w:r>
      <w:r w:rsidRPr="00113D82">
        <w:rPr>
          <w:spacing w:val="-2"/>
        </w:rPr>
        <w:t xml:space="preserve"> </w:t>
      </w:r>
      <w:r>
        <w:t>that</w:t>
      </w:r>
      <w:r w:rsidRPr="00113D82">
        <w:rPr>
          <w:spacing w:val="-7"/>
        </w:rPr>
        <w:t xml:space="preserve"> </w:t>
      </w:r>
      <w:r>
        <w:t>are</w:t>
      </w:r>
      <w:r w:rsidRPr="00113D82">
        <w:rPr>
          <w:spacing w:val="-14"/>
        </w:rPr>
        <w:t xml:space="preserve"> </w:t>
      </w:r>
      <w:r>
        <w:t>commonly considered private.</w:t>
      </w:r>
    </w:p>
    <w:p w:rsidR="00357C8A" w:rsidP="000E3DB3" w14:paraId="4E973929" w14:textId="77777777">
      <w:pPr>
        <w:keepNext/>
        <w:numPr>
          <w:ilvl w:val="0"/>
          <w:numId w:val="6"/>
        </w:numPr>
        <w:spacing w:after="200" w:line="276" w:lineRule="auto"/>
        <w:rPr>
          <w:rFonts w:eastAsia="Calibri"/>
          <w:u w:val="single"/>
        </w:rPr>
      </w:pPr>
      <w:r w:rsidRPr="00357C8A">
        <w:rPr>
          <w:rFonts w:eastAsia="Calibri"/>
          <w:u w:val="single"/>
        </w:rPr>
        <w:t>Estimates of Annualized Burden Hours and Cost</w:t>
      </w:r>
    </w:p>
    <w:p w:rsidR="00E6242A" w:rsidP="00B747C6" w14:paraId="47FDFCA5" w14:textId="56F8F580">
      <w:pPr>
        <w:keepNext/>
        <w:spacing w:after="200"/>
        <w:rPr>
          <w:rFonts w:eastAsia="Calibri"/>
        </w:rPr>
      </w:pPr>
      <w:r w:rsidRPr="00E6242A">
        <w:rPr>
          <w:rFonts w:eastAsia="Calibri"/>
        </w:rPr>
        <w:t>12a.  Annualized Hour Burden Estimate</w:t>
      </w:r>
    </w:p>
    <w:p w:rsidR="008F2F7E" w:rsidRPr="002F579C" w:rsidP="002F579C" w14:paraId="7ADCF37F" w14:textId="6D84B353">
      <w:pPr>
        <w:keepNext/>
        <w:spacing w:after="200"/>
        <w:jc w:val="center"/>
        <w:rPr>
          <w:rFonts w:eastAsia="Calibri"/>
        </w:rPr>
      </w:pPr>
      <w:r w:rsidRPr="00191FF6">
        <w:rPr>
          <w:sz w:val="20"/>
          <w:szCs w:val="20"/>
        </w:rPr>
        <w:t>Table 1.—Estimated Annual Reporting Burden</w:t>
      </w:r>
      <w:r w:rsidRPr="00191FF6">
        <w:rPr>
          <w:sz w:val="20"/>
          <w:szCs w:val="20"/>
          <w:vertAlign w:val="superscript"/>
        </w:rPr>
        <w:t>1,2</w:t>
      </w:r>
    </w:p>
    <w:tbl>
      <w:tblPr>
        <w:tblW w:w="93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88"/>
        <w:gridCol w:w="1429"/>
        <w:gridCol w:w="1382"/>
        <w:gridCol w:w="1388"/>
        <w:gridCol w:w="1289"/>
        <w:gridCol w:w="1099"/>
      </w:tblGrid>
      <w:tr w14:paraId="36D78F3D" w14:textId="77777777" w:rsidTr="00BC3646">
        <w:tblPrEx>
          <w:tblW w:w="93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hideMark/>
          </w:tcPr>
          <w:p w:rsidR="00893337" w:rsidRPr="00893337" w:rsidP="00893337" w14:paraId="3ED84A23" w14:textId="1DB3DD08">
            <w:pPr>
              <w:rPr>
                <w:sz w:val="20"/>
                <w:szCs w:val="20"/>
              </w:rPr>
            </w:pPr>
            <w:r w:rsidRPr="00893337">
              <w:rPr>
                <w:sz w:val="20"/>
                <w:szCs w:val="20"/>
              </w:rPr>
              <w:t>Activity/ 21 CFR Part/ Form</w:t>
            </w:r>
          </w:p>
        </w:tc>
        <w:tc>
          <w:tcPr>
            <w:tcW w:w="1429" w:type="dxa"/>
            <w:tcBorders>
              <w:top w:val="single" w:sz="6" w:space="0" w:color="auto"/>
              <w:left w:val="single" w:sz="6" w:space="0" w:color="auto"/>
              <w:bottom w:val="single" w:sz="6" w:space="0" w:color="auto"/>
              <w:right w:val="single" w:sz="6" w:space="0" w:color="auto"/>
            </w:tcBorders>
            <w:hideMark/>
          </w:tcPr>
          <w:p w:rsidR="00893337" w:rsidRPr="00893337" w:rsidP="00893337" w14:paraId="0AA1038D" w14:textId="77777777">
            <w:pPr>
              <w:rPr>
                <w:sz w:val="20"/>
                <w:szCs w:val="20"/>
              </w:rPr>
            </w:pPr>
            <w:r w:rsidRPr="00893337">
              <w:rPr>
                <w:sz w:val="20"/>
                <w:szCs w:val="20"/>
              </w:rPr>
              <w:t>No. of Respondents </w:t>
            </w:r>
          </w:p>
        </w:tc>
        <w:tc>
          <w:tcPr>
            <w:tcW w:w="1382" w:type="dxa"/>
            <w:tcBorders>
              <w:top w:val="single" w:sz="6" w:space="0" w:color="auto"/>
              <w:left w:val="single" w:sz="6" w:space="0" w:color="auto"/>
              <w:bottom w:val="single" w:sz="6" w:space="0" w:color="auto"/>
              <w:right w:val="single" w:sz="6" w:space="0" w:color="auto"/>
            </w:tcBorders>
            <w:hideMark/>
          </w:tcPr>
          <w:p w:rsidR="00893337" w:rsidRPr="00893337" w:rsidP="00893337" w14:paraId="5E11DBBD" w14:textId="77777777">
            <w:pPr>
              <w:rPr>
                <w:sz w:val="20"/>
                <w:szCs w:val="20"/>
              </w:rPr>
            </w:pPr>
            <w:r w:rsidRPr="00893337">
              <w:rPr>
                <w:sz w:val="20"/>
                <w:szCs w:val="20"/>
              </w:rPr>
              <w:t>No. of Responses per Respondent </w:t>
            </w:r>
          </w:p>
        </w:tc>
        <w:tc>
          <w:tcPr>
            <w:tcW w:w="1388" w:type="dxa"/>
            <w:tcBorders>
              <w:top w:val="single" w:sz="6" w:space="0" w:color="auto"/>
              <w:left w:val="single" w:sz="6" w:space="0" w:color="auto"/>
              <w:bottom w:val="single" w:sz="6" w:space="0" w:color="auto"/>
              <w:right w:val="single" w:sz="6" w:space="0" w:color="auto"/>
            </w:tcBorders>
            <w:hideMark/>
          </w:tcPr>
          <w:p w:rsidR="00893337" w:rsidRPr="00893337" w:rsidP="00893337" w14:paraId="6E27BF3E" w14:textId="77777777">
            <w:pPr>
              <w:rPr>
                <w:sz w:val="20"/>
                <w:szCs w:val="20"/>
              </w:rPr>
            </w:pPr>
            <w:r w:rsidRPr="00893337">
              <w:rPr>
                <w:sz w:val="20"/>
                <w:szCs w:val="20"/>
              </w:rPr>
              <w:t>Total Annual Responses </w:t>
            </w:r>
          </w:p>
        </w:tc>
        <w:tc>
          <w:tcPr>
            <w:tcW w:w="1289" w:type="dxa"/>
            <w:tcBorders>
              <w:top w:val="single" w:sz="6" w:space="0" w:color="auto"/>
              <w:left w:val="single" w:sz="6" w:space="0" w:color="auto"/>
              <w:bottom w:val="single" w:sz="6" w:space="0" w:color="auto"/>
              <w:right w:val="single" w:sz="6" w:space="0" w:color="auto"/>
            </w:tcBorders>
            <w:hideMark/>
          </w:tcPr>
          <w:p w:rsidR="00893337" w:rsidRPr="00893337" w:rsidP="00893337" w14:paraId="05E0A8B6" w14:textId="77777777">
            <w:pPr>
              <w:rPr>
                <w:sz w:val="20"/>
                <w:szCs w:val="20"/>
              </w:rPr>
            </w:pPr>
            <w:r w:rsidRPr="00893337">
              <w:rPr>
                <w:sz w:val="20"/>
                <w:szCs w:val="20"/>
              </w:rPr>
              <w:t>Average Burden per Response </w:t>
            </w:r>
          </w:p>
        </w:tc>
        <w:tc>
          <w:tcPr>
            <w:tcW w:w="1099" w:type="dxa"/>
            <w:tcBorders>
              <w:top w:val="single" w:sz="6" w:space="0" w:color="auto"/>
              <w:left w:val="single" w:sz="6" w:space="0" w:color="auto"/>
              <w:bottom w:val="single" w:sz="6" w:space="0" w:color="auto"/>
              <w:right w:val="single" w:sz="6" w:space="0" w:color="auto"/>
            </w:tcBorders>
            <w:hideMark/>
          </w:tcPr>
          <w:p w:rsidR="00893337" w:rsidRPr="00893337" w:rsidP="00893337" w14:paraId="16B4F2E9" w14:textId="77777777">
            <w:pPr>
              <w:rPr>
                <w:sz w:val="20"/>
                <w:szCs w:val="20"/>
              </w:rPr>
            </w:pPr>
            <w:r w:rsidRPr="00893337">
              <w:rPr>
                <w:sz w:val="20"/>
                <w:szCs w:val="20"/>
              </w:rPr>
              <w:t>Total Hours </w:t>
            </w:r>
          </w:p>
        </w:tc>
      </w:tr>
      <w:tr w14:paraId="1ACF9BD4" w14:textId="77777777" w:rsidTr="00BC3646">
        <w:tblPrEx>
          <w:tblW w:w="9375" w:type="dxa"/>
          <w:tblInd w:w="-15" w:type="dxa"/>
          <w:tblCellMar>
            <w:left w:w="0" w:type="dxa"/>
            <w:right w:w="0" w:type="dxa"/>
          </w:tblCellMar>
          <w:tblLook w:val="04A0"/>
        </w:tblPrEx>
        <w:trPr>
          <w:trHeight w:val="15"/>
        </w:trPr>
        <w:tc>
          <w:tcPr>
            <w:tcW w:w="9375" w:type="dxa"/>
            <w:gridSpan w:val="6"/>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069EF2A7" w14:textId="77777777">
            <w:pPr>
              <w:rPr>
                <w:sz w:val="20"/>
                <w:szCs w:val="20"/>
              </w:rPr>
            </w:pPr>
            <w:r w:rsidRPr="00893337">
              <w:rPr>
                <w:sz w:val="20"/>
                <w:szCs w:val="20"/>
              </w:rPr>
              <w:t>Humanitarian Use Devices; 21 CFR Part 814</w:t>
            </w:r>
          </w:p>
        </w:tc>
      </w:tr>
      <w:tr w14:paraId="145414FB"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2999DF78" w14:textId="77777777">
            <w:pPr>
              <w:rPr>
                <w:sz w:val="20"/>
                <w:szCs w:val="20"/>
              </w:rPr>
            </w:pPr>
            <w:r w:rsidRPr="00893337">
              <w:rPr>
                <w:sz w:val="20"/>
                <w:szCs w:val="20"/>
              </w:rPr>
              <w:t>Request for HUD designation—814.102 </w:t>
            </w:r>
          </w:p>
        </w:tc>
        <w:tc>
          <w:tcPr>
            <w:tcW w:w="142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0F1ED510" w14:textId="77777777">
            <w:pPr>
              <w:rPr>
                <w:sz w:val="20"/>
                <w:szCs w:val="20"/>
              </w:rPr>
            </w:pPr>
            <w:r w:rsidRPr="00893337">
              <w:rPr>
                <w:sz w:val="20"/>
                <w:szCs w:val="20"/>
              </w:rPr>
              <w:t>23 </w:t>
            </w:r>
          </w:p>
        </w:tc>
        <w:tc>
          <w:tcPr>
            <w:tcW w:w="1382"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2CE091D1"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3E46D1F2" w14:textId="77777777">
            <w:pPr>
              <w:rPr>
                <w:sz w:val="20"/>
                <w:szCs w:val="20"/>
              </w:rPr>
            </w:pPr>
            <w:r w:rsidRPr="00893337">
              <w:rPr>
                <w:sz w:val="20"/>
                <w:szCs w:val="20"/>
              </w:rPr>
              <w:t>23 </w:t>
            </w:r>
          </w:p>
        </w:tc>
        <w:tc>
          <w:tcPr>
            <w:tcW w:w="128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3DF114A5" w14:textId="77777777">
            <w:pPr>
              <w:rPr>
                <w:sz w:val="20"/>
                <w:szCs w:val="20"/>
              </w:rPr>
            </w:pPr>
            <w:r w:rsidRPr="00893337">
              <w:rPr>
                <w:sz w:val="20"/>
                <w:szCs w:val="20"/>
              </w:rPr>
              <w:t>40 </w:t>
            </w:r>
          </w:p>
        </w:tc>
        <w:tc>
          <w:tcPr>
            <w:tcW w:w="109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64B1CEB6" w14:textId="77777777">
            <w:pPr>
              <w:rPr>
                <w:sz w:val="20"/>
                <w:szCs w:val="20"/>
              </w:rPr>
            </w:pPr>
            <w:r w:rsidRPr="00893337">
              <w:rPr>
                <w:sz w:val="20"/>
                <w:szCs w:val="20"/>
              </w:rPr>
              <w:t>920 </w:t>
            </w:r>
          </w:p>
        </w:tc>
      </w:tr>
      <w:tr w14:paraId="6A2E0EC9"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78B59422" w14:textId="77777777">
            <w:pPr>
              <w:rPr>
                <w:sz w:val="20"/>
                <w:szCs w:val="20"/>
                <w:vertAlign w:val="superscript"/>
              </w:rPr>
            </w:pPr>
            <w:r w:rsidRPr="00893337">
              <w:rPr>
                <w:sz w:val="20"/>
                <w:szCs w:val="20"/>
              </w:rPr>
              <w:t>Certification of Compliance (form FDA 3674)</w:t>
            </w:r>
            <w:r w:rsidRPr="00893337">
              <w:rPr>
                <w:sz w:val="20"/>
                <w:szCs w:val="20"/>
                <w:vertAlign w:val="superscript"/>
              </w:rPr>
              <w:t>2</w:t>
            </w:r>
          </w:p>
        </w:tc>
        <w:tc>
          <w:tcPr>
            <w:tcW w:w="142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6900C9F8" w14:textId="77777777">
            <w:pPr>
              <w:rPr>
                <w:sz w:val="20"/>
                <w:szCs w:val="20"/>
              </w:rPr>
            </w:pPr>
            <w:r w:rsidRPr="00893337">
              <w:rPr>
                <w:sz w:val="20"/>
                <w:szCs w:val="20"/>
              </w:rPr>
              <w:t>4</w:t>
            </w:r>
          </w:p>
        </w:tc>
        <w:tc>
          <w:tcPr>
            <w:tcW w:w="1382"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5E512567" w14:textId="77777777">
            <w:pPr>
              <w:rPr>
                <w:sz w:val="20"/>
                <w:szCs w:val="20"/>
              </w:rPr>
            </w:pPr>
            <w:r w:rsidRPr="00893337">
              <w:rPr>
                <w:sz w:val="20"/>
                <w:szCs w:val="20"/>
              </w:rPr>
              <w:t>1</w:t>
            </w:r>
          </w:p>
        </w:tc>
        <w:tc>
          <w:tcPr>
            <w:tcW w:w="13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6A14D95A" w14:textId="77777777">
            <w:pPr>
              <w:rPr>
                <w:sz w:val="20"/>
                <w:szCs w:val="20"/>
              </w:rPr>
            </w:pPr>
            <w:r w:rsidRPr="00893337">
              <w:rPr>
                <w:sz w:val="20"/>
                <w:szCs w:val="20"/>
              </w:rPr>
              <w:t>4</w:t>
            </w:r>
          </w:p>
        </w:tc>
        <w:tc>
          <w:tcPr>
            <w:tcW w:w="128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3CE331FB" w14:textId="77777777">
            <w:pPr>
              <w:rPr>
                <w:sz w:val="20"/>
                <w:szCs w:val="20"/>
              </w:rPr>
            </w:pPr>
            <w:r w:rsidRPr="00893337">
              <w:rPr>
                <w:sz w:val="20"/>
                <w:szCs w:val="20"/>
              </w:rPr>
              <w:t>.75</w:t>
            </w:r>
          </w:p>
          <w:p w:rsidR="00893337" w:rsidRPr="00893337" w:rsidP="00893337" w14:paraId="73012D51" w14:textId="77777777">
            <w:pPr>
              <w:rPr>
                <w:sz w:val="20"/>
                <w:szCs w:val="20"/>
              </w:rPr>
            </w:pPr>
            <w:r w:rsidRPr="00893337">
              <w:rPr>
                <w:sz w:val="20"/>
                <w:szCs w:val="20"/>
              </w:rPr>
              <w:t xml:space="preserve"> (45 minutes)</w:t>
            </w:r>
          </w:p>
        </w:tc>
        <w:tc>
          <w:tcPr>
            <w:tcW w:w="109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0F34730A" w14:textId="77777777">
            <w:pPr>
              <w:rPr>
                <w:sz w:val="20"/>
                <w:szCs w:val="20"/>
              </w:rPr>
            </w:pPr>
            <w:r w:rsidRPr="00893337">
              <w:rPr>
                <w:sz w:val="20"/>
                <w:szCs w:val="20"/>
              </w:rPr>
              <w:t>3</w:t>
            </w:r>
          </w:p>
        </w:tc>
      </w:tr>
      <w:tr w14:paraId="36CAC47B"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03FA3227" w14:textId="77777777">
            <w:pPr>
              <w:rPr>
                <w:sz w:val="20"/>
                <w:szCs w:val="20"/>
              </w:rPr>
            </w:pPr>
            <w:bookmarkStart w:id="4" w:name="_Hlk193358693"/>
            <w:r w:rsidRPr="00893337">
              <w:rPr>
                <w:sz w:val="20"/>
                <w:szCs w:val="20"/>
              </w:rPr>
              <w:t>HDE Application—814.104 </w:t>
            </w:r>
          </w:p>
        </w:tc>
        <w:tc>
          <w:tcPr>
            <w:tcW w:w="142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3062C2AF" w14:textId="77777777">
            <w:pPr>
              <w:rPr>
                <w:sz w:val="20"/>
                <w:szCs w:val="20"/>
              </w:rPr>
            </w:pPr>
            <w:r w:rsidRPr="00893337">
              <w:rPr>
                <w:sz w:val="20"/>
                <w:szCs w:val="20"/>
              </w:rPr>
              <w:t>3 </w:t>
            </w:r>
          </w:p>
        </w:tc>
        <w:tc>
          <w:tcPr>
            <w:tcW w:w="1382"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57D3761C"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6666F566" w14:textId="77777777">
            <w:pPr>
              <w:rPr>
                <w:sz w:val="20"/>
                <w:szCs w:val="20"/>
              </w:rPr>
            </w:pPr>
            <w:r w:rsidRPr="00893337">
              <w:rPr>
                <w:sz w:val="20"/>
                <w:szCs w:val="20"/>
              </w:rPr>
              <w:t>3 </w:t>
            </w:r>
          </w:p>
        </w:tc>
        <w:tc>
          <w:tcPr>
            <w:tcW w:w="128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16E1331B" w14:textId="77777777">
            <w:pPr>
              <w:rPr>
                <w:sz w:val="20"/>
                <w:szCs w:val="20"/>
              </w:rPr>
            </w:pPr>
            <w:r w:rsidRPr="00893337">
              <w:rPr>
                <w:sz w:val="20"/>
                <w:szCs w:val="20"/>
              </w:rPr>
              <w:t>328 </w:t>
            </w:r>
          </w:p>
        </w:tc>
        <w:tc>
          <w:tcPr>
            <w:tcW w:w="109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58725F9C" w14:textId="77777777">
            <w:pPr>
              <w:rPr>
                <w:sz w:val="20"/>
                <w:szCs w:val="20"/>
              </w:rPr>
            </w:pPr>
            <w:r w:rsidRPr="00893337">
              <w:rPr>
                <w:sz w:val="20"/>
                <w:szCs w:val="20"/>
              </w:rPr>
              <w:t>984 </w:t>
            </w:r>
          </w:p>
        </w:tc>
      </w:tr>
      <w:tr w14:paraId="6A3EF800"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1BE0703D" w14:textId="77777777">
            <w:pPr>
              <w:rPr>
                <w:sz w:val="20"/>
                <w:szCs w:val="20"/>
              </w:rPr>
            </w:pPr>
            <w:r w:rsidRPr="00893337">
              <w:rPr>
                <w:sz w:val="20"/>
                <w:szCs w:val="20"/>
              </w:rPr>
              <w:t>HDE Amendments and resubmitted HDEs—814.106 </w:t>
            </w:r>
          </w:p>
        </w:tc>
        <w:tc>
          <w:tcPr>
            <w:tcW w:w="142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0C3E8791" w14:textId="77777777">
            <w:pPr>
              <w:rPr>
                <w:sz w:val="20"/>
                <w:szCs w:val="20"/>
              </w:rPr>
            </w:pPr>
            <w:r w:rsidRPr="00893337">
              <w:rPr>
                <w:sz w:val="20"/>
                <w:szCs w:val="20"/>
              </w:rPr>
              <w:t>3 </w:t>
            </w:r>
          </w:p>
        </w:tc>
        <w:tc>
          <w:tcPr>
            <w:tcW w:w="1382"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55E36A04" w14:textId="77777777">
            <w:pPr>
              <w:rPr>
                <w:sz w:val="20"/>
                <w:szCs w:val="20"/>
              </w:rPr>
            </w:pPr>
            <w:r w:rsidRPr="00893337">
              <w:rPr>
                <w:sz w:val="20"/>
                <w:szCs w:val="20"/>
              </w:rPr>
              <w:t>3 </w:t>
            </w:r>
          </w:p>
        </w:tc>
        <w:tc>
          <w:tcPr>
            <w:tcW w:w="13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1066F8F8" w14:textId="77777777">
            <w:pPr>
              <w:rPr>
                <w:sz w:val="20"/>
                <w:szCs w:val="20"/>
              </w:rPr>
            </w:pPr>
            <w:r w:rsidRPr="00893337">
              <w:rPr>
                <w:sz w:val="20"/>
                <w:szCs w:val="20"/>
              </w:rPr>
              <w:t>9 </w:t>
            </w:r>
          </w:p>
        </w:tc>
        <w:tc>
          <w:tcPr>
            <w:tcW w:w="128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5969E994" w14:textId="77777777">
            <w:pPr>
              <w:rPr>
                <w:sz w:val="20"/>
                <w:szCs w:val="20"/>
              </w:rPr>
            </w:pPr>
            <w:r w:rsidRPr="00893337">
              <w:rPr>
                <w:sz w:val="20"/>
                <w:szCs w:val="20"/>
              </w:rPr>
              <w:t>50 </w:t>
            </w:r>
          </w:p>
        </w:tc>
        <w:tc>
          <w:tcPr>
            <w:tcW w:w="109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4F32C867" w14:textId="77777777">
            <w:pPr>
              <w:rPr>
                <w:sz w:val="20"/>
                <w:szCs w:val="20"/>
              </w:rPr>
            </w:pPr>
            <w:r w:rsidRPr="00893337">
              <w:rPr>
                <w:sz w:val="20"/>
                <w:szCs w:val="20"/>
              </w:rPr>
              <w:t>450 </w:t>
            </w:r>
          </w:p>
        </w:tc>
      </w:tr>
      <w:tr w14:paraId="141020E7"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0CBCF703" w14:textId="77777777">
            <w:pPr>
              <w:rPr>
                <w:sz w:val="20"/>
                <w:szCs w:val="20"/>
              </w:rPr>
            </w:pPr>
            <w:r w:rsidRPr="00893337">
              <w:rPr>
                <w:sz w:val="20"/>
                <w:szCs w:val="20"/>
              </w:rPr>
              <w:t>HDE Supplements—814.108 </w:t>
            </w:r>
          </w:p>
        </w:tc>
        <w:tc>
          <w:tcPr>
            <w:tcW w:w="142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485CEDDB" w14:textId="77777777">
            <w:pPr>
              <w:rPr>
                <w:sz w:val="20"/>
                <w:szCs w:val="20"/>
              </w:rPr>
            </w:pPr>
            <w:r w:rsidRPr="00893337">
              <w:rPr>
                <w:sz w:val="20"/>
                <w:szCs w:val="20"/>
              </w:rPr>
              <w:t>30 </w:t>
            </w:r>
          </w:p>
        </w:tc>
        <w:tc>
          <w:tcPr>
            <w:tcW w:w="1382"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301DB424"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7E948AC9" w14:textId="77777777">
            <w:pPr>
              <w:rPr>
                <w:sz w:val="20"/>
                <w:szCs w:val="20"/>
              </w:rPr>
            </w:pPr>
            <w:r w:rsidRPr="00893337">
              <w:rPr>
                <w:sz w:val="20"/>
                <w:szCs w:val="20"/>
              </w:rPr>
              <w:t>30 </w:t>
            </w:r>
          </w:p>
        </w:tc>
        <w:tc>
          <w:tcPr>
            <w:tcW w:w="128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239D4CB0" w14:textId="77777777">
            <w:pPr>
              <w:rPr>
                <w:sz w:val="20"/>
                <w:szCs w:val="20"/>
              </w:rPr>
            </w:pPr>
            <w:r w:rsidRPr="00893337">
              <w:rPr>
                <w:sz w:val="20"/>
                <w:szCs w:val="20"/>
              </w:rPr>
              <w:t>80 </w:t>
            </w:r>
          </w:p>
        </w:tc>
        <w:tc>
          <w:tcPr>
            <w:tcW w:w="109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6493C597" w14:textId="77777777">
            <w:pPr>
              <w:rPr>
                <w:sz w:val="20"/>
                <w:szCs w:val="20"/>
              </w:rPr>
            </w:pPr>
            <w:r w:rsidRPr="00893337">
              <w:rPr>
                <w:sz w:val="20"/>
                <w:szCs w:val="20"/>
              </w:rPr>
              <w:t>2,400 </w:t>
            </w:r>
          </w:p>
        </w:tc>
      </w:tr>
      <w:tr w14:paraId="48313A3F"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49CAF8BD" w14:textId="77777777">
            <w:pPr>
              <w:rPr>
                <w:sz w:val="20"/>
                <w:szCs w:val="20"/>
              </w:rPr>
            </w:pPr>
            <w:r w:rsidRPr="00893337">
              <w:rPr>
                <w:sz w:val="20"/>
                <w:szCs w:val="20"/>
              </w:rPr>
              <w:t>Procedures for review of an HDE, including a request for withdrawal—814.116 </w:t>
            </w:r>
          </w:p>
        </w:tc>
        <w:tc>
          <w:tcPr>
            <w:tcW w:w="142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0AB534B1" w14:textId="77777777">
            <w:pPr>
              <w:rPr>
                <w:sz w:val="20"/>
                <w:szCs w:val="20"/>
              </w:rPr>
            </w:pPr>
            <w:r w:rsidRPr="00893337">
              <w:rPr>
                <w:sz w:val="20"/>
                <w:szCs w:val="20"/>
              </w:rPr>
              <w:t>1 </w:t>
            </w:r>
          </w:p>
        </w:tc>
        <w:tc>
          <w:tcPr>
            <w:tcW w:w="1382"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64B32F75"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49308E72" w14:textId="77777777">
            <w:pPr>
              <w:rPr>
                <w:sz w:val="20"/>
                <w:szCs w:val="20"/>
              </w:rPr>
            </w:pPr>
            <w:r w:rsidRPr="00893337">
              <w:rPr>
                <w:sz w:val="20"/>
                <w:szCs w:val="20"/>
              </w:rPr>
              <w:t>1 </w:t>
            </w:r>
          </w:p>
        </w:tc>
        <w:tc>
          <w:tcPr>
            <w:tcW w:w="128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66D57750" w14:textId="77777777">
            <w:pPr>
              <w:rPr>
                <w:sz w:val="20"/>
                <w:szCs w:val="20"/>
              </w:rPr>
            </w:pPr>
            <w:r w:rsidRPr="00893337">
              <w:rPr>
                <w:sz w:val="20"/>
                <w:szCs w:val="20"/>
              </w:rPr>
              <w:t>1 </w:t>
            </w:r>
          </w:p>
        </w:tc>
        <w:tc>
          <w:tcPr>
            <w:tcW w:w="109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264F3857" w14:textId="77777777">
            <w:pPr>
              <w:rPr>
                <w:sz w:val="20"/>
                <w:szCs w:val="20"/>
              </w:rPr>
            </w:pPr>
            <w:r w:rsidRPr="00893337">
              <w:rPr>
                <w:sz w:val="20"/>
                <w:szCs w:val="20"/>
              </w:rPr>
              <w:t>1 </w:t>
            </w:r>
          </w:p>
        </w:tc>
      </w:tr>
      <w:tr w14:paraId="41576CFD"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23945828" w14:textId="77777777">
            <w:pPr>
              <w:rPr>
                <w:sz w:val="20"/>
                <w:szCs w:val="20"/>
              </w:rPr>
            </w:pPr>
            <w:r w:rsidRPr="00893337">
              <w:rPr>
                <w:sz w:val="20"/>
                <w:szCs w:val="20"/>
              </w:rPr>
              <w:t>Notification of withdrawal of institutional review board approval—814.124(b) </w:t>
            </w:r>
          </w:p>
        </w:tc>
        <w:tc>
          <w:tcPr>
            <w:tcW w:w="142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0D06C522" w14:textId="77777777">
            <w:pPr>
              <w:rPr>
                <w:sz w:val="20"/>
                <w:szCs w:val="20"/>
              </w:rPr>
            </w:pPr>
            <w:r w:rsidRPr="00893337">
              <w:rPr>
                <w:sz w:val="20"/>
                <w:szCs w:val="20"/>
              </w:rPr>
              <w:t>1 </w:t>
            </w:r>
          </w:p>
        </w:tc>
        <w:tc>
          <w:tcPr>
            <w:tcW w:w="1382"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57C57195"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4CA33EDD" w14:textId="77777777">
            <w:pPr>
              <w:rPr>
                <w:sz w:val="20"/>
                <w:szCs w:val="20"/>
              </w:rPr>
            </w:pPr>
            <w:r w:rsidRPr="00893337">
              <w:rPr>
                <w:sz w:val="20"/>
                <w:szCs w:val="20"/>
              </w:rPr>
              <w:t>1 </w:t>
            </w:r>
          </w:p>
        </w:tc>
        <w:tc>
          <w:tcPr>
            <w:tcW w:w="128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2DAF870B" w14:textId="77777777">
            <w:pPr>
              <w:rPr>
                <w:sz w:val="20"/>
                <w:szCs w:val="20"/>
              </w:rPr>
            </w:pPr>
            <w:r w:rsidRPr="00893337">
              <w:rPr>
                <w:sz w:val="20"/>
                <w:szCs w:val="20"/>
              </w:rPr>
              <w:t>2 </w:t>
            </w:r>
          </w:p>
        </w:tc>
        <w:tc>
          <w:tcPr>
            <w:tcW w:w="109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41DC73E8" w14:textId="77777777">
            <w:pPr>
              <w:rPr>
                <w:sz w:val="20"/>
                <w:szCs w:val="20"/>
              </w:rPr>
            </w:pPr>
            <w:r w:rsidRPr="00893337">
              <w:rPr>
                <w:sz w:val="20"/>
                <w:szCs w:val="20"/>
              </w:rPr>
              <w:t>2 </w:t>
            </w:r>
          </w:p>
        </w:tc>
      </w:tr>
      <w:tr w14:paraId="018A4715"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51FCFA5B" w14:textId="77777777">
            <w:pPr>
              <w:rPr>
                <w:sz w:val="20"/>
                <w:szCs w:val="20"/>
              </w:rPr>
            </w:pPr>
            <w:r w:rsidRPr="00893337">
              <w:rPr>
                <w:sz w:val="20"/>
                <w:szCs w:val="20"/>
              </w:rPr>
              <w:t>Periodic reports—814.126(b)(1) </w:t>
            </w:r>
          </w:p>
        </w:tc>
        <w:tc>
          <w:tcPr>
            <w:tcW w:w="142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711D43BB" w14:textId="77777777">
            <w:pPr>
              <w:rPr>
                <w:sz w:val="20"/>
                <w:szCs w:val="20"/>
              </w:rPr>
            </w:pPr>
            <w:r w:rsidRPr="00893337">
              <w:rPr>
                <w:sz w:val="20"/>
                <w:szCs w:val="20"/>
              </w:rPr>
              <w:t>36 </w:t>
            </w:r>
          </w:p>
        </w:tc>
        <w:tc>
          <w:tcPr>
            <w:tcW w:w="1382"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0ABC5280" w14:textId="77777777">
            <w:pPr>
              <w:rPr>
                <w:sz w:val="20"/>
                <w:szCs w:val="20"/>
              </w:rPr>
            </w:pPr>
            <w:r w:rsidRPr="00893337">
              <w:rPr>
                <w:sz w:val="20"/>
                <w:szCs w:val="20"/>
              </w:rPr>
              <w:t>4 </w:t>
            </w:r>
          </w:p>
        </w:tc>
        <w:tc>
          <w:tcPr>
            <w:tcW w:w="1388"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75B5ABD3" w14:textId="77777777">
            <w:pPr>
              <w:rPr>
                <w:sz w:val="20"/>
                <w:szCs w:val="20"/>
              </w:rPr>
            </w:pPr>
            <w:r w:rsidRPr="00893337">
              <w:rPr>
                <w:sz w:val="20"/>
                <w:szCs w:val="20"/>
              </w:rPr>
              <w:t>144 </w:t>
            </w:r>
          </w:p>
        </w:tc>
        <w:tc>
          <w:tcPr>
            <w:tcW w:w="128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558DA7C0" w14:textId="77777777">
            <w:pPr>
              <w:rPr>
                <w:sz w:val="20"/>
                <w:szCs w:val="20"/>
              </w:rPr>
            </w:pPr>
            <w:r w:rsidRPr="00893337">
              <w:rPr>
                <w:sz w:val="20"/>
                <w:szCs w:val="20"/>
              </w:rPr>
              <w:t>120 </w:t>
            </w:r>
          </w:p>
        </w:tc>
        <w:tc>
          <w:tcPr>
            <w:tcW w:w="109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36695262" w14:textId="77777777">
            <w:pPr>
              <w:rPr>
                <w:sz w:val="20"/>
                <w:szCs w:val="20"/>
              </w:rPr>
            </w:pPr>
            <w:r w:rsidRPr="00893337">
              <w:rPr>
                <w:sz w:val="20"/>
                <w:szCs w:val="20"/>
              </w:rPr>
              <w:t>17,280 </w:t>
            </w:r>
          </w:p>
        </w:tc>
        <w:bookmarkEnd w:id="4"/>
      </w:tr>
      <w:tr w14:paraId="61047EDA" w14:textId="77777777" w:rsidTr="00BC3646">
        <w:tblPrEx>
          <w:tblW w:w="9375" w:type="dxa"/>
          <w:tblInd w:w="-15" w:type="dxa"/>
          <w:tblCellMar>
            <w:left w:w="0" w:type="dxa"/>
            <w:right w:w="0" w:type="dxa"/>
          </w:tblCellMar>
          <w:tblLook w:val="04A0"/>
        </w:tblPrEx>
        <w:trPr>
          <w:trHeight w:val="15"/>
        </w:trPr>
        <w:tc>
          <w:tcPr>
            <w:tcW w:w="8276" w:type="dxa"/>
            <w:gridSpan w:val="5"/>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30D59D10" w14:textId="77777777">
            <w:pPr>
              <w:rPr>
                <w:sz w:val="20"/>
                <w:szCs w:val="20"/>
              </w:rPr>
            </w:pPr>
            <w:r w:rsidRPr="00893337">
              <w:rPr>
                <w:sz w:val="20"/>
                <w:szCs w:val="20"/>
              </w:rPr>
              <w:t>Total  </w:t>
            </w:r>
          </w:p>
        </w:tc>
        <w:tc>
          <w:tcPr>
            <w:tcW w:w="1099" w:type="dxa"/>
            <w:tcBorders>
              <w:top w:val="single" w:sz="6" w:space="0" w:color="auto"/>
              <w:left w:val="single" w:sz="6" w:space="0" w:color="auto"/>
              <w:bottom w:val="single" w:sz="6" w:space="0" w:color="auto"/>
              <w:right w:val="single" w:sz="6" w:space="0" w:color="auto"/>
            </w:tcBorders>
            <w:hideMark/>
          </w:tcPr>
          <w:p w:rsidR="00893337" w:rsidRPr="00893337" w:rsidP="00893337" w14:paraId="0DF73DA4" w14:textId="77777777">
            <w:pPr>
              <w:rPr>
                <w:sz w:val="20"/>
                <w:szCs w:val="20"/>
              </w:rPr>
            </w:pPr>
            <w:r w:rsidRPr="00893337">
              <w:rPr>
                <w:sz w:val="20"/>
                <w:szCs w:val="20"/>
              </w:rPr>
              <w:t>22,040 </w:t>
            </w:r>
          </w:p>
        </w:tc>
      </w:tr>
      <w:tr w14:paraId="3CCF8F3C" w14:textId="77777777" w:rsidTr="00BC3646">
        <w:tblPrEx>
          <w:tblW w:w="9375" w:type="dxa"/>
          <w:tblInd w:w="-15" w:type="dxa"/>
          <w:tblCellMar>
            <w:left w:w="0" w:type="dxa"/>
            <w:right w:w="0" w:type="dxa"/>
          </w:tblCellMar>
          <w:tblLook w:val="04A0"/>
        </w:tblPrEx>
        <w:trPr>
          <w:trHeight w:val="15"/>
        </w:trPr>
        <w:tc>
          <w:tcPr>
            <w:tcW w:w="9375" w:type="dxa"/>
            <w:gridSpan w:val="6"/>
            <w:tcBorders>
              <w:top w:val="single" w:sz="6" w:space="0" w:color="auto"/>
              <w:left w:val="single" w:sz="6" w:space="0" w:color="auto"/>
              <w:bottom w:val="single" w:sz="6" w:space="0" w:color="auto"/>
              <w:right w:val="single" w:sz="6" w:space="0" w:color="auto"/>
            </w:tcBorders>
            <w:hideMark/>
          </w:tcPr>
          <w:p w:rsidR="00893337" w:rsidRPr="00893337" w:rsidP="00893337" w14:paraId="04835138" w14:textId="77777777">
            <w:pPr>
              <w:rPr>
                <w:sz w:val="20"/>
                <w:szCs w:val="20"/>
              </w:rPr>
            </w:pPr>
            <w:r w:rsidRPr="00893337">
              <w:rPr>
                <w:sz w:val="20"/>
                <w:szCs w:val="20"/>
              </w:rPr>
              <w:t>Information to Accompany Humanitarian Device Exemption Applications and Annual Distribution Number Reporting Requirements</w:t>
            </w:r>
          </w:p>
        </w:tc>
      </w:tr>
      <w:tr w14:paraId="0CF6688C"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hideMark/>
          </w:tcPr>
          <w:p w:rsidR="00893337" w:rsidRPr="00893337" w:rsidP="00893337" w14:paraId="01B6CBFD" w14:textId="77777777">
            <w:pPr>
              <w:rPr>
                <w:sz w:val="20"/>
                <w:szCs w:val="20"/>
              </w:rPr>
            </w:pPr>
            <w:r w:rsidRPr="00893337">
              <w:rPr>
                <w:sz w:val="20"/>
                <w:szCs w:val="20"/>
              </w:rPr>
              <w:t>Pediatric Subpopulation and Patient Information—515A(a)(2) </w:t>
            </w:r>
          </w:p>
          <w:p w:rsidR="00893337" w:rsidRPr="00893337" w:rsidP="00893337" w14:paraId="5CBC5E8F" w14:textId="77777777">
            <w:pPr>
              <w:rPr>
                <w:sz w:val="20"/>
                <w:szCs w:val="20"/>
              </w:rPr>
            </w:pPr>
            <w:r w:rsidRPr="00893337">
              <w:rPr>
                <w:sz w:val="20"/>
                <w:szCs w:val="20"/>
              </w:rPr>
              <w:t>of the FD&amp;C Act </w:t>
            </w:r>
          </w:p>
        </w:tc>
        <w:tc>
          <w:tcPr>
            <w:tcW w:w="1429" w:type="dxa"/>
            <w:tcBorders>
              <w:top w:val="single" w:sz="6" w:space="0" w:color="auto"/>
              <w:left w:val="single" w:sz="6" w:space="0" w:color="auto"/>
              <w:bottom w:val="single" w:sz="6" w:space="0" w:color="auto"/>
              <w:right w:val="single" w:sz="6" w:space="0" w:color="auto"/>
            </w:tcBorders>
            <w:hideMark/>
          </w:tcPr>
          <w:p w:rsidR="00893337" w:rsidRPr="00893337" w:rsidP="00893337" w14:paraId="41846FE4" w14:textId="77777777">
            <w:pPr>
              <w:rPr>
                <w:sz w:val="20"/>
                <w:szCs w:val="20"/>
              </w:rPr>
            </w:pPr>
            <w:r w:rsidRPr="00893337">
              <w:rPr>
                <w:sz w:val="20"/>
                <w:szCs w:val="20"/>
              </w:rPr>
              <w:t>1 </w:t>
            </w:r>
          </w:p>
        </w:tc>
        <w:tc>
          <w:tcPr>
            <w:tcW w:w="1382" w:type="dxa"/>
            <w:tcBorders>
              <w:top w:val="single" w:sz="6" w:space="0" w:color="auto"/>
              <w:left w:val="single" w:sz="6" w:space="0" w:color="auto"/>
              <w:bottom w:val="single" w:sz="6" w:space="0" w:color="auto"/>
              <w:right w:val="single" w:sz="6" w:space="0" w:color="auto"/>
            </w:tcBorders>
            <w:hideMark/>
          </w:tcPr>
          <w:p w:rsidR="00893337" w:rsidRPr="00893337" w:rsidP="00893337" w14:paraId="10C54371"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hideMark/>
          </w:tcPr>
          <w:p w:rsidR="00893337" w:rsidRPr="00893337" w:rsidP="00893337" w14:paraId="7AB8EFB5" w14:textId="77777777">
            <w:pPr>
              <w:rPr>
                <w:sz w:val="20"/>
                <w:szCs w:val="20"/>
              </w:rPr>
            </w:pPr>
            <w:r w:rsidRPr="00893337">
              <w:rPr>
                <w:sz w:val="20"/>
                <w:szCs w:val="20"/>
              </w:rPr>
              <w:t>1 </w:t>
            </w:r>
          </w:p>
        </w:tc>
        <w:tc>
          <w:tcPr>
            <w:tcW w:w="1289" w:type="dxa"/>
            <w:tcBorders>
              <w:top w:val="single" w:sz="6" w:space="0" w:color="auto"/>
              <w:left w:val="single" w:sz="6" w:space="0" w:color="auto"/>
              <w:bottom w:val="single" w:sz="6" w:space="0" w:color="auto"/>
              <w:right w:val="single" w:sz="6" w:space="0" w:color="auto"/>
            </w:tcBorders>
            <w:hideMark/>
          </w:tcPr>
          <w:p w:rsidR="00893337" w:rsidRPr="00893337" w:rsidP="00893337" w14:paraId="23D0F2A9" w14:textId="77777777">
            <w:pPr>
              <w:rPr>
                <w:sz w:val="20"/>
                <w:szCs w:val="20"/>
              </w:rPr>
            </w:pPr>
            <w:r w:rsidRPr="00893337">
              <w:rPr>
                <w:sz w:val="20"/>
                <w:szCs w:val="20"/>
              </w:rPr>
              <w:t>100 </w:t>
            </w:r>
          </w:p>
        </w:tc>
        <w:tc>
          <w:tcPr>
            <w:tcW w:w="1099" w:type="dxa"/>
            <w:tcBorders>
              <w:top w:val="single" w:sz="6" w:space="0" w:color="auto"/>
              <w:left w:val="single" w:sz="6" w:space="0" w:color="auto"/>
              <w:bottom w:val="single" w:sz="6" w:space="0" w:color="auto"/>
              <w:right w:val="single" w:sz="6" w:space="0" w:color="auto"/>
            </w:tcBorders>
            <w:hideMark/>
          </w:tcPr>
          <w:p w:rsidR="00893337" w:rsidRPr="00893337" w:rsidP="00893337" w14:paraId="21F9F345" w14:textId="77777777">
            <w:pPr>
              <w:rPr>
                <w:sz w:val="20"/>
                <w:szCs w:val="20"/>
              </w:rPr>
            </w:pPr>
            <w:r w:rsidRPr="00893337">
              <w:rPr>
                <w:sz w:val="20"/>
                <w:szCs w:val="20"/>
              </w:rPr>
              <w:t>100 </w:t>
            </w:r>
          </w:p>
        </w:tc>
      </w:tr>
      <w:tr w14:paraId="799B2233"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hideMark/>
          </w:tcPr>
          <w:p w:rsidR="00893337" w:rsidRPr="00893337" w:rsidP="00893337" w14:paraId="64158B77" w14:textId="77777777">
            <w:pPr>
              <w:rPr>
                <w:sz w:val="20"/>
                <w:szCs w:val="20"/>
              </w:rPr>
            </w:pPr>
            <w:r w:rsidRPr="00893337">
              <w:rPr>
                <w:sz w:val="20"/>
                <w:szCs w:val="20"/>
              </w:rPr>
              <w:t>Exemption from Profit Prohibition Information—520(m)(6)(A)(</w:t>
            </w:r>
            <w:r w:rsidRPr="00893337">
              <w:rPr>
                <w:sz w:val="20"/>
                <w:szCs w:val="20"/>
              </w:rPr>
              <w:t>i</w:t>
            </w:r>
            <w:r w:rsidRPr="00893337">
              <w:rPr>
                <w:sz w:val="20"/>
                <w:szCs w:val="20"/>
              </w:rPr>
              <w:t>) and (ii) of the FD&amp;C Act </w:t>
            </w:r>
          </w:p>
        </w:tc>
        <w:tc>
          <w:tcPr>
            <w:tcW w:w="1429" w:type="dxa"/>
            <w:tcBorders>
              <w:top w:val="single" w:sz="6" w:space="0" w:color="auto"/>
              <w:left w:val="single" w:sz="6" w:space="0" w:color="auto"/>
              <w:bottom w:val="single" w:sz="6" w:space="0" w:color="auto"/>
              <w:right w:val="single" w:sz="6" w:space="0" w:color="auto"/>
            </w:tcBorders>
            <w:hideMark/>
          </w:tcPr>
          <w:p w:rsidR="00893337" w:rsidRPr="00893337" w:rsidP="00893337" w14:paraId="29942E72" w14:textId="77777777">
            <w:pPr>
              <w:rPr>
                <w:sz w:val="20"/>
                <w:szCs w:val="20"/>
              </w:rPr>
            </w:pPr>
            <w:r w:rsidRPr="00893337">
              <w:rPr>
                <w:sz w:val="20"/>
                <w:szCs w:val="20"/>
              </w:rPr>
              <w:t>1 </w:t>
            </w:r>
          </w:p>
        </w:tc>
        <w:tc>
          <w:tcPr>
            <w:tcW w:w="1382" w:type="dxa"/>
            <w:tcBorders>
              <w:top w:val="single" w:sz="6" w:space="0" w:color="auto"/>
              <w:left w:val="single" w:sz="6" w:space="0" w:color="auto"/>
              <w:bottom w:val="single" w:sz="6" w:space="0" w:color="auto"/>
              <w:right w:val="single" w:sz="6" w:space="0" w:color="auto"/>
            </w:tcBorders>
            <w:hideMark/>
          </w:tcPr>
          <w:p w:rsidR="00893337" w:rsidRPr="00893337" w:rsidP="00893337" w14:paraId="34C69991"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hideMark/>
          </w:tcPr>
          <w:p w:rsidR="00893337" w:rsidRPr="00893337" w:rsidP="00893337" w14:paraId="41FE1476" w14:textId="77777777">
            <w:pPr>
              <w:rPr>
                <w:sz w:val="20"/>
                <w:szCs w:val="20"/>
              </w:rPr>
            </w:pPr>
            <w:r w:rsidRPr="00893337">
              <w:rPr>
                <w:sz w:val="20"/>
                <w:szCs w:val="20"/>
              </w:rPr>
              <w:t>1 </w:t>
            </w:r>
          </w:p>
        </w:tc>
        <w:tc>
          <w:tcPr>
            <w:tcW w:w="1289" w:type="dxa"/>
            <w:tcBorders>
              <w:top w:val="single" w:sz="6" w:space="0" w:color="auto"/>
              <w:left w:val="single" w:sz="6" w:space="0" w:color="auto"/>
              <w:bottom w:val="single" w:sz="6" w:space="0" w:color="auto"/>
              <w:right w:val="single" w:sz="6" w:space="0" w:color="auto"/>
            </w:tcBorders>
            <w:hideMark/>
          </w:tcPr>
          <w:p w:rsidR="00893337" w:rsidRPr="00893337" w:rsidP="00893337" w14:paraId="4B63C2F7" w14:textId="77777777">
            <w:pPr>
              <w:rPr>
                <w:sz w:val="20"/>
                <w:szCs w:val="20"/>
              </w:rPr>
            </w:pPr>
            <w:r w:rsidRPr="00893337">
              <w:rPr>
                <w:sz w:val="20"/>
                <w:szCs w:val="20"/>
              </w:rPr>
              <w:t>50 </w:t>
            </w:r>
          </w:p>
        </w:tc>
        <w:tc>
          <w:tcPr>
            <w:tcW w:w="1099" w:type="dxa"/>
            <w:tcBorders>
              <w:top w:val="single" w:sz="6" w:space="0" w:color="auto"/>
              <w:left w:val="single" w:sz="6" w:space="0" w:color="auto"/>
              <w:bottom w:val="single" w:sz="6" w:space="0" w:color="auto"/>
              <w:right w:val="single" w:sz="6" w:space="0" w:color="auto"/>
            </w:tcBorders>
            <w:hideMark/>
          </w:tcPr>
          <w:p w:rsidR="00893337" w:rsidRPr="00893337" w:rsidP="00893337" w14:paraId="4D3B5E3D" w14:textId="77777777">
            <w:pPr>
              <w:rPr>
                <w:sz w:val="20"/>
                <w:szCs w:val="20"/>
              </w:rPr>
            </w:pPr>
            <w:r w:rsidRPr="00893337">
              <w:rPr>
                <w:sz w:val="20"/>
                <w:szCs w:val="20"/>
              </w:rPr>
              <w:t>50 </w:t>
            </w:r>
          </w:p>
        </w:tc>
      </w:tr>
      <w:tr w14:paraId="3B1A7111"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hideMark/>
          </w:tcPr>
          <w:p w:rsidR="00893337" w:rsidRPr="00893337" w:rsidP="00893337" w14:paraId="4F7BE8C6" w14:textId="77777777">
            <w:pPr>
              <w:rPr>
                <w:sz w:val="20"/>
                <w:szCs w:val="20"/>
              </w:rPr>
            </w:pPr>
            <w:r w:rsidRPr="00893337">
              <w:rPr>
                <w:sz w:val="20"/>
                <w:szCs w:val="20"/>
              </w:rPr>
              <w:t>Request for Determination of Eligibility Criteria—613(b) of FDASIA </w:t>
            </w:r>
          </w:p>
        </w:tc>
        <w:tc>
          <w:tcPr>
            <w:tcW w:w="1429" w:type="dxa"/>
            <w:tcBorders>
              <w:top w:val="single" w:sz="6" w:space="0" w:color="auto"/>
              <w:left w:val="single" w:sz="6" w:space="0" w:color="auto"/>
              <w:bottom w:val="single" w:sz="6" w:space="0" w:color="auto"/>
              <w:right w:val="single" w:sz="6" w:space="0" w:color="auto"/>
            </w:tcBorders>
            <w:hideMark/>
          </w:tcPr>
          <w:p w:rsidR="00893337" w:rsidRPr="00893337" w:rsidP="00893337" w14:paraId="5F9DE3A5" w14:textId="77777777">
            <w:pPr>
              <w:rPr>
                <w:sz w:val="20"/>
                <w:szCs w:val="20"/>
              </w:rPr>
            </w:pPr>
            <w:r w:rsidRPr="00893337">
              <w:rPr>
                <w:sz w:val="20"/>
                <w:szCs w:val="20"/>
              </w:rPr>
              <w:t>1 </w:t>
            </w:r>
          </w:p>
        </w:tc>
        <w:tc>
          <w:tcPr>
            <w:tcW w:w="1382" w:type="dxa"/>
            <w:tcBorders>
              <w:top w:val="single" w:sz="6" w:space="0" w:color="auto"/>
              <w:left w:val="single" w:sz="6" w:space="0" w:color="auto"/>
              <w:bottom w:val="single" w:sz="6" w:space="0" w:color="auto"/>
              <w:right w:val="single" w:sz="6" w:space="0" w:color="auto"/>
            </w:tcBorders>
            <w:hideMark/>
          </w:tcPr>
          <w:p w:rsidR="00893337" w:rsidRPr="00893337" w:rsidP="00893337" w14:paraId="47332A7A"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hideMark/>
          </w:tcPr>
          <w:p w:rsidR="00893337" w:rsidRPr="00893337" w:rsidP="00893337" w14:paraId="10F155A0" w14:textId="77777777">
            <w:pPr>
              <w:rPr>
                <w:sz w:val="20"/>
                <w:szCs w:val="20"/>
              </w:rPr>
            </w:pPr>
            <w:r w:rsidRPr="00893337">
              <w:rPr>
                <w:sz w:val="20"/>
                <w:szCs w:val="20"/>
              </w:rPr>
              <w:t>1 </w:t>
            </w:r>
          </w:p>
        </w:tc>
        <w:tc>
          <w:tcPr>
            <w:tcW w:w="1289" w:type="dxa"/>
            <w:tcBorders>
              <w:top w:val="single" w:sz="6" w:space="0" w:color="auto"/>
              <w:left w:val="single" w:sz="6" w:space="0" w:color="auto"/>
              <w:bottom w:val="single" w:sz="6" w:space="0" w:color="auto"/>
              <w:right w:val="single" w:sz="6" w:space="0" w:color="auto"/>
            </w:tcBorders>
            <w:hideMark/>
          </w:tcPr>
          <w:p w:rsidR="00893337" w:rsidRPr="00893337" w:rsidP="00893337" w14:paraId="156EA3A9" w14:textId="77777777">
            <w:pPr>
              <w:rPr>
                <w:sz w:val="20"/>
                <w:szCs w:val="20"/>
              </w:rPr>
            </w:pPr>
            <w:r w:rsidRPr="00893337">
              <w:rPr>
                <w:sz w:val="20"/>
                <w:szCs w:val="20"/>
              </w:rPr>
              <w:t>10 </w:t>
            </w:r>
          </w:p>
        </w:tc>
        <w:tc>
          <w:tcPr>
            <w:tcW w:w="1099" w:type="dxa"/>
            <w:tcBorders>
              <w:top w:val="single" w:sz="6" w:space="0" w:color="auto"/>
              <w:left w:val="single" w:sz="6" w:space="0" w:color="auto"/>
              <w:bottom w:val="single" w:sz="6" w:space="0" w:color="auto"/>
              <w:right w:val="single" w:sz="6" w:space="0" w:color="auto"/>
            </w:tcBorders>
            <w:hideMark/>
          </w:tcPr>
          <w:p w:rsidR="00893337" w:rsidRPr="00893337" w:rsidP="00893337" w14:paraId="50893747" w14:textId="77777777">
            <w:pPr>
              <w:rPr>
                <w:sz w:val="20"/>
                <w:szCs w:val="20"/>
              </w:rPr>
            </w:pPr>
            <w:r w:rsidRPr="00893337">
              <w:rPr>
                <w:sz w:val="20"/>
                <w:szCs w:val="20"/>
              </w:rPr>
              <w:t>10 </w:t>
            </w:r>
          </w:p>
        </w:tc>
      </w:tr>
      <w:tr w14:paraId="035B66E5"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hideMark/>
          </w:tcPr>
          <w:p w:rsidR="00893337" w:rsidRPr="00893337" w:rsidP="00893337" w14:paraId="00705D97" w14:textId="77777777">
            <w:pPr>
              <w:rPr>
                <w:sz w:val="20"/>
                <w:szCs w:val="20"/>
              </w:rPr>
            </w:pPr>
            <w:r w:rsidRPr="00893337">
              <w:rPr>
                <w:sz w:val="20"/>
                <w:szCs w:val="20"/>
              </w:rPr>
              <w:t>ADN Notification—520(m)(6)(A)(iii) of the FD&amp;C Act </w:t>
            </w:r>
          </w:p>
        </w:tc>
        <w:tc>
          <w:tcPr>
            <w:tcW w:w="1429" w:type="dxa"/>
            <w:tcBorders>
              <w:top w:val="single" w:sz="6" w:space="0" w:color="auto"/>
              <w:left w:val="single" w:sz="6" w:space="0" w:color="auto"/>
              <w:bottom w:val="single" w:sz="6" w:space="0" w:color="auto"/>
              <w:right w:val="single" w:sz="6" w:space="0" w:color="auto"/>
            </w:tcBorders>
            <w:hideMark/>
          </w:tcPr>
          <w:p w:rsidR="00893337" w:rsidRPr="00893337" w:rsidP="00893337" w14:paraId="71C3171C" w14:textId="77777777">
            <w:pPr>
              <w:rPr>
                <w:sz w:val="20"/>
                <w:szCs w:val="20"/>
              </w:rPr>
            </w:pPr>
            <w:r w:rsidRPr="00893337">
              <w:rPr>
                <w:sz w:val="20"/>
                <w:szCs w:val="20"/>
              </w:rPr>
              <w:t>1 </w:t>
            </w:r>
          </w:p>
        </w:tc>
        <w:tc>
          <w:tcPr>
            <w:tcW w:w="1382" w:type="dxa"/>
            <w:tcBorders>
              <w:top w:val="single" w:sz="6" w:space="0" w:color="auto"/>
              <w:left w:val="single" w:sz="6" w:space="0" w:color="auto"/>
              <w:bottom w:val="single" w:sz="6" w:space="0" w:color="auto"/>
              <w:right w:val="single" w:sz="6" w:space="0" w:color="auto"/>
            </w:tcBorders>
            <w:hideMark/>
          </w:tcPr>
          <w:p w:rsidR="00893337" w:rsidRPr="00893337" w:rsidP="00893337" w14:paraId="645A8249"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hideMark/>
          </w:tcPr>
          <w:p w:rsidR="00893337" w:rsidRPr="00893337" w:rsidP="00893337" w14:paraId="7F450C4C" w14:textId="77777777">
            <w:pPr>
              <w:rPr>
                <w:sz w:val="20"/>
                <w:szCs w:val="20"/>
              </w:rPr>
            </w:pPr>
            <w:r w:rsidRPr="00893337">
              <w:rPr>
                <w:sz w:val="20"/>
                <w:szCs w:val="20"/>
              </w:rPr>
              <w:t>1 </w:t>
            </w:r>
          </w:p>
        </w:tc>
        <w:tc>
          <w:tcPr>
            <w:tcW w:w="1289" w:type="dxa"/>
            <w:tcBorders>
              <w:top w:val="single" w:sz="6" w:space="0" w:color="auto"/>
              <w:left w:val="single" w:sz="6" w:space="0" w:color="auto"/>
              <w:bottom w:val="single" w:sz="6" w:space="0" w:color="auto"/>
              <w:right w:val="single" w:sz="6" w:space="0" w:color="auto"/>
            </w:tcBorders>
            <w:hideMark/>
          </w:tcPr>
          <w:p w:rsidR="00893337" w:rsidRPr="00893337" w:rsidP="00893337" w14:paraId="16F5C163" w14:textId="77777777">
            <w:pPr>
              <w:rPr>
                <w:sz w:val="20"/>
                <w:szCs w:val="20"/>
              </w:rPr>
            </w:pPr>
            <w:r w:rsidRPr="00893337">
              <w:rPr>
                <w:sz w:val="20"/>
                <w:szCs w:val="20"/>
              </w:rPr>
              <w:t>100 </w:t>
            </w:r>
          </w:p>
        </w:tc>
        <w:tc>
          <w:tcPr>
            <w:tcW w:w="1099" w:type="dxa"/>
            <w:tcBorders>
              <w:top w:val="single" w:sz="6" w:space="0" w:color="auto"/>
              <w:left w:val="single" w:sz="6" w:space="0" w:color="auto"/>
              <w:bottom w:val="single" w:sz="6" w:space="0" w:color="auto"/>
              <w:right w:val="single" w:sz="6" w:space="0" w:color="auto"/>
            </w:tcBorders>
            <w:hideMark/>
          </w:tcPr>
          <w:p w:rsidR="00893337" w:rsidRPr="00893337" w:rsidP="00893337" w14:paraId="6D08BD84" w14:textId="77777777">
            <w:pPr>
              <w:rPr>
                <w:sz w:val="20"/>
                <w:szCs w:val="20"/>
              </w:rPr>
            </w:pPr>
            <w:r w:rsidRPr="00893337">
              <w:rPr>
                <w:sz w:val="20"/>
                <w:szCs w:val="20"/>
              </w:rPr>
              <w:t>100 </w:t>
            </w:r>
          </w:p>
        </w:tc>
      </w:tr>
      <w:tr w14:paraId="1F21C3AF" w14:textId="77777777" w:rsidTr="00BC3646">
        <w:tblPrEx>
          <w:tblW w:w="9375" w:type="dxa"/>
          <w:tblInd w:w="-15" w:type="dxa"/>
          <w:tblCellMar>
            <w:left w:w="0" w:type="dxa"/>
            <w:right w:w="0" w:type="dxa"/>
          </w:tblCellMar>
          <w:tblLook w:val="04A0"/>
        </w:tblPrEx>
        <w:trPr>
          <w:trHeight w:val="15"/>
        </w:trPr>
        <w:tc>
          <w:tcPr>
            <w:tcW w:w="2788" w:type="dxa"/>
            <w:tcBorders>
              <w:top w:val="single" w:sz="6" w:space="0" w:color="auto"/>
              <w:left w:val="single" w:sz="6" w:space="0" w:color="auto"/>
              <w:bottom w:val="single" w:sz="6" w:space="0" w:color="auto"/>
              <w:right w:val="single" w:sz="6" w:space="0" w:color="auto"/>
            </w:tcBorders>
            <w:hideMark/>
          </w:tcPr>
          <w:p w:rsidR="00893337" w:rsidRPr="00893337" w:rsidP="00893337" w14:paraId="64870F12" w14:textId="77777777">
            <w:pPr>
              <w:rPr>
                <w:sz w:val="20"/>
                <w:szCs w:val="20"/>
              </w:rPr>
            </w:pPr>
            <w:r w:rsidRPr="00893337">
              <w:rPr>
                <w:sz w:val="20"/>
                <w:szCs w:val="20"/>
              </w:rPr>
              <w:t>ADN Modification—520(m)(6)(C) of the FD&amp;C Act </w:t>
            </w:r>
          </w:p>
        </w:tc>
        <w:tc>
          <w:tcPr>
            <w:tcW w:w="1429" w:type="dxa"/>
            <w:tcBorders>
              <w:top w:val="single" w:sz="6" w:space="0" w:color="auto"/>
              <w:left w:val="single" w:sz="6" w:space="0" w:color="auto"/>
              <w:bottom w:val="single" w:sz="6" w:space="0" w:color="auto"/>
              <w:right w:val="single" w:sz="6" w:space="0" w:color="auto"/>
            </w:tcBorders>
            <w:hideMark/>
          </w:tcPr>
          <w:p w:rsidR="00893337" w:rsidRPr="00893337" w:rsidP="00893337" w14:paraId="2C5A0201" w14:textId="77777777">
            <w:pPr>
              <w:rPr>
                <w:sz w:val="20"/>
                <w:szCs w:val="20"/>
              </w:rPr>
            </w:pPr>
            <w:r w:rsidRPr="00893337">
              <w:rPr>
                <w:sz w:val="20"/>
                <w:szCs w:val="20"/>
              </w:rPr>
              <w:t>1 </w:t>
            </w:r>
          </w:p>
        </w:tc>
        <w:tc>
          <w:tcPr>
            <w:tcW w:w="1382" w:type="dxa"/>
            <w:tcBorders>
              <w:top w:val="single" w:sz="6" w:space="0" w:color="auto"/>
              <w:left w:val="single" w:sz="6" w:space="0" w:color="auto"/>
              <w:bottom w:val="single" w:sz="6" w:space="0" w:color="auto"/>
              <w:right w:val="single" w:sz="6" w:space="0" w:color="auto"/>
            </w:tcBorders>
            <w:hideMark/>
          </w:tcPr>
          <w:p w:rsidR="00893337" w:rsidRPr="00893337" w:rsidP="00893337" w14:paraId="140B9963" w14:textId="77777777">
            <w:pPr>
              <w:rPr>
                <w:sz w:val="20"/>
                <w:szCs w:val="20"/>
              </w:rPr>
            </w:pPr>
            <w:r w:rsidRPr="00893337">
              <w:rPr>
                <w:sz w:val="20"/>
                <w:szCs w:val="20"/>
              </w:rPr>
              <w:t>1 </w:t>
            </w:r>
          </w:p>
        </w:tc>
        <w:tc>
          <w:tcPr>
            <w:tcW w:w="1388" w:type="dxa"/>
            <w:tcBorders>
              <w:top w:val="single" w:sz="6" w:space="0" w:color="auto"/>
              <w:left w:val="single" w:sz="6" w:space="0" w:color="auto"/>
              <w:bottom w:val="single" w:sz="6" w:space="0" w:color="auto"/>
              <w:right w:val="single" w:sz="6" w:space="0" w:color="auto"/>
            </w:tcBorders>
            <w:hideMark/>
          </w:tcPr>
          <w:p w:rsidR="00893337" w:rsidRPr="00893337" w:rsidP="00893337" w14:paraId="1C082736" w14:textId="77777777">
            <w:pPr>
              <w:rPr>
                <w:sz w:val="20"/>
                <w:szCs w:val="20"/>
              </w:rPr>
            </w:pPr>
            <w:r w:rsidRPr="00893337">
              <w:rPr>
                <w:sz w:val="20"/>
                <w:szCs w:val="20"/>
              </w:rPr>
              <w:t>1 </w:t>
            </w:r>
          </w:p>
        </w:tc>
        <w:tc>
          <w:tcPr>
            <w:tcW w:w="1289" w:type="dxa"/>
            <w:tcBorders>
              <w:top w:val="single" w:sz="6" w:space="0" w:color="auto"/>
              <w:left w:val="single" w:sz="6" w:space="0" w:color="auto"/>
              <w:bottom w:val="single" w:sz="6" w:space="0" w:color="auto"/>
              <w:right w:val="single" w:sz="6" w:space="0" w:color="auto"/>
            </w:tcBorders>
            <w:hideMark/>
          </w:tcPr>
          <w:p w:rsidR="00893337" w:rsidRPr="00893337" w:rsidP="00893337" w14:paraId="7FD4F797" w14:textId="77777777">
            <w:pPr>
              <w:rPr>
                <w:sz w:val="20"/>
                <w:szCs w:val="20"/>
              </w:rPr>
            </w:pPr>
            <w:r w:rsidRPr="00893337">
              <w:rPr>
                <w:sz w:val="20"/>
                <w:szCs w:val="20"/>
              </w:rPr>
              <w:t>100 </w:t>
            </w:r>
          </w:p>
        </w:tc>
        <w:tc>
          <w:tcPr>
            <w:tcW w:w="1099" w:type="dxa"/>
            <w:tcBorders>
              <w:top w:val="single" w:sz="6" w:space="0" w:color="auto"/>
              <w:left w:val="single" w:sz="6" w:space="0" w:color="auto"/>
              <w:bottom w:val="single" w:sz="6" w:space="0" w:color="auto"/>
              <w:right w:val="single" w:sz="6" w:space="0" w:color="auto"/>
            </w:tcBorders>
            <w:hideMark/>
          </w:tcPr>
          <w:p w:rsidR="00893337" w:rsidRPr="00893337" w:rsidP="00893337" w14:paraId="282B45CE" w14:textId="77777777">
            <w:pPr>
              <w:rPr>
                <w:sz w:val="20"/>
                <w:szCs w:val="20"/>
              </w:rPr>
            </w:pPr>
            <w:r w:rsidRPr="00893337">
              <w:rPr>
                <w:sz w:val="20"/>
                <w:szCs w:val="20"/>
              </w:rPr>
              <w:t>100 </w:t>
            </w:r>
          </w:p>
        </w:tc>
      </w:tr>
      <w:tr w14:paraId="252343D6" w14:textId="77777777" w:rsidTr="00BC3646">
        <w:tblPrEx>
          <w:tblW w:w="9375" w:type="dxa"/>
          <w:tblInd w:w="-15" w:type="dxa"/>
          <w:tblCellMar>
            <w:left w:w="0" w:type="dxa"/>
            <w:right w:w="0" w:type="dxa"/>
          </w:tblCellMar>
          <w:tblLook w:val="04A0"/>
        </w:tblPrEx>
        <w:trPr>
          <w:trHeight w:val="15"/>
        </w:trPr>
        <w:tc>
          <w:tcPr>
            <w:tcW w:w="8276" w:type="dxa"/>
            <w:gridSpan w:val="5"/>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6D5CCDDD" w14:textId="77777777">
            <w:pPr>
              <w:rPr>
                <w:sz w:val="20"/>
                <w:szCs w:val="20"/>
              </w:rPr>
            </w:pPr>
            <w:r w:rsidRPr="00893337">
              <w:rPr>
                <w:sz w:val="20"/>
                <w:szCs w:val="20"/>
              </w:rPr>
              <w:t>Total  </w:t>
            </w:r>
          </w:p>
        </w:tc>
        <w:tc>
          <w:tcPr>
            <w:tcW w:w="1099" w:type="dxa"/>
            <w:tcBorders>
              <w:top w:val="single" w:sz="6" w:space="0" w:color="auto"/>
              <w:left w:val="single" w:sz="6" w:space="0" w:color="auto"/>
              <w:bottom w:val="single" w:sz="6" w:space="0" w:color="auto"/>
              <w:right w:val="single" w:sz="6" w:space="0" w:color="auto"/>
            </w:tcBorders>
            <w:hideMark/>
          </w:tcPr>
          <w:p w:rsidR="00893337" w:rsidRPr="00893337" w:rsidP="00893337" w14:paraId="1C528775" w14:textId="77777777">
            <w:pPr>
              <w:rPr>
                <w:sz w:val="20"/>
                <w:szCs w:val="20"/>
              </w:rPr>
            </w:pPr>
            <w:r w:rsidRPr="00893337">
              <w:rPr>
                <w:sz w:val="20"/>
                <w:szCs w:val="20"/>
              </w:rPr>
              <w:t>360 </w:t>
            </w:r>
          </w:p>
        </w:tc>
      </w:tr>
      <w:tr w14:paraId="59AD8DFC" w14:textId="77777777" w:rsidTr="00BC3646">
        <w:tblPrEx>
          <w:tblW w:w="9375" w:type="dxa"/>
          <w:tblInd w:w="-15" w:type="dxa"/>
          <w:tblCellMar>
            <w:left w:w="0" w:type="dxa"/>
            <w:right w:w="0" w:type="dxa"/>
          </w:tblCellMar>
          <w:tblLook w:val="04A0"/>
        </w:tblPrEx>
        <w:trPr>
          <w:trHeight w:val="15"/>
        </w:trPr>
        <w:tc>
          <w:tcPr>
            <w:tcW w:w="8276" w:type="dxa"/>
            <w:gridSpan w:val="5"/>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54EE2249" w14:textId="77777777">
            <w:pPr>
              <w:rPr>
                <w:sz w:val="20"/>
                <w:szCs w:val="20"/>
              </w:rPr>
            </w:pPr>
            <w:r w:rsidRPr="00893337">
              <w:rPr>
                <w:sz w:val="20"/>
                <w:szCs w:val="20"/>
              </w:rPr>
              <w:t>Reporting Total </w:t>
            </w:r>
          </w:p>
        </w:tc>
        <w:tc>
          <w:tcPr>
            <w:tcW w:w="1099" w:type="dxa"/>
            <w:tcBorders>
              <w:top w:val="single" w:sz="6" w:space="0" w:color="auto"/>
              <w:left w:val="single" w:sz="6" w:space="0" w:color="auto"/>
              <w:bottom w:val="single" w:sz="6" w:space="0" w:color="auto"/>
              <w:right w:val="single" w:sz="6" w:space="0" w:color="auto"/>
            </w:tcBorders>
            <w:vAlign w:val="bottom"/>
            <w:hideMark/>
          </w:tcPr>
          <w:p w:rsidR="00893337" w:rsidRPr="00893337" w:rsidP="00893337" w14:paraId="4EA6378A" w14:textId="77777777">
            <w:pPr>
              <w:rPr>
                <w:sz w:val="20"/>
                <w:szCs w:val="20"/>
              </w:rPr>
            </w:pPr>
            <w:r w:rsidRPr="00893337">
              <w:rPr>
                <w:sz w:val="20"/>
                <w:szCs w:val="20"/>
              </w:rPr>
              <w:t>22,400</w:t>
            </w:r>
          </w:p>
        </w:tc>
      </w:tr>
      <w:tr w14:paraId="28F06046" w14:textId="77777777" w:rsidTr="00BC3646">
        <w:tblPrEx>
          <w:tblW w:w="9375" w:type="dxa"/>
          <w:tblInd w:w="-15" w:type="dxa"/>
          <w:tblCellMar>
            <w:left w:w="0" w:type="dxa"/>
            <w:right w:w="0" w:type="dxa"/>
          </w:tblCellMar>
          <w:tblLook w:val="04A0"/>
        </w:tblPrEx>
        <w:trPr>
          <w:trHeight w:val="15"/>
        </w:trPr>
        <w:tc>
          <w:tcPr>
            <w:tcW w:w="9375" w:type="dxa"/>
            <w:gridSpan w:val="6"/>
            <w:tcBorders>
              <w:top w:val="single" w:sz="6" w:space="0" w:color="auto"/>
              <w:left w:val="nil"/>
              <w:bottom w:val="nil"/>
              <w:right w:val="nil"/>
            </w:tcBorders>
            <w:vAlign w:val="bottom"/>
          </w:tcPr>
          <w:p w:rsidR="00893337" w:rsidRPr="00893337" w:rsidP="00893337" w14:paraId="722CE91D" w14:textId="77777777">
            <w:pPr>
              <w:rPr>
                <w:sz w:val="20"/>
                <w:szCs w:val="20"/>
              </w:rPr>
            </w:pPr>
            <w:r w:rsidRPr="00893337">
              <w:rPr>
                <w:sz w:val="20"/>
                <w:szCs w:val="20"/>
                <w:vertAlign w:val="superscript"/>
              </w:rPr>
              <w:t>1</w:t>
            </w:r>
            <w:r w:rsidRPr="00893337">
              <w:rPr>
                <w:sz w:val="20"/>
                <w:szCs w:val="20"/>
              </w:rPr>
              <w:t xml:space="preserve"> There are no capital costs or operating and maintenance costs associated with this collection of information.</w:t>
            </w:r>
          </w:p>
          <w:p w:rsidR="00893337" w:rsidRPr="00893337" w:rsidP="00893337" w14:paraId="3FF8054E" w14:textId="77777777">
            <w:pPr>
              <w:rPr>
                <w:sz w:val="20"/>
                <w:szCs w:val="20"/>
              </w:rPr>
            </w:pPr>
            <w:r w:rsidRPr="00893337">
              <w:rPr>
                <w:sz w:val="20"/>
                <w:szCs w:val="20"/>
                <w:vertAlign w:val="superscript"/>
              </w:rPr>
              <w:t>2</w:t>
            </w:r>
            <w:r w:rsidRPr="00893337">
              <w:rPr>
                <w:sz w:val="20"/>
                <w:szCs w:val="20"/>
              </w:rPr>
              <w:t xml:space="preserve"> Form FDA 3674 is approved under OMB Control No. 0910-0120. This ICR includes burden only for HUD submissions.</w:t>
            </w:r>
          </w:p>
        </w:tc>
      </w:tr>
    </w:tbl>
    <w:p w:rsidR="00893337" w:rsidRPr="00893337" w:rsidP="00893337" w14:paraId="28AA163A" w14:textId="77777777">
      <w:pPr>
        <w:rPr>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0"/>
        <w:gridCol w:w="1819"/>
        <w:gridCol w:w="1722"/>
        <w:gridCol w:w="1249"/>
        <w:gridCol w:w="2062"/>
        <w:gridCol w:w="1142"/>
      </w:tblGrid>
      <w:tr w14:paraId="0C767945" w14:textId="77777777" w:rsidTr="00BC3646">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0"/>
          <w:tblHeader/>
        </w:trPr>
        <w:tc>
          <w:tcPr>
            <w:tcW w:w="5000" w:type="pct"/>
            <w:gridSpan w:val="6"/>
            <w:tcBorders>
              <w:top w:val="nil"/>
              <w:left w:val="nil"/>
              <w:bottom w:val="single" w:sz="4" w:space="0" w:color="auto"/>
              <w:right w:val="nil"/>
            </w:tcBorders>
            <w:hideMark/>
          </w:tcPr>
          <w:p w:rsidR="00893337" w:rsidRPr="00893337" w:rsidP="00893337" w14:paraId="20237CC6" w14:textId="77777777">
            <w:pPr>
              <w:jc w:val="center"/>
              <w:rPr>
                <w:sz w:val="20"/>
                <w:szCs w:val="20"/>
              </w:rPr>
            </w:pPr>
            <w:r w:rsidRPr="00893337">
              <w:rPr>
                <w:sz w:val="20"/>
                <w:szCs w:val="20"/>
              </w:rPr>
              <w:t>Table 2.--Estimated Annual Recordkeeping Burden</w:t>
            </w:r>
            <w:r w:rsidRPr="00893337">
              <w:rPr>
                <w:sz w:val="20"/>
                <w:szCs w:val="20"/>
                <w:vertAlign w:val="superscript"/>
              </w:rPr>
              <w:t>1</w:t>
            </w:r>
          </w:p>
        </w:tc>
      </w:tr>
      <w:tr w14:paraId="05200BB7" w14:textId="77777777" w:rsidTr="00BC3646">
        <w:tblPrEx>
          <w:tblW w:w="5000" w:type="pct"/>
          <w:tblInd w:w="-5" w:type="dxa"/>
          <w:tblLook w:val="01E0"/>
        </w:tblPrEx>
        <w:trPr>
          <w:trHeight w:val="647"/>
          <w:tblHeader/>
        </w:trPr>
        <w:tc>
          <w:tcPr>
            <w:tcW w:w="794" w:type="pct"/>
            <w:tcBorders>
              <w:top w:val="single" w:sz="4" w:space="0" w:color="auto"/>
              <w:left w:val="single" w:sz="4" w:space="0" w:color="auto"/>
              <w:bottom w:val="single" w:sz="4" w:space="0" w:color="auto"/>
              <w:right w:val="single" w:sz="4" w:space="0" w:color="auto"/>
            </w:tcBorders>
            <w:hideMark/>
          </w:tcPr>
          <w:p w:rsidR="00893337" w:rsidRPr="00893337" w:rsidP="00893337" w14:paraId="38170E87" w14:textId="77777777">
            <w:pPr>
              <w:rPr>
                <w:sz w:val="20"/>
                <w:szCs w:val="20"/>
              </w:rPr>
            </w:pPr>
            <w:r w:rsidRPr="00893337">
              <w:rPr>
                <w:sz w:val="20"/>
                <w:szCs w:val="20"/>
              </w:rPr>
              <w:t>Activity/21 CFR Part</w:t>
            </w:r>
          </w:p>
        </w:tc>
        <w:tc>
          <w:tcPr>
            <w:tcW w:w="957" w:type="pct"/>
            <w:tcBorders>
              <w:top w:val="single" w:sz="4" w:space="0" w:color="auto"/>
              <w:left w:val="single" w:sz="4" w:space="0" w:color="auto"/>
              <w:bottom w:val="single" w:sz="4" w:space="0" w:color="auto"/>
              <w:right w:val="single" w:sz="4" w:space="0" w:color="auto"/>
            </w:tcBorders>
            <w:hideMark/>
          </w:tcPr>
          <w:p w:rsidR="00893337" w:rsidRPr="00893337" w:rsidP="00893337" w14:paraId="67952F4D" w14:textId="77777777">
            <w:pPr>
              <w:rPr>
                <w:sz w:val="20"/>
                <w:szCs w:val="20"/>
              </w:rPr>
            </w:pPr>
            <w:r w:rsidRPr="00893337">
              <w:rPr>
                <w:sz w:val="20"/>
                <w:szCs w:val="20"/>
              </w:rPr>
              <w:t>No. of Recordkeepers</w:t>
            </w:r>
          </w:p>
        </w:tc>
        <w:tc>
          <w:tcPr>
            <w:tcW w:w="906" w:type="pct"/>
            <w:tcBorders>
              <w:top w:val="single" w:sz="4" w:space="0" w:color="auto"/>
              <w:left w:val="single" w:sz="4" w:space="0" w:color="auto"/>
              <w:bottom w:val="single" w:sz="4" w:space="0" w:color="auto"/>
              <w:right w:val="single" w:sz="4" w:space="0" w:color="auto"/>
            </w:tcBorders>
            <w:hideMark/>
          </w:tcPr>
          <w:p w:rsidR="00893337" w:rsidRPr="00893337" w:rsidP="00893337" w14:paraId="61448A24" w14:textId="77777777">
            <w:pPr>
              <w:rPr>
                <w:sz w:val="20"/>
                <w:szCs w:val="20"/>
              </w:rPr>
            </w:pPr>
            <w:r w:rsidRPr="00893337">
              <w:rPr>
                <w:bCs/>
                <w:sz w:val="20"/>
                <w:szCs w:val="20"/>
              </w:rPr>
              <w:t>No. of Records per Recordkeeper</w:t>
            </w:r>
          </w:p>
        </w:tc>
        <w:tc>
          <w:tcPr>
            <w:tcW w:w="657" w:type="pct"/>
            <w:tcBorders>
              <w:top w:val="single" w:sz="4" w:space="0" w:color="auto"/>
              <w:left w:val="single" w:sz="4" w:space="0" w:color="auto"/>
              <w:bottom w:val="single" w:sz="4" w:space="0" w:color="auto"/>
              <w:right w:val="single" w:sz="4" w:space="0" w:color="auto"/>
            </w:tcBorders>
            <w:hideMark/>
          </w:tcPr>
          <w:p w:rsidR="00893337" w:rsidRPr="00893337" w:rsidP="00893337" w14:paraId="1D7479DF" w14:textId="77777777">
            <w:pPr>
              <w:rPr>
                <w:sz w:val="20"/>
                <w:szCs w:val="20"/>
              </w:rPr>
            </w:pPr>
            <w:r w:rsidRPr="00893337">
              <w:rPr>
                <w:sz w:val="20"/>
                <w:szCs w:val="20"/>
              </w:rPr>
              <w:t>Total Annual Records</w:t>
            </w:r>
          </w:p>
        </w:tc>
        <w:tc>
          <w:tcPr>
            <w:tcW w:w="1085" w:type="pct"/>
            <w:tcBorders>
              <w:top w:val="single" w:sz="4" w:space="0" w:color="auto"/>
              <w:left w:val="single" w:sz="4" w:space="0" w:color="auto"/>
              <w:bottom w:val="single" w:sz="4" w:space="0" w:color="auto"/>
              <w:right w:val="single" w:sz="4" w:space="0" w:color="auto"/>
            </w:tcBorders>
            <w:hideMark/>
          </w:tcPr>
          <w:p w:rsidR="00893337" w:rsidRPr="00893337" w:rsidP="00893337" w14:paraId="18741DFB" w14:textId="77777777">
            <w:pPr>
              <w:rPr>
                <w:sz w:val="20"/>
                <w:szCs w:val="20"/>
              </w:rPr>
            </w:pPr>
            <w:r w:rsidRPr="00893337">
              <w:rPr>
                <w:bCs/>
                <w:sz w:val="20"/>
                <w:szCs w:val="20"/>
              </w:rPr>
              <w:t xml:space="preserve">Average Burden per Recordkeeping </w:t>
            </w:r>
          </w:p>
        </w:tc>
        <w:tc>
          <w:tcPr>
            <w:tcW w:w="602" w:type="pct"/>
            <w:tcBorders>
              <w:top w:val="single" w:sz="4" w:space="0" w:color="auto"/>
              <w:left w:val="single" w:sz="4" w:space="0" w:color="auto"/>
              <w:bottom w:val="single" w:sz="4" w:space="0" w:color="auto"/>
              <w:right w:val="single" w:sz="4" w:space="0" w:color="auto"/>
            </w:tcBorders>
            <w:hideMark/>
          </w:tcPr>
          <w:p w:rsidR="00893337" w:rsidRPr="00893337" w:rsidP="00893337" w14:paraId="39AEE1FA" w14:textId="77777777">
            <w:pPr>
              <w:rPr>
                <w:sz w:val="20"/>
                <w:szCs w:val="20"/>
              </w:rPr>
            </w:pPr>
            <w:r w:rsidRPr="00893337">
              <w:rPr>
                <w:sz w:val="20"/>
                <w:szCs w:val="20"/>
              </w:rPr>
              <w:t>Total Hours</w:t>
            </w:r>
          </w:p>
        </w:tc>
      </w:tr>
      <w:tr w14:paraId="51054A68" w14:textId="77777777" w:rsidTr="00BC3646">
        <w:tblPrEx>
          <w:tblW w:w="5000" w:type="pct"/>
          <w:tblInd w:w="-5" w:type="dxa"/>
          <w:tblLook w:val="01E0"/>
        </w:tblPrEx>
        <w:trPr>
          <w:trHeight w:val="287"/>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rsidR="00893337" w:rsidRPr="00893337" w:rsidP="00893337" w14:paraId="396E216E" w14:textId="77777777">
            <w:pPr>
              <w:rPr>
                <w:sz w:val="20"/>
                <w:szCs w:val="20"/>
              </w:rPr>
            </w:pPr>
            <w:r w:rsidRPr="00893337">
              <w:rPr>
                <w:sz w:val="20"/>
                <w:szCs w:val="20"/>
              </w:rPr>
              <w:t>Humanitarian Use Devices; 21 CFR Part 814</w:t>
            </w:r>
          </w:p>
        </w:tc>
      </w:tr>
      <w:tr w14:paraId="76DADDAB" w14:textId="77777777" w:rsidTr="00BC3646">
        <w:tblPrEx>
          <w:tblW w:w="5000" w:type="pct"/>
          <w:tblInd w:w="-5" w:type="dxa"/>
          <w:tblLook w:val="01E0"/>
        </w:tblPrEx>
        <w:trPr>
          <w:cantSplit/>
          <w:trHeight w:val="467"/>
        </w:trPr>
        <w:tc>
          <w:tcPr>
            <w:tcW w:w="794" w:type="pct"/>
            <w:tcBorders>
              <w:top w:val="single" w:sz="4" w:space="0" w:color="auto"/>
              <w:left w:val="single" w:sz="4" w:space="0" w:color="auto"/>
              <w:bottom w:val="single" w:sz="4" w:space="0" w:color="auto"/>
              <w:right w:val="single" w:sz="4" w:space="0" w:color="auto"/>
            </w:tcBorders>
            <w:vAlign w:val="bottom"/>
            <w:hideMark/>
          </w:tcPr>
          <w:p w:rsidR="00893337" w:rsidRPr="00893337" w:rsidP="00893337" w14:paraId="530462A1" w14:textId="77777777">
            <w:pPr>
              <w:rPr>
                <w:sz w:val="20"/>
                <w:szCs w:val="20"/>
              </w:rPr>
            </w:pPr>
            <w:r w:rsidRPr="00893337">
              <w:rPr>
                <w:sz w:val="20"/>
                <w:szCs w:val="20"/>
              </w:rPr>
              <w:t>HDE Records—814.126(b)(2)</w:t>
            </w:r>
          </w:p>
        </w:tc>
        <w:tc>
          <w:tcPr>
            <w:tcW w:w="957" w:type="pct"/>
            <w:tcBorders>
              <w:top w:val="single" w:sz="4" w:space="0" w:color="auto"/>
              <w:left w:val="single" w:sz="4" w:space="0" w:color="auto"/>
              <w:bottom w:val="single" w:sz="4" w:space="0" w:color="auto"/>
              <w:right w:val="single" w:sz="4" w:space="0" w:color="auto"/>
            </w:tcBorders>
            <w:hideMark/>
          </w:tcPr>
          <w:p w:rsidR="00893337" w:rsidRPr="00893337" w:rsidP="00893337" w14:paraId="6A489513" w14:textId="77777777">
            <w:pPr>
              <w:rPr>
                <w:sz w:val="20"/>
                <w:szCs w:val="20"/>
              </w:rPr>
            </w:pPr>
            <w:r w:rsidRPr="00893337">
              <w:rPr>
                <w:sz w:val="20"/>
                <w:szCs w:val="20"/>
              </w:rPr>
              <w:t>81</w:t>
            </w:r>
          </w:p>
        </w:tc>
        <w:tc>
          <w:tcPr>
            <w:tcW w:w="906" w:type="pct"/>
            <w:tcBorders>
              <w:top w:val="single" w:sz="4" w:space="0" w:color="auto"/>
              <w:left w:val="single" w:sz="4" w:space="0" w:color="auto"/>
              <w:bottom w:val="single" w:sz="4" w:space="0" w:color="auto"/>
              <w:right w:val="single" w:sz="4" w:space="0" w:color="auto"/>
            </w:tcBorders>
            <w:hideMark/>
          </w:tcPr>
          <w:p w:rsidR="00893337" w:rsidRPr="00893337" w:rsidP="00893337" w14:paraId="7D8BEAE4" w14:textId="77777777">
            <w:pPr>
              <w:rPr>
                <w:sz w:val="20"/>
                <w:szCs w:val="20"/>
              </w:rPr>
            </w:pPr>
            <w:r w:rsidRPr="00893337">
              <w:rPr>
                <w:sz w:val="20"/>
                <w:szCs w:val="20"/>
              </w:rPr>
              <w:t>1</w:t>
            </w:r>
          </w:p>
        </w:tc>
        <w:tc>
          <w:tcPr>
            <w:tcW w:w="657" w:type="pct"/>
            <w:tcBorders>
              <w:top w:val="single" w:sz="4" w:space="0" w:color="auto"/>
              <w:left w:val="single" w:sz="4" w:space="0" w:color="auto"/>
              <w:bottom w:val="single" w:sz="4" w:space="0" w:color="auto"/>
              <w:right w:val="single" w:sz="4" w:space="0" w:color="auto"/>
            </w:tcBorders>
            <w:hideMark/>
          </w:tcPr>
          <w:p w:rsidR="00893337" w:rsidRPr="00893337" w:rsidP="00893337" w14:paraId="7BBF29BB" w14:textId="77777777">
            <w:pPr>
              <w:rPr>
                <w:sz w:val="20"/>
                <w:szCs w:val="20"/>
              </w:rPr>
            </w:pPr>
            <w:r w:rsidRPr="00893337">
              <w:rPr>
                <w:sz w:val="20"/>
                <w:szCs w:val="20"/>
              </w:rPr>
              <w:t>81</w:t>
            </w:r>
          </w:p>
        </w:tc>
        <w:tc>
          <w:tcPr>
            <w:tcW w:w="1085" w:type="pct"/>
            <w:tcBorders>
              <w:top w:val="single" w:sz="4" w:space="0" w:color="auto"/>
              <w:left w:val="single" w:sz="4" w:space="0" w:color="auto"/>
              <w:bottom w:val="single" w:sz="4" w:space="0" w:color="auto"/>
              <w:right w:val="single" w:sz="4" w:space="0" w:color="auto"/>
            </w:tcBorders>
            <w:hideMark/>
          </w:tcPr>
          <w:p w:rsidR="00893337" w:rsidRPr="00893337" w:rsidP="00893337" w14:paraId="6FB0E357" w14:textId="77777777">
            <w:pPr>
              <w:rPr>
                <w:sz w:val="20"/>
                <w:szCs w:val="20"/>
              </w:rPr>
            </w:pPr>
            <w:r w:rsidRPr="00893337">
              <w:rPr>
                <w:sz w:val="20"/>
                <w:szCs w:val="20"/>
              </w:rPr>
              <w:t>2</w:t>
            </w:r>
          </w:p>
        </w:tc>
        <w:tc>
          <w:tcPr>
            <w:tcW w:w="602" w:type="pct"/>
            <w:tcBorders>
              <w:top w:val="single" w:sz="4" w:space="0" w:color="auto"/>
              <w:left w:val="single" w:sz="4" w:space="0" w:color="auto"/>
              <w:bottom w:val="single" w:sz="4" w:space="0" w:color="auto"/>
              <w:right w:val="single" w:sz="4" w:space="0" w:color="auto"/>
            </w:tcBorders>
            <w:hideMark/>
          </w:tcPr>
          <w:p w:rsidR="00893337" w:rsidRPr="00893337" w:rsidP="00893337" w14:paraId="700E7CE9" w14:textId="77777777">
            <w:pPr>
              <w:rPr>
                <w:sz w:val="20"/>
                <w:szCs w:val="20"/>
              </w:rPr>
            </w:pPr>
            <w:r w:rsidRPr="00893337">
              <w:rPr>
                <w:sz w:val="20"/>
                <w:szCs w:val="20"/>
              </w:rPr>
              <w:t>162</w:t>
            </w:r>
          </w:p>
        </w:tc>
      </w:tr>
    </w:tbl>
    <w:p w:rsidR="00893337" w:rsidRPr="00893337" w:rsidP="00893337" w14:paraId="4576E008" w14:textId="77777777">
      <w:pPr>
        <w:rPr>
          <w:sz w:val="20"/>
          <w:szCs w:val="20"/>
        </w:rPr>
      </w:pPr>
      <w:r w:rsidRPr="00893337">
        <w:rPr>
          <w:sz w:val="20"/>
          <w:szCs w:val="20"/>
          <w:vertAlign w:val="superscript"/>
        </w:rPr>
        <w:t>1</w:t>
      </w:r>
      <w:r w:rsidRPr="00893337">
        <w:rPr>
          <w:sz w:val="20"/>
          <w:szCs w:val="20"/>
        </w:rPr>
        <w:t xml:space="preserve"> There are no capital costs or operating and maintenance costs associated with this collection of information.</w:t>
      </w:r>
    </w:p>
    <w:p w:rsidR="00893337" w:rsidRPr="00893337" w:rsidP="00893337" w14:paraId="7C7D76EF" w14:textId="77777777">
      <w:pPr>
        <w:rPr>
          <w:sz w:val="20"/>
          <w:szCs w:val="20"/>
          <w:vertAlign w:val="superscript"/>
        </w:rPr>
      </w:pPr>
    </w:p>
    <w:tbl>
      <w:tblPr>
        <w:tblW w:w="96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469"/>
        <w:gridCol w:w="1582"/>
        <w:gridCol w:w="1711"/>
        <w:gridCol w:w="1363"/>
        <w:gridCol w:w="1805"/>
        <w:gridCol w:w="760"/>
      </w:tblGrid>
      <w:tr w14:paraId="2081331F" w14:textId="77777777" w:rsidTr="00BC3646">
        <w:tblPrEx>
          <w:tblW w:w="96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55"/>
        </w:trPr>
        <w:tc>
          <w:tcPr>
            <w:tcW w:w="9690" w:type="dxa"/>
            <w:gridSpan w:val="6"/>
            <w:tcBorders>
              <w:top w:val="nil"/>
              <w:left w:val="nil"/>
              <w:bottom w:val="single" w:sz="4" w:space="0" w:color="auto"/>
              <w:right w:val="nil"/>
            </w:tcBorders>
          </w:tcPr>
          <w:p w:rsidR="00893337" w:rsidRPr="00893337" w:rsidP="00893337" w14:paraId="74489B78" w14:textId="77777777">
            <w:pPr>
              <w:jc w:val="center"/>
              <w:rPr>
                <w:sz w:val="20"/>
                <w:szCs w:val="20"/>
              </w:rPr>
            </w:pPr>
            <w:r w:rsidRPr="00893337">
              <w:rPr>
                <w:sz w:val="20"/>
                <w:szCs w:val="20"/>
              </w:rPr>
              <w:t>Table 3.--Estimated Annual Third-Party Disclosure Burden</w:t>
            </w:r>
            <w:r w:rsidRPr="00893337">
              <w:rPr>
                <w:sz w:val="20"/>
                <w:szCs w:val="20"/>
                <w:vertAlign w:val="superscript"/>
              </w:rPr>
              <w:t>1</w:t>
            </w:r>
          </w:p>
        </w:tc>
      </w:tr>
      <w:tr w14:paraId="53A7E0CC" w14:textId="77777777" w:rsidTr="00BC3646">
        <w:tblPrEx>
          <w:tblW w:w="9690" w:type="dxa"/>
          <w:tblLayout w:type="fixed"/>
          <w:tblCellMar>
            <w:left w:w="0" w:type="dxa"/>
            <w:right w:w="0" w:type="dxa"/>
          </w:tblCellMar>
          <w:tblLook w:val="01E0"/>
        </w:tblPrEx>
        <w:trPr>
          <w:trHeight w:val="455"/>
        </w:trPr>
        <w:tc>
          <w:tcPr>
            <w:tcW w:w="2469" w:type="dxa"/>
            <w:tcBorders>
              <w:top w:val="single" w:sz="4" w:space="0" w:color="auto"/>
              <w:left w:val="single" w:sz="4" w:space="0" w:color="000000"/>
              <w:bottom w:val="single" w:sz="2" w:space="0" w:color="000000"/>
              <w:right w:val="single" w:sz="2" w:space="0" w:color="000000"/>
            </w:tcBorders>
            <w:hideMark/>
          </w:tcPr>
          <w:p w:rsidR="00893337" w:rsidRPr="00893337" w:rsidP="00893337" w14:paraId="1792EEBA" w14:textId="77777777">
            <w:pPr>
              <w:rPr>
                <w:sz w:val="20"/>
                <w:szCs w:val="20"/>
              </w:rPr>
            </w:pPr>
            <w:r w:rsidRPr="00893337">
              <w:rPr>
                <w:sz w:val="20"/>
                <w:szCs w:val="20"/>
              </w:rPr>
              <w:t>Activity/ 21 CFR Section</w:t>
            </w:r>
          </w:p>
        </w:tc>
        <w:tc>
          <w:tcPr>
            <w:tcW w:w="1582" w:type="dxa"/>
            <w:tcBorders>
              <w:top w:val="single" w:sz="4" w:space="0" w:color="auto"/>
              <w:left w:val="single" w:sz="2" w:space="0" w:color="000000"/>
              <w:bottom w:val="single" w:sz="2" w:space="0" w:color="000000"/>
              <w:right w:val="single" w:sz="2" w:space="0" w:color="000000"/>
            </w:tcBorders>
            <w:hideMark/>
          </w:tcPr>
          <w:p w:rsidR="00893337" w:rsidRPr="00893337" w:rsidP="00893337" w14:paraId="7ADD0D77" w14:textId="77777777">
            <w:pPr>
              <w:rPr>
                <w:sz w:val="20"/>
                <w:szCs w:val="20"/>
              </w:rPr>
            </w:pPr>
            <w:r w:rsidRPr="00893337">
              <w:rPr>
                <w:sz w:val="20"/>
                <w:szCs w:val="20"/>
              </w:rPr>
              <w:t>No. of Respondents</w:t>
            </w:r>
          </w:p>
        </w:tc>
        <w:tc>
          <w:tcPr>
            <w:tcW w:w="1711" w:type="dxa"/>
            <w:tcBorders>
              <w:top w:val="single" w:sz="4" w:space="0" w:color="auto"/>
              <w:left w:val="single" w:sz="2" w:space="0" w:color="000000"/>
              <w:bottom w:val="single" w:sz="2" w:space="0" w:color="000000"/>
              <w:right w:val="single" w:sz="2" w:space="0" w:color="000000"/>
            </w:tcBorders>
            <w:hideMark/>
          </w:tcPr>
          <w:p w:rsidR="00893337" w:rsidRPr="00893337" w:rsidP="00893337" w14:paraId="0D5A7B68" w14:textId="77777777">
            <w:pPr>
              <w:rPr>
                <w:sz w:val="20"/>
                <w:szCs w:val="20"/>
              </w:rPr>
            </w:pPr>
            <w:r w:rsidRPr="00893337">
              <w:rPr>
                <w:sz w:val="20"/>
                <w:szCs w:val="20"/>
              </w:rPr>
              <w:t>No. of Disclosures per Respondent</w:t>
            </w:r>
          </w:p>
        </w:tc>
        <w:tc>
          <w:tcPr>
            <w:tcW w:w="1363" w:type="dxa"/>
            <w:tcBorders>
              <w:top w:val="single" w:sz="4" w:space="0" w:color="auto"/>
              <w:left w:val="single" w:sz="2" w:space="0" w:color="000000"/>
              <w:bottom w:val="single" w:sz="2" w:space="0" w:color="000000"/>
              <w:right w:val="single" w:sz="2" w:space="0" w:color="000000"/>
            </w:tcBorders>
            <w:hideMark/>
          </w:tcPr>
          <w:p w:rsidR="00893337" w:rsidRPr="00893337" w:rsidP="00893337" w14:paraId="633CEAEB" w14:textId="77777777">
            <w:pPr>
              <w:rPr>
                <w:sz w:val="20"/>
                <w:szCs w:val="20"/>
              </w:rPr>
            </w:pPr>
            <w:r w:rsidRPr="00893337">
              <w:rPr>
                <w:sz w:val="20"/>
                <w:szCs w:val="20"/>
              </w:rPr>
              <w:t>Total Annual Disclosures</w:t>
            </w:r>
          </w:p>
        </w:tc>
        <w:tc>
          <w:tcPr>
            <w:tcW w:w="1805" w:type="dxa"/>
            <w:tcBorders>
              <w:top w:val="single" w:sz="4" w:space="0" w:color="auto"/>
              <w:left w:val="single" w:sz="2" w:space="0" w:color="000000"/>
              <w:bottom w:val="single" w:sz="2" w:space="0" w:color="000000"/>
              <w:right w:val="single" w:sz="2" w:space="0" w:color="000000"/>
            </w:tcBorders>
            <w:hideMark/>
          </w:tcPr>
          <w:p w:rsidR="00893337" w:rsidRPr="00893337" w:rsidP="00893337" w14:paraId="330D24AB" w14:textId="77777777">
            <w:pPr>
              <w:rPr>
                <w:sz w:val="20"/>
                <w:szCs w:val="20"/>
              </w:rPr>
            </w:pPr>
            <w:r w:rsidRPr="00893337">
              <w:rPr>
                <w:sz w:val="20"/>
                <w:szCs w:val="20"/>
              </w:rPr>
              <w:t>Average Burden per Disclosure</w:t>
            </w:r>
          </w:p>
        </w:tc>
        <w:tc>
          <w:tcPr>
            <w:tcW w:w="760" w:type="dxa"/>
            <w:tcBorders>
              <w:top w:val="single" w:sz="4" w:space="0" w:color="auto"/>
              <w:left w:val="single" w:sz="2" w:space="0" w:color="000000"/>
              <w:bottom w:val="single" w:sz="2" w:space="0" w:color="000000"/>
              <w:right w:val="single" w:sz="4" w:space="0" w:color="000000"/>
            </w:tcBorders>
            <w:hideMark/>
          </w:tcPr>
          <w:p w:rsidR="00893337" w:rsidRPr="00893337" w:rsidP="00893337" w14:paraId="1A449229" w14:textId="77777777">
            <w:pPr>
              <w:rPr>
                <w:sz w:val="20"/>
                <w:szCs w:val="20"/>
              </w:rPr>
            </w:pPr>
            <w:r w:rsidRPr="00893337">
              <w:rPr>
                <w:sz w:val="20"/>
                <w:szCs w:val="20"/>
              </w:rPr>
              <w:t>Total Hours</w:t>
            </w:r>
          </w:p>
        </w:tc>
      </w:tr>
      <w:tr w14:paraId="2ADFBCC3" w14:textId="77777777" w:rsidTr="00BC3646">
        <w:tblPrEx>
          <w:tblW w:w="9690" w:type="dxa"/>
          <w:tblLayout w:type="fixed"/>
          <w:tblCellMar>
            <w:left w:w="0" w:type="dxa"/>
            <w:right w:w="0" w:type="dxa"/>
          </w:tblCellMar>
          <w:tblLook w:val="01E0"/>
        </w:tblPrEx>
        <w:trPr>
          <w:trHeight w:val="292"/>
        </w:trPr>
        <w:tc>
          <w:tcPr>
            <w:tcW w:w="9690" w:type="dxa"/>
            <w:gridSpan w:val="6"/>
            <w:tcBorders>
              <w:top w:val="single" w:sz="2" w:space="0" w:color="000000"/>
              <w:left w:val="single" w:sz="4" w:space="0" w:color="000000"/>
              <w:bottom w:val="single" w:sz="2" w:space="0" w:color="000000"/>
              <w:right w:val="single" w:sz="4" w:space="0" w:color="000000"/>
            </w:tcBorders>
            <w:vAlign w:val="bottom"/>
            <w:hideMark/>
          </w:tcPr>
          <w:p w:rsidR="00893337" w:rsidRPr="00893337" w:rsidP="00893337" w14:paraId="6A67CAE6" w14:textId="77777777">
            <w:pPr>
              <w:rPr>
                <w:sz w:val="20"/>
                <w:szCs w:val="20"/>
              </w:rPr>
            </w:pPr>
            <w:r w:rsidRPr="00893337">
              <w:rPr>
                <w:sz w:val="20"/>
                <w:szCs w:val="20"/>
              </w:rPr>
              <w:t>Humanitarian Use Devices; 21 CFR Part 814</w:t>
            </w:r>
          </w:p>
        </w:tc>
      </w:tr>
      <w:tr w14:paraId="6CD05EF2" w14:textId="77777777" w:rsidTr="00BC3646">
        <w:tblPrEx>
          <w:tblW w:w="9690" w:type="dxa"/>
          <w:tblLayout w:type="fixed"/>
          <w:tblCellMar>
            <w:left w:w="0" w:type="dxa"/>
            <w:right w:w="0" w:type="dxa"/>
          </w:tblCellMar>
          <w:tblLook w:val="01E0"/>
        </w:tblPrEx>
        <w:trPr>
          <w:trHeight w:val="455"/>
        </w:trPr>
        <w:tc>
          <w:tcPr>
            <w:tcW w:w="2469" w:type="dxa"/>
            <w:tcBorders>
              <w:top w:val="single" w:sz="2" w:space="0" w:color="000000"/>
              <w:left w:val="single" w:sz="4" w:space="0" w:color="000000"/>
              <w:bottom w:val="single" w:sz="2" w:space="0" w:color="000000"/>
              <w:right w:val="single" w:sz="2" w:space="0" w:color="000000"/>
            </w:tcBorders>
            <w:hideMark/>
          </w:tcPr>
          <w:p w:rsidR="00893337" w:rsidRPr="00893337" w:rsidP="00893337" w14:paraId="64594B32" w14:textId="77777777">
            <w:pPr>
              <w:rPr>
                <w:sz w:val="20"/>
                <w:szCs w:val="20"/>
              </w:rPr>
            </w:pPr>
            <w:r w:rsidRPr="00893337">
              <w:rPr>
                <w:sz w:val="20"/>
                <w:szCs w:val="20"/>
              </w:rPr>
              <w:t>Notification of emergency use--814.124(a)</w:t>
            </w:r>
          </w:p>
        </w:tc>
        <w:tc>
          <w:tcPr>
            <w:tcW w:w="1582" w:type="dxa"/>
            <w:tcBorders>
              <w:top w:val="single" w:sz="2" w:space="0" w:color="000000"/>
              <w:left w:val="single" w:sz="2" w:space="0" w:color="000000"/>
              <w:bottom w:val="single" w:sz="2" w:space="0" w:color="000000"/>
              <w:right w:val="single" w:sz="2" w:space="0" w:color="000000"/>
            </w:tcBorders>
            <w:hideMark/>
          </w:tcPr>
          <w:p w:rsidR="00893337" w:rsidRPr="00893337" w:rsidP="00893337" w14:paraId="50A6AC82" w14:textId="77777777">
            <w:pPr>
              <w:rPr>
                <w:sz w:val="20"/>
                <w:szCs w:val="20"/>
              </w:rPr>
            </w:pPr>
            <w:r w:rsidRPr="00893337">
              <w:rPr>
                <w:sz w:val="20"/>
                <w:szCs w:val="20"/>
              </w:rPr>
              <w:t>22</w:t>
            </w:r>
          </w:p>
        </w:tc>
        <w:tc>
          <w:tcPr>
            <w:tcW w:w="1711" w:type="dxa"/>
            <w:tcBorders>
              <w:top w:val="single" w:sz="2" w:space="0" w:color="000000"/>
              <w:left w:val="single" w:sz="2" w:space="0" w:color="000000"/>
              <w:bottom w:val="single" w:sz="2" w:space="0" w:color="000000"/>
              <w:right w:val="single" w:sz="2" w:space="0" w:color="000000"/>
            </w:tcBorders>
            <w:hideMark/>
          </w:tcPr>
          <w:p w:rsidR="00893337" w:rsidRPr="00893337" w:rsidP="00893337" w14:paraId="2534CDEC" w14:textId="77777777">
            <w:pPr>
              <w:rPr>
                <w:sz w:val="20"/>
                <w:szCs w:val="20"/>
              </w:rPr>
            </w:pPr>
            <w:r w:rsidRPr="00893337">
              <w:rPr>
                <w:sz w:val="20"/>
                <w:szCs w:val="20"/>
              </w:rPr>
              <w:t>1</w:t>
            </w:r>
          </w:p>
        </w:tc>
        <w:tc>
          <w:tcPr>
            <w:tcW w:w="1363" w:type="dxa"/>
            <w:tcBorders>
              <w:top w:val="single" w:sz="2" w:space="0" w:color="000000"/>
              <w:left w:val="single" w:sz="2" w:space="0" w:color="000000"/>
              <w:bottom w:val="single" w:sz="2" w:space="0" w:color="000000"/>
              <w:right w:val="single" w:sz="2" w:space="0" w:color="000000"/>
            </w:tcBorders>
            <w:hideMark/>
          </w:tcPr>
          <w:p w:rsidR="00893337" w:rsidRPr="00893337" w:rsidP="00893337" w14:paraId="75CC9047" w14:textId="77777777">
            <w:pPr>
              <w:rPr>
                <w:sz w:val="20"/>
                <w:szCs w:val="20"/>
              </w:rPr>
            </w:pPr>
            <w:r w:rsidRPr="00893337">
              <w:rPr>
                <w:sz w:val="20"/>
                <w:szCs w:val="20"/>
              </w:rPr>
              <w:t>22</w:t>
            </w:r>
          </w:p>
        </w:tc>
        <w:tc>
          <w:tcPr>
            <w:tcW w:w="1805" w:type="dxa"/>
            <w:tcBorders>
              <w:top w:val="single" w:sz="2" w:space="0" w:color="000000"/>
              <w:left w:val="single" w:sz="2" w:space="0" w:color="000000"/>
              <w:bottom w:val="single" w:sz="2" w:space="0" w:color="000000"/>
              <w:right w:val="single" w:sz="2" w:space="0" w:color="000000"/>
            </w:tcBorders>
            <w:hideMark/>
          </w:tcPr>
          <w:p w:rsidR="00893337" w:rsidRPr="00893337" w:rsidP="00893337" w14:paraId="43C7E0D0" w14:textId="77777777">
            <w:pPr>
              <w:rPr>
                <w:sz w:val="20"/>
                <w:szCs w:val="20"/>
              </w:rPr>
            </w:pPr>
            <w:r w:rsidRPr="00893337">
              <w:rPr>
                <w:sz w:val="20"/>
                <w:szCs w:val="20"/>
              </w:rPr>
              <w:t>1</w:t>
            </w:r>
          </w:p>
        </w:tc>
        <w:tc>
          <w:tcPr>
            <w:tcW w:w="760" w:type="dxa"/>
            <w:tcBorders>
              <w:top w:val="single" w:sz="2" w:space="0" w:color="000000"/>
              <w:left w:val="single" w:sz="2" w:space="0" w:color="000000"/>
              <w:bottom w:val="single" w:sz="2" w:space="0" w:color="000000"/>
              <w:right w:val="single" w:sz="4" w:space="0" w:color="000000"/>
            </w:tcBorders>
            <w:hideMark/>
          </w:tcPr>
          <w:p w:rsidR="00893337" w:rsidRPr="00893337" w:rsidP="00893337" w14:paraId="6608707D" w14:textId="77777777">
            <w:pPr>
              <w:rPr>
                <w:sz w:val="20"/>
                <w:szCs w:val="20"/>
              </w:rPr>
            </w:pPr>
            <w:r w:rsidRPr="00893337">
              <w:rPr>
                <w:sz w:val="20"/>
                <w:szCs w:val="20"/>
              </w:rPr>
              <w:t>22</w:t>
            </w:r>
          </w:p>
        </w:tc>
      </w:tr>
      <w:tr w14:paraId="33930CB3" w14:textId="77777777" w:rsidTr="00BC3646">
        <w:tblPrEx>
          <w:tblW w:w="9690" w:type="dxa"/>
          <w:tblLayout w:type="fixed"/>
          <w:tblCellMar>
            <w:left w:w="0" w:type="dxa"/>
            <w:right w:w="0" w:type="dxa"/>
          </w:tblCellMar>
          <w:tblLook w:val="01E0"/>
        </w:tblPrEx>
        <w:trPr>
          <w:trHeight w:val="301"/>
        </w:trPr>
        <w:tc>
          <w:tcPr>
            <w:tcW w:w="9690" w:type="dxa"/>
            <w:gridSpan w:val="6"/>
            <w:tcBorders>
              <w:top w:val="single" w:sz="2" w:space="0" w:color="000000"/>
              <w:left w:val="nil"/>
              <w:bottom w:val="nil"/>
              <w:right w:val="nil"/>
            </w:tcBorders>
            <w:hideMark/>
          </w:tcPr>
          <w:p w:rsidR="00893337" w:rsidRPr="00893337" w:rsidP="00893337" w14:paraId="10D76D91" w14:textId="77777777">
            <w:pPr>
              <w:rPr>
                <w:sz w:val="20"/>
                <w:szCs w:val="20"/>
              </w:rPr>
            </w:pPr>
            <w:r w:rsidRPr="00893337">
              <w:rPr>
                <w:sz w:val="20"/>
                <w:szCs w:val="20"/>
                <w:vertAlign w:val="superscript"/>
              </w:rPr>
              <w:t>1</w:t>
            </w:r>
            <w:r w:rsidRPr="00893337">
              <w:rPr>
                <w:sz w:val="20"/>
                <w:szCs w:val="20"/>
              </w:rPr>
              <w:t xml:space="preserve"> There are no capital costs or operating and maintenance costs associated with this collection of information.</w:t>
            </w:r>
          </w:p>
        </w:tc>
      </w:tr>
    </w:tbl>
    <w:p w:rsidR="00691659" w:rsidRPr="002F579C" w:rsidP="000E3DB3" w14:paraId="22273400" w14:textId="6AC83115">
      <w:pPr>
        <w:widowControl w:val="0"/>
        <w:autoSpaceDE w:val="0"/>
        <w:autoSpaceDN w:val="0"/>
        <w:spacing w:after="17"/>
        <w:ind w:right="-36"/>
        <w:rPr>
          <w:sz w:val="20"/>
          <w:szCs w:val="20"/>
          <w:vertAlign w:val="superscript"/>
        </w:rPr>
      </w:pPr>
      <w:r w:rsidRPr="002F579C">
        <w:rPr>
          <w:sz w:val="20"/>
          <w:szCs w:val="20"/>
        </w:rPr>
        <w:t>.</w:t>
      </w:r>
    </w:p>
    <w:p w:rsidR="00691659" w:rsidP="002339EF" w14:paraId="5502B958" w14:textId="77777777">
      <w:pPr>
        <w:widowControl w:val="0"/>
        <w:autoSpaceDE w:val="0"/>
        <w:autoSpaceDN w:val="0"/>
        <w:spacing w:after="17"/>
        <w:ind w:right="2318"/>
        <w:jc w:val="center"/>
        <w:rPr>
          <w:sz w:val="22"/>
          <w:szCs w:val="22"/>
          <w:vertAlign w:val="superscript"/>
        </w:rPr>
      </w:pPr>
    </w:p>
    <w:p w:rsidR="002339EF" w:rsidRPr="002339EF" w:rsidP="00D612CB" w14:paraId="69DD1CA2" w14:textId="57402D7B">
      <w:pPr>
        <w:widowControl w:val="0"/>
        <w:autoSpaceDE w:val="0"/>
        <w:autoSpaceDN w:val="0"/>
        <w:spacing w:after="17"/>
        <w:ind w:left="360" w:right="54"/>
        <w:rPr>
          <w:sz w:val="22"/>
          <w:szCs w:val="22"/>
        </w:rPr>
      </w:pPr>
      <w:bookmarkStart w:id="5" w:name="_Hlk193875691"/>
      <w:r>
        <w:t xml:space="preserve">The total hour burden for this information collection is estimated to be </w:t>
      </w:r>
      <w:r>
        <w:rPr>
          <w:rFonts w:eastAsia="Calibri"/>
        </w:rPr>
        <w:t>22,</w:t>
      </w:r>
      <w:r w:rsidR="00F142C1">
        <w:rPr>
          <w:rFonts w:eastAsia="Calibri"/>
        </w:rPr>
        <w:t>584</w:t>
      </w:r>
      <w:r>
        <w:rPr>
          <w:rFonts w:eastAsia="Calibri"/>
        </w:rPr>
        <w:t xml:space="preserve"> hours.</w:t>
      </w:r>
      <w:bookmarkEnd w:id="5"/>
    </w:p>
    <w:p w:rsidR="00ED2004" w:rsidRPr="00BE624E" w:rsidP="000E3DB3" w14:paraId="3B79EAA9" w14:textId="0184F7C0">
      <w:pPr>
        <w:pStyle w:val="BodyText2"/>
        <w:keepNext/>
        <w:suppressAutoHyphens/>
        <w:spacing w:before="120"/>
        <w:ind w:left="360"/>
        <w:rPr>
          <w:szCs w:val="24"/>
        </w:rPr>
      </w:pPr>
      <w:r w:rsidRPr="00BE624E">
        <w:rPr>
          <w:szCs w:val="24"/>
          <w:lang w:val="en"/>
        </w:rPr>
        <w:t>To estimate costs to respondents, we assume a wage rate for the labor category “</w:t>
      </w:r>
      <w:r>
        <w:rPr>
          <w:i/>
          <w:iCs/>
          <w:szCs w:val="24"/>
          <w:lang w:val="en"/>
        </w:rPr>
        <w:t>Lawyers</w:t>
      </w:r>
      <w:r w:rsidRPr="00BE624E">
        <w:rPr>
          <w:szCs w:val="24"/>
          <w:lang w:val="en"/>
        </w:rPr>
        <w:t>”</w:t>
      </w:r>
      <w:r>
        <w:rPr>
          <w:szCs w:val="24"/>
          <w:lang w:val="en"/>
        </w:rPr>
        <w:t>*</w:t>
      </w:r>
      <w:r w:rsidRPr="00BE624E">
        <w:rPr>
          <w:szCs w:val="24"/>
          <w:lang w:val="en"/>
        </w:rPr>
        <w:t xml:space="preserve"> and double this figure to </w:t>
      </w:r>
      <w:r w:rsidRPr="00607EE6">
        <w:rPr>
          <w:lang w:val="en"/>
        </w:rPr>
        <w:t xml:space="preserve">account for </w:t>
      </w:r>
      <w:r w:rsidRPr="00BE624E">
        <w:rPr>
          <w:szCs w:val="24"/>
        </w:rPr>
        <w:t>benefits and overhead ($</w:t>
      </w:r>
      <w:r>
        <w:rPr>
          <w:szCs w:val="24"/>
        </w:rPr>
        <w:t>8</w:t>
      </w:r>
      <w:r w:rsidR="0012562A">
        <w:rPr>
          <w:szCs w:val="24"/>
        </w:rPr>
        <w:t>7</w:t>
      </w:r>
      <w:r>
        <w:rPr>
          <w:szCs w:val="24"/>
        </w:rPr>
        <w:t>.8</w:t>
      </w:r>
      <w:r w:rsidR="0012562A">
        <w:rPr>
          <w:szCs w:val="24"/>
        </w:rPr>
        <w:t>6</w:t>
      </w:r>
      <w:r w:rsidRPr="00BE624E">
        <w:rPr>
          <w:szCs w:val="24"/>
        </w:rPr>
        <w:t xml:space="preserve"> x 2</w:t>
      </w:r>
      <w:r>
        <w:rPr>
          <w:szCs w:val="24"/>
        </w:rPr>
        <w:t xml:space="preserve"> </w:t>
      </w:r>
      <w:r w:rsidRPr="00BE624E">
        <w:rPr>
          <w:szCs w:val="24"/>
        </w:rPr>
        <w:t>=</w:t>
      </w:r>
      <w:r>
        <w:rPr>
          <w:szCs w:val="24"/>
        </w:rPr>
        <w:t xml:space="preserve"> </w:t>
      </w:r>
      <w:r w:rsidRPr="00BE624E">
        <w:rPr>
          <w:szCs w:val="24"/>
        </w:rPr>
        <w:t>$</w:t>
      </w:r>
      <w:r>
        <w:rPr>
          <w:szCs w:val="24"/>
        </w:rPr>
        <w:t>17</w:t>
      </w:r>
      <w:r w:rsidR="0012562A">
        <w:rPr>
          <w:szCs w:val="24"/>
        </w:rPr>
        <w:t>6</w:t>
      </w:r>
      <w:r>
        <w:rPr>
          <w:szCs w:val="24"/>
        </w:rPr>
        <w:t>(rounded)</w:t>
      </w:r>
      <w:r w:rsidRPr="00BE624E">
        <w:rPr>
          <w:szCs w:val="24"/>
        </w:rPr>
        <w:t>).  We then multiplied this wage rate by the estimated annual burden hours to calculate a total annualized cost burden of $</w:t>
      </w:r>
      <w:r w:rsidR="00A545FD">
        <w:rPr>
          <w:szCs w:val="24"/>
        </w:rPr>
        <w:t>3,</w:t>
      </w:r>
      <w:r w:rsidR="00117EE5">
        <w:rPr>
          <w:szCs w:val="24"/>
        </w:rPr>
        <w:t>974</w:t>
      </w:r>
      <w:r w:rsidR="00A545FD">
        <w:rPr>
          <w:szCs w:val="24"/>
        </w:rPr>
        <w:t>,</w:t>
      </w:r>
      <w:r w:rsidR="00117EE5">
        <w:rPr>
          <w:szCs w:val="24"/>
        </w:rPr>
        <w:t>784</w:t>
      </w:r>
      <w:r w:rsidRPr="00BE624E">
        <w:rPr>
          <w:szCs w:val="24"/>
        </w:rPr>
        <w:t xml:space="preserve"> ($</w:t>
      </w:r>
      <w:r>
        <w:rPr>
          <w:szCs w:val="24"/>
        </w:rPr>
        <w:t>17</w:t>
      </w:r>
      <w:r w:rsidR="00117EE5">
        <w:rPr>
          <w:szCs w:val="24"/>
        </w:rPr>
        <w:t>6</w:t>
      </w:r>
      <w:r w:rsidRPr="00BE624E">
        <w:rPr>
          <w:szCs w:val="24"/>
        </w:rPr>
        <w:t xml:space="preserve"> x </w:t>
      </w:r>
      <w:r w:rsidR="00C762E7">
        <w:rPr>
          <w:szCs w:val="24"/>
        </w:rPr>
        <w:t>22,</w:t>
      </w:r>
      <w:r w:rsidR="00117EE5">
        <w:rPr>
          <w:szCs w:val="24"/>
        </w:rPr>
        <w:t>584</w:t>
      </w:r>
      <w:r w:rsidRPr="00BE624E">
        <w:rPr>
          <w:szCs w:val="24"/>
        </w:rPr>
        <w:t>).</w:t>
      </w:r>
    </w:p>
    <w:p w:rsidR="002339EF" w:rsidRPr="000E3DB3" w:rsidP="000E3DB3" w14:paraId="4F2C38F9" w14:textId="652136EC">
      <w:pPr>
        <w:widowControl w:val="0"/>
        <w:autoSpaceDE w:val="0"/>
        <w:autoSpaceDN w:val="0"/>
        <w:spacing w:before="206" w:line="237" w:lineRule="auto"/>
        <w:ind w:left="360" w:right="482"/>
        <w:rPr>
          <w:sz w:val="20"/>
          <w:szCs w:val="20"/>
        </w:rPr>
      </w:pPr>
      <w:r w:rsidRPr="00ED2004">
        <w:rPr>
          <w:sz w:val="20"/>
          <w:szCs w:val="20"/>
        </w:rPr>
        <w:t xml:space="preserve">* Bureau of Labor Statistics. National Occupational Employment and Wage Estimates. Occupational Employment Statistics (occupation code </w:t>
      </w:r>
      <w:r>
        <w:rPr>
          <w:sz w:val="20"/>
          <w:szCs w:val="20"/>
        </w:rPr>
        <w:t>23</w:t>
      </w:r>
      <w:r w:rsidRPr="00ED2004">
        <w:rPr>
          <w:sz w:val="20"/>
          <w:szCs w:val="20"/>
        </w:rPr>
        <w:t>-</w:t>
      </w:r>
      <w:r>
        <w:rPr>
          <w:sz w:val="20"/>
          <w:szCs w:val="20"/>
        </w:rPr>
        <w:t>1011</w:t>
      </w:r>
      <w:r w:rsidRPr="00ED2004">
        <w:rPr>
          <w:sz w:val="20"/>
          <w:szCs w:val="20"/>
        </w:rPr>
        <w:t>) May 202</w:t>
      </w:r>
      <w:r w:rsidR="00B05F30">
        <w:rPr>
          <w:sz w:val="20"/>
          <w:szCs w:val="20"/>
        </w:rPr>
        <w:t>4</w:t>
      </w:r>
      <w:r w:rsidRPr="00ED2004">
        <w:rPr>
          <w:sz w:val="20"/>
          <w:szCs w:val="20"/>
        </w:rPr>
        <w:t xml:space="preserve">. </w:t>
      </w:r>
      <w:r w:rsidRPr="000E3DB3">
        <w:rPr>
          <w:sz w:val="20"/>
          <w:szCs w:val="20"/>
        </w:rPr>
        <w:t>https://www.bls.gov/oes/current/oes_nat.htm</w:t>
      </w:r>
      <w:r w:rsidRPr="00ED2004">
        <w:rPr>
          <w:sz w:val="20"/>
          <w:szCs w:val="20"/>
        </w:rPr>
        <w:t>.</w:t>
      </w:r>
    </w:p>
    <w:p w:rsidR="002339EF" w:rsidRPr="002339EF" w:rsidP="000E3DB3" w14:paraId="6E9291A7" w14:textId="77777777">
      <w:pPr>
        <w:keepNext/>
        <w:widowControl w:val="0"/>
        <w:autoSpaceDE w:val="0"/>
        <w:autoSpaceDN w:val="0"/>
        <w:spacing w:before="4"/>
        <w:rPr>
          <w:sz w:val="27"/>
        </w:rPr>
      </w:pPr>
    </w:p>
    <w:tbl>
      <w:tblPr>
        <w:tblW w:w="0" w:type="auto"/>
        <w:tblInd w:w="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2"/>
        <w:gridCol w:w="1888"/>
        <w:gridCol w:w="1952"/>
        <w:gridCol w:w="2192"/>
      </w:tblGrid>
      <w:tr w14:paraId="2B864964" w14:textId="77777777">
        <w:tblPrEx>
          <w:tblW w:w="0" w:type="auto"/>
          <w:tblInd w:w="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0"/>
        </w:trPr>
        <w:tc>
          <w:tcPr>
            <w:tcW w:w="3152" w:type="dxa"/>
          </w:tcPr>
          <w:p w:rsidR="002339EF" w:rsidRPr="002339EF" w:rsidP="000E3DB3" w14:paraId="07EAB4C6" w14:textId="77777777">
            <w:pPr>
              <w:keepNext/>
              <w:widowControl w:val="0"/>
              <w:autoSpaceDE w:val="0"/>
              <w:autoSpaceDN w:val="0"/>
              <w:spacing w:line="274" w:lineRule="exact"/>
              <w:ind w:left="118"/>
              <w:rPr>
                <w:szCs w:val="22"/>
              </w:rPr>
            </w:pPr>
            <w:r w:rsidRPr="002339EF">
              <w:rPr>
                <w:szCs w:val="22"/>
              </w:rPr>
              <w:t>Type</w:t>
            </w:r>
            <w:r w:rsidRPr="002339EF">
              <w:rPr>
                <w:spacing w:val="9"/>
                <w:szCs w:val="22"/>
              </w:rPr>
              <w:t xml:space="preserve"> </w:t>
            </w:r>
            <w:r w:rsidRPr="002339EF">
              <w:rPr>
                <w:szCs w:val="22"/>
              </w:rPr>
              <w:t>of</w:t>
            </w:r>
            <w:r w:rsidRPr="002339EF">
              <w:rPr>
                <w:spacing w:val="-7"/>
                <w:szCs w:val="22"/>
              </w:rPr>
              <w:t xml:space="preserve"> </w:t>
            </w:r>
            <w:r w:rsidRPr="002339EF">
              <w:rPr>
                <w:spacing w:val="-2"/>
                <w:szCs w:val="22"/>
              </w:rPr>
              <w:t>Respondent</w:t>
            </w:r>
          </w:p>
        </w:tc>
        <w:tc>
          <w:tcPr>
            <w:tcW w:w="1888" w:type="dxa"/>
          </w:tcPr>
          <w:p w:rsidR="002339EF" w:rsidRPr="002339EF" w:rsidP="000E3DB3" w14:paraId="5225C235" w14:textId="77777777">
            <w:pPr>
              <w:keepNext/>
              <w:widowControl w:val="0"/>
              <w:autoSpaceDE w:val="0"/>
              <w:autoSpaceDN w:val="0"/>
              <w:spacing w:before="8" w:line="256" w:lineRule="exact"/>
              <w:ind w:left="118"/>
              <w:rPr>
                <w:szCs w:val="22"/>
              </w:rPr>
            </w:pPr>
            <w:r w:rsidRPr="002339EF">
              <w:rPr>
                <w:spacing w:val="-2"/>
                <w:szCs w:val="22"/>
              </w:rPr>
              <w:t>Total</w:t>
            </w:r>
            <w:r w:rsidRPr="002339EF">
              <w:rPr>
                <w:spacing w:val="-15"/>
                <w:szCs w:val="22"/>
              </w:rPr>
              <w:t xml:space="preserve"> </w:t>
            </w:r>
            <w:r w:rsidRPr="002339EF">
              <w:rPr>
                <w:spacing w:val="-2"/>
                <w:szCs w:val="22"/>
              </w:rPr>
              <w:t>Burden Hours</w:t>
            </w:r>
          </w:p>
        </w:tc>
        <w:tc>
          <w:tcPr>
            <w:tcW w:w="1952" w:type="dxa"/>
          </w:tcPr>
          <w:p w:rsidR="002339EF" w:rsidRPr="002339EF" w:rsidP="000E3DB3" w14:paraId="0D984087" w14:textId="77777777">
            <w:pPr>
              <w:keepNext/>
              <w:widowControl w:val="0"/>
              <w:autoSpaceDE w:val="0"/>
              <w:autoSpaceDN w:val="0"/>
              <w:spacing w:before="8" w:line="256" w:lineRule="exact"/>
              <w:ind w:left="118" w:right="154"/>
              <w:rPr>
                <w:szCs w:val="22"/>
              </w:rPr>
            </w:pPr>
            <w:r w:rsidRPr="002339EF">
              <w:rPr>
                <w:spacing w:val="-4"/>
                <w:szCs w:val="22"/>
              </w:rPr>
              <w:t>Hourly Wage Rate</w:t>
            </w:r>
          </w:p>
        </w:tc>
        <w:tc>
          <w:tcPr>
            <w:tcW w:w="2192" w:type="dxa"/>
          </w:tcPr>
          <w:p w:rsidR="002339EF" w:rsidRPr="002339EF" w:rsidP="000E3DB3" w14:paraId="24F02348" w14:textId="77777777">
            <w:pPr>
              <w:keepNext/>
              <w:widowControl w:val="0"/>
              <w:autoSpaceDE w:val="0"/>
              <w:autoSpaceDN w:val="0"/>
              <w:spacing w:before="8" w:line="256" w:lineRule="exact"/>
              <w:ind w:left="118"/>
              <w:rPr>
                <w:szCs w:val="22"/>
              </w:rPr>
            </w:pPr>
            <w:r w:rsidRPr="002339EF">
              <w:rPr>
                <w:spacing w:val="-4"/>
                <w:szCs w:val="22"/>
              </w:rPr>
              <w:t>Total</w:t>
            </w:r>
            <w:r w:rsidRPr="002339EF">
              <w:rPr>
                <w:spacing w:val="-11"/>
                <w:szCs w:val="22"/>
              </w:rPr>
              <w:t xml:space="preserve"> </w:t>
            </w:r>
            <w:r w:rsidRPr="002339EF">
              <w:rPr>
                <w:spacing w:val="-4"/>
                <w:szCs w:val="22"/>
              </w:rPr>
              <w:t xml:space="preserve">Respondent </w:t>
            </w:r>
            <w:r w:rsidRPr="002339EF">
              <w:rPr>
                <w:spacing w:val="-2"/>
                <w:szCs w:val="22"/>
              </w:rPr>
              <w:t>Costs</w:t>
            </w:r>
          </w:p>
        </w:tc>
      </w:tr>
      <w:tr w14:paraId="76040C10" w14:textId="77777777">
        <w:tblPrEx>
          <w:tblW w:w="0" w:type="auto"/>
          <w:tblInd w:w="424" w:type="dxa"/>
          <w:tblLayout w:type="fixed"/>
          <w:tblCellMar>
            <w:left w:w="0" w:type="dxa"/>
            <w:right w:w="0" w:type="dxa"/>
          </w:tblCellMar>
          <w:tblLook w:val="01E0"/>
        </w:tblPrEx>
        <w:trPr>
          <w:trHeight w:val="267"/>
        </w:trPr>
        <w:tc>
          <w:tcPr>
            <w:tcW w:w="3152" w:type="dxa"/>
          </w:tcPr>
          <w:p w:rsidR="002339EF" w:rsidRPr="002339EF" w:rsidP="000E3DB3" w14:paraId="59BA38B3" w14:textId="77777777">
            <w:pPr>
              <w:keepNext/>
              <w:widowControl w:val="0"/>
              <w:autoSpaceDE w:val="0"/>
              <w:autoSpaceDN w:val="0"/>
              <w:spacing w:line="248" w:lineRule="exact"/>
              <w:ind w:left="118"/>
              <w:rPr>
                <w:szCs w:val="22"/>
              </w:rPr>
            </w:pPr>
            <w:r w:rsidRPr="002339EF">
              <w:rPr>
                <w:spacing w:val="-2"/>
                <w:szCs w:val="22"/>
              </w:rPr>
              <w:t>Lawyer</w:t>
            </w:r>
          </w:p>
        </w:tc>
        <w:tc>
          <w:tcPr>
            <w:tcW w:w="1888" w:type="dxa"/>
          </w:tcPr>
          <w:p w:rsidR="002339EF" w:rsidRPr="002339EF" w:rsidP="000E3DB3" w14:paraId="581E0DC8" w14:textId="4644E216">
            <w:pPr>
              <w:keepNext/>
              <w:widowControl w:val="0"/>
              <w:autoSpaceDE w:val="0"/>
              <w:autoSpaceDN w:val="0"/>
              <w:spacing w:line="248" w:lineRule="exact"/>
              <w:ind w:left="118"/>
              <w:rPr>
                <w:szCs w:val="22"/>
              </w:rPr>
            </w:pPr>
            <w:r w:rsidRPr="002339EF">
              <w:rPr>
                <w:spacing w:val="-2"/>
                <w:szCs w:val="22"/>
              </w:rPr>
              <w:t>22,</w:t>
            </w:r>
            <w:r w:rsidR="00117EE5">
              <w:rPr>
                <w:spacing w:val="-2"/>
                <w:szCs w:val="22"/>
              </w:rPr>
              <w:t>584</w:t>
            </w:r>
          </w:p>
        </w:tc>
        <w:tc>
          <w:tcPr>
            <w:tcW w:w="1952" w:type="dxa"/>
          </w:tcPr>
          <w:p w:rsidR="002339EF" w:rsidRPr="002339EF" w:rsidP="000E3DB3" w14:paraId="14039AEF" w14:textId="5BA24FF0">
            <w:pPr>
              <w:keepNext/>
              <w:widowControl w:val="0"/>
              <w:autoSpaceDE w:val="0"/>
              <w:autoSpaceDN w:val="0"/>
              <w:spacing w:line="248" w:lineRule="exact"/>
              <w:ind w:left="118"/>
              <w:rPr>
                <w:szCs w:val="22"/>
              </w:rPr>
            </w:pPr>
            <w:r w:rsidRPr="002339EF">
              <w:rPr>
                <w:spacing w:val="-4"/>
                <w:szCs w:val="22"/>
              </w:rPr>
              <w:t>$1</w:t>
            </w:r>
            <w:r w:rsidR="00117EE5">
              <w:rPr>
                <w:spacing w:val="-4"/>
                <w:szCs w:val="22"/>
              </w:rPr>
              <w:t>76</w:t>
            </w:r>
          </w:p>
        </w:tc>
        <w:tc>
          <w:tcPr>
            <w:tcW w:w="2192" w:type="dxa"/>
          </w:tcPr>
          <w:p w:rsidR="002339EF" w:rsidRPr="002339EF" w:rsidP="000E3DB3" w14:paraId="695B7E2A" w14:textId="3FDD3E5B">
            <w:pPr>
              <w:keepNext/>
              <w:widowControl w:val="0"/>
              <w:autoSpaceDE w:val="0"/>
              <w:autoSpaceDN w:val="0"/>
              <w:spacing w:line="248" w:lineRule="exact"/>
              <w:ind w:left="118"/>
              <w:rPr>
                <w:szCs w:val="22"/>
              </w:rPr>
            </w:pPr>
            <w:r w:rsidRPr="002339EF">
              <w:rPr>
                <w:spacing w:val="-2"/>
                <w:szCs w:val="22"/>
              </w:rPr>
              <w:t>$</w:t>
            </w:r>
            <w:r w:rsidR="00C762E7">
              <w:rPr>
                <w:spacing w:val="-2"/>
                <w:szCs w:val="22"/>
              </w:rPr>
              <w:t>3,</w:t>
            </w:r>
            <w:r w:rsidR="00117EE5">
              <w:rPr>
                <w:spacing w:val="-2"/>
                <w:szCs w:val="22"/>
              </w:rPr>
              <w:t>974</w:t>
            </w:r>
            <w:r w:rsidR="00716E38">
              <w:rPr>
                <w:spacing w:val="-2"/>
                <w:szCs w:val="22"/>
              </w:rPr>
              <w:t>,</w:t>
            </w:r>
            <w:r w:rsidR="00117EE5">
              <w:rPr>
                <w:spacing w:val="-2"/>
                <w:szCs w:val="22"/>
              </w:rPr>
              <w:t>784</w:t>
            </w:r>
          </w:p>
        </w:tc>
      </w:tr>
    </w:tbl>
    <w:p w:rsidR="00357C8A" w:rsidRPr="00357C8A" w:rsidP="00357C8A" w14:paraId="144FB6DA" w14:textId="77777777">
      <w:pPr>
        <w:rPr>
          <w:rFonts w:eastAsia="Calibri"/>
        </w:rPr>
      </w:pPr>
    </w:p>
    <w:p w:rsidR="00357C8A" w:rsidRPr="00357C8A" w:rsidP="006705EA" w14:paraId="5126988B"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339EF" w:rsidP="002339EF" w14:paraId="50B6F40C" w14:textId="77777777">
      <w:pPr>
        <w:pStyle w:val="BodyText"/>
        <w:spacing w:line="237" w:lineRule="auto"/>
        <w:ind w:right="407"/>
      </w:pPr>
      <w:r>
        <w:t>There</w:t>
      </w:r>
      <w:r>
        <w:rPr>
          <w:spacing w:val="-15"/>
        </w:rPr>
        <w:t xml:space="preserve"> </w:t>
      </w:r>
      <w:r>
        <w:t>are</w:t>
      </w:r>
      <w:r>
        <w:rPr>
          <w:spacing w:val="-15"/>
        </w:rPr>
        <w:t xml:space="preserve"> </w:t>
      </w:r>
      <w:r>
        <w:t>no</w:t>
      </w:r>
      <w:r>
        <w:rPr>
          <w:spacing w:val="-14"/>
        </w:rPr>
        <w:t xml:space="preserve"> </w:t>
      </w:r>
      <w:r>
        <w:t>capital,</w:t>
      </w:r>
      <w:r>
        <w:rPr>
          <w:spacing w:val="-1"/>
        </w:rPr>
        <w:t xml:space="preserve"> </w:t>
      </w:r>
      <w:r>
        <w:t>start-up,</w:t>
      </w:r>
      <w:r>
        <w:rPr>
          <w:spacing w:val="-11"/>
        </w:rPr>
        <w:t xml:space="preserve"> </w:t>
      </w:r>
      <w:r>
        <w:t>operating,</w:t>
      </w:r>
      <w:r>
        <w:rPr>
          <w:spacing w:val="16"/>
        </w:rPr>
        <w:t xml:space="preserve"> </w:t>
      </w:r>
      <w:r>
        <w:t>or</w:t>
      </w:r>
      <w:r>
        <w:rPr>
          <w:spacing w:val="-14"/>
        </w:rPr>
        <w:t xml:space="preserve"> </w:t>
      </w:r>
      <w:r>
        <w:t>maintenance</w:t>
      </w:r>
      <w:r>
        <w:rPr>
          <w:spacing w:val="14"/>
        </w:rPr>
        <w:t xml:space="preserve"> </w:t>
      </w:r>
      <w:r>
        <w:t>costs</w:t>
      </w:r>
      <w:r>
        <w:rPr>
          <w:spacing w:val="-15"/>
        </w:rPr>
        <w:t xml:space="preserve"> </w:t>
      </w:r>
      <w:r>
        <w:t>associated</w:t>
      </w:r>
      <w:r>
        <w:rPr>
          <w:spacing w:val="-8"/>
        </w:rPr>
        <w:t xml:space="preserve"> </w:t>
      </w:r>
      <w:r>
        <w:t>with</w:t>
      </w:r>
      <w:r>
        <w:rPr>
          <w:spacing w:val="-8"/>
        </w:rPr>
        <w:t xml:space="preserve"> </w:t>
      </w:r>
      <w:r>
        <w:t>this information</w:t>
      </w:r>
      <w:r>
        <w:rPr>
          <w:spacing w:val="40"/>
        </w:rPr>
        <w:t xml:space="preserve"> </w:t>
      </w:r>
      <w:r>
        <w:t>collection.</w:t>
      </w:r>
    </w:p>
    <w:p w:rsidR="00D612CB" w:rsidP="002339EF" w14:paraId="69C2ECA3" w14:textId="77777777">
      <w:pPr>
        <w:pStyle w:val="BodyText"/>
        <w:spacing w:line="237" w:lineRule="auto"/>
        <w:ind w:right="407"/>
      </w:pPr>
    </w:p>
    <w:p w:rsidR="00D612CB" w:rsidP="002339EF" w14:paraId="085C4B63" w14:textId="77777777">
      <w:pPr>
        <w:pStyle w:val="BodyText"/>
        <w:spacing w:line="237" w:lineRule="auto"/>
        <w:ind w:right="407"/>
      </w:pPr>
    </w:p>
    <w:p w:rsidR="00357C8A" w:rsidRPr="00357C8A" w:rsidP="006705EA" w14:paraId="15BD4B40"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B076B7" w:rsidRPr="00B076B7" w:rsidP="002339EF" w14:paraId="0A224064" w14:textId="57C4D806">
      <w:pPr>
        <w:pStyle w:val="BodyText"/>
        <w:spacing w:line="278" w:lineRule="auto"/>
        <w:rPr>
          <w:sz w:val="20"/>
          <w:szCs w:val="20"/>
        </w:rPr>
      </w:pPr>
      <w:r w:rsidRPr="00677BAB">
        <w:t xml:space="preserve">The activities and ongoing support for </w:t>
      </w:r>
      <w:r>
        <w:t xml:space="preserve">this information collection, including reviewing and processing Medical Device Reports, </w:t>
      </w:r>
      <w:r w:rsidRPr="00677BAB">
        <w:t xml:space="preserve">involve approximately </w:t>
      </w:r>
      <w:r>
        <w:t>27</w:t>
      </w:r>
      <w:r w:rsidRPr="00677BAB">
        <w:t xml:space="preserve"> full time equivalent employees (FTEs). </w:t>
      </w:r>
      <w:r w:rsidRPr="005821BC">
        <w:t>Based on an internal cost model, we assume a fully-loaded cost of $</w:t>
      </w:r>
      <w:r>
        <w:t>362,271.</w:t>
      </w:r>
      <w:r w:rsidR="001F4371">
        <w:t>92</w:t>
      </w:r>
      <w:r w:rsidRPr="005821BC">
        <w:t xml:space="preserve"> per position.</w:t>
      </w:r>
      <w:r w:rsidRPr="00677BAB">
        <w:t xml:space="preserve">  </w:t>
      </w:r>
      <w:r>
        <w:t>We t</w:t>
      </w:r>
      <w:r w:rsidRPr="00677BAB">
        <w:t>herefore</w:t>
      </w:r>
      <w:r>
        <w:t xml:space="preserve"> calculate an </w:t>
      </w:r>
      <w:r w:rsidRPr="00677BAB">
        <w:t>annualized cost</w:t>
      </w:r>
      <w:r>
        <w:t xml:space="preserve"> to FDA</w:t>
      </w:r>
      <w:r w:rsidRPr="00677BAB">
        <w:t xml:space="preserve"> </w:t>
      </w:r>
      <w:r>
        <w:t>of</w:t>
      </w:r>
      <w:r w:rsidRPr="00677BAB">
        <w:t xml:space="preserve"> $</w:t>
      </w:r>
      <w:r w:rsidR="001F4371">
        <w:t>9,781,342 (rounded)</w:t>
      </w:r>
      <w:r w:rsidRPr="00677BAB">
        <w:t>.</w:t>
      </w:r>
    </w:p>
    <w:p w:rsidR="002339EF" w:rsidP="00B076B7" w14:paraId="5F0CE96F" w14:textId="77777777">
      <w:pPr>
        <w:numPr>
          <w:ilvl w:val="0"/>
          <w:numId w:val="6"/>
        </w:numPr>
        <w:spacing w:after="240"/>
        <w:rPr>
          <w:rFonts w:eastAsia="Calibri"/>
          <w:u w:val="single"/>
        </w:rPr>
      </w:pPr>
      <w:r w:rsidRPr="00357C8A">
        <w:rPr>
          <w:rFonts w:eastAsia="Calibri"/>
          <w:u w:val="single"/>
        </w:rPr>
        <w:t>Explanation for Program Changes or Adjustments</w:t>
      </w:r>
    </w:p>
    <w:p w:rsidR="00D612CB" w:rsidP="002942F9" w14:paraId="5A1AAA19" w14:textId="29D35799">
      <w:pPr>
        <w:spacing w:after="240"/>
      </w:pPr>
      <w:r w:rsidRPr="00007270">
        <w:t xml:space="preserve">Our estimated burden for the information collection reflects an overall decrease of 321 hours and a corresponding decrease of 63 responses. The total hour burden for this information collection is estimated to be 22,584 hours. </w:t>
      </w:r>
    </w:p>
    <w:p w:rsidR="00357C8A" w:rsidRPr="00D612CB" w:rsidP="00D612CB" w14:paraId="127C9651" w14:textId="53888A92">
      <w:pPr>
        <w:pStyle w:val="ListParagraph"/>
        <w:numPr>
          <w:ilvl w:val="0"/>
          <w:numId w:val="6"/>
        </w:numPr>
        <w:spacing w:after="240"/>
        <w:rPr>
          <w:rFonts w:eastAsia="Calibri"/>
          <w:u w:val="single"/>
        </w:rPr>
      </w:pPr>
      <w:r w:rsidRPr="00D612CB">
        <w:rPr>
          <w:rFonts w:eastAsia="Calibri"/>
          <w:u w:val="single"/>
        </w:rPr>
        <w:t>Plans for Tabulation and Publication and Project Time Schedule</w:t>
      </w:r>
    </w:p>
    <w:p w:rsidR="00B076B7" w:rsidRPr="00B076B7" w:rsidP="00B076B7" w14:paraId="509F5AAC" w14:textId="77777777">
      <w:pPr>
        <w:pStyle w:val="BodyText"/>
        <w:spacing w:before="204" w:after="240"/>
        <w:rPr>
          <w:spacing w:val="-2"/>
        </w:rPr>
      </w:pPr>
      <w:r>
        <w:t>FDA</w:t>
      </w:r>
      <w:r>
        <w:rPr>
          <w:spacing w:val="-14"/>
        </w:rPr>
        <w:t xml:space="preserve"> </w:t>
      </w:r>
      <w:r>
        <w:t>does</w:t>
      </w:r>
      <w:r>
        <w:rPr>
          <w:spacing w:val="-15"/>
        </w:rPr>
        <w:t xml:space="preserve"> </w:t>
      </w:r>
      <w:r>
        <w:t>not</w:t>
      </w:r>
      <w:r>
        <w:rPr>
          <w:spacing w:val="-6"/>
        </w:rPr>
        <w:t xml:space="preserve"> </w:t>
      </w:r>
      <w:r>
        <w:t>intend</w:t>
      </w:r>
      <w:r>
        <w:rPr>
          <w:spacing w:val="1"/>
        </w:rPr>
        <w:t xml:space="preserve"> </w:t>
      </w:r>
      <w:r>
        <w:t>to</w:t>
      </w:r>
      <w:r>
        <w:rPr>
          <w:spacing w:val="-9"/>
        </w:rPr>
        <w:t xml:space="preserve"> </w:t>
      </w:r>
      <w:r>
        <w:t>publish</w:t>
      </w:r>
      <w:r>
        <w:rPr>
          <w:spacing w:val="23"/>
        </w:rPr>
        <w:t xml:space="preserve"> </w:t>
      </w:r>
      <w:r>
        <w:t>the</w:t>
      </w:r>
      <w:r>
        <w:rPr>
          <w:spacing w:val="-12"/>
        </w:rPr>
        <w:t xml:space="preserve"> </w:t>
      </w:r>
      <w:r>
        <w:t>results</w:t>
      </w:r>
      <w:r>
        <w:rPr>
          <w:spacing w:val="-14"/>
        </w:rPr>
        <w:t xml:space="preserve"> </w:t>
      </w:r>
      <w:r>
        <w:t>of</w:t>
      </w:r>
      <w:r>
        <w:rPr>
          <w:spacing w:val="-4"/>
        </w:rPr>
        <w:t xml:space="preserve"> </w:t>
      </w:r>
      <w:r>
        <w:t>this</w:t>
      </w:r>
      <w:r>
        <w:rPr>
          <w:spacing w:val="-3"/>
        </w:rPr>
        <w:t xml:space="preserve"> </w:t>
      </w:r>
      <w:r>
        <w:t>information</w:t>
      </w:r>
      <w:r>
        <w:rPr>
          <w:spacing w:val="35"/>
        </w:rPr>
        <w:t xml:space="preserve"> </w:t>
      </w:r>
      <w:r>
        <w:rPr>
          <w:spacing w:val="-2"/>
        </w:rPr>
        <w:t>collection.</w:t>
      </w:r>
    </w:p>
    <w:p w:rsidR="002339EF" w:rsidP="00B076B7" w14:paraId="0C6649A3" w14:textId="77777777">
      <w:pPr>
        <w:numPr>
          <w:ilvl w:val="0"/>
          <w:numId w:val="6"/>
        </w:numPr>
        <w:spacing w:after="240"/>
        <w:rPr>
          <w:rFonts w:eastAsia="Calibri"/>
          <w:u w:val="single"/>
        </w:rPr>
      </w:pPr>
      <w:r w:rsidRPr="00357C8A">
        <w:rPr>
          <w:rFonts w:eastAsia="Calibri"/>
          <w:u w:val="single"/>
        </w:rPr>
        <w:t>Reason(s) Display of OMB Expiration Date is Inappropriate</w:t>
      </w:r>
    </w:p>
    <w:p w:rsidR="005E07B3" w:rsidP="00B076B7" w14:paraId="4B239AD3" w14:textId="77777777">
      <w:pPr>
        <w:spacing w:after="240"/>
        <w:rPr>
          <w:rFonts w:eastAsia="Calibri"/>
        </w:rPr>
      </w:pPr>
      <w:r>
        <w:rPr>
          <w:rFonts w:eastAsia="Calibri"/>
        </w:rPr>
        <w:t xml:space="preserve">FDA will display the OMB expiration date as required.  </w:t>
      </w:r>
    </w:p>
    <w:p w:rsidR="00B076B7" w:rsidRPr="00B076B7" w:rsidP="00B076B7" w14:paraId="2FF77BBA" w14:textId="77777777">
      <w:pPr>
        <w:spacing w:after="240"/>
        <w:rPr>
          <w:rFonts w:eastAsia="Calibri"/>
        </w:rPr>
      </w:pPr>
      <w:r w:rsidRPr="002339EF">
        <w:rPr>
          <w:rFonts w:eastAsia="Calibri"/>
        </w:rPr>
        <w:t xml:space="preserve">Consistent with established practice FDA will publish a </w:t>
      </w:r>
      <w:r w:rsidRPr="002339EF">
        <w:rPr>
          <w:rFonts w:eastAsia="Calibri"/>
          <w:i/>
          <w:iCs/>
        </w:rPr>
        <w:t>Federal Register</w:t>
      </w:r>
      <w:r w:rsidRPr="002339EF">
        <w:rPr>
          <w:rFonts w:eastAsia="Calibri"/>
        </w:rPr>
        <w:t xml:space="preserve"> notice announcing OMB approval of the information collection associated with </w:t>
      </w:r>
      <w:r w:rsidR="0090584C">
        <w:rPr>
          <w:rFonts w:eastAsia="Calibri"/>
        </w:rPr>
        <w:t>the</w:t>
      </w:r>
      <w:r w:rsidRPr="002339EF" w:rsidR="0090584C">
        <w:rPr>
          <w:rFonts w:eastAsia="Calibri"/>
        </w:rPr>
        <w:t xml:space="preserve"> </w:t>
      </w:r>
      <w:r w:rsidRPr="002339EF">
        <w:rPr>
          <w:rFonts w:eastAsia="Calibri"/>
        </w:rPr>
        <w:t>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357C8A" w:rsidRPr="00357C8A" w:rsidP="00B076B7" w14:paraId="445257B3" w14:textId="77777777">
      <w:pPr>
        <w:numPr>
          <w:ilvl w:val="0"/>
          <w:numId w:val="6"/>
        </w:numPr>
        <w:spacing w:after="240"/>
        <w:rPr>
          <w:rFonts w:eastAsia="Calibri"/>
          <w:u w:val="single"/>
        </w:rPr>
      </w:pPr>
      <w:r w:rsidRPr="00357C8A">
        <w:rPr>
          <w:rFonts w:eastAsia="Calibri"/>
          <w:u w:val="single"/>
        </w:rPr>
        <w:t>Exceptions to Certification for Paperwork Reduction Act Submissions</w:t>
      </w:r>
    </w:p>
    <w:p w:rsidR="002339EF" w:rsidP="00B076B7" w14:paraId="25FB52A8" w14:textId="77777777">
      <w:pPr>
        <w:pStyle w:val="BodyText"/>
        <w:spacing w:before="90" w:after="240"/>
      </w:pPr>
      <w:r>
        <w:t>There</w:t>
      </w:r>
      <w:r>
        <w:rPr>
          <w:spacing w:val="-2"/>
        </w:rPr>
        <w:t xml:space="preserve"> </w:t>
      </w:r>
      <w:r>
        <w:t>are</w:t>
      </w:r>
      <w:r>
        <w:rPr>
          <w:spacing w:val="-15"/>
        </w:rPr>
        <w:t xml:space="preserve"> </w:t>
      </w:r>
      <w:r>
        <w:t>no exceptions</w:t>
      </w:r>
      <w:r>
        <w:rPr>
          <w:spacing w:val="10"/>
        </w:rPr>
        <w:t xml:space="preserve"> </w:t>
      </w:r>
      <w:r>
        <w:t>to the</w:t>
      </w:r>
      <w:r>
        <w:rPr>
          <w:spacing w:val="-1"/>
        </w:rPr>
        <w:t xml:space="preserve"> </w:t>
      </w:r>
      <w:r>
        <w:rPr>
          <w:spacing w:val="-2"/>
        </w:rPr>
        <w:t>certification.</w:t>
      </w:r>
    </w:p>
    <w:p w:rsidR="00544138" w:rsidRPr="00C20690" w:rsidP="002339EF" w14:paraId="359ECEB3" w14:textId="77777777">
      <w:pPr>
        <w:spacing w:after="200"/>
        <w:rPr>
          <w:rFonts w:eastAsia="Calibri"/>
        </w:rPr>
      </w:pPr>
    </w:p>
    <w:sectPr w:rsidSect="005C71CA">
      <w:headerReference w:type="default" r:id="rId12"/>
      <w:footerReference w:type="even" r:id="rId13"/>
      <w:footerReference w:type="default" r:id="rId14"/>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D08968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3D82831E" w14:textId="77777777">
    <w:pPr>
      <w:pStyle w:val="Footer"/>
    </w:pPr>
  </w:p>
  <w:p w:rsidR="00E63DE5" w14:paraId="52ECEED6" w14:textId="77777777"/>
  <w:p w:rsidR="00E63DE5" w14:paraId="669378E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D4CCF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6CEFA92" w14:textId="77777777">
    <w:pPr>
      <w:pStyle w:val="Footer"/>
    </w:pPr>
  </w:p>
  <w:p w:rsidR="00E63DE5" w14:paraId="2D6F901A" w14:textId="77777777"/>
  <w:p w:rsidR="00E63DE5" w14:paraId="2BF7FFD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12C" w:rsidP="00FD512C" w14:paraId="3645F05A" w14:textId="328E20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AC65342"/>
    <w:multiLevelType w:val="hybridMultilevel"/>
    <w:tmpl w:val="A020910C"/>
    <w:lvl w:ilvl="0">
      <w:start w:val="1"/>
      <w:numFmt w:val="bullet"/>
      <w:lvlText w:val=""/>
      <w:lvlJc w:val="left"/>
      <w:pPr>
        <w:ind w:left="1363" w:hanging="360"/>
      </w:pPr>
      <w:rPr>
        <w:rFonts w:ascii="Symbol" w:hAnsi="Symbol" w:hint="default"/>
      </w:rPr>
    </w:lvl>
    <w:lvl w:ilvl="1" w:tentative="1">
      <w:start w:val="1"/>
      <w:numFmt w:val="bullet"/>
      <w:lvlText w:val="o"/>
      <w:lvlJc w:val="left"/>
      <w:pPr>
        <w:ind w:left="2083" w:hanging="360"/>
      </w:pPr>
      <w:rPr>
        <w:rFonts w:ascii="Courier New" w:hAnsi="Courier New" w:cs="Courier New" w:hint="default"/>
      </w:rPr>
    </w:lvl>
    <w:lvl w:ilvl="2" w:tentative="1">
      <w:start w:val="1"/>
      <w:numFmt w:val="bullet"/>
      <w:lvlText w:val=""/>
      <w:lvlJc w:val="left"/>
      <w:pPr>
        <w:ind w:left="2803" w:hanging="360"/>
      </w:pPr>
      <w:rPr>
        <w:rFonts w:ascii="Wingdings" w:hAnsi="Wingdings" w:hint="default"/>
      </w:rPr>
    </w:lvl>
    <w:lvl w:ilvl="3" w:tentative="1">
      <w:start w:val="1"/>
      <w:numFmt w:val="bullet"/>
      <w:lvlText w:val=""/>
      <w:lvlJc w:val="left"/>
      <w:pPr>
        <w:ind w:left="3523" w:hanging="360"/>
      </w:pPr>
      <w:rPr>
        <w:rFonts w:ascii="Symbol" w:hAnsi="Symbol" w:hint="default"/>
      </w:rPr>
    </w:lvl>
    <w:lvl w:ilvl="4" w:tentative="1">
      <w:start w:val="1"/>
      <w:numFmt w:val="bullet"/>
      <w:lvlText w:val="o"/>
      <w:lvlJc w:val="left"/>
      <w:pPr>
        <w:ind w:left="4243" w:hanging="360"/>
      </w:pPr>
      <w:rPr>
        <w:rFonts w:ascii="Courier New" w:hAnsi="Courier New" w:cs="Courier New" w:hint="default"/>
      </w:rPr>
    </w:lvl>
    <w:lvl w:ilvl="5" w:tentative="1">
      <w:start w:val="1"/>
      <w:numFmt w:val="bullet"/>
      <w:lvlText w:val=""/>
      <w:lvlJc w:val="left"/>
      <w:pPr>
        <w:ind w:left="4963" w:hanging="360"/>
      </w:pPr>
      <w:rPr>
        <w:rFonts w:ascii="Wingdings" w:hAnsi="Wingdings" w:hint="default"/>
      </w:rPr>
    </w:lvl>
    <w:lvl w:ilvl="6" w:tentative="1">
      <w:start w:val="1"/>
      <w:numFmt w:val="bullet"/>
      <w:lvlText w:val=""/>
      <w:lvlJc w:val="left"/>
      <w:pPr>
        <w:ind w:left="5683" w:hanging="360"/>
      </w:pPr>
      <w:rPr>
        <w:rFonts w:ascii="Symbol" w:hAnsi="Symbol" w:hint="default"/>
      </w:rPr>
    </w:lvl>
    <w:lvl w:ilvl="7" w:tentative="1">
      <w:start w:val="1"/>
      <w:numFmt w:val="bullet"/>
      <w:lvlText w:val="o"/>
      <w:lvlJc w:val="left"/>
      <w:pPr>
        <w:ind w:left="6403" w:hanging="360"/>
      </w:pPr>
      <w:rPr>
        <w:rFonts w:ascii="Courier New" w:hAnsi="Courier New" w:cs="Courier New" w:hint="default"/>
      </w:rPr>
    </w:lvl>
    <w:lvl w:ilvl="8" w:tentative="1">
      <w:start w:val="1"/>
      <w:numFmt w:val="bullet"/>
      <w:lvlText w:val=""/>
      <w:lvlJc w:val="left"/>
      <w:pPr>
        <w:ind w:left="7123"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2E0256"/>
    <w:multiLevelType w:val="hybridMultilevel"/>
    <w:tmpl w:val="AFF04092"/>
    <w:lvl w:ilvl="0">
      <w:start w:val="0"/>
      <w:numFmt w:val="bullet"/>
      <w:lvlText w:val="-"/>
      <w:lvlJc w:val="left"/>
      <w:pPr>
        <w:ind w:left="650" w:hanging="360"/>
      </w:pPr>
      <w:rPr>
        <w:rFonts w:ascii="Times New Roman" w:eastAsia="Times New Roman" w:hAnsi="Times New Roman" w:cs="Times New Roman" w:hint="default"/>
      </w:rPr>
    </w:lvl>
    <w:lvl w:ilvl="1" w:tentative="1">
      <w:start w:val="1"/>
      <w:numFmt w:val="bullet"/>
      <w:lvlText w:val="o"/>
      <w:lvlJc w:val="left"/>
      <w:pPr>
        <w:ind w:left="1370" w:hanging="360"/>
      </w:pPr>
      <w:rPr>
        <w:rFonts w:ascii="Courier New" w:hAnsi="Courier New" w:cs="Courier New" w:hint="default"/>
      </w:rPr>
    </w:lvl>
    <w:lvl w:ilvl="2" w:tentative="1">
      <w:start w:val="1"/>
      <w:numFmt w:val="bullet"/>
      <w:lvlText w:val=""/>
      <w:lvlJc w:val="left"/>
      <w:pPr>
        <w:ind w:left="2090" w:hanging="360"/>
      </w:pPr>
      <w:rPr>
        <w:rFonts w:ascii="Wingdings" w:hAnsi="Wingdings" w:hint="default"/>
      </w:rPr>
    </w:lvl>
    <w:lvl w:ilvl="3" w:tentative="1">
      <w:start w:val="1"/>
      <w:numFmt w:val="bullet"/>
      <w:lvlText w:val=""/>
      <w:lvlJc w:val="left"/>
      <w:pPr>
        <w:ind w:left="2810" w:hanging="360"/>
      </w:pPr>
      <w:rPr>
        <w:rFonts w:ascii="Symbol" w:hAnsi="Symbol" w:hint="default"/>
      </w:rPr>
    </w:lvl>
    <w:lvl w:ilvl="4" w:tentative="1">
      <w:start w:val="1"/>
      <w:numFmt w:val="bullet"/>
      <w:lvlText w:val="o"/>
      <w:lvlJc w:val="left"/>
      <w:pPr>
        <w:ind w:left="3530" w:hanging="360"/>
      </w:pPr>
      <w:rPr>
        <w:rFonts w:ascii="Courier New" w:hAnsi="Courier New" w:cs="Courier New" w:hint="default"/>
      </w:rPr>
    </w:lvl>
    <w:lvl w:ilvl="5" w:tentative="1">
      <w:start w:val="1"/>
      <w:numFmt w:val="bullet"/>
      <w:lvlText w:val=""/>
      <w:lvlJc w:val="left"/>
      <w:pPr>
        <w:ind w:left="4250" w:hanging="360"/>
      </w:pPr>
      <w:rPr>
        <w:rFonts w:ascii="Wingdings" w:hAnsi="Wingdings" w:hint="default"/>
      </w:rPr>
    </w:lvl>
    <w:lvl w:ilvl="6" w:tentative="1">
      <w:start w:val="1"/>
      <w:numFmt w:val="bullet"/>
      <w:lvlText w:val=""/>
      <w:lvlJc w:val="left"/>
      <w:pPr>
        <w:ind w:left="4970" w:hanging="360"/>
      </w:pPr>
      <w:rPr>
        <w:rFonts w:ascii="Symbol" w:hAnsi="Symbol" w:hint="default"/>
      </w:rPr>
    </w:lvl>
    <w:lvl w:ilvl="7" w:tentative="1">
      <w:start w:val="1"/>
      <w:numFmt w:val="bullet"/>
      <w:lvlText w:val="o"/>
      <w:lvlJc w:val="left"/>
      <w:pPr>
        <w:ind w:left="5690" w:hanging="360"/>
      </w:pPr>
      <w:rPr>
        <w:rFonts w:ascii="Courier New" w:hAnsi="Courier New" w:cs="Courier New" w:hint="default"/>
      </w:rPr>
    </w:lvl>
    <w:lvl w:ilvl="8" w:tentative="1">
      <w:start w:val="1"/>
      <w:numFmt w:val="bullet"/>
      <w:lvlText w:val=""/>
      <w:lvlJc w:val="left"/>
      <w:pPr>
        <w:ind w:left="641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F535D88"/>
    <w:multiLevelType w:val="hybridMultilevel"/>
    <w:tmpl w:val="B630E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745345">
    <w:abstractNumId w:val="6"/>
  </w:num>
  <w:num w:numId="2" w16cid:durableId="1567643145">
    <w:abstractNumId w:val="1"/>
  </w:num>
  <w:num w:numId="3" w16cid:durableId="1546410202">
    <w:abstractNumId w:val="7"/>
  </w:num>
  <w:num w:numId="4" w16cid:durableId="1895507586">
    <w:abstractNumId w:val="4"/>
  </w:num>
  <w:num w:numId="5" w16cid:durableId="151992342">
    <w:abstractNumId w:val="9"/>
  </w:num>
  <w:num w:numId="6" w16cid:durableId="1401826349">
    <w:abstractNumId w:val="0"/>
  </w:num>
  <w:num w:numId="7" w16cid:durableId="1823622272">
    <w:abstractNumId w:val="3"/>
  </w:num>
  <w:num w:numId="8" w16cid:durableId="835416263">
    <w:abstractNumId w:val="5"/>
  </w:num>
  <w:num w:numId="9" w16cid:durableId="1681270992">
    <w:abstractNumId w:val="8"/>
  </w:num>
  <w:num w:numId="10" w16cid:durableId="1846479595">
    <w:abstractNumId w:val="10"/>
  </w:num>
  <w:num w:numId="11" w16cid:durableId="19014535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7270"/>
    <w:rsid w:val="00011627"/>
    <w:rsid w:val="000161E3"/>
    <w:rsid w:val="00031A2C"/>
    <w:rsid w:val="00042B93"/>
    <w:rsid w:val="00043C7F"/>
    <w:rsid w:val="000467A8"/>
    <w:rsid w:val="0006570F"/>
    <w:rsid w:val="00075DE8"/>
    <w:rsid w:val="00087439"/>
    <w:rsid w:val="00096EED"/>
    <w:rsid w:val="000C1260"/>
    <w:rsid w:val="000C14B2"/>
    <w:rsid w:val="000C560C"/>
    <w:rsid w:val="000D080B"/>
    <w:rsid w:val="000D48FD"/>
    <w:rsid w:val="000D5669"/>
    <w:rsid w:val="000D79CC"/>
    <w:rsid w:val="000E1C64"/>
    <w:rsid w:val="000E3DB3"/>
    <w:rsid w:val="000F7119"/>
    <w:rsid w:val="00100739"/>
    <w:rsid w:val="0010493E"/>
    <w:rsid w:val="0010507A"/>
    <w:rsid w:val="001075D3"/>
    <w:rsid w:val="00107885"/>
    <w:rsid w:val="00113D82"/>
    <w:rsid w:val="00114FC4"/>
    <w:rsid w:val="00115867"/>
    <w:rsid w:val="00117EE5"/>
    <w:rsid w:val="0012329C"/>
    <w:rsid w:val="0012562A"/>
    <w:rsid w:val="00134FA7"/>
    <w:rsid w:val="00137950"/>
    <w:rsid w:val="00140762"/>
    <w:rsid w:val="00144749"/>
    <w:rsid w:val="00145317"/>
    <w:rsid w:val="00152F29"/>
    <w:rsid w:val="00157BA2"/>
    <w:rsid w:val="00174D54"/>
    <w:rsid w:val="0017702C"/>
    <w:rsid w:val="00185270"/>
    <w:rsid w:val="00191FF6"/>
    <w:rsid w:val="00192AC7"/>
    <w:rsid w:val="0019653A"/>
    <w:rsid w:val="001A031E"/>
    <w:rsid w:val="001A3B5A"/>
    <w:rsid w:val="001A458C"/>
    <w:rsid w:val="001A66A1"/>
    <w:rsid w:val="001A6E29"/>
    <w:rsid w:val="001B7CE9"/>
    <w:rsid w:val="001C0F89"/>
    <w:rsid w:val="001D04B4"/>
    <w:rsid w:val="001D495A"/>
    <w:rsid w:val="001E244C"/>
    <w:rsid w:val="001E5D36"/>
    <w:rsid w:val="001F1437"/>
    <w:rsid w:val="001F3001"/>
    <w:rsid w:val="001F4371"/>
    <w:rsid w:val="00206799"/>
    <w:rsid w:val="002074FE"/>
    <w:rsid w:val="00216F76"/>
    <w:rsid w:val="0022425B"/>
    <w:rsid w:val="002259EF"/>
    <w:rsid w:val="002339EF"/>
    <w:rsid w:val="00242ED1"/>
    <w:rsid w:val="002444BB"/>
    <w:rsid w:val="00254069"/>
    <w:rsid w:val="00254F9B"/>
    <w:rsid w:val="00256832"/>
    <w:rsid w:val="0026343B"/>
    <w:rsid w:val="00270748"/>
    <w:rsid w:val="002734E5"/>
    <w:rsid w:val="002746DB"/>
    <w:rsid w:val="00280CAF"/>
    <w:rsid w:val="00282F09"/>
    <w:rsid w:val="00291810"/>
    <w:rsid w:val="002942F9"/>
    <w:rsid w:val="00294D62"/>
    <w:rsid w:val="00297532"/>
    <w:rsid w:val="00297FFD"/>
    <w:rsid w:val="002A1210"/>
    <w:rsid w:val="002A2C6E"/>
    <w:rsid w:val="002A47D2"/>
    <w:rsid w:val="002A7FB5"/>
    <w:rsid w:val="002B2074"/>
    <w:rsid w:val="002B4B74"/>
    <w:rsid w:val="002C1327"/>
    <w:rsid w:val="002D0BDD"/>
    <w:rsid w:val="002D14D8"/>
    <w:rsid w:val="002D4799"/>
    <w:rsid w:val="002E3823"/>
    <w:rsid w:val="002E3FA4"/>
    <w:rsid w:val="002E53A5"/>
    <w:rsid w:val="002E64B8"/>
    <w:rsid w:val="002E6834"/>
    <w:rsid w:val="002F579C"/>
    <w:rsid w:val="003031FE"/>
    <w:rsid w:val="003113FF"/>
    <w:rsid w:val="00312622"/>
    <w:rsid w:val="0032277F"/>
    <w:rsid w:val="00336B69"/>
    <w:rsid w:val="0034302B"/>
    <w:rsid w:val="00350523"/>
    <w:rsid w:val="0035189D"/>
    <w:rsid w:val="00355B62"/>
    <w:rsid w:val="00357C8A"/>
    <w:rsid w:val="003672D9"/>
    <w:rsid w:val="003740BC"/>
    <w:rsid w:val="0037456B"/>
    <w:rsid w:val="003801A3"/>
    <w:rsid w:val="00383D90"/>
    <w:rsid w:val="00384141"/>
    <w:rsid w:val="003870AE"/>
    <w:rsid w:val="003A1A27"/>
    <w:rsid w:val="003A50CC"/>
    <w:rsid w:val="003B0148"/>
    <w:rsid w:val="003B42B3"/>
    <w:rsid w:val="003B6384"/>
    <w:rsid w:val="003C0FE2"/>
    <w:rsid w:val="003C4EBB"/>
    <w:rsid w:val="003C770C"/>
    <w:rsid w:val="003D1531"/>
    <w:rsid w:val="003D465A"/>
    <w:rsid w:val="003E4EC6"/>
    <w:rsid w:val="003E527E"/>
    <w:rsid w:val="003E553E"/>
    <w:rsid w:val="003E7078"/>
    <w:rsid w:val="003F3DF5"/>
    <w:rsid w:val="003F73B8"/>
    <w:rsid w:val="0040297E"/>
    <w:rsid w:val="00411D11"/>
    <w:rsid w:val="00414494"/>
    <w:rsid w:val="00415E23"/>
    <w:rsid w:val="0041670D"/>
    <w:rsid w:val="00423272"/>
    <w:rsid w:val="00423A9D"/>
    <w:rsid w:val="00424061"/>
    <w:rsid w:val="00442A3C"/>
    <w:rsid w:val="00443969"/>
    <w:rsid w:val="00447D74"/>
    <w:rsid w:val="00450A74"/>
    <w:rsid w:val="004546BF"/>
    <w:rsid w:val="00457FA9"/>
    <w:rsid w:val="00465350"/>
    <w:rsid w:val="00467D5A"/>
    <w:rsid w:val="00472710"/>
    <w:rsid w:val="00473E66"/>
    <w:rsid w:val="00476B91"/>
    <w:rsid w:val="004846BF"/>
    <w:rsid w:val="004850E8"/>
    <w:rsid w:val="004878D5"/>
    <w:rsid w:val="00494912"/>
    <w:rsid w:val="004A5323"/>
    <w:rsid w:val="004A5A99"/>
    <w:rsid w:val="004C6979"/>
    <w:rsid w:val="004C7512"/>
    <w:rsid w:val="004D13A2"/>
    <w:rsid w:val="004D3E7A"/>
    <w:rsid w:val="004F417B"/>
    <w:rsid w:val="004F594B"/>
    <w:rsid w:val="004F61E1"/>
    <w:rsid w:val="0050524E"/>
    <w:rsid w:val="005165C1"/>
    <w:rsid w:val="0053380B"/>
    <w:rsid w:val="00533D11"/>
    <w:rsid w:val="00543194"/>
    <w:rsid w:val="00543ADA"/>
    <w:rsid w:val="00544138"/>
    <w:rsid w:val="00554E34"/>
    <w:rsid w:val="0056733E"/>
    <w:rsid w:val="005821BC"/>
    <w:rsid w:val="00584583"/>
    <w:rsid w:val="00590E90"/>
    <w:rsid w:val="00590EEB"/>
    <w:rsid w:val="005A4099"/>
    <w:rsid w:val="005B3F47"/>
    <w:rsid w:val="005C2091"/>
    <w:rsid w:val="005C38B2"/>
    <w:rsid w:val="005C5029"/>
    <w:rsid w:val="005C55C2"/>
    <w:rsid w:val="005C71CA"/>
    <w:rsid w:val="005C745C"/>
    <w:rsid w:val="005D4DF5"/>
    <w:rsid w:val="005E07B3"/>
    <w:rsid w:val="005E42BA"/>
    <w:rsid w:val="00602C49"/>
    <w:rsid w:val="00607EE6"/>
    <w:rsid w:val="00611D6B"/>
    <w:rsid w:val="00615CAC"/>
    <w:rsid w:val="00616160"/>
    <w:rsid w:val="0062168E"/>
    <w:rsid w:val="006247D5"/>
    <w:rsid w:val="00625CFD"/>
    <w:rsid w:val="006326EC"/>
    <w:rsid w:val="00660C92"/>
    <w:rsid w:val="00663A42"/>
    <w:rsid w:val="006641C7"/>
    <w:rsid w:val="006705EA"/>
    <w:rsid w:val="00670BE2"/>
    <w:rsid w:val="00677BAB"/>
    <w:rsid w:val="00691659"/>
    <w:rsid w:val="006916D9"/>
    <w:rsid w:val="006927D1"/>
    <w:rsid w:val="006A0E05"/>
    <w:rsid w:val="006A26C6"/>
    <w:rsid w:val="006A465A"/>
    <w:rsid w:val="006A7D5D"/>
    <w:rsid w:val="006C7142"/>
    <w:rsid w:val="006D0C12"/>
    <w:rsid w:val="006D3E5A"/>
    <w:rsid w:val="006D4132"/>
    <w:rsid w:val="006D5D57"/>
    <w:rsid w:val="006E2538"/>
    <w:rsid w:val="006E302F"/>
    <w:rsid w:val="006E4561"/>
    <w:rsid w:val="006F00C0"/>
    <w:rsid w:val="006F4D6D"/>
    <w:rsid w:val="00701FA5"/>
    <w:rsid w:val="00704466"/>
    <w:rsid w:val="00705086"/>
    <w:rsid w:val="00716E38"/>
    <w:rsid w:val="00720800"/>
    <w:rsid w:val="007211BD"/>
    <w:rsid w:val="00722001"/>
    <w:rsid w:val="00727CDF"/>
    <w:rsid w:val="00735884"/>
    <w:rsid w:val="00744525"/>
    <w:rsid w:val="00751969"/>
    <w:rsid w:val="00751E66"/>
    <w:rsid w:val="00754184"/>
    <w:rsid w:val="00754497"/>
    <w:rsid w:val="00773201"/>
    <w:rsid w:val="00777A0C"/>
    <w:rsid w:val="00787C39"/>
    <w:rsid w:val="00792947"/>
    <w:rsid w:val="00795DF3"/>
    <w:rsid w:val="007A373C"/>
    <w:rsid w:val="007B225C"/>
    <w:rsid w:val="007B470D"/>
    <w:rsid w:val="007C5B08"/>
    <w:rsid w:val="007C75B1"/>
    <w:rsid w:val="007D3DFC"/>
    <w:rsid w:val="007E2F07"/>
    <w:rsid w:val="007E59A8"/>
    <w:rsid w:val="0080776D"/>
    <w:rsid w:val="00810145"/>
    <w:rsid w:val="008108FA"/>
    <w:rsid w:val="00810FF1"/>
    <w:rsid w:val="008216C5"/>
    <w:rsid w:val="00822336"/>
    <w:rsid w:val="00823DFA"/>
    <w:rsid w:val="00824DE0"/>
    <w:rsid w:val="00837A8C"/>
    <w:rsid w:val="00842DB7"/>
    <w:rsid w:val="00843752"/>
    <w:rsid w:val="0084479F"/>
    <w:rsid w:val="008544A8"/>
    <w:rsid w:val="0085725E"/>
    <w:rsid w:val="00861CA3"/>
    <w:rsid w:val="0086355F"/>
    <w:rsid w:val="00872E4C"/>
    <w:rsid w:val="00873D4F"/>
    <w:rsid w:val="0087509F"/>
    <w:rsid w:val="00885B09"/>
    <w:rsid w:val="00892400"/>
    <w:rsid w:val="00893337"/>
    <w:rsid w:val="008962BC"/>
    <w:rsid w:val="008A209D"/>
    <w:rsid w:val="008A22BB"/>
    <w:rsid w:val="008B035D"/>
    <w:rsid w:val="008B0E29"/>
    <w:rsid w:val="008B0EFA"/>
    <w:rsid w:val="008B2424"/>
    <w:rsid w:val="008B30AB"/>
    <w:rsid w:val="008C3BB8"/>
    <w:rsid w:val="008C4B65"/>
    <w:rsid w:val="008E5F55"/>
    <w:rsid w:val="008F2F7E"/>
    <w:rsid w:val="009009E7"/>
    <w:rsid w:val="0090584C"/>
    <w:rsid w:val="00905DEF"/>
    <w:rsid w:val="00906056"/>
    <w:rsid w:val="009122AE"/>
    <w:rsid w:val="00913B43"/>
    <w:rsid w:val="00925225"/>
    <w:rsid w:val="00930203"/>
    <w:rsid w:val="009311D2"/>
    <w:rsid w:val="009311E6"/>
    <w:rsid w:val="00931275"/>
    <w:rsid w:val="00936AC7"/>
    <w:rsid w:val="00947761"/>
    <w:rsid w:val="00953B64"/>
    <w:rsid w:val="009646A7"/>
    <w:rsid w:val="00970A88"/>
    <w:rsid w:val="009805D9"/>
    <w:rsid w:val="009818A1"/>
    <w:rsid w:val="009A1674"/>
    <w:rsid w:val="009B38BE"/>
    <w:rsid w:val="009B3C64"/>
    <w:rsid w:val="009B4DF2"/>
    <w:rsid w:val="009C684F"/>
    <w:rsid w:val="009C7800"/>
    <w:rsid w:val="009D074C"/>
    <w:rsid w:val="009D2DA7"/>
    <w:rsid w:val="009D6E73"/>
    <w:rsid w:val="009E05EC"/>
    <w:rsid w:val="009E3F29"/>
    <w:rsid w:val="009F1F1D"/>
    <w:rsid w:val="009F2B4F"/>
    <w:rsid w:val="009F3C63"/>
    <w:rsid w:val="009F66B5"/>
    <w:rsid w:val="009F6F98"/>
    <w:rsid w:val="00A02F10"/>
    <w:rsid w:val="00A1060C"/>
    <w:rsid w:val="00A16221"/>
    <w:rsid w:val="00A17527"/>
    <w:rsid w:val="00A20A7D"/>
    <w:rsid w:val="00A3390A"/>
    <w:rsid w:val="00A35D42"/>
    <w:rsid w:val="00A46CCF"/>
    <w:rsid w:val="00A47CBE"/>
    <w:rsid w:val="00A506DE"/>
    <w:rsid w:val="00A53451"/>
    <w:rsid w:val="00A545FD"/>
    <w:rsid w:val="00A70426"/>
    <w:rsid w:val="00A707CC"/>
    <w:rsid w:val="00A71410"/>
    <w:rsid w:val="00A91E9A"/>
    <w:rsid w:val="00A935CA"/>
    <w:rsid w:val="00A93ED9"/>
    <w:rsid w:val="00A96221"/>
    <w:rsid w:val="00AA1B93"/>
    <w:rsid w:val="00AC2DBB"/>
    <w:rsid w:val="00AC6A99"/>
    <w:rsid w:val="00AD2423"/>
    <w:rsid w:val="00AD6048"/>
    <w:rsid w:val="00AF0A45"/>
    <w:rsid w:val="00B055EF"/>
    <w:rsid w:val="00B05F30"/>
    <w:rsid w:val="00B06B5B"/>
    <w:rsid w:val="00B06D37"/>
    <w:rsid w:val="00B07272"/>
    <w:rsid w:val="00B076B7"/>
    <w:rsid w:val="00B23769"/>
    <w:rsid w:val="00B25AE8"/>
    <w:rsid w:val="00B41789"/>
    <w:rsid w:val="00B43BBF"/>
    <w:rsid w:val="00B7378C"/>
    <w:rsid w:val="00B747C6"/>
    <w:rsid w:val="00B81808"/>
    <w:rsid w:val="00B82943"/>
    <w:rsid w:val="00B86DFA"/>
    <w:rsid w:val="00B936D0"/>
    <w:rsid w:val="00BA0723"/>
    <w:rsid w:val="00BB15FB"/>
    <w:rsid w:val="00BB1CA0"/>
    <w:rsid w:val="00BB59D9"/>
    <w:rsid w:val="00BD3D5B"/>
    <w:rsid w:val="00BD6619"/>
    <w:rsid w:val="00BE3600"/>
    <w:rsid w:val="00BE624E"/>
    <w:rsid w:val="00BF759A"/>
    <w:rsid w:val="00C01F6F"/>
    <w:rsid w:val="00C041EA"/>
    <w:rsid w:val="00C13BBD"/>
    <w:rsid w:val="00C149AB"/>
    <w:rsid w:val="00C16929"/>
    <w:rsid w:val="00C20690"/>
    <w:rsid w:val="00C23CC3"/>
    <w:rsid w:val="00C2506F"/>
    <w:rsid w:val="00C3027D"/>
    <w:rsid w:val="00C36020"/>
    <w:rsid w:val="00C40694"/>
    <w:rsid w:val="00C40A0D"/>
    <w:rsid w:val="00C479BF"/>
    <w:rsid w:val="00C5124B"/>
    <w:rsid w:val="00C659B4"/>
    <w:rsid w:val="00C70542"/>
    <w:rsid w:val="00C71649"/>
    <w:rsid w:val="00C73246"/>
    <w:rsid w:val="00C75CBF"/>
    <w:rsid w:val="00C762E7"/>
    <w:rsid w:val="00C8426A"/>
    <w:rsid w:val="00C93C50"/>
    <w:rsid w:val="00CB630A"/>
    <w:rsid w:val="00CC2894"/>
    <w:rsid w:val="00CC4162"/>
    <w:rsid w:val="00CD77C3"/>
    <w:rsid w:val="00CE112C"/>
    <w:rsid w:val="00CE4FB7"/>
    <w:rsid w:val="00CF55D4"/>
    <w:rsid w:val="00D0402C"/>
    <w:rsid w:val="00D109D6"/>
    <w:rsid w:val="00D10A2B"/>
    <w:rsid w:val="00D161D2"/>
    <w:rsid w:val="00D226C8"/>
    <w:rsid w:val="00D3608B"/>
    <w:rsid w:val="00D40132"/>
    <w:rsid w:val="00D608DA"/>
    <w:rsid w:val="00D612CB"/>
    <w:rsid w:val="00D63CAD"/>
    <w:rsid w:val="00D70795"/>
    <w:rsid w:val="00D730BF"/>
    <w:rsid w:val="00D852F4"/>
    <w:rsid w:val="00DA1C3F"/>
    <w:rsid w:val="00DB1110"/>
    <w:rsid w:val="00DB3730"/>
    <w:rsid w:val="00DC371B"/>
    <w:rsid w:val="00DC3788"/>
    <w:rsid w:val="00DC76C7"/>
    <w:rsid w:val="00DD09F5"/>
    <w:rsid w:val="00DD0E02"/>
    <w:rsid w:val="00DD18DF"/>
    <w:rsid w:val="00DD4201"/>
    <w:rsid w:val="00DD5E9F"/>
    <w:rsid w:val="00DE5711"/>
    <w:rsid w:val="00DF0C00"/>
    <w:rsid w:val="00E00EA0"/>
    <w:rsid w:val="00E021CB"/>
    <w:rsid w:val="00E02F77"/>
    <w:rsid w:val="00E057ED"/>
    <w:rsid w:val="00E13203"/>
    <w:rsid w:val="00E138F1"/>
    <w:rsid w:val="00E2309D"/>
    <w:rsid w:val="00E26758"/>
    <w:rsid w:val="00E26DAD"/>
    <w:rsid w:val="00E4357B"/>
    <w:rsid w:val="00E443A7"/>
    <w:rsid w:val="00E45904"/>
    <w:rsid w:val="00E5550D"/>
    <w:rsid w:val="00E6242A"/>
    <w:rsid w:val="00E63DE5"/>
    <w:rsid w:val="00E647AF"/>
    <w:rsid w:val="00E647C7"/>
    <w:rsid w:val="00E65A37"/>
    <w:rsid w:val="00E65EF7"/>
    <w:rsid w:val="00E7489C"/>
    <w:rsid w:val="00E77B48"/>
    <w:rsid w:val="00E857FB"/>
    <w:rsid w:val="00E91799"/>
    <w:rsid w:val="00E97DF8"/>
    <w:rsid w:val="00E97EF6"/>
    <w:rsid w:val="00EA21FE"/>
    <w:rsid w:val="00EA34E3"/>
    <w:rsid w:val="00EB626F"/>
    <w:rsid w:val="00EB73A4"/>
    <w:rsid w:val="00EB7538"/>
    <w:rsid w:val="00EC1868"/>
    <w:rsid w:val="00ED2004"/>
    <w:rsid w:val="00EE6468"/>
    <w:rsid w:val="00EF3EA2"/>
    <w:rsid w:val="00F0558E"/>
    <w:rsid w:val="00F1299B"/>
    <w:rsid w:val="00F142C1"/>
    <w:rsid w:val="00F207A4"/>
    <w:rsid w:val="00F25173"/>
    <w:rsid w:val="00F355AC"/>
    <w:rsid w:val="00F40CF7"/>
    <w:rsid w:val="00F429BA"/>
    <w:rsid w:val="00F44194"/>
    <w:rsid w:val="00F52B60"/>
    <w:rsid w:val="00F54666"/>
    <w:rsid w:val="00F71A5A"/>
    <w:rsid w:val="00F73A1A"/>
    <w:rsid w:val="00F769E0"/>
    <w:rsid w:val="00FA4A46"/>
    <w:rsid w:val="00FA725E"/>
    <w:rsid w:val="00FA75FE"/>
    <w:rsid w:val="00FA7BB6"/>
    <w:rsid w:val="00FB1032"/>
    <w:rsid w:val="00FB39BC"/>
    <w:rsid w:val="00FB54DF"/>
    <w:rsid w:val="00FB6A53"/>
    <w:rsid w:val="00FC11CA"/>
    <w:rsid w:val="00FC6A30"/>
    <w:rsid w:val="00FC6BDE"/>
    <w:rsid w:val="00FD512C"/>
    <w:rsid w:val="00FE31B5"/>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B2368F"/>
  <w15:chartTrackingRefBased/>
  <w15:docId w15:val="{6910DB76-0E71-497B-9C7D-8788501D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1"/>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113D82"/>
    <w:pPr>
      <w:spacing w:after="120"/>
    </w:pPr>
  </w:style>
  <w:style w:type="character" w:customStyle="1" w:styleId="BodyTextChar">
    <w:name w:val="Body Text Char"/>
    <w:link w:val="BodyText"/>
    <w:rsid w:val="00113D82"/>
    <w:rPr>
      <w:sz w:val="24"/>
      <w:szCs w:val="24"/>
    </w:rPr>
  </w:style>
  <w:style w:type="character" w:styleId="CommentReference">
    <w:name w:val="annotation reference"/>
    <w:rsid w:val="00113D82"/>
    <w:rPr>
      <w:sz w:val="16"/>
      <w:szCs w:val="16"/>
    </w:rPr>
  </w:style>
  <w:style w:type="paragraph" w:styleId="CommentText">
    <w:name w:val="annotation text"/>
    <w:basedOn w:val="Normal"/>
    <w:link w:val="CommentTextChar"/>
    <w:rsid w:val="00113D82"/>
    <w:rPr>
      <w:sz w:val="20"/>
      <w:szCs w:val="20"/>
    </w:rPr>
  </w:style>
  <w:style w:type="character" w:customStyle="1" w:styleId="CommentTextChar">
    <w:name w:val="Comment Text Char"/>
    <w:basedOn w:val="DefaultParagraphFont"/>
    <w:link w:val="CommentText"/>
    <w:rsid w:val="00113D82"/>
  </w:style>
  <w:style w:type="paragraph" w:styleId="CommentSubject">
    <w:name w:val="annotation subject"/>
    <w:basedOn w:val="CommentText"/>
    <w:next w:val="CommentText"/>
    <w:link w:val="CommentSubjectChar"/>
    <w:rsid w:val="00FE31B5"/>
    <w:rPr>
      <w:b/>
      <w:bCs/>
    </w:rPr>
  </w:style>
  <w:style w:type="character" w:customStyle="1" w:styleId="CommentSubjectChar">
    <w:name w:val="Comment Subject Char"/>
    <w:link w:val="CommentSubject"/>
    <w:rsid w:val="00FE31B5"/>
    <w:rPr>
      <w:b/>
      <w:bCs/>
    </w:rPr>
  </w:style>
  <w:style w:type="paragraph" w:customStyle="1" w:styleId="paragraph">
    <w:name w:val="paragraph"/>
    <w:basedOn w:val="Normal"/>
    <w:rsid w:val="00E02F77"/>
    <w:pPr>
      <w:spacing w:before="100" w:beforeAutospacing="1" w:after="100" w:afterAutospacing="1"/>
    </w:pPr>
  </w:style>
  <w:style w:type="character" w:customStyle="1" w:styleId="normaltextrun">
    <w:name w:val="normaltextrun"/>
    <w:basedOn w:val="DefaultParagraphFont"/>
    <w:rsid w:val="00E02F77"/>
  </w:style>
  <w:style w:type="character" w:customStyle="1" w:styleId="eop">
    <w:name w:val="eop"/>
    <w:basedOn w:val="DefaultParagraphFont"/>
    <w:rsid w:val="00E02F77"/>
  </w:style>
  <w:style w:type="paragraph" w:styleId="Revision">
    <w:name w:val="Revision"/>
    <w:hidden/>
    <w:uiPriority w:val="99"/>
    <w:semiHidden/>
    <w:rsid w:val="009F6F98"/>
    <w:rPr>
      <w:sz w:val="24"/>
      <w:szCs w:val="24"/>
    </w:rPr>
  </w:style>
  <w:style w:type="character" w:customStyle="1" w:styleId="cf01">
    <w:name w:val="cf01"/>
    <w:rsid w:val="00615CAC"/>
    <w:rPr>
      <w:rFonts w:ascii="Segoe UI" w:hAnsi="Segoe UI" w:cs="Segoe UI" w:hint="default"/>
      <w:sz w:val="18"/>
      <w:szCs w:val="18"/>
    </w:rPr>
  </w:style>
  <w:style w:type="character" w:customStyle="1" w:styleId="cf11">
    <w:name w:val="cf11"/>
    <w:rsid w:val="00615CAC"/>
    <w:rPr>
      <w:rFonts w:ascii="Segoe UI" w:hAnsi="Segoe UI" w:cs="Segoe UI" w:hint="default"/>
      <w:color w:val="333333"/>
      <w:sz w:val="18"/>
      <w:szCs w:val="18"/>
      <w:shd w:val="clear" w:color="auto" w:fill="FFFFFF"/>
    </w:rPr>
  </w:style>
  <w:style w:type="character" w:styleId="Emphasis">
    <w:name w:val="Emphasis"/>
    <w:uiPriority w:val="20"/>
    <w:qFormat/>
    <w:rsid w:val="000C14B2"/>
    <w:rPr>
      <w:i/>
      <w:iCs/>
    </w:rPr>
  </w:style>
  <w:style w:type="character" w:customStyle="1" w:styleId="BodyText2Char">
    <w:name w:val="Body Text 2 Char"/>
    <w:link w:val="BodyText2"/>
    <w:rsid w:val="00ED2004"/>
    <w:rPr>
      <w:sz w:val="24"/>
    </w:rPr>
  </w:style>
  <w:style w:type="paragraph" w:customStyle="1" w:styleId="TableParagraph">
    <w:name w:val="Table Paragraph"/>
    <w:basedOn w:val="Normal"/>
    <w:uiPriority w:val="1"/>
    <w:qFormat/>
    <w:rsid w:val="00691659"/>
    <w:pPr>
      <w:widowControl w:val="0"/>
      <w:autoSpaceDE w:val="0"/>
      <w:autoSpaceDN w:val="0"/>
      <w:spacing w:line="216"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medical-devices/how-study-and-market-your-device/ecopy-medical-device-submissions" TargetMode="External" /><Relationship Id="rId11" Type="http://schemas.openxmlformats.org/officeDocument/2006/relationships/hyperlink" Target="https://www.fda.gov/regulatory-information/search-fda-guidance-documents/ecopy-program-medical-device-submiss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fda.gov/downloads/MedicalDevices/DeviceRegulationandGuidance/GuidanceDocuments/ucm110203.pdf" TargetMode="External" /><Relationship Id="rId9" Type="http://schemas.openxmlformats.org/officeDocument/2006/relationships/hyperlink" Target="https://www.fda.gov/medical-devices/industry-medical-devices/send-and-track-medical-device-premarket-submissions-online-cdrh-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c79442b67397ea6dfeea20d40f661762">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d671a6d9623127ba7ca89da295b14c89"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4CD61-87F2-46FF-81D4-DDCDBD3D2A0C}">
  <ds:schemaRefs>
    <ds:schemaRef ds:uri="http://schemas.microsoft.com/sharepoint/v3/contenttype/forms"/>
  </ds:schemaRefs>
</ds:datastoreItem>
</file>

<file path=customXml/itemProps2.xml><?xml version="1.0" encoding="utf-8"?>
<ds:datastoreItem xmlns:ds="http://schemas.openxmlformats.org/officeDocument/2006/customXml" ds:itemID="{3389611E-C993-4DFA-BB0C-C7E4B4ED7B5B}">
  <ds:schemaRefs>
    <ds:schemaRef ds:uri="http://schemas.openxmlformats.org/officeDocument/2006/bibliography"/>
  </ds:schemaRefs>
</ds:datastoreItem>
</file>

<file path=customXml/itemProps3.xml><?xml version="1.0" encoding="utf-8"?>
<ds:datastoreItem xmlns:ds="http://schemas.openxmlformats.org/officeDocument/2006/customXml" ds:itemID="{4328D505-7360-4DD3-BAB4-5006113D730C}">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4.xml><?xml version="1.0" encoding="utf-8"?>
<ds:datastoreItem xmlns:ds="http://schemas.openxmlformats.org/officeDocument/2006/customXml" ds:itemID="{962F31C3-D958-4B3E-B52D-5C3ECC077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2556</Words>
  <Characters>15349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2019-07-03T16:25:00Z</cp:lastPrinted>
  <dcterms:created xsi:type="dcterms:W3CDTF">2025-12-19T13:34:00Z</dcterms:created>
  <dcterms:modified xsi:type="dcterms:W3CDTF">2025-12-19T13:37:00Z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ContentTypeId">
    <vt:lpwstr>0x010100A9AA0D0857C52F4A956A927B843FDAE5</vt:lpwstr>
  </property>
  <property fmtid="{D5CDD505-2E9C-101B-9397-08002B2CF9AE}" pid="4" name="lcf76f155ced4ddcb4097134ff3c332f">
    <vt:lpwstr/>
  </property>
  <property fmtid="{D5CDD505-2E9C-101B-9397-08002B2CF9AE}" pid="5" name="TaxCatchAll">
    <vt:lpwstr/>
  </property>
</Properties>
</file>