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RPr="009E358D" w:rsidP="00357C8A" w14:paraId="4ACD0992" w14:textId="77777777">
      <w:pPr>
        <w:jc w:val="center"/>
        <w:rPr>
          <w:rFonts w:eastAsia="Calibri"/>
          <w:b/>
          <w:bCs/>
        </w:rPr>
      </w:pPr>
      <w:r>
        <w:rPr>
          <w:rFonts w:eastAsia="Calibri"/>
          <w:b/>
          <w:bCs/>
        </w:rPr>
        <w:t>Postmarket Surveillance of Medical Devices</w:t>
      </w:r>
    </w:p>
    <w:p w:rsidR="00357C8A" w:rsidP="00357C8A" w14:paraId="36F514DC" w14:textId="77777777">
      <w:pPr>
        <w:jc w:val="center"/>
        <w:rPr>
          <w:rFonts w:eastAsia="Calibri"/>
        </w:rPr>
      </w:pPr>
    </w:p>
    <w:p w:rsidR="00357C8A" w:rsidP="00357C8A" w14:paraId="732E0832" w14:textId="77777777">
      <w:pPr>
        <w:jc w:val="center"/>
        <w:rPr>
          <w:rFonts w:eastAsia="Calibri"/>
        </w:rPr>
      </w:pPr>
      <w:r w:rsidRPr="00357C8A">
        <w:rPr>
          <w:rFonts w:eastAsia="Calibri"/>
        </w:rPr>
        <w:t>OMB Control No. 0910-</w:t>
      </w:r>
      <w:r w:rsidR="009E358D">
        <w:rPr>
          <w:rFonts w:eastAsia="Calibri"/>
        </w:rPr>
        <w:t>0449</w:t>
      </w:r>
      <w:r w:rsidR="00727CDF">
        <w:rPr>
          <w:rFonts w:eastAsia="Calibri"/>
        </w:rPr>
        <w:t xml:space="preserve"> -- EXTENSION</w:t>
      </w:r>
    </w:p>
    <w:p w:rsidR="00357C8A" w:rsidP="00357C8A" w14:paraId="47FD62EB" w14:textId="77777777">
      <w:pPr>
        <w:jc w:val="center"/>
        <w:rPr>
          <w:rFonts w:eastAsia="Calibri"/>
        </w:rPr>
      </w:pPr>
    </w:p>
    <w:p w:rsidR="009B4DF2" w:rsidRPr="009E358D" w:rsidP="009E358D" w14:paraId="5EC8BBD8" w14:textId="77777777">
      <w:pPr>
        <w:jc w:val="center"/>
        <w:rPr>
          <w:rFonts w:eastAsia="Calibri"/>
        </w:rPr>
      </w:pPr>
      <w:r w:rsidRPr="00357C8A">
        <w:rPr>
          <w:rFonts w:eastAsia="Calibri"/>
        </w:rPr>
        <w:t>SUPPORTING STATEMENT</w:t>
      </w:r>
    </w:p>
    <w:p w:rsidR="00C71649" w:rsidP="009B4DF2" w14:paraId="55DB2B94" w14:textId="77777777"/>
    <w:p w:rsidR="00357C8A" w:rsidP="000D79CC" w14:paraId="5423AC00" w14:textId="77777777">
      <w:pPr>
        <w:rPr>
          <w:rFonts w:eastAsia="Calibri"/>
        </w:rPr>
      </w:pPr>
      <w:r w:rsidRPr="00357C8A">
        <w:rPr>
          <w:rFonts w:eastAsia="Calibri"/>
          <w:b/>
        </w:rPr>
        <w:t>Part A:  Justification</w:t>
      </w:r>
      <w:r w:rsidRPr="00357C8A">
        <w:rPr>
          <w:rFonts w:eastAsia="Calibri"/>
        </w:rPr>
        <w:t>:</w:t>
      </w:r>
    </w:p>
    <w:p w:rsidR="000D79CC" w:rsidRPr="00357C8A" w:rsidP="000D79CC" w14:paraId="778A50AA" w14:textId="77777777">
      <w:pPr>
        <w:rPr>
          <w:rFonts w:eastAsia="Calibri"/>
        </w:rPr>
      </w:pPr>
    </w:p>
    <w:p w:rsidR="00357C8A" w:rsidRPr="00357C8A" w:rsidP="006705EA" w14:paraId="104593B4"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D826AA" w:rsidRPr="00DF4C52" w:rsidP="5934F6BC" w14:paraId="2F9722AE" w14:textId="682CCB43">
      <w:pPr>
        <w:spacing w:after="200"/>
      </w:pPr>
      <w:r>
        <w:t xml:space="preserve">This information collection supports FDA statutes and regulations. </w:t>
      </w:r>
      <w:r>
        <w:t xml:space="preserve">Section 522 of the Federal Food, Drug, and Cosmetic Act (FD&amp;C Act) (21 U.S.C. 360l) provides the Food and Drug Administration (FDA) with authority to require manufacturers of medical devices to conduct postmarket surveillance at the time of approval or clearance, or at any time thereafter, of certain devices.  Postmarket surveillance is the active, systematic, scientifically valid collection, analysis, and interpretation of data or other information about a marketed device.  Section 522(b) requires that manufacturers of devices, upon receiving an order that surveillance is required to be conducted, shall submit a plan for surveillance to FDA.  The data collected under a surveillance order helps address important public health questions on the safety and effectiveness of a device.  We have promulgated regulations in 21 CFR part 822 to implement section 522 of the FD&amp;C Act and to establish procedures and requirements for postmarket surveillance of class II and class III devices that meet any of the following criteria: </w:t>
      </w:r>
    </w:p>
    <w:p w:rsidR="00D826AA" w:rsidRPr="00DF4C52" w:rsidP="5934F6BC" w14:paraId="0E5598B6" w14:textId="1D321186">
      <w:pPr>
        <w:pStyle w:val="ListParagraph"/>
        <w:numPr>
          <w:ilvl w:val="0"/>
          <w:numId w:val="9"/>
        </w:numPr>
        <w:spacing w:after="200"/>
        <w:ind w:left="1080"/>
        <w:contextualSpacing/>
      </w:pPr>
      <w:r>
        <w:t xml:space="preserve">Failure of the device would be reasonably likely to have serious adverse health consequences; </w:t>
      </w:r>
    </w:p>
    <w:p w:rsidR="00D826AA" w:rsidRPr="00DF4C52" w:rsidP="5934F6BC" w14:paraId="40733841" w14:textId="6C72A4E0">
      <w:pPr>
        <w:pStyle w:val="ListParagraph"/>
        <w:numPr>
          <w:ilvl w:val="0"/>
          <w:numId w:val="9"/>
        </w:numPr>
        <w:spacing w:after="200"/>
        <w:ind w:left="1080"/>
        <w:contextualSpacing/>
      </w:pPr>
      <w:r>
        <w:t xml:space="preserve">The device is intended to be implanted in the human body for more than 1 year; </w:t>
      </w:r>
    </w:p>
    <w:p w:rsidR="00A02D0C" w:rsidP="5934F6BC" w14:paraId="40F076C7" w14:textId="4299D58A">
      <w:pPr>
        <w:pStyle w:val="ListParagraph"/>
        <w:numPr>
          <w:ilvl w:val="0"/>
          <w:numId w:val="9"/>
        </w:numPr>
        <w:spacing w:after="200"/>
        <w:ind w:left="1080"/>
        <w:contextualSpacing/>
      </w:pPr>
      <w:r>
        <w:t>The device is intended to be used outside a user facility to support or sustain life. If you fail to comply with requirements that we order under section 522 of the act and this part, your device is considered misbranded under section 502(t)(3) of the act and you are in violation of section 301(q)(1)(C) of the act</w:t>
      </w:r>
      <w:r>
        <w:t>; or</w:t>
      </w:r>
    </w:p>
    <w:p w:rsidR="00D826AA" w:rsidP="5934F6BC" w14:paraId="5B1C6202" w14:textId="748AAE5B">
      <w:pPr>
        <w:pStyle w:val="ListParagraph"/>
        <w:numPr>
          <w:ilvl w:val="0"/>
          <w:numId w:val="9"/>
        </w:numPr>
        <w:spacing w:after="200"/>
        <w:ind w:left="1080"/>
        <w:contextualSpacing/>
      </w:pPr>
      <w:r>
        <w:t>The device is expected to have significant use in pediatric populations</w:t>
      </w:r>
      <w:r>
        <w:t>.</w:t>
      </w:r>
    </w:p>
    <w:p w:rsidR="00526289" w:rsidP="5934F6BC" w14:paraId="450D0324" w14:textId="055336F5">
      <w:pPr>
        <w:spacing w:after="200"/>
      </w:pPr>
      <w:r>
        <w:t xml:space="preserve">To assist respondents with understanding the applicable statutory and regulatory requirements, we also developed the interpretive agency guidance entitled, “Postmarket Surveillance Under Section 522 of the Federal Food, Drug, and Cosmetic Act” </w:t>
      </w:r>
      <w:r w:rsidR="00C8003A">
        <w:t xml:space="preserve">(October 2022) </w:t>
      </w:r>
      <w:r>
        <w:t>(</w:t>
      </w:r>
      <w:r w:rsidR="00CB044D">
        <w:t xml:space="preserve">available at </w:t>
      </w:r>
      <w:hyperlink r:id="rId9">
        <w:r w:rsidRPr="5934F6BC" w:rsidR="00435430">
          <w:rPr>
            <w:rStyle w:val="Hyperlink"/>
            <w:i/>
            <w:iCs/>
          </w:rPr>
          <w:t>https://www.fda.gov/regulatory-information/search-fda-guidance-documents/postmarket-surveillance-under-section-522-federal-food-drug-and-cosmetic-act</w:t>
        </w:r>
      </w:hyperlink>
      <w:r>
        <w:t>).</w:t>
      </w:r>
      <w:r w:rsidR="00386DA0">
        <w:t xml:space="preserve">  </w:t>
      </w:r>
      <w:r>
        <w:t>We are therefore requesting OMB approval for the information collection provisions set forth in 21 CFR part 822 governing the postmarket surveillance of medical devices and</w:t>
      </w:r>
      <w:r w:rsidR="005115D9">
        <w:t xml:space="preserve"> associated agency guidance as</w:t>
      </w:r>
      <w:r>
        <w:t xml:space="preserve"> discussed in this supporting statement.</w:t>
      </w:r>
    </w:p>
    <w:p w:rsidR="00357C8A" w:rsidRPr="00357C8A" w:rsidP="006705EA" w14:paraId="2D6F3EF6"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D826AA" w:rsidP="00D826AA" w14:paraId="1FCF35B7" w14:textId="1B2FC87F">
      <w:r>
        <w:t xml:space="preserve">FDA uses the information to ensure the safety of medical devices. We have established an automated tracking system that efficiently identifies the reporting status of active 522 postmarket surveillance studies based on study timelines incorporated in postmarket surveillance plans and agreed upon by the FDA and manufacturers.  This system represents our efforts to ensure that all </w:t>
      </w:r>
      <w:r>
        <w:t xml:space="preserve">522 postmarket surveillance commitments are fulfilled in a timely manner.  For more information we invite interested persons to visit </w:t>
      </w:r>
      <w:r w:rsidR="008454AE">
        <w:t xml:space="preserve">the </w:t>
      </w:r>
      <w:hyperlink>
        <w:r w:rsidR="008454AE">
          <w:t>Postmarket Surveillance CDRH</w:t>
        </w:r>
      </w:hyperlink>
      <w:r w:rsidR="0077680F">
        <w:t xml:space="preserve"> </w:t>
      </w:r>
      <w:r w:rsidR="008454AE">
        <w:t xml:space="preserve">website </w:t>
      </w:r>
      <w:r w:rsidR="0077680F">
        <w:t>(available at</w:t>
      </w:r>
      <w:r w:rsidRPr="5934F6BC" w:rsidR="0077680F">
        <w:t xml:space="preserve"> </w:t>
      </w:r>
      <w:hyperlink r:id="rId10">
        <w:r w:rsidRPr="5934F6BC" w:rsidR="0077680F">
          <w:rPr>
            <w:rStyle w:val="Hyperlink"/>
            <w:i/>
            <w:iCs/>
          </w:rPr>
          <w:t>https://www.fda.gov/medical-devices/postmarket-requirements-devices/522-postmarket-surveillance-studies-program</w:t>
        </w:r>
      </w:hyperlink>
      <w:r w:rsidR="0077680F">
        <w:t>)</w:t>
      </w:r>
      <w:r>
        <w:t>.</w:t>
      </w:r>
    </w:p>
    <w:p w:rsidR="00D826AA" w:rsidP="00D826AA" w14:paraId="6B4C78DB" w14:textId="77777777"/>
    <w:p w:rsidR="00357C8A" w:rsidRPr="00357C8A" w:rsidP="006705EA" w14:paraId="6FC55F6B"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A02D0C" w:rsidP="5934F6BC" w14:paraId="0ECBD413" w14:textId="6487B73A">
      <w:pPr>
        <w:spacing w:after="200"/>
      </w:pPr>
      <w:r>
        <w:t xml:space="preserve">Under section 745A of the FD&amp;C Act, FDA has authority to require the electronic submission of information, and to specify the format for certain submissions.  Accordingly, our Center for Devices and Radiological Health (CDRH) issued and has implemented the guidance, “Providing Regulatory Submissions for Medical Devices in Electronic Format--Submissions Under Section 745A(b) of the Federal Food, Drug, and Cosmetic Act” </w:t>
      </w:r>
      <w:r w:rsidR="005E1E24">
        <w:t xml:space="preserve">(July 2020) </w:t>
      </w:r>
      <w:r w:rsidR="00435430">
        <w:t>(</w:t>
      </w:r>
      <w:r>
        <w:t xml:space="preserve">available at </w:t>
      </w:r>
      <w:hyperlink r:id="rId11">
        <w:r w:rsidRPr="5934F6BC" w:rsidR="00435430">
          <w:rPr>
            <w:rStyle w:val="Hyperlink"/>
            <w:i/>
            <w:iCs/>
          </w:rPr>
          <w:t>https://www.fda.gov/regulatory-information/search-fda-guidance-documents/providing-regulatory-submissions-medical-devices-electronic-format-submissions-under-section-745ab</w:t>
        </w:r>
      </w:hyperlink>
      <w:r w:rsidRPr="5934F6BC" w:rsidR="00435430">
        <w:rPr>
          <w:rStyle w:val="Hyperlink"/>
        </w:rPr>
        <w:t>)</w:t>
      </w:r>
      <w:r>
        <w:t xml:space="preserve">.   Our current authority and information technology infrastructure allows respondents to satisfy </w:t>
      </w:r>
      <w:r w:rsidR="000E34C4">
        <w:t xml:space="preserve">information collection </w:t>
      </w:r>
      <w:r>
        <w:t xml:space="preserve">requirements by submitting a single copy of information in an electronic format.  Information collection associated with electronic record submission requirements is currently approved in </w:t>
      </w:r>
      <w:r w:rsidR="000733CD">
        <w:t xml:space="preserve">OMB </w:t>
      </w:r>
      <w:r w:rsidR="00EE78D1">
        <w:t>Control Number</w:t>
      </w:r>
      <w:r>
        <w:t xml:space="preserve"> 0910-0303.</w:t>
      </w:r>
    </w:p>
    <w:p w:rsidR="00357C8A" w:rsidRPr="00357C8A" w:rsidP="006705EA" w14:paraId="3C93A150"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384F2E" w:rsidRPr="00384F2E" w:rsidP="0053380B" w14:paraId="06A04DB0" w14:textId="77777777">
      <w:pPr>
        <w:spacing w:after="200"/>
      </w:pPr>
      <w:r w:rsidRPr="005C71CA">
        <w:t>We are unaware of duplicative information collection</w:t>
      </w:r>
      <w:r>
        <w:t>.</w:t>
      </w:r>
    </w:p>
    <w:p w:rsidR="00357C8A" w:rsidRPr="00357C8A" w:rsidP="006705EA" w14:paraId="4ED10153"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384F2E" w:rsidP="00384F2E" w14:paraId="432CA352" w14:textId="4ED0C19D">
      <w:r>
        <w:t xml:space="preserve">The information collection poses no undue burden on small entities.  At the same time, FDA continues to provide resources including topic-specific guidance and small business compliance guides, made available on our website.  </w:t>
      </w:r>
      <w:r w:rsidR="00F22211">
        <w:t xml:space="preserve">CDRH’s </w:t>
      </w:r>
      <w:r w:rsidRPr="00FF4E44">
        <w:t>Division of Industry and Consumer Education (DICE)</w:t>
      </w:r>
      <w:r>
        <w:t xml:space="preserve"> also</w:t>
      </w:r>
      <w:r w:rsidRPr="00FF4E44">
        <w:t xml:space="preserve"> provides technical and other nonfinancial assistance to small firms expressly to aid them in complying with the requirements of the FD&amp;C Act, including assistance </w:t>
      </w:r>
      <w:r>
        <w:t>in</w:t>
      </w:r>
      <w:r w:rsidRPr="00FF4E44">
        <w:t xml:space="preserve"> identifying ways manufacturers can avoid postmarket surveillance actions through the use of least burdensome practices.  </w:t>
      </w:r>
      <w:r>
        <w:t>DICE</w:t>
      </w:r>
      <w:r w:rsidRPr="00FF4E44">
        <w:t xml:space="preserve"> activities include participating in and presenting conferences, workshops, and seminars on the application and interpretation of relevant regulations, consulting with individual firms/sponsors, and development and dissemination of educational materials.  </w:t>
      </w:r>
      <w:r>
        <w:t>DICE s</w:t>
      </w:r>
      <w:r w:rsidRPr="00FF4E44">
        <w:t>taff is available to respond to questions and a toll-free telephone number was established to facilitate this communication link.</w:t>
      </w:r>
    </w:p>
    <w:p w:rsidR="00384F2E" w:rsidP="00384F2E" w14:paraId="22825649" w14:textId="77777777"/>
    <w:p w:rsidR="00357C8A" w:rsidRPr="00357C8A" w:rsidP="006705EA" w14:paraId="7D34EBA8"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357C8A" w:rsidRPr="00357C8A" w:rsidP="00357C8A" w14:paraId="7241949F" w14:textId="77777777">
      <w:pPr>
        <w:spacing w:after="200"/>
        <w:rPr>
          <w:rFonts w:eastAsia="Calibri"/>
          <w:color w:val="FF0000"/>
        </w:rPr>
      </w:pPr>
      <w:r>
        <w:rPr>
          <w:rFonts w:eastAsia="Calibri"/>
        </w:rPr>
        <w:t>The information collection is consistent with statutory and regulatory requirements.</w:t>
      </w:r>
    </w:p>
    <w:p w:rsidR="00357C8A" w:rsidRPr="00357C8A" w:rsidP="006705EA" w14:paraId="58EF9D0F"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P="0022425B" w14:paraId="7B6927AE" w14:textId="77777777">
      <w:pPr>
        <w:spacing w:after="200"/>
        <w:rPr>
          <w:rFonts w:eastAsia="Calibri"/>
        </w:rPr>
      </w:pPr>
      <w:r>
        <w:rPr>
          <w:rFonts w:eastAsia="Calibri"/>
        </w:rPr>
        <w:t xml:space="preserve">There are no special circumstances associated with the information collection. </w:t>
      </w:r>
    </w:p>
    <w:p w:rsidR="000F49B3" w:rsidRPr="00357C8A" w:rsidP="0022425B" w14:paraId="6DA753AF" w14:textId="77777777">
      <w:pPr>
        <w:spacing w:after="200"/>
        <w:rPr>
          <w:rFonts w:eastAsia="Calibri"/>
        </w:rPr>
      </w:pPr>
    </w:p>
    <w:p w:rsidR="00357C8A" w:rsidRPr="00357C8A" w:rsidP="006705EA" w14:paraId="0C24393F"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5934F6BC" w:rsidP="5934F6BC" w14:paraId="2EE69B61" w14:textId="2D3C8286">
      <w:pPr>
        <w:spacing w:after="200" w:line="276" w:lineRule="auto"/>
      </w:pPr>
      <w:r>
        <w:t xml:space="preserve">In the </w:t>
      </w:r>
      <w:r w:rsidRPr="5934F6BC">
        <w:rPr>
          <w:i/>
          <w:iCs/>
        </w:rPr>
        <w:t xml:space="preserve">Federal </w:t>
      </w:r>
      <w:r w:rsidRPr="00F9669C">
        <w:rPr>
          <w:i/>
          <w:iCs/>
        </w:rPr>
        <w:t>Register</w:t>
      </w:r>
      <w:r w:rsidRPr="00F9669C">
        <w:t xml:space="preserve"> of </w:t>
      </w:r>
      <w:r w:rsidRPr="00F9669C" w:rsidR="00F9669C">
        <w:t>June 16, 2026</w:t>
      </w:r>
      <w:r w:rsidRPr="00F9669C">
        <w:t xml:space="preserve"> (</w:t>
      </w:r>
      <w:r w:rsidRPr="00F9669C" w:rsidR="00F9669C">
        <w:t>90 FR 25318</w:t>
      </w:r>
      <w:r w:rsidRPr="00F9669C">
        <w:t>), we published</w:t>
      </w:r>
      <w:r>
        <w:t xml:space="preserve"> a 60-day notice requesting public comment on the proposed collection of information.</w:t>
      </w:r>
      <w:r w:rsidR="00F9669C">
        <w:t xml:space="preserve"> No comments were received.</w:t>
      </w:r>
    </w:p>
    <w:p w:rsidR="00357C8A" w:rsidRPr="00357C8A" w:rsidP="006705EA" w14:paraId="0A7F0564" w14:textId="77777777">
      <w:pPr>
        <w:numPr>
          <w:ilvl w:val="0"/>
          <w:numId w:val="6"/>
        </w:numPr>
        <w:spacing w:after="200" w:line="276" w:lineRule="auto"/>
        <w:rPr>
          <w:rFonts w:eastAsia="Calibri"/>
        </w:rPr>
      </w:pPr>
      <w:r w:rsidRPr="0682B400">
        <w:rPr>
          <w:rFonts w:eastAsia="Calibri"/>
          <w:u w:val="single"/>
        </w:rPr>
        <w:t>Explanation of Any Payment or Gift to Respondents</w:t>
      </w:r>
    </w:p>
    <w:p w:rsidR="00384F2E" w:rsidP="0682B400" w14:paraId="45FE7976" w14:textId="121F900A">
      <w:r w:rsidRPr="0682B400">
        <w:t>There are no incentives, payments or gifts associated with this information collection</w:t>
      </w:r>
      <w:r>
        <w:t>.</w:t>
      </w:r>
    </w:p>
    <w:p w:rsidR="00384F2E" w:rsidRPr="00D261DF" w:rsidP="00384F2E" w14:paraId="4E867D2E" w14:textId="77777777">
      <w:pPr>
        <w:ind w:left="360"/>
      </w:pPr>
    </w:p>
    <w:p w:rsidR="00357C8A" w:rsidRPr="00357C8A" w:rsidP="006705EA" w14:paraId="187D3B55" w14:textId="77777777">
      <w:pPr>
        <w:numPr>
          <w:ilvl w:val="0"/>
          <w:numId w:val="6"/>
        </w:numPr>
        <w:spacing w:after="200" w:line="276" w:lineRule="auto"/>
        <w:rPr>
          <w:rFonts w:eastAsia="Calibri"/>
        </w:rPr>
      </w:pPr>
      <w:r w:rsidRPr="5EAC1013">
        <w:rPr>
          <w:rFonts w:eastAsia="Calibri"/>
          <w:u w:val="single"/>
        </w:rPr>
        <w:t>Assurance of Confidentiality Provided to Respondents</w:t>
      </w:r>
    </w:p>
    <w:p w:rsidR="001075D3" w:rsidRPr="001075D3" w:rsidP="5EAC1013" w14:paraId="3E8943A1" w14:textId="5BC15017">
      <w:pPr>
        <w:spacing w:after="200"/>
      </w:pPr>
      <w:r w:rsidRPr="5EAC1013">
        <w:t>In preparing this Supporting Statement, we consulted our Privacy Office to ensure appropriate identification and handling of information collected.</w:t>
      </w:r>
    </w:p>
    <w:p w:rsidR="001075D3" w:rsidRPr="001075D3" w:rsidP="5EAC1013" w14:paraId="72B659AE" w14:textId="111CF866">
      <w:pPr>
        <w:spacing w:after="200"/>
      </w:pPr>
      <w:r w:rsidRPr="1CCAD706">
        <w:t>This ICR collects personally identifiable information (PII). PII is collected in the context of the subject individuals’ professional capacity and the FDA-related work they perform for their employer (e.g., point of contact at a regulated entity). The PII collected is name, work address, work email address, work telephone number and occasionally work fax number. FDA determined that although PII is collected, the collection is not subject to the Privacy Act of 1974 and the particular notice and other requirements of the Act do not apply. Specifically, FDA does not use name or any other personal identifier to retrieve records from the information collected. Through appropriate form and webpage design, FDA limited submission fields and minimized the PII collected to protect the privacy of the individuals.</w:t>
      </w:r>
    </w:p>
    <w:p w:rsidR="001075D3" w:rsidRPr="001075D3" w:rsidP="1CCAD706" w14:paraId="60F196BA" w14:textId="29A35C5E">
      <w:pPr>
        <w:spacing w:after="200"/>
        <w:rPr>
          <w:i/>
          <w:iCs/>
        </w:rPr>
      </w:pPr>
      <w:r w:rsidRPr="1CCAD706">
        <w:t>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r w:rsidRPr="1CCAD706">
        <w:rPr>
          <w:i/>
          <w:iCs/>
        </w:rPr>
        <w:t xml:space="preserve"> </w:t>
      </w:r>
    </w:p>
    <w:p w:rsidR="00357C8A" w:rsidRPr="00357C8A" w:rsidP="006705EA" w14:paraId="2F303A08"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RPr="00357C8A" w:rsidP="0022425B" w14:paraId="682F244A" w14:textId="77777777">
      <w:pPr>
        <w:spacing w:after="200"/>
        <w:rPr>
          <w:rFonts w:eastAsia="Calibri"/>
          <w:color w:val="FF0000"/>
        </w:rPr>
      </w:pPr>
      <w:r>
        <w:rPr>
          <w:rFonts w:eastAsia="Calibri"/>
        </w:rPr>
        <w:t>The collection of information does not involve sensitive questions.</w:t>
      </w:r>
    </w:p>
    <w:p w:rsidR="00357C8A" w:rsidRPr="00357C8A" w:rsidP="006705EA" w14:paraId="73900D7C"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RPr="005C71CA" w:rsidP="0022425B" w14:paraId="78624FBF" w14:textId="77777777">
      <w:pPr>
        <w:spacing w:after="200"/>
        <w:ind w:left="360"/>
        <w:rPr>
          <w:rFonts w:eastAsia="Calibri"/>
        </w:rPr>
      </w:pPr>
      <w:r w:rsidRPr="005C71CA">
        <w:rPr>
          <w:rFonts w:eastAsia="Calibri"/>
        </w:rPr>
        <w:t xml:space="preserve">12a.  </w:t>
      </w:r>
      <w:r w:rsidRPr="008A049C">
        <w:rPr>
          <w:rFonts w:eastAsia="Calibri"/>
        </w:rPr>
        <w:t>Annualized Hour Burden Estimate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1"/>
        <w:gridCol w:w="1258"/>
        <w:gridCol w:w="1813"/>
        <w:gridCol w:w="1447"/>
        <w:gridCol w:w="1568"/>
        <w:gridCol w:w="1057"/>
      </w:tblGrid>
      <w:tr w14:paraId="2E0C62E2" w14:textId="77777777" w:rsidTr="00FA32A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0"/>
          <w:tblHeader/>
        </w:trPr>
        <w:tc>
          <w:tcPr>
            <w:tcW w:w="5000" w:type="pct"/>
            <w:gridSpan w:val="6"/>
            <w:tcBorders>
              <w:top w:val="nil"/>
              <w:left w:val="nil"/>
              <w:right w:val="nil"/>
            </w:tcBorders>
            <w:shd w:val="clear" w:color="auto" w:fill="auto"/>
          </w:tcPr>
          <w:p w:rsidR="008A049C" w:rsidRPr="008A049C" w:rsidP="008A049C" w14:paraId="6E9A3C68" w14:textId="77777777">
            <w:pPr>
              <w:jc w:val="center"/>
              <w:rPr>
                <w:sz w:val="20"/>
                <w:szCs w:val="20"/>
              </w:rPr>
            </w:pPr>
            <w:r w:rsidRPr="008A049C">
              <w:rPr>
                <w:sz w:val="20"/>
                <w:szCs w:val="20"/>
              </w:rPr>
              <w:t>Table 1.--Estimated Annual Reporting Burden</w:t>
            </w:r>
            <w:r w:rsidRPr="008A049C">
              <w:rPr>
                <w:sz w:val="20"/>
                <w:szCs w:val="20"/>
                <w:vertAlign w:val="superscript"/>
              </w:rPr>
              <w:t>1</w:t>
            </w:r>
          </w:p>
        </w:tc>
      </w:tr>
      <w:tr w14:paraId="5A87767B" w14:textId="77777777" w:rsidTr="00FA32A1">
        <w:tblPrEx>
          <w:tblW w:w="5000" w:type="pct"/>
          <w:tblLook w:val="01E0"/>
        </w:tblPrEx>
        <w:trPr>
          <w:cantSplit/>
          <w:trHeight w:val="20"/>
        </w:trPr>
        <w:tc>
          <w:tcPr>
            <w:tcW w:w="1242" w:type="pct"/>
            <w:shd w:val="clear" w:color="auto" w:fill="auto"/>
          </w:tcPr>
          <w:p w:rsidR="008A049C" w:rsidRPr="008A049C" w:rsidP="008A049C" w14:paraId="2C3A50BE" w14:textId="77777777">
            <w:pPr>
              <w:jc w:val="center"/>
              <w:rPr>
                <w:sz w:val="20"/>
                <w:szCs w:val="20"/>
              </w:rPr>
            </w:pPr>
            <w:r w:rsidRPr="008A049C">
              <w:rPr>
                <w:sz w:val="20"/>
                <w:szCs w:val="20"/>
              </w:rPr>
              <w:t>21 CFR Part/Activity</w:t>
            </w:r>
          </w:p>
          <w:p w:rsidR="008A049C" w:rsidRPr="008A049C" w:rsidP="008A049C" w14:paraId="54385E4A" w14:textId="77777777">
            <w:pPr>
              <w:jc w:val="center"/>
              <w:rPr>
                <w:sz w:val="20"/>
                <w:szCs w:val="20"/>
              </w:rPr>
            </w:pPr>
          </w:p>
        </w:tc>
        <w:tc>
          <w:tcPr>
            <w:tcW w:w="662" w:type="pct"/>
            <w:shd w:val="clear" w:color="auto" w:fill="auto"/>
          </w:tcPr>
          <w:p w:rsidR="008A049C" w:rsidRPr="008A049C" w:rsidP="008A049C" w14:paraId="118631D9" w14:textId="77777777">
            <w:pPr>
              <w:jc w:val="center"/>
              <w:rPr>
                <w:sz w:val="20"/>
                <w:szCs w:val="20"/>
              </w:rPr>
            </w:pPr>
            <w:r w:rsidRPr="008A049C">
              <w:rPr>
                <w:sz w:val="20"/>
                <w:szCs w:val="20"/>
              </w:rPr>
              <w:t>No. of Respondents</w:t>
            </w:r>
          </w:p>
        </w:tc>
        <w:tc>
          <w:tcPr>
            <w:tcW w:w="954" w:type="pct"/>
            <w:shd w:val="clear" w:color="auto" w:fill="auto"/>
          </w:tcPr>
          <w:p w:rsidR="008A049C" w:rsidRPr="008A049C" w:rsidP="008A049C" w14:paraId="64331A10" w14:textId="77777777">
            <w:pPr>
              <w:jc w:val="center"/>
              <w:rPr>
                <w:sz w:val="20"/>
                <w:szCs w:val="20"/>
              </w:rPr>
            </w:pPr>
            <w:r w:rsidRPr="008A049C">
              <w:rPr>
                <w:bCs/>
                <w:sz w:val="20"/>
                <w:szCs w:val="20"/>
              </w:rPr>
              <w:t>No. of Responses per Respondent</w:t>
            </w:r>
          </w:p>
        </w:tc>
        <w:tc>
          <w:tcPr>
            <w:tcW w:w="761" w:type="pct"/>
            <w:shd w:val="clear" w:color="auto" w:fill="auto"/>
          </w:tcPr>
          <w:p w:rsidR="008A049C" w:rsidRPr="008A049C" w:rsidP="008A049C" w14:paraId="177BB58D" w14:textId="77777777">
            <w:pPr>
              <w:jc w:val="center"/>
              <w:rPr>
                <w:sz w:val="20"/>
                <w:szCs w:val="20"/>
              </w:rPr>
            </w:pPr>
            <w:r w:rsidRPr="008A049C">
              <w:rPr>
                <w:sz w:val="20"/>
                <w:szCs w:val="20"/>
              </w:rPr>
              <w:t>Total Annual Responses</w:t>
            </w:r>
          </w:p>
        </w:tc>
        <w:tc>
          <w:tcPr>
            <w:tcW w:w="825" w:type="pct"/>
            <w:shd w:val="clear" w:color="auto" w:fill="auto"/>
          </w:tcPr>
          <w:p w:rsidR="008A049C" w:rsidRPr="008A049C" w:rsidP="008A049C" w14:paraId="7FF09E9C" w14:textId="77777777">
            <w:pPr>
              <w:jc w:val="center"/>
              <w:rPr>
                <w:sz w:val="20"/>
                <w:szCs w:val="20"/>
              </w:rPr>
            </w:pPr>
            <w:r w:rsidRPr="008A049C">
              <w:rPr>
                <w:bCs/>
                <w:sz w:val="20"/>
                <w:szCs w:val="20"/>
              </w:rPr>
              <w:t>Average Burden per Response</w:t>
            </w:r>
          </w:p>
        </w:tc>
        <w:tc>
          <w:tcPr>
            <w:tcW w:w="556" w:type="pct"/>
            <w:shd w:val="clear" w:color="auto" w:fill="auto"/>
          </w:tcPr>
          <w:p w:rsidR="008A049C" w:rsidRPr="008A049C" w:rsidP="008A049C" w14:paraId="4D01D64F" w14:textId="77777777">
            <w:pPr>
              <w:jc w:val="center"/>
              <w:rPr>
                <w:sz w:val="20"/>
                <w:szCs w:val="20"/>
              </w:rPr>
            </w:pPr>
            <w:r w:rsidRPr="008A049C">
              <w:rPr>
                <w:sz w:val="20"/>
                <w:szCs w:val="20"/>
              </w:rPr>
              <w:t>Total Hours</w:t>
            </w:r>
          </w:p>
        </w:tc>
      </w:tr>
      <w:tr w14:paraId="05A66E94" w14:textId="77777777" w:rsidTr="00FA32A1">
        <w:tblPrEx>
          <w:tblW w:w="5000" w:type="pct"/>
          <w:tblLook w:val="01E0"/>
        </w:tblPrEx>
        <w:trPr>
          <w:cantSplit/>
          <w:trHeight w:val="20"/>
        </w:trPr>
        <w:tc>
          <w:tcPr>
            <w:tcW w:w="1242" w:type="pct"/>
            <w:shd w:val="clear" w:color="auto" w:fill="auto"/>
          </w:tcPr>
          <w:p w:rsidR="008A049C" w:rsidRPr="008A049C" w:rsidP="008A049C" w14:paraId="19D92819" w14:textId="77777777">
            <w:pPr>
              <w:rPr>
                <w:sz w:val="20"/>
                <w:szCs w:val="20"/>
              </w:rPr>
            </w:pPr>
            <w:r w:rsidRPr="008A049C">
              <w:rPr>
                <w:color w:val="333333"/>
                <w:sz w:val="20"/>
                <w:szCs w:val="20"/>
              </w:rPr>
              <w:t>§§ 822.9 and 822.10; PS submission</w:t>
            </w:r>
          </w:p>
        </w:tc>
        <w:tc>
          <w:tcPr>
            <w:tcW w:w="662" w:type="pct"/>
            <w:shd w:val="clear" w:color="auto" w:fill="auto"/>
          </w:tcPr>
          <w:p w:rsidR="008A049C" w:rsidRPr="008A049C" w:rsidP="008A049C" w14:paraId="3AE411A3" w14:textId="276BC409">
            <w:pPr>
              <w:jc w:val="right"/>
              <w:rPr>
                <w:sz w:val="20"/>
                <w:szCs w:val="20"/>
              </w:rPr>
            </w:pPr>
            <w:r>
              <w:rPr>
                <w:sz w:val="20"/>
                <w:szCs w:val="20"/>
              </w:rPr>
              <w:t>3</w:t>
            </w:r>
          </w:p>
        </w:tc>
        <w:tc>
          <w:tcPr>
            <w:tcW w:w="954" w:type="pct"/>
            <w:shd w:val="clear" w:color="auto" w:fill="auto"/>
          </w:tcPr>
          <w:p w:rsidR="008A049C" w:rsidRPr="008A049C" w:rsidP="008A049C" w14:paraId="5A8569CA" w14:textId="77777777">
            <w:pPr>
              <w:jc w:val="right"/>
              <w:rPr>
                <w:sz w:val="20"/>
                <w:szCs w:val="20"/>
              </w:rPr>
            </w:pPr>
            <w:r w:rsidRPr="008A049C">
              <w:rPr>
                <w:color w:val="333333"/>
                <w:sz w:val="20"/>
                <w:szCs w:val="20"/>
              </w:rPr>
              <w:t>1</w:t>
            </w:r>
          </w:p>
        </w:tc>
        <w:tc>
          <w:tcPr>
            <w:tcW w:w="761" w:type="pct"/>
            <w:shd w:val="clear" w:color="auto" w:fill="auto"/>
          </w:tcPr>
          <w:p w:rsidR="008A049C" w:rsidRPr="008A049C" w:rsidP="008A049C" w14:paraId="4B38407A" w14:textId="51E85105">
            <w:pPr>
              <w:jc w:val="right"/>
              <w:rPr>
                <w:sz w:val="20"/>
                <w:szCs w:val="20"/>
              </w:rPr>
            </w:pPr>
            <w:r>
              <w:rPr>
                <w:color w:val="333333"/>
                <w:sz w:val="20"/>
                <w:szCs w:val="20"/>
              </w:rPr>
              <w:t>3</w:t>
            </w:r>
          </w:p>
        </w:tc>
        <w:tc>
          <w:tcPr>
            <w:tcW w:w="825" w:type="pct"/>
            <w:shd w:val="clear" w:color="auto" w:fill="auto"/>
          </w:tcPr>
          <w:p w:rsidR="008A049C" w:rsidRPr="008A049C" w:rsidP="008A049C" w14:paraId="480E56D8" w14:textId="77777777">
            <w:pPr>
              <w:jc w:val="right"/>
              <w:rPr>
                <w:sz w:val="20"/>
                <w:szCs w:val="20"/>
              </w:rPr>
            </w:pPr>
            <w:r w:rsidRPr="008A049C">
              <w:rPr>
                <w:color w:val="333333"/>
                <w:sz w:val="20"/>
                <w:szCs w:val="20"/>
              </w:rPr>
              <w:t>120</w:t>
            </w:r>
          </w:p>
        </w:tc>
        <w:tc>
          <w:tcPr>
            <w:tcW w:w="556" w:type="pct"/>
            <w:shd w:val="clear" w:color="auto" w:fill="auto"/>
          </w:tcPr>
          <w:p w:rsidR="008A049C" w:rsidRPr="008A049C" w:rsidP="008A049C" w14:paraId="69268418" w14:textId="3B5A94CE">
            <w:pPr>
              <w:jc w:val="right"/>
              <w:rPr>
                <w:sz w:val="20"/>
                <w:szCs w:val="20"/>
              </w:rPr>
            </w:pPr>
            <w:r>
              <w:rPr>
                <w:sz w:val="20"/>
                <w:szCs w:val="20"/>
              </w:rPr>
              <w:t>360</w:t>
            </w:r>
          </w:p>
        </w:tc>
      </w:tr>
      <w:tr w14:paraId="384CDEC8" w14:textId="77777777" w:rsidTr="00FA32A1">
        <w:tblPrEx>
          <w:tblW w:w="5000" w:type="pct"/>
          <w:tblLook w:val="01E0"/>
        </w:tblPrEx>
        <w:trPr>
          <w:cantSplit/>
          <w:trHeight w:val="20"/>
        </w:trPr>
        <w:tc>
          <w:tcPr>
            <w:tcW w:w="1242" w:type="pct"/>
            <w:shd w:val="clear" w:color="auto" w:fill="auto"/>
          </w:tcPr>
          <w:p w:rsidR="008A049C" w:rsidRPr="008A049C" w:rsidP="008A049C" w14:paraId="5CECDFC8" w14:textId="77777777">
            <w:pPr>
              <w:rPr>
                <w:sz w:val="20"/>
                <w:szCs w:val="20"/>
              </w:rPr>
            </w:pPr>
            <w:r w:rsidRPr="008A049C">
              <w:rPr>
                <w:color w:val="333333"/>
                <w:sz w:val="20"/>
                <w:szCs w:val="20"/>
              </w:rPr>
              <w:t>§ 822.21; Changes to PS plan after approval</w:t>
            </w:r>
          </w:p>
        </w:tc>
        <w:tc>
          <w:tcPr>
            <w:tcW w:w="662" w:type="pct"/>
            <w:shd w:val="clear" w:color="auto" w:fill="auto"/>
          </w:tcPr>
          <w:p w:rsidR="008A049C" w:rsidRPr="008A049C" w:rsidP="008A049C" w14:paraId="0651E875" w14:textId="780C9CFA">
            <w:pPr>
              <w:jc w:val="right"/>
              <w:rPr>
                <w:sz w:val="20"/>
                <w:szCs w:val="20"/>
              </w:rPr>
            </w:pPr>
            <w:r>
              <w:rPr>
                <w:sz w:val="20"/>
                <w:szCs w:val="20"/>
              </w:rPr>
              <w:t>8</w:t>
            </w:r>
          </w:p>
        </w:tc>
        <w:tc>
          <w:tcPr>
            <w:tcW w:w="954" w:type="pct"/>
            <w:shd w:val="clear" w:color="auto" w:fill="auto"/>
          </w:tcPr>
          <w:p w:rsidR="008A049C" w:rsidRPr="008A049C" w:rsidP="008A049C" w14:paraId="0F4F7A18" w14:textId="77777777">
            <w:pPr>
              <w:jc w:val="right"/>
              <w:rPr>
                <w:sz w:val="20"/>
                <w:szCs w:val="20"/>
              </w:rPr>
            </w:pPr>
            <w:r w:rsidRPr="008A049C">
              <w:rPr>
                <w:color w:val="333333"/>
                <w:sz w:val="20"/>
                <w:szCs w:val="20"/>
              </w:rPr>
              <w:t>1</w:t>
            </w:r>
          </w:p>
        </w:tc>
        <w:tc>
          <w:tcPr>
            <w:tcW w:w="761" w:type="pct"/>
            <w:shd w:val="clear" w:color="auto" w:fill="auto"/>
          </w:tcPr>
          <w:p w:rsidR="008A049C" w:rsidRPr="008A049C" w:rsidP="008A049C" w14:paraId="770B96EC" w14:textId="4588C3D6">
            <w:pPr>
              <w:jc w:val="right"/>
              <w:rPr>
                <w:sz w:val="20"/>
                <w:szCs w:val="20"/>
              </w:rPr>
            </w:pPr>
            <w:r>
              <w:rPr>
                <w:color w:val="333333"/>
                <w:sz w:val="20"/>
                <w:szCs w:val="20"/>
              </w:rPr>
              <w:t>8</w:t>
            </w:r>
          </w:p>
        </w:tc>
        <w:tc>
          <w:tcPr>
            <w:tcW w:w="825" w:type="pct"/>
            <w:shd w:val="clear" w:color="auto" w:fill="auto"/>
          </w:tcPr>
          <w:p w:rsidR="008A049C" w:rsidRPr="008A049C" w:rsidP="008A049C" w14:paraId="12A9E262" w14:textId="77777777">
            <w:pPr>
              <w:jc w:val="right"/>
              <w:rPr>
                <w:sz w:val="20"/>
                <w:szCs w:val="20"/>
              </w:rPr>
            </w:pPr>
            <w:r w:rsidRPr="008A049C">
              <w:rPr>
                <w:color w:val="333333"/>
                <w:sz w:val="20"/>
                <w:szCs w:val="20"/>
              </w:rPr>
              <w:t>40</w:t>
            </w:r>
          </w:p>
        </w:tc>
        <w:tc>
          <w:tcPr>
            <w:tcW w:w="556" w:type="pct"/>
            <w:shd w:val="clear" w:color="auto" w:fill="auto"/>
          </w:tcPr>
          <w:p w:rsidR="008A049C" w:rsidRPr="008A049C" w:rsidP="008A049C" w14:paraId="1A5E8CD1" w14:textId="1967E605">
            <w:pPr>
              <w:jc w:val="right"/>
              <w:rPr>
                <w:sz w:val="20"/>
                <w:szCs w:val="20"/>
              </w:rPr>
            </w:pPr>
            <w:r>
              <w:rPr>
                <w:color w:val="333333"/>
                <w:sz w:val="20"/>
                <w:szCs w:val="20"/>
              </w:rPr>
              <w:t>320</w:t>
            </w:r>
          </w:p>
        </w:tc>
      </w:tr>
      <w:tr w14:paraId="2E6A7E49" w14:textId="77777777" w:rsidTr="00FA32A1">
        <w:tblPrEx>
          <w:tblW w:w="5000" w:type="pct"/>
          <w:tblLook w:val="01E0"/>
        </w:tblPrEx>
        <w:trPr>
          <w:cantSplit/>
          <w:trHeight w:val="20"/>
        </w:trPr>
        <w:tc>
          <w:tcPr>
            <w:tcW w:w="1242" w:type="pct"/>
            <w:shd w:val="clear" w:color="auto" w:fill="auto"/>
          </w:tcPr>
          <w:p w:rsidR="008A049C" w:rsidRPr="008A049C" w:rsidP="008A049C" w14:paraId="780B629D" w14:textId="77777777">
            <w:pPr>
              <w:rPr>
                <w:sz w:val="20"/>
                <w:szCs w:val="20"/>
              </w:rPr>
            </w:pPr>
            <w:r w:rsidRPr="008A049C">
              <w:rPr>
                <w:color w:val="333333"/>
                <w:sz w:val="20"/>
                <w:szCs w:val="20"/>
              </w:rPr>
              <w:t>§ 822.28; Changes to PS plan for a device that is no longer marketed</w:t>
            </w:r>
          </w:p>
        </w:tc>
        <w:tc>
          <w:tcPr>
            <w:tcW w:w="662" w:type="pct"/>
            <w:shd w:val="clear" w:color="auto" w:fill="auto"/>
          </w:tcPr>
          <w:p w:rsidR="008A049C" w:rsidRPr="008A049C" w:rsidP="008A049C" w14:paraId="67D31792" w14:textId="77777777">
            <w:pPr>
              <w:jc w:val="right"/>
              <w:rPr>
                <w:sz w:val="20"/>
                <w:szCs w:val="20"/>
              </w:rPr>
            </w:pPr>
            <w:r w:rsidRPr="008A049C">
              <w:rPr>
                <w:color w:val="333333"/>
                <w:sz w:val="20"/>
                <w:szCs w:val="20"/>
              </w:rPr>
              <w:t>1</w:t>
            </w:r>
          </w:p>
        </w:tc>
        <w:tc>
          <w:tcPr>
            <w:tcW w:w="954" w:type="pct"/>
            <w:shd w:val="clear" w:color="auto" w:fill="auto"/>
          </w:tcPr>
          <w:p w:rsidR="008A049C" w:rsidRPr="008A049C" w:rsidP="008A049C" w14:paraId="283C23AB" w14:textId="77777777">
            <w:pPr>
              <w:jc w:val="right"/>
              <w:rPr>
                <w:sz w:val="20"/>
                <w:szCs w:val="20"/>
              </w:rPr>
            </w:pPr>
            <w:r w:rsidRPr="008A049C">
              <w:rPr>
                <w:color w:val="333333"/>
                <w:sz w:val="20"/>
                <w:szCs w:val="20"/>
              </w:rPr>
              <w:t>1</w:t>
            </w:r>
          </w:p>
        </w:tc>
        <w:tc>
          <w:tcPr>
            <w:tcW w:w="761" w:type="pct"/>
            <w:shd w:val="clear" w:color="auto" w:fill="auto"/>
          </w:tcPr>
          <w:p w:rsidR="008A049C" w:rsidRPr="008A049C" w:rsidP="008A049C" w14:paraId="2631129E" w14:textId="77777777">
            <w:pPr>
              <w:jc w:val="right"/>
              <w:rPr>
                <w:sz w:val="20"/>
                <w:szCs w:val="20"/>
              </w:rPr>
            </w:pPr>
            <w:r w:rsidRPr="008A049C">
              <w:rPr>
                <w:color w:val="333333"/>
                <w:sz w:val="20"/>
                <w:szCs w:val="20"/>
              </w:rPr>
              <w:t>1</w:t>
            </w:r>
          </w:p>
        </w:tc>
        <w:tc>
          <w:tcPr>
            <w:tcW w:w="825" w:type="pct"/>
            <w:shd w:val="clear" w:color="auto" w:fill="auto"/>
          </w:tcPr>
          <w:p w:rsidR="008A049C" w:rsidRPr="008A049C" w:rsidP="008A049C" w14:paraId="43A3F36B" w14:textId="77777777">
            <w:pPr>
              <w:jc w:val="right"/>
              <w:rPr>
                <w:sz w:val="20"/>
                <w:szCs w:val="20"/>
              </w:rPr>
            </w:pPr>
            <w:r w:rsidRPr="008A049C">
              <w:rPr>
                <w:color w:val="333333"/>
                <w:sz w:val="20"/>
                <w:szCs w:val="20"/>
              </w:rPr>
              <w:t>8</w:t>
            </w:r>
          </w:p>
        </w:tc>
        <w:tc>
          <w:tcPr>
            <w:tcW w:w="556" w:type="pct"/>
            <w:shd w:val="clear" w:color="auto" w:fill="auto"/>
          </w:tcPr>
          <w:p w:rsidR="008A049C" w:rsidRPr="008A049C" w:rsidP="008A049C" w14:paraId="03BE164F" w14:textId="77777777">
            <w:pPr>
              <w:jc w:val="right"/>
              <w:rPr>
                <w:sz w:val="20"/>
                <w:szCs w:val="20"/>
              </w:rPr>
            </w:pPr>
            <w:r w:rsidRPr="008A049C">
              <w:rPr>
                <w:color w:val="333333"/>
                <w:sz w:val="20"/>
                <w:szCs w:val="20"/>
              </w:rPr>
              <w:t>8</w:t>
            </w:r>
          </w:p>
        </w:tc>
      </w:tr>
      <w:tr w14:paraId="201E1240" w14:textId="77777777" w:rsidTr="00FA32A1">
        <w:tblPrEx>
          <w:tblW w:w="5000" w:type="pct"/>
          <w:tblLook w:val="01E0"/>
        </w:tblPrEx>
        <w:trPr>
          <w:cantSplit/>
          <w:trHeight w:val="20"/>
        </w:trPr>
        <w:tc>
          <w:tcPr>
            <w:tcW w:w="1242" w:type="pct"/>
            <w:shd w:val="clear" w:color="auto" w:fill="auto"/>
          </w:tcPr>
          <w:p w:rsidR="008A049C" w:rsidRPr="008A049C" w:rsidP="008A049C" w14:paraId="467B8917" w14:textId="77777777">
            <w:pPr>
              <w:rPr>
                <w:sz w:val="20"/>
                <w:szCs w:val="20"/>
              </w:rPr>
            </w:pPr>
            <w:r w:rsidRPr="008A049C">
              <w:rPr>
                <w:color w:val="333333"/>
                <w:sz w:val="20"/>
                <w:szCs w:val="20"/>
              </w:rPr>
              <w:t>§ 822.29; Waiver</w:t>
            </w:r>
          </w:p>
        </w:tc>
        <w:tc>
          <w:tcPr>
            <w:tcW w:w="662" w:type="pct"/>
            <w:shd w:val="clear" w:color="auto" w:fill="auto"/>
          </w:tcPr>
          <w:p w:rsidR="008A049C" w:rsidRPr="008A049C" w:rsidP="008A049C" w14:paraId="0C4717A4" w14:textId="77777777">
            <w:pPr>
              <w:jc w:val="right"/>
              <w:rPr>
                <w:sz w:val="20"/>
                <w:szCs w:val="20"/>
              </w:rPr>
            </w:pPr>
            <w:r w:rsidRPr="008A049C">
              <w:rPr>
                <w:color w:val="333333"/>
                <w:sz w:val="20"/>
                <w:szCs w:val="20"/>
              </w:rPr>
              <w:t>1</w:t>
            </w:r>
          </w:p>
        </w:tc>
        <w:tc>
          <w:tcPr>
            <w:tcW w:w="954" w:type="pct"/>
            <w:shd w:val="clear" w:color="auto" w:fill="auto"/>
          </w:tcPr>
          <w:p w:rsidR="008A049C" w:rsidRPr="008A049C" w:rsidP="008A049C" w14:paraId="1E62B1B7" w14:textId="77777777">
            <w:pPr>
              <w:jc w:val="right"/>
              <w:rPr>
                <w:sz w:val="20"/>
                <w:szCs w:val="20"/>
              </w:rPr>
            </w:pPr>
            <w:r w:rsidRPr="008A049C">
              <w:rPr>
                <w:color w:val="333333"/>
                <w:sz w:val="20"/>
                <w:szCs w:val="20"/>
              </w:rPr>
              <w:t>1</w:t>
            </w:r>
          </w:p>
        </w:tc>
        <w:tc>
          <w:tcPr>
            <w:tcW w:w="761" w:type="pct"/>
            <w:shd w:val="clear" w:color="auto" w:fill="auto"/>
          </w:tcPr>
          <w:p w:rsidR="008A049C" w:rsidRPr="008A049C" w:rsidP="008A049C" w14:paraId="4B4889BA" w14:textId="77777777">
            <w:pPr>
              <w:jc w:val="right"/>
              <w:rPr>
                <w:sz w:val="20"/>
                <w:szCs w:val="20"/>
              </w:rPr>
            </w:pPr>
            <w:r w:rsidRPr="008A049C">
              <w:rPr>
                <w:color w:val="333333"/>
                <w:sz w:val="20"/>
                <w:szCs w:val="20"/>
              </w:rPr>
              <w:t>1</w:t>
            </w:r>
          </w:p>
        </w:tc>
        <w:tc>
          <w:tcPr>
            <w:tcW w:w="825" w:type="pct"/>
            <w:shd w:val="clear" w:color="auto" w:fill="auto"/>
          </w:tcPr>
          <w:p w:rsidR="008A049C" w:rsidRPr="008A049C" w:rsidP="008A049C" w14:paraId="38D89304" w14:textId="77777777">
            <w:pPr>
              <w:jc w:val="right"/>
              <w:rPr>
                <w:sz w:val="20"/>
                <w:szCs w:val="20"/>
              </w:rPr>
            </w:pPr>
            <w:r w:rsidRPr="008A049C">
              <w:rPr>
                <w:color w:val="333333"/>
                <w:sz w:val="20"/>
                <w:szCs w:val="20"/>
              </w:rPr>
              <w:t>40</w:t>
            </w:r>
          </w:p>
        </w:tc>
        <w:tc>
          <w:tcPr>
            <w:tcW w:w="556" w:type="pct"/>
            <w:shd w:val="clear" w:color="auto" w:fill="auto"/>
          </w:tcPr>
          <w:p w:rsidR="008A049C" w:rsidRPr="008A049C" w:rsidP="008A049C" w14:paraId="678CD040" w14:textId="77777777">
            <w:pPr>
              <w:jc w:val="right"/>
              <w:rPr>
                <w:sz w:val="20"/>
                <w:szCs w:val="20"/>
              </w:rPr>
            </w:pPr>
            <w:r w:rsidRPr="008A049C">
              <w:rPr>
                <w:color w:val="333333"/>
                <w:sz w:val="20"/>
                <w:szCs w:val="20"/>
              </w:rPr>
              <w:t>40</w:t>
            </w:r>
          </w:p>
        </w:tc>
      </w:tr>
      <w:tr w14:paraId="1E420CD6" w14:textId="77777777" w:rsidTr="00FA32A1">
        <w:tblPrEx>
          <w:tblW w:w="5000" w:type="pct"/>
          <w:tblLook w:val="01E0"/>
        </w:tblPrEx>
        <w:trPr>
          <w:cantSplit/>
          <w:trHeight w:val="20"/>
        </w:trPr>
        <w:tc>
          <w:tcPr>
            <w:tcW w:w="1242" w:type="pct"/>
            <w:shd w:val="clear" w:color="auto" w:fill="auto"/>
          </w:tcPr>
          <w:p w:rsidR="008A049C" w:rsidRPr="008A049C" w:rsidP="008A049C" w14:paraId="3CAEE36A" w14:textId="77777777">
            <w:pPr>
              <w:rPr>
                <w:sz w:val="20"/>
                <w:szCs w:val="20"/>
              </w:rPr>
            </w:pPr>
            <w:r w:rsidRPr="008A049C">
              <w:rPr>
                <w:color w:val="333333"/>
                <w:sz w:val="20"/>
                <w:szCs w:val="20"/>
              </w:rPr>
              <w:t>§ 822.30; Exemption request</w:t>
            </w:r>
          </w:p>
        </w:tc>
        <w:tc>
          <w:tcPr>
            <w:tcW w:w="662" w:type="pct"/>
            <w:shd w:val="clear" w:color="auto" w:fill="auto"/>
          </w:tcPr>
          <w:p w:rsidR="008A049C" w:rsidRPr="008A049C" w:rsidP="008A049C" w14:paraId="1C571BE6" w14:textId="77777777">
            <w:pPr>
              <w:jc w:val="right"/>
              <w:rPr>
                <w:sz w:val="20"/>
                <w:szCs w:val="20"/>
              </w:rPr>
            </w:pPr>
            <w:r w:rsidRPr="008A049C">
              <w:rPr>
                <w:color w:val="333333"/>
                <w:sz w:val="20"/>
                <w:szCs w:val="20"/>
              </w:rPr>
              <w:t>1</w:t>
            </w:r>
          </w:p>
        </w:tc>
        <w:tc>
          <w:tcPr>
            <w:tcW w:w="954" w:type="pct"/>
            <w:shd w:val="clear" w:color="auto" w:fill="auto"/>
          </w:tcPr>
          <w:p w:rsidR="008A049C" w:rsidRPr="008A049C" w:rsidP="008A049C" w14:paraId="54D5F77B" w14:textId="77777777">
            <w:pPr>
              <w:jc w:val="right"/>
              <w:rPr>
                <w:sz w:val="20"/>
                <w:szCs w:val="20"/>
              </w:rPr>
            </w:pPr>
            <w:r w:rsidRPr="008A049C">
              <w:rPr>
                <w:color w:val="333333"/>
                <w:sz w:val="20"/>
                <w:szCs w:val="20"/>
              </w:rPr>
              <w:t>1</w:t>
            </w:r>
          </w:p>
        </w:tc>
        <w:tc>
          <w:tcPr>
            <w:tcW w:w="761" w:type="pct"/>
            <w:shd w:val="clear" w:color="auto" w:fill="auto"/>
          </w:tcPr>
          <w:p w:rsidR="008A049C" w:rsidRPr="008A049C" w:rsidP="008A049C" w14:paraId="2F841AFA" w14:textId="77777777">
            <w:pPr>
              <w:jc w:val="right"/>
              <w:rPr>
                <w:sz w:val="20"/>
                <w:szCs w:val="20"/>
              </w:rPr>
            </w:pPr>
            <w:r w:rsidRPr="008A049C">
              <w:rPr>
                <w:color w:val="333333"/>
                <w:sz w:val="20"/>
                <w:szCs w:val="20"/>
              </w:rPr>
              <w:t>1</w:t>
            </w:r>
          </w:p>
        </w:tc>
        <w:tc>
          <w:tcPr>
            <w:tcW w:w="825" w:type="pct"/>
            <w:shd w:val="clear" w:color="auto" w:fill="auto"/>
          </w:tcPr>
          <w:p w:rsidR="008A049C" w:rsidRPr="008A049C" w:rsidP="008A049C" w14:paraId="7A0BB4DF" w14:textId="77777777">
            <w:pPr>
              <w:jc w:val="right"/>
              <w:rPr>
                <w:sz w:val="20"/>
                <w:szCs w:val="20"/>
              </w:rPr>
            </w:pPr>
            <w:r w:rsidRPr="008A049C">
              <w:rPr>
                <w:color w:val="333333"/>
                <w:sz w:val="20"/>
                <w:szCs w:val="20"/>
              </w:rPr>
              <w:t>40</w:t>
            </w:r>
          </w:p>
        </w:tc>
        <w:tc>
          <w:tcPr>
            <w:tcW w:w="556" w:type="pct"/>
            <w:shd w:val="clear" w:color="auto" w:fill="auto"/>
          </w:tcPr>
          <w:p w:rsidR="008A049C" w:rsidRPr="008A049C" w:rsidP="008A049C" w14:paraId="2E26B6DD" w14:textId="77777777">
            <w:pPr>
              <w:jc w:val="right"/>
              <w:rPr>
                <w:sz w:val="20"/>
                <w:szCs w:val="20"/>
              </w:rPr>
            </w:pPr>
            <w:r w:rsidRPr="008A049C">
              <w:rPr>
                <w:color w:val="333333"/>
                <w:sz w:val="20"/>
                <w:szCs w:val="20"/>
              </w:rPr>
              <w:t>40</w:t>
            </w:r>
          </w:p>
        </w:tc>
      </w:tr>
      <w:tr w14:paraId="0E981B92" w14:textId="77777777" w:rsidTr="00FA32A1">
        <w:tblPrEx>
          <w:tblW w:w="5000" w:type="pct"/>
          <w:tblLook w:val="01E0"/>
        </w:tblPrEx>
        <w:trPr>
          <w:cantSplit/>
          <w:trHeight w:val="20"/>
        </w:trPr>
        <w:tc>
          <w:tcPr>
            <w:tcW w:w="1242" w:type="pct"/>
            <w:shd w:val="clear" w:color="auto" w:fill="auto"/>
          </w:tcPr>
          <w:p w:rsidR="008A049C" w:rsidRPr="008A049C" w:rsidP="008A049C" w14:paraId="66F32B55" w14:textId="77777777">
            <w:pPr>
              <w:rPr>
                <w:color w:val="333333"/>
                <w:sz w:val="20"/>
                <w:szCs w:val="20"/>
              </w:rPr>
            </w:pPr>
            <w:r w:rsidRPr="008A049C">
              <w:rPr>
                <w:color w:val="333333"/>
                <w:sz w:val="20"/>
                <w:szCs w:val="20"/>
              </w:rPr>
              <w:t>§ 822.38; Periodic reports</w:t>
            </w:r>
          </w:p>
        </w:tc>
        <w:tc>
          <w:tcPr>
            <w:tcW w:w="662" w:type="pct"/>
            <w:shd w:val="clear" w:color="auto" w:fill="auto"/>
          </w:tcPr>
          <w:p w:rsidR="008A049C" w:rsidRPr="008A049C" w:rsidP="008A049C" w14:paraId="19D2418F" w14:textId="04683D2D">
            <w:pPr>
              <w:jc w:val="right"/>
              <w:rPr>
                <w:sz w:val="20"/>
                <w:szCs w:val="20"/>
              </w:rPr>
            </w:pPr>
            <w:r>
              <w:rPr>
                <w:color w:val="333333"/>
                <w:sz w:val="20"/>
                <w:szCs w:val="20"/>
              </w:rPr>
              <w:t>35</w:t>
            </w:r>
          </w:p>
        </w:tc>
        <w:tc>
          <w:tcPr>
            <w:tcW w:w="954" w:type="pct"/>
            <w:shd w:val="clear" w:color="auto" w:fill="auto"/>
          </w:tcPr>
          <w:p w:rsidR="008A049C" w:rsidRPr="008A049C" w:rsidP="008A049C" w14:paraId="3229D115" w14:textId="77777777">
            <w:pPr>
              <w:jc w:val="right"/>
              <w:rPr>
                <w:sz w:val="20"/>
                <w:szCs w:val="20"/>
              </w:rPr>
            </w:pPr>
            <w:r w:rsidRPr="008A049C">
              <w:rPr>
                <w:color w:val="333333"/>
                <w:sz w:val="20"/>
                <w:szCs w:val="20"/>
              </w:rPr>
              <w:t>3</w:t>
            </w:r>
          </w:p>
        </w:tc>
        <w:tc>
          <w:tcPr>
            <w:tcW w:w="761" w:type="pct"/>
            <w:shd w:val="clear" w:color="auto" w:fill="auto"/>
          </w:tcPr>
          <w:p w:rsidR="008A049C" w:rsidRPr="008A049C" w:rsidP="008A049C" w14:paraId="0946ED12" w14:textId="5C3ACF48">
            <w:pPr>
              <w:jc w:val="right"/>
              <w:rPr>
                <w:sz w:val="20"/>
                <w:szCs w:val="20"/>
              </w:rPr>
            </w:pPr>
            <w:r>
              <w:rPr>
                <w:color w:val="333333"/>
                <w:sz w:val="20"/>
                <w:szCs w:val="20"/>
              </w:rPr>
              <w:t>105</w:t>
            </w:r>
          </w:p>
        </w:tc>
        <w:tc>
          <w:tcPr>
            <w:tcW w:w="825" w:type="pct"/>
            <w:shd w:val="clear" w:color="auto" w:fill="auto"/>
          </w:tcPr>
          <w:p w:rsidR="008A049C" w:rsidRPr="008A049C" w:rsidP="008A049C" w14:paraId="0101883C" w14:textId="77777777">
            <w:pPr>
              <w:jc w:val="right"/>
              <w:rPr>
                <w:sz w:val="20"/>
                <w:szCs w:val="20"/>
              </w:rPr>
            </w:pPr>
            <w:r w:rsidRPr="008A049C">
              <w:rPr>
                <w:color w:val="333333"/>
                <w:sz w:val="20"/>
                <w:szCs w:val="20"/>
              </w:rPr>
              <w:t>40</w:t>
            </w:r>
          </w:p>
        </w:tc>
        <w:tc>
          <w:tcPr>
            <w:tcW w:w="556" w:type="pct"/>
            <w:shd w:val="clear" w:color="auto" w:fill="auto"/>
          </w:tcPr>
          <w:p w:rsidR="008A049C" w:rsidRPr="008A049C" w:rsidP="008A049C" w14:paraId="32D41E38" w14:textId="2F2752F4">
            <w:pPr>
              <w:jc w:val="right"/>
              <w:rPr>
                <w:sz w:val="20"/>
                <w:szCs w:val="20"/>
              </w:rPr>
            </w:pPr>
            <w:r>
              <w:rPr>
                <w:color w:val="333333"/>
                <w:sz w:val="20"/>
                <w:szCs w:val="20"/>
              </w:rPr>
              <w:t>4,200</w:t>
            </w:r>
          </w:p>
        </w:tc>
      </w:tr>
      <w:tr w14:paraId="26181F75" w14:textId="77777777" w:rsidTr="00FA32A1">
        <w:tblPrEx>
          <w:tblW w:w="5000" w:type="pct"/>
          <w:tblLook w:val="01E0"/>
        </w:tblPrEx>
        <w:trPr>
          <w:cantSplit/>
          <w:trHeight w:val="20"/>
        </w:trPr>
        <w:tc>
          <w:tcPr>
            <w:tcW w:w="4444" w:type="pct"/>
            <w:gridSpan w:val="5"/>
            <w:shd w:val="clear" w:color="auto" w:fill="auto"/>
          </w:tcPr>
          <w:p w:rsidR="008A049C" w:rsidRPr="008A049C" w:rsidP="008A049C" w14:paraId="7C666B1E" w14:textId="77777777">
            <w:pPr>
              <w:rPr>
                <w:sz w:val="20"/>
                <w:szCs w:val="20"/>
              </w:rPr>
            </w:pPr>
            <w:r w:rsidRPr="008A049C">
              <w:rPr>
                <w:sz w:val="20"/>
                <w:szCs w:val="20"/>
              </w:rPr>
              <w:t>Total</w:t>
            </w:r>
          </w:p>
        </w:tc>
        <w:tc>
          <w:tcPr>
            <w:tcW w:w="556" w:type="pct"/>
            <w:shd w:val="clear" w:color="auto" w:fill="auto"/>
          </w:tcPr>
          <w:p w:rsidR="008A049C" w:rsidRPr="008A049C" w:rsidP="008A049C" w14:paraId="00285381" w14:textId="403A9C7C">
            <w:pPr>
              <w:jc w:val="right"/>
              <w:rPr>
                <w:sz w:val="20"/>
                <w:szCs w:val="20"/>
              </w:rPr>
            </w:pPr>
            <w:r>
              <w:rPr>
                <w:color w:val="333333"/>
                <w:sz w:val="20"/>
                <w:szCs w:val="20"/>
              </w:rPr>
              <w:t>4,968</w:t>
            </w:r>
          </w:p>
        </w:tc>
      </w:tr>
    </w:tbl>
    <w:p w:rsidR="008A049C" w:rsidRPr="008A049C" w:rsidP="5934F6BC" w14:paraId="4C5E50BF" w14:textId="00FF4D05">
      <w:pPr>
        <w:spacing w:after="200"/>
        <w:rPr>
          <w:sz w:val="20"/>
          <w:szCs w:val="20"/>
        </w:rPr>
      </w:pPr>
      <w:r w:rsidRPr="5934F6BC">
        <w:rPr>
          <w:sz w:val="20"/>
          <w:szCs w:val="20"/>
          <w:vertAlign w:val="superscript"/>
        </w:rPr>
        <w:t>1</w:t>
      </w:r>
      <w:r w:rsidRPr="5934F6BC">
        <w:rPr>
          <w:sz w:val="20"/>
          <w:szCs w:val="20"/>
        </w:rPr>
        <w:t xml:space="preserve"> There are no capital costs or operating and maintenance costs associated with this collection of information.</w:t>
      </w:r>
    </w:p>
    <w:p w:rsidR="00386DA0" w:rsidP="008A049C" w14:paraId="4B5B86CA" w14:textId="395EB0B4">
      <w:pPr>
        <w:spacing w:after="200"/>
        <w:rPr>
          <w:rFonts w:eastAsia="Calibri"/>
          <w:iCs/>
        </w:rPr>
      </w:pPr>
      <w:r>
        <w:t xml:space="preserve">Regulations in 21 CFR part 822, subpart A (§§ 822.1 through 822.4), set forth general provisions that explain the scope and purpose of postmarket surveillance under section 522 of the FD&amp;C Act.  Regulations in 21 CFR part 822, subparts B, C, and D (§§ 822.5-822.23), discuss notification orders; how surveillance plans are submitted to FDA and what must be included; and FDA review and action on the submission of surveillance plans.  The regulations also prescribe responsibilities for manufacturers in 21 CFR part 822, subpart E (§§ 822.24-822-28).  Provisions for waivers and exemptions under 21 CFR part 822 are set forth in 21 CFR part 822, subpart F (§§ 822.29-822.30).  Finally, required records and reports are established in 21 CFR part 822, subpart G (§§ 822.31-822.38).  </w:t>
      </w:r>
      <w:r w:rsidR="008A049C">
        <w:rPr>
          <w:rFonts w:eastAsia="Calibri"/>
          <w:iCs/>
        </w:rPr>
        <w:t xml:space="preserve">Our estimate of </w:t>
      </w:r>
      <w:r w:rsidRPr="00AA5147" w:rsidR="008A049C">
        <w:rPr>
          <w:rFonts w:eastAsia="Calibri"/>
          <w:iCs/>
        </w:rPr>
        <w:t xml:space="preserve">burden is based on </w:t>
      </w:r>
      <w:r w:rsidR="008A049C">
        <w:rPr>
          <w:rFonts w:eastAsia="Calibri"/>
          <w:iCs/>
        </w:rPr>
        <w:t xml:space="preserve">internal agency tracking </w:t>
      </w:r>
      <w:r w:rsidRPr="00AA5147" w:rsidR="008A049C">
        <w:rPr>
          <w:rFonts w:eastAsia="Calibri"/>
          <w:iCs/>
        </w:rPr>
        <w:t>data</w:t>
      </w:r>
      <w:r w:rsidR="008A049C">
        <w:rPr>
          <w:rFonts w:eastAsia="Calibri"/>
          <w:iCs/>
        </w:rPr>
        <w:t>.  Because s</w:t>
      </w:r>
      <w:r w:rsidRPr="00AA5147" w:rsidR="008A049C">
        <w:rPr>
          <w:rFonts w:eastAsia="Calibri"/>
          <w:iCs/>
        </w:rPr>
        <w:t>ections 822.26, 822.27, and 822.34 entail no burden other than that necessary to identify the respondent, the date, the respondent's address, and the nature of the instrument (5 CFR 1320.3(h)(1)</w:t>
      </w:r>
      <w:r w:rsidR="008A049C">
        <w:rPr>
          <w:rFonts w:eastAsia="Calibri"/>
          <w:iCs/>
        </w:rPr>
        <w:t>), we do not include this activity in our calculations.</w:t>
      </w:r>
      <w:r>
        <w:rPr>
          <w:rFonts w:eastAsia="Calibri"/>
          <w:iCs/>
        </w:rPr>
        <w:t xml:space="preserve"> </w:t>
      </w:r>
    </w:p>
    <w:p w:rsidR="00526289" w:rsidRPr="008A049C" w:rsidP="008A049C" w14:paraId="150D020F" w14:textId="3D79D810">
      <w:pPr>
        <w:spacing w:after="200"/>
      </w:pPr>
      <w:r>
        <w:t>The number of respondents to this information collection varies annually, subject to the number of original plans, plan changes, and interim and final reports (which are dependent on enrollment progress for each study) received by FDA.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34"/>
        <w:gridCol w:w="1460"/>
        <w:gridCol w:w="1737"/>
        <w:gridCol w:w="1462"/>
        <w:gridCol w:w="1834"/>
        <w:gridCol w:w="1277"/>
      </w:tblGrid>
      <w:tr w14:paraId="2D326B51" w14:textId="77777777" w:rsidTr="00FA32A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5000" w:type="pct"/>
            <w:gridSpan w:val="6"/>
            <w:tcBorders>
              <w:top w:val="nil"/>
              <w:left w:val="nil"/>
              <w:right w:val="nil"/>
            </w:tcBorders>
            <w:shd w:val="clear" w:color="auto" w:fill="auto"/>
          </w:tcPr>
          <w:p w:rsidR="008A049C" w:rsidRPr="008A049C" w:rsidP="008A049C" w14:paraId="6B1C0681" w14:textId="77777777">
            <w:pPr>
              <w:keepNext/>
              <w:jc w:val="center"/>
              <w:rPr>
                <w:sz w:val="20"/>
                <w:szCs w:val="20"/>
              </w:rPr>
            </w:pPr>
            <w:r w:rsidRPr="008A049C">
              <w:rPr>
                <w:sz w:val="20"/>
                <w:szCs w:val="20"/>
              </w:rPr>
              <w:t>Table 2.--Estimated Annual Recordkeeping Burden</w:t>
            </w:r>
            <w:r w:rsidRPr="008A049C">
              <w:rPr>
                <w:sz w:val="20"/>
                <w:szCs w:val="20"/>
                <w:vertAlign w:val="superscript"/>
              </w:rPr>
              <w:t>1</w:t>
            </w:r>
          </w:p>
        </w:tc>
      </w:tr>
      <w:tr w14:paraId="5F4BBABC" w14:textId="77777777" w:rsidTr="00FA32A1">
        <w:tblPrEx>
          <w:tblW w:w="5000" w:type="pct"/>
          <w:tblLayout w:type="fixed"/>
          <w:tblLook w:val="01E0"/>
        </w:tblPrEx>
        <w:trPr>
          <w:trHeight w:val="377"/>
          <w:tblHeader/>
        </w:trPr>
        <w:tc>
          <w:tcPr>
            <w:tcW w:w="912" w:type="pct"/>
            <w:shd w:val="clear" w:color="auto" w:fill="auto"/>
          </w:tcPr>
          <w:p w:rsidR="008A049C" w:rsidRPr="008A049C" w:rsidP="008A049C" w14:paraId="024BBDFF" w14:textId="77777777">
            <w:pPr>
              <w:jc w:val="center"/>
              <w:rPr>
                <w:sz w:val="20"/>
                <w:szCs w:val="20"/>
              </w:rPr>
            </w:pPr>
            <w:r w:rsidRPr="008A049C">
              <w:rPr>
                <w:sz w:val="20"/>
                <w:szCs w:val="20"/>
              </w:rPr>
              <w:t>21 CFR Part/Activity</w:t>
            </w:r>
          </w:p>
        </w:tc>
        <w:tc>
          <w:tcPr>
            <w:tcW w:w="768" w:type="pct"/>
            <w:shd w:val="clear" w:color="auto" w:fill="auto"/>
          </w:tcPr>
          <w:p w:rsidR="008A049C" w:rsidRPr="008A049C" w:rsidP="008A049C" w14:paraId="2EC4A2A0" w14:textId="77777777">
            <w:pPr>
              <w:keepNext/>
              <w:jc w:val="center"/>
              <w:rPr>
                <w:sz w:val="20"/>
                <w:szCs w:val="20"/>
              </w:rPr>
            </w:pPr>
            <w:r w:rsidRPr="008A049C">
              <w:rPr>
                <w:sz w:val="20"/>
                <w:szCs w:val="20"/>
              </w:rPr>
              <w:t>No. of Recordkeepers</w:t>
            </w:r>
          </w:p>
        </w:tc>
        <w:tc>
          <w:tcPr>
            <w:tcW w:w="914" w:type="pct"/>
            <w:shd w:val="clear" w:color="auto" w:fill="auto"/>
          </w:tcPr>
          <w:p w:rsidR="008A049C" w:rsidRPr="008A049C" w:rsidP="008A049C" w14:paraId="489F9670" w14:textId="77777777">
            <w:pPr>
              <w:keepNext/>
              <w:jc w:val="center"/>
              <w:rPr>
                <w:sz w:val="20"/>
                <w:szCs w:val="20"/>
              </w:rPr>
            </w:pPr>
            <w:r w:rsidRPr="008A049C">
              <w:rPr>
                <w:bCs/>
                <w:sz w:val="20"/>
                <w:szCs w:val="20"/>
              </w:rPr>
              <w:t>No. of Records per Recordkeeper</w:t>
            </w:r>
          </w:p>
        </w:tc>
        <w:tc>
          <w:tcPr>
            <w:tcW w:w="769" w:type="pct"/>
            <w:shd w:val="clear" w:color="auto" w:fill="auto"/>
          </w:tcPr>
          <w:p w:rsidR="008A049C" w:rsidRPr="008A049C" w:rsidP="008A049C" w14:paraId="2D5B2E04" w14:textId="77777777">
            <w:pPr>
              <w:keepNext/>
              <w:jc w:val="center"/>
              <w:rPr>
                <w:sz w:val="20"/>
                <w:szCs w:val="20"/>
              </w:rPr>
            </w:pPr>
            <w:r w:rsidRPr="008A049C">
              <w:rPr>
                <w:sz w:val="20"/>
                <w:szCs w:val="20"/>
              </w:rPr>
              <w:t>Total Annual Records</w:t>
            </w:r>
          </w:p>
        </w:tc>
        <w:tc>
          <w:tcPr>
            <w:tcW w:w="964" w:type="pct"/>
            <w:shd w:val="clear" w:color="auto" w:fill="auto"/>
          </w:tcPr>
          <w:p w:rsidR="008A049C" w:rsidRPr="008A049C" w:rsidP="008A049C" w14:paraId="1E011570" w14:textId="77777777">
            <w:pPr>
              <w:keepNext/>
              <w:jc w:val="center"/>
              <w:rPr>
                <w:sz w:val="20"/>
                <w:szCs w:val="20"/>
              </w:rPr>
            </w:pPr>
            <w:r w:rsidRPr="008A049C">
              <w:rPr>
                <w:bCs/>
                <w:sz w:val="20"/>
                <w:szCs w:val="20"/>
              </w:rPr>
              <w:t xml:space="preserve">Average Burden per Recordkeeping </w:t>
            </w:r>
          </w:p>
        </w:tc>
        <w:tc>
          <w:tcPr>
            <w:tcW w:w="672" w:type="pct"/>
            <w:shd w:val="clear" w:color="auto" w:fill="auto"/>
          </w:tcPr>
          <w:p w:rsidR="008A049C" w:rsidRPr="008A049C" w:rsidP="008A049C" w14:paraId="2AA03631" w14:textId="77777777">
            <w:pPr>
              <w:keepNext/>
              <w:jc w:val="center"/>
              <w:rPr>
                <w:sz w:val="20"/>
                <w:szCs w:val="20"/>
              </w:rPr>
            </w:pPr>
            <w:r w:rsidRPr="008A049C">
              <w:rPr>
                <w:sz w:val="20"/>
                <w:szCs w:val="20"/>
              </w:rPr>
              <w:t>Total Hours</w:t>
            </w:r>
          </w:p>
        </w:tc>
      </w:tr>
      <w:tr w14:paraId="65680B0D" w14:textId="77777777" w:rsidTr="00FA32A1">
        <w:tblPrEx>
          <w:tblW w:w="5000" w:type="pct"/>
          <w:tblLayout w:type="fixed"/>
          <w:tblLook w:val="01E0"/>
        </w:tblPrEx>
        <w:trPr>
          <w:trHeight w:val="602"/>
        </w:trPr>
        <w:tc>
          <w:tcPr>
            <w:tcW w:w="912" w:type="pct"/>
            <w:shd w:val="clear" w:color="auto" w:fill="auto"/>
          </w:tcPr>
          <w:p w:rsidR="008A049C" w:rsidRPr="008A049C" w:rsidP="008A049C" w14:paraId="77479C54" w14:textId="77777777">
            <w:pPr>
              <w:keepNext/>
              <w:rPr>
                <w:sz w:val="20"/>
                <w:szCs w:val="20"/>
              </w:rPr>
            </w:pPr>
            <w:r w:rsidRPr="008A049C">
              <w:rPr>
                <w:color w:val="333333"/>
                <w:sz w:val="20"/>
                <w:szCs w:val="20"/>
              </w:rPr>
              <w:t>§ 822.31; Manufacturer records</w:t>
            </w:r>
          </w:p>
        </w:tc>
        <w:tc>
          <w:tcPr>
            <w:tcW w:w="768" w:type="pct"/>
            <w:shd w:val="clear" w:color="auto" w:fill="auto"/>
          </w:tcPr>
          <w:p w:rsidR="008A049C" w:rsidRPr="008A049C" w:rsidP="008A049C" w14:paraId="11454126" w14:textId="3FA26FF2">
            <w:pPr>
              <w:keepNext/>
              <w:jc w:val="right"/>
              <w:rPr>
                <w:sz w:val="20"/>
                <w:szCs w:val="20"/>
              </w:rPr>
            </w:pPr>
            <w:r>
              <w:rPr>
                <w:color w:val="333333"/>
                <w:sz w:val="20"/>
                <w:szCs w:val="20"/>
              </w:rPr>
              <w:t>3</w:t>
            </w:r>
          </w:p>
        </w:tc>
        <w:tc>
          <w:tcPr>
            <w:tcW w:w="914" w:type="pct"/>
            <w:shd w:val="clear" w:color="auto" w:fill="auto"/>
          </w:tcPr>
          <w:p w:rsidR="008A049C" w:rsidRPr="008A049C" w:rsidP="008A049C" w14:paraId="28E10162" w14:textId="77777777">
            <w:pPr>
              <w:keepNext/>
              <w:jc w:val="right"/>
              <w:rPr>
                <w:sz w:val="20"/>
                <w:szCs w:val="20"/>
              </w:rPr>
            </w:pPr>
            <w:r w:rsidRPr="008A049C">
              <w:rPr>
                <w:color w:val="333333"/>
                <w:sz w:val="20"/>
                <w:szCs w:val="20"/>
              </w:rPr>
              <w:t>1</w:t>
            </w:r>
          </w:p>
        </w:tc>
        <w:tc>
          <w:tcPr>
            <w:tcW w:w="769" w:type="pct"/>
            <w:shd w:val="clear" w:color="auto" w:fill="auto"/>
          </w:tcPr>
          <w:p w:rsidR="008A049C" w:rsidRPr="008A049C" w:rsidP="008A049C" w14:paraId="5AFED761" w14:textId="21B38E40">
            <w:pPr>
              <w:keepNext/>
              <w:jc w:val="right"/>
              <w:rPr>
                <w:sz w:val="20"/>
                <w:szCs w:val="20"/>
              </w:rPr>
            </w:pPr>
            <w:r>
              <w:rPr>
                <w:color w:val="333333"/>
                <w:sz w:val="20"/>
                <w:szCs w:val="20"/>
              </w:rPr>
              <w:t>3</w:t>
            </w:r>
          </w:p>
        </w:tc>
        <w:tc>
          <w:tcPr>
            <w:tcW w:w="964" w:type="pct"/>
            <w:shd w:val="clear" w:color="auto" w:fill="auto"/>
          </w:tcPr>
          <w:p w:rsidR="008A049C" w:rsidRPr="008A049C" w:rsidP="008A049C" w14:paraId="7D9988B7" w14:textId="77777777">
            <w:pPr>
              <w:keepNext/>
              <w:jc w:val="right"/>
              <w:rPr>
                <w:sz w:val="20"/>
                <w:szCs w:val="20"/>
              </w:rPr>
            </w:pPr>
            <w:r w:rsidRPr="008A049C">
              <w:rPr>
                <w:color w:val="333333"/>
                <w:sz w:val="20"/>
                <w:szCs w:val="20"/>
              </w:rPr>
              <w:t>20</w:t>
            </w:r>
          </w:p>
        </w:tc>
        <w:tc>
          <w:tcPr>
            <w:tcW w:w="672" w:type="pct"/>
            <w:shd w:val="clear" w:color="auto" w:fill="auto"/>
          </w:tcPr>
          <w:p w:rsidR="008A049C" w:rsidRPr="008A049C" w:rsidP="008A049C" w14:paraId="061EC494" w14:textId="5059F661">
            <w:pPr>
              <w:keepNext/>
              <w:jc w:val="right"/>
              <w:rPr>
                <w:sz w:val="20"/>
                <w:szCs w:val="20"/>
              </w:rPr>
            </w:pPr>
            <w:r>
              <w:rPr>
                <w:color w:val="333333"/>
                <w:sz w:val="20"/>
                <w:szCs w:val="20"/>
              </w:rPr>
              <w:t>60</w:t>
            </w:r>
          </w:p>
        </w:tc>
      </w:tr>
      <w:tr w14:paraId="76B42FF2" w14:textId="77777777" w:rsidTr="00FA32A1">
        <w:tblPrEx>
          <w:tblW w:w="5000" w:type="pct"/>
          <w:tblLayout w:type="fixed"/>
          <w:tblLook w:val="01E0"/>
        </w:tblPrEx>
        <w:trPr>
          <w:trHeight w:val="602"/>
        </w:trPr>
        <w:tc>
          <w:tcPr>
            <w:tcW w:w="912" w:type="pct"/>
            <w:shd w:val="clear" w:color="auto" w:fill="auto"/>
          </w:tcPr>
          <w:p w:rsidR="008A049C" w:rsidRPr="008A049C" w:rsidP="008A049C" w14:paraId="637CCEC8" w14:textId="77777777">
            <w:pPr>
              <w:keepNext/>
              <w:rPr>
                <w:sz w:val="20"/>
                <w:szCs w:val="20"/>
              </w:rPr>
            </w:pPr>
            <w:r w:rsidRPr="008A049C">
              <w:rPr>
                <w:color w:val="333333"/>
                <w:sz w:val="20"/>
                <w:szCs w:val="20"/>
              </w:rPr>
              <w:t>§ 822.32; Investigator records</w:t>
            </w:r>
          </w:p>
        </w:tc>
        <w:tc>
          <w:tcPr>
            <w:tcW w:w="768" w:type="pct"/>
            <w:shd w:val="clear" w:color="auto" w:fill="auto"/>
          </w:tcPr>
          <w:p w:rsidR="008A049C" w:rsidRPr="008A049C" w:rsidP="008A049C" w14:paraId="4615BF6C" w14:textId="602ABAFC">
            <w:pPr>
              <w:keepNext/>
              <w:jc w:val="right"/>
              <w:rPr>
                <w:sz w:val="20"/>
                <w:szCs w:val="20"/>
              </w:rPr>
            </w:pPr>
            <w:r>
              <w:rPr>
                <w:color w:val="333333"/>
                <w:sz w:val="20"/>
                <w:szCs w:val="20"/>
              </w:rPr>
              <w:t>9</w:t>
            </w:r>
          </w:p>
        </w:tc>
        <w:tc>
          <w:tcPr>
            <w:tcW w:w="914" w:type="pct"/>
            <w:shd w:val="clear" w:color="auto" w:fill="auto"/>
          </w:tcPr>
          <w:p w:rsidR="008A049C" w:rsidRPr="008A049C" w:rsidP="008A049C" w14:paraId="4B5D7A3C" w14:textId="77777777">
            <w:pPr>
              <w:keepNext/>
              <w:jc w:val="right"/>
              <w:rPr>
                <w:sz w:val="20"/>
                <w:szCs w:val="20"/>
              </w:rPr>
            </w:pPr>
            <w:r w:rsidRPr="008A049C">
              <w:rPr>
                <w:color w:val="333333"/>
                <w:sz w:val="20"/>
                <w:szCs w:val="20"/>
              </w:rPr>
              <w:t>1</w:t>
            </w:r>
          </w:p>
        </w:tc>
        <w:tc>
          <w:tcPr>
            <w:tcW w:w="769" w:type="pct"/>
            <w:shd w:val="clear" w:color="auto" w:fill="auto"/>
          </w:tcPr>
          <w:p w:rsidR="008A049C" w:rsidRPr="008A049C" w:rsidP="008A049C" w14:paraId="5C272E21" w14:textId="6F5B66F7">
            <w:pPr>
              <w:keepNext/>
              <w:jc w:val="right"/>
              <w:rPr>
                <w:sz w:val="20"/>
                <w:szCs w:val="20"/>
              </w:rPr>
            </w:pPr>
            <w:r>
              <w:rPr>
                <w:color w:val="333333"/>
                <w:sz w:val="20"/>
                <w:szCs w:val="20"/>
              </w:rPr>
              <w:t>9</w:t>
            </w:r>
          </w:p>
        </w:tc>
        <w:tc>
          <w:tcPr>
            <w:tcW w:w="964" w:type="pct"/>
            <w:shd w:val="clear" w:color="auto" w:fill="auto"/>
          </w:tcPr>
          <w:p w:rsidR="008A049C" w:rsidRPr="008A049C" w:rsidP="008A049C" w14:paraId="66219C20" w14:textId="77777777">
            <w:pPr>
              <w:jc w:val="right"/>
              <w:rPr>
                <w:sz w:val="20"/>
                <w:szCs w:val="20"/>
              </w:rPr>
            </w:pPr>
            <w:r w:rsidRPr="008A049C">
              <w:rPr>
                <w:color w:val="333333"/>
                <w:sz w:val="20"/>
                <w:szCs w:val="20"/>
              </w:rPr>
              <w:t>5</w:t>
            </w:r>
          </w:p>
        </w:tc>
        <w:tc>
          <w:tcPr>
            <w:tcW w:w="672" w:type="pct"/>
            <w:shd w:val="clear" w:color="auto" w:fill="auto"/>
          </w:tcPr>
          <w:p w:rsidR="008A049C" w:rsidRPr="008A049C" w:rsidP="008A049C" w14:paraId="326F664C" w14:textId="7A934236">
            <w:pPr>
              <w:keepNext/>
              <w:jc w:val="right"/>
              <w:rPr>
                <w:sz w:val="20"/>
                <w:szCs w:val="20"/>
              </w:rPr>
            </w:pPr>
            <w:r>
              <w:rPr>
                <w:color w:val="333333"/>
                <w:sz w:val="20"/>
                <w:szCs w:val="20"/>
              </w:rPr>
              <w:t>45</w:t>
            </w:r>
          </w:p>
        </w:tc>
      </w:tr>
      <w:tr w14:paraId="5C097260" w14:textId="77777777" w:rsidTr="00FA32A1">
        <w:tblPrEx>
          <w:tblW w:w="5000" w:type="pct"/>
          <w:tblLayout w:type="fixed"/>
          <w:tblLook w:val="01E0"/>
        </w:tblPrEx>
        <w:tc>
          <w:tcPr>
            <w:tcW w:w="4328" w:type="pct"/>
            <w:gridSpan w:val="5"/>
            <w:shd w:val="clear" w:color="auto" w:fill="auto"/>
          </w:tcPr>
          <w:p w:rsidR="008A049C" w:rsidRPr="008A049C" w:rsidP="008A049C" w14:paraId="79A05BE9" w14:textId="77777777">
            <w:pPr>
              <w:keepNext/>
              <w:rPr>
                <w:sz w:val="20"/>
                <w:szCs w:val="20"/>
              </w:rPr>
            </w:pPr>
            <w:r w:rsidRPr="008A049C">
              <w:rPr>
                <w:sz w:val="20"/>
                <w:szCs w:val="20"/>
              </w:rPr>
              <w:t>Total</w:t>
            </w:r>
          </w:p>
        </w:tc>
        <w:tc>
          <w:tcPr>
            <w:tcW w:w="672" w:type="pct"/>
            <w:shd w:val="clear" w:color="auto" w:fill="auto"/>
          </w:tcPr>
          <w:p w:rsidR="008A049C" w:rsidRPr="008A049C" w:rsidP="008A049C" w14:paraId="17F2E35F" w14:textId="6ABFE62C">
            <w:pPr>
              <w:keepNext/>
              <w:jc w:val="right"/>
              <w:rPr>
                <w:sz w:val="20"/>
                <w:szCs w:val="20"/>
              </w:rPr>
            </w:pPr>
            <w:r>
              <w:rPr>
                <w:sz w:val="20"/>
                <w:szCs w:val="20"/>
              </w:rPr>
              <w:t>105</w:t>
            </w:r>
          </w:p>
        </w:tc>
      </w:tr>
    </w:tbl>
    <w:p w:rsidR="00435430" w:rsidP="5934F6BC" w14:paraId="6FEB4086" w14:textId="4620F58F">
      <w:pPr>
        <w:spacing w:after="200"/>
        <w:rPr>
          <w:sz w:val="20"/>
          <w:szCs w:val="20"/>
        </w:rPr>
      </w:pPr>
      <w:r w:rsidRPr="5934F6BC">
        <w:rPr>
          <w:sz w:val="20"/>
          <w:szCs w:val="20"/>
          <w:vertAlign w:val="superscript"/>
        </w:rPr>
        <w:t>1</w:t>
      </w:r>
      <w:r w:rsidRPr="5934F6BC">
        <w:rPr>
          <w:sz w:val="20"/>
          <w:szCs w:val="20"/>
        </w:rPr>
        <w:t xml:space="preserve"> There are no capital costs or operating and maintenance costs associated with this collection of information.</w:t>
      </w:r>
    </w:p>
    <w:p w:rsidR="00386DA0" w:rsidRPr="00D0402C" w:rsidP="5934F6BC" w14:paraId="49232957" w14:textId="7652DC2D">
      <w:pPr>
        <w:spacing w:after="200"/>
      </w:pPr>
      <w:r>
        <w:t xml:space="preserve">We expect some manufacturers will be able to satisfy information collection requirements by using information or data already available and assume fewer records per activity.  We calculate burden to investigator recordkeeping based on the assumption that each postmarket surveillance order is satisfied by a 3-year </w:t>
      </w:r>
      <w:r>
        <w:t>clinically based</w:t>
      </w:r>
      <w:r>
        <w:t xml:space="preserve"> plan, using three investigators.</w:t>
      </w:r>
    </w:p>
    <w:p w:rsidR="00357C8A" w:rsidP="00DC371B" w14:paraId="21A63CE6" w14:textId="77777777">
      <w:pPr>
        <w:spacing w:after="200"/>
        <w:ind w:left="360"/>
        <w:rPr>
          <w:rFonts w:eastAsia="Calibri"/>
        </w:rPr>
      </w:pPr>
      <w:r w:rsidRPr="005C71CA">
        <w:rPr>
          <w:rFonts w:eastAsia="Calibri"/>
        </w:rPr>
        <w:t>12b.  Annualized Cost Burden Estimate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9"/>
        <w:gridCol w:w="1878"/>
        <w:gridCol w:w="1931"/>
        <w:gridCol w:w="1919"/>
      </w:tblGrid>
      <w:tr w14:paraId="68ED36D7" w14:textId="77777777" w:rsidTr="00435430">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067" w:type="dxa"/>
            <w:gridSpan w:val="4"/>
            <w:tcBorders>
              <w:top w:val="nil"/>
              <w:left w:val="nil"/>
              <w:bottom w:val="single" w:sz="4" w:space="0" w:color="auto"/>
              <w:right w:val="nil"/>
            </w:tcBorders>
            <w:shd w:val="clear" w:color="auto" w:fill="auto"/>
          </w:tcPr>
          <w:p w:rsidR="00105D80" w:rsidRPr="00435430" w:rsidP="00435430" w14:paraId="017B0EA3" w14:textId="77777777">
            <w:pPr>
              <w:keepNext/>
              <w:jc w:val="center"/>
              <w:rPr>
                <w:sz w:val="20"/>
                <w:szCs w:val="20"/>
              </w:rPr>
            </w:pPr>
            <w:r w:rsidRPr="00435430">
              <w:rPr>
                <w:sz w:val="20"/>
                <w:szCs w:val="20"/>
              </w:rPr>
              <w:t>Table 3. – Annualized Burden Costs</w:t>
            </w:r>
            <w:r w:rsidRPr="00435430">
              <w:rPr>
                <w:sz w:val="20"/>
                <w:szCs w:val="20"/>
                <w:vertAlign w:val="superscript"/>
              </w:rPr>
              <w:t>1</w:t>
            </w:r>
          </w:p>
        </w:tc>
      </w:tr>
      <w:tr w14:paraId="5BDAE793" w14:textId="77777777" w:rsidTr="00435430">
        <w:tblPrEx>
          <w:tblW w:w="0" w:type="auto"/>
          <w:tblInd w:w="-5" w:type="dxa"/>
          <w:tblLook w:val="01E0"/>
        </w:tblPrEx>
        <w:tc>
          <w:tcPr>
            <w:tcW w:w="3339" w:type="dxa"/>
            <w:tcBorders>
              <w:top w:val="single" w:sz="4" w:space="0" w:color="auto"/>
            </w:tcBorders>
            <w:shd w:val="clear" w:color="auto" w:fill="auto"/>
          </w:tcPr>
          <w:p w:rsidR="00105D80" w:rsidRPr="00435430" w:rsidP="00FA32A1" w14:paraId="6F5DB5B6" w14:textId="77777777">
            <w:pPr>
              <w:jc w:val="center"/>
              <w:rPr>
                <w:sz w:val="20"/>
                <w:szCs w:val="20"/>
              </w:rPr>
            </w:pPr>
            <w:r w:rsidRPr="00435430">
              <w:rPr>
                <w:sz w:val="20"/>
                <w:szCs w:val="20"/>
              </w:rPr>
              <w:t>Type of Respondent</w:t>
            </w:r>
          </w:p>
        </w:tc>
        <w:tc>
          <w:tcPr>
            <w:tcW w:w="1878" w:type="dxa"/>
            <w:tcBorders>
              <w:top w:val="single" w:sz="4" w:space="0" w:color="auto"/>
            </w:tcBorders>
            <w:shd w:val="clear" w:color="auto" w:fill="auto"/>
          </w:tcPr>
          <w:p w:rsidR="00105D80" w:rsidRPr="00435430" w:rsidP="00FA32A1" w14:paraId="79110A17" w14:textId="77777777">
            <w:pPr>
              <w:jc w:val="center"/>
              <w:rPr>
                <w:sz w:val="20"/>
                <w:szCs w:val="20"/>
              </w:rPr>
            </w:pPr>
            <w:r w:rsidRPr="00435430">
              <w:rPr>
                <w:sz w:val="20"/>
                <w:szCs w:val="20"/>
              </w:rPr>
              <w:t>Total Burden Hours</w:t>
            </w:r>
          </w:p>
        </w:tc>
        <w:tc>
          <w:tcPr>
            <w:tcW w:w="1931" w:type="dxa"/>
            <w:tcBorders>
              <w:top w:val="single" w:sz="4" w:space="0" w:color="auto"/>
            </w:tcBorders>
            <w:shd w:val="clear" w:color="auto" w:fill="auto"/>
          </w:tcPr>
          <w:p w:rsidR="00105D80" w:rsidRPr="00435430" w:rsidP="00FA32A1" w14:paraId="1DBD01AE" w14:textId="77777777">
            <w:pPr>
              <w:jc w:val="center"/>
              <w:rPr>
                <w:sz w:val="20"/>
                <w:szCs w:val="20"/>
              </w:rPr>
            </w:pPr>
            <w:r w:rsidRPr="00435430">
              <w:rPr>
                <w:sz w:val="20"/>
                <w:szCs w:val="20"/>
              </w:rPr>
              <w:t>Hourly Wage Rate</w:t>
            </w:r>
          </w:p>
        </w:tc>
        <w:tc>
          <w:tcPr>
            <w:tcW w:w="1919" w:type="dxa"/>
            <w:tcBorders>
              <w:top w:val="single" w:sz="4" w:space="0" w:color="auto"/>
            </w:tcBorders>
            <w:shd w:val="clear" w:color="auto" w:fill="auto"/>
          </w:tcPr>
          <w:p w:rsidR="00105D80" w:rsidRPr="00435430" w:rsidP="00FA32A1" w14:paraId="76F62448" w14:textId="77777777">
            <w:pPr>
              <w:jc w:val="center"/>
              <w:rPr>
                <w:sz w:val="20"/>
                <w:szCs w:val="20"/>
              </w:rPr>
            </w:pPr>
            <w:r w:rsidRPr="00435430">
              <w:rPr>
                <w:sz w:val="20"/>
                <w:szCs w:val="20"/>
              </w:rPr>
              <w:t>Total Respondent Costs</w:t>
            </w:r>
          </w:p>
        </w:tc>
      </w:tr>
      <w:tr w14:paraId="53C00830" w14:textId="77777777" w:rsidTr="00FA32A1">
        <w:tblPrEx>
          <w:tblW w:w="0" w:type="auto"/>
          <w:tblInd w:w="-5" w:type="dxa"/>
          <w:tblLook w:val="01E0"/>
        </w:tblPrEx>
        <w:tc>
          <w:tcPr>
            <w:tcW w:w="3339" w:type="dxa"/>
            <w:shd w:val="clear" w:color="auto" w:fill="auto"/>
          </w:tcPr>
          <w:p w:rsidR="00105D80" w:rsidRPr="00435430" w:rsidP="00FA32A1" w14:paraId="77F2D155" w14:textId="1226D621">
            <w:pPr>
              <w:jc w:val="center"/>
              <w:rPr>
                <w:sz w:val="20"/>
                <w:szCs w:val="20"/>
              </w:rPr>
            </w:pPr>
            <w:r>
              <w:rPr>
                <w:sz w:val="20"/>
                <w:szCs w:val="20"/>
              </w:rPr>
              <w:t>Lawyer</w:t>
            </w:r>
          </w:p>
        </w:tc>
        <w:tc>
          <w:tcPr>
            <w:tcW w:w="1878" w:type="dxa"/>
            <w:shd w:val="clear" w:color="auto" w:fill="auto"/>
          </w:tcPr>
          <w:p w:rsidR="00105D80" w:rsidRPr="00435430" w:rsidP="00FA32A1" w14:paraId="3955AF67" w14:textId="6DB6AA88">
            <w:pPr>
              <w:jc w:val="center"/>
              <w:rPr>
                <w:sz w:val="20"/>
                <w:szCs w:val="20"/>
              </w:rPr>
            </w:pPr>
            <w:r>
              <w:rPr>
                <w:sz w:val="20"/>
                <w:szCs w:val="20"/>
              </w:rPr>
              <w:t>5,073</w:t>
            </w:r>
          </w:p>
        </w:tc>
        <w:tc>
          <w:tcPr>
            <w:tcW w:w="1931" w:type="dxa"/>
            <w:shd w:val="clear" w:color="auto" w:fill="auto"/>
          </w:tcPr>
          <w:p w:rsidR="00105D80" w:rsidRPr="00435430" w:rsidP="00FA32A1" w14:paraId="2736D045" w14:textId="1E97D815">
            <w:pPr>
              <w:jc w:val="center"/>
              <w:rPr>
                <w:sz w:val="20"/>
                <w:szCs w:val="20"/>
              </w:rPr>
            </w:pPr>
            <w:r w:rsidRPr="00435430">
              <w:rPr>
                <w:sz w:val="20"/>
                <w:szCs w:val="20"/>
              </w:rPr>
              <w:t>$</w:t>
            </w:r>
            <w:r w:rsidR="008911CE">
              <w:rPr>
                <w:sz w:val="20"/>
                <w:szCs w:val="20"/>
              </w:rPr>
              <w:t>170</w:t>
            </w:r>
          </w:p>
        </w:tc>
        <w:tc>
          <w:tcPr>
            <w:tcW w:w="1919" w:type="dxa"/>
            <w:shd w:val="clear" w:color="auto" w:fill="auto"/>
          </w:tcPr>
          <w:p w:rsidR="00105D80" w:rsidRPr="00435430" w:rsidP="00FA32A1" w14:paraId="7CE0B656" w14:textId="45DA38CF">
            <w:pPr>
              <w:jc w:val="center"/>
              <w:rPr>
                <w:sz w:val="20"/>
                <w:szCs w:val="20"/>
              </w:rPr>
            </w:pPr>
            <w:r w:rsidRPr="00435430">
              <w:rPr>
                <w:sz w:val="20"/>
                <w:szCs w:val="20"/>
              </w:rPr>
              <w:t>$</w:t>
            </w:r>
            <w:r w:rsidR="008911CE">
              <w:rPr>
                <w:sz w:val="20"/>
                <w:szCs w:val="20"/>
              </w:rPr>
              <w:t>862,410</w:t>
            </w:r>
          </w:p>
        </w:tc>
      </w:tr>
    </w:tbl>
    <w:p w:rsidR="00105D80" w:rsidP="00105D80" w14:paraId="0906F886" w14:textId="77777777">
      <w:pPr>
        <w:tabs>
          <w:tab w:val="left" w:pos="-720"/>
        </w:tabs>
        <w:suppressAutoHyphens/>
        <w:rPr>
          <w:sz w:val="20"/>
          <w:szCs w:val="20"/>
        </w:rPr>
      </w:pPr>
      <w:r w:rsidRPr="0005358A">
        <w:rPr>
          <w:vertAlign w:val="superscript"/>
        </w:rPr>
        <w:t xml:space="preserve">1 </w:t>
      </w:r>
      <w:r w:rsidRPr="0005358A">
        <w:rPr>
          <w:sz w:val="20"/>
          <w:szCs w:val="20"/>
        </w:rPr>
        <w:t>Figures rounded to the nearest whole dollar.</w:t>
      </w:r>
    </w:p>
    <w:p w:rsidR="00105D80" w:rsidRPr="000D5D5B" w:rsidP="00105D80" w14:paraId="6B78F369" w14:textId="77777777">
      <w:pPr>
        <w:tabs>
          <w:tab w:val="left" w:pos="-720"/>
        </w:tabs>
        <w:suppressAutoHyphens/>
        <w:rPr>
          <w:sz w:val="20"/>
          <w:szCs w:val="20"/>
        </w:rPr>
      </w:pPr>
    </w:p>
    <w:p w:rsidR="00EE4F2D" w:rsidP="00340774" w14:paraId="725A7996" w14:textId="583469B4">
      <w:pPr>
        <w:tabs>
          <w:tab w:val="left" w:pos="-720"/>
        </w:tabs>
        <w:suppressAutoHyphens/>
        <w:rPr>
          <w:rFonts w:ascii="Segoe UI" w:hAnsi="Segoe UI" w:cs="Segoe UI"/>
          <w:sz w:val="18"/>
          <w:szCs w:val="18"/>
        </w:rPr>
      </w:pPr>
      <w:r>
        <w:t xml:space="preserve">We assume </w:t>
      </w:r>
      <w:r w:rsidR="00386DA0">
        <w:t>the</w:t>
      </w:r>
      <w:r w:rsidRPr="00AD75EE">
        <w:t xml:space="preserve"> </w:t>
      </w:r>
      <w:r>
        <w:t xml:space="preserve">activities identified in </w:t>
      </w:r>
      <w:r w:rsidRPr="004923E7">
        <w:rPr>
          <w:i/>
          <w:iCs/>
        </w:rPr>
        <w:t>Question-12a</w:t>
      </w:r>
      <w:r>
        <w:t xml:space="preserve"> </w:t>
      </w:r>
      <w:r w:rsidRPr="00AD75EE">
        <w:t xml:space="preserve">will be completed by </w:t>
      </w:r>
      <w:r>
        <w:t>an attorney.</w:t>
      </w:r>
      <w:r w:rsidR="00340774">
        <w:t xml:space="preserve">  </w:t>
      </w:r>
      <w:r>
        <w:rPr>
          <w:rStyle w:val="normaltextrun"/>
          <w:lang w:val="en"/>
        </w:rPr>
        <w:t>To estimate costs to respondents, we assume a wage rate for the labor category “</w:t>
      </w:r>
      <w:r w:rsidR="001736BA">
        <w:rPr>
          <w:rStyle w:val="normaltextrun"/>
          <w:i/>
          <w:iCs/>
          <w:lang w:val="en"/>
        </w:rPr>
        <w:t>Lawyer</w:t>
      </w:r>
      <w:r w:rsidR="00274592">
        <w:rPr>
          <w:rStyle w:val="normaltextrun"/>
          <w:i/>
          <w:iCs/>
          <w:lang w:val="en"/>
        </w:rPr>
        <w:t>s</w:t>
      </w:r>
      <w:r>
        <w:rPr>
          <w:rStyle w:val="normaltextrun"/>
          <w:lang w:val="en"/>
        </w:rPr>
        <w:t xml:space="preserve">”* and doubled this figure to account for </w:t>
      </w:r>
      <w:r>
        <w:rPr>
          <w:rStyle w:val="normaltextrun"/>
        </w:rPr>
        <w:t>benefits and overhead ($</w:t>
      </w:r>
      <w:r w:rsidR="00A1675B">
        <w:rPr>
          <w:rStyle w:val="normaltextrun"/>
        </w:rPr>
        <w:t>84.84</w:t>
      </w:r>
      <w:r>
        <w:rPr>
          <w:rStyle w:val="normaltextrun"/>
        </w:rPr>
        <w:t xml:space="preserve"> x 2=$</w:t>
      </w:r>
      <w:r w:rsidR="00447633">
        <w:rPr>
          <w:rStyle w:val="normaltextrun"/>
        </w:rPr>
        <w:t>170 (rounded)</w:t>
      </w:r>
      <w:r>
        <w:rPr>
          <w:rStyle w:val="normaltextrun"/>
        </w:rPr>
        <w:t>).  We then multiplied this wage rate by the estimated annual burden hours to calculate a total annualized cost burden of $</w:t>
      </w:r>
      <w:r w:rsidR="002F0E6C">
        <w:rPr>
          <w:rStyle w:val="normaltextrun"/>
        </w:rPr>
        <w:t>862,410</w:t>
      </w:r>
      <w:r>
        <w:rPr>
          <w:rStyle w:val="normaltextrun"/>
        </w:rPr>
        <w:t xml:space="preserve"> ($</w:t>
      </w:r>
      <w:r w:rsidR="00447633">
        <w:rPr>
          <w:rStyle w:val="normaltextrun"/>
        </w:rPr>
        <w:t>170</w:t>
      </w:r>
      <w:r w:rsidR="009D04AA">
        <w:rPr>
          <w:rStyle w:val="normaltextrun"/>
        </w:rPr>
        <w:t xml:space="preserve"> </w:t>
      </w:r>
      <w:r>
        <w:rPr>
          <w:rStyle w:val="normaltextrun"/>
        </w:rPr>
        <w:t xml:space="preserve">x </w:t>
      </w:r>
      <w:r w:rsidR="009D04AA">
        <w:rPr>
          <w:rStyle w:val="normaltextrun"/>
        </w:rPr>
        <w:t>5,073</w:t>
      </w:r>
      <w:r>
        <w:rPr>
          <w:rStyle w:val="normaltextrun"/>
        </w:rPr>
        <w:t xml:space="preserve"> hours).</w:t>
      </w:r>
      <w:r>
        <w:rPr>
          <w:rStyle w:val="eop"/>
        </w:rPr>
        <w:t> </w:t>
      </w:r>
    </w:p>
    <w:p w:rsidR="009D04AA" w:rsidP="00EE4F2D" w14:paraId="4DBEA1C3" w14:textId="77777777">
      <w:pPr>
        <w:pStyle w:val="paragraph"/>
        <w:spacing w:before="0" w:beforeAutospacing="0" w:after="0" w:afterAutospacing="0"/>
        <w:textAlignment w:val="baseline"/>
        <w:rPr>
          <w:rStyle w:val="normaltextrun"/>
          <w:sz w:val="20"/>
          <w:szCs w:val="20"/>
        </w:rPr>
      </w:pPr>
    </w:p>
    <w:p w:rsidR="00EE4F2D" w:rsidRPr="00AD75EE" w:rsidP="00386DA0" w14:paraId="0A4BF84A" w14:textId="113CEC02">
      <w:pPr>
        <w:pStyle w:val="paragraph"/>
        <w:spacing w:before="0" w:beforeAutospacing="0" w:after="0" w:afterAutospacing="0"/>
        <w:textAlignment w:val="baseline"/>
      </w:pPr>
      <w:r>
        <w:rPr>
          <w:rStyle w:val="normaltextrun"/>
          <w:sz w:val="20"/>
          <w:szCs w:val="20"/>
        </w:rPr>
        <w:t xml:space="preserve">* Bureau of Labor Statistics. National Occupational Employment and Wage Estimates. Occupational Employment Statistics (occupation code </w:t>
      </w:r>
      <w:r w:rsidR="009A4D84">
        <w:rPr>
          <w:rStyle w:val="normaltextrun"/>
          <w:sz w:val="20"/>
          <w:szCs w:val="20"/>
        </w:rPr>
        <w:t>23-1011</w:t>
      </w:r>
      <w:r>
        <w:rPr>
          <w:rStyle w:val="normaltextrun"/>
          <w:sz w:val="20"/>
          <w:szCs w:val="20"/>
        </w:rPr>
        <w:t xml:space="preserve">) May 2023. </w:t>
      </w:r>
      <w:hyperlink r:id="rId12" w:history="1">
        <w:r w:rsidRPr="0093424E" w:rsidR="00505F20">
          <w:rPr>
            <w:rStyle w:val="Hyperlink"/>
            <w:i/>
            <w:iCs/>
            <w:sz w:val="20"/>
            <w:szCs w:val="20"/>
          </w:rPr>
          <w:t>https://www.bls.gov/oes/current/oes_nat.htm</w:t>
        </w:r>
      </w:hyperlink>
      <w:r>
        <w:rPr>
          <w:rStyle w:val="normaltextrun"/>
          <w:sz w:val="20"/>
          <w:szCs w:val="20"/>
        </w:rPr>
        <w:t>.</w:t>
      </w:r>
      <w:r w:rsidRPr="0093424E">
        <w:rPr>
          <w:rStyle w:val="normaltextrun"/>
        </w:rPr>
        <w:t> </w:t>
      </w:r>
    </w:p>
    <w:p w:rsidR="00357C8A" w:rsidRPr="00357C8A" w:rsidP="00357C8A" w14:paraId="2FC26242" w14:textId="77777777">
      <w:pPr>
        <w:rPr>
          <w:rFonts w:eastAsia="Calibri"/>
        </w:rPr>
      </w:pPr>
    </w:p>
    <w:p w:rsidR="00357C8A" w:rsidRPr="00357C8A" w:rsidP="006705EA" w14:paraId="4F40405D"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105D80" w:rsidP="0022425B" w14:paraId="6EF20713" w14:textId="77777777">
      <w:pPr>
        <w:spacing w:after="200"/>
        <w:rPr>
          <w:rFonts w:eastAsia="Calibri"/>
        </w:rPr>
      </w:pPr>
      <w:r w:rsidRPr="00105D80">
        <w:rPr>
          <w:rFonts w:eastAsia="Calibri"/>
        </w:rPr>
        <w:t>There are no capital or operating and maintenance costs associated with the information collection.</w:t>
      </w:r>
    </w:p>
    <w:p w:rsidR="00357C8A" w:rsidRPr="00357C8A" w:rsidP="006705EA" w14:paraId="56065531"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380F4F" w:rsidP="00380F4F" w14:paraId="6D9BE0CD" w14:textId="62D4719F">
      <w:pPr>
        <w:tabs>
          <w:tab w:val="left" w:pos="-720"/>
        </w:tabs>
        <w:suppressAutoHyphens/>
        <w:rPr>
          <w:rStyle w:val="normaltextrun"/>
          <w:color w:val="000000"/>
          <w:shd w:val="clear" w:color="auto" w:fill="FFFFFF"/>
        </w:rPr>
      </w:pPr>
      <w:r>
        <w:t xml:space="preserve">We </w:t>
      </w:r>
      <w:r w:rsidRPr="00D228CC">
        <w:t xml:space="preserve">estimate </w:t>
      </w:r>
      <w:r w:rsidR="00B0260E">
        <w:t xml:space="preserve">an average </w:t>
      </w:r>
      <w:r w:rsidR="00F61D65">
        <w:t xml:space="preserve">allocation </w:t>
      </w:r>
      <w:r w:rsidR="00B0260E">
        <w:t xml:space="preserve">of </w:t>
      </w:r>
      <w:r w:rsidRPr="00D228CC">
        <w:t>3 full time equivalent (FTE)</w:t>
      </w:r>
      <w:r>
        <w:t xml:space="preserve"> employees, comprised </w:t>
      </w:r>
      <w:r w:rsidRPr="00D228CC">
        <w:t>of medical officers, dental officers, scientific, and engineering professionals and support staff</w:t>
      </w:r>
      <w:r>
        <w:t>,</w:t>
      </w:r>
      <w:r w:rsidRPr="00D228CC">
        <w:t xml:space="preserve"> to review and process postmarket surveillance information.</w:t>
      </w:r>
      <w:r>
        <w:t xml:space="preserve">  </w:t>
      </w:r>
      <w:r w:rsidRPr="0017125B" w:rsidR="0017125B">
        <w:t>Assuming a cost of $</w:t>
      </w:r>
      <w:r w:rsidR="0017125B">
        <w:rPr>
          <w:rStyle w:val="normaltextrun"/>
          <w:color w:val="000000"/>
          <w:shd w:val="clear" w:color="auto" w:fill="FFFFFF"/>
        </w:rPr>
        <w:t xml:space="preserve">348,722 </w:t>
      </w:r>
      <w:r w:rsidRPr="0017125B" w:rsidR="0017125B">
        <w:t xml:space="preserve">per position (which is the agency’s projected average cost of an FTE including benefits*), we estimate </w:t>
      </w:r>
      <w:r>
        <w:t xml:space="preserve">an annual cost to the Federal government of </w:t>
      </w:r>
      <w:r w:rsidRPr="0017125B" w:rsidR="0017125B">
        <w:t>$</w:t>
      </w:r>
      <w:r>
        <w:rPr>
          <w:rStyle w:val="normaltextrun"/>
          <w:color w:val="000000"/>
          <w:shd w:val="clear" w:color="auto" w:fill="FFFFFF"/>
        </w:rPr>
        <w:t>1,046,166 ($348,722 x 3 FTEs).</w:t>
      </w:r>
    </w:p>
    <w:p w:rsidR="00B15E18" w:rsidP="00380F4F" w14:paraId="6C8EF42D" w14:textId="77777777">
      <w:pPr>
        <w:tabs>
          <w:tab w:val="left" w:pos="-720"/>
        </w:tabs>
        <w:suppressAutoHyphens/>
        <w:rPr>
          <w:rStyle w:val="normaltextrun"/>
          <w:color w:val="000000"/>
          <w:shd w:val="clear" w:color="auto" w:fill="FFFFFF"/>
        </w:rPr>
      </w:pPr>
    </w:p>
    <w:p w:rsidR="00B15E18" w:rsidRPr="007F5F83" w:rsidP="00B15E18" w14:paraId="6E4FB38C" w14:textId="55261DF7">
      <w:pPr>
        <w:pStyle w:val="BodyText2"/>
        <w:rPr>
          <w:sz w:val="20"/>
        </w:rPr>
      </w:pPr>
      <w:r w:rsidRPr="007F5F83">
        <w:rPr>
          <w:sz w:val="20"/>
        </w:rPr>
        <w:t>*Based on the Food and Drug Administration fully loaded FTE cost model (domestic) for FY 202</w:t>
      </w:r>
      <w:r>
        <w:rPr>
          <w:sz w:val="20"/>
        </w:rPr>
        <w:t>3</w:t>
      </w:r>
      <w:r w:rsidRPr="007F5F83">
        <w:rPr>
          <w:sz w:val="20"/>
        </w:rPr>
        <w:t xml:space="preserve"> as provided by agency economists</w:t>
      </w:r>
      <w:r w:rsidRPr="007F5F83">
        <w:rPr>
          <w:szCs w:val="22"/>
        </w:rPr>
        <w:t>.</w:t>
      </w:r>
    </w:p>
    <w:p w:rsidR="00B15E18" w:rsidP="00380F4F" w14:paraId="2B4802E1" w14:textId="77777777">
      <w:pPr>
        <w:tabs>
          <w:tab w:val="left" w:pos="-720"/>
        </w:tabs>
        <w:suppressAutoHyphens/>
      </w:pPr>
    </w:p>
    <w:p w:rsidR="00357C8A" w:rsidP="006705EA" w14:paraId="3870EFC7" w14:textId="2FE8E0AA">
      <w:pPr>
        <w:numPr>
          <w:ilvl w:val="0"/>
          <w:numId w:val="6"/>
        </w:numPr>
        <w:spacing w:after="200" w:line="276" w:lineRule="auto"/>
        <w:rPr>
          <w:rFonts w:eastAsia="Calibri"/>
          <w:u w:val="single"/>
        </w:rPr>
      </w:pPr>
      <w:r w:rsidRPr="00357C8A">
        <w:rPr>
          <w:rFonts w:eastAsia="Calibri"/>
          <w:u w:val="single"/>
        </w:rPr>
        <w:t>Explanation for Program Changes or Adjustments</w:t>
      </w:r>
    </w:p>
    <w:p w:rsidR="00105D80" w:rsidRPr="00105D80" w:rsidP="00105D80" w14:paraId="5FAB7B4F" w14:textId="454176C2">
      <w:pPr>
        <w:spacing w:after="200" w:line="276" w:lineRule="auto"/>
        <w:rPr>
          <w:rFonts w:eastAsia="Calibri"/>
          <w:u w:val="single"/>
        </w:rPr>
      </w:pPr>
      <w:r w:rsidRPr="002A2C09">
        <w:t xml:space="preserve">Our estimated burden for the information collection reflects an increase of </w:t>
      </w:r>
      <w:r>
        <w:t>1,890</w:t>
      </w:r>
      <w:r w:rsidRPr="002A2C09">
        <w:t xml:space="preserve"> total burden hours and a corresponding increase </w:t>
      </w:r>
      <w:r>
        <w:t>45</w:t>
      </w:r>
      <w:r w:rsidRPr="002A2C09">
        <w:t xml:space="preserve"> total annual responses.</w:t>
      </w:r>
      <w:r>
        <w:t xml:space="preserve">  </w:t>
      </w:r>
      <w:r>
        <w:rPr>
          <w:rFonts w:eastAsia="Calibri"/>
        </w:rPr>
        <w:t>This increase is</w:t>
      </w:r>
      <w:r w:rsidRPr="1DB639F0">
        <w:rPr>
          <w:rFonts w:eastAsia="Calibri"/>
        </w:rPr>
        <w:t xml:space="preserve"> based on internal FDA tracking data. </w:t>
      </w:r>
      <w:r w:rsidRPr="1DB639F0">
        <w:t>The number of respondents varies annually, subject to the number of original plans, plan changes, and interim and final reports (which are dependent on enrollment progress for each study) received by FDA</w:t>
      </w:r>
      <w:r w:rsidRPr="007C2F6F">
        <w:rPr>
          <w:rFonts w:eastAsia="Calibri"/>
        </w:rPr>
        <w:t>.</w:t>
      </w:r>
      <w:r w:rsidRPr="007C2F6F" w:rsidR="007C2F6F">
        <w:t xml:space="preserve"> </w:t>
      </w:r>
    </w:p>
    <w:p w:rsidR="00357C8A" w:rsidRPr="00357C8A" w:rsidP="006705EA" w14:paraId="50A6739E"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RPr="00105D80" w:rsidP="00357C8A" w14:paraId="1CAE6026" w14:textId="77777777">
      <w:pPr>
        <w:spacing w:after="200"/>
        <w:rPr>
          <w:rFonts w:eastAsia="Calibri"/>
        </w:rPr>
      </w:pPr>
      <w:r w:rsidRPr="005C71CA">
        <w:rPr>
          <w:rFonts w:eastAsia="Calibri"/>
        </w:rPr>
        <w:t>This information collected will not be published or tabulated</w:t>
      </w:r>
      <w:r w:rsidR="00105D80">
        <w:rPr>
          <w:rFonts w:eastAsia="Calibri"/>
        </w:rPr>
        <w:t>.</w:t>
      </w:r>
    </w:p>
    <w:p w:rsidR="00357C8A" w:rsidRPr="00357C8A" w:rsidP="006705EA" w14:paraId="68AB4CEC" w14:textId="77777777">
      <w:pPr>
        <w:numPr>
          <w:ilvl w:val="0"/>
          <w:numId w:val="6"/>
        </w:numPr>
        <w:spacing w:after="200" w:line="276" w:lineRule="auto"/>
        <w:rPr>
          <w:rFonts w:eastAsia="Calibri"/>
          <w:u w:val="single"/>
        </w:rPr>
      </w:pPr>
      <w:r w:rsidRPr="1D9DF62E">
        <w:rPr>
          <w:rFonts w:eastAsia="Calibri"/>
          <w:u w:val="single"/>
        </w:rPr>
        <w:t>Reason(s) Display of OMB Expiration Date is Inappropriate</w:t>
      </w:r>
    </w:p>
    <w:p w:rsidR="0B02D6B8" w:rsidP="1D9DF62E" w14:paraId="3878C3B9" w14:textId="3D5655E2">
      <w:r>
        <w:t>Consistent with established practice FDA will publish a Federal Register notice announcing OMB approval of the information collection associated with this guidance document and will display in that notice both the OMB control number and its current expiration date. In addition, the OMB control number will be displayed on the guidance document cover page and include a link to www.reginfo.gov to identify the current expiration date.</w:t>
      </w:r>
    </w:p>
    <w:p w:rsidR="00357C8A" w:rsidRPr="00105D80" w:rsidP="00105D80" w14:paraId="7F3A4B40" w14:textId="77777777">
      <w:pPr>
        <w:tabs>
          <w:tab w:val="left" w:pos="-720"/>
        </w:tabs>
        <w:suppressAutoHyphens/>
      </w:pPr>
      <w:r w:rsidRPr="00357C8A">
        <w:rPr>
          <w:rFonts w:eastAsia="Calibri"/>
          <w:color w:val="FF0000"/>
        </w:rPr>
        <w:t xml:space="preserve"> </w:t>
      </w:r>
    </w:p>
    <w:p w:rsidR="00357C8A" w:rsidRPr="00357C8A" w:rsidP="006705EA" w14:paraId="7A65CAAF"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544138" w:rsidRPr="00C20690" w:rsidP="00C20690" w14:paraId="428060EF" w14:textId="5745560F">
      <w:pPr>
        <w:spacing w:after="200"/>
        <w:rPr>
          <w:rFonts w:eastAsia="Calibri"/>
        </w:rPr>
      </w:pPr>
      <w:r w:rsidRPr="007E59A8">
        <w:rPr>
          <w:rFonts w:eastAsia="Calibri"/>
        </w:rPr>
        <w:t>There are no exceptions to the certification</w:t>
      </w:r>
      <w:r>
        <w:rPr>
          <w:rFonts w:eastAsia="Calibri"/>
        </w:rPr>
        <w:t>.</w:t>
      </w:r>
    </w:p>
    <w:sectPr w:rsidSect="009E358D">
      <w:headerReference w:type="default" r:id="rId13"/>
      <w:footerReference w:type="even" r:id="rId14"/>
      <w:footerReference w:type="default" r:id="rId15"/>
      <w:pgSz w:w="12240" w:h="15840" w:code="1"/>
      <w:pgMar w:top="1008" w:right="1296"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C3F44" w14:paraId="24CC4461" w14:textId="77777777">
      <w:r>
        <w:separator/>
      </w:r>
    </w:p>
    <w:p w:rsidR="00CC3F44" w14:paraId="4B67F3DC" w14:textId="77777777"/>
  </w:endnote>
  <w:endnote w:type="continuationSeparator" w:id="1">
    <w:p w:rsidR="00CC3F44" w14:paraId="0A3E06F8" w14:textId="77777777">
      <w:r>
        <w:continuationSeparator/>
      </w:r>
    </w:p>
    <w:p w:rsidR="00CC3F44" w14:paraId="089E0FC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5FFD789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1A094EB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1CF35B7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3F08206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C3F44" w14:paraId="537E5E38" w14:textId="77777777">
      <w:r>
        <w:separator/>
      </w:r>
    </w:p>
    <w:p w:rsidR="00CC3F44" w14:paraId="31F15DE4" w14:textId="77777777"/>
  </w:footnote>
  <w:footnote w:type="continuationSeparator" w:id="1">
    <w:p w:rsidR="00CC3F44" w14:paraId="3E4929F6" w14:textId="77777777">
      <w:r>
        <w:continuationSeparator/>
      </w:r>
    </w:p>
    <w:p w:rsidR="00CC3F44" w14:paraId="17DB977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358D" w:rsidP="00526289" w14:paraId="39733087" w14:textId="024FE6D5">
    <w:pPr>
      <w:pStyle w:val="Header"/>
      <w:ind w:left="-720"/>
      <w:rPr>
        <w:noProof/>
      </w:rPr>
    </w:pPr>
    <w:r>
      <w:rPr>
        <w:noProof/>
      </w:rPr>
      <w:drawing>
        <wp:inline distT="0" distB="0" distL="0" distR="0">
          <wp:extent cx="2423160" cy="502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23160" cy="502920"/>
                  </a:xfrm>
                  <a:prstGeom prst="rect">
                    <a:avLst/>
                  </a:prstGeom>
                  <a:noFill/>
                  <a:ln>
                    <a:noFill/>
                  </a:ln>
                </pic:spPr>
              </pic:pic>
            </a:graphicData>
          </a:graphic>
        </wp:inline>
      </w:drawing>
    </w:r>
  </w:p>
  <w:p w:rsidR="00D826AA" w:rsidP="009E358D" w14:paraId="1319832A" w14:textId="77777777">
    <w:pPr>
      <w:pStyle w:val="Header"/>
      <w:ind w:left="-720"/>
      <w:rPr>
        <w:noProof/>
      </w:rPr>
    </w:pPr>
  </w:p>
  <w:p w:rsidR="00D826AA" w:rsidP="009E358D" w14:paraId="54C99236" w14:textId="77777777">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70D2A"/>
    <w:multiLevelType w:val="hybridMultilevel"/>
    <w:tmpl w:val="5B3EF29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519156574">
    <w:abstractNumId w:val="6"/>
  </w:num>
  <w:num w:numId="2" w16cid:durableId="1601251823">
    <w:abstractNumId w:val="2"/>
  </w:num>
  <w:num w:numId="3" w16cid:durableId="1645310428">
    <w:abstractNumId w:val="7"/>
  </w:num>
  <w:num w:numId="4" w16cid:durableId="1144157972">
    <w:abstractNumId w:val="4"/>
  </w:num>
  <w:num w:numId="5" w16cid:durableId="2042582298">
    <w:abstractNumId w:val="8"/>
  </w:num>
  <w:num w:numId="6" w16cid:durableId="396562080">
    <w:abstractNumId w:val="1"/>
  </w:num>
  <w:num w:numId="7" w16cid:durableId="1282297246">
    <w:abstractNumId w:val="3"/>
  </w:num>
  <w:num w:numId="8" w16cid:durableId="1913811685">
    <w:abstractNumId w:val="5"/>
  </w:num>
  <w:num w:numId="9" w16cid:durableId="25247392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1CD8"/>
    <w:rsid w:val="0000468D"/>
    <w:rsid w:val="00010EAE"/>
    <w:rsid w:val="000161E3"/>
    <w:rsid w:val="00024200"/>
    <w:rsid w:val="00031A2C"/>
    <w:rsid w:val="00042B93"/>
    <w:rsid w:val="00043C7F"/>
    <w:rsid w:val="000467A8"/>
    <w:rsid w:val="0005358A"/>
    <w:rsid w:val="0006570F"/>
    <w:rsid w:val="000733CD"/>
    <w:rsid w:val="00075DE8"/>
    <w:rsid w:val="0008665D"/>
    <w:rsid w:val="00087439"/>
    <w:rsid w:val="00090F86"/>
    <w:rsid w:val="000B106C"/>
    <w:rsid w:val="000C1260"/>
    <w:rsid w:val="000C560C"/>
    <w:rsid w:val="000C7EED"/>
    <w:rsid w:val="000D080B"/>
    <w:rsid w:val="000D48FD"/>
    <w:rsid w:val="000D5D5B"/>
    <w:rsid w:val="000D79CC"/>
    <w:rsid w:val="000E1C64"/>
    <w:rsid w:val="000E2B44"/>
    <w:rsid w:val="000E34C4"/>
    <w:rsid w:val="000F49B3"/>
    <w:rsid w:val="000F7119"/>
    <w:rsid w:val="00100739"/>
    <w:rsid w:val="0010493E"/>
    <w:rsid w:val="00105D80"/>
    <w:rsid w:val="001075D3"/>
    <w:rsid w:val="00107885"/>
    <w:rsid w:val="00114FC4"/>
    <w:rsid w:val="0012329C"/>
    <w:rsid w:val="0013408B"/>
    <w:rsid w:val="00134FA7"/>
    <w:rsid w:val="00137950"/>
    <w:rsid w:val="00140762"/>
    <w:rsid w:val="00144749"/>
    <w:rsid w:val="00152F29"/>
    <w:rsid w:val="001707BF"/>
    <w:rsid w:val="0017125B"/>
    <w:rsid w:val="001736BA"/>
    <w:rsid w:val="00174D54"/>
    <w:rsid w:val="0017702C"/>
    <w:rsid w:val="00185270"/>
    <w:rsid w:val="001A3B5A"/>
    <w:rsid w:val="001A458C"/>
    <w:rsid w:val="001B7CE9"/>
    <w:rsid w:val="001D495A"/>
    <w:rsid w:val="001E244C"/>
    <w:rsid w:val="001F1437"/>
    <w:rsid w:val="00206799"/>
    <w:rsid w:val="002074FE"/>
    <w:rsid w:val="0022425B"/>
    <w:rsid w:val="002259EF"/>
    <w:rsid w:val="002333D2"/>
    <w:rsid w:val="00242ED1"/>
    <w:rsid w:val="002444BB"/>
    <w:rsid w:val="00254069"/>
    <w:rsid w:val="002568AF"/>
    <w:rsid w:val="00263E7B"/>
    <w:rsid w:val="00270748"/>
    <w:rsid w:val="002734E5"/>
    <w:rsid w:val="00274592"/>
    <w:rsid w:val="002746DB"/>
    <w:rsid w:val="00280CAF"/>
    <w:rsid w:val="00282F09"/>
    <w:rsid w:val="00291810"/>
    <w:rsid w:val="00294D62"/>
    <w:rsid w:val="00297532"/>
    <w:rsid w:val="00297FFD"/>
    <w:rsid w:val="002A0E5F"/>
    <w:rsid w:val="002A1210"/>
    <w:rsid w:val="002A2C09"/>
    <w:rsid w:val="002A47D2"/>
    <w:rsid w:val="002A7FB5"/>
    <w:rsid w:val="002B2074"/>
    <w:rsid w:val="002C6529"/>
    <w:rsid w:val="002D14D8"/>
    <w:rsid w:val="002D3A79"/>
    <w:rsid w:val="002D4799"/>
    <w:rsid w:val="002E3FA4"/>
    <w:rsid w:val="002E53A5"/>
    <w:rsid w:val="002E64B8"/>
    <w:rsid w:val="002E6834"/>
    <w:rsid w:val="002F0E6C"/>
    <w:rsid w:val="003113FF"/>
    <w:rsid w:val="00312622"/>
    <w:rsid w:val="0032277F"/>
    <w:rsid w:val="00334CA7"/>
    <w:rsid w:val="00336B69"/>
    <w:rsid w:val="00340774"/>
    <w:rsid w:val="0034302B"/>
    <w:rsid w:val="00350523"/>
    <w:rsid w:val="003517C8"/>
    <w:rsid w:val="0035189D"/>
    <w:rsid w:val="00354B6D"/>
    <w:rsid w:val="00355B62"/>
    <w:rsid w:val="00357C8A"/>
    <w:rsid w:val="00364C9C"/>
    <w:rsid w:val="003740BC"/>
    <w:rsid w:val="0037456B"/>
    <w:rsid w:val="003801A3"/>
    <w:rsid w:val="00380F4F"/>
    <w:rsid w:val="00383D90"/>
    <w:rsid w:val="00384F2E"/>
    <w:rsid w:val="00386BD1"/>
    <w:rsid w:val="00386DA0"/>
    <w:rsid w:val="003870AE"/>
    <w:rsid w:val="003A0679"/>
    <w:rsid w:val="003A1A27"/>
    <w:rsid w:val="003A50CC"/>
    <w:rsid w:val="003B42B3"/>
    <w:rsid w:val="003B6384"/>
    <w:rsid w:val="003C0FE2"/>
    <w:rsid w:val="003C4EBB"/>
    <w:rsid w:val="003D1531"/>
    <w:rsid w:val="003E1499"/>
    <w:rsid w:val="003E1EAD"/>
    <w:rsid w:val="003E4EC6"/>
    <w:rsid w:val="003E527E"/>
    <w:rsid w:val="003E553E"/>
    <w:rsid w:val="003E7078"/>
    <w:rsid w:val="003F3DF5"/>
    <w:rsid w:val="003F73B8"/>
    <w:rsid w:val="0040297E"/>
    <w:rsid w:val="00411D11"/>
    <w:rsid w:val="00414494"/>
    <w:rsid w:val="00415E23"/>
    <w:rsid w:val="0041670D"/>
    <w:rsid w:val="00423272"/>
    <w:rsid w:val="00424061"/>
    <w:rsid w:val="00435430"/>
    <w:rsid w:val="00442A3C"/>
    <w:rsid w:val="00443969"/>
    <w:rsid w:val="00447633"/>
    <w:rsid w:val="00447D74"/>
    <w:rsid w:val="00450A74"/>
    <w:rsid w:val="004546BF"/>
    <w:rsid w:val="00465350"/>
    <w:rsid w:val="00476B91"/>
    <w:rsid w:val="004846BF"/>
    <w:rsid w:val="004923E7"/>
    <w:rsid w:val="00494912"/>
    <w:rsid w:val="004A5323"/>
    <w:rsid w:val="004A5A99"/>
    <w:rsid w:val="004C6979"/>
    <w:rsid w:val="004D13A2"/>
    <w:rsid w:val="004D3E7A"/>
    <w:rsid w:val="004E053B"/>
    <w:rsid w:val="004F594B"/>
    <w:rsid w:val="004F61E1"/>
    <w:rsid w:val="00505F20"/>
    <w:rsid w:val="005115D9"/>
    <w:rsid w:val="00514C15"/>
    <w:rsid w:val="00526289"/>
    <w:rsid w:val="005326B9"/>
    <w:rsid w:val="0053380B"/>
    <w:rsid w:val="00543194"/>
    <w:rsid w:val="00544138"/>
    <w:rsid w:val="005538E3"/>
    <w:rsid w:val="00554E34"/>
    <w:rsid w:val="00584583"/>
    <w:rsid w:val="00590E90"/>
    <w:rsid w:val="00590EEB"/>
    <w:rsid w:val="005A4099"/>
    <w:rsid w:val="005C38B2"/>
    <w:rsid w:val="005C5029"/>
    <w:rsid w:val="005C55C2"/>
    <w:rsid w:val="005C71CA"/>
    <w:rsid w:val="005C745C"/>
    <w:rsid w:val="005D4DF5"/>
    <w:rsid w:val="005E1E24"/>
    <w:rsid w:val="005E42BA"/>
    <w:rsid w:val="00611D6B"/>
    <w:rsid w:val="00625CFD"/>
    <w:rsid w:val="006326EC"/>
    <w:rsid w:val="00663A42"/>
    <w:rsid w:val="006641C7"/>
    <w:rsid w:val="006705EA"/>
    <w:rsid w:val="00670BE2"/>
    <w:rsid w:val="006916D9"/>
    <w:rsid w:val="006A0E05"/>
    <w:rsid w:val="006A26C6"/>
    <w:rsid w:val="006A465A"/>
    <w:rsid w:val="006A7D5D"/>
    <w:rsid w:val="006D0C12"/>
    <w:rsid w:val="006D5D57"/>
    <w:rsid w:val="006E2538"/>
    <w:rsid w:val="006E302F"/>
    <w:rsid w:val="006E46B5"/>
    <w:rsid w:val="006F4D6D"/>
    <w:rsid w:val="006F749A"/>
    <w:rsid w:val="00700C38"/>
    <w:rsid w:val="00704A9D"/>
    <w:rsid w:val="00705086"/>
    <w:rsid w:val="00717C02"/>
    <w:rsid w:val="00722001"/>
    <w:rsid w:val="00727CDF"/>
    <w:rsid w:val="00727E12"/>
    <w:rsid w:val="00744525"/>
    <w:rsid w:val="00744BA2"/>
    <w:rsid w:val="00751E66"/>
    <w:rsid w:val="00754497"/>
    <w:rsid w:val="00773201"/>
    <w:rsid w:val="0077680F"/>
    <w:rsid w:val="00787C39"/>
    <w:rsid w:val="00792947"/>
    <w:rsid w:val="00795DF3"/>
    <w:rsid w:val="007A373C"/>
    <w:rsid w:val="007B225C"/>
    <w:rsid w:val="007C2F6F"/>
    <w:rsid w:val="007C75B1"/>
    <w:rsid w:val="007D3DFC"/>
    <w:rsid w:val="007E2F07"/>
    <w:rsid w:val="007E59A8"/>
    <w:rsid w:val="007F5F83"/>
    <w:rsid w:val="008041EB"/>
    <w:rsid w:val="0080776D"/>
    <w:rsid w:val="00810145"/>
    <w:rsid w:val="008108FA"/>
    <w:rsid w:val="00810FF1"/>
    <w:rsid w:val="00822336"/>
    <w:rsid w:val="00823DFA"/>
    <w:rsid w:val="00824DE0"/>
    <w:rsid w:val="00842DB7"/>
    <w:rsid w:val="00843752"/>
    <w:rsid w:val="0084479F"/>
    <w:rsid w:val="008454AE"/>
    <w:rsid w:val="0085725E"/>
    <w:rsid w:val="00873D4F"/>
    <w:rsid w:val="0087509F"/>
    <w:rsid w:val="00876509"/>
    <w:rsid w:val="008777B1"/>
    <w:rsid w:val="00885B09"/>
    <w:rsid w:val="008911CE"/>
    <w:rsid w:val="00892400"/>
    <w:rsid w:val="008A049C"/>
    <w:rsid w:val="008A0D73"/>
    <w:rsid w:val="008A209D"/>
    <w:rsid w:val="008A22BB"/>
    <w:rsid w:val="008B035D"/>
    <w:rsid w:val="008B0E29"/>
    <w:rsid w:val="008B0EFA"/>
    <w:rsid w:val="008B30AB"/>
    <w:rsid w:val="008C3BB8"/>
    <w:rsid w:val="008C4B65"/>
    <w:rsid w:val="008D0BD6"/>
    <w:rsid w:val="008E5F55"/>
    <w:rsid w:val="009009E7"/>
    <w:rsid w:val="00902E33"/>
    <w:rsid w:val="00905DEF"/>
    <w:rsid w:val="00906056"/>
    <w:rsid w:val="009122AE"/>
    <w:rsid w:val="00913B43"/>
    <w:rsid w:val="009146E8"/>
    <w:rsid w:val="00922CAD"/>
    <w:rsid w:val="00925CF6"/>
    <w:rsid w:val="00930203"/>
    <w:rsid w:val="009311D2"/>
    <w:rsid w:val="009311E6"/>
    <w:rsid w:val="00931275"/>
    <w:rsid w:val="0093424E"/>
    <w:rsid w:val="00936AC7"/>
    <w:rsid w:val="00947761"/>
    <w:rsid w:val="00953B64"/>
    <w:rsid w:val="009646A7"/>
    <w:rsid w:val="00970A88"/>
    <w:rsid w:val="009818A1"/>
    <w:rsid w:val="009A1674"/>
    <w:rsid w:val="009A4D84"/>
    <w:rsid w:val="009B38BE"/>
    <w:rsid w:val="009B4DF2"/>
    <w:rsid w:val="009C684F"/>
    <w:rsid w:val="009D04AA"/>
    <w:rsid w:val="009D074C"/>
    <w:rsid w:val="009D6E73"/>
    <w:rsid w:val="009E358D"/>
    <w:rsid w:val="009E372C"/>
    <w:rsid w:val="009E3732"/>
    <w:rsid w:val="009E3F29"/>
    <w:rsid w:val="009F1F1D"/>
    <w:rsid w:val="009F2B4F"/>
    <w:rsid w:val="009F3C63"/>
    <w:rsid w:val="009F66B5"/>
    <w:rsid w:val="00A02D0C"/>
    <w:rsid w:val="00A02F10"/>
    <w:rsid w:val="00A1060C"/>
    <w:rsid w:val="00A16221"/>
    <w:rsid w:val="00A1675B"/>
    <w:rsid w:val="00A20A7D"/>
    <w:rsid w:val="00A35D42"/>
    <w:rsid w:val="00A46CCF"/>
    <w:rsid w:val="00A506DE"/>
    <w:rsid w:val="00A53451"/>
    <w:rsid w:val="00A70426"/>
    <w:rsid w:val="00A707CC"/>
    <w:rsid w:val="00A71410"/>
    <w:rsid w:val="00A91E9A"/>
    <w:rsid w:val="00A93ED9"/>
    <w:rsid w:val="00A96221"/>
    <w:rsid w:val="00AA5147"/>
    <w:rsid w:val="00AB5F29"/>
    <w:rsid w:val="00AC2DBB"/>
    <w:rsid w:val="00AC6A99"/>
    <w:rsid w:val="00AD6048"/>
    <w:rsid w:val="00AD75EE"/>
    <w:rsid w:val="00AF0A45"/>
    <w:rsid w:val="00B0260E"/>
    <w:rsid w:val="00B055EF"/>
    <w:rsid w:val="00B06B5B"/>
    <w:rsid w:val="00B15E18"/>
    <w:rsid w:val="00B23769"/>
    <w:rsid w:val="00B41789"/>
    <w:rsid w:val="00B81808"/>
    <w:rsid w:val="00B86DFA"/>
    <w:rsid w:val="00B929F5"/>
    <w:rsid w:val="00B936D0"/>
    <w:rsid w:val="00BB15FB"/>
    <w:rsid w:val="00BD3D5B"/>
    <w:rsid w:val="00BD6C13"/>
    <w:rsid w:val="00BE3600"/>
    <w:rsid w:val="00C01F6F"/>
    <w:rsid w:val="00C041EA"/>
    <w:rsid w:val="00C13BBD"/>
    <w:rsid w:val="00C149AB"/>
    <w:rsid w:val="00C16929"/>
    <w:rsid w:val="00C20690"/>
    <w:rsid w:val="00C25E17"/>
    <w:rsid w:val="00C31347"/>
    <w:rsid w:val="00C36020"/>
    <w:rsid w:val="00C40694"/>
    <w:rsid w:val="00C40A0D"/>
    <w:rsid w:val="00C479BF"/>
    <w:rsid w:val="00C5124B"/>
    <w:rsid w:val="00C70542"/>
    <w:rsid w:val="00C71649"/>
    <w:rsid w:val="00C75CBF"/>
    <w:rsid w:val="00C8003A"/>
    <w:rsid w:val="00C825E9"/>
    <w:rsid w:val="00CB044D"/>
    <w:rsid w:val="00CC2894"/>
    <w:rsid w:val="00CC3F44"/>
    <w:rsid w:val="00CD77C3"/>
    <w:rsid w:val="00CE112C"/>
    <w:rsid w:val="00CF55D4"/>
    <w:rsid w:val="00D0402C"/>
    <w:rsid w:val="00D228CC"/>
    <w:rsid w:val="00D261DF"/>
    <w:rsid w:val="00D608DA"/>
    <w:rsid w:val="00D63A98"/>
    <w:rsid w:val="00D730BF"/>
    <w:rsid w:val="00D826AA"/>
    <w:rsid w:val="00D852F4"/>
    <w:rsid w:val="00DB1110"/>
    <w:rsid w:val="00DB3730"/>
    <w:rsid w:val="00DC371B"/>
    <w:rsid w:val="00DC3788"/>
    <w:rsid w:val="00DC76C7"/>
    <w:rsid w:val="00DD09F5"/>
    <w:rsid w:val="00DD0E02"/>
    <w:rsid w:val="00DD4201"/>
    <w:rsid w:val="00DD5E9F"/>
    <w:rsid w:val="00DE5711"/>
    <w:rsid w:val="00DF4C52"/>
    <w:rsid w:val="00E00EA0"/>
    <w:rsid w:val="00E021CB"/>
    <w:rsid w:val="00E138F1"/>
    <w:rsid w:val="00E2309D"/>
    <w:rsid w:val="00E26758"/>
    <w:rsid w:val="00E4357B"/>
    <w:rsid w:val="00E443A7"/>
    <w:rsid w:val="00E45904"/>
    <w:rsid w:val="00E63DE5"/>
    <w:rsid w:val="00E647AF"/>
    <w:rsid w:val="00E647C7"/>
    <w:rsid w:val="00E65A37"/>
    <w:rsid w:val="00E65EF7"/>
    <w:rsid w:val="00E77B48"/>
    <w:rsid w:val="00E857FB"/>
    <w:rsid w:val="00E91799"/>
    <w:rsid w:val="00E97DF8"/>
    <w:rsid w:val="00EA21FE"/>
    <w:rsid w:val="00EA34E3"/>
    <w:rsid w:val="00EB7538"/>
    <w:rsid w:val="00EC1868"/>
    <w:rsid w:val="00ED66A4"/>
    <w:rsid w:val="00EE4F2D"/>
    <w:rsid w:val="00EE6468"/>
    <w:rsid w:val="00EE78D1"/>
    <w:rsid w:val="00F1299B"/>
    <w:rsid w:val="00F207A4"/>
    <w:rsid w:val="00F22211"/>
    <w:rsid w:val="00F230B0"/>
    <w:rsid w:val="00F25173"/>
    <w:rsid w:val="00F355AC"/>
    <w:rsid w:val="00F40CF7"/>
    <w:rsid w:val="00F44194"/>
    <w:rsid w:val="00F61D65"/>
    <w:rsid w:val="00F71A5A"/>
    <w:rsid w:val="00F73A1A"/>
    <w:rsid w:val="00F769E0"/>
    <w:rsid w:val="00F76E5D"/>
    <w:rsid w:val="00F9669C"/>
    <w:rsid w:val="00FA32A1"/>
    <w:rsid w:val="00FA4A46"/>
    <w:rsid w:val="00FA75FE"/>
    <w:rsid w:val="00FB1032"/>
    <w:rsid w:val="00FB39BC"/>
    <w:rsid w:val="00FB6A53"/>
    <w:rsid w:val="00FC11CA"/>
    <w:rsid w:val="00FC6BDE"/>
    <w:rsid w:val="00FF4E44"/>
    <w:rsid w:val="00FF6138"/>
    <w:rsid w:val="058BA772"/>
    <w:rsid w:val="0682B400"/>
    <w:rsid w:val="0B02D6B8"/>
    <w:rsid w:val="1CCAD706"/>
    <w:rsid w:val="1D9DF62E"/>
    <w:rsid w:val="1DB639F0"/>
    <w:rsid w:val="21C6D335"/>
    <w:rsid w:val="222D89BC"/>
    <w:rsid w:val="3B483C49"/>
    <w:rsid w:val="49DA42B5"/>
    <w:rsid w:val="4EECC5DD"/>
    <w:rsid w:val="5934F6BC"/>
    <w:rsid w:val="5EAC1013"/>
    <w:rsid w:val="717224FF"/>
    <w:rsid w:val="746CD3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CF4084"/>
  <w15:chartTrackingRefBased/>
  <w15:docId w15:val="{C49D9016-3786-4D77-ADCB-E82E0AC59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Revision">
    <w:name w:val="Revision"/>
    <w:hidden/>
    <w:uiPriority w:val="99"/>
    <w:semiHidden/>
    <w:rsid w:val="00D826AA"/>
    <w:rPr>
      <w:sz w:val="24"/>
      <w:szCs w:val="24"/>
    </w:rPr>
  </w:style>
  <w:style w:type="character" w:styleId="CommentReference">
    <w:name w:val="annotation reference"/>
    <w:rsid w:val="00A02D0C"/>
    <w:rPr>
      <w:sz w:val="16"/>
      <w:szCs w:val="16"/>
    </w:rPr>
  </w:style>
  <w:style w:type="paragraph" w:styleId="CommentText">
    <w:name w:val="annotation text"/>
    <w:basedOn w:val="Normal"/>
    <w:link w:val="CommentTextChar"/>
    <w:rsid w:val="00A02D0C"/>
    <w:rPr>
      <w:sz w:val="20"/>
      <w:szCs w:val="20"/>
    </w:rPr>
  </w:style>
  <w:style w:type="character" w:customStyle="1" w:styleId="CommentTextChar">
    <w:name w:val="Comment Text Char"/>
    <w:basedOn w:val="DefaultParagraphFont"/>
    <w:link w:val="CommentText"/>
    <w:rsid w:val="00A02D0C"/>
  </w:style>
  <w:style w:type="paragraph" w:styleId="CommentSubject">
    <w:name w:val="annotation subject"/>
    <w:basedOn w:val="CommentText"/>
    <w:next w:val="CommentText"/>
    <w:link w:val="CommentSubjectChar"/>
    <w:rsid w:val="00A02D0C"/>
    <w:rPr>
      <w:b/>
      <w:bCs/>
    </w:rPr>
  </w:style>
  <w:style w:type="character" w:customStyle="1" w:styleId="CommentSubjectChar">
    <w:name w:val="Comment Subject Char"/>
    <w:link w:val="CommentSubject"/>
    <w:rsid w:val="00A02D0C"/>
    <w:rPr>
      <w:b/>
      <w:bCs/>
    </w:rPr>
  </w:style>
  <w:style w:type="paragraph" w:customStyle="1" w:styleId="paragraph">
    <w:name w:val="paragraph"/>
    <w:basedOn w:val="Normal"/>
    <w:rsid w:val="00EE4F2D"/>
    <w:pPr>
      <w:spacing w:before="100" w:beforeAutospacing="1" w:after="100" w:afterAutospacing="1"/>
    </w:pPr>
  </w:style>
  <w:style w:type="character" w:customStyle="1" w:styleId="normaltextrun">
    <w:name w:val="normaltextrun"/>
    <w:basedOn w:val="DefaultParagraphFont"/>
    <w:rsid w:val="00EE4F2D"/>
  </w:style>
  <w:style w:type="character" w:customStyle="1" w:styleId="eop">
    <w:name w:val="eop"/>
    <w:basedOn w:val="DefaultParagraphFont"/>
    <w:rsid w:val="00EE4F2D"/>
  </w:style>
  <w:style w:type="character" w:customStyle="1" w:styleId="BodyText2Char">
    <w:name w:val="Body Text 2 Char"/>
    <w:link w:val="BodyText2"/>
    <w:rsid w:val="00B15E1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da.gov/medical-devices/postmarket-requirements-devices/522-postmarket-surveillance-studies-program" TargetMode="External" /><Relationship Id="rId11" Type="http://schemas.openxmlformats.org/officeDocument/2006/relationships/hyperlink" Target="https://www.fda.gov/regulatory-information/search-fda-guidance-documents/providing-regulatory-submissions-medical-devices-electronic-format-submissions-under-section-745ab" TargetMode="External" /><Relationship Id="rId12" Type="http://schemas.openxmlformats.org/officeDocument/2006/relationships/hyperlink" Target="https://www.bls.gov/oes/current/oes_nat.htm"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hyperlink" Target="https://www.fda.gov/regulatory-information/search-fda-guidance-documents/postmarket-surveillance-under-section-522-federal-food-drug-and-cosmetic-a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e6b734-bea8-4568-8408-eb26dc17e4f2" xsi:nil="true"/>
    <lcf76f155ced4ddcb4097134ff3c332f xmlns="8aef85e0-c016-497a-95bc-1a7340a5b01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AA0D0857C52F4A956A927B843FDAE5" ma:contentTypeVersion="11" ma:contentTypeDescription="Create a new document." ma:contentTypeScope="" ma:versionID="85d3f85ec402a6a991f0d58ac7e953c7">
  <xsd:schema xmlns:xsd="http://www.w3.org/2001/XMLSchema" xmlns:xs="http://www.w3.org/2001/XMLSchema" xmlns:p="http://schemas.microsoft.com/office/2006/metadata/properties" xmlns:ns2="8aef85e0-c016-497a-95bc-1a7340a5b01f" xmlns:ns3="75e6b734-bea8-4568-8408-eb26dc17e4f2" targetNamespace="http://schemas.microsoft.com/office/2006/metadata/properties" ma:root="true" ma:fieldsID="6b510c7640505e6fdab494dd8020414a" ns2:_="" ns3:_="">
    <xsd:import namespace="8aef85e0-c016-497a-95bc-1a7340a5b01f"/>
    <xsd:import namespace="75e6b734-bea8-4568-8408-eb26dc17e4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f85e0-c016-497a-95bc-1a7340a5b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e6b734-bea8-4568-8408-eb26dc17e4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27614-dfb8-4d0e-9c6b-35b2fa1b7b9b}" ma:internalName="TaxCatchAll" ma:showField="CatchAllData" ma:web="75e6b734-bea8-4568-8408-eb26dc17e4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248836-5629-48F1-B6F4-6019D9D77B68}">
  <ds:schemaRefs>
    <ds:schemaRef ds:uri="http://schemas.microsoft.com/sharepoint/v3/contenttype/forms"/>
  </ds:schemaRefs>
</ds:datastoreItem>
</file>

<file path=customXml/itemProps2.xml><?xml version="1.0" encoding="utf-8"?>
<ds:datastoreItem xmlns:ds="http://schemas.openxmlformats.org/officeDocument/2006/customXml" ds:itemID="{DC5FCF55-AA03-4B4F-9DA9-DE3902E6E8D2}">
  <ds:schemaRefs>
    <ds:schemaRef ds:uri="http://schemas.microsoft.com/office/2006/metadata/properties"/>
    <ds:schemaRef ds:uri="http://schemas.microsoft.com/office/infopath/2007/PartnerControls"/>
    <ds:schemaRef ds:uri="75e6b734-bea8-4568-8408-eb26dc17e4f2"/>
    <ds:schemaRef ds:uri="8aef85e0-c016-497a-95bc-1a7340a5b01f"/>
  </ds:schemaRefs>
</ds:datastoreItem>
</file>

<file path=customXml/itemProps3.xml><?xml version="1.0" encoding="utf-8"?>
<ds:datastoreItem xmlns:ds="http://schemas.openxmlformats.org/officeDocument/2006/customXml" ds:itemID="{8AAF1B25-E1D4-488C-AA9D-6957F67C6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f85e0-c016-497a-95bc-1a7340a5b01f"/>
    <ds:schemaRef ds:uri="75e6b734-bea8-4568-8408-eb26dc17e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1927</Words>
  <Characters>12008</Characters>
  <Application>Microsoft Office Word</Application>
  <DocSecurity>0</DocSecurity>
  <Lines>100</Lines>
  <Paragraphs>27</Paragraphs>
  <ScaleCrop>false</ScaleCrop>
  <Company>US FDA</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Sanford, Amber</cp:lastModifiedBy>
  <cp:revision>3</cp:revision>
  <cp:lastPrinted>2019-07-03T16:25:00Z</cp:lastPrinted>
  <dcterms:created xsi:type="dcterms:W3CDTF">2025-12-23T13:34:00Z</dcterms:created>
  <dcterms:modified xsi:type="dcterms:W3CDTF">2025-12-23T13:38:00Z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0x010100A9AA0D0857C52F4A956A927B843FDAE5</vt:lpwstr>
  </property>
  <property fmtid="{D5CDD505-2E9C-101B-9397-08002B2CF9AE}" pid="3" name="MediaServiceImageTags">
    <vt:lpwstr/>
  </property>
</Properties>
</file>