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1046" w:rsidRPr="001C3085" w14:paraId="288A6DDC" w14:textId="77777777">
      <w:pPr>
        <w:pStyle w:val="Heading1"/>
        <w:spacing w:before="0"/>
        <w:ind w:left="0"/>
        <w:jc w:val="center"/>
        <w:rPr>
          <w:rFonts w:eastAsia="Calibri"/>
        </w:rPr>
      </w:pPr>
      <w:r w:rsidRPr="001C3085">
        <w:rPr>
          <w:rFonts w:eastAsia="Calibri"/>
        </w:rPr>
        <w:t>SUPPORTING STATEMENT</w:t>
      </w:r>
    </w:p>
    <w:p w:rsidR="00071046" w:rsidRPr="001C3085" w14:paraId="61A564C4" w14:textId="77777777">
      <w:pPr>
        <w:ind w:firstLine="14"/>
        <w:jc w:val="center"/>
        <w:rPr>
          <w:rFonts w:eastAsia="Calibri"/>
          <w:b/>
        </w:rPr>
      </w:pPr>
      <w:r w:rsidRPr="001C3085">
        <w:rPr>
          <w:rFonts w:eastAsia="Calibri"/>
          <w:b/>
        </w:rPr>
        <w:t>U.S. Department of Commerce</w:t>
      </w:r>
    </w:p>
    <w:p w:rsidR="00071046" w:rsidRPr="001C3085" w14:paraId="211796DC" w14:textId="77777777">
      <w:pPr>
        <w:ind w:firstLine="14"/>
        <w:jc w:val="center"/>
        <w:rPr>
          <w:rFonts w:eastAsia="Calibri"/>
          <w:b/>
        </w:rPr>
      </w:pPr>
      <w:r w:rsidRPr="001C3085">
        <w:rPr>
          <w:rFonts w:eastAsia="Calibri"/>
          <w:b/>
        </w:rPr>
        <w:t>National Oceanic &amp; Atmospheric Administration</w:t>
      </w:r>
    </w:p>
    <w:p w:rsidR="00071046" w:rsidRPr="001C3085" w14:paraId="21033FBA" w14:textId="77777777">
      <w:pPr>
        <w:ind w:hanging="6"/>
        <w:jc w:val="center"/>
        <w:rPr>
          <w:rFonts w:eastAsia="Calibri"/>
          <w:b/>
        </w:rPr>
      </w:pPr>
      <w:r w:rsidRPr="001C3085">
        <w:rPr>
          <w:rFonts w:eastAsia="Calibri"/>
          <w:b/>
        </w:rPr>
        <w:t>Assessing Public Preferences and Values to Support Coastal and Marine Management</w:t>
      </w:r>
    </w:p>
    <w:p w:rsidR="00071046" w:rsidRPr="001C3085" w14:paraId="14B09931" w14:textId="77777777">
      <w:pPr>
        <w:ind w:hanging="6"/>
        <w:jc w:val="center"/>
        <w:rPr>
          <w:rFonts w:eastAsia="Calibri"/>
          <w:b/>
        </w:rPr>
      </w:pPr>
      <w:r w:rsidRPr="001C3085">
        <w:rPr>
          <w:rFonts w:eastAsia="Calibri"/>
          <w:b/>
        </w:rPr>
        <w:t>OMB Control No. 0648-0829</w:t>
      </w:r>
    </w:p>
    <w:p w:rsidR="00071046" w:rsidRPr="001C3085" w14:paraId="55F19F60" w14:textId="77777777">
      <w:pPr>
        <w:pBdr>
          <w:top w:val="nil"/>
          <w:left w:val="nil"/>
          <w:bottom w:val="nil"/>
          <w:right w:val="nil"/>
          <w:between w:val="nil"/>
        </w:pBdr>
        <w:spacing w:before="1" w:line="276" w:lineRule="auto"/>
        <w:jc w:val="center"/>
        <w:rPr>
          <w:rFonts w:eastAsia="Calibri"/>
          <w:b/>
          <w:color w:val="000000"/>
        </w:rPr>
      </w:pPr>
    </w:p>
    <w:p w:rsidR="001C3085" w:rsidRPr="001C3085" w14:paraId="57B58361" w14:textId="67637D65">
      <w:pPr>
        <w:pStyle w:val="Heading1"/>
        <w:spacing w:before="199" w:after="200" w:line="276" w:lineRule="auto"/>
        <w:ind w:left="0"/>
        <w:rPr>
          <w:rFonts w:eastAsia="Calibri"/>
        </w:rPr>
      </w:pPr>
      <w:r w:rsidRPr="00B350D0">
        <w:rPr>
          <w:color w:val="000000"/>
        </w:rPr>
        <w:t>SUPPORTING STATEMENT PART A</w:t>
      </w:r>
    </w:p>
    <w:p w:rsidR="00071046" w:rsidRPr="001C3085" w14:paraId="317C1705" w14:textId="01313471">
      <w:pPr>
        <w:pStyle w:val="Heading1"/>
        <w:spacing w:before="199" w:after="200" w:line="276" w:lineRule="auto"/>
        <w:ind w:left="0"/>
        <w:rPr>
          <w:rFonts w:eastAsia="Calibri"/>
        </w:rPr>
      </w:pPr>
      <w:r w:rsidRPr="001C3085">
        <w:rPr>
          <w:rFonts w:eastAsia="Calibri"/>
        </w:rPr>
        <w:t>Abstract</w:t>
      </w:r>
    </w:p>
    <w:p w:rsidR="00AB67C9" w:rsidRPr="001C3085" w:rsidP="00AB67C9" w14:paraId="71D34D62" w14:textId="77777777">
      <w:pPr>
        <w:pStyle w:val="Heading1"/>
        <w:tabs>
          <w:tab w:val="left" w:pos="360"/>
        </w:tabs>
        <w:spacing w:before="197" w:after="200" w:line="276" w:lineRule="auto"/>
        <w:ind w:left="0"/>
        <w:jc w:val="both"/>
        <w:rPr>
          <w:rFonts w:eastAsia="Calibri"/>
          <w:b w:val="0"/>
        </w:rPr>
      </w:pPr>
      <w:bookmarkStart w:id="0" w:name="_heading=h.gjdgxs" w:colFirst="0" w:colLast="0"/>
      <w:bookmarkEnd w:id="0"/>
      <w:r w:rsidRPr="00AB67C9">
        <w:rPr>
          <w:rFonts w:eastAsia="Calibri"/>
          <w:b w:val="0"/>
          <w:bCs/>
        </w:rPr>
        <w:t>The National Ocean Service (NOS) proposes</w:t>
      </w:r>
      <w:r w:rsidRPr="00AB67C9" w:rsidR="00467F73">
        <w:rPr>
          <w:rFonts w:eastAsia="Calibri"/>
          <w:b w:val="0"/>
          <w:bCs/>
        </w:rPr>
        <w:t xml:space="preserve"> a </w:t>
      </w:r>
      <w:r w:rsidRPr="00AB67C9" w:rsidR="0089149C">
        <w:rPr>
          <w:rFonts w:eastAsia="Calibri"/>
          <w:b w:val="0"/>
          <w:bCs/>
        </w:rPr>
        <w:t xml:space="preserve">revision </w:t>
      </w:r>
      <w:r w:rsidRPr="00AB67C9">
        <w:rPr>
          <w:rFonts w:eastAsia="Calibri"/>
          <w:b w:val="0"/>
          <w:bCs/>
        </w:rPr>
        <w:t xml:space="preserve">and extension </w:t>
      </w:r>
      <w:r w:rsidRPr="00AB67C9" w:rsidR="0089149C">
        <w:rPr>
          <w:rFonts w:eastAsia="Calibri"/>
          <w:b w:val="0"/>
          <w:bCs/>
        </w:rPr>
        <w:t>to an approved</w:t>
      </w:r>
      <w:r w:rsidRPr="00AB67C9" w:rsidR="00467F73">
        <w:rPr>
          <w:rFonts w:eastAsia="Calibri"/>
          <w:b w:val="0"/>
          <w:bCs/>
        </w:rPr>
        <w:t xml:space="preserve"> information collection</w:t>
      </w:r>
      <w:r w:rsidRPr="00AB67C9">
        <w:rPr>
          <w:rFonts w:eastAsia="Calibri"/>
          <w:b w:val="0"/>
          <w:bCs/>
        </w:rPr>
        <w:t xml:space="preserve"> to collect data on the opinions, values, attitudes, and behaviors of </w:t>
      </w:r>
      <w:r w:rsidRPr="00AB67C9" w:rsidR="0088208E">
        <w:rPr>
          <w:rFonts w:eastAsia="Calibri"/>
          <w:b w:val="0"/>
          <w:bCs/>
        </w:rPr>
        <w:t xml:space="preserve">visitors and </w:t>
      </w:r>
      <w:r w:rsidRPr="00AB67C9">
        <w:rPr>
          <w:rFonts w:eastAsia="Calibri"/>
          <w:b w:val="0"/>
          <w:bCs/>
        </w:rPr>
        <w:t xml:space="preserve">residents local to National Estuarine Research Reserves (NERRs). </w:t>
      </w:r>
      <w:r w:rsidRPr="00AB67C9" w:rsidR="005B3775">
        <w:rPr>
          <w:rFonts w:eastAsia="Calibri"/>
          <w:b w:val="0"/>
          <w:bCs/>
        </w:rPr>
        <w:t xml:space="preserve">The revisions to the collection were informed by the pre-tests and also include updates to ensure compliance with current Administration directives.  No substantive changes have been made.  </w:t>
      </w:r>
      <w:r w:rsidRPr="00AB67C9">
        <w:rPr>
          <w:rFonts w:eastAsia="Calibri"/>
          <w:b w:val="0"/>
          <w:bCs/>
        </w:rPr>
        <w:t>There are two surveys within</w:t>
      </w:r>
      <w:r w:rsidRPr="001C3085">
        <w:rPr>
          <w:rFonts w:eastAsia="Calibri"/>
          <w:b w:val="0"/>
        </w:rPr>
        <w:t xml:space="preserve"> this request: the "York River Outdoor Recreation Survey" and the "Public Perceptions of Prescribed Fires." The first survey targets communities (45 counties and independent cities) within a one-hour drive of the York River in Virginia, which is where the Chesapeake Bay- Virginia NERR (CBNERR-VA) is located. The second survey targets communities in Alabama and Mississippi’s three coastal counties, which is where the Grand Bay NERR (GNDNERR) and Weeks Bay NERR (WBNERR) are located.</w:t>
      </w:r>
    </w:p>
    <w:p w:rsidR="00071046" w:rsidRPr="001C3085" w14:paraId="008BD8F0" w14:textId="524C9E17">
      <w:pPr>
        <w:spacing w:after="200" w:line="276" w:lineRule="auto"/>
        <w:jc w:val="both"/>
        <w:rPr>
          <w:rFonts w:eastAsia="Calibri"/>
        </w:rPr>
      </w:pPr>
      <w:r w:rsidRPr="001C3085">
        <w:rPr>
          <w:rFonts w:eastAsia="Calibri"/>
        </w:rPr>
        <w:t xml:space="preserve">Up-to-date socio-economic data is needed to support the individual NERR sites’ conservation and management goals. </w:t>
      </w:r>
      <w:r w:rsidRPr="001C3085" w:rsidR="0088208E">
        <w:rPr>
          <w:rFonts w:eastAsia="Calibri"/>
        </w:rPr>
        <w:t xml:space="preserve">The initial surveys will be conducted for the Chesapeake Bay National Estuarine Research Reserve in Virginia (CBNERR-VA), Weeks Bay NERR (WBNERR), and Grand Bay NERR (GNDNERR), and the survey will be repeated regularly in other NERRs based on information needs and budget. </w:t>
      </w:r>
      <w:r w:rsidRPr="001C3085">
        <w:rPr>
          <w:rFonts w:eastAsia="Calibri"/>
        </w:rPr>
        <w:t>This information will be used by NOAA and others to:</w:t>
      </w:r>
    </w:p>
    <w:p w:rsidR="00071046" w:rsidRPr="001C3085" w14:paraId="100E128F" w14:textId="16AA9BC9">
      <w:pPr>
        <w:numPr>
          <w:ilvl w:val="0"/>
          <w:numId w:val="5"/>
        </w:numPr>
        <w:spacing w:line="276" w:lineRule="auto"/>
        <w:jc w:val="both"/>
        <w:rPr>
          <w:rFonts w:eastAsia="Calibri"/>
        </w:rPr>
      </w:pPr>
      <w:r w:rsidRPr="001C3085">
        <w:rPr>
          <w:rFonts w:eastAsia="Calibri"/>
        </w:rPr>
        <w:t>understand who visits the NERRs</w:t>
      </w:r>
      <w:r w:rsidR="001C3085">
        <w:rPr>
          <w:rFonts w:eastAsia="Calibri"/>
        </w:rPr>
        <w:t>,</w:t>
      </w:r>
    </w:p>
    <w:p w:rsidR="00071046" w:rsidRPr="001C3085" w14:paraId="06EAA13D" w14:textId="2A272A43">
      <w:pPr>
        <w:numPr>
          <w:ilvl w:val="0"/>
          <w:numId w:val="5"/>
        </w:numPr>
        <w:spacing w:line="276" w:lineRule="auto"/>
        <w:jc w:val="both"/>
        <w:rPr>
          <w:rFonts w:eastAsia="Calibri"/>
        </w:rPr>
      </w:pPr>
      <w:r w:rsidRPr="001C3085">
        <w:rPr>
          <w:rFonts w:eastAsia="Calibri"/>
        </w:rPr>
        <w:t>identify impacts of management decisions</w:t>
      </w:r>
      <w:r w:rsidR="001C3085">
        <w:rPr>
          <w:rFonts w:eastAsia="Calibri"/>
        </w:rPr>
        <w:t>,</w:t>
      </w:r>
    </w:p>
    <w:p w:rsidR="00071046" w:rsidRPr="001C3085" w14:paraId="7238635B" w14:textId="3B8D27AE">
      <w:pPr>
        <w:numPr>
          <w:ilvl w:val="0"/>
          <w:numId w:val="5"/>
        </w:numPr>
        <w:spacing w:line="276" w:lineRule="auto"/>
        <w:jc w:val="both"/>
        <w:rPr>
          <w:rFonts w:eastAsia="Calibri"/>
        </w:rPr>
      </w:pPr>
      <w:r w:rsidRPr="001C3085">
        <w:rPr>
          <w:rFonts w:eastAsia="Calibri"/>
        </w:rPr>
        <w:t>inform management decisions</w:t>
      </w:r>
      <w:r w:rsidR="001C3085">
        <w:rPr>
          <w:rFonts w:eastAsia="Calibri"/>
        </w:rPr>
        <w:t>,</w:t>
      </w:r>
      <w:r w:rsidRPr="001C3085">
        <w:rPr>
          <w:rFonts w:eastAsia="Calibri"/>
        </w:rPr>
        <w:t xml:space="preserve"> and</w:t>
      </w:r>
    </w:p>
    <w:p w:rsidR="00071046" w:rsidRPr="001C3085" w14:paraId="78489979" w14:textId="77777777">
      <w:pPr>
        <w:numPr>
          <w:ilvl w:val="0"/>
          <w:numId w:val="5"/>
        </w:numPr>
        <w:spacing w:after="200" w:line="276" w:lineRule="auto"/>
        <w:jc w:val="both"/>
        <w:rPr>
          <w:rFonts w:eastAsia="Calibri"/>
        </w:rPr>
      </w:pPr>
      <w:r w:rsidRPr="001C3085">
        <w:rPr>
          <w:rFonts w:eastAsia="Calibri"/>
        </w:rPr>
        <w:t>extend education and outreach efforts.</w:t>
      </w:r>
    </w:p>
    <w:p w:rsidR="00071046" w:rsidRPr="001C3085" w14:paraId="14349F7C" w14:textId="4CA9C2CE">
      <w:pPr>
        <w:spacing w:after="200" w:line="276" w:lineRule="auto"/>
        <w:jc w:val="both"/>
        <w:rPr>
          <w:rFonts w:eastAsia="Calibri"/>
          <w:highlight w:val="yellow"/>
        </w:rPr>
      </w:pPr>
      <w:r w:rsidRPr="001C3085">
        <w:rPr>
          <w:rFonts w:eastAsia="Calibri"/>
        </w:rPr>
        <w:t>NOAA has a vested interest in this research as it support</w:t>
      </w:r>
      <w:r w:rsidR="001C3085">
        <w:rPr>
          <w:rFonts w:eastAsia="Calibri"/>
        </w:rPr>
        <w:t>s</w:t>
      </w:r>
      <w:r w:rsidRPr="001C3085">
        <w:rPr>
          <w:rFonts w:eastAsia="Calibri"/>
        </w:rPr>
        <w:t xml:space="preserve"> comprehensive ocean and coastal planning and management. </w:t>
      </w:r>
      <w:r w:rsidRPr="001C3085" w:rsidR="00E72C9E">
        <w:rPr>
          <w:rFonts w:eastAsia="Calibri"/>
        </w:rPr>
        <w:t>The data collected and resulting products are beneficial for NOAA, resource managers, and policy-makers.</w:t>
      </w:r>
    </w:p>
    <w:p w:rsidR="00071046" w:rsidRPr="001C3085" w14:paraId="41D71A82" w14:textId="77777777">
      <w:pPr>
        <w:pStyle w:val="Heading1"/>
        <w:spacing w:before="124" w:after="200" w:line="276" w:lineRule="auto"/>
        <w:ind w:left="0"/>
        <w:jc w:val="both"/>
        <w:rPr>
          <w:rFonts w:eastAsia="Calibri"/>
        </w:rPr>
      </w:pPr>
      <w:r w:rsidRPr="001C3085">
        <w:rPr>
          <w:rFonts w:eastAsia="Calibri"/>
        </w:rPr>
        <w:t>Justification</w:t>
      </w:r>
    </w:p>
    <w:p w:rsidR="00071046" w:rsidRPr="001C3085" w14:paraId="7420CB7C" w14:textId="77777777">
      <w:pPr>
        <w:numPr>
          <w:ilvl w:val="0"/>
          <w:numId w:val="6"/>
        </w:numPr>
        <w:pBdr>
          <w:top w:val="nil"/>
          <w:left w:val="nil"/>
          <w:bottom w:val="nil"/>
          <w:right w:val="nil"/>
          <w:between w:val="nil"/>
        </w:pBdr>
        <w:tabs>
          <w:tab w:val="left" w:pos="360"/>
        </w:tabs>
        <w:spacing w:before="182" w:after="200" w:line="276" w:lineRule="auto"/>
        <w:ind w:left="0" w:firstLine="0"/>
        <w:jc w:val="both"/>
        <w:rPr>
          <w:color w:val="000000"/>
        </w:rPr>
      </w:pPr>
      <w:r w:rsidRPr="001C3085">
        <w:rPr>
          <w:rFonts w:eastAsia="Calibri"/>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71046" w:rsidRPr="001C3085" w14:paraId="292B4138" w14:textId="7D07A6E1">
      <w:pPr>
        <w:spacing w:before="240" w:after="240" w:line="276" w:lineRule="auto"/>
        <w:jc w:val="both"/>
        <w:rPr>
          <w:rFonts w:eastAsia="Calibri"/>
        </w:rPr>
      </w:pPr>
      <w:r w:rsidRPr="001C3085">
        <w:rPr>
          <w:rFonts w:eastAsia="Calibri"/>
        </w:rPr>
        <w:t xml:space="preserve">NOAA’s mission is to provide science, service, and stewardship for, among other activities, the management of the nation’s oceans and coasts. NOAA supports “comprehensive ocean and coastal planning and management” to facilitate the use of oceans and coasts, ensuring “continued access to coastal areas, sustained ecosystems, maintained cultural heritage, and limited cumulative impacts.” NOAA is </w:t>
      </w:r>
      <w:r w:rsidRPr="001C3085">
        <w:rPr>
          <w:rFonts w:eastAsia="Calibri"/>
        </w:rPr>
        <w:t xml:space="preserve">subject to and supports mandates of the Coastal Zone Management Act (CZMA) (16 U.S.C. § 1452 (303)(2)(D)), which encourages the wise use of coastal resources, including </w:t>
      </w:r>
      <w:r w:rsidR="001A10FB">
        <w:rPr>
          <w:rFonts w:eastAsia="Calibri"/>
        </w:rPr>
        <w:t xml:space="preserve">activities associated with </w:t>
      </w:r>
      <w:r w:rsidRPr="001C3085">
        <w:rPr>
          <w:rFonts w:eastAsia="Calibri"/>
        </w:rPr>
        <w:t xml:space="preserve">energy </w:t>
      </w:r>
      <w:r w:rsidR="001A10FB">
        <w:rPr>
          <w:rFonts w:eastAsia="Calibri"/>
        </w:rPr>
        <w:t>generation</w:t>
      </w:r>
      <w:r w:rsidRPr="001C3085">
        <w:rPr>
          <w:rFonts w:eastAsia="Calibri"/>
        </w:rPr>
        <w:t>. The CZMA also encourages the inclusion and participation of the public in carrying out the tenets of the act (16 U.S.C. § 1452 (303)(4)). The National Environmental Policy Act (NEPA)</w:t>
      </w:r>
      <w:r w:rsidRPr="001C3085" w:rsidR="002D1313">
        <w:t xml:space="preserve"> (42 U.S.C. </w:t>
      </w:r>
      <w:r w:rsidRPr="001C3085" w:rsidR="002D1313">
        <w:rPr>
          <w:rFonts w:eastAsia="Calibri"/>
        </w:rPr>
        <w:t xml:space="preserve">§ </w:t>
      </w:r>
      <w:r w:rsidRPr="001C3085" w:rsidR="002D1313">
        <w:t>4332(2)(A)</w:t>
      </w:r>
      <w:r w:rsidRPr="001C3085">
        <w:rPr>
          <w:rFonts w:eastAsia="Calibri"/>
        </w:rPr>
        <w:t xml:space="preserve"> mandates </w:t>
      </w:r>
      <w:r w:rsidRPr="001C3085" w:rsidR="002D1313">
        <w:rPr>
          <w:rFonts w:eastAsia="Calibri"/>
        </w:rPr>
        <w:t>F</w:t>
      </w:r>
      <w:r w:rsidRPr="001C3085">
        <w:rPr>
          <w:rFonts w:eastAsia="Calibri"/>
        </w:rPr>
        <w:t xml:space="preserve">ederal agencies use social science data to assess the impacts of </w:t>
      </w:r>
      <w:r w:rsidRPr="001C3085" w:rsidR="002D1313">
        <w:rPr>
          <w:rFonts w:eastAsia="Calibri"/>
        </w:rPr>
        <w:t>F</w:t>
      </w:r>
      <w:r w:rsidRPr="001C3085">
        <w:rPr>
          <w:rFonts w:eastAsia="Calibri"/>
        </w:rPr>
        <w:t>ederal actions on the human environment.</w:t>
      </w:r>
    </w:p>
    <w:p w:rsidR="00071046" w:rsidRPr="001C3085" w14:paraId="7B71CDD8" w14:textId="643CEF3D">
      <w:pPr>
        <w:spacing w:before="240" w:after="240" w:line="276" w:lineRule="auto"/>
        <w:jc w:val="both"/>
        <w:rPr>
          <w:rFonts w:eastAsia="Calibri"/>
          <w:highlight w:val="white"/>
        </w:rPr>
      </w:pPr>
      <w:r w:rsidRPr="001C3085">
        <w:rPr>
          <w:rFonts w:eastAsia="Calibri"/>
        </w:rPr>
        <w:t xml:space="preserve">The </w:t>
      </w:r>
      <w:r w:rsidRPr="001C3085" w:rsidR="001C3085">
        <w:rPr>
          <w:rFonts w:eastAsia="Calibri"/>
        </w:rPr>
        <w:t>National Estuarine Research Reserve</w:t>
      </w:r>
      <w:r w:rsidR="001C3085">
        <w:rPr>
          <w:rFonts w:eastAsia="Calibri"/>
        </w:rPr>
        <w:t xml:space="preserve"> System (</w:t>
      </w:r>
      <w:r w:rsidRPr="001C3085">
        <w:rPr>
          <w:rFonts w:eastAsia="Calibri"/>
        </w:rPr>
        <w:t>NERRS</w:t>
      </w:r>
      <w:r w:rsidR="001C3085">
        <w:rPr>
          <w:rFonts w:eastAsia="Calibri"/>
        </w:rPr>
        <w:t>)</w:t>
      </w:r>
      <w:r w:rsidRPr="001C3085">
        <w:rPr>
          <w:rFonts w:eastAsia="Calibri"/>
        </w:rPr>
        <w:t xml:space="preserve"> is a federal-state partnership program for the stewardship, education, and research of unique estuarine sites. This data collection supports the NERRS’ vision of establishing healthy estuaries and coastal watersheds where human and ecological communities thrive. The NERRS has identified five priority research areas, including a focus on social science and economic processes within each NERR site. However, limited data exists characterizing stakeholder opinions, values, attitudes, and behaviors, including their spatial aspects. </w:t>
      </w:r>
    </w:p>
    <w:p w:rsidR="00071046" w:rsidRPr="001C3085" w14:paraId="1726B73E" w14:textId="77777777">
      <w:pPr>
        <w:spacing w:before="240" w:after="240" w:line="276" w:lineRule="auto"/>
        <w:jc w:val="both"/>
        <w:rPr>
          <w:rFonts w:eastAsia="Calibri"/>
        </w:rPr>
      </w:pPr>
      <w:r w:rsidRPr="001C3085">
        <w:rPr>
          <w:rFonts w:eastAsia="Calibri"/>
        </w:rPr>
        <w:t>To support these efforts, there is a need for the agency to collect socioeconomic data to:</w:t>
      </w:r>
    </w:p>
    <w:p w:rsidR="00071046" w:rsidRPr="001C3085" w14:paraId="4350776D" w14:textId="27A32E8E">
      <w:pPr>
        <w:numPr>
          <w:ilvl w:val="0"/>
          <w:numId w:val="3"/>
        </w:numPr>
        <w:spacing w:line="276" w:lineRule="auto"/>
        <w:jc w:val="both"/>
        <w:rPr>
          <w:rFonts w:eastAsia="Calibri"/>
        </w:rPr>
      </w:pPr>
      <w:bookmarkStart w:id="1" w:name="_heading=h.30j0zll" w:colFirst="0" w:colLast="0"/>
      <w:bookmarkEnd w:id="1"/>
      <w:r w:rsidRPr="001C3085">
        <w:rPr>
          <w:rFonts w:eastAsia="Calibri"/>
        </w:rPr>
        <w:t>understand who visits the NERRs</w:t>
      </w:r>
      <w:r w:rsidR="00D52D2A">
        <w:rPr>
          <w:rFonts w:eastAsia="Calibri"/>
        </w:rPr>
        <w:t>,</w:t>
      </w:r>
    </w:p>
    <w:p w:rsidR="00071046" w:rsidRPr="001C3085" w14:paraId="01026964" w14:textId="3A3DCFA2">
      <w:pPr>
        <w:numPr>
          <w:ilvl w:val="0"/>
          <w:numId w:val="3"/>
        </w:numPr>
        <w:spacing w:line="276" w:lineRule="auto"/>
        <w:jc w:val="both"/>
        <w:rPr>
          <w:rFonts w:eastAsia="Calibri"/>
        </w:rPr>
      </w:pPr>
      <w:bookmarkStart w:id="2" w:name="_heading=h.1fob9te" w:colFirst="0" w:colLast="0"/>
      <w:bookmarkEnd w:id="2"/>
      <w:r w:rsidRPr="001C3085">
        <w:rPr>
          <w:rFonts w:eastAsia="Calibri"/>
        </w:rPr>
        <w:t>identify impacts of management decisions</w:t>
      </w:r>
      <w:r w:rsidR="00D52D2A">
        <w:rPr>
          <w:rFonts w:eastAsia="Calibri"/>
        </w:rPr>
        <w:t>,</w:t>
      </w:r>
    </w:p>
    <w:p w:rsidR="00071046" w:rsidRPr="001C3085" w14:paraId="5491DE2B" w14:textId="70534FB7">
      <w:pPr>
        <w:numPr>
          <w:ilvl w:val="0"/>
          <w:numId w:val="3"/>
        </w:numPr>
        <w:spacing w:line="276" w:lineRule="auto"/>
        <w:jc w:val="both"/>
        <w:rPr>
          <w:rFonts w:eastAsia="Calibri"/>
        </w:rPr>
      </w:pPr>
      <w:bookmarkStart w:id="3" w:name="_heading=h.3znysh7" w:colFirst="0" w:colLast="0"/>
      <w:bookmarkEnd w:id="3"/>
      <w:r w:rsidRPr="001C3085">
        <w:rPr>
          <w:rFonts w:eastAsia="Calibri"/>
        </w:rPr>
        <w:t>inform management decisions</w:t>
      </w:r>
      <w:r w:rsidR="00D52D2A">
        <w:rPr>
          <w:rFonts w:eastAsia="Calibri"/>
        </w:rPr>
        <w:t>,</w:t>
      </w:r>
      <w:r w:rsidRPr="001C3085">
        <w:rPr>
          <w:rFonts w:eastAsia="Calibri"/>
        </w:rPr>
        <w:t xml:space="preserve"> and</w:t>
      </w:r>
    </w:p>
    <w:p w:rsidR="00071046" w:rsidRPr="001C3085" w14:paraId="7B050457" w14:textId="77777777">
      <w:pPr>
        <w:numPr>
          <w:ilvl w:val="0"/>
          <w:numId w:val="3"/>
        </w:numPr>
        <w:spacing w:line="276" w:lineRule="auto"/>
        <w:jc w:val="both"/>
        <w:rPr>
          <w:rFonts w:eastAsia="Calibri"/>
        </w:rPr>
      </w:pPr>
      <w:bookmarkStart w:id="4" w:name="_heading=h.2et92p0" w:colFirst="0" w:colLast="0"/>
      <w:bookmarkEnd w:id="4"/>
      <w:r w:rsidRPr="001C3085">
        <w:rPr>
          <w:rFonts w:eastAsia="Calibri"/>
        </w:rPr>
        <w:t>extend education and outreach efforts.</w:t>
      </w:r>
    </w:p>
    <w:p w:rsidR="00071046" w:rsidRPr="001C3085" w14:paraId="0A84786B" w14:textId="77777777">
      <w:pPr>
        <w:pStyle w:val="Heading1"/>
        <w:numPr>
          <w:ilvl w:val="0"/>
          <w:numId w:val="6"/>
        </w:numPr>
        <w:tabs>
          <w:tab w:val="left" w:pos="360"/>
        </w:tabs>
        <w:spacing w:before="197" w:after="200" w:line="276" w:lineRule="auto"/>
        <w:ind w:left="0" w:firstLine="0"/>
        <w:jc w:val="both"/>
      </w:pPr>
      <w:r w:rsidRPr="001C3085">
        <w:rPr>
          <w:rFonts w:eastAsia="Calibri"/>
        </w:rPr>
        <w:t>Indicate how, by whom, and for what purpose the information is to be used. Except for a new collection, indicate the actual use the agency has made of the information received from the current collection.</w:t>
      </w:r>
    </w:p>
    <w:p w:rsidR="00585075" w:rsidRPr="00B350D0" w14:paraId="4AD378FF" w14:textId="77777777">
      <w:pPr>
        <w:pStyle w:val="Heading1"/>
        <w:tabs>
          <w:tab w:val="left" w:pos="360"/>
        </w:tabs>
        <w:spacing w:before="197" w:after="200" w:line="276" w:lineRule="auto"/>
        <w:ind w:left="0"/>
        <w:jc w:val="both"/>
        <w:rPr>
          <w:rFonts w:eastAsia="Calibri"/>
          <w:b w:val="0"/>
          <w:bCs/>
        </w:rPr>
      </w:pPr>
      <w:r w:rsidRPr="00B350D0">
        <w:rPr>
          <w:rFonts w:eastAsia="Calibri"/>
          <w:b w:val="0"/>
          <w:bCs/>
        </w:rPr>
        <w:t>Survey respondents will be recruited by mail and offered the option to complete the survey via paper (mail-back) or online via a URL or QR code. Online surveys can be accessed with a computer, laptop, tablet, or mobile device</w:t>
      </w:r>
      <w:r w:rsidRPr="00B350D0">
        <w:rPr>
          <w:rFonts w:eastAsia="Calibri"/>
          <w:b w:val="0"/>
          <w:bCs/>
        </w:rPr>
        <w:t>.</w:t>
      </w:r>
      <w:r w:rsidRPr="00B350D0">
        <w:rPr>
          <w:rFonts w:eastAsia="Calibri"/>
          <w:b w:val="0"/>
          <w:bCs/>
        </w:rPr>
        <w:t xml:space="preserve"> </w:t>
      </w:r>
      <w:r w:rsidRPr="00B350D0">
        <w:rPr>
          <w:rFonts w:eastAsia="Calibri"/>
          <w:b w:val="0"/>
          <w:bCs/>
        </w:rPr>
        <w:t xml:space="preserve">Information collections will be intermittent depending on NERR locations and management information needs. Respondents in any specific location will not be contacted for more than one survey. </w:t>
      </w:r>
    </w:p>
    <w:p w:rsidR="00071046" w:rsidRPr="001C3085" w14:paraId="170C4943" w14:textId="7AE8AA20">
      <w:pPr>
        <w:pStyle w:val="Heading1"/>
        <w:tabs>
          <w:tab w:val="left" w:pos="360"/>
        </w:tabs>
        <w:spacing w:before="197" w:after="200" w:line="276" w:lineRule="auto"/>
        <w:ind w:left="0"/>
        <w:jc w:val="both"/>
        <w:rPr>
          <w:rFonts w:eastAsia="Calibri"/>
          <w:b w:val="0"/>
        </w:rPr>
      </w:pPr>
      <w:r w:rsidRPr="001C3085">
        <w:rPr>
          <w:rFonts w:eastAsia="Calibri"/>
          <w:b w:val="0"/>
        </w:rPr>
        <w:t>There are two surveys within this request: the "York River Outdoor Recreation Survey" and the "Public Perceptions of Prescribed Fires." The first survey targets communities (45 counties and independent cities) within a one-hour drive of the York River in Virginia, which is where the Chesapeake Bay- Virginia NERR (CBNERR-VA) is located. The second survey targets communities in Alabama and Mississippi’s three coastal counties, which is where the Grand Bay NERR (GNDNERR) and Weeks Bay NERR (WBNERR) are located.</w:t>
      </w:r>
    </w:p>
    <w:p w:rsidR="00071046" w:rsidRPr="001C3085" w14:paraId="4D633F25" w14:textId="39496B2F">
      <w:pPr>
        <w:pStyle w:val="Heading1"/>
        <w:tabs>
          <w:tab w:val="left" w:pos="360"/>
        </w:tabs>
        <w:spacing w:before="197" w:after="200" w:line="276" w:lineRule="auto"/>
        <w:ind w:left="0"/>
        <w:jc w:val="both"/>
        <w:rPr>
          <w:rFonts w:eastAsia="Calibri"/>
          <w:b w:val="0"/>
        </w:rPr>
      </w:pPr>
      <w:r w:rsidRPr="001C3085">
        <w:rPr>
          <w:rFonts w:eastAsia="Calibri"/>
          <w:b w:val="0"/>
        </w:rPr>
        <w:t>Information collected during the pretests of these surveys was used to ensure the quality of the data and to test protocol for workflow needed in the full-scale information collection. Information collected from the full implementation of these surveys</w:t>
      </w:r>
      <w:r w:rsidRPr="001C3085" w:rsidR="002638E5">
        <w:rPr>
          <w:rFonts w:eastAsia="Calibri"/>
          <w:b w:val="0"/>
        </w:rPr>
        <w:t xml:space="preserve"> will</w:t>
      </w:r>
      <w:r w:rsidRPr="001C3085">
        <w:rPr>
          <w:rFonts w:eastAsia="Calibri"/>
          <w:b w:val="0"/>
        </w:rPr>
        <w:t xml:space="preserve"> provide insights into the opinions, values, attitudes, and behaviors of residents local to NERRs. Natural resource managers at NERRs, including Coastal Training, Education, Stewardship, and Research Coordinators, are primary users of this information, with regional and local natural resource managers, policy-makers, and NOAA benefiting from the resulting data and products.</w:t>
      </w:r>
    </w:p>
    <w:p w:rsidR="00071046" w:rsidRPr="001C3085" w14:paraId="737A43EF" w14:textId="77777777">
      <w:pPr>
        <w:pStyle w:val="Heading1"/>
        <w:tabs>
          <w:tab w:val="left" w:pos="360"/>
        </w:tabs>
        <w:spacing w:before="197" w:after="200" w:line="276" w:lineRule="auto"/>
        <w:ind w:left="0"/>
        <w:jc w:val="both"/>
        <w:rPr>
          <w:rFonts w:eastAsia="Calibri"/>
          <w:b w:val="0"/>
        </w:rPr>
      </w:pPr>
      <w:r w:rsidRPr="001C3085">
        <w:rPr>
          <w:rFonts w:eastAsia="Calibri"/>
          <w:b w:val="0"/>
        </w:rPr>
        <w:t xml:space="preserve">Overall, this information will be used to inform management decisions, such as management plans or programs, outreach/education activities, or policies related to the management of the NERR sites and other managed areas within the study areas. Specifically, data from “York River Outdoor Recreation Survey” will be used to create visitor profiles, helping managers understand visitor demographics, experiences, spending patterns, and park usage. This information will guide decisions on infrastructure planning and resource allocation based on visitor dynamics and seasonal visitation patterns. Additionally, the data will aid in estimating recreation values and directing decisions to enhance park infrastructure and amenities. </w:t>
      </w:r>
    </w:p>
    <w:p w:rsidR="00071046" w:rsidRPr="001C3085" w14:paraId="348D0B54" w14:textId="77777777">
      <w:pPr>
        <w:pStyle w:val="Heading1"/>
        <w:tabs>
          <w:tab w:val="left" w:pos="360"/>
        </w:tabs>
        <w:spacing w:before="197" w:after="200" w:line="276" w:lineRule="auto"/>
        <w:ind w:left="0"/>
        <w:jc w:val="both"/>
        <w:rPr>
          <w:rFonts w:eastAsia="Calibri"/>
          <w:b w:val="0"/>
        </w:rPr>
      </w:pPr>
      <w:r w:rsidRPr="001C3085">
        <w:rPr>
          <w:rFonts w:eastAsia="Calibri"/>
          <w:b w:val="0"/>
        </w:rPr>
        <w:t>Data from “Public Perceptions of Prescribed Fires” can be used by managers to gauge public perceptions and identify gaps in understanding. Understanding public values and priorities will guide the prioritization of management strategies that align with community expectations. This insight will inform targeted education and outreach initiatives aimed at addressing community concerns, improving transparency, and enhancing public understanding and engagement regarding prescribed fire management. Ultimately, these efforts aim to improve community acceptance of prescribed fires.</w:t>
      </w:r>
    </w:p>
    <w:p w:rsidR="00071046" w:rsidRPr="001C3085" w14:paraId="21F877C0" w14:textId="77777777">
      <w:pPr>
        <w:keepNext/>
        <w:keepLines/>
        <w:pBdr>
          <w:top w:val="nil"/>
          <w:left w:val="nil"/>
          <w:bottom w:val="nil"/>
          <w:right w:val="nil"/>
          <w:between w:val="nil"/>
        </w:pBdr>
        <w:tabs>
          <w:tab w:val="left" w:pos="9360"/>
        </w:tabs>
        <w:spacing w:after="200" w:line="276" w:lineRule="auto"/>
        <w:jc w:val="both"/>
        <w:rPr>
          <w:rFonts w:eastAsia="Calibri"/>
        </w:rPr>
      </w:pPr>
      <w:r w:rsidRPr="001C3085">
        <w:rPr>
          <w:rFonts w:eastAsia="Calibri"/>
        </w:rPr>
        <w:t>Specific justification for both surveys are included below (see Enclosure 5 for the full list of survey questions):</w:t>
      </w:r>
    </w:p>
    <w:p w:rsidR="00071046" w:rsidRPr="001C3085" w14:paraId="5416B93F" w14:textId="77777777"/>
    <w:p w:rsidR="00071046" w:rsidRPr="001C3085" w:rsidP="000A5CD9" w14:paraId="06DD315C" w14:textId="77777777">
      <w:r w:rsidRPr="00B350D0">
        <w:rPr>
          <w:u w:val="single"/>
        </w:rPr>
        <w:t>“York River Outdoor Recreation Survey”</w:t>
      </w:r>
      <w:r w:rsidRPr="001C3085">
        <w:t xml:space="preserve"> Question Justifications</w:t>
      </w:r>
    </w:p>
    <w:p w:rsidR="00071046" w:rsidRPr="001C3085" w14:paraId="6EBB48D9" w14:textId="77777777">
      <w:pPr>
        <w:widowControl/>
        <w:spacing w:line="276" w:lineRule="auto"/>
        <w:rPr>
          <w:rFonts w:eastAsia="Arial"/>
        </w:rPr>
      </w:pPr>
    </w:p>
    <w:tbl>
      <w:tblPr>
        <w:tblStyle w:val="7"/>
        <w:tblpPr w:leftFromText="180" w:rightFromText="180" w:topFromText="180" w:bottomFromText="180" w:vertAnchor="text"/>
        <w:tblW w:w="10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78"/>
        <w:gridCol w:w="3378"/>
        <w:gridCol w:w="3378"/>
      </w:tblGrid>
      <w:tr w14:paraId="44EB664E" w14:textId="77777777">
        <w:tblPrEx>
          <w:tblW w:w="10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3378" w:type="dxa"/>
          </w:tcPr>
          <w:p w:rsidR="00071046" w:rsidRPr="001C3085" w14:paraId="21E6900A" w14:textId="77777777">
            <w:pPr>
              <w:rPr>
                <w:rFonts w:eastAsia="Calibri"/>
                <w:sz w:val="24"/>
                <w:szCs w:val="24"/>
              </w:rPr>
            </w:pPr>
            <w:r w:rsidRPr="001C3085">
              <w:rPr>
                <w:rFonts w:eastAsia="Calibri"/>
                <w:sz w:val="24"/>
                <w:szCs w:val="24"/>
              </w:rPr>
              <w:t>Section/Question</w:t>
            </w:r>
          </w:p>
        </w:tc>
        <w:tc>
          <w:tcPr>
            <w:tcW w:w="3378" w:type="dxa"/>
          </w:tcPr>
          <w:p w:rsidR="00071046" w:rsidRPr="001C3085" w14:paraId="253095FE" w14:textId="0BE45678">
            <w:pPr>
              <w:rPr>
                <w:rFonts w:eastAsia="Calibri"/>
                <w:sz w:val="24"/>
                <w:szCs w:val="24"/>
              </w:rPr>
            </w:pPr>
            <w:r w:rsidRPr="001C3085">
              <w:rPr>
                <w:rFonts w:eastAsia="Calibri"/>
                <w:sz w:val="24"/>
                <w:szCs w:val="24"/>
              </w:rPr>
              <w:t>Justification/Data use</w:t>
            </w:r>
          </w:p>
        </w:tc>
        <w:tc>
          <w:tcPr>
            <w:tcW w:w="3378" w:type="dxa"/>
          </w:tcPr>
          <w:p w:rsidR="00071046" w:rsidRPr="001C3085" w14:paraId="53F6FA41" w14:textId="77777777">
            <w:pPr>
              <w:rPr>
                <w:rFonts w:eastAsia="Calibri"/>
                <w:sz w:val="24"/>
                <w:szCs w:val="24"/>
              </w:rPr>
            </w:pPr>
            <w:r w:rsidRPr="001C3085">
              <w:rPr>
                <w:rFonts w:eastAsia="Calibri"/>
                <w:sz w:val="24"/>
                <w:szCs w:val="24"/>
              </w:rPr>
              <w:t>Literature (if relevant)</w:t>
            </w:r>
          </w:p>
        </w:tc>
      </w:tr>
      <w:tr w14:paraId="693FC259" w14:textId="77777777">
        <w:tblPrEx>
          <w:tblW w:w="10134" w:type="dxa"/>
          <w:tblLayout w:type="fixed"/>
          <w:tblLook w:val="0600"/>
        </w:tblPrEx>
        <w:trPr>
          <w:trHeight w:val="420"/>
        </w:trPr>
        <w:tc>
          <w:tcPr>
            <w:tcW w:w="10134" w:type="dxa"/>
            <w:gridSpan w:val="3"/>
            <w:shd w:val="clear" w:color="auto" w:fill="EFEFEF"/>
          </w:tcPr>
          <w:p w:rsidR="00071046" w:rsidRPr="001C3085" w14:paraId="15C09E3F" w14:textId="77777777">
            <w:pPr>
              <w:rPr>
                <w:rFonts w:eastAsia="Calibri"/>
                <w:b/>
                <w:sz w:val="24"/>
                <w:szCs w:val="24"/>
              </w:rPr>
            </w:pPr>
            <w:r w:rsidRPr="001C3085">
              <w:rPr>
                <w:rFonts w:eastAsia="Calibri"/>
                <w:b/>
                <w:sz w:val="24"/>
                <w:szCs w:val="24"/>
              </w:rPr>
              <w:t>Section 1</w:t>
            </w:r>
          </w:p>
          <w:p w:rsidR="00071046" w:rsidRPr="001C3085" w14:paraId="19839D8C" w14:textId="77777777">
            <w:pPr>
              <w:rPr>
                <w:rFonts w:eastAsia="Calibri"/>
                <w:sz w:val="24"/>
                <w:szCs w:val="24"/>
              </w:rPr>
            </w:pPr>
            <w:r w:rsidRPr="001C3085">
              <w:rPr>
                <w:rFonts w:eastAsia="Calibri"/>
                <w:sz w:val="24"/>
                <w:szCs w:val="24"/>
              </w:rPr>
              <w:t>The purpose of this section is to gather information on trip details such as group size, visit frequency, and time spent in the park. These details are important for creating a visitor profile for the York River and its surrounding areas.</w:t>
            </w:r>
          </w:p>
        </w:tc>
      </w:tr>
      <w:tr w14:paraId="24384127" w14:textId="77777777">
        <w:tblPrEx>
          <w:tblW w:w="10134" w:type="dxa"/>
          <w:tblLayout w:type="fixed"/>
          <w:tblLook w:val="0600"/>
        </w:tblPrEx>
        <w:tc>
          <w:tcPr>
            <w:tcW w:w="3378" w:type="dxa"/>
          </w:tcPr>
          <w:p w:rsidR="00071046" w:rsidRPr="001C3085" w14:paraId="4E0FBCE7" w14:textId="77777777">
            <w:pPr>
              <w:rPr>
                <w:rFonts w:eastAsia="Calibri"/>
                <w:sz w:val="24"/>
                <w:szCs w:val="24"/>
              </w:rPr>
            </w:pPr>
            <w:r w:rsidRPr="001C3085">
              <w:rPr>
                <w:rFonts w:eastAsia="Calibri"/>
                <w:sz w:val="24"/>
                <w:szCs w:val="24"/>
              </w:rPr>
              <w:t>Q1. Looking at the map above, did you take any trips to the York River or any surrounding park or natural area for outdoor recreation within the last 12 months?</w:t>
            </w:r>
          </w:p>
        </w:tc>
        <w:tc>
          <w:tcPr>
            <w:tcW w:w="3378" w:type="dxa"/>
          </w:tcPr>
          <w:p w:rsidR="00071046" w:rsidRPr="001C3085" w14:paraId="4CCECB53" w14:textId="77777777">
            <w:pPr>
              <w:rPr>
                <w:rFonts w:eastAsia="Calibri"/>
                <w:sz w:val="24"/>
                <w:szCs w:val="24"/>
              </w:rPr>
            </w:pPr>
            <w:r w:rsidRPr="001C3085">
              <w:rPr>
                <w:rFonts w:eastAsia="Calibri"/>
                <w:sz w:val="24"/>
                <w:szCs w:val="24"/>
              </w:rPr>
              <w:t>This question determines whether this survey respondent has visited the study site within the past year to be sufficient for the recreation questions.</w:t>
            </w:r>
          </w:p>
        </w:tc>
        <w:tc>
          <w:tcPr>
            <w:tcW w:w="3378" w:type="dxa"/>
          </w:tcPr>
          <w:p w:rsidR="00071046" w:rsidRPr="001C3085" w14:paraId="345B0E16" w14:textId="77777777">
            <w:pPr>
              <w:rPr>
                <w:rFonts w:eastAsia="Calibri"/>
                <w:sz w:val="24"/>
                <w:szCs w:val="24"/>
              </w:rPr>
            </w:pPr>
          </w:p>
        </w:tc>
      </w:tr>
      <w:tr w14:paraId="060B95CB" w14:textId="77777777">
        <w:tblPrEx>
          <w:tblW w:w="10134" w:type="dxa"/>
          <w:tblLayout w:type="fixed"/>
          <w:tblLook w:val="0600"/>
        </w:tblPrEx>
        <w:tc>
          <w:tcPr>
            <w:tcW w:w="3378" w:type="dxa"/>
          </w:tcPr>
          <w:p w:rsidR="00071046" w:rsidRPr="001C3085" w14:paraId="1D2842DF" w14:textId="77777777">
            <w:pPr>
              <w:rPr>
                <w:rFonts w:eastAsia="Calibri"/>
                <w:sz w:val="24"/>
                <w:szCs w:val="24"/>
              </w:rPr>
            </w:pPr>
            <w:r w:rsidRPr="001C3085">
              <w:rPr>
                <w:rFonts w:eastAsia="Calibri"/>
                <w:sz w:val="24"/>
                <w:szCs w:val="24"/>
              </w:rPr>
              <w:t>Q2. Approximately, how many trips did you take to the York River or any surrounding park or natural area for outdoor recreation within the last 12 months?</w:t>
            </w:r>
          </w:p>
        </w:tc>
        <w:tc>
          <w:tcPr>
            <w:tcW w:w="3378" w:type="dxa"/>
          </w:tcPr>
          <w:p w:rsidR="00071046" w:rsidRPr="001C3085" w14:paraId="2C9A265A" w14:textId="77777777">
            <w:pPr>
              <w:rPr>
                <w:rFonts w:eastAsia="Calibri"/>
                <w:sz w:val="24"/>
                <w:szCs w:val="24"/>
              </w:rPr>
            </w:pPr>
            <w:r w:rsidRPr="001C3085">
              <w:rPr>
                <w:rFonts w:eastAsia="Calibri"/>
                <w:sz w:val="24"/>
                <w:szCs w:val="24"/>
              </w:rPr>
              <w:t>Prior visits are an important metric in understanding visitor behavior, attitudes, and preferences. This information will help managers build their visitor profile. Additionally, trip frequency data supports economic valuation efforts using the travel cost method, which considers trip expenditures and visitor demographics.</w:t>
            </w:r>
          </w:p>
        </w:tc>
        <w:tc>
          <w:tcPr>
            <w:tcW w:w="3378" w:type="dxa"/>
          </w:tcPr>
          <w:p w:rsidR="00071046" w:rsidRPr="001C3085" w14:paraId="30BE0D28" w14:textId="77777777">
            <w:pPr>
              <w:rPr>
                <w:rFonts w:eastAsia="Calibri"/>
                <w:sz w:val="24"/>
                <w:szCs w:val="24"/>
              </w:rPr>
            </w:pPr>
          </w:p>
        </w:tc>
      </w:tr>
      <w:tr w14:paraId="01B4D908" w14:textId="77777777">
        <w:tblPrEx>
          <w:tblW w:w="10134" w:type="dxa"/>
          <w:tblLayout w:type="fixed"/>
          <w:tblLook w:val="0600"/>
        </w:tblPrEx>
        <w:tc>
          <w:tcPr>
            <w:tcW w:w="3378" w:type="dxa"/>
          </w:tcPr>
          <w:p w:rsidR="00071046" w:rsidRPr="001C3085" w14:paraId="057E538F" w14:textId="77777777">
            <w:pPr>
              <w:rPr>
                <w:rFonts w:eastAsia="Calibri"/>
                <w:sz w:val="24"/>
                <w:szCs w:val="24"/>
              </w:rPr>
            </w:pPr>
            <w:r w:rsidRPr="001C3085">
              <w:rPr>
                <w:rFonts w:eastAsia="Calibri"/>
                <w:sz w:val="24"/>
                <w:szCs w:val="24"/>
              </w:rPr>
              <w:t>Q3. When was the last time you took a trip to the York River or any surrounding park or natural area for outdoor recreation?</w:t>
            </w:r>
          </w:p>
        </w:tc>
        <w:tc>
          <w:tcPr>
            <w:tcW w:w="3378" w:type="dxa"/>
          </w:tcPr>
          <w:p w:rsidR="00071046" w:rsidRPr="001C3085" w14:paraId="5A583B03" w14:textId="77777777">
            <w:pPr>
              <w:rPr>
                <w:rFonts w:eastAsia="Calibri"/>
                <w:sz w:val="24"/>
                <w:szCs w:val="24"/>
              </w:rPr>
            </w:pPr>
            <w:r w:rsidRPr="001C3085">
              <w:rPr>
                <w:rFonts w:eastAsia="Calibri"/>
                <w:sz w:val="24"/>
                <w:szCs w:val="24"/>
              </w:rPr>
              <w:t>Knowing when respondents last visited the area provides context for subsequent survey questions. This information helps determine the recency and seasonal aspects of their visit, which are important for interpreting their responses.</w:t>
            </w:r>
          </w:p>
        </w:tc>
        <w:tc>
          <w:tcPr>
            <w:tcW w:w="3378" w:type="dxa"/>
          </w:tcPr>
          <w:p w:rsidR="00071046" w:rsidRPr="001C3085" w14:paraId="05DCC66C" w14:textId="77777777">
            <w:pPr>
              <w:rPr>
                <w:rFonts w:eastAsia="Calibri"/>
                <w:sz w:val="24"/>
                <w:szCs w:val="24"/>
              </w:rPr>
            </w:pPr>
          </w:p>
        </w:tc>
      </w:tr>
    </w:tbl>
    <w:p w:rsidR="00071046" w:rsidRPr="001C3085" w14:paraId="11F6B970" w14:textId="051A51C3"/>
    <w:tbl>
      <w:tblPr>
        <w:tblStyle w:val="6"/>
        <w:tblpPr w:leftFromText="180" w:rightFromText="180" w:topFromText="180" w:bottomFromText="180" w:vertAnchor="text"/>
        <w:tblW w:w="10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78"/>
        <w:gridCol w:w="3378"/>
        <w:gridCol w:w="3378"/>
      </w:tblGrid>
      <w:tr w14:paraId="6F82D48B" w14:textId="77777777">
        <w:tblPrEx>
          <w:tblW w:w="10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20"/>
        </w:trPr>
        <w:tc>
          <w:tcPr>
            <w:tcW w:w="3378" w:type="dxa"/>
          </w:tcPr>
          <w:p w:rsidR="00071046" w:rsidRPr="001C3085" w14:paraId="4134B3A3" w14:textId="77777777">
            <w:pPr>
              <w:rPr>
                <w:rFonts w:eastAsia="Calibri"/>
                <w:sz w:val="24"/>
                <w:szCs w:val="24"/>
              </w:rPr>
            </w:pPr>
            <w:r w:rsidRPr="001C3085">
              <w:rPr>
                <w:rFonts w:eastAsia="Calibri"/>
                <w:sz w:val="24"/>
                <w:szCs w:val="24"/>
              </w:rPr>
              <w:t xml:space="preserve">Q4. Including yourself, how many people were in your personal group on this trip? </w:t>
            </w:r>
          </w:p>
        </w:tc>
        <w:tc>
          <w:tcPr>
            <w:tcW w:w="3378" w:type="dxa"/>
            <w:vMerge w:val="restart"/>
          </w:tcPr>
          <w:p w:rsidR="00071046" w:rsidRPr="001C3085" w14:paraId="1DDC5CAB" w14:textId="77777777">
            <w:pPr>
              <w:rPr>
                <w:rFonts w:eastAsia="Calibri"/>
                <w:sz w:val="24"/>
                <w:szCs w:val="24"/>
              </w:rPr>
            </w:pPr>
            <w:r w:rsidRPr="001C3085">
              <w:rPr>
                <w:rFonts w:eastAsia="Calibri"/>
                <w:sz w:val="24"/>
                <w:szCs w:val="24"/>
              </w:rPr>
              <w:t>Visitor group size and member ages are used to estimate overall visitation to a recreation site and helps managers plan for infrastructure needs based on travel party dynamics. The definition of the “personal group” helps differentiate between the travel party and personal group.</w:t>
            </w:r>
          </w:p>
        </w:tc>
        <w:tc>
          <w:tcPr>
            <w:tcW w:w="3378" w:type="dxa"/>
          </w:tcPr>
          <w:p w:rsidR="00071046" w:rsidRPr="001C3085" w14:paraId="29DBC78A" w14:textId="77777777">
            <w:pPr>
              <w:rPr>
                <w:rFonts w:eastAsia="Calibri"/>
                <w:sz w:val="24"/>
                <w:szCs w:val="24"/>
              </w:rPr>
            </w:pPr>
          </w:p>
        </w:tc>
      </w:tr>
      <w:tr w14:paraId="7A1CCF9F" w14:textId="77777777">
        <w:tblPrEx>
          <w:tblW w:w="10134" w:type="dxa"/>
          <w:tblLayout w:type="fixed"/>
          <w:tblLook w:val="0600"/>
        </w:tblPrEx>
        <w:trPr>
          <w:trHeight w:val="420"/>
        </w:trPr>
        <w:tc>
          <w:tcPr>
            <w:tcW w:w="3378" w:type="dxa"/>
          </w:tcPr>
          <w:p w:rsidR="00071046" w:rsidRPr="001C3085" w14:paraId="0920C96B" w14:textId="77777777">
            <w:pPr>
              <w:rPr>
                <w:rFonts w:eastAsia="Calibri"/>
                <w:sz w:val="24"/>
                <w:szCs w:val="24"/>
              </w:rPr>
            </w:pPr>
            <w:r w:rsidRPr="001C3085">
              <w:rPr>
                <w:rFonts w:eastAsia="Calibri"/>
                <w:sz w:val="24"/>
                <w:szCs w:val="24"/>
              </w:rPr>
              <w:t>Q5. Including yourself, how many of these people were at least 18 years old?</w:t>
            </w:r>
          </w:p>
        </w:tc>
        <w:tc>
          <w:tcPr>
            <w:tcW w:w="3378" w:type="dxa"/>
            <w:vMerge/>
          </w:tcPr>
          <w:p w:rsidR="00071046" w:rsidRPr="001C3085" w14:paraId="49DBB728" w14:textId="77777777">
            <w:pPr>
              <w:spacing w:line="276" w:lineRule="auto"/>
              <w:rPr>
                <w:rFonts w:eastAsia="Calibri"/>
                <w:sz w:val="24"/>
                <w:szCs w:val="24"/>
              </w:rPr>
            </w:pPr>
          </w:p>
        </w:tc>
        <w:tc>
          <w:tcPr>
            <w:tcW w:w="3378" w:type="dxa"/>
            <w:vMerge w:val="restart"/>
          </w:tcPr>
          <w:p w:rsidR="00071046" w:rsidRPr="001C3085" w14:paraId="0D0E5698" w14:textId="77777777">
            <w:pPr>
              <w:rPr>
                <w:rFonts w:eastAsia="Calibri"/>
                <w:sz w:val="24"/>
                <w:szCs w:val="24"/>
              </w:rPr>
            </w:pPr>
            <w:r w:rsidRPr="001C3085">
              <w:rPr>
                <w:rFonts w:eastAsia="Calibri"/>
                <w:sz w:val="24"/>
                <w:szCs w:val="24"/>
              </w:rPr>
              <w:t>Research indicates that adults and youths prefer park amenities differently (Baran et al., 2014)</w:t>
            </w:r>
          </w:p>
        </w:tc>
      </w:tr>
      <w:tr w14:paraId="6B9824EE" w14:textId="77777777">
        <w:tblPrEx>
          <w:tblW w:w="10134" w:type="dxa"/>
          <w:tblLayout w:type="fixed"/>
          <w:tblLook w:val="0600"/>
        </w:tblPrEx>
        <w:trPr>
          <w:trHeight w:val="420"/>
        </w:trPr>
        <w:tc>
          <w:tcPr>
            <w:tcW w:w="3378" w:type="dxa"/>
          </w:tcPr>
          <w:p w:rsidR="00071046" w:rsidRPr="001C3085" w14:paraId="3E55EEC3" w14:textId="77777777">
            <w:pPr>
              <w:rPr>
                <w:rFonts w:eastAsia="Calibri"/>
                <w:sz w:val="24"/>
                <w:szCs w:val="24"/>
              </w:rPr>
            </w:pPr>
            <w:r w:rsidRPr="001C3085">
              <w:rPr>
                <w:rFonts w:eastAsia="Calibri"/>
                <w:sz w:val="24"/>
                <w:szCs w:val="24"/>
              </w:rPr>
              <w:t>Q6. How many of these people were at least 65 years old?</w:t>
            </w:r>
          </w:p>
        </w:tc>
        <w:tc>
          <w:tcPr>
            <w:tcW w:w="3378" w:type="dxa"/>
            <w:vMerge/>
          </w:tcPr>
          <w:p w:rsidR="00071046" w:rsidRPr="001C3085" w14:paraId="01B58D2E" w14:textId="77777777">
            <w:pPr>
              <w:spacing w:line="276" w:lineRule="auto"/>
              <w:rPr>
                <w:rFonts w:eastAsia="Calibri"/>
                <w:sz w:val="24"/>
                <w:szCs w:val="24"/>
              </w:rPr>
            </w:pPr>
          </w:p>
        </w:tc>
        <w:tc>
          <w:tcPr>
            <w:tcW w:w="3378" w:type="dxa"/>
            <w:vMerge/>
          </w:tcPr>
          <w:p w:rsidR="00071046" w:rsidRPr="001C3085" w14:paraId="2CF5C520" w14:textId="77777777">
            <w:pPr>
              <w:spacing w:line="276" w:lineRule="auto"/>
              <w:rPr>
                <w:rFonts w:eastAsia="Calibri"/>
                <w:sz w:val="24"/>
                <w:szCs w:val="24"/>
              </w:rPr>
            </w:pPr>
          </w:p>
        </w:tc>
      </w:tr>
      <w:tr w14:paraId="3BA862A5" w14:textId="77777777">
        <w:tblPrEx>
          <w:tblW w:w="10134" w:type="dxa"/>
          <w:tblLayout w:type="fixed"/>
          <w:tblLook w:val="0600"/>
        </w:tblPrEx>
        <w:trPr>
          <w:trHeight w:val="420"/>
        </w:trPr>
        <w:tc>
          <w:tcPr>
            <w:tcW w:w="3378" w:type="dxa"/>
          </w:tcPr>
          <w:p w:rsidR="00071046" w:rsidRPr="001C3085" w14:paraId="46CDBA2B" w14:textId="77777777">
            <w:pPr>
              <w:rPr>
                <w:rFonts w:eastAsia="Calibri"/>
                <w:sz w:val="24"/>
                <w:szCs w:val="24"/>
              </w:rPr>
            </w:pPr>
            <w:r w:rsidRPr="001C3085">
              <w:rPr>
                <w:rFonts w:eastAsia="Calibri"/>
                <w:sz w:val="24"/>
                <w:szCs w:val="24"/>
              </w:rPr>
              <w:t>Q7. If there were any children in your personal group, how many were under 5 years old?</w:t>
            </w:r>
          </w:p>
        </w:tc>
        <w:tc>
          <w:tcPr>
            <w:tcW w:w="3378" w:type="dxa"/>
            <w:vMerge/>
          </w:tcPr>
          <w:p w:rsidR="00071046" w:rsidRPr="001C3085" w14:paraId="5D6BD943" w14:textId="77777777">
            <w:pPr>
              <w:spacing w:line="276" w:lineRule="auto"/>
              <w:rPr>
                <w:rFonts w:eastAsia="Calibri"/>
                <w:sz w:val="24"/>
                <w:szCs w:val="24"/>
              </w:rPr>
            </w:pPr>
          </w:p>
        </w:tc>
        <w:tc>
          <w:tcPr>
            <w:tcW w:w="3378" w:type="dxa"/>
            <w:vMerge/>
          </w:tcPr>
          <w:p w:rsidR="00071046" w:rsidRPr="001C3085" w14:paraId="0D7AD0C9" w14:textId="77777777">
            <w:pPr>
              <w:spacing w:line="276" w:lineRule="auto"/>
              <w:rPr>
                <w:rFonts w:eastAsia="Calibri"/>
                <w:sz w:val="24"/>
                <w:szCs w:val="24"/>
              </w:rPr>
            </w:pPr>
          </w:p>
        </w:tc>
      </w:tr>
      <w:tr w14:paraId="02B2EE65" w14:textId="77777777">
        <w:tblPrEx>
          <w:tblW w:w="10134" w:type="dxa"/>
          <w:tblLayout w:type="fixed"/>
          <w:tblLook w:val="0600"/>
        </w:tblPrEx>
        <w:tc>
          <w:tcPr>
            <w:tcW w:w="3378" w:type="dxa"/>
          </w:tcPr>
          <w:p w:rsidR="00071046" w:rsidRPr="001C3085" w14:paraId="45DD338D" w14:textId="77777777">
            <w:pPr>
              <w:rPr>
                <w:rFonts w:eastAsia="Calibri"/>
                <w:sz w:val="24"/>
                <w:szCs w:val="24"/>
              </w:rPr>
            </w:pPr>
            <w:r w:rsidRPr="001C3085">
              <w:rPr>
                <w:rFonts w:eastAsia="Calibri"/>
                <w:sz w:val="24"/>
                <w:szCs w:val="24"/>
              </w:rPr>
              <w:t>Q8. Approximately, how much time did you spend specifically within the York River or any surrounding park or natural area during this trip?</w:t>
            </w:r>
          </w:p>
        </w:tc>
        <w:tc>
          <w:tcPr>
            <w:tcW w:w="3378" w:type="dxa"/>
          </w:tcPr>
          <w:p w:rsidR="00071046" w:rsidRPr="001C3085" w14:paraId="520F795F" w14:textId="77777777">
            <w:pPr>
              <w:rPr>
                <w:rFonts w:eastAsia="Calibri"/>
                <w:sz w:val="24"/>
                <w:szCs w:val="24"/>
              </w:rPr>
            </w:pPr>
            <w:r w:rsidRPr="001C3085">
              <w:rPr>
                <w:rFonts w:eastAsia="Calibri"/>
                <w:sz w:val="24"/>
                <w:szCs w:val="24"/>
              </w:rPr>
              <w:t>This information is important to understand the overall trip</w:t>
            </w:r>
          </w:p>
          <w:p w:rsidR="00071046" w:rsidRPr="001C3085" w14:paraId="36B0007D" w14:textId="77777777">
            <w:pPr>
              <w:rPr>
                <w:rFonts w:eastAsia="Calibri"/>
                <w:sz w:val="24"/>
                <w:szCs w:val="24"/>
              </w:rPr>
            </w:pPr>
            <w:r w:rsidRPr="001C3085">
              <w:rPr>
                <w:rFonts w:eastAsia="Calibri"/>
                <w:sz w:val="24"/>
                <w:szCs w:val="24"/>
              </w:rPr>
              <w:t>characteristics of park visitors and helps estimate and characterize overall visitation to the study area.</w:t>
            </w:r>
          </w:p>
        </w:tc>
        <w:tc>
          <w:tcPr>
            <w:tcW w:w="3378" w:type="dxa"/>
          </w:tcPr>
          <w:p w:rsidR="00071046" w:rsidRPr="001C3085" w14:paraId="190F801F" w14:textId="77777777">
            <w:pPr>
              <w:rPr>
                <w:rFonts w:eastAsia="Calibri"/>
                <w:sz w:val="24"/>
                <w:szCs w:val="24"/>
              </w:rPr>
            </w:pPr>
          </w:p>
        </w:tc>
      </w:tr>
      <w:tr w14:paraId="55ECC0E5" w14:textId="77777777">
        <w:tblPrEx>
          <w:tblW w:w="10134" w:type="dxa"/>
          <w:tblLayout w:type="fixed"/>
          <w:tblLook w:val="0600"/>
        </w:tblPrEx>
        <w:trPr>
          <w:trHeight w:val="420"/>
        </w:trPr>
        <w:tc>
          <w:tcPr>
            <w:tcW w:w="10134" w:type="dxa"/>
            <w:gridSpan w:val="3"/>
            <w:shd w:val="clear" w:color="auto" w:fill="EFEFEF"/>
          </w:tcPr>
          <w:p w:rsidR="00071046" w:rsidRPr="001C3085" w14:paraId="257056F5" w14:textId="77777777">
            <w:pPr>
              <w:rPr>
                <w:rFonts w:eastAsia="Calibri"/>
                <w:b/>
                <w:sz w:val="24"/>
                <w:szCs w:val="24"/>
              </w:rPr>
            </w:pPr>
            <w:r w:rsidRPr="001C3085">
              <w:rPr>
                <w:rFonts w:eastAsia="Calibri"/>
                <w:b/>
                <w:sz w:val="24"/>
                <w:szCs w:val="24"/>
              </w:rPr>
              <w:t>Section 2</w:t>
            </w:r>
          </w:p>
          <w:p w:rsidR="00071046" w:rsidRPr="001C3085" w14:paraId="61C4CCAC" w14:textId="77777777">
            <w:pPr>
              <w:rPr>
                <w:rFonts w:eastAsia="Calibri"/>
                <w:sz w:val="24"/>
                <w:szCs w:val="24"/>
              </w:rPr>
            </w:pPr>
            <w:r w:rsidRPr="001C3085">
              <w:rPr>
                <w:rFonts w:eastAsia="Calibri"/>
                <w:sz w:val="24"/>
                <w:szCs w:val="24"/>
              </w:rPr>
              <w:t>The purpose of this section is to identify the specific locations visited by respondents around the York River, activity participation, technology use, and transportation methods. This information supports managers in planning infrastructure improvements, adding new activities, and monitoring trends over time.</w:t>
            </w:r>
          </w:p>
        </w:tc>
      </w:tr>
      <w:tr w14:paraId="169884CA" w14:textId="77777777">
        <w:tblPrEx>
          <w:tblW w:w="10134" w:type="dxa"/>
          <w:tblLayout w:type="fixed"/>
          <w:tblLook w:val="0600"/>
        </w:tblPrEx>
        <w:trPr>
          <w:trHeight w:val="420"/>
        </w:trPr>
        <w:tc>
          <w:tcPr>
            <w:tcW w:w="3378" w:type="dxa"/>
          </w:tcPr>
          <w:p w:rsidR="00071046" w:rsidRPr="001C3085" w14:paraId="76B0E5EF" w14:textId="77777777">
            <w:pPr>
              <w:rPr>
                <w:rFonts w:eastAsia="Calibri"/>
                <w:sz w:val="24"/>
                <w:szCs w:val="24"/>
              </w:rPr>
            </w:pPr>
            <w:r w:rsidRPr="001C3085">
              <w:rPr>
                <w:rFonts w:eastAsia="Calibri"/>
                <w:sz w:val="24"/>
                <w:szCs w:val="24"/>
              </w:rPr>
              <w:t>Q9. Referring to the map on page 2, Did you or your personal group visit any of the following locations on this trip?</w:t>
            </w:r>
          </w:p>
        </w:tc>
        <w:tc>
          <w:tcPr>
            <w:tcW w:w="3378" w:type="dxa"/>
          </w:tcPr>
          <w:p w:rsidR="00071046" w:rsidRPr="001C3085" w14:paraId="7B71EC5E" w14:textId="77777777">
            <w:pPr>
              <w:rPr>
                <w:rFonts w:eastAsia="Calibri"/>
                <w:sz w:val="24"/>
                <w:szCs w:val="24"/>
              </w:rPr>
            </w:pPr>
            <w:r w:rsidRPr="001C3085">
              <w:rPr>
                <w:rFonts w:eastAsia="Calibri"/>
                <w:sz w:val="24"/>
                <w:szCs w:val="24"/>
              </w:rPr>
              <w:t>This information will help park managers determine the most popular locations around the York River. Subsequent questions ask for details about this trip, because it's important to know where respondents visited to interpret their answers correctly.</w:t>
            </w:r>
          </w:p>
        </w:tc>
        <w:tc>
          <w:tcPr>
            <w:tcW w:w="3378" w:type="dxa"/>
          </w:tcPr>
          <w:p w:rsidR="00071046" w:rsidRPr="001C3085" w14:paraId="5C85DDBD" w14:textId="77777777">
            <w:pPr>
              <w:rPr>
                <w:rFonts w:eastAsia="Calibri"/>
                <w:sz w:val="24"/>
                <w:szCs w:val="24"/>
              </w:rPr>
            </w:pPr>
          </w:p>
        </w:tc>
      </w:tr>
      <w:tr w14:paraId="3B8E774F" w14:textId="77777777">
        <w:tblPrEx>
          <w:tblW w:w="10134" w:type="dxa"/>
          <w:tblLayout w:type="fixed"/>
          <w:tblLook w:val="0600"/>
        </w:tblPrEx>
        <w:trPr>
          <w:trHeight w:val="420"/>
        </w:trPr>
        <w:tc>
          <w:tcPr>
            <w:tcW w:w="3378" w:type="dxa"/>
          </w:tcPr>
          <w:p w:rsidR="00071046" w:rsidRPr="001C3085" w14:paraId="742AE6C9" w14:textId="77777777">
            <w:pPr>
              <w:rPr>
                <w:rFonts w:eastAsia="Calibri"/>
                <w:sz w:val="24"/>
                <w:szCs w:val="24"/>
              </w:rPr>
            </w:pPr>
            <w:r w:rsidRPr="001C3085">
              <w:rPr>
                <w:rFonts w:eastAsia="Calibri"/>
                <w:sz w:val="24"/>
                <w:szCs w:val="24"/>
              </w:rPr>
              <w:t>Q10. Did you participate in any of the following activities within the York River or any surrounding park or natural area during this trip?</w:t>
            </w:r>
          </w:p>
        </w:tc>
        <w:tc>
          <w:tcPr>
            <w:tcW w:w="3378" w:type="dxa"/>
          </w:tcPr>
          <w:p w:rsidR="00071046" w:rsidRPr="001C3085" w14:paraId="2CE4B012" w14:textId="77777777">
            <w:pPr>
              <w:rPr>
                <w:rFonts w:eastAsia="Calibri"/>
                <w:sz w:val="24"/>
                <w:szCs w:val="24"/>
              </w:rPr>
            </w:pPr>
            <w:r w:rsidRPr="001C3085">
              <w:rPr>
                <w:rFonts w:eastAsia="Calibri"/>
                <w:sz w:val="24"/>
                <w:szCs w:val="24"/>
              </w:rPr>
              <w:t>This information will help park managers understand the most popular activities to improve the visitor experience and to ensure</w:t>
            </w:r>
          </w:p>
          <w:p w:rsidR="00071046" w:rsidRPr="001C3085" w14:paraId="5C43708A" w14:textId="77777777">
            <w:pPr>
              <w:rPr>
                <w:rFonts w:eastAsia="Calibri"/>
                <w:sz w:val="24"/>
                <w:szCs w:val="24"/>
              </w:rPr>
            </w:pPr>
            <w:r w:rsidRPr="001C3085">
              <w:rPr>
                <w:rFonts w:eastAsia="Calibri"/>
                <w:sz w:val="24"/>
                <w:szCs w:val="24"/>
              </w:rPr>
              <w:t>visitors are aware of all available activities. This information is also useful for park managers to prioritize their budget for amenities that are important for their visitors.</w:t>
            </w:r>
          </w:p>
        </w:tc>
        <w:tc>
          <w:tcPr>
            <w:tcW w:w="3378" w:type="dxa"/>
          </w:tcPr>
          <w:p w:rsidR="00071046" w:rsidRPr="001C3085" w14:paraId="22413B59" w14:textId="77777777">
            <w:pPr>
              <w:rPr>
                <w:rFonts w:eastAsia="Calibri"/>
                <w:sz w:val="24"/>
                <w:szCs w:val="24"/>
              </w:rPr>
            </w:pPr>
            <w:r w:rsidRPr="001C3085">
              <w:rPr>
                <w:rFonts w:eastAsia="Calibri"/>
                <w:sz w:val="24"/>
                <w:szCs w:val="24"/>
              </w:rPr>
              <w:t xml:space="preserve">Recreation visitors could participate in various activities, and activities they participate in could determine how much time they spend in outdoor recreation activities (Grooms et al., 2020). </w:t>
            </w:r>
          </w:p>
        </w:tc>
      </w:tr>
    </w:tbl>
    <w:tbl>
      <w:tblPr>
        <w:tblStyle w:val="5"/>
        <w:tblpPr w:leftFromText="180" w:rightFromText="180" w:topFromText="180" w:bottomFromText="180" w:vertAnchor="text"/>
        <w:tblW w:w="10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78"/>
        <w:gridCol w:w="3378"/>
        <w:gridCol w:w="3378"/>
      </w:tblGrid>
      <w:tr w14:paraId="24AE9684" w14:textId="77777777">
        <w:tblPrEx>
          <w:tblW w:w="10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20"/>
        </w:trPr>
        <w:tc>
          <w:tcPr>
            <w:tcW w:w="3378" w:type="dxa"/>
          </w:tcPr>
          <w:p w:rsidR="00071046" w:rsidRPr="001C3085" w14:paraId="57D2F496" w14:textId="77777777">
            <w:pPr>
              <w:rPr>
                <w:rFonts w:eastAsia="Calibri"/>
                <w:sz w:val="24"/>
                <w:szCs w:val="24"/>
              </w:rPr>
            </w:pPr>
            <w:r w:rsidRPr="001C3085">
              <w:rPr>
                <w:rFonts w:eastAsia="Calibri"/>
                <w:sz w:val="24"/>
                <w:szCs w:val="24"/>
              </w:rPr>
              <w:t>Q11. When participating in water-based activities, such as swimming, kayaking, or boating, did you bring a mobile device, such as a smartphone, tablet, or smartwatch, with you?</w:t>
            </w:r>
          </w:p>
        </w:tc>
        <w:tc>
          <w:tcPr>
            <w:tcW w:w="3378" w:type="dxa"/>
            <w:vMerge w:val="restart"/>
          </w:tcPr>
          <w:p w:rsidR="00071046" w:rsidRPr="001C3085" w14:paraId="52FE0B96" w14:textId="77777777">
            <w:pPr>
              <w:rPr>
                <w:rFonts w:eastAsia="Calibri"/>
                <w:sz w:val="24"/>
                <w:szCs w:val="24"/>
              </w:rPr>
            </w:pPr>
            <w:r w:rsidRPr="001C3085">
              <w:rPr>
                <w:rFonts w:eastAsia="Calibri"/>
                <w:sz w:val="24"/>
                <w:szCs w:val="24"/>
              </w:rPr>
              <w:t>This information will be used to assess visitor use of and reliance on technology in natural settings. Park managers can use this data to determine if they need to improve technological connectivity within their park.</w:t>
            </w:r>
          </w:p>
        </w:tc>
        <w:tc>
          <w:tcPr>
            <w:tcW w:w="3378" w:type="dxa"/>
            <w:vMerge w:val="restart"/>
          </w:tcPr>
          <w:p w:rsidR="00071046" w:rsidRPr="001C3085" w14:paraId="770F6550" w14:textId="77777777">
            <w:pPr>
              <w:rPr>
                <w:rFonts w:eastAsia="Calibri"/>
                <w:sz w:val="24"/>
                <w:szCs w:val="24"/>
              </w:rPr>
            </w:pPr>
            <w:r w:rsidRPr="001C3085">
              <w:rPr>
                <w:rFonts w:eastAsia="Calibri"/>
                <w:sz w:val="24"/>
                <w:szCs w:val="24"/>
              </w:rPr>
              <w:t>According to the 2017 Virginia Outdoor Demand Survey, 81.5% of respondents used a smartphone during outdoor recreation activities (Ellis et al., 2017).</w:t>
            </w:r>
          </w:p>
        </w:tc>
      </w:tr>
      <w:tr w14:paraId="76FBE0A5" w14:textId="77777777">
        <w:tblPrEx>
          <w:tblW w:w="10134" w:type="dxa"/>
          <w:tblLayout w:type="fixed"/>
          <w:tblLook w:val="0600"/>
        </w:tblPrEx>
        <w:trPr>
          <w:trHeight w:val="420"/>
        </w:trPr>
        <w:tc>
          <w:tcPr>
            <w:tcW w:w="3378" w:type="dxa"/>
          </w:tcPr>
          <w:p w:rsidR="00071046" w:rsidRPr="001C3085" w14:paraId="58D10185" w14:textId="77777777">
            <w:pPr>
              <w:rPr>
                <w:rFonts w:eastAsia="Calibri"/>
                <w:sz w:val="24"/>
                <w:szCs w:val="24"/>
              </w:rPr>
            </w:pPr>
            <w:r w:rsidRPr="001C3085">
              <w:rPr>
                <w:rFonts w:eastAsia="Calibri"/>
                <w:sz w:val="24"/>
                <w:szCs w:val="24"/>
              </w:rPr>
              <w:t>Q12. When participating in land-based activities, did you bring a mobile device, such as a smartphone, tablet, or smartwatch, with you?</w:t>
            </w:r>
          </w:p>
        </w:tc>
        <w:tc>
          <w:tcPr>
            <w:tcW w:w="3378" w:type="dxa"/>
            <w:vMerge/>
          </w:tcPr>
          <w:p w:rsidR="00071046" w:rsidRPr="001C3085" w14:paraId="653434AA" w14:textId="77777777">
            <w:pPr>
              <w:spacing w:line="276" w:lineRule="auto"/>
              <w:rPr>
                <w:rFonts w:eastAsia="Calibri"/>
                <w:sz w:val="24"/>
                <w:szCs w:val="24"/>
              </w:rPr>
            </w:pPr>
          </w:p>
        </w:tc>
        <w:tc>
          <w:tcPr>
            <w:tcW w:w="3378" w:type="dxa"/>
            <w:vMerge/>
          </w:tcPr>
          <w:p w:rsidR="00071046" w:rsidRPr="001C3085" w14:paraId="1ED5466F" w14:textId="77777777">
            <w:pPr>
              <w:spacing w:line="276" w:lineRule="auto"/>
              <w:rPr>
                <w:rFonts w:eastAsia="Calibri"/>
                <w:sz w:val="24"/>
                <w:szCs w:val="24"/>
              </w:rPr>
            </w:pPr>
          </w:p>
        </w:tc>
      </w:tr>
      <w:tr w14:paraId="0DF0F305" w14:textId="77777777">
        <w:tblPrEx>
          <w:tblW w:w="10134" w:type="dxa"/>
          <w:tblLayout w:type="fixed"/>
          <w:tblLook w:val="0600"/>
        </w:tblPrEx>
        <w:trPr>
          <w:trHeight w:val="420"/>
        </w:trPr>
        <w:tc>
          <w:tcPr>
            <w:tcW w:w="3378" w:type="dxa"/>
          </w:tcPr>
          <w:p w:rsidR="00071046" w:rsidRPr="001C3085" w14:paraId="37E60F5B" w14:textId="77777777">
            <w:pPr>
              <w:rPr>
                <w:rFonts w:eastAsia="Calibri"/>
                <w:sz w:val="24"/>
                <w:szCs w:val="24"/>
              </w:rPr>
            </w:pPr>
            <w:r w:rsidRPr="001C3085">
              <w:rPr>
                <w:rFonts w:eastAsia="Calibri"/>
                <w:sz w:val="24"/>
                <w:szCs w:val="24"/>
              </w:rPr>
              <w:t>Q13. If you brought a mobile device and kept it on, did you use it for any of the following reasons?</w:t>
            </w:r>
          </w:p>
        </w:tc>
        <w:tc>
          <w:tcPr>
            <w:tcW w:w="3378" w:type="dxa"/>
            <w:vMerge/>
          </w:tcPr>
          <w:p w:rsidR="00071046" w:rsidRPr="001C3085" w14:paraId="0FE7E1D0" w14:textId="77777777">
            <w:pPr>
              <w:spacing w:line="276" w:lineRule="auto"/>
              <w:rPr>
                <w:rFonts w:eastAsia="Calibri"/>
                <w:sz w:val="24"/>
                <w:szCs w:val="24"/>
              </w:rPr>
            </w:pPr>
          </w:p>
        </w:tc>
        <w:tc>
          <w:tcPr>
            <w:tcW w:w="3378" w:type="dxa"/>
            <w:vMerge/>
          </w:tcPr>
          <w:p w:rsidR="00071046" w:rsidRPr="001C3085" w14:paraId="4DCEB48A" w14:textId="77777777">
            <w:pPr>
              <w:spacing w:line="276" w:lineRule="auto"/>
              <w:rPr>
                <w:rFonts w:eastAsia="Calibri"/>
                <w:sz w:val="24"/>
                <w:szCs w:val="24"/>
              </w:rPr>
            </w:pPr>
          </w:p>
        </w:tc>
      </w:tr>
      <w:tr w14:paraId="33A8188A" w14:textId="77777777">
        <w:tblPrEx>
          <w:tblW w:w="10134" w:type="dxa"/>
          <w:tblLayout w:type="fixed"/>
          <w:tblLook w:val="0600"/>
        </w:tblPrEx>
        <w:trPr>
          <w:trHeight w:val="420"/>
        </w:trPr>
        <w:tc>
          <w:tcPr>
            <w:tcW w:w="3378" w:type="dxa"/>
          </w:tcPr>
          <w:p w:rsidR="00071046" w:rsidRPr="001C3085" w14:paraId="6FA7B4F8" w14:textId="77777777">
            <w:pPr>
              <w:rPr>
                <w:rFonts w:eastAsia="Calibri"/>
                <w:sz w:val="24"/>
                <w:szCs w:val="24"/>
              </w:rPr>
            </w:pPr>
            <w:r w:rsidRPr="001C3085">
              <w:rPr>
                <w:rFonts w:eastAsia="Calibri"/>
                <w:sz w:val="24"/>
                <w:szCs w:val="24"/>
              </w:rPr>
              <w:t>Q14. Did you or your personal group use any of the following forms of transportation to reach your primary destination on this trip?</w:t>
            </w:r>
          </w:p>
        </w:tc>
        <w:tc>
          <w:tcPr>
            <w:tcW w:w="3378" w:type="dxa"/>
          </w:tcPr>
          <w:p w:rsidR="00071046" w:rsidRPr="001C3085" w14:paraId="0FD68A1A" w14:textId="77777777">
            <w:pPr>
              <w:rPr>
                <w:rFonts w:eastAsia="Calibri"/>
                <w:sz w:val="24"/>
                <w:szCs w:val="24"/>
              </w:rPr>
            </w:pPr>
            <w:r w:rsidRPr="001C3085">
              <w:rPr>
                <w:rFonts w:eastAsia="Calibri"/>
                <w:sz w:val="24"/>
                <w:szCs w:val="24"/>
              </w:rPr>
              <w:t>The purpose of this question is to help estimate visitor access and transportation preferences within the park. Park managers are particularly interested in the use of public transportation options.</w:t>
            </w:r>
          </w:p>
        </w:tc>
        <w:tc>
          <w:tcPr>
            <w:tcW w:w="3378" w:type="dxa"/>
          </w:tcPr>
          <w:p w:rsidR="00071046" w:rsidRPr="001C3085" w14:paraId="347CD299" w14:textId="77777777">
            <w:pPr>
              <w:rPr>
                <w:rFonts w:eastAsia="Calibri"/>
                <w:sz w:val="24"/>
                <w:szCs w:val="24"/>
              </w:rPr>
            </w:pPr>
          </w:p>
        </w:tc>
      </w:tr>
      <w:tr w14:paraId="4B67B5F9" w14:textId="77777777">
        <w:tblPrEx>
          <w:tblW w:w="10134" w:type="dxa"/>
          <w:tblLayout w:type="fixed"/>
          <w:tblLook w:val="0600"/>
        </w:tblPrEx>
        <w:trPr>
          <w:trHeight w:val="420"/>
        </w:trPr>
        <w:tc>
          <w:tcPr>
            <w:tcW w:w="10134" w:type="dxa"/>
            <w:gridSpan w:val="3"/>
            <w:shd w:val="clear" w:color="auto" w:fill="EFEFEF"/>
          </w:tcPr>
          <w:p w:rsidR="00071046" w:rsidRPr="001C3085" w14:paraId="52C2419F" w14:textId="77777777">
            <w:pPr>
              <w:rPr>
                <w:rFonts w:eastAsia="Calibri"/>
                <w:b/>
                <w:sz w:val="24"/>
                <w:szCs w:val="24"/>
              </w:rPr>
            </w:pPr>
            <w:r w:rsidRPr="001C3085">
              <w:rPr>
                <w:rFonts w:eastAsia="Calibri"/>
                <w:b/>
                <w:sz w:val="24"/>
                <w:szCs w:val="24"/>
              </w:rPr>
              <w:t>Section 3</w:t>
            </w:r>
          </w:p>
          <w:p w:rsidR="00071046" w:rsidRPr="001C3085" w14:paraId="015C424A" w14:textId="77777777">
            <w:pPr>
              <w:rPr>
                <w:rFonts w:eastAsia="Calibri"/>
                <w:sz w:val="24"/>
                <w:szCs w:val="24"/>
              </w:rPr>
            </w:pPr>
            <w:r w:rsidRPr="001C3085">
              <w:rPr>
                <w:rFonts w:eastAsia="Calibri"/>
                <w:sz w:val="24"/>
                <w:szCs w:val="24"/>
              </w:rPr>
              <w:t>The purpose of this section is to identify visitor spending habits and visitor experiences around the York River. This information is important for estimating recreation values and informing management decisions aimed at enhancing visitor experiences and park infrastructure.</w:t>
            </w:r>
          </w:p>
        </w:tc>
      </w:tr>
      <w:tr w14:paraId="52DC8F08" w14:textId="77777777">
        <w:tblPrEx>
          <w:tblW w:w="10134" w:type="dxa"/>
          <w:tblLayout w:type="fixed"/>
          <w:tblLook w:val="0600"/>
        </w:tblPrEx>
        <w:trPr>
          <w:trHeight w:val="420"/>
        </w:trPr>
        <w:tc>
          <w:tcPr>
            <w:tcW w:w="3378" w:type="dxa"/>
          </w:tcPr>
          <w:p w:rsidR="00071046" w:rsidRPr="001C3085" w14:paraId="64BCE7EC" w14:textId="77777777">
            <w:pPr>
              <w:rPr>
                <w:rFonts w:eastAsia="Calibri"/>
                <w:sz w:val="24"/>
                <w:szCs w:val="24"/>
              </w:rPr>
            </w:pPr>
            <w:r w:rsidRPr="001C3085">
              <w:rPr>
                <w:rFonts w:eastAsia="Calibri"/>
                <w:sz w:val="24"/>
                <w:szCs w:val="24"/>
              </w:rPr>
              <w:t>Q15. Did you purchase a Virginia State Park annual pass in the last 12 months?</w:t>
            </w:r>
          </w:p>
        </w:tc>
        <w:tc>
          <w:tcPr>
            <w:tcW w:w="3378" w:type="dxa"/>
            <w:vMerge w:val="restart"/>
          </w:tcPr>
          <w:p w:rsidR="00071046" w:rsidRPr="001C3085" w14:paraId="3E1A4591" w14:textId="77777777">
            <w:pPr>
              <w:rPr>
                <w:rFonts w:eastAsia="Calibri"/>
                <w:sz w:val="24"/>
                <w:szCs w:val="24"/>
              </w:rPr>
            </w:pPr>
            <w:r w:rsidRPr="001C3085">
              <w:rPr>
                <w:rFonts w:eastAsia="Calibri"/>
                <w:sz w:val="24"/>
                <w:szCs w:val="24"/>
              </w:rPr>
              <w:t>This information will help managers understand the types of passes visitors use. Monitoring pass usage can help managers understand if specific passes are more commonly used than others and whether patterns change over time.</w:t>
            </w:r>
          </w:p>
          <w:p w:rsidR="00071046" w:rsidRPr="001C3085" w14:paraId="10EB96AF" w14:textId="77777777">
            <w:pPr>
              <w:rPr>
                <w:rFonts w:eastAsia="Calibri"/>
                <w:sz w:val="24"/>
                <w:szCs w:val="24"/>
              </w:rPr>
            </w:pPr>
          </w:p>
          <w:p w:rsidR="00071046" w:rsidRPr="001C3085" w14:paraId="3900643B" w14:textId="77777777">
            <w:pPr>
              <w:rPr>
                <w:rFonts w:eastAsia="Calibri"/>
                <w:sz w:val="24"/>
                <w:szCs w:val="24"/>
              </w:rPr>
            </w:pPr>
            <w:r w:rsidRPr="001C3085">
              <w:rPr>
                <w:rFonts w:eastAsia="Calibri"/>
                <w:sz w:val="24"/>
                <w:szCs w:val="24"/>
              </w:rPr>
              <w:t>This information will be used to develop a travel cost model to understand the recreation value of the area.</w:t>
            </w:r>
          </w:p>
        </w:tc>
        <w:tc>
          <w:tcPr>
            <w:tcW w:w="3378" w:type="dxa"/>
          </w:tcPr>
          <w:p w:rsidR="00071046" w:rsidRPr="001C3085" w14:paraId="5F120F29" w14:textId="77777777">
            <w:pPr>
              <w:rPr>
                <w:rFonts w:eastAsia="Calibri"/>
                <w:sz w:val="24"/>
                <w:szCs w:val="24"/>
              </w:rPr>
            </w:pPr>
          </w:p>
        </w:tc>
      </w:tr>
      <w:tr w14:paraId="4D38BE76" w14:textId="77777777">
        <w:tblPrEx>
          <w:tblW w:w="10134" w:type="dxa"/>
          <w:tblLayout w:type="fixed"/>
          <w:tblLook w:val="0600"/>
        </w:tblPrEx>
        <w:trPr>
          <w:trHeight w:val="420"/>
        </w:trPr>
        <w:tc>
          <w:tcPr>
            <w:tcW w:w="3378" w:type="dxa"/>
          </w:tcPr>
          <w:p w:rsidR="00071046" w:rsidRPr="001C3085" w14:paraId="7267F866" w14:textId="77777777">
            <w:pPr>
              <w:rPr>
                <w:rFonts w:eastAsia="Calibri"/>
                <w:sz w:val="24"/>
                <w:szCs w:val="24"/>
              </w:rPr>
            </w:pPr>
            <w:r w:rsidRPr="001C3085">
              <w:rPr>
                <w:rFonts w:eastAsia="Calibri"/>
                <w:sz w:val="24"/>
                <w:szCs w:val="24"/>
              </w:rPr>
              <w:t>Q16. How much did you spend on your Virginia State Park annual pass in the last 12 months?</w:t>
            </w:r>
          </w:p>
        </w:tc>
        <w:tc>
          <w:tcPr>
            <w:tcW w:w="3378" w:type="dxa"/>
            <w:vMerge/>
          </w:tcPr>
          <w:p w:rsidR="00071046" w:rsidRPr="001C3085" w14:paraId="19B160BC" w14:textId="77777777">
            <w:pPr>
              <w:spacing w:line="276" w:lineRule="auto"/>
              <w:rPr>
                <w:rFonts w:eastAsia="Calibri"/>
                <w:sz w:val="24"/>
                <w:szCs w:val="24"/>
              </w:rPr>
            </w:pPr>
          </w:p>
        </w:tc>
        <w:tc>
          <w:tcPr>
            <w:tcW w:w="3378" w:type="dxa"/>
          </w:tcPr>
          <w:p w:rsidR="00071046" w:rsidRPr="001C3085" w14:paraId="44D8D38E" w14:textId="77777777">
            <w:pPr>
              <w:rPr>
                <w:rFonts w:eastAsia="Calibri"/>
                <w:sz w:val="24"/>
                <w:szCs w:val="24"/>
              </w:rPr>
            </w:pPr>
          </w:p>
        </w:tc>
      </w:tr>
      <w:tr w14:paraId="0EE3E69D" w14:textId="77777777">
        <w:tblPrEx>
          <w:tblW w:w="10134" w:type="dxa"/>
          <w:tblLayout w:type="fixed"/>
          <w:tblLook w:val="0600"/>
        </w:tblPrEx>
        <w:trPr>
          <w:trHeight w:val="420"/>
        </w:trPr>
        <w:tc>
          <w:tcPr>
            <w:tcW w:w="3378" w:type="dxa"/>
          </w:tcPr>
          <w:p w:rsidR="00071046" w:rsidRPr="001C3085" w14:paraId="14EF8079" w14:textId="77777777">
            <w:pPr>
              <w:rPr>
                <w:rFonts w:eastAsia="Calibri"/>
                <w:sz w:val="24"/>
                <w:szCs w:val="24"/>
              </w:rPr>
            </w:pPr>
            <w:r w:rsidRPr="001C3085">
              <w:rPr>
                <w:rFonts w:eastAsia="Calibri"/>
                <w:sz w:val="24"/>
                <w:szCs w:val="24"/>
              </w:rPr>
              <w:t>Q17. Did you purchase a Virginia hunting or fishing license in the last 12 months?</w:t>
            </w:r>
          </w:p>
        </w:tc>
        <w:tc>
          <w:tcPr>
            <w:tcW w:w="3378" w:type="dxa"/>
            <w:vMerge/>
          </w:tcPr>
          <w:p w:rsidR="00071046" w:rsidRPr="001C3085" w14:paraId="43205FFF" w14:textId="77777777">
            <w:pPr>
              <w:spacing w:line="276" w:lineRule="auto"/>
              <w:rPr>
                <w:rFonts w:eastAsia="Calibri"/>
                <w:sz w:val="24"/>
                <w:szCs w:val="24"/>
              </w:rPr>
            </w:pPr>
          </w:p>
        </w:tc>
        <w:tc>
          <w:tcPr>
            <w:tcW w:w="3378" w:type="dxa"/>
          </w:tcPr>
          <w:p w:rsidR="00071046" w:rsidRPr="001C3085" w14:paraId="4C0FA2C3" w14:textId="77777777">
            <w:pPr>
              <w:rPr>
                <w:rFonts w:eastAsia="Calibri"/>
                <w:sz w:val="24"/>
                <w:szCs w:val="24"/>
              </w:rPr>
            </w:pPr>
          </w:p>
        </w:tc>
      </w:tr>
      <w:tr w14:paraId="207E65DE" w14:textId="77777777">
        <w:tblPrEx>
          <w:tblW w:w="10134" w:type="dxa"/>
          <w:tblLayout w:type="fixed"/>
          <w:tblLook w:val="0600"/>
        </w:tblPrEx>
        <w:trPr>
          <w:trHeight w:val="420"/>
        </w:trPr>
        <w:tc>
          <w:tcPr>
            <w:tcW w:w="3378" w:type="dxa"/>
          </w:tcPr>
          <w:p w:rsidR="00071046" w:rsidRPr="001C3085" w14:paraId="5812CB5B" w14:textId="77777777">
            <w:pPr>
              <w:rPr>
                <w:rFonts w:eastAsia="Calibri"/>
                <w:sz w:val="24"/>
                <w:szCs w:val="24"/>
              </w:rPr>
            </w:pPr>
            <w:r w:rsidRPr="001C3085">
              <w:rPr>
                <w:rFonts w:eastAsia="Calibri"/>
                <w:sz w:val="24"/>
                <w:szCs w:val="24"/>
              </w:rPr>
              <w:t>Q18. How much did you spend on your Virginia hunting or fishing license(s) in the last 12 months?</w:t>
            </w:r>
          </w:p>
        </w:tc>
        <w:tc>
          <w:tcPr>
            <w:tcW w:w="3378" w:type="dxa"/>
            <w:vMerge/>
          </w:tcPr>
          <w:p w:rsidR="00071046" w:rsidRPr="001C3085" w14:paraId="64105658" w14:textId="77777777">
            <w:pPr>
              <w:spacing w:line="276" w:lineRule="auto"/>
              <w:rPr>
                <w:rFonts w:eastAsia="Calibri"/>
                <w:sz w:val="24"/>
                <w:szCs w:val="24"/>
              </w:rPr>
            </w:pPr>
          </w:p>
        </w:tc>
        <w:tc>
          <w:tcPr>
            <w:tcW w:w="3378" w:type="dxa"/>
          </w:tcPr>
          <w:p w:rsidR="00071046" w:rsidRPr="001C3085" w14:paraId="61CD6A93" w14:textId="77777777">
            <w:pPr>
              <w:rPr>
                <w:rFonts w:eastAsia="Calibri"/>
                <w:sz w:val="24"/>
                <w:szCs w:val="24"/>
              </w:rPr>
            </w:pPr>
          </w:p>
        </w:tc>
      </w:tr>
      <w:tr w14:paraId="402EB84E" w14:textId="77777777">
        <w:tblPrEx>
          <w:tblW w:w="10134" w:type="dxa"/>
          <w:tblLayout w:type="fixed"/>
          <w:tblLook w:val="0600"/>
        </w:tblPrEx>
        <w:tc>
          <w:tcPr>
            <w:tcW w:w="3378" w:type="dxa"/>
          </w:tcPr>
          <w:p w:rsidR="00071046" w:rsidRPr="001C3085" w14:paraId="2C16AEAC" w14:textId="77777777">
            <w:pPr>
              <w:rPr>
                <w:rFonts w:eastAsia="Calibri"/>
                <w:sz w:val="24"/>
                <w:szCs w:val="24"/>
              </w:rPr>
            </w:pPr>
            <w:r w:rsidRPr="001C3085">
              <w:rPr>
                <w:rFonts w:eastAsia="Calibri"/>
                <w:sz w:val="24"/>
                <w:szCs w:val="24"/>
              </w:rPr>
              <w:t xml:space="preserve">Q19. Please estimate how much your personal group spent on </w:t>
            </w:r>
            <w:r w:rsidRPr="001C3085">
              <w:rPr>
                <w:rFonts w:eastAsia="Calibri"/>
                <w:sz w:val="24"/>
                <w:szCs w:val="24"/>
              </w:rPr>
              <w:t>the following items during this trip. If no money was spent on an item, please mark it as $0.</w:t>
            </w:r>
          </w:p>
        </w:tc>
        <w:tc>
          <w:tcPr>
            <w:tcW w:w="3378" w:type="dxa"/>
          </w:tcPr>
          <w:p w:rsidR="00071046" w:rsidRPr="001C3085" w14:paraId="7D37B8B9" w14:textId="77777777">
            <w:pPr>
              <w:rPr>
                <w:rFonts w:eastAsia="Calibri"/>
                <w:sz w:val="24"/>
                <w:szCs w:val="24"/>
              </w:rPr>
            </w:pPr>
            <w:r w:rsidRPr="001C3085">
              <w:rPr>
                <w:rFonts w:eastAsia="Calibri"/>
                <w:sz w:val="24"/>
                <w:szCs w:val="24"/>
              </w:rPr>
              <w:t xml:space="preserve">This information will be used to develop a travel cost model to </w:t>
            </w:r>
            <w:r w:rsidRPr="001C3085">
              <w:rPr>
                <w:rFonts w:eastAsia="Calibri"/>
                <w:sz w:val="24"/>
                <w:szCs w:val="24"/>
              </w:rPr>
              <w:t>understand the recreation value of the area.</w:t>
            </w:r>
          </w:p>
        </w:tc>
        <w:tc>
          <w:tcPr>
            <w:tcW w:w="3378" w:type="dxa"/>
          </w:tcPr>
          <w:p w:rsidR="00071046" w:rsidRPr="001C3085" w14:paraId="5DB692E8" w14:textId="77777777">
            <w:pPr>
              <w:rPr>
                <w:rFonts w:eastAsia="Calibri"/>
                <w:sz w:val="24"/>
                <w:szCs w:val="24"/>
              </w:rPr>
            </w:pPr>
          </w:p>
        </w:tc>
      </w:tr>
      <w:tr w14:paraId="5F25C0B5" w14:textId="77777777">
        <w:tblPrEx>
          <w:tblW w:w="10134" w:type="dxa"/>
          <w:tblLayout w:type="fixed"/>
          <w:tblLook w:val="0600"/>
        </w:tblPrEx>
        <w:trPr>
          <w:trHeight w:val="420"/>
        </w:trPr>
        <w:tc>
          <w:tcPr>
            <w:tcW w:w="3378" w:type="dxa"/>
          </w:tcPr>
          <w:p w:rsidR="00071046" w:rsidRPr="001C3085" w14:paraId="5B6162FF" w14:textId="77777777">
            <w:pPr>
              <w:rPr>
                <w:rFonts w:eastAsia="Calibri"/>
                <w:sz w:val="24"/>
                <w:szCs w:val="24"/>
              </w:rPr>
            </w:pPr>
            <w:r w:rsidRPr="001C3085">
              <w:rPr>
                <w:rFonts w:eastAsia="Calibri"/>
                <w:sz w:val="24"/>
                <w:szCs w:val="24"/>
              </w:rPr>
              <w:t>Q20. How important to you were the following features when deciding to take this trip?</w:t>
            </w:r>
          </w:p>
        </w:tc>
        <w:tc>
          <w:tcPr>
            <w:tcW w:w="3378" w:type="dxa"/>
            <w:vMerge w:val="restart"/>
          </w:tcPr>
          <w:p w:rsidR="00071046" w:rsidRPr="001C3085" w14:paraId="421FC899" w14:textId="77777777">
            <w:pPr>
              <w:spacing w:before="240" w:after="240"/>
              <w:rPr>
                <w:rFonts w:eastAsia="Calibri"/>
                <w:sz w:val="24"/>
                <w:szCs w:val="24"/>
              </w:rPr>
            </w:pPr>
            <w:r w:rsidRPr="001C3085">
              <w:rPr>
                <w:rFonts w:eastAsia="Calibri"/>
                <w:sz w:val="24"/>
                <w:szCs w:val="24"/>
              </w:rPr>
              <w:t>This information can be used to inform management decisions by identifying both strengths and areas for improvement. Managers can leverage this data to plan effectively for the future.</w:t>
            </w:r>
          </w:p>
        </w:tc>
        <w:tc>
          <w:tcPr>
            <w:tcW w:w="3378" w:type="dxa"/>
            <w:vMerge w:val="restart"/>
          </w:tcPr>
          <w:p w:rsidR="00071046" w:rsidRPr="001C3085" w14:paraId="585F6801" w14:textId="77777777">
            <w:pPr>
              <w:rPr>
                <w:rFonts w:eastAsia="Calibri"/>
                <w:sz w:val="24"/>
                <w:szCs w:val="24"/>
              </w:rPr>
            </w:pPr>
            <w:r w:rsidRPr="001C3085">
              <w:rPr>
                <w:rFonts w:eastAsia="Calibri"/>
                <w:sz w:val="24"/>
                <w:szCs w:val="24"/>
              </w:rPr>
              <w:t>The features provided in the survey were modified from motivations provided in various State Comprehensive Outdoor Recreation Plans (SCORP) (e.g., Rushing et al., 2021; Strickler et al., 2018).</w:t>
            </w:r>
          </w:p>
        </w:tc>
      </w:tr>
      <w:tr w14:paraId="6B658C40" w14:textId="77777777">
        <w:tblPrEx>
          <w:tblW w:w="10134" w:type="dxa"/>
          <w:tblLayout w:type="fixed"/>
          <w:tblLook w:val="0600"/>
        </w:tblPrEx>
        <w:trPr>
          <w:trHeight w:val="420"/>
        </w:trPr>
        <w:tc>
          <w:tcPr>
            <w:tcW w:w="3378" w:type="dxa"/>
          </w:tcPr>
          <w:p w:rsidR="00071046" w:rsidRPr="001C3085" w14:paraId="465ED17F" w14:textId="77777777">
            <w:pPr>
              <w:rPr>
                <w:rFonts w:eastAsia="Calibri"/>
                <w:sz w:val="24"/>
                <w:szCs w:val="24"/>
              </w:rPr>
            </w:pPr>
            <w:r w:rsidRPr="001C3085">
              <w:rPr>
                <w:rFonts w:eastAsia="Calibri"/>
                <w:sz w:val="24"/>
                <w:szCs w:val="24"/>
              </w:rPr>
              <w:t>Q21. Looking at this same list of features, how satisfied were you with the quality of each of the following features on this trip?</w:t>
            </w:r>
          </w:p>
        </w:tc>
        <w:tc>
          <w:tcPr>
            <w:tcW w:w="3378" w:type="dxa"/>
            <w:vMerge/>
          </w:tcPr>
          <w:p w:rsidR="00071046" w:rsidRPr="001C3085" w14:paraId="3E97C4A3" w14:textId="77777777">
            <w:pPr>
              <w:spacing w:line="276" w:lineRule="auto"/>
              <w:rPr>
                <w:rFonts w:eastAsia="Calibri"/>
                <w:sz w:val="24"/>
                <w:szCs w:val="24"/>
              </w:rPr>
            </w:pPr>
          </w:p>
        </w:tc>
        <w:tc>
          <w:tcPr>
            <w:tcW w:w="3378" w:type="dxa"/>
            <w:vMerge/>
          </w:tcPr>
          <w:p w:rsidR="00071046" w:rsidRPr="001C3085" w14:paraId="5F5F7056" w14:textId="77777777">
            <w:pPr>
              <w:spacing w:line="276" w:lineRule="auto"/>
              <w:rPr>
                <w:rFonts w:eastAsia="Calibri"/>
                <w:sz w:val="24"/>
                <w:szCs w:val="24"/>
              </w:rPr>
            </w:pPr>
          </w:p>
        </w:tc>
      </w:tr>
      <w:tr w14:paraId="6CB7D91A" w14:textId="77777777">
        <w:tblPrEx>
          <w:tblW w:w="10134" w:type="dxa"/>
          <w:tblLayout w:type="fixed"/>
          <w:tblLook w:val="0600"/>
        </w:tblPrEx>
        <w:trPr>
          <w:trHeight w:val="420"/>
        </w:trPr>
        <w:tc>
          <w:tcPr>
            <w:tcW w:w="10134" w:type="dxa"/>
            <w:gridSpan w:val="3"/>
            <w:shd w:val="clear" w:color="auto" w:fill="EFEFEF"/>
          </w:tcPr>
          <w:p w:rsidR="00071046" w:rsidRPr="001C3085" w14:paraId="31C25A81" w14:textId="77777777">
            <w:pPr>
              <w:rPr>
                <w:rFonts w:eastAsia="Calibri"/>
                <w:b/>
                <w:sz w:val="24"/>
                <w:szCs w:val="24"/>
              </w:rPr>
            </w:pPr>
            <w:r w:rsidRPr="001C3085">
              <w:rPr>
                <w:rFonts w:eastAsia="Calibri"/>
                <w:b/>
                <w:sz w:val="24"/>
                <w:szCs w:val="24"/>
              </w:rPr>
              <w:t>Section 4</w:t>
            </w:r>
          </w:p>
          <w:p w:rsidR="00071046" w:rsidRPr="001C3085" w14:paraId="0816C608" w14:textId="77777777">
            <w:pPr>
              <w:rPr>
                <w:rFonts w:eastAsia="Calibri"/>
                <w:sz w:val="24"/>
                <w:szCs w:val="24"/>
              </w:rPr>
            </w:pPr>
            <w:r w:rsidRPr="001C3085">
              <w:rPr>
                <w:rFonts w:eastAsia="Calibri"/>
                <w:sz w:val="24"/>
                <w:szCs w:val="24"/>
              </w:rPr>
              <w:t>The purpose of this section is to estimate future visitation and identify potential barriers that may affect visitation to the York River and surrounding areas for outdoor recreation. This information will enable managers to develop targeted strategies to attract visitors and enhance site offerings effectively.</w:t>
            </w:r>
          </w:p>
        </w:tc>
      </w:tr>
      <w:tr w14:paraId="1496530B" w14:textId="77777777">
        <w:tblPrEx>
          <w:tblW w:w="10134" w:type="dxa"/>
          <w:tblLayout w:type="fixed"/>
          <w:tblLook w:val="0600"/>
        </w:tblPrEx>
        <w:trPr>
          <w:trHeight w:val="420"/>
        </w:trPr>
        <w:tc>
          <w:tcPr>
            <w:tcW w:w="3378" w:type="dxa"/>
          </w:tcPr>
          <w:p w:rsidR="00071046" w:rsidRPr="001C3085" w14:paraId="64109D20" w14:textId="77777777">
            <w:pPr>
              <w:rPr>
                <w:rFonts w:eastAsia="Calibri"/>
                <w:sz w:val="24"/>
                <w:szCs w:val="24"/>
              </w:rPr>
            </w:pPr>
            <w:r w:rsidRPr="001C3085">
              <w:rPr>
                <w:rFonts w:eastAsia="Calibri"/>
                <w:sz w:val="24"/>
                <w:szCs w:val="24"/>
              </w:rPr>
              <w:t>Q22. Do you intend to visit the York River or any surrounding parks or natural areas for outdoor recreation in the future?</w:t>
            </w:r>
          </w:p>
        </w:tc>
        <w:tc>
          <w:tcPr>
            <w:tcW w:w="3378" w:type="dxa"/>
            <w:vMerge w:val="restart"/>
          </w:tcPr>
          <w:p w:rsidR="00071046" w:rsidRPr="001C3085" w14:paraId="6C68B701" w14:textId="77777777">
            <w:pPr>
              <w:rPr>
                <w:rFonts w:eastAsia="Calibri"/>
                <w:sz w:val="24"/>
                <w:szCs w:val="24"/>
              </w:rPr>
            </w:pPr>
            <w:r w:rsidRPr="001C3085">
              <w:rPr>
                <w:rFonts w:eastAsia="Calibri"/>
                <w:sz w:val="24"/>
                <w:szCs w:val="24"/>
              </w:rPr>
              <w:t>This information can be used to understand visitation expectations and identify factors that may deter visitation. Managers can leverage this data to better attract and customize their sites to meet the preferences of visitors.</w:t>
            </w:r>
          </w:p>
          <w:p w:rsidR="00071046" w:rsidRPr="001C3085" w14:paraId="08418E2A" w14:textId="77777777">
            <w:pPr>
              <w:rPr>
                <w:rFonts w:eastAsia="Calibri"/>
                <w:sz w:val="24"/>
                <w:szCs w:val="24"/>
              </w:rPr>
            </w:pPr>
          </w:p>
        </w:tc>
        <w:tc>
          <w:tcPr>
            <w:tcW w:w="3378" w:type="dxa"/>
            <w:vMerge w:val="restart"/>
          </w:tcPr>
          <w:p w:rsidR="00071046" w:rsidRPr="001C3085" w14:paraId="55F78AD8" w14:textId="77777777">
            <w:pPr>
              <w:rPr>
                <w:rFonts w:eastAsia="Calibri"/>
                <w:sz w:val="24"/>
                <w:szCs w:val="24"/>
              </w:rPr>
            </w:pPr>
            <w:r w:rsidRPr="001C3085">
              <w:rPr>
                <w:rFonts w:eastAsia="Calibri"/>
                <w:sz w:val="24"/>
                <w:szCs w:val="24"/>
              </w:rPr>
              <w:t>The potential barriers provided in the survey were modified from those provided in various State Comprehensive Outdoor Recreation Plans (SCORP) (e.g., Rushing et al., 2021; Strickler et al., 2018).</w:t>
            </w:r>
          </w:p>
        </w:tc>
      </w:tr>
      <w:tr w14:paraId="43D83767" w14:textId="77777777">
        <w:tblPrEx>
          <w:tblW w:w="10134" w:type="dxa"/>
          <w:tblLayout w:type="fixed"/>
          <w:tblLook w:val="0600"/>
        </w:tblPrEx>
        <w:trPr>
          <w:trHeight w:val="420"/>
        </w:trPr>
        <w:tc>
          <w:tcPr>
            <w:tcW w:w="3378" w:type="dxa"/>
          </w:tcPr>
          <w:p w:rsidR="00071046" w:rsidRPr="001C3085" w14:paraId="65FC86EA" w14:textId="77777777">
            <w:pPr>
              <w:rPr>
                <w:rFonts w:eastAsia="Calibri"/>
                <w:sz w:val="24"/>
                <w:szCs w:val="24"/>
              </w:rPr>
            </w:pPr>
            <w:r w:rsidRPr="001C3085">
              <w:rPr>
                <w:rFonts w:eastAsia="Calibri"/>
                <w:sz w:val="24"/>
                <w:szCs w:val="24"/>
              </w:rPr>
              <w:t>Q23. Regardless of how you answered the question above, which of the following are reasons why you may not visit the York River or surrounding areas for outdoor recreation in the next 12 months?</w:t>
            </w:r>
          </w:p>
        </w:tc>
        <w:tc>
          <w:tcPr>
            <w:tcW w:w="3378" w:type="dxa"/>
            <w:vMerge/>
          </w:tcPr>
          <w:p w:rsidR="00071046" w:rsidRPr="001C3085" w14:paraId="23D0A882" w14:textId="77777777">
            <w:pPr>
              <w:spacing w:line="276" w:lineRule="auto"/>
              <w:rPr>
                <w:rFonts w:eastAsia="Calibri"/>
                <w:sz w:val="24"/>
                <w:szCs w:val="24"/>
              </w:rPr>
            </w:pPr>
          </w:p>
        </w:tc>
        <w:tc>
          <w:tcPr>
            <w:tcW w:w="3378" w:type="dxa"/>
            <w:vMerge/>
          </w:tcPr>
          <w:p w:rsidR="00071046" w:rsidRPr="001C3085" w14:paraId="16DD537A" w14:textId="77777777">
            <w:pPr>
              <w:spacing w:line="276" w:lineRule="auto"/>
              <w:rPr>
                <w:rFonts w:eastAsia="Calibri"/>
                <w:sz w:val="24"/>
                <w:szCs w:val="24"/>
              </w:rPr>
            </w:pPr>
          </w:p>
        </w:tc>
      </w:tr>
      <w:tr w14:paraId="4DB37158" w14:textId="77777777">
        <w:tblPrEx>
          <w:tblW w:w="10134" w:type="dxa"/>
          <w:tblLayout w:type="fixed"/>
          <w:tblLook w:val="0600"/>
        </w:tblPrEx>
        <w:trPr>
          <w:trHeight w:val="420"/>
        </w:trPr>
        <w:tc>
          <w:tcPr>
            <w:tcW w:w="10134" w:type="dxa"/>
            <w:gridSpan w:val="3"/>
            <w:shd w:val="clear" w:color="auto" w:fill="EFEFEF"/>
          </w:tcPr>
          <w:p w:rsidR="00071046" w:rsidRPr="001C3085" w14:paraId="58D23A37" w14:textId="77777777">
            <w:pPr>
              <w:rPr>
                <w:rFonts w:eastAsia="Calibri"/>
                <w:b/>
                <w:sz w:val="24"/>
                <w:szCs w:val="24"/>
              </w:rPr>
            </w:pPr>
            <w:r w:rsidRPr="001C3085">
              <w:rPr>
                <w:rFonts w:eastAsia="Calibri"/>
                <w:b/>
                <w:sz w:val="24"/>
                <w:szCs w:val="24"/>
              </w:rPr>
              <w:t xml:space="preserve">Section 5 </w:t>
            </w:r>
          </w:p>
          <w:p w:rsidR="00071046" w:rsidRPr="001C3085" w14:paraId="14103AFB" w14:textId="77777777">
            <w:pPr>
              <w:rPr>
                <w:rFonts w:eastAsia="Calibri"/>
                <w:sz w:val="24"/>
                <w:szCs w:val="24"/>
              </w:rPr>
            </w:pPr>
            <w:r w:rsidRPr="001C3085">
              <w:rPr>
                <w:rFonts w:eastAsia="Calibri"/>
                <w:sz w:val="24"/>
                <w:szCs w:val="24"/>
              </w:rPr>
              <w:t>The purpose of this section is to characterize the demographic profile of respondents. This data will be used for weighting to ensure representativeness within the target population and for developing subgroup analyses. Understanding the park user community is essential for effective management and planning.</w:t>
            </w:r>
          </w:p>
        </w:tc>
      </w:tr>
      <w:tr w14:paraId="51419DDD" w14:textId="77777777">
        <w:tblPrEx>
          <w:tblW w:w="10134" w:type="dxa"/>
          <w:tblLayout w:type="fixed"/>
          <w:tblLook w:val="0600"/>
        </w:tblPrEx>
        <w:trPr>
          <w:trHeight w:val="420"/>
        </w:trPr>
        <w:tc>
          <w:tcPr>
            <w:tcW w:w="3378" w:type="dxa"/>
          </w:tcPr>
          <w:p w:rsidR="00071046" w:rsidRPr="001C3085" w14:paraId="781025B7" w14:textId="77777777">
            <w:pPr>
              <w:rPr>
                <w:rFonts w:eastAsia="Calibri"/>
                <w:sz w:val="24"/>
                <w:szCs w:val="24"/>
              </w:rPr>
            </w:pPr>
            <w:r w:rsidRPr="001C3085">
              <w:rPr>
                <w:rFonts w:eastAsia="Calibri"/>
                <w:sz w:val="24"/>
                <w:szCs w:val="24"/>
              </w:rPr>
              <w:t>Q24 - 36</w:t>
            </w:r>
          </w:p>
        </w:tc>
        <w:tc>
          <w:tcPr>
            <w:tcW w:w="3378" w:type="dxa"/>
          </w:tcPr>
          <w:p w:rsidR="00071046" w:rsidRPr="001C3085" w14:paraId="1E83DB23" w14:textId="77777777">
            <w:pPr>
              <w:rPr>
                <w:rFonts w:eastAsia="Calibri"/>
                <w:sz w:val="24"/>
                <w:szCs w:val="24"/>
              </w:rPr>
            </w:pPr>
            <w:r w:rsidRPr="001C3085">
              <w:rPr>
                <w:rFonts w:eastAsia="Calibri"/>
                <w:sz w:val="24"/>
                <w:szCs w:val="24"/>
              </w:rPr>
              <w:t>These are demographic questions. See section 5 justification above.</w:t>
            </w:r>
          </w:p>
        </w:tc>
        <w:tc>
          <w:tcPr>
            <w:tcW w:w="3378" w:type="dxa"/>
          </w:tcPr>
          <w:p w:rsidR="00071046" w:rsidRPr="001C3085" w14:paraId="437A98B8" w14:textId="77777777">
            <w:pPr>
              <w:rPr>
                <w:rFonts w:eastAsia="Calibri"/>
                <w:sz w:val="24"/>
                <w:szCs w:val="24"/>
              </w:rPr>
            </w:pPr>
          </w:p>
        </w:tc>
      </w:tr>
      <w:tr w14:paraId="5A619BFD" w14:textId="77777777">
        <w:tblPrEx>
          <w:tblW w:w="10134" w:type="dxa"/>
          <w:tblLayout w:type="fixed"/>
          <w:tblLook w:val="0600"/>
        </w:tblPrEx>
        <w:tc>
          <w:tcPr>
            <w:tcW w:w="3378" w:type="dxa"/>
          </w:tcPr>
          <w:p w:rsidR="00071046" w:rsidRPr="001C3085" w14:paraId="5D520B03" w14:textId="77777777">
            <w:pPr>
              <w:rPr>
                <w:rFonts w:eastAsia="Calibri"/>
                <w:sz w:val="24"/>
                <w:szCs w:val="24"/>
              </w:rPr>
            </w:pPr>
            <w:r w:rsidRPr="001C3085">
              <w:rPr>
                <w:rFonts w:eastAsia="Calibri"/>
                <w:sz w:val="24"/>
                <w:szCs w:val="24"/>
              </w:rPr>
              <w:t xml:space="preserve">Q27. When visiting an area for outdoor recreation, </w:t>
            </w:r>
            <w:sdt>
              <w:sdtPr>
                <w:tag w:val="goog_rdk_0"/>
                <w:id w:val="-549225922"/>
                <w:richText/>
              </w:sdtPr>
              <w:sdtContent/>
            </w:sdt>
            <w:r w:rsidRPr="001C3085">
              <w:rPr>
                <w:rFonts w:eastAsia="Calibri"/>
                <w:sz w:val="24"/>
                <w:szCs w:val="24"/>
              </w:rPr>
              <w:t>what language do you prefer information to be in?</w:t>
            </w:r>
          </w:p>
        </w:tc>
        <w:tc>
          <w:tcPr>
            <w:tcW w:w="3378" w:type="dxa"/>
          </w:tcPr>
          <w:p w:rsidR="00071046" w:rsidRPr="001C3085" w14:paraId="2F7D693A" w14:textId="77777777">
            <w:pPr>
              <w:rPr>
                <w:rFonts w:eastAsia="Calibri"/>
                <w:sz w:val="24"/>
                <w:szCs w:val="24"/>
              </w:rPr>
            </w:pPr>
            <w:r w:rsidRPr="001C3085">
              <w:rPr>
                <w:rFonts w:eastAsia="Calibri"/>
                <w:sz w:val="24"/>
                <w:szCs w:val="24"/>
              </w:rPr>
              <w:t xml:space="preserve">This information can be used to assess whether current park infrastructure meets visitors' language needs. Managers can use this information to make decisions about translating signage and other materials, as well as training or hiring staff </w:t>
            </w:r>
            <w:r w:rsidRPr="001C3085">
              <w:rPr>
                <w:rFonts w:eastAsia="Calibri"/>
                <w:sz w:val="24"/>
                <w:szCs w:val="24"/>
              </w:rPr>
              <w:t>proficient in specific languages to enhance communication with park visitors.</w:t>
            </w:r>
          </w:p>
        </w:tc>
        <w:tc>
          <w:tcPr>
            <w:tcW w:w="3378" w:type="dxa"/>
          </w:tcPr>
          <w:p w:rsidR="00071046" w:rsidRPr="001C3085" w14:paraId="793AA890" w14:textId="77777777">
            <w:pPr>
              <w:rPr>
                <w:rFonts w:eastAsia="Calibri"/>
                <w:sz w:val="24"/>
                <w:szCs w:val="24"/>
              </w:rPr>
            </w:pPr>
          </w:p>
        </w:tc>
      </w:tr>
    </w:tbl>
    <w:p w:rsidR="00071046" w:rsidRPr="001C3085" w14:paraId="6DAA2687" w14:textId="77777777">
      <w:pPr>
        <w:widowControl/>
        <w:spacing w:line="276" w:lineRule="auto"/>
        <w:rPr>
          <w:rFonts w:eastAsia="Calibri"/>
          <w:b/>
        </w:rPr>
      </w:pPr>
    </w:p>
    <w:p w:rsidR="00071046" w:rsidRPr="001C3085" w14:paraId="3394FF48" w14:textId="77777777">
      <w:pPr>
        <w:widowControl/>
        <w:spacing w:line="276" w:lineRule="auto"/>
        <w:rPr>
          <w:rFonts w:eastAsia="Calibri"/>
          <w:b/>
        </w:rPr>
      </w:pPr>
    </w:p>
    <w:p w:rsidR="00071046" w:rsidRPr="001C3085" w14:paraId="7827B033" w14:textId="77777777">
      <w:pPr>
        <w:widowControl/>
        <w:spacing w:line="276" w:lineRule="auto"/>
        <w:rPr>
          <w:rFonts w:eastAsia="Calibri"/>
        </w:rPr>
      </w:pPr>
      <w:r w:rsidRPr="00B350D0">
        <w:rPr>
          <w:rFonts w:eastAsia="Calibri"/>
          <w:bCs/>
          <w:u w:val="single"/>
        </w:rPr>
        <w:t>“Public Perceptions of Prescribed Fires”</w:t>
      </w:r>
      <w:r w:rsidRPr="001C3085">
        <w:rPr>
          <w:rFonts w:eastAsia="Calibri"/>
        </w:rPr>
        <w:t xml:space="preserve"> Question Justifications</w:t>
      </w:r>
    </w:p>
    <w:tbl>
      <w:tblPr>
        <w:tblStyle w:val="4"/>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60"/>
        <w:gridCol w:w="3360"/>
        <w:gridCol w:w="3360"/>
      </w:tblGrid>
      <w:tr w14:paraId="18380E7E" w14:textId="77777777">
        <w:tblPrEx>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3360" w:type="dxa"/>
            <w:tcMar>
              <w:top w:w="100" w:type="dxa"/>
              <w:left w:w="100" w:type="dxa"/>
              <w:bottom w:w="100" w:type="dxa"/>
              <w:right w:w="100" w:type="dxa"/>
            </w:tcMar>
          </w:tcPr>
          <w:p w:rsidR="00071046" w:rsidRPr="001C3085" w14:paraId="259F884C" w14:textId="77777777">
            <w:pPr>
              <w:rPr>
                <w:rFonts w:eastAsia="Calibri"/>
                <w:sz w:val="24"/>
                <w:szCs w:val="24"/>
              </w:rPr>
            </w:pPr>
            <w:r w:rsidRPr="001C3085">
              <w:rPr>
                <w:rFonts w:eastAsia="Calibri"/>
                <w:sz w:val="24"/>
                <w:szCs w:val="24"/>
              </w:rPr>
              <w:t>Section/Question</w:t>
            </w:r>
          </w:p>
        </w:tc>
        <w:tc>
          <w:tcPr>
            <w:tcW w:w="3360" w:type="dxa"/>
            <w:tcMar>
              <w:top w:w="100" w:type="dxa"/>
              <w:left w:w="100" w:type="dxa"/>
              <w:bottom w:w="100" w:type="dxa"/>
              <w:right w:w="100" w:type="dxa"/>
            </w:tcMar>
          </w:tcPr>
          <w:p w:rsidR="00071046" w:rsidRPr="001C3085" w14:paraId="743C7F88" w14:textId="799A1E3D">
            <w:pPr>
              <w:rPr>
                <w:rFonts w:eastAsia="Calibri"/>
                <w:sz w:val="24"/>
                <w:szCs w:val="24"/>
              </w:rPr>
            </w:pPr>
            <w:r w:rsidRPr="001C3085">
              <w:rPr>
                <w:rFonts w:eastAsia="Calibri"/>
                <w:sz w:val="24"/>
                <w:szCs w:val="24"/>
              </w:rPr>
              <w:t>Justification/Data use</w:t>
            </w:r>
          </w:p>
        </w:tc>
        <w:tc>
          <w:tcPr>
            <w:tcW w:w="3360" w:type="dxa"/>
            <w:tcMar>
              <w:top w:w="100" w:type="dxa"/>
              <w:left w:w="100" w:type="dxa"/>
              <w:bottom w:w="100" w:type="dxa"/>
              <w:right w:w="100" w:type="dxa"/>
            </w:tcMar>
          </w:tcPr>
          <w:p w:rsidR="00071046" w:rsidRPr="001C3085" w14:paraId="4FF57FE3" w14:textId="77777777">
            <w:pPr>
              <w:rPr>
                <w:rFonts w:eastAsia="Calibri"/>
                <w:sz w:val="24"/>
                <w:szCs w:val="24"/>
              </w:rPr>
            </w:pPr>
            <w:r w:rsidRPr="001C3085">
              <w:rPr>
                <w:rFonts w:eastAsia="Calibri"/>
                <w:sz w:val="24"/>
                <w:szCs w:val="24"/>
              </w:rPr>
              <w:t>Literature (if relevant)</w:t>
            </w:r>
          </w:p>
        </w:tc>
      </w:tr>
      <w:tr w14:paraId="100B55D0" w14:textId="77777777">
        <w:tblPrEx>
          <w:tblW w:w="10080" w:type="dxa"/>
          <w:tblLayout w:type="fixed"/>
          <w:tblLook w:val="0600"/>
        </w:tblPrEx>
        <w:trPr>
          <w:trHeight w:val="420"/>
        </w:trPr>
        <w:tc>
          <w:tcPr>
            <w:tcW w:w="10080" w:type="dxa"/>
            <w:gridSpan w:val="3"/>
            <w:shd w:val="clear" w:color="auto" w:fill="EFEFEF"/>
            <w:tcMar>
              <w:top w:w="100" w:type="dxa"/>
              <w:left w:w="100" w:type="dxa"/>
              <w:bottom w:w="100" w:type="dxa"/>
              <w:right w:w="100" w:type="dxa"/>
            </w:tcMar>
          </w:tcPr>
          <w:p w:rsidR="00071046" w:rsidRPr="001C3085" w14:paraId="3990C83F" w14:textId="77777777">
            <w:pPr>
              <w:rPr>
                <w:rFonts w:eastAsia="Calibri"/>
                <w:sz w:val="24"/>
                <w:szCs w:val="24"/>
              </w:rPr>
            </w:pPr>
            <w:r w:rsidRPr="001C3085">
              <w:rPr>
                <w:rFonts w:eastAsia="Calibri"/>
                <w:b/>
                <w:sz w:val="24"/>
                <w:szCs w:val="24"/>
              </w:rPr>
              <w:t>Section 1</w:t>
            </w:r>
          </w:p>
          <w:p w:rsidR="00071046" w:rsidRPr="001C3085" w14:paraId="025EF5E0" w14:textId="77777777">
            <w:pPr>
              <w:rPr>
                <w:rFonts w:eastAsia="Calibri"/>
                <w:sz w:val="24"/>
                <w:szCs w:val="24"/>
              </w:rPr>
            </w:pPr>
            <w:r w:rsidRPr="001C3085">
              <w:rPr>
                <w:rFonts w:eastAsia="Calibri"/>
                <w:sz w:val="24"/>
                <w:szCs w:val="24"/>
              </w:rPr>
              <w:t>The purpose of this section is to understand baseline awareness, direct experiences, and self-perceived knowledge of prescribed fires. This information will be used to understand how these factors influence public perceptions and support levels for prescribed fire practices.</w:t>
            </w:r>
          </w:p>
        </w:tc>
      </w:tr>
      <w:tr w14:paraId="1D2739B5" w14:textId="77777777">
        <w:tblPrEx>
          <w:tblW w:w="10080" w:type="dxa"/>
          <w:tblLayout w:type="fixed"/>
          <w:tblLook w:val="0600"/>
        </w:tblPrEx>
        <w:trPr>
          <w:trHeight w:val="420"/>
        </w:trPr>
        <w:tc>
          <w:tcPr>
            <w:tcW w:w="3360" w:type="dxa"/>
            <w:tcMar>
              <w:top w:w="100" w:type="dxa"/>
              <w:left w:w="100" w:type="dxa"/>
              <w:bottom w:w="100" w:type="dxa"/>
              <w:right w:w="100" w:type="dxa"/>
            </w:tcMar>
          </w:tcPr>
          <w:p w:rsidR="00071046" w:rsidRPr="001C3085" w14:paraId="1DE7D253" w14:textId="77777777">
            <w:pPr>
              <w:rPr>
                <w:rFonts w:eastAsia="Calibri"/>
                <w:sz w:val="24"/>
                <w:szCs w:val="24"/>
              </w:rPr>
            </w:pPr>
            <w:r w:rsidRPr="001C3085">
              <w:rPr>
                <w:rFonts w:eastAsia="Calibri"/>
                <w:sz w:val="24"/>
                <w:szCs w:val="24"/>
              </w:rPr>
              <w:t>Q1. Before today, had you heard about prescribed fires within the Gulf Coast region of Alabama and Mississippi?</w:t>
            </w:r>
          </w:p>
        </w:tc>
        <w:tc>
          <w:tcPr>
            <w:tcW w:w="3360" w:type="dxa"/>
            <w:tcMar>
              <w:top w:w="100" w:type="dxa"/>
              <w:left w:w="100" w:type="dxa"/>
              <w:bottom w:w="100" w:type="dxa"/>
              <w:right w:w="100" w:type="dxa"/>
            </w:tcMar>
          </w:tcPr>
          <w:p w:rsidR="00071046" w:rsidRPr="001C3085" w14:paraId="617C88C0" w14:textId="77777777">
            <w:pPr>
              <w:rPr>
                <w:rFonts w:eastAsia="Calibri"/>
                <w:sz w:val="24"/>
                <w:szCs w:val="24"/>
              </w:rPr>
            </w:pPr>
            <w:r w:rsidRPr="001C3085">
              <w:rPr>
                <w:rFonts w:eastAsia="Calibri"/>
                <w:sz w:val="24"/>
                <w:szCs w:val="24"/>
              </w:rPr>
              <w:t>The information will be used to assess baseline awareness of prescribed fires, which may influence perceptions and support levels. Managers can use this information to tailor outreach and educational efforts to enhance public understanding.</w:t>
            </w:r>
          </w:p>
        </w:tc>
        <w:tc>
          <w:tcPr>
            <w:tcW w:w="3360" w:type="dxa"/>
            <w:vMerge w:val="restart"/>
            <w:tcMar>
              <w:top w:w="100" w:type="dxa"/>
              <w:left w:w="100" w:type="dxa"/>
              <w:bottom w:w="100" w:type="dxa"/>
              <w:right w:w="100" w:type="dxa"/>
            </w:tcMar>
          </w:tcPr>
          <w:p w:rsidR="00071046" w:rsidRPr="001C3085" w14:paraId="01971C59" w14:textId="77777777">
            <w:pPr>
              <w:rPr>
                <w:rFonts w:eastAsia="Calibri"/>
                <w:sz w:val="24"/>
                <w:szCs w:val="24"/>
              </w:rPr>
            </w:pPr>
            <w:r w:rsidRPr="001C3085">
              <w:rPr>
                <w:rFonts w:eastAsia="Calibri"/>
                <w:sz w:val="24"/>
                <w:szCs w:val="24"/>
              </w:rPr>
              <w:t>Research suggests that awareness and experience with prescribed fires are associated with respondents' positive attitudes and support of prescribed fires (Wu et al., 2022; Jacobson et al., 2001).</w:t>
            </w:r>
          </w:p>
        </w:tc>
      </w:tr>
      <w:tr w14:paraId="3541C310" w14:textId="77777777">
        <w:tblPrEx>
          <w:tblW w:w="10080" w:type="dxa"/>
          <w:tblLayout w:type="fixed"/>
          <w:tblLook w:val="0600"/>
        </w:tblPrEx>
        <w:trPr>
          <w:trHeight w:val="420"/>
        </w:trPr>
        <w:tc>
          <w:tcPr>
            <w:tcW w:w="3360" w:type="dxa"/>
            <w:tcMar>
              <w:top w:w="100" w:type="dxa"/>
              <w:left w:w="100" w:type="dxa"/>
              <w:bottom w:w="100" w:type="dxa"/>
              <w:right w:w="100" w:type="dxa"/>
            </w:tcMar>
          </w:tcPr>
          <w:p w:rsidR="00071046" w:rsidRPr="001C3085" w14:paraId="04DD9127" w14:textId="77777777">
            <w:pPr>
              <w:rPr>
                <w:rFonts w:eastAsia="Calibri"/>
                <w:sz w:val="24"/>
                <w:szCs w:val="24"/>
              </w:rPr>
            </w:pPr>
            <w:r w:rsidRPr="001C3085">
              <w:rPr>
                <w:rFonts w:eastAsia="Calibri"/>
                <w:sz w:val="24"/>
                <w:szCs w:val="24"/>
              </w:rPr>
              <w:t>Q2. Have you had any of the following experiences with prescribed fires within the Gulf Coast region of Alabama and Mississippi within the last five years?</w:t>
            </w:r>
          </w:p>
        </w:tc>
        <w:tc>
          <w:tcPr>
            <w:tcW w:w="3360" w:type="dxa"/>
            <w:tcMar>
              <w:top w:w="100" w:type="dxa"/>
              <w:left w:w="100" w:type="dxa"/>
              <w:bottom w:w="100" w:type="dxa"/>
              <w:right w:w="100" w:type="dxa"/>
            </w:tcMar>
          </w:tcPr>
          <w:p w:rsidR="00071046" w:rsidRPr="001C3085" w14:paraId="43162D38" w14:textId="77777777">
            <w:pPr>
              <w:rPr>
                <w:rFonts w:eastAsia="Calibri"/>
                <w:sz w:val="24"/>
                <w:szCs w:val="24"/>
              </w:rPr>
            </w:pPr>
            <w:r w:rsidRPr="001C3085">
              <w:rPr>
                <w:rFonts w:eastAsia="Calibri"/>
                <w:sz w:val="24"/>
                <w:szCs w:val="24"/>
              </w:rPr>
              <w:t>This information will be used to assess how direct experiences with prescribed fires shape respondents' perceptions and support levels. Managers can use this information to gauge public perception and refine prescribed fire management strategies accordingly.</w:t>
            </w:r>
          </w:p>
        </w:tc>
        <w:tc>
          <w:tcPr>
            <w:tcW w:w="3360" w:type="dxa"/>
            <w:vMerge/>
            <w:tcMar>
              <w:top w:w="100" w:type="dxa"/>
              <w:left w:w="100" w:type="dxa"/>
              <w:bottom w:w="100" w:type="dxa"/>
              <w:right w:w="100" w:type="dxa"/>
            </w:tcMar>
          </w:tcPr>
          <w:p w:rsidR="00071046" w:rsidRPr="001C3085" w14:paraId="44D18756" w14:textId="77777777">
            <w:pPr>
              <w:spacing w:line="276" w:lineRule="auto"/>
              <w:rPr>
                <w:rFonts w:eastAsia="Calibri"/>
                <w:sz w:val="24"/>
                <w:szCs w:val="24"/>
              </w:rPr>
            </w:pPr>
          </w:p>
        </w:tc>
      </w:tr>
      <w:tr w14:paraId="5B90BD1E" w14:textId="77777777">
        <w:tblPrEx>
          <w:tblW w:w="10080" w:type="dxa"/>
          <w:tblLayout w:type="fixed"/>
          <w:tblLook w:val="0600"/>
        </w:tblPrEx>
        <w:trPr>
          <w:trHeight w:val="420"/>
        </w:trPr>
        <w:tc>
          <w:tcPr>
            <w:tcW w:w="3360" w:type="dxa"/>
            <w:tcMar>
              <w:top w:w="100" w:type="dxa"/>
              <w:left w:w="100" w:type="dxa"/>
              <w:bottom w:w="100" w:type="dxa"/>
              <w:right w:w="100" w:type="dxa"/>
            </w:tcMar>
          </w:tcPr>
          <w:p w:rsidR="00071046" w:rsidRPr="001C3085" w14:paraId="36E507F7" w14:textId="77777777">
            <w:pPr>
              <w:rPr>
                <w:rFonts w:eastAsia="Calibri"/>
                <w:sz w:val="24"/>
                <w:szCs w:val="24"/>
              </w:rPr>
            </w:pPr>
            <w:r w:rsidRPr="001C3085">
              <w:rPr>
                <w:rFonts w:eastAsia="Calibri"/>
                <w:sz w:val="24"/>
                <w:szCs w:val="24"/>
              </w:rPr>
              <w:t>Q5. In general, how knowledgeable do you feel about prescribed fires?</w:t>
            </w:r>
          </w:p>
        </w:tc>
        <w:tc>
          <w:tcPr>
            <w:tcW w:w="3360" w:type="dxa"/>
            <w:tcMar>
              <w:top w:w="100" w:type="dxa"/>
              <w:left w:w="100" w:type="dxa"/>
              <w:bottom w:w="100" w:type="dxa"/>
              <w:right w:w="100" w:type="dxa"/>
            </w:tcMar>
          </w:tcPr>
          <w:p w:rsidR="00071046" w:rsidRPr="001C3085" w14:paraId="0B6F6FB1" w14:textId="77777777">
            <w:pPr>
              <w:rPr>
                <w:rFonts w:eastAsia="Calibri"/>
                <w:sz w:val="24"/>
                <w:szCs w:val="24"/>
              </w:rPr>
            </w:pPr>
            <w:r w:rsidRPr="001C3085">
              <w:rPr>
                <w:rFonts w:eastAsia="Calibri"/>
                <w:sz w:val="24"/>
                <w:szCs w:val="24"/>
              </w:rPr>
              <w:t xml:space="preserve">This information will be used to assess how self-perceived knowledge levels with prescribed fires shape respondents' perceptions and support levels. Managers can use this information to identify gaps in understanding and inform strategies for public education and outreach. </w:t>
            </w:r>
          </w:p>
        </w:tc>
        <w:tc>
          <w:tcPr>
            <w:tcW w:w="3360" w:type="dxa"/>
            <w:tcMar>
              <w:top w:w="100" w:type="dxa"/>
              <w:left w:w="100" w:type="dxa"/>
              <w:bottom w:w="100" w:type="dxa"/>
              <w:right w:w="100" w:type="dxa"/>
            </w:tcMar>
          </w:tcPr>
          <w:p w:rsidR="00071046" w:rsidRPr="001C3085" w14:paraId="4D1C8E6D" w14:textId="77777777">
            <w:pPr>
              <w:rPr>
                <w:rFonts w:eastAsia="Calibri"/>
                <w:sz w:val="24"/>
                <w:szCs w:val="24"/>
              </w:rPr>
            </w:pPr>
            <w:r w:rsidRPr="001C3085">
              <w:rPr>
                <w:rFonts w:eastAsia="Calibri"/>
                <w:sz w:val="24"/>
                <w:szCs w:val="24"/>
              </w:rPr>
              <w:t xml:space="preserve">Research indicates that knowledge plays a crucial role in shaping public support for prescribed burning (Blanchard and Ryan, 2003; McCaffrey, 2009). Individuals with understandings of prescribed burning are less likely to express concerns about its impact on aesthetics, air quality, and wildlife (McCaffrey, 2009). Public perceptions and acceptance of prescribed fires vary widely across regions (Fried et al., 2006), between </w:t>
            </w:r>
            <w:r w:rsidRPr="001C3085">
              <w:rPr>
                <w:rFonts w:eastAsia="Calibri"/>
                <w:sz w:val="24"/>
                <w:szCs w:val="24"/>
              </w:rPr>
              <w:t>urban and rural residents (Rosen et al., 2022), and among local residents versus visitors (Jacobson et al., 2001; Thapa et al., 2008).</w:t>
            </w:r>
          </w:p>
        </w:tc>
      </w:tr>
    </w:tbl>
    <w:p w:rsidR="00071046" w:rsidRPr="001C3085" w14:paraId="5AB419B7" w14:textId="3C0C2F28"/>
    <w:tbl>
      <w:tblPr>
        <w:tblStyle w:val="3"/>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60"/>
        <w:gridCol w:w="3360"/>
        <w:gridCol w:w="3360"/>
      </w:tblGrid>
      <w:tr w14:paraId="27382D2E" w14:textId="77777777">
        <w:tblPrEx>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20"/>
        </w:trPr>
        <w:tc>
          <w:tcPr>
            <w:tcW w:w="10080" w:type="dxa"/>
            <w:gridSpan w:val="3"/>
            <w:shd w:val="clear" w:color="auto" w:fill="EFEFEF"/>
            <w:tcMar>
              <w:top w:w="100" w:type="dxa"/>
              <w:left w:w="100" w:type="dxa"/>
              <w:bottom w:w="100" w:type="dxa"/>
              <w:right w:w="100" w:type="dxa"/>
            </w:tcMar>
          </w:tcPr>
          <w:p w:rsidR="00071046" w:rsidRPr="001C3085" w14:paraId="4A4B57F3" w14:textId="77777777">
            <w:pPr>
              <w:rPr>
                <w:rFonts w:eastAsia="Calibri"/>
                <w:sz w:val="24"/>
                <w:szCs w:val="24"/>
              </w:rPr>
            </w:pPr>
            <w:r w:rsidRPr="001C3085">
              <w:rPr>
                <w:rFonts w:eastAsia="Calibri"/>
                <w:b/>
                <w:sz w:val="24"/>
                <w:szCs w:val="24"/>
              </w:rPr>
              <w:t>Section 2</w:t>
            </w:r>
          </w:p>
          <w:p w:rsidR="00071046" w:rsidRPr="001C3085" w14:paraId="4779D048" w14:textId="77777777">
            <w:pPr>
              <w:rPr>
                <w:rFonts w:eastAsia="Calibri"/>
                <w:sz w:val="24"/>
                <w:szCs w:val="24"/>
              </w:rPr>
            </w:pPr>
            <w:r w:rsidRPr="001C3085">
              <w:rPr>
                <w:rFonts w:eastAsia="Calibri"/>
                <w:sz w:val="24"/>
                <w:szCs w:val="24"/>
              </w:rPr>
              <w:t>The purpose of this section is to understand public opinions and perceptions regarding prescribed fires. This information, analyzed alongside variables like awareness, beliefs, and concerns, will help researchers understand complex relationships influencing community perceptions of prescribed fire practices. Managers can use this information to refine communication strategies and educational outreach to enhance community awareness and acceptance of prescribed fires in the region, informing site management decisions.</w:t>
            </w:r>
          </w:p>
        </w:tc>
      </w:tr>
      <w:tr w14:paraId="4E55CC4D" w14:textId="77777777">
        <w:tblPrEx>
          <w:tblW w:w="10080" w:type="dxa"/>
          <w:tblLayout w:type="fixed"/>
          <w:tblLook w:val="0600"/>
        </w:tblPrEx>
        <w:trPr>
          <w:trHeight w:val="420"/>
        </w:trPr>
        <w:tc>
          <w:tcPr>
            <w:tcW w:w="3360" w:type="dxa"/>
            <w:tcMar>
              <w:top w:w="100" w:type="dxa"/>
              <w:left w:w="100" w:type="dxa"/>
              <w:bottom w:w="100" w:type="dxa"/>
              <w:right w:w="100" w:type="dxa"/>
            </w:tcMar>
          </w:tcPr>
          <w:p w:rsidR="00071046" w:rsidRPr="001C3085" w14:paraId="3129FB14" w14:textId="77777777">
            <w:pPr>
              <w:rPr>
                <w:rFonts w:eastAsia="Calibri"/>
                <w:sz w:val="24"/>
                <w:szCs w:val="24"/>
              </w:rPr>
            </w:pPr>
            <w:r w:rsidRPr="001C3085">
              <w:rPr>
                <w:rFonts w:eastAsia="Calibri"/>
                <w:sz w:val="24"/>
                <w:szCs w:val="24"/>
              </w:rPr>
              <w:t>Q6. Given what you currently know about prescribed fires, what best describes your opinion about prescribed fires within the Gulf Coast region of Alabama and Mississippi?</w:t>
            </w:r>
          </w:p>
        </w:tc>
        <w:tc>
          <w:tcPr>
            <w:tcW w:w="3360" w:type="dxa"/>
            <w:vMerge w:val="restart"/>
            <w:tcMar>
              <w:top w:w="100" w:type="dxa"/>
              <w:left w:w="100" w:type="dxa"/>
              <w:bottom w:w="100" w:type="dxa"/>
              <w:right w:w="100" w:type="dxa"/>
            </w:tcMar>
          </w:tcPr>
          <w:p w:rsidR="00071046" w:rsidRPr="001C3085" w14:paraId="3291FF0A" w14:textId="77777777">
            <w:pPr>
              <w:rPr>
                <w:rFonts w:eastAsia="Calibri"/>
                <w:sz w:val="24"/>
                <w:szCs w:val="24"/>
              </w:rPr>
            </w:pPr>
            <w:r w:rsidRPr="001C3085">
              <w:rPr>
                <w:rFonts w:eastAsia="Calibri"/>
                <w:sz w:val="24"/>
                <w:szCs w:val="24"/>
              </w:rPr>
              <w:t>This information will be used to understand current opinions towards prescribed fires and to examine the relationships between other variables and support level. Managers can use this information to tailor communication strategies and educational outreach efforts aimed at improving community awareness and acceptance of prescribed fires.</w:t>
            </w:r>
          </w:p>
        </w:tc>
        <w:tc>
          <w:tcPr>
            <w:tcW w:w="3360" w:type="dxa"/>
            <w:tcMar>
              <w:top w:w="100" w:type="dxa"/>
              <w:left w:w="100" w:type="dxa"/>
              <w:bottom w:w="100" w:type="dxa"/>
              <w:right w:w="100" w:type="dxa"/>
            </w:tcMar>
          </w:tcPr>
          <w:p w:rsidR="00071046" w:rsidRPr="001C3085" w14:paraId="25F1F521" w14:textId="77777777">
            <w:pPr>
              <w:rPr>
                <w:rFonts w:eastAsia="Calibri"/>
                <w:sz w:val="24"/>
                <w:szCs w:val="24"/>
              </w:rPr>
            </w:pPr>
          </w:p>
        </w:tc>
      </w:tr>
      <w:tr w14:paraId="4FE3F031" w14:textId="77777777">
        <w:tblPrEx>
          <w:tblW w:w="10080" w:type="dxa"/>
          <w:tblLayout w:type="fixed"/>
          <w:tblLook w:val="0600"/>
        </w:tblPrEx>
        <w:trPr>
          <w:trHeight w:val="420"/>
        </w:trPr>
        <w:tc>
          <w:tcPr>
            <w:tcW w:w="3360" w:type="dxa"/>
            <w:tcMar>
              <w:top w:w="100" w:type="dxa"/>
              <w:left w:w="100" w:type="dxa"/>
              <w:bottom w:w="100" w:type="dxa"/>
              <w:right w:w="100" w:type="dxa"/>
            </w:tcMar>
          </w:tcPr>
          <w:p w:rsidR="00071046" w:rsidRPr="001C3085" w14:paraId="4C8B9398" w14:textId="77777777">
            <w:pPr>
              <w:rPr>
                <w:rFonts w:eastAsia="Calibri"/>
                <w:sz w:val="24"/>
                <w:szCs w:val="24"/>
              </w:rPr>
            </w:pPr>
            <w:r w:rsidRPr="001C3085">
              <w:rPr>
                <w:rFonts w:eastAsia="Calibri"/>
                <w:sz w:val="24"/>
                <w:szCs w:val="24"/>
              </w:rPr>
              <w:t>Q7. Even if you have not made up your mind, which way are you leaning?</w:t>
            </w:r>
          </w:p>
        </w:tc>
        <w:tc>
          <w:tcPr>
            <w:tcW w:w="3360" w:type="dxa"/>
            <w:vMerge/>
            <w:tcMar>
              <w:top w:w="100" w:type="dxa"/>
              <w:left w:w="100" w:type="dxa"/>
              <w:bottom w:w="100" w:type="dxa"/>
              <w:right w:w="100" w:type="dxa"/>
            </w:tcMar>
          </w:tcPr>
          <w:p w:rsidR="00071046" w:rsidRPr="001C3085" w14:paraId="21A9FE18" w14:textId="77777777">
            <w:pPr>
              <w:spacing w:line="276" w:lineRule="auto"/>
              <w:rPr>
                <w:rFonts w:eastAsia="Calibri"/>
                <w:sz w:val="24"/>
                <w:szCs w:val="24"/>
              </w:rPr>
            </w:pPr>
          </w:p>
        </w:tc>
        <w:tc>
          <w:tcPr>
            <w:tcW w:w="3360" w:type="dxa"/>
            <w:tcMar>
              <w:top w:w="100" w:type="dxa"/>
              <w:left w:w="100" w:type="dxa"/>
              <w:bottom w:w="100" w:type="dxa"/>
              <w:right w:w="100" w:type="dxa"/>
            </w:tcMar>
          </w:tcPr>
          <w:p w:rsidR="00071046" w:rsidRPr="001C3085" w14:paraId="1185AA53" w14:textId="77777777">
            <w:pPr>
              <w:rPr>
                <w:rFonts w:eastAsia="Calibri"/>
                <w:sz w:val="24"/>
                <w:szCs w:val="24"/>
              </w:rPr>
            </w:pPr>
          </w:p>
        </w:tc>
      </w:tr>
      <w:tr w14:paraId="4E02ECE9" w14:textId="77777777">
        <w:tblPrEx>
          <w:tblW w:w="10080" w:type="dxa"/>
          <w:tblLayout w:type="fixed"/>
          <w:tblLook w:val="0600"/>
        </w:tblPrEx>
        <w:trPr>
          <w:trHeight w:val="420"/>
        </w:trPr>
        <w:tc>
          <w:tcPr>
            <w:tcW w:w="3360" w:type="dxa"/>
            <w:tcMar>
              <w:top w:w="100" w:type="dxa"/>
              <w:left w:w="100" w:type="dxa"/>
              <w:bottom w:w="100" w:type="dxa"/>
              <w:right w:w="100" w:type="dxa"/>
            </w:tcMar>
          </w:tcPr>
          <w:p w:rsidR="00071046" w:rsidRPr="001C3085" w14:paraId="768270EC" w14:textId="77777777">
            <w:pPr>
              <w:rPr>
                <w:rFonts w:eastAsia="Calibri"/>
                <w:sz w:val="24"/>
                <w:szCs w:val="24"/>
              </w:rPr>
            </w:pPr>
            <w:r w:rsidRPr="001C3085">
              <w:rPr>
                <w:rFonts w:eastAsia="Calibri"/>
                <w:sz w:val="24"/>
                <w:szCs w:val="24"/>
              </w:rPr>
              <w:t>Q8. Prescribed fires are one strategy to achieve management outcomes on public lands. How important are the following management outcomes to you?</w:t>
            </w:r>
          </w:p>
        </w:tc>
        <w:tc>
          <w:tcPr>
            <w:tcW w:w="3360" w:type="dxa"/>
            <w:tcMar>
              <w:top w:w="100" w:type="dxa"/>
              <w:left w:w="100" w:type="dxa"/>
              <w:bottom w:w="100" w:type="dxa"/>
              <w:right w:w="100" w:type="dxa"/>
            </w:tcMar>
          </w:tcPr>
          <w:p w:rsidR="00071046" w:rsidRPr="001C3085" w14:paraId="053307DF" w14:textId="77777777">
            <w:pPr>
              <w:rPr>
                <w:rFonts w:eastAsia="Calibri"/>
                <w:sz w:val="24"/>
                <w:szCs w:val="24"/>
              </w:rPr>
            </w:pPr>
            <w:r w:rsidRPr="001C3085">
              <w:rPr>
                <w:rFonts w:eastAsia="Calibri"/>
                <w:sz w:val="24"/>
                <w:szCs w:val="24"/>
              </w:rPr>
              <w:t>This information will be used to assess the importance respondents place on various management outcomes achievable through prescribed fires. Managers can use this information to prioritize management strategies that align with public values and priorities, thereby enhancing community support.</w:t>
            </w:r>
          </w:p>
        </w:tc>
        <w:tc>
          <w:tcPr>
            <w:tcW w:w="3360" w:type="dxa"/>
            <w:vMerge w:val="restart"/>
            <w:tcMar>
              <w:top w:w="100" w:type="dxa"/>
              <w:left w:w="100" w:type="dxa"/>
              <w:bottom w:w="100" w:type="dxa"/>
              <w:right w:w="100" w:type="dxa"/>
            </w:tcMar>
          </w:tcPr>
          <w:p w:rsidR="00071046" w:rsidRPr="001C3085" w14:paraId="11C1AC7D" w14:textId="77777777">
            <w:pPr>
              <w:rPr>
                <w:rFonts w:eastAsia="Calibri"/>
                <w:sz w:val="24"/>
                <w:szCs w:val="24"/>
              </w:rPr>
            </w:pPr>
            <w:r w:rsidRPr="001C3085">
              <w:rPr>
                <w:rFonts w:eastAsia="Calibri"/>
                <w:sz w:val="24"/>
                <w:szCs w:val="24"/>
              </w:rPr>
              <w:t xml:space="preserve">Prescribed burning is a well-established forest management tool used to achieve various goals such as fuel reduction, wildlife habitat improvement, and enhancing forest aesthetics and accessibility (USDA Forest Service, 2018). However, it carries risks such as fire escape and potential impacts on air quality (Rosen et al., 2022). Public support for prescribed burning largely hinges on perceptions of its benefits and risks (Ascher et al., 2012). For example, a study in Texas highlighted that those who perceived prescribed fire as beneficial for wildlife habitat were more supportive of its use </w:t>
            </w:r>
            <w:r w:rsidRPr="001C3085">
              <w:rPr>
                <w:rFonts w:eastAsia="Calibri"/>
                <w:sz w:val="24"/>
                <w:szCs w:val="24"/>
              </w:rPr>
              <w:t>(Rideout et al., 2003). Additionally, rural residents often express concerns about fire control, whereas urban residents are more sensitive to smoke exposure (Rosen et al., 2022).</w:t>
            </w:r>
          </w:p>
        </w:tc>
      </w:tr>
      <w:tr w14:paraId="460E1DFC" w14:textId="77777777">
        <w:tblPrEx>
          <w:tblW w:w="10080" w:type="dxa"/>
          <w:tblLayout w:type="fixed"/>
          <w:tblLook w:val="0600"/>
        </w:tblPrEx>
        <w:trPr>
          <w:trHeight w:val="420"/>
        </w:trPr>
        <w:tc>
          <w:tcPr>
            <w:tcW w:w="3360" w:type="dxa"/>
            <w:tcMar>
              <w:top w:w="100" w:type="dxa"/>
              <w:left w:w="100" w:type="dxa"/>
              <w:bottom w:w="100" w:type="dxa"/>
              <w:right w:w="100" w:type="dxa"/>
            </w:tcMar>
          </w:tcPr>
          <w:p w:rsidR="00071046" w:rsidRPr="001C3085" w14:paraId="614774A5" w14:textId="77777777">
            <w:pPr>
              <w:rPr>
                <w:rFonts w:eastAsia="Calibri"/>
                <w:sz w:val="24"/>
                <w:szCs w:val="24"/>
              </w:rPr>
            </w:pPr>
            <w:r w:rsidRPr="001C3085">
              <w:rPr>
                <w:rFonts w:eastAsia="Calibri"/>
                <w:sz w:val="24"/>
                <w:szCs w:val="24"/>
              </w:rPr>
              <w:t>Q9. Thinking about the same list and given what you currently know about prescribed fires, how effective do you think prescribed fires are at achieving these management outcomes?</w:t>
            </w:r>
          </w:p>
        </w:tc>
        <w:tc>
          <w:tcPr>
            <w:tcW w:w="3360" w:type="dxa"/>
            <w:tcMar>
              <w:top w:w="100" w:type="dxa"/>
              <w:left w:w="100" w:type="dxa"/>
              <w:bottom w:w="100" w:type="dxa"/>
              <w:right w:w="100" w:type="dxa"/>
            </w:tcMar>
          </w:tcPr>
          <w:p w:rsidR="00071046" w:rsidRPr="001C3085" w14:paraId="0D52BB28" w14:textId="77777777">
            <w:pPr>
              <w:rPr>
                <w:rFonts w:eastAsia="Calibri"/>
                <w:sz w:val="24"/>
                <w:szCs w:val="24"/>
              </w:rPr>
            </w:pPr>
            <w:r w:rsidRPr="001C3085">
              <w:rPr>
                <w:rFonts w:eastAsia="Calibri"/>
                <w:sz w:val="24"/>
                <w:szCs w:val="24"/>
              </w:rPr>
              <w:t xml:space="preserve">This information will be used to understand respondents' perceptions of the effectiveness of prescribed fires in achieving specific management outcomes. Managers can use this information to tailor communication strategies and demonstrate the efficacy of </w:t>
            </w:r>
            <w:r w:rsidRPr="001C3085">
              <w:rPr>
                <w:rFonts w:eastAsia="Calibri"/>
                <w:sz w:val="24"/>
                <w:szCs w:val="24"/>
              </w:rPr>
              <w:t>prescribed fire as a management tool, addressing public perceptions and enhancing support for its implementation.</w:t>
            </w:r>
          </w:p>
        </w:tc>
        <w:tc>
          <w:tcPr>
            <w:tcW w:w="3360" w:type="dxa"/>
            <w:vMerge/>
            <w:tcMar>
              <w:top w:w="100" w:type="dxa"/>
              <w:left w:w="100" w:type="dxa"/>
              <w:bottom w:w="100" w:type="dxa"/>
              <w:right w:w="100" w:type="dxa"/>
            </w:tcMar>
          </w:tcPr>
          <w:p w:rsidR="00071046" w:rsidRPr="001C3085" w14:paraId="39E29F82" w14:textId="77777777">
            <w:pPr>
              <w:spacing w:line="276" w:lineRule="auto"/>
              <w:rPr>
                <w:rFonts w:eastAsia="Calibri"/>
                <w:sz w:val="24"/>
                <w:szCs w:val="24"/>
              </w:rPr>
            </w:pPr>
          </w:p>
        </w:tc>
      </w:tr>
      <w:tr w14:paraId="2BC741BB" w14:textId="77777777">
        <w:tblPrEx>
          <w:tblW w:w="10080" w:type="dxa"/>
          <w:tblLayout w:type="fixed"/>
          <w:tblLook w:val="0600"/>
        </w:tblPrEx>
        <w:trPr>
          <w:trHeight w:val="420"/>
        </w:trPr>
        <w:tc>
          <w:tcPr>
            <w:tcW w:w="3360" w:type="dxa"/>
            <w:tcMar>
              <w:top w:w="100" w:type="dxa"/>
              <w:left w:w="100" w:type="dxa"/>
              <w:bottom w:w="100" w:type="dxa"/>
              <w:right w:w="100" w:type="dxa"/>
            </w:tcMar>
          </w:tcPr>
          <w:p w:rsidR="00071046" w:rsidRPr="001C3085" w14:paraId="26A12BA2" w14:textId="77777777">
            <w:pPr>
              <w:rPr>
                <w:rFonts w:eastAsia="Calibri"/>
                <w:sz w:val="24"/>
                <w:szCs w:val="24"/>
              </w:rPr>
            </w:pPr>
            <w:r w:rsidRPr="001C3085">
              <w:rPr>
                <w:rFonts w:eastAsia="Calibri"/>
                <w:sz w:val="24"/>
                <w:szCs w:val="24"/>
              </w:rPr>
              <w:t>Q11. Given what you currently know about prescribed fires, how would you rate your concern about the following potential effects?</w:t>
            </w:r>
          </w:p>
        </w:tc>
        <w:tc>
          <w:tcPr>
            <w:tcW w:w="3360" w:type="dxa"/>
            <w:tcMar>
              <w:top w:w="100" w:type="dxa"/>
              <w:left w:w="100" w:type="dxa"/>
              <w:bottom w:w="100" w:type="dxa"/>
              <w:right w:w="100" w:type="dxa"/>
            </w:tcMar>
          </w:tcPr>
          <w:p w:rsidR="00071046" w:rsidRPr="001C3085" w14:paraId="1013AC96" w14:textId="77777777">
            <w:pPr>
              <w:rPr>
                <w:rFonts w:eastAsia="Calibri"/>
                <w:sz w:val="24"/>
                <w:szCs w:val="24"/>
              </w:rPr>
            </w:pPr>
            <w:r w:rsidRPr="001C3085">
              <w:rPr>
                <w:rFonts w:eastAsia="Calibri"/>
                <w:sz w:val="24"/>
                <w:szCs w:val="24"/>
              </w:rPr>
              <w:t>This information will be used to assess respondents' concerns about various potential effects of prescribed fires. Managers can use this information to understand public apprehensions and develop strategies to mitigate perceived risks, thereby fostering greater community acceptance and support for prescribed fire programs.</w:t>
            </w:r>
          </w:p>
        </w:tc>
        <w:tc>
          <w:tcPr>
            <w:tcW w:w="3360" w:type="dxa"/>
            <w:vMerge/>
            <w:tcMar>
              <w:top w:w="100" w:type="dxa"/>
              <w:left w:w="100" w:type="dxa"/>
              <w:bottom w:w="100" w:type="dxa"/>
              <w:right w:w="100" w:type="dxa"/>
            </w:tcMar>
          </w:tcPr>
          <w:p w:rsidR="00071046" w:rsidRPr="001C3085" w14:paraId="5DD0BBF3" w14:textId="77777777">
            <w:pPr>
              <w:spacing w:line="276" w:lineRule="auto"/>
              <w:rPr>
                <w:rFonts w:eastAsia="Calibri"/>
                <w:sz w:val="24"/>
                <w:szCs w:val="24"/>
              </w:rPr>
            </w:pPr>
          </w:p>
        </w:tc>
      </w:tr>
      <w:tr w14:paraId="5DDBC2B9" w14:textId="77777777">
        <w:tblPrEx>
          <w:tblW w:w="10080" w:type="dxa"/>
          <w:tblLayout w:type="fixed"/>
          <w:tblLook w:val="0600"/>
        </w:tblPrEx>
        <w:trPr>
          <w:trHeight w:val="420"/>
        </w:trPr>
        <w:tc>
          <w:tcPr>
            <w:tcW w:w="10080" w:type="dxa"/>
            <w:gridSpan w:val="3"/>
            <w:shd w:val="clear" w:color="auto" w:fill="EFEFEF"/>
            <w:tcMar>
              <w:top w:w="100" w:type="dxa"/>
              <w:left w:w="100" w:type="dxa"/>
              <w:bottom w:w="100" w:type="dxa"/>
              <w:right w:w="100" w:type="dxa"/>
            </w:tcMar>
          </w:tcPr>
          <w:p w:rsidR="00071046" w:rsidRPr="001C3085" w14:paraId="16315E5B" w14:textId="77777777">
            <w:pPr>
              <w:rPr>
                <w:rFonts w:eastAsia="Calibri"/>
                <w:b/>
                <w:sz w:val="24"/>
                <w:szCs w:val="24"/>
              </w:rPr>
            </w:pPr>
            <w:r w:rsidRPr="001C3085">
              <w:rPr>
                <w:rFonts w:eastAsia="Calibri"/>
                <w:b/>
                <w:sz w:val="24"/>
                <w:szCs w:val="24"/>
              </w:rPr>
              <w:t>Section 3</w:t>
            </w:r>
          </w:p>
          <w:p w:rsidR="00071046" w:rsidRPr="001C3085" w14:paraId="7EFD7E1B" w14:textId="77777777">
            <w:pPr>
              <w:rPr>
                <w:rFonts w:eastAsia="Calibri"/>
                <w:sz w:val="24"/>
                <w:szCs w:val="24"/>
              </w:rPr>
            </w:pPr>
            <w:r w:rsidRPr="001C3085">
              <w:rPr>
                <w:rFonts w:eastAsia="Calibri"/>
                <w:sz w:val="24"/>
                <w:szCs w:val="24"/>
              </w:rPr>
              <w:t>The purpose of this section is to understand public perceptions of information provision and trust in management efforts related to prescribed fires. This information will inform strategies to enhance communication effectiveness, improve transparency, and build community trust, ultimately fostering greater understanding, acceptance, and support for prescribed fire practices in the region.</w:t>
            </w:r>
          </w:p>
        </w:tc>
      </w:tr>
      <w:tr w14:paraId="774AA912" w14:textId="77777777">
        <w:tblPrEx>
          <w:tblW w:w="10080" w:type="dxa"/>
          <w:tblLayout w:type="fixed"/>
          <w:tblLook w:val="0600"/>
        </w:tblPrEx>
        <w:trPr>
          <w:trHeight w:val="420"/>
        </w:trPr>
        <w:tc>
          <w:tcPr>
            <w:tcW w:w="3360" w:type="dxa"/>
            <w:tcMar>
              <w:top w:w="100" w:type="dxa"/>
              <w:left w:w="100" w:type="dxa"/>
              <w:bottom w:w="100" w:type="dxa"/>
              <w:right w:w="100" w:type="dxa"/>
            </w:tcMar>
          </w:tcPr>
          <w:p w:rsidR="00071046" w:rsidRPr="001C3085" w14:paraId="52CA2938" w14:textId="77777777">
            <w:pPr>
              <w:rPr>
                <w:rFonts w:eastAsia="Calibri"/>
                <w:sz w:val="24"/>
                <w:szCs w:val="24"/>
              </w:rPr>
            </w:pPr>
            <w:r w:rsidRPr="001C3085">
              <w:rPr>
                <w:rFonts w:eastAsia="Calibri"/>
                <w:sz w:val="24"/>
                <w:szCs w:val="24"/>
              </w:rPr>
              <w:t>Q3. Do you believe enough information is provided to residents about prescribed fires within the Gulf Coast region of Alabama and Mississippi?</w:t>
            </w:r>
          </w:p>
        </w:tc>
        <w:tc>
          <w:tcPr>
            <w:tcW w:w="3360" w:type="dxa"/>
            <w:tcMar>
              <w:top w:w="100" w:type="dxa"/>
              <w:left w:w="100" w:type="dxa"/>
              <w:bottom w:w="100" w:type="dxa"/>
              <w:right w:w="100" w:type="dxa"/>
            </w:tcMar>
          </w:tcPr>
          <w:p w:rsidR="00071046" w:rsidRPr="001C3085" w14:paraId="309C2668" w14:textId="77777777">
            <w:pPr>
              <w:rPr>
                <w:rFonts w:eastAsia="Calibri"/>
                <w:sz w:val="24"/>
                <w:szCs w:val="24"/>
              </w:rPr>
            </w:pPr>
            <w:r w:rsidRPr="001C3085">
              <w:rPr>
                <w:rFonts w:eastAsia="Calibri"/>
                <w:sz w:val="24"/>
                <w:szCs w:val="24"/>
              </w:rPr>
              <w:t>This information will be used to assess public perceptions regarding the adequacy of information dissemination about prescribed fires. Managers can use this information to improve communication efforts and ensure residents are well-informed, thereby fostering greater community understanding and acceptance of prescribed fires.</w:t>
            </w:r>
          </w:p>
        </w:tc>
        <w:tc>
          <w:tcPr>
            <w:tcW w:w="3360" w:type="dxa"/>
            <w:vMerge w:val="restart"/>
            <w:tcMar>
              <w:top w:w="100" w:type="dxa"/>
              <w:left w:w="100" w:type="dxa"/>
              <w:bottom w:w="100" w:type="dxa"/>
              <w:right w:w="100" w:type="dxa"/>
            </w:tcMar>
          </w:tcPr>
          <w:p w:rsidR="00071046" w:rsidRPr="001C3085" w14:paraId="717A2E2F" w14:textId="7FE736E6">
            <w:pPr>
              <w:rPr>
                <w:rFonts w:eastAsia="Calibri"/>
                <w:sz w:val="24"/>
                <w:szCs w:val="24"/>
              </w:rPr>
            </w:pPr>
            <w:r w:rsidRPr="001C3085">
              <w:rPr>
                <w:rFonts w:eastAsia="Calibri"/>
                <w:sz w:val="24"/>
                <w:szCs w:val="24"/>
              </w:rPr>
              <w:t xml:space="preserve">Trust in the land management agency, including trust in information timeliness and accuracy, is often as important as knowledge, beliefs, and concerns in shaping public acceptance and support for prescribed fires (McCaffrey, 2009; Nelson et al., 2004; Dupéy and Smith, 2018; Vaske et al., 2007; Wu et al., 2022). For example, homeowners in Minnesota and Florida viewed prescribed fires favorably when conducted by knowledgeable professionals familiar with local ecology and fire behavior (Nelson et al., 2004). Similarly, Colorado residents in the wildland-urban interface showed more positive attitudes towards prescribed fires when they trusted the public land agency to provide accurate information </w:t>
            </w:r>
            <w:r w:rsidRPr="001C3085">
              <w:rPr>
                <w:rFonts w:eastAsia="Calibri"/>
                <w:sz w:val="24"/>
                <w:szCs w:val="24"/>
              </w:rPr>
              <w:t>(Vaske et al., 2007).</w:t>
            </w:r>
          </w:p>
        </w:tc>
      </w:tr>
      <w:tr w14:paraId="1DD6585F" w14:textId="77777777">
        <w:tblPrEx>
          <w:tblW w:w="10080" w:type="dxa"/>
          <w:tblLayout w:type="fixed"/>
          <w:tblLook w:val="0600"/>
        </w:tblPrEx>
        <w:trPr>
          <w:trHeight w:val="420"/>
        </w:trPr>
        <w:tc>
          <w:tcPr>
            <w:tcW w:w="3360" w:type="dxa"/>
            <w:tcMar>
              <w:top w:w="100" w:type="dxa"/>
              <w:left w:w="100" w:type="dxa"/>
              <w:bottom w:w="100" w:type="dxa"/>
              <w:right w:w="100" w:type="dxa"/>
            </w:tcMar>
          </w:tcPr>
          <w:p w:rsidR="00071046" w:rsidRPr="001C3085" w14:paraId="06451C3E" w14:textId="77777777">
            <w:pPr>
              <w:rPr>
                <w:rFonts w:eastAsia="Calibri"/>
                <w:sz w:val="24"/>
                <w:szCs w:val="24"/>
              </w:rPr>
            </w:pPr>
            <w:r w:rsidRPr="001C3085">
              <w:rPr>
                <w:rFonts w:eastAsia="Calibri"/>
                <w:sz w:val="24"/>
                <w:szCs w:val="24"/>
              </w:rPr>
              <w:t>Q4. How timely do you believe information is provided to residents about prescribed fires within the Gulf Coast region of Alabama and Mississippi?</w:t>
            </w:r>
          </w:p>
        </w:tc>
        <w:tc>
          <w:tcPr>
            <w:tcW w:w="3360" w:type="dxa"/>
            <w:tcMar>
              <w:top w:w="100" w:type="dxa"/>
              <w:left w:w="100" w:type="dxa"/>
              <w:bottom w:w="100" w:type="dxa"/>
              <w:right w:w="100" w:type="dxa"/>
            </w:tcMar>
          </w:tcPr>
          <w:p w:rsidR="00071046" w:rsidRPr="001C3085" w14:paraId="24591E03" w14:textId="77777777">
            <w:pPr>
              <w:rPr>
                <w:rFonts w:eastAsia="Calibri"/>
                <w:sz w:val="24"/>
                <w:szCs w:val="24"/>
              </w:rPr>
            </w:pPr>
            <w:r w:rsidRPr="001C3085">
              <w:rPr>
                <w:rFonts w:eastAsia="Calibri"/>
                <w:sz w:val="24"/>
                <w:szCs w:val="24"/>
              </w:rPr>
              <w:t>This information will be used to assess public perceptions regarding the timeliness of information dissemination about prescribed fires. Managers can use this feedback to enhance the timeliness of communication efforts, ensuring residents receive timely updates and information about prescribed fires, which can build trust and support among the community.</w:t>
            </w:r>
          </w:p>
        </w:tc>
        <w:tc>
          <w:tcPr>
            <w:tcW w:w="3360" w:type="dxa"/>
            <w:vMerge/>
            <w:tcMar>
              <w:top w:w="100" w:type="dxa"/>
              <w:left w:w="100" w:type="dxa"/>
              <w:bottom w:w="100" w:type="dxa"/>
              <w:right w:w="100" w:type="dxa"/>
            </w:tcMar>
          </w:tcPr>
          <w:p w:rsidR="00071046" w:rsidRPr="001C3085" w14:paraId="09E1285E" w14:textId="77777777">
            <w:pPr>
              <w:spacing w:line="276" w:lineRule="auto"/>
              <w:rPr>
                <w:rFonts w:eastAsia="Calibri"/>
                <w:sz w:val="24"/>
                <w:szCs w:val="24"/>
              </w:rPr>
            </w:pPr>
          </w:p>
        </w:tc>
      </w:tr>
      <w:tr w14:paraId="0FB00989" w14:textId="77777777">
        <w:tblPrEx>
          <w:tblW w:w="10080" w:type="dxa"/>
          <w:tblLayout w:type="fixed"/>
          <w:tblLook w:val="0600"/>
        </w:tblPrEx>
        <w:trPr>
          <w:trHeight w:val="420"/>
        </w:trPr>
        <w:tc>
          <w:tcPr>
            <w:tcW w:w="3360" w:type="dxa"/>
            <w:tcMar>
              <w:top w:w="100" w:type="dxa"/>
              <w:left w:w="100" w:type="dxa"/>
              <w:bottom w:w="100" w:type="dxa"/>
              <w:right w:w="100" w:type="dxa"/>
            </w:tcMar>
          </w:tcPr>
          <w:p w:rsidR="00071046" w:rsidRPr="001C3085" w14:paraId="4308ED28" w14:textId="77777777">
            <w:pPr>
              <w:rPr>
                <w:rFonts w:eastAsia="Calibri"/>
                <w:sz w:val="24"/>
                <w:szCs w:val="24"/>
              </w:rPr>
            </w:pPr>
            <w:r w:rsidRPr="001C3085">
              <w:rPr>
                <w:rFonts w:eastAsia="Calibri"/>
                <w:sz w:val="24"/>
                <w:szCs w:val="24"/>
              </w:rPr>
              <w:t>Q10. Thinking about the same list again, how much do you trust that managers within the Gulf Coast region of Alabama and Mississippi are doing their best to achieve these management outcomes?</w:t>
            </w:r>
          </w:p>
        </w:tc>
        <w:tc>
          <w:tcPr>
            <w:tcW w:w="3360" w:type="dxa"/>
            <w:tcMar>
              <w:top w:w="100" w:type="dxa"/>
              <w:left w:w="100" w:type="dxa"/>
              <w:bottom w:w="100" w:type="dxa"/>
              <w:right w:w="100" w:type="dxa"/>
            </w:tcMar>
          </w:tcPr>
          <w:p w:rsidR="00071046" w:rsidRPr="001C3085" w14:paraId="487EFDA9" w14:textId="77777777">
            <w:pPr>
              <w:rPr>
                <w:rFonts w:eastAsia="Calibri"/>
                <w:sz w:val="24"/>
                <w:szCs w:val="24"/>
              </w:rPr>
            </w:pPr>
            <w:r w:rsidRPr="001C3085">
              <w:rPr>
                <w:rFonts w:eastAsia="Calibri"/>
                <w:sz w:val="24"/>
                <w:szCs w:val="24"/>
              </w:rPr>
              <w:t>This information will be used to assess public trust in managers' efforts to achieve prescribed fire management outcomes. Managers can use this insight to strengthen transparency, accountability, and engagement with the community, thereby building trust and enhancing support for prescribed fire initiatives.</w:t>
            </w:r>
          </w:p>
        </w:tc>
        <w:tc>
          <w:tcPr>
            <w:tcW w:w="3360" w:type="dxa"/>
            <w:vMerge/>
            <w:tcMar>
              <w:top w:w="100" w:type="dxa"/>
              <w:left w:w="100" w:type="dxa"/>
              <w:bottom w:w="100" w:type="dxa"/>
              <w:right w:w="100" w:type="dxa"/>
            </w:tcMar>
          </w:tcPr>
          <w:p w:rsidR="00071046" w:rsidRPr="001C3085" w14:paraId="4AD605F9" w14:textId="77777777">
            <w:pPr>
              <w:spacing w:line="276" w:lineRule="auto"/>
              <w:rPr>
                <w:rFonts w:eastAsia="Calibri"/>
                <w:sz w:val="24"/>
                <w:szCs w:val="24"/>
              </w:rPr>
            </w:pPr>
          </w:p>
        </w:tc>
      </w:tr>
      <w:tr w14:paraId="57FEC3B9" w14:textId="77777777">
        <w:tblPrEx>
          <w:tblW w:w="10080" w:type="dxa"/>
          <w:tblLayout w:type="fixed"/>
          <w:tblLook w:val="0600"/>
        </w:tblPrEx>
        <w:trPr>
          <w:trHeight w:val="420"/>
        </w:trPr>
        <w:tc>
          <w:tcPr>
            <w:tcW w:w="3360" w:type="dxa"/>
            <w:tcMar>
              <w:top w:w="100" w:type="dxa"/>
              <w:left w:w="100" w:type="dxa"/>
              <w:bottom w:w="100" w:type="dxa"/>
              <w:right w:w="100" w:type="dxa"/>
            </w:tcMar>
          </w:tcPr>
          <w:p w:rsidR="00071046" w:rsidRPr="001C3085" w14:paraId="6F6A8BB5" w14:textId="77777777">
            <w:pPr>
              <w:rPr>
                <w:rFonts w:eastAsia="Calibri"/>
                <w:sz w:val="24"/>
                <w:szCs w:val="24"/>
              </w:rPr>
            </w:pPr>
            <w:r w:rsidRPr="001C3085">
              <w:rPr>
                <w:rFonts w:eastAsia="Calibri"/>
                <w:sz w:val="24"/>
                <w:szCs w:val="24"/>
              </w:rPr>
              <w:t>Q12. Thinking about the same list, how much do you trust that managers within the Gulf Coast region of Alabama and Mississippi are doing their best to minimize the potential effects of prescribed fires?</w:t>
            </w:r>
          </w:p>
        </w:tc>
        <w:tc>
          <w:tcPr>
            <w:tcW w:w="3360" w:type="dxa"/>
            <w:tcMar>
              <w:top w:w="100" w:type="dxa"/>
              <w:left w:w="100" w:type="dxa"/>
              <w:bottom w:w="100" w:type="dxa"/>
              <w:right w:w="100" w:type="dxa"/>
            </w:tcMar>
          </w:tcPr>
          <w:p w:rsidR="00071046" w:rsidRPr="001C3085" w14:paraId="657E8EC5" w14:textId="77777777">
            <w:pPr>
              <w:rPr>
                <w:rFonts w:eastAsia="Calibri"/>
                <w:sz w:val="24"/>
                <w:szCs w:val="24"/>
              </w:rPr>
            </w:pPr>
            <w:r w:rsidRPr="001C3085">
              <w:rPr>
                <w:rFonts w:eastAsia="Calibri"/>
                <w:sz w:val="24"/>
                <w:szCs w:val="24"/>
              </w:rPr>
              <w:t>This information will be used to assess public trust in managers' efforts to mitigate the potential effects of prescribed fires. Managers can use this feedback to improve communication on mitigation strategies, demonstrate proactive efforts, and build confidence in their ability to minimize adverse impacts, thereby fostering greater public acceptance and support for prescribed fire practices.</w:t>
            </w:r>
          </w:p>
        </w:tc>
        <w:tc>
          <w:tcPr>
            <w:tcW w:w="3360" w:type="dxa"/>
            <w:vMerge/>
            <w:tcMar>
              <w:top w:w="100" w:type="dxa"/>
              <w:left w:w="100" w:type="dxa"/>
              <w:bottom w:w="100" w:type="dxa"/>
              <w:right w:w="100" w:type="dxa"/>
            </w:tcMar>
          </w:tcPr>
          <w:p w:rsidR="00071046" w:rsidRPr="001C3085" w14:paraId="43380AAF" w14:textId="77777777">
            <w:pPr>
              <w:spacing w:line="276" w:lineRule="auto"/>
              <w:rPr>
                <w:rFonts w:eastAsia="Calibri"/>
                <w:sz w:val="24"/>
                <w:szCs w:val="24"/>
              </w:rPr>
            </w:pPr>
          </w:p>
        </w:tc>
      </w:tr>
      <w:tr w14:paraId="002F6D67" w14:textId="77777777">
        <w:tblPrEx>
          <w:tblW w:w="10080" w:type="dxa"/>
          <w:tblLayout w:type="fixed"/>
          <w:tblLook w:val="0600"/>
        </w:tblPrEx>
        <w:trPr>
          <w:trHeight w:val="420"/>
        </w:trPr>
        <w:tc>
          <w:tcPr>
            <w:tcW w:w="10080" w:type="dxa"/>
            <w:gridSpan w:val="3"/>
            <w:shd w:val="clear" w:color="auto" w:fill="EFEFEF"/>
            <w:tcMar>
              <w:top w:w="100" w:type="dxa"/>
              <w:left w:w="100" w:type="dxa"/>
              <w:bottom w:w="100" w:type="dxa"/>
              <w:right w:w="100" w:type="dxa"/>
            </w:tcMar>
          </w:tcPr>
          <w:p w:rsidR="00071046" w:rsidRPr="001C3085" w14:paraId="63A77C7A" w14:textId="77777777">
            <w:pPr>
              <w:rPr>
                <w:rFonts w:eastAsia="Calibri"/>
                <w:b/>
                <w:sz w:val="24"/>
                <w:szCs w:val="24"/>
              </w:rPr>
            </w:pPr>
            <w:r w:rsidRPr="001C3085">
              <w:rPr>
                <w:rFonts w:eastAsia="Calibri"/>
                <w:b/>
                <w:sz w:val="24"/>
                <w:szCs w:val="24"/>
              </w:rPr>
              <w:t>Section 4</w:t>
            </w:r>
          </w:p>
          <w:p w:rsidR="00071046" w:rsidRPr="001C3085" w14:paraId="2B5F4038" w14:textId="77777777">
            <w:pPr>
              <w:rPr>
                <w:rFonts w:eastAsia="Calibri"/>
                <w:sz w:val="24"/>
                <w:szCs w:val="24"/>
              </w:rPr>
            </w:pPr>
            <w:r w:rsidRPr="001C3085">
              <w:rPr>
                <w:rFonts w:eastAsia="Calibri"/>
                <w:sz w:val="24"/>
                <w:szCs w:val="24"/>
              </w:rPr>
              <w:t>The purpose of this section is to characterize the demographic profile of respondents. This data will be used for weighting to ensure representativeness within the target population and for developing subgroup analyses. Understanding how different populations perceive prescribed fires is crucial for effective planning and decision-making.</w:t>
            </w:r>
          </w:p>
        </w:tc>
      </w:tr>
      <w:tr w14:paraId="5DAAB095" w14:textId="77777777">
        <w:tblPrEx>
          <w:tblW w:w="10080" w:type="dxa"/>
          <w:tblLayout w:type="fixed"/>
          <w:tblLook w:val="0600"/>
        </w:tblPrEx>
        <w:trPr>
          <w:trHeight w:val="420"/>
        </w:trPr>
        <w:tc>
          <w:tcPr>
            <w:tcW w:w="3360" w:type="dxa"/>
            <w:shd w:val="clear" w:color="auto" w:fill="auto"/>
            <w:tcMar>
              <w:top w:w="100" w:type="dxa"/>
              <w:left w:w="100" w:type="dxa"/>
              <w:bottom w:w="100" w:type="dxa"/>
              <w:right w:w="100" w:type="dxa"/>
            </w:tcMar>
          </w:tcPr>
          <w:p w:rsidR="00071046" w:rsidRPr="001C3085" w14:paraId="3684BFB7" w14:textId="77777777">
            <w:pPr>
              <w:rPr>
                <w:rFonts w:eastAsia="Calibri"/>
                <w:sz w:val="24"/>
                <w:szCs w:val="24"/>
              </w:rPr>
            </w:pPr>
            <w:r w:rsidRPr="001C3085">
              <w:rPr>
                <w:rFonts w:eastAsia="Calibri"/>
                <w:sz w:val="24"/>
                <w:szCs w:val="24"/>
              </w:rPr>
              <w:t>Q13 - 25</w:t>
            </w:r>
          </w:p>
        </w:tc>
        <w:tc>
          <w:tcPr>
            <w:tcW w:w="3360" w:type="dxa"/>
            <w:shd w:val="clear" w:color="auto" w:fill="auto"/>
            <w:tcMar>
              <w:top w:w="100" w:type="dxa"/>
              <w:left w:w="100" w:type="dxa"/>
              <w:bottom w:w="100" w:type="dxa"/>
              <w:right w:w="100" w:type="dxa"/>
            </w:tcMar>
          </w:tcPr>
          <w:p w:rsidR="00071046" w:rsidRPr="001C3085" w14:paraId="1DBBAB46" w14:textId="77777777">
            <w:pPr>
              <w:rPr>
                <w:rFonts w:eastAsia="Calibri"/>
                <w:sz w:val="24"/>
                <w:szCs w:val="24"/>
              </w:rPr>
            </w:pPr>
            <w:r w:rsidRPr="001C3085">
              <w:rPr>
                <w:rFonts w:eastAsia="Calibri"/>
                <w:sz w:val="24"/>
                <w:szCs w:val="24"/>
              </w:rPr>
              <w:t>These are demographic questions. See section 4 justification above.</w:t>
            </w:r>
          </w:p>
        </w:tc>
        <w:tc>
          <w:tcPr>
            <w:tcW w:w="3360" w:type="dxa"/>
            <w:shd w:val="clear" w:color="auto" w:fill="auto"/>
            <w:tcMar>
              <w:top w:w="100" w:type="dxa"/>
              <w:left w:w="100" w:type="dxa"/>
              <w:bottom w:w="100" w:type="dxa"/>
              <w:right w:w="100" w:type="dxa"/>
            </w:tcMar>
          </w:tcPr>
          <w:p w:rsidR="00071046" w:rsidRPr="001C3085" w14:paraId="43A64B7C" w14:textId="77777777">
            <w:pPr>
              <w:rPr>
                <w:rFonts w:eastAsia="Calibri"/>
                <w:sz w:val="24"/>
                <w:szCs w:val="24"/>
              </w:rPr>
            </w:pPr>
          </w:p>
        </w:tc>
      </w:tr>
      <w:tr w14:paraId="2923C32E" w14:textId="77777777">
        <w:tblPrEx>
          <w:tblW w:w="10080" w:type="dxa"/>
          <w:tblLayout w:type="fixed"/>
          <w:tblLook w:val="0600"/>
        </w:tblPrEx>
        <w:trPr>
          <w:trHeight w:val="420"/>
        </w:trPr>
        <w:tc>
          <w:tcPr>
            <w:tcW w:w="3360" w:type="dxa"/>
            <w:shd w:val="clear" w:color="auto" w:fill="auto"/>
            <w:tcMar>
              <w:top w:w="100" w:type="dxa"/>
              <w:left w:w="100" w:type="dxa"/>
              <w:bottom w:w="100" w:type="dxa"/>
              <w:right w:w="100" w:type="dxa"/>
            </w:tcMar>
          </w:tcPr>
          <w:p w:rsidR="00071046" w:rsidRPr="001C3085" w14:paraId="78452A7A" w14:textId="77777777">
            <w:pPr>
              <w:rPr>
                <w:rFonts w:eastAsia="Calibri"/>
                <w:sz w:val="24"/>
                <w:szCs w:val="24"/>
              </w:rPr>
            </w:pPr>
            <w:r w:rsidRPr="001C3085">
              <w:rPr>
                <w:rFonts w:eastAsia="Calibri"/>
                <w:sz w:val="24"/>
                <w:szCs w:val="24"/>
              </w:rPr>
              <w:t>Q16. When visiting an area for outdoor recreation, what language do you prefer information to be in?</w:t>
            </w:r>
          </w:p>
        </w:tc>
        <w:tc>
          <w:tcPr>
            <w:tcW w:w="3360" w:type="dxa"/>
            <w:shd w:val="clear" w:color="auto" w:fill="auto"/>
            <w:tcMar>
              <w:top w:w="100" w:type="dxa"/>
              <w:left w:w="100" w:type="dxa"/>
              <w:bottom w:w="100" w:type="dxa"/>
              <w:right w:w="100" w:type="dxa"/>
            </w:tcMar>
          </w:tcPr>
          <w:p w:rsidR="00071046" w:rsidRPr="001C3085" w14:paraId="107B8F2C" w14:textId="77777777">
            <w:pPr>
              <w:rPr>
                <w:rFonts w:eastAsia="Calibri"/>
                <w:sz w:val="24"/>
                <w:szCs w:val="24"/>
              </w:rPr>
            </w:pPr>
            <w:r w:rsidRPr="001C3085">
              <w:rPr>
                <w:rFonts w:eastAsia="Calibri"/>
                <w:sz w:val="24"/>
                <w:szCs w:val="24"/>
              </w:rPr>
              <w:t>This information can be used to assess whether current park infrastructure meets visitors' language needs. Managers can use this information to make decisions about translating signage and other materials, as well as training or hiring staff proficient in specific languages to enhance communication with park visitors.</w:t>
            </w:r>
          </w:p>
        </w:tc>
        <w:tc>
          <w:tcPr>
            <w:tcW w:w="3360" w:type="dxa"/>
            <w:shd w:val="clear" w:color="auto" w:fill="auto"/>
            <w:tcMar>
              <w:top w:w="100" w:type="dxa"/>
              <w:left w:w="100" w:type="dxa"/>
              <w:bottom w:w="100" w:type="dxa"/>
              <w:right w:w="100" w:type="dxa"/>
            </w:tcMar>
          </w:tcPr>
          <w:p w:rsidR="00071046" w:rsidRPr="001C3085" w14:paraId="6F304068" w14:textId="77777777">
            <w:pPr>
              <w:rPr>
                <w:rFonts w:eastAsia="Calibri"/>
                <w:sz w:val="24"/>
                <w:szCs w:val="24"/>
              </w:rPr>
            </w:pPr>
          </w:p>
        </w:tc>
      </w:tr>
    </w:tbl>
    <w:p w:rsidR="00071046" w:rsidRPr="001C3085" w14:paraId="5C0376AE" w14:textId="77777777">
      <w:pPr>
        <w:pBdr>
          <w:top w:val="nil"/>
          <w:left w:val="nil"/>
          <w:bottom w:val="nil"/>
          <w:right w:val="nil"/>
          <w:between w:val="nil"/>
        </w:pBdr>
        <w:rPr>
          <w:color w:val="000000"/>
        </w:rPr>
      </w:pPr>
    </w:p>
    <w:p w:rsidR="00071046" w:rsidRPr="001C3085" w14:paraId="7F7B3BD0" w14:textId="586F1F11">
      <w:pPr>
        <w:numPr>
          <w:ilvl w:val="0"/>
          <w:numId w:val="6"/>
        </w:numPr>
        <w:pBdr>
          <w:top w:val="nil"/>
          <w:left w:val="nil"/>
          <w:bottom w:val="nil"/>
          <w:right w:val="nil"/>
          <w:between w:val="nil"/>
        </w:pBdr>
        <w:tabs>
          <w:tab w:val="left" w:pos="360"/>
        </w:tabs>
        <w:spacing w:before="199" w:after="200" w:line="276" w:lineRule="auto"/>
        <w:ind w:left="0" w:firstLine="0"/>
        <w:jc w:val="both"/>
        <w:rPr>
          <w:color w:val="000000"/>
        </w:rPr>
      </w:pPr>
      <w:r w:rsidRPr="001C3085">
        <w:rPr>
          <w:rFonts w:eastAsia="Calibri"/>
          <w:b/>
          <w:color w:val="000000"/>
        </w:rPr>
        <w:t>Describe whether, and to what extent, the collection of information involves the use of automated, electronic, mechanical, or other technological collection techniques or other forms of information technology, e.g.</w:t>
      </w:r>
      <w:r w:rsidR="00D52D2A">
        <w:rPr>
          <w:rFonts w:eastAsia="Calibri"/>
          <w:b/>
          <w:color w:val="000000"/>
        </w:rPr>
        <w:t>,</w:t>
      </w:r>
      <w:r w:rsidRPr="001C3085">
        <w:rPr>
          <w:rFonts w:eastAsia="Calibri"/>
          <w:b/>
          <w:color w:val="000000"/>
        </w:rPr>
        <w:t xml:space="preserve"> permitting electronic submission of responses, and the basis for the decision for adopting this means of collection. Also, describe any consideration of using information technology to reduce burden.</w:t>
      </w:r>
    </w:p>
    <w:p w:rsidR="00071046" w:rsidRPr="001C3085" w14:paraId="35B285C9" w14:textId="106D163C">
      <w:pPr>
        <w:tabs>
          <w:tab w:val="left" w:pos="9360"/>
        </w:tabs>
        <w:spacing w:after="200" w:line="276" w:lineRule="auto"/>
        <w:jc w:val="both"/>
        <w:rPr>
          <w:rFonts w:eastAsia="Calibri"/>
        </w:rPr>
      </w:pPr>
      <w:r w:rsidRPr="001C3085">
        <w:rPr>
          <w:rFonts w:eastAsia="Calibri"/>
        </w:rPr>
        <w:t xml:space="preserve">Survey respondents will be recruited by mail and offered the options to complete the survey via paper (mail-back) or online via a URL or QR code. In the pretest, a substantial number of respondents (18%) responded by mailing back a paper survey and 82% responded online. A similar response pattern is expected for the full survey implementation. The pretest report is </w:t>
      </w:r>
      <w:r w:rsidR="0045709D">
        <w:rPr>
          <w:rFonts w:eastAsia="Calibri"/>
        </w:rPr>
        <w:t>submitted as a supplementary document</w:t>
      </w:r>
      <w:r w:rsidRPr="001C3085">
        <w:rPr>
          <w:rFonts w:eastAsia="Calibri"/>
        </w:rPr>
        <w:t>.</w:t>
      </w:r>
    </w:p>
    <w:p w:rsidR="00071046" w:rsidRPr="001C3085" w14:paraId="1CC3472A" w14:textId="7B1E7B36">
      <w:pPr>
        <w:tabs>
          <w:tab w:val="left" w:pos="9360"/>
        </w:tabs>
        <w:spacing w:after="200" w:line="276" w:lineRule="auto"/>
        <w:jc w:val="both"/>
        <w:rPr>
          <w:rFonts w:eastAsia="Calibri"/>
          <w:color w:val="000000"/>
        </w:rPr>
      </w:pPr>
      <w:r w:rsidRPr="001C3085">
        <w:rPr>
          <w:rFonts w:eastAsia="Calibri"/>
        </w:rPr>
        <w:t xml:space="preserve">Advantages of an online survey for the federal government include ease of data collection, lower costs, and automation in data input and handling. Disadvantages include the absence of an interviewer and inability to reach </w:t>
      </w:r>
      <w:r w:rsidR="003D570E">
        <w:rPr>
          <w:rFonts w:eastAsia="Calibri"/>
        </w:rPr>
        <w:t>select</w:t>
      </w:r>
      <w:r w:rsidRPr="001C3085" w:rsidR="003D570E">
        <w:rPr>
          <w:rFonts w:eastAsia="Calibri"/>
        </w:rPr>
        <w:t xml:space="preserve"> </w:t>
      </w:r>
      <w:r w:rsidRPr="001C3085">
        <w:rPr>
          <w:rFonts w:eastAsia="Calibri"/>
        </w:rPr>
        <w:t>populations. According to the 2021 ACS</w:t>
      </w:r>
      <w:r>
        <w:rPr>
          <w:rFonts w:eastAsia="Calibri"/>
          <w:vertAlign w:val="superscript"/>
        </w:rPr>
        <w:footnoteReference w:id="2"/>
      </w:r>
      <w:r w:rsidRPr="001C3085">
        <w:rPr>
          <w:rFonts w:eastAsia="Calibri"/>
        </w:rPr>
        <w:t xml:space="preserve">, an estimated 91.4% (±1.5%) of the households in York County, Virginia, 84.6% (±1.5%) of the households in Mobile County, Alabama, 88.2% (±1.0%) of the households in Baldwin County, Alabama, 78.0% (±0.4%) of the households in Jackson County, Mississippi, and 86.3% (±0.9%) of the households in Escambia County, Florida had a broadband internet subscription (US Census Bureau, 2021). Based on the pretest data, around 80% of responses are expected to come from online survey administration (see Part B, Section 3 for more information on maximizing response rates and dealing with nonresponse). </w:t>
      </w:r>
    </w:p>
    <w:p w:rsidR="00071046" w:rsidRPr="001C3085" w14:paraId="0A8DD341" w14:textId="77777777">
      <w:pPr>
        <w:tabs>
          <w:tab w:val="left" w:pos="9360"/>
        </w:tabs>
        <w:spacing w:after="200" w:line="276" w:lineRule="auto"/>
        <w:jc w:val="both"/>
        <w:rPr>
          <w:rFonts w:eastAsia="Calibri"/>
        </w:rPr>
      </w:pPr>
      <w:r w:rsidRPr="001C3085">
        <w:rPr>
          <w:rFonts w:eastAsia="Calibri"/>
        </w:rPr>
        <w:t>T</w:t>
      </w:r>
      <w:r w:rsidRPr="001C3085">
        <w:rPr>
          <w:rFonts w:eastAsia="Calibri"/>
          <w:color w:val="000000"/>
        </w:rPr>
        <w:t xml:space="preserve">he survey administration tool </w:t>
      </w:r>
      <w:r w:rsidRPr="001C3085">
        <w:rPr>
          <w:rFonts w:eastAsia="Calibri"/>
        </w:rPr>
        <w:t xml:space="preserve">was </w:t>
      </w:r>
      <w:r w:rsidRPr="001C3085">
        <w:rPr>
          <w:rFonts w:eastAsia="Calibri"/>
          <w:color w:val="000000"/>
        </w:rPr>
        <w:t xml:space="preserve">developed to minimize burden for respondents and to minimize response bias, while maximizing response rate and data quality, based on best practices for online survey research. </w:t>
      </w:r>
    </w:p>
    <w:p w:rsidR="00071046" w:rsidRPr="001C3085" w14:paraId="7DEE128A" w14:textId="77777777">
      <w:pPr>
        <w:numPr>
          <w:ilvl w:val="0"/>
          <w:numId w:val="6"/>
        </w:numPr>
        <w:pBdr>
          <w:top w:val="nil"/>
          <w:left w:val="nil"/>
          <w:bottom w:val="nil"/>
          <w:right w:val="nil"/>
          <w:between w:val="nil"/>
        </w:pBdr>
        <w:tabs>
          <w:tab w:val="left" w:pos="360"/>
        </w:tabs>
        <w:spacing w:before="80" w:after="200" w:line="276" w:lineRule="auto"/>
        <w:ind w:left="0" w:firstLine="0"/>
        <w:jc w:val="both"/>
        <w:rPr>
          <w:color w:val="000000"/>
        </w:rPr>
      </w:pPr>
      <w:r w:rsidRPr="001C3085">
        <w:rPr>
          <w:rFonts w:eastAsia="Calibri"/>
          <w:b/>
          <w:color w:val="000000"/>
        </w:rPr>
        <w:t>Describe efforts to identify duplication. Show specifically why any similar information already available cannot be used or modified for use for the purposes described in Question 2</w:t>
      </w:r>
    </w:p>
    <w:p w:rsidR="00071046" w:rsidRPr="001C3085" w14:paraId="314A4599" w14:textId="7FFDD260">
      <w:pPr>
        <w:tabs>
          <w:tab w:val="left" w:pos="360"/>
        </w:tabs>
        <w:spacing w:before="80" w:after="200" w:line="276" w:lineRule="auto"/>
        <w:jc w:val="both"/>
        <w:rPr>
          <w:rFonts w:eastAsia="Calibri"/>
        </w:rPr>
      </w:pPr>
      <w:r w:rsidRPr="001C3085">
        <w:rPr>
          <w:rFonts w:eastAsia="Calibri"/>
        </w:rPr>
        <w:t xml:space="preserve">Researchers reviewed </w:t>
      </w:r>
      <w:r w:rsidR="00B350D0">
        <w:rPr>
          <w:rFonts w:eastAsia="Calibri"/>
        </w:rPr>
        <w:t>scholarly works</w:t>
      </w:r>
      <w:r w:rsidRPr="001C3085" w:rsidR="00B350D0">
        <w:rPr>
          <w:rFonts w:eastAsia="Calibri"/>
        </w:rPr>
        <w:t xml:space="preserve"> </w:t>
      </w:r>
      <w:r w:rsidRPr="001C3085">
        <w:rPr>
          <w:rFonts w:eastAsia="Calibri"/>
        </w:rPr>
        <w:t>and consulted with local partners to identify any duplication of effort. There have been very few recreation studies based in the Chesapeake Bay region within the last 20 years. For example, Cottrell (2002) and Lipton (2004) conducted surveys of boaters in the Chesapeake Bay to understand responsible environmental behaviors and to value water quality improvements, respectively. Recently, Kane et al. (2021) used webcam and unmanned aerial vehicle imagery to analyze spatial and temporal beachgoer behaviors in Virginia Beach, examining the impacts of COVID-19. In another study, Usher (2021) conducted an online survey of surfers in Virginia and North Carolina to investigate perceptions of beach nourishment. Likewise, there are limited studies based on the public perceptions of fire around the Gulf Coast. For example, Jacobson et al. (2001) surveyed rural and suburban Florida residents; Rideout et al. (2003) surveyed recreational area visitors in eastern Texas; Fried et al. (2006) surveyed residents from California, Michigan, and Florida; Thapa et al. (2008) surveyed Florida tourists; and Jarrett et al. (2009) surveyed non-industrial private forest land owners from various states in the Southern United States.</w:t>
      </w:r>
    </w:p>
    <w:p w:rsidR="00071046" w:rsidRPr="001C3085" w14:paraId="095CD607" w14:textId="1E207E53">
      <w:pPr>
        <w:tabs>
          <w:tab w:val="left" w:pos="360"/>
        </w:tabs>
        <w:spacing w:before="80" w:after="200" w:line="276" w:lineRule="auto"/>
        <w:jc w:val="both"/>
        <w:rPr>
          <w:rFonts w:eastAsia="Calibri"/>
        </w:rPr>
      </w:pPr>
      <w:r w:rsidRPr="001C3085">
        <w:rPr>
          <w:rFonts w:eastAsia="Calibri"/>
        </w:rPr>
        <w:t>Therefore, according to our literature review and discussions with local partners, our survey is not a duplication. However, each of the</w:t>
      </w:r>
      <w:r w:rsidR="003D570E">
        <w:rPr>
          <w:rFonts w:eastAsia="Calibri"/>
        </w:rPr>
        <w:t xml:space="preserve"> above</w:t>
      </w:r>
      <w:r w:rsidRPr="001C3085">
        <w:rPr>
          <w:rFonts w:eastAsia="Calibri"/>
        </w:rPr>
        <w:t xml:space="preserve"> studies have been used to inform the development of the proposed </w:t>
      </w:r>
      <w:r w:rsidRPr="001C3085">
        <w:rPr>
          <w:rFonts w:eastAsia="Calibri"/>
        </w:rPr>
        <w:t>survey instrument, including ecosystem service selection and scenario development. We have also formed partnerships with ongoing and planned research efforts so that we can leverage resources and provide complementary information.</w:t>
      </w:r>
    </w:p>
    <w:p w:rsidR="00071046" w:rsidRPr="001C3085" w14:paraId="498B7D0B" w14:textId="77777777">
      <w:pPr>
        <w:numPr>
          <w:ilvl w:val="0"/>
          <w:numId w:val="6"/>
        </w:numPr>
        <w:pBdr>
          <w:top w:val="nil"/>
          <w:left w:val="nil"/>
          <w:bottom w:val="nil"/>
          <w:right w:val="nil"/>
          <w:between w:val="nil"/>
        </w:pBdr>
        <w:tabs>
          <w:tab w:val="left" w:pos="360"/>
        </w:tabs>
        <w:spacing w:before="80" w:after="200" w:line="276" w:lineRule="auto"/>
        <w:ind w:left="0" w:firstLine="0"/>
        <w:jc w:val="both"/>
        <w:rPr>
          <w:color w:val="000000"/>
        </w:rPr>
      </w:pPr>
      <w:r w:rsidRPr="001C3085">
        <w:rPr>
          <w:rFonts w:eastAsia="Calibri"/>
          <w:b/>
          <w:color w:val="000000"/>
        </w:rPr>
        <w:t>If the collection of information impacts small businesses or other small entities, describe any methods used to minimize burden.</w:t>
      </w:r>
    </w:p>
    <w:p w:rsidR="00071046" w:rsidRPr="001C3085" w14:paraId="0748F92C" w14:textId="77777777">
      <w:pPr>
        <w:tabs>
          <w:tab w:val="left" w:pos="9360"/>
        </w:tabs>
        <w:spacing w:after="200" w:line="276" w:lineRule="auto"/>
        <w:jc w:val="both"/>
        <w:rPr>
          <w:rFonts w:eastAsia="Calibri"/>
          <w:color w:val="000000"/>
        </w:rPr>
      </w:pPr>
      <w:r w:rsidRPr="001C3085">
        <w:rPr>
          <w:rFonts w:eastAsia="Calibri"/>
          <w:color w:val="000000"/>
        </w:rPr>
        <w:t>This collection involves residents. It does not involve small businesses or other small entities.</w:t>
      </w:r>
    </w:p>
    <w:p w:rsidR="00071046" w:rsidRPr="001C3085" w14:paraId="158BCF39" w14:textId="77777777">
      <w:pPr>
        <w:numPr>
          <w:ilvl w:val="0"/>
          <w:numId w:val="6"/>
        </w:numPr>
        <w:pBdr>
          <w:top w:val="nil"/>
          <w:left w:val="nil"/>
          <w:bottom w:val="nil"/>
          <w:right w:val="nil"/>
          <w:between w:val="nil"/>
        </w:pBdr>
        <w:tabs>
          <w:tab w:val="left" w:pos="360"/>
        </w:tabs>
        <w:spacing w:before="80" w:after="200" w:line="276" w:lineRule="auto"/>
        <w:ind w:left="0" w:firstLine="0"/>
        <w:jc w:val="both"/>
        <w:rPr>
          <w:color w:val="000000"/>
        </w:rPr>
      </w:pPr>
      <w:r w:rsidRPr="001C3085">
        <w:rPr>
          <w:rFonts w:eastAsia="Calibri"/>
          <w:b/>
          <w:color w:val="000000"/>
        </w:rPr>
        <w:t>Describe the consequence to Federal program or policy activities if the collection is not conducted or is conducted less frequently, as well as any technical or legal obstacles to reducing burden.</w:t>
      </w:r>
    </w:p>
    <w:p w:rsidR="00071046" w:rsidRPr="001C3085" w14:paraId="2F998710" w14:textId="4F0882C4">
      <w:pPr>
        <w:pBdr>
          <w:top w:val="nil"/>
          <w:left w:val="nil"/>
          <w:bottom w:val="nil"/>
          <w:right w:val="nil"/>
          <w:between w:val="nil"/>
        </w:pBdr>
        <w:tabs>
          <w:tab w:val="left" w:pos="360"/>
        </w:tabs>
        <w:spacing w:before="80" w:after="200" w:line="276" w:lineRule="auto"/>
        <w:jc w:val="both"/>
        <w:rPr>
          <w:rFonts w:eastAsia="Calibri"/>
        </w:rPr>
      </w:pPr>
      <w:r w:rsidRPr="001C3085">
        <w:rPr>
          <w:rFonts w:eastAsia="Calibri"/>
        </w:rPr>
        <w:t>If this data collection is not conducted, NOAA along with state and local government agencies will not have the information required to fulfill evaluati</w:t>
      </w:r>
      <w:r w:rsidR="003D570E">
        <w:rPr>
          <w:rFonts w:eastAsia="Calibri"/>
        </w:rPr>
        <w:t>on</w:t>
      </w:r>
      <w:r w:rsidRPr="001C3085">
        <w:rPr>
          <w:rFonts w:eastAsia="Calibri"/>
        </w:rPr>
        <w:t xml:space="preserve"> requirements outlined </w:t>
      </w:r>
      <w:r w:rsidR="003D570E">
        <w:rPr>
          <w:rFonts w:eastAsia="Calibri"/>
        </w:rPr>
        <w:t>in</w:t>
      </w:r>
      <w:r w:rsidRPr="001C3085" w:rsidR="003D570E">
        <w:rPr>
          <w:rFonts w:eastAsia="Calibri"/>
        </w:rPr>
        <w:t xml:space="preserve"> </w:t>
      </w:r>
      <w:r w:rsidRPr="001C3085">
        <w:rPr>
          <w:rFonts w:eastAsia="Calibri"/>
        </w:rPr>
        <w:t xml:space="preserve">NEPA and CZMA. Further, the absence of updated socio-economic information would limit the </w:t>
      </w:r>
      <w:r w:rsidR="003D570E">
        <w:rPr>
          <w:rFonts w:eastAsia="Calibri"/>
        </w:rPr>
        <w:t>NERR</w:t>
      </w:r>
      <w:r w:rsidRPr="001C3085" w:rsidR="003D570E">
        <w:rPr>
          <w:rFonts w:eastAsia="Calibri"/>
        </w:rPr>
        <w:t xml:space="preserve">'s </w:t>
      </w:r>
      <w:r w:rsidRPr="001C3085">
        <w:rPr>
          <w:rFonts w:eastAsia="Calibri"/>
        </w:rPr>
        <w:t xml:space="preserve">capacity to assess the social impacts of management proposals and evaluate the effectiveness of existing </w:t>
      </w:r>
      <w:r w:rsidRPr="001C3085" w:rsidR="00C533A2">
        <w:rPr>
          <w:rFonts w:eastAsia="Calibri"/>
        </w:rPr>
        <w:t>management actions</w:t>
      </w:r>
      <w:r w:rsidRPr="001C3085">
        <w:rPr>
          <w:rFonts w:eastAsia="Calibri"/>
        </w:rPr>
        <w:t>.</w:t>
      </w:r>
    </w:p>
    <w:p w:rsidR="00071046" w:rsidRPr="001C3085" w14:paraId="2FDF43FC" w14:textId="77777777">
      <w:pPr>
        <w:numPr>
          <w:ilvl w:val="0"/>
          <w:numId w:val="6"/>
        </w:numPr>
        <w:pBdr>
          <w:top w:val="nil"/>
          <w:left w:val="nil"/>
          <w:bottom w:val="nil"/>
          <w:right w:val="nil"/>
          <w:between w:val="nil"/>
        </w:pBdr>
        <w:tabs>
          <w:tab w:val="left" w:pos="360"/>
        </w:tabs>
        <w:spacing w:before="80" w:after="200" w:line="276" w:lineRule="auto"/>
        <w:ind w:left="0" w:firstLine="0"/>
        <w:jc w:val="both"/>
        <w:rPr>
          <w:color w:val="000000"/>
        </w:rPr>
      </w:pPr>
      <w:r w:rsidRPr="001C3085">
        <w:rPr>
          <w:rFonts w:eastAsia="Calibri"/>
          <w:b/>
          <w:color w:val="000000"/>
        </w:rPr>
        <w:t>Explain any special circumstances that would cause an information collection to be conducted in a manner inconsistent with OMB guidelines.</w:t>
      </w:r>
    </w:p>
    <w:p w:rsidR="00071046" w:rsidRPr="001C3085" w:rsidP="00D12826" w14:paraId="233FE5DA" w14:textId="0255F40F">
      <w:pPr>
        <w:tabs>
          <w:tab w:val="left" w:pos="9360"/>
        </w:tabs>
        <w:spacing w:after="200" w:line="276" w:lineRule="auto"/>
        <w:jc w:val="both"/>
        <w:rPr>
          <w:rFonts w:eastAsia="Calibri"/>
          <w:color w:val="000000"/>
        </w:rPr>
      </w:pPr>
      <w:r w:rsidRPr="001C3085">
        <w:rPr>
          <w:rFonts w:eastAsia="Calibri"/>
          <w:color w:val="000000"/>
        </w:rPr>
        <w:t>Data collection will be consistent with OMB guidelines.</w:t>
      </w:r>
    </w:p>
    <w:p w:rsidR="005D7CDD" w:rsidRPr="001C3085" w14:paraId="36809115" w14:textId="69AF224A">
      <w:pPr>
        <w:pStyle w:val="ListParagraph"/>
        <w:numPr>
          <w:ilvl w:val="0"/>
          <w:numId w:val="10"/>
        </w:numPr>
        <w:tabs>
          <w:tab w:val="left" w:pos="9360"/>
        </w:tabs>
        <w:spacing w:after="200" w:line="276" w:lineRule="auto"/>
        <w:jc w:val="both"/>
        <w:rPr>
          <w:rFonts w:eastAsia="Calibri"/>
          <w:color w:val="000000"/>
        </w:rPr>
      </w:pPr>
      <w:r w:rsidRPr="001C3085">
        <w:rPr>
          <w:rFonts w:eastAsia="Calibri"/>
          <w:color w:val="000000"/>
        </w:rPr>
        <w:t>This collection will not require respondents to report information to the agency more often than quarterly.</w:t>
      </w:r>
    </w:p>
    <w:p w:rsidR="005D7CDD" w:rsidRPr="001C3085" w:rsidP="00B350D0" w14:paraId="0F4E8C1D" w14:textId="3BB1D727">
      <w:pPr>
        <w:pStyle w:val="ListParagraph"/>
        <w:numPr>
          <w:ilvl w:val="0"/>
          <w:numId w:val="10"/>
        </w:numPr>
        <w:jc w:val="both"/>
        <w:rPr>
          <w:rFonts w:eastAsia="Calibri"/>
          <w:color w:val="000000"/>
        </w:rPr>
      </w:pPr>
      <w:r w:rsidRPr="001C3085">
        <w:rPr>
          <w:rFonts w:eastAsia="Calibri"/>
          <w:color w:val="000000"/>
        </w:rPr>
        <w:t>It will not require respondents to prepare a written response to a collection of information in fewer than 30 days after receipt of it.</w:t>
      </w:r>
    </w:p>
    <w:p w:rsidR="005D7CDD" w:rsidRPr="00B350D0" w:rsidP="00B350D0" w14:paraId="65FBC18F" w14:textId="3BFB73C9">
      <w:pPr>
        <w:pStyle w:val="NormalWeb"/>
        <w:numPr>
          <w:ilvl w:val="0"/>
          <w:numId w:val="10"/>
        </w:numPr>
        <w:spacing w:before="120" w:beforeAutospacing="0" w:after="0" w:afterAutospacing="0"/>
        <w:jc w:val="both"/>
        <w:textAlignment w:val="baseline"/>
      </w:pPr>
      <w:r w:rsidRPr="00B350D0">
        <w:t>It will not require respondents to submit more than an original and two copies of any document.</w:t>
      </w:r>
    </w:p>
    <w:p w:rsidR="005D7CDD" w:rsidRPr="00B350D0" w:rsidP="00B350D0" w14:paraId="063D6FE2" w14:textId="73AAF306">
      <w:pPr>
        <w:pStyle w:val="NormalWeb"/>
        <w:numPr>
          <w:ilvl w:val="0"/>
          <w:numId w:val="10"/>
        </w:numPr>
        <w:spacing w:before="120" w:beforeAutospacing="0" w:after="0" w:afterAutospacing="0"/>
        <w:jc w:val="both"/>
        <w:textAlignment w:val="baseline"/>
      </w:pPr>
      <w:r w:rsidRPr="00B350D0">
        <w:t>The colle</w:t>
      </w:r>
      <w:r w:rsidRPr="00B350D0" w:rsidR="00F061F7">
        <w:t>c</w:t>
      </w:r>
      <w:r w:rsidRPr="00B350D0">
        <w:t>tion will not require respondents to retain records, other than health, medical, government contract, grant-in- aid, or tax records for more than three years;</w:t>
      </w:r>
    </w:p>
    <w:p w:rsidR="005D7CDD" w:rsidRPr="00B350D0" w:rsidP="00B350D0" w14:paraId="7DF9D7E9" w14:textId="003A23DF">
      <w:pPr>
        <w:pStyle w:val="NormalWeb"/>
        <w:numPr>
          <w:ilvl w:val="0"/>
          <w:numId w:val="10"/>
        </w:numPr>
        <w:spacing w:before="120" w:beforeAutospacing="0" w:after="0" w:afterAutospacing="0"/>
        <w:jc w:val="both"/>
        <w:textAlignment w:val="baseline"/>
      </w:pPr>
      <w:r w:rsidRPr="00B350D0">
        <w:t>The collection is designed to produce valid and reliable results that can be generalized to the universe of study.</w:t>
      </w:r>
    </w:p>
    <w:p w:rsidR="005D7CDD" w:rsidRPr="00B350D0" w:rsidP="00B350D0" w14:paraId="74DD094A" w14:textId="2FF19D66">
      <w:pPr>
        <w:pStyle w:val="NormalWeb"/>
        <w:numPr>
          <w:ilvl w:val="0"/>
          <w:numId w:val="10"/>
        </w:numPr>
        <w:spacing w:before="120" w:beforeAutospacing="0" w:after="0" w:afterAutospacing="0"/>
        <w:jc w:val="both"/>
        <w:textAlignment w:val="baseline"/>
      </w:pPr>
      <w:r w:rsidRPr="00B350D0">
        <w:t>It will not require the use of a statistical data classification that has not been reviewed and approved by OMB.</w:t>
      </w:r>
    </w:p>
    <w:p w:rsidR="005D7CDD" w:rsidRPr="00B350D0" w:rsidP="00B350D0" w14:paraId="5EBA61A1" w14:textId="05499A23">
      <w:pPr>
        <w:pStyle w:val="NormalWeb"/>
        <w:numPr>
          <w:ilvl w:val="0"/>
          <w:numId w:val="10"/>
        </w:numPr>
        <w:spacing w:before="120" w:beforeAutospacing="0" w:after="0" w:afterAutospacing="0"/>
        <w:jc w:val="both"/>
        <w:textAlignment w:val="baseline"/>
      </w:pPr>
      <w:r w:rsidRPr="00B350D0">
        <w:t>The collection</w:t>
      </w:r>
      <w:r w:rsidRPr="00B350D0" w:rsidR="00F061F7">
        <w:t xml:space="preserve"> does not </w:t>
      </w:r>
      <w:r w:rsidRPr="00B350D0">
        <w:t xml:space="preserve">include a pledge of confidentiality that is </w:t>
      </w:r>
      <w:r w:rsidRPr="00B350D0" w:rsidR="00F061F7">
        <w:t xml:space="preserve">not </w:t>
      </w:r>
      <w:r w:rsidRPr="00B350D0">
        <w:t xml:space="preserve">supported by authority established in statute or regulation, that is </w:t>
      </w:r>
      <w:r w:rsidRPr="00B350D0" w:rsidR="00F061F7">
        <w:t xml:space="preserve">not </w:t>
      </w:r>
      <w:r w:rsidRPr="00B350D0">
        <w:t>supported by disclosure and data security policies that are consistent with the pledge, or which unnecessarily impedes sharing of data with other agencies for compatible confidential use</w:t>
      </w:r>
      <w:r w:rsidRPr="00B350D0" w:rsidR="00F061F7">
        <w:t>.</w:t>
      </w:r>
    </w:p>
    <w:p w:rsidR="005D7CDD" w:rsidRPr="00B350D0" w:rsidP="00D12826" w14:paraId="2CBCA9A4" w14:textId="1C5BB55E">
      <w:pPr>
        <w:pStyle w:val="NormalWeb"/>
        <w:numPr>
          <w:ilvl w:val="0"/>
          <w:numId w:val="10"/>
        </w:numPr>
        <w:tabs>
          <w:tab w:val="left" w:pos="9360"/>
        </w:tabs>
        <w:spacing w:before="120" w:beforeAutospacing="0" w:after="200" w:afterAutospacing="0" w:line="276" w:lineRule="auto"/>
        <w:jc w:val="both"/>
        <w:textAlignment w:val="baseline"/>
        <w:rPr>
          <w:rFonts w:eastAsia="Calibri"/>
        </w:rPr>
      </w:pPr>
      <w:r w:rsidRPr="00B350D0">
        <w:t xml:space="preserve">The collection does not </w:t>
      </w:r>
      <w:r w:rsidRPr="00B350D0">
        <w:t>requir</w:t>
      </w:r>
      <w:r w:rsidRPr="00B350D0">
        <w:t xml:space="preserve">e </w:t>
      </w:r>
      <w:r w:rsidRPr="00B350D0">
        <w:t>respondents to submit proprietary trade secrets, or other confidential information</w:t>
      </w:r>
      <w:r w:rsidRPr="00B350D0">
        <w:t>.</w:t>
      </w:r>
    </w:p>
    <w:p w:rsidR="005D7CDD" w:rsidRPr="001C3085" w14:paraId="6F26F153" w14:textId="77777777">
      <w:pPr>
        <w:tabs>
          <w:tab w:val="left" w:pos="9360"/>
        </w:tabs>
        <w:spacing w:after="200" w:line="276" w:lineRule="auto"/>
        <w:jc w:val="both"/>
        <w:rPr>
          <w:rFonts w:eastAsia="Calibri"/>
          <w:color w:val="000000"/>
        </w:rPr>
      </w:pPr>
    </w:p>
    <w:p w:rsidR="00071046" w:rsidRPr="001C3085" w14:paraId="6561A4B9" w14:textId="77777777">
      <w:pPr>
        <w:numPr>
          <w:ilvl w:val="0"/>
          <w:numId w:val="6"/>
        </w:numPr>
        <w:pBdr>
          <w:top w:val="nil"/>
          <w:left w:val="nil"/>
          <w:bottom w:val="nil"/>
          <w:right w:val="nil"/>
          <w:between w:val="nil"/>
        </w:pBdr>
        <w:tabs>
          <w:tab w:val="left" w:pos="360"/>
        </w:tabs>
        <w:spacing w:before="80" w:after="200" w:line="276" w:lineRule="auto"/>
        <w:ind w:left="0" w:firstLine="0"/>
        <w:jc w:val="both"/>
        <w:rPr>
          <w:color w:val="000000"/>
        </w:rPr>
      </w:pPr>
      <w:r w:rsidRPr="001C3085">
        <w:rPr>
          <w:rFonts w:eastAsia="Calibri"/>
          <w:b/>
          <w:color w:val="000000"/>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w:t>
      </w:r>
      <w:r w:rsidRPr="001C3085">
        <w:rPr>
          <w:rFonts w:eastAsia="Calibri"/>
          <w:b/>
          <w:color w:val="000000"/>
        </w:rPr>
        <w:t>response to that notice and describe actions taken by the agency in response to these comments. Specifically address comments received on cost and hour burden.</w:t>
      </w:r>
    </w:p>
    <w:p w:rsidR="00071046" w:rsidRPr="001C3085" w:rsidP="00B350D0" w14:paraId="22DB7317" w14:textId="759C5FD8">
      <w:pPr>
        <w:tabs>
          <w:tab w:val="left" w:pos="9360"/>
        </w:tabs>
        <w:spacing w:after="200" w:line="276" w:lineRule="auto"/>
        <w:jc w:val="both"/>
        <w:rPr>
          <w:rFonts w:eastAsia="Calibri"/>
        </w:rPr>
      </w:pPr>
      <w:r w:rsidRPr="001C3085">
        <w:rPr>
          <w:rFonts w:eastAsia="Calibri"/>
          <w:color w:val="000000"/>
        </w:rPr>
        <w:t>Two</w:t>
      </w:r>
      <w:r w:rsidRPr="001C3085" w:rsidR="00F5511E">
        <w:rPr>
          <w:rFonts w:eastAsia="Calibri"/>
          <w:color w:val="000000"/>
        </w:rPr>
        <w:t xml:space="preserve"> </w:t>
      </w:r>
      <w:r w:rsidRPr="00B350D0" w:rsidR="00F5511E">
        <w:rPr>
          <w:rFonts w:eastAsia="Calibri"/>
          <w:color w:val="000000"/>
        </w:rPr>
        <w:t>Federal Register</w:t>
      </w:r>
      <w:r w:rsidRPr="001C3085" w:rsidR="00F5511E">
        <w:rPr>
          <w:rFonts w:eastAsia="Calibri"/>
          <w:color w:val="000000"/>
        </w:rPr>
        <w:t xml:space="preserve"> Notice</w:t>
      </w:r>
      <w:r w:rsidRPr="001C3085">
        <w:rPr>
          <w:rFonts w:eastAsia="Calibri"/>
          <w:color w:val="000000"/>
        </w:rPr>
        <w:t>s</w:t>
      </w:r>
      <w:r w:rsidRPr="001C3085" w:rsidR="00F5511E">
        <w:rPr>
          <w:rFonts w:eastAsia="Calibri"/>
          <w:color w:val="000000"/>
        </w:rPr>
        <w:t xml:space="preserve"> published on </w:t>
      </w:r>
      <w:r w:rsidRPr="001C3085" w:rsidR="00F5511E">
        <w:rPr>
          <w:rFonts w:eastAsia="Calibri"/>
        </w:rPr>
        <w:t>August 25, 2023 (87 FR 59781)</w:t>
      </w:r>
      <w:r w:rsidRPr="001C3085">
        <w:rPr>
          <w:rFonts w:eastAsia="Calibri"/>
        </w:rPr>
        <w:t xml:space="preserve"> and February 1, 2024</w:t>
      </w:r>
      <w:r w:rsidRPr="001C3085" w:rsidR="00F5511E">
        <w:rPr>
          <w:rFonts w:eastAsia="Calibri"/>
          <w:color w:val="000000"/>
        </w:rPr>
        <w:t xml:space="preserve"> </w:t>
      </w:r>
      <w:r w:rsidRPr="001C3085">
        <w:rPr>
          <w:rFonts w:eastAsia="Calibri"/>
          <w:color w:val="000000"/>
        </w:rPr>
        <w:t xml:space="preserve">(89 FR 7377) </w:t>
      </w:r>
      <w:r w:rsidRPr="001C3085" w:rsidR="00F5511E">
        <w:rPr>
          <w:rFonts w:eastAsia="Calibri"/>
          <w:color w:val="000000"/>
        </w:rPr>
        <w:t>solicited public comments.</w:t>
      </w:r>
      <w:r w:rsidR="003D570E">
        <w:rPr>
          <w:rFonts w:eastAsia="Calibri"/>
          <w:i/>
          <w:color w:val="000000"/>
        </w:rPr>
        <w:t xml:space="preserve"> </w:t>
      </w:r>
      <w:r w:rsidRPr="001C3085" w:rsidR="00F5511E">
        <w:rPr>
          <w:rFonts w:eastAsia="Calibri"/>
        </w:rPr>
        <w:t xml:space="preserve">No comments </w:t>
      </w:r>
      <w:r w:rsidR="003D570E">
        <w:rPr>
          <w:rFonts w:eastAsia="Calibri"/>
        </w:rPr>
        <w:t xml:space="preserve">were </w:t>
      </w:r>
      <w:r w:rsidRPr="001C3085" w:rsidR="00F5511E">
        <w:rPr>
          <w:rFonts w:eastAsia="Calibri"/>
        </w:rPr>
        <w:t>received.</w:t>
      </w:r>
    </w:p>
    <w:p w:rsidR="00071046" w:rsidRPr="001C3085" w14:paraId="57DAF48C" w14:textId="23EE467F">
      <w:pPr>
        <w:tabs>
          <w:tab w:val="left" w:pos="9360"/>
        </w:tabs>
        <w:spacing w:after="200" w:line="276" w:lineRule="auto"/>
        <w:jc w:val="both"/>
        <w:rPr>
          <w:rFonts w:eastAsia="Calibri"/>
          <w:i/>
          <w:color w:val="000000"/>
        </w:rPr>
      </w:pPr>
      <w:r w:rsidRPr="001C3085">
        <w:rPr>
          <w:rFonts w:eastAsia="Calibri"/>
          <w:i/>
          <w:color w:val="000000"/>
        </w:rPr>
        <w:t>Consultation</w:t>
      </w:r>
    </w:p>
    <w:p w:rsidR="00071046" w:rsidRPr="001C3085" w14:paraId="05E48BBC" w14:textId="1F4F78A2">
      <w:pPr>
        <w:tabs>
          <w:tab w:val="left" w:pos="360"/>
        </w:tabs>
        <w:spacing w:before="80" w:after="200" w:line="276" w:lineRule="auto"/>
        <w:jc w:val="both"/>
        <w:rPr>
          <w:rFonts w:eastAsia="Calibri"/>
          <w:color w:val="000000"/>
        </w:rPr>
      </w:pPr>
      <w:r w:rsidRPr="001C3085">
        <w:rPr>
          <w:rFonts w:eastAsia="Calibri"/>
          <w:color w:val="000000"/>
        </w:rPr>
        <w:t xml:space="preserve">As a part of project scoping and development, </w:t>
      </w:r>
      <w:r w:rsidR="003D570E">
        <w:rPr>
          <w:rFonts w:eastAsia="Calibri"/>
          <w:color w:val="000000"/>
        </w:rPr>
        <w:t xml:space="preserve">NOAA consulted with </w:t>
      </w:r>
      <w:r w:rsidR="001A14E4">
        <w:rPr>
          <w:rFonts w:eastAsia="Calibri"/>
          <w:color w:val="000000"/>
        </w:rPr>
        <w:t xml:space="preserve">21 </w:t>
      </w:r>
      <w:r w:rsidRPr="001C3085">
        <w:rPr>
          <w:rFonts w:eastAsia="Calibri"/>
          <w:color w:val="000000"/>
        </w:rPr>
        <w:t xml:space="preserve">individuals from the following </w:t>
      </w:r>
      <w:r w:rsidR="001A14E4">
        <w:rPr>
          <w:rFonts w:eastAsia="Calibri"/>
          <w:color w:val="000000"/>
        </w:rPr>
        <w:t>stakeholder groups</w:t>
      </w:r>
      <w:r w:rsidRPr="001C3085" w:rsidR="001A14E4">
        <w:rPr>
          <w:rFonts w:eastAsia="Calibri"/>
          <w:color w:val="000000"/>
        </w:rPr>
        <w:t xml:space="preserve"> </w:t>
      </w:r>
      <w:r w:rsidR="003D570E">
        <w:rPr>
          <w:rFonts w:eastAsia="Calibri"/>
          <w:color w:val="000000"/>
        </w:rPr>
        <w:t>to obtain</w:t>
      </w:r>
      <w:r w:rsidRPr="001C3085">
        <w:rPr>
          <w:rFonts w:eastAsia="Calibri"/>
          <w:color w:val="000000"/>
        </w:rPr>
        <w:t xml:space="preserve"> their views on the </w:t>
      </w:r>
      <w:r w:rsidRPr="003D570E" w:rsidR="001A14E4">
        <w:t>availability of data, frequency of collection, the clarity of instructions and recordkeeping, disclosure, or reporting format (if any), and on the data elements to be recorded, disclosed, or reported</w:t>
      </w:r>
      <w:r w:rsidR="001A14E4">
        <w:t>.</w:t>
      </w:r>
      <w:r w:rsidR="001A14E4">
        <w:rPr>
          <w:rFonts w:eastAsia="Calibri"/>
          <w:color w:val="000000"/>
        </w:rPr>
        <w:t xml:space="preserve"> Those stakeholder groups include</w:t>
      </w:r>
      <w:r w:rsidRPr="001C3085">
        <w:rPr>
          <w:rFonts w:eastAsia="Calibri"/>
          <w:color w:val="000000"/>
        </w:rPr>
        <w:t xml:space="preserve">: </w:t>
      </w:r>
    </w:p>
    <w:p w:rsidR="00071046" w:rsidRPr="001C3085" w14:paraId="2BD15BDA" w14:textId="77777777">
      <w:pPr>
        <w:numPr>
          <w:ilvl w:val="0"/>
          <w:numId w:val="4"/>
        </w:numPr>
        <w:tabs>
          <w:tab w:val="left" w:pos="360"/>
        </w:tabs>
        <w:spacing w:before="80" w:line="276" w:lineRule="auto"/>
        <w:jc w:val="both"/>
        <w:rPr>
          <w:rFonts w:eastAsia="Calibri"/>
        </w:rPr>
      </w:pPr>
      <w:r w:rsidRPr="001C3085">
        <w:rPr>
          <w:rFonts w:eastAsia="Calibri"/>
        </w:rPr>
        <w:t xml:space="preserve">Gulf study: WBNERR, GNDNERR, South Alabama Land Trust, Mississippi-Alabama Sea Grant, Alabama Cooperative Extension System, and the Mississippi State University Coastal Marine Extension Program. </w:t>
      </w:r>
    </w:p>
    <w:p w:rsidR="00071046" w:rsidRPr="001C3085" w14:paraId="19BD88A6" w14:textId="77777777">
      <w:pPr>
        <w:numPr>
          <w:ilvl w:val="0"/>
          <w:numId w:val="4"/>
        </w:numPr>
        <w:tabs>
          <w:tab w:val="left" w:pos="360"/>
        </w:tabs>
        <w:spacing w:after="200" w:line="276" w:lineRule="auto"/>
        <w:jc w:val="both"/>
        <w:rPr>
          <w:rFonts w:eastAsia="Calibri"/>
        </w:rPr>
      </w:pPr>
      <w:r w:rsidRPr="001C3085">
        <w:rPr>
          <w:rFonts w:eastAsia="Calibri"/>
        </w:rPr>
        <w:t>Coastal Virginia study: CBNERR-VA, Virginia Coastal Zone Management Program, Virginia Institute of Marine Science, Virginia Department of Wildlife Resources, Middle Peninsula Planning Access Authority, PlanRVA, Crater Planning District Commissions, Hampton Roads Planning District Commission, Gloucester County Parks and Rec, York County Parks, Rec, and Tourism, and several local, state, and national parks, including Machicomoco State Park, York River State Park, Colonial National Park, Captain John Smith Chesapeake National Historic Trail, New Quarter Park, Back Creek Park, and Gloucester Point Beach Park.</w:t>
      </w:r>
    </w:p>
    <w:p w:rsidR="00071046" w:rsidRPr="001C3085" w14:paraId="1730029A" w14:textId="77777777">
      <w:pPr>
        <w:tabs>
          <w:tab w:val="left" w:pos="360"/>
        </w:tabs>
        <w:spacing w:before="80" w:after="200" w:line="276" w:lineRule="auto"/>
        <w:jc w:val="both"/>
        <w:rPr>
          <w:rFonts w:eastAsia="Calibri"/>
        </w:rPr>
      </w:pPr>
      <w:r w:rsidRPr="001C3085">
        <w:rPr>
          <w:rFonts w:eastAsia="Calibri"/>
        </w:rPr>
        <w:t xml:space="preserve">From these individuals, we received review relative to: survey length; appropriate mode of survey administration (i.e., mail-back versus online administration); problematic survey items in terms of utility, clarity, etc.; item order on the survey instrument; item format and presentation; and opportunities to leverage this survey with previous or existing research efforts. </w:t>
      </w:r>
      <w:r w:rsidRPr="001C3085">
        <w:rPr>
          <w:rFonts w:eastAsia="Calibri"/>
          <w:color w:val="000000"/>
        </w:rPr>
        <w:t>Feedback from these consultations was used to better understand, anecdotally, public sentiment regarding the issues as well as the type of data already available on relevant topics, along with data needs from the perspective of local and regional agencies. Information from these consultations was used during project scoping and development</w:t>
      </w:r>
      <w:r w:rsidRPr="001C3085">
        <w:rPr>
          <w:rFonts w:eastAsia="Calibri"/>
        </w:rPr>
        <w:t xml:space="preserve"> and to revise and improve the survey instrument.</w:t>
      </w:r>
    </w:p>
    <w:p w:rsidR="00071046" w14:paraId="27E08D90" w14:textId="35B38AAC">
      <w:pPr>
        <w:tabs>
          <w:tab w:val="left" w:pos="360"/>
        </w:tabs>
        <w:spacing w:before="80" w:after="200" w:line="276" w:lineRule="auto"/>
        <w:jc w:val="both"/>
        <w:rPr>
          <w:rFonts w:eastAsia="Calibri"/>
        </w:rPr>
      </w:pPr>
      <w:r>
        <w:rPr>
          <w:rFonts w:eastAsia="Calibri"/>
        </w:rPr>
        <w:t>Following publication of the 30-day Federal Register notice, one public comment was submitted.  The comment contained issues outside the purview of this information collection, and only those pertinent comments are included below.</w:t>
      </w:r>
    </w:p>
    <w:p w:rsidR="004E3A0E" w14:paraId="5CC1299B" w14:textId="7FDCECED">
      <w:pPr>
        <w:tabs>
          <w:tab w:val="left" w:pos="360"/>
        </w:tabs>
        <w:spacing w:before="80" w:after="200" w:line="276" w:lineRule="auto"/>
        <w:jc w:val="both"/>
        <w:rPr>
          <w:rFonts w:eastAsia="Calibri"/>
        </w:rPr>
      </w:pPr>
      <w:r w:rsidRPr="004E3A0E">
        <w:rPr>
          <w:rFonts w:eastAsia="Calibri"/>
        </w:rPr>
        <w:drawing>
          <wp:inline distT="0" distB="0" distL="0" distR="0">
            <wp:extent cx="6400800" cy="496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6"/>
                    <a:stretch>
                      <a:fillRect/>
                    </a:stretch>
                  </pic:blipFill>
                  <pic:spPr>
                    <a:xfrm>
                      <a:off x="0" y="0"/>
                      <a:ext cx="6400800" cy="496570"/>
                    </a:xfrm>
                    <a:prstGeom prst="rect">
                      <a:avLst/>
                    </a:prstGeom>
                  </pic:spPr>
                </pic:pic>
              </a:graphicData>
            </a:graphic>
          </wp:inline>
        </w:drawing>
      </w:r>
    </w:p>
    <w:p w:rsidR="004E3A0E" w:rsidRPr="001C3085" w14:paraId="22462BF1" w14:textId="4D93EC79">
      <w:pPr>
        <w:tabs>
          <w:tab w:val="left" w:pos="360"/>
        </w:tabs>
        <w:spacing w:before="80" w:after="200" w:line="276" w:lineRule="auto"/>
        <w:jc w:val="both"/>
        <w:rPr>
          <w:rFonts w:eastAsia="Calibri"/>
        </w:rPr>
      </w:pPr>
      <w:r>
        <w:rPr>
          <w:rFonts w:eastAsia="Calibri"/>
        </w:rPr>
        <w:t xml:space="preserve">Response:  </w:t>
      </w:r>
      <w:r w:rsidRPr="004E3A0E">
        <w:rPr>
          <w:rFonts w:eastAsia="Calibri"/>
        </w:rPr>
        <w:t>Thank you for your comment. While we understand concerns about the federal budget, this survey is a cost-effective way to support coastal economies by informing resource management, tourism, and public access strategies that sustain jobs and protect natural assets. Collecting these data now also helps fulfill federal mandates and ensures local decisions are based on accurate and timely public input, potentially avoiding higher costs in the future.</w:t>
      </w:r>
    </w:p>
    <w:p w:rsidR="00071046" w:rsidRPr="001C3085" w14:paraId="6CA388F4" w14:textId="77777777">
      <w:pPr>
        <w:numPr>
          <w:ilvl w:val="0"/>
          <w:numId w:val="6"/>
        </w:numPr>
        <w:pBdr>
          <w:top w:val="nil"/>
          <w:left w:val="nil"/>
          <w:bottom w:val="nil"/>
          <w:right w:val="nil"/>
          <w:between w:val="nil"/>
        </w:pBdr>
        <w:tabs>
          <w:tab w:val="left" w:pos="360"/>
        </w:tabs>
        <w:spacing w:before="80" w:after="200" w:line="276" w:lineRule="auto"/>
        <w:ind w:left="0" w:firstLine="0"/>
        <w:jc w:val="both"/>
        <w:rPr>
          <w:color w:val="000000"/>
        </w:rPr>
      </w:pPr>
      <w:r w:rsidRPr="001C3085">
        <w:rPr>
          <w:rFonts w:eastAsia="Calibri"/>
          <w:b/>
          <w:color w:val="000000"/>
        </w:rPr>
        <w:t>Explain any decision to provide any payment or gift to respondents, other than remuneration of contractors or grantees.</w:t>
      </w:r>
    </w:p>
    <w:p w:rsidR="00071046" w14:paraId="58C9E8F5" w14:textId="29934087">
      <w:pPr>
        <w:pBdr>
          <w:top w:val="nil"/>
          <w:left w:val="nil"/>
          <w:bottom w:val="nil"/>
          <w:right w:val="nil"/>
          <w:between w:val="nil"/>
        </w:pBdr>
        <w:tabs>
          <w:tab w:val="left" w:pos="9360"/>
        </w:tabs>
        <w:spacing w:before="161" w:after="200" w:line="276" w:lineRule="auto"/>
        <w:jc w:val="both"/>
        <w:rPr>
          <w:rFonts w:eastAsia="Calibri"/>
        </w:rPr>
      </w:pPr>
      <w:r w:rsidRPr="001C3085">
        <w:rPr>
          <w:rFonts w:eastAsia="Calibri"/>
        </w:rPr>
        <w:t>We plan to offer a $2 non-contingent incentive to respondents along with the survey invitation. Based on the results of the pretest, the incentive helped motivate respondents to answer the survey. Based on prior research, the incentive is expected to increase response rates by at least 10%.</w:t>
      </w:r>
    </w:p>
    <w:p w:rsidR="00831F3A" w:rsidRPr="00831F3A" w:rsidP="00831F3A" w14:paraId="242CC736" w14:textId="77777777">
      <w:pPr>
        <w:pBdr>
          <w:top w:val="nil"/>
          <w:left w:val="nil"/>
          <w:bottom w:val="nil"/>
          <w:right w:val="nil"/>
          <w:between w:val="nil"/>
        </w:pBdr>
        <w:tabs>
          <w:tab w:val="left" w:pos="9360"/>
        </w:tabs>
        <w:spacing w:before="161" w:after="200" w:line="276" w:lineRule="auto"/>
        <w:jc w:val="both"/>
        <w:rPr>
          <w:rFonts w:eastAsia="Calibri"/>
        </w:rPr>
      </w:pPr>
      <w:r w:rsidRPr="00831F3A">
        <w:rPr>
          <w:rFonts w:eastAsia="Calibri"/>
        </w:rPr>
        <w:t>Unconditional (prepaid/non-contingent/up-front/token) incentives are received with the survey invitation itself. Unconditional incentives are based on social exchange theory/altruism, and assume that because the recipient as received a gift, they will reciprocate and complete the survey (Dillman et al. 2014). The incentive creates a feeling of goodwill and encourages the respondent to read and consider the request, and ultimately complete the survey.</w:t>
      </w:r>
    </w:p>
    <w:p w:rsidR="00831F3A" w:rsidRPr="00831F3A" w:rsidP="00831F3A" w14:paraId="64E3175D" w14:textId="77777777">
      <w:pPr>
        <w:pBdr>
          <w:top w:val="nil"/>
          <w:left w:val="nil"/>
          <w:bottom w:val="nil"/>
          <w:right w:val="nil"/>
          <w:between w:val="nil"/>
        </w:pBdr>
        <w:tabs>
          <w:tab w:val="left" w:pos="9360"/>
        </w:tabs>
        <w:spacing w:before="161" w:after="200" w:line="276" w:lineRule="auto"/>
        <w:jc w:val="both"/>
        <w:rPr>
          <w:rFonts w:eastAsia="Calibri"/>
        </w:rPr>
      </w:pPr>
      <w:r w:rsidRPr="00831F3A">
        <w:rPr>
          <w:rFonts w:eastAsia="Calibri"/>
        </w:rPr>
        <w:t>Multiple meta-analyses suggest that unconditional incentives are more likely to induce participation than are conditional incentives (Church, 1993; Edwards et al., 2009; Young et al., 2015; Robbins et al., 2018; Rao et al., 2020), although the effect may vary and may be confounded across survey modes (Cook et al., 2000; Mercer et al., 2015). For example, in surveys recruited only by web-based or electronic means, it is not possible to give cash up-front to a participant, although digital payment methods may help close this gap (Neman et al., 2022).</w:t>
      </w:r>
    </w:p>
    <w:p w:rsidR="00831F3A" w:rsidRPr="00831F3A" w:rsidP="00831F3A" w14:paraId="77044630" w14:textId="77777777">
      <w:pPr>
        <w:pBdr>
          <w:top w:val="nil"/>
          <w:left w:val="nil"/>
          <w:bottom w:val="nil"/>
          <w:right w:val="nil"/>
          <w:between w:val="nil"/>
        </w:pBdr>
        <w:tabs>
          <w:tab w:val="left" w:pos="9360"/>
        </w:tabs>
        <w:spacing w:before="161" w:after="200" w:line="276" w:lineRule="auto"/>
        <w:jc w:val="both"/>
        <w:rPr>
          <w:rFonts w:eastAsia="Calibri"/>
        </w:rPr>
      </w:pPr>
      <w:r w:rsidRPr="00831F3A">
        <w:rPr>
          <w:rFonts w:eastAsia="Calibri"/>
        </w:rPr>
        <w:t>Unconditional incentives positively influence response rates, although the magnitude of this effect varies. Porter &amp; Whitcomb’s (2011) suggests that up-front cash (from 50 cents to $5) increases response rate anywhere from 8.7 to 24 percentage points. Dillman et al. (2014) found that $2 incentives may boost response rates by 12 to 31 percentage points. Butler et al. (2017) found that a $2 incentive increased the response rate by 13 percentage points in a survey of family forest owners.</w:t>
      </w:r>
    </w:p>
    <w:p w:rsidR="00831F3A" w:rsidP="00831F3A" w14:paraId="111F4F57" w14:textId="5D9C3447">
      <w:pPr>
        <w:pBdr>
          <w:top w:val="nil"/>
          <w:left w:val="nil"/>
          <w:bottom w:val="nil"/>
          <w:right w:val="nil"/>
          <w:between w:val="nil"/>
        </w:pBdr>
        <w:tabs>
          <w:tab w:val="left" w:pos="9360"/>
        </w:tabs>
        <w:spacing w:before="161" w:after="200" w:line="276" w:lineRule="auto"/>
        <w:jc w:val="both"/>
        <w:rPr>
          <w:rFonts w:eastAsia="Calibri"/>
        </w:rPr>
      </w:pPr>
      <w:r w:rsidRPr="00831F3A">
        <w:rPr>
          <w:rFonts w:eastAsia="Calibri"/>
        </w:rPr>
        <w:t>In mail surveys, unconditional incentives had the greatest per-dollar effect on response rate compared to other types of incentives, but the impact of each additional pre-paid dollar is non-linear and quickly asymptotic – the so-called “dose response.” Beyond the first dollar, each additional dollar has a smaller positive effect on response rates (Mercer et al., 2015). Gneezy &amp; Rey-Biel (2014) tested unconditional incentives from $1 to $30 and found that an unconditional incentive greater than $8 does not result in further gains in response rates. Other NOAA surveys (e.g. NOAA’s Fishing Effort Survey) typically include a $2 incentive (Andrews et al. 2014, Anderson et al. 2021, Carter et al. 2024). Additionally, unconditional incentives may reduce non-response bias by increasing the propensity of some respondents to respond, although there is mixed empirical support for this theory (Groves et al. 2006, Oscarsson &amp; Arkhede 2019). Recent work has also explored making unconditional incentives more obvious- this can improve response rate by 1 to 4 percentage points (Debell et al. 2020, Debell 2023, Zhang et al. 2023). Increasing the visibility of the unconditional incentive is presumed to increase the likelihood a respondent will open the initial invitation letter, and thus respond to the survey.</w:t>
      </w:r>
    </w:p>
    <w:p w:rsidR="00831F3A" w:rsidP="00473531" w14:paraId="40EAC819" w14:textId="544C435E">
      <w:pPr>
        <w:spacing w:line="276" w:lineRule="auto"/>
      </w:pPr>
      <w:r>
        <w:t>The last question in the pretest survey asked if respondents had any additional comment. Three respondents expressed their gratitude for the incentive. One respondent wrote:</w:t>
      </w:r>
    </w:p>
    <w:p w:rsidR="00831F3A" w:rsidP="00473531" w14:paraId="489B4A49" w14:textId="62D28A9C">
      <w:pPr>
        <w:spacing w:line="276" w:lineRule="auto"/>
        <w:ind w:left="360" w:right="360"/>
      </w:pPr>
      <w:r>
        <w:t>“You might like to know that I completed this survey because of the cash incentive. I appreciate that you were willing to risk even a few dollars per response, and provided the incentive without requiring me to activate cards or submit forms.”</w:t>
      </w:r>
    </w:p>
    <w:p w:rsidR="00831F3A" w:rsidP="00473531" w14:paraId="087DA9F7" w14:textId="77777777">
      <w:pPr>
        <w:spacing w:line="276" w:lineRule="auto"/>
      </w:pPr>
      <w:r>
        <w:t>Although anecdotal, this comment illustrates how unconditional incentives function to elicit responses.</w:t>
      </w:r>
    </w:p>
    <w:p w:rsidR="00831F3A" w:rsidRPr="001C3085" w:rsidP="00831F3A" w14:paraId="4C8E5E2F" w14:textId="77777777">
      <w:pPr>
        <w:pBdr>
          <w:top w:val="nil"/>
          <w:left w:val="nil"/>
          <w:bottom w:val="nil"/>
          <w:right w:val="nil"/>
          <w:between w:val="nil"/>
        </w:pBdr>
        <w:tabs>
          <w:tab w:val="left" w:pos="9360"/>
        </w:tabs>
        <w:spacing w:before="161" w:after="200" w:line="276" w:lineRule="auto"/>
        <w:jc w:val="both"/>
        <w:rPr>
          <w:rFonts w:eastAsia="Calibri"/>
        </w:rPr>
      </w:pPr>
    </w:p>
    <w:p w:rsidR="00071046" w:rsidRPr="001C3085" w14:paraId="37FB9585" w14:textId="77777777">
      <w:pPr>
        <w:numPr>
          <w:ilvl w:val="0"/>
          <w:numId w:val="6"/>
        </w:numPr>
        <w:pBdr>
          <w:top w:val="nil"/>
          <w:left w:val="nil"/>
          <w:bottom w:val="nil"/>
          <w:right w:val="nil"/>
          <w:between w:val="nil"/>
        </w:pBdr>
        <w:tabs>
          <w:tab w:val="left" w:pos="360"/>
        </w:tabs>
        <w:spacing w:before="80" w:after="200" w:line="276" w:lineRule="auto"/>
        <w:ind w:left="0" w:firstLine="0"/>
        <w:jc w:val="both"/>
        <w:rPr>
          <w:color w:val="000000"/>
        </w:rPr>
      </w:pPr>
      <w:r w:rsidRPr="001C3085">
        <w:rPr>
          <w:rFonts w:eastAsia="Calibri"/>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071046" w:rsidRPr="001C3085" w14:paraId="49A3D6B9" w14:textId="40AF4F03">
      <w:pPr>
        <w:tabs>
          <w:tab w:val="left" w:pos="9360"/>
        </w:tabs>
        <w:spacing w:after="200" w:line="276" w:lineRule="auto"/>
        <w:jc w:val="both"/>
        <w:rPr>
          <w:rFonts w:eastAsia="Calibri"/>
          <w:b/>
          <w:color w:val="000000"/>
        </w:rPr>
      </w:pPr>
      <w:r w:rsidRPr="001C3085">
        <w:rPr>
          <w:rFonts w:eastAsia="Calibri"/>
        </w:rPr>
        <w:t>A contracted survey vendor will handle the procurement of</w:t>
      </w:r>
      <w:r w:rsidR="00395D80">
        <w:rPr>
          <w:rFonts w:eastAsia="Calibri"/>
        </w:rPr>
        <w:t xml:space="preserve"> an address frame</w:t>
      </w:r>
      <w:r w:rsidRPr="001C3085">
        <w:rPr>
          <w:rFonts w:eastAsia="Calibri"/>
        </w:rPr>
        <w:t xml:space="preserve"> and administration of the survey. NOAA will ensure that the vendor implements strict security and privacy measures, including storing</w:t>
      </w:r>
      <w:r w:rsidRPr="001C3085" w:rsidR="006D4571">
        <w:rPr>
          <w:rFonts w:eastAsia="Calibri"/>
        </w:rPr>
        <w:t xml:space="preserve"> Personally Identifiable Information (PII)</w:t>
      </w:r>
      <w:r w:rsidRPr="001C3085">
        <w:rPr>
          <w:rFonts w:eastAsia="Calibri"/>
        </w:rPr>
        <w:t xml:space="preserve"> on secure servers rather than portable devices and protecting local computers with passwords in a locked facility. </w:t>
      </w:r>
      <w:r w:rsidRPr="001C3085" w:rsidR="006D4571">
        <w:rPr>
          <w:rFonts w:eastAsia="Calibri"/>
        </w:rPr>
        <w:t xml:space="preserve">Mailing addresses will be used exclusively by the vendor for distributing survey materials and will not be linked to individual responses. </w:t>
      </w:r>
      <w:r w:rsidRPr="001C3085">
        <w:rPr>
          <w:rFonts w:eastAsia="Calibri"/>
        </w:rPr>
        <w:t>PII will not be stored with survey data; instead, each sample unit will be assigned a unique PIN.</w:t>
      </w:r>
      <w:r w:rsidRPr="001C3085" w:rsidR="006D4571">
        <w:rPr>
          <w:rFonts w:eastAsia="Calibri"/>
        </w:rPr>
        <w:t xml:space="preserve"> The Privacy Act does not apply since records will not be retrieved by PII</w:t>
      </w:r>
      <w:r w:rsidRPr="001C3085" w:rsidR="006C4742">
        <w:rPr>
          <w:rFonts w:eastAsia="Calibri"/>
        </w:rPr>
        <w:t>.</w:t>
      </w:r>
      <w:r w:rsidRPr="001C3085" w:rsidR="006D4571">
        <w:rPr>
          <w:rFonts w:eastAsia="Calibri"/>
        </w:rPr>
        <w:t xml:space="preserve"> The public will be informed about how their information will be used on the survey instrument. Access to raw, de-identified data will be limited to project managers and lead analysts, and any released datasets will be aggregated to maintain confidentiality. </w:t>
      </w:r>
    </w:p>
    <w:p w:rsidR="00071046" w:rsidRPr="001C3085" w14:paraId="2D715505" w14:textId="77777777">
      <w:pPr>
        <w:numPr>
          <w:ilvl w:val="0"/>
          <w:numId w:val="6"/>
        </w:numPr>
        <w:pBdr>
          <w:top w:val="nil"/>
          <w:left w:val="nil"/>
          <w:bottom w:val="nil"/>
          <w:right w:val="nil"/>
          <w:between w:val="nil"/>
        </w:pBdr>
        <w:tabs>
          <w:tab w:val="left" w:pos="360"/>
        </w:tabs>
        <w:spacing w:before="80" w:after="200" w:line="276" w:lineRule="auto"/>
        <w:ind w:left="0" w:firstLine="0"/>
        <w:jc w:val="both"/>
        <w:rPr>
          <w:color w:val="000000"/>
        </w:rPr>
      </w:pPr>
      <w:r w:rsidRPr="001C3085">
        <w:rPr>
          <w:rFonts w:eastAsia="Calibri"/>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71046" w:rsidRPr="001C3085" w14:paraId="6FD7642D" w14:textId="77777777">
      <w:pPr>
        <w:tabs>
          <w:tab w:val="left" w:pos="9360"/>
        </w:tabs>
        <w:spacing w:after="200" w:line="276" w:lineRule="auto"/>
        <w:jc w:val="both"/>
        <w:rPr>
          <w:rFonts w:eastAsia="Calibri"/>
          <w:color w:val="2F5496"/>
        </w:rPr>
        <w:sectPr>
          <w:footerReference w:type="default" r:id="rId7"/>
          <w:pgSz w:w="12240" w:h="15840"/>
          <w:pgMar w:top="810" w:right="1080" w:bottom="1200" w:left="1080" w:header="0" w:footer="1014" w:gutter="0"/>
          <w:pgNumType w:start="1"/>
          <w:cols w:space="720"/>
        </w:sectPr>
      </w:pPr>
      <w:r w:rsidRPr="001C3085">
        <w:rPr>
          <w:rFonts w:eastAsia="Calibri"/>
          <w:color w:val="000000"/>
        </w:rPr>
        <w:t>No questions of a sensitive nature will be asked during this data collection</w:t>
      </w:r>
    </w:p>
    <w:p w:rsidR="00071046" w:rsidRPr="001425E6" w14:paraId="352AF780" w14:textId="77777777">
      <w:pPr>
        <w:numPr>
          <w:ilvl w:val="0"/>
          <w:numId w:val="6"/>
        </w:numPr>
        <w:pBdr>
          <w:top w:val="nil"/>
          <w:left w:val="nil"/>
          <w:bottom w:val="nil"/>
          <w:right w:val="nil"/>
          <w:between w:val="nil"/>
        </w:pBdr>
        <w:tabs>
          <w:tab w:val="left" w:pos="360"/>
        </w:tabs>
        <w:spacing w:before="80" w:after="200" w:line="276" w:lineRule="auto"/>
        <w:ind w:left="0" w:firstLine="0"/>
        <w:rPr>
          <w:color w:val="000000"/>
        </w:rPr>
      </w:pPr>
      <w:r w:rsidRPr="001425E6">
        <w:rPr>
          <w:rFonts w:eastAsia="Calibri"/>
          <w:b/>
          <w:color w:val="000000"/>
        </w:rPr>
        <w:t>Provide estimates of the hour burden of the collection of information.</w:t>
      </w:r>
    </w:p>
    <w:p w:rsidR="00071046" w:rsidRPr="001C3085" w14:paraId="4C65CBBB" w14:textId="6EA2B592">
      <w:pPr>
        <w:pBdr>
          <w:top w:val="nil"/>
          <w:left w:val="nil"/>
          <w:bottom w:val="nil"/>
          <w:right w:val="nil"/>
          <w:between w:val="nil"/>
        </w:pBdr>
        <w:tabs>
          <w:tab w:val="left" w:pos="9360"/>
        </w:tabs>
        <w:spacing w:before="161" w:after="200" w:line="276" w:lineRule="auto"/>
        <w:ind w:left="400"/>
        <w:jc w:val="both"/>
        <w:rPr>
          <w:rFonts w:eastAsia="Calibri"/>
          <w:b/>
          <w:color w:val="FF0000"/>
        </w:rPr>
      </w:pPr>
      <w:r w:rsidRPr="001C3085">
        <w:rPr>
          <w:rFonts w:eastAsia="Calibri"/>
        </w:rPr>
        <w:t>The table below provides an estimate of burden hours by data collection phase (see Part B.1 for more details</w:t>
      </w:r>
      <w:r w:rsidR="00421DF7">
        <w:rPr>
          <w:rFonts w:eastAsia="Calibri"/>
        </w:rPr>
        <w:t xml:space="preserve">.  </w:t>
      </w:r>
      <w:r w:rsidRPr="001C3085">
        <w:rPr>
          <w:rFonts w:eastAsia="Calibri"/>
        </w:rPr>
        <w:t>For the full survey implementation, we estimate 2,229 respondents. Each survey is expected to take approximately 10 minutes, including time for reading instructions, reviewing questions, and completing the survey instrument. These estimates are based on the question types, survey length, and the researchers’ experience with similar surveys.</w:t>
      </w:r>
    </w:p>
    <w:tbl>
      <w:tblPr>
        <w:tblStyle w:val="2"/>
        <w:tblW w:w="14730"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65"/>
        <w:gridCol w:w="1440"/>
        <w:gridCol w:w="1435"/>
        <w:gridCol w:w="1730"/>
        <w:gridCol w:w="1515"/>
        <w:gridCol w:w="1350"/>
        <w:gridCol w:w="1530"/>
        <w:gridCol w:w="1260"/>
        <w:gridCol w:w="1905"/>
      </w:tblGrid>
      <w:tr w14:paraId="5743E5E4" w14:textId="77777777" w:rsidTr="00B350D0">
        <w:tblPrEx>
          <w:tblW w:w="14730"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018"/>
        </w:trPr>
        <w:tc>
          <w:tcPr>
            <w:tcW w:w="2565" w:type="dxa"/>
            <w:tcBorders>
              <w:top w:val="single" w:sz="8" w:space="0" w:color="000000"/>
              <w:left w:val="single" w:sz="8" w:space="0" w:color="000000"/>
              <w:bottom w:val="single" w:sz="8" w:space="0" w:color="000000"/>
              <w:right w:val="single" w:sz="8" w:space="0" w:color="000000"/>
            </w:tcBorders>
            <w:shd w:val="clear" w:color="auto" w:fill="BDD7EE"/>
            <w:tcMar>
              <w:top w:w="-44" w:type="dxa"/>
              <w:left w:w="-44" w:type="dxa"/>
              <w:bottom w:w="-44" w:type="dxa"/>
              <w:right w:w="-44" w:type="dxa"/>
            </w:tcMar>
            <w:vAlign w:val="center"/>
          </w:tcPr>
          <w:p w:rsidR="00071046" w:rsidRPr="001C3085" w14:paraId="7845A3CA" w14:textId="77777777">
            <w:pPr>
              <w:widowControl/>
              <w:spacing w:line="276" w:lineRule="auto"/>
              <w:jc w:val="center"/>
              <w:rPr>
                <w:rFonts w:eastAsia="Calibri"/>
                <w:b/>
                <w:sz w:val="24"/>
                <w:szCs w:val="24"/>
              </w:rPr>
            </w:pPr>
            <w:r w:rsidRPr="001C3085">
              <w:rPr>
                <w:rFonts w:eastAsia="Calibri"/>
                <w:b/>
                <w:sz w:val="24"/>
                <w:szCs w:val="24"/>
              </w:rPr>
              <w:t>Information Collection</w:t>
            </w:r>
          </w:p>
        </w:tc>
        <w:tc>
          <w:tcPr>
            <w:tcW w:w="1440" w:type="dxa"/>
            <w:tcBorders>
              <w:top w:val="single" w:sz="8" w:space="0" w:color="000000"/>
              <w:left w:val="nil"/>
              <w:bottom w:val="single" w:sz="8" w:space="0" w:color="000000"/>
              <w:right w:val="single" w:sz="8" w:space="0" w:color="000000"/>
            </w:tcBorders>
            <w:shd w:val="clear" w:color="auto" w:fill="BDD7EE"/>
            <w:tcMar>
              <w:top w:w="-44" w:type="dxa"/>
              <w:left w:w="-44" w:type="dxa"/>
              <w:bottom w:w="-44" w:type="dxa"/>
              <w:right w:w="-44" w:type="dxa"/>
            </w:tcMar>
            <w:vAlign w:val="center"/>
          </w:tcPr>
          <w:p w:rsidR="00071046" w:rsidRPr="001C3085" w14:paraId="22A97AF0" w14:textId="77777777">
            <w:pPr>
              <w:widowControl/>
              <w:spacing w:line="276" w:lineRule="auto"/>
              <w:jc w:val="center"/>
              <w:rPr>
                <w:rFonts w:eastAsia="Calibri"/>
                <w:b/>
                <w:sz w:val="24"/>
                <w:szCs w:val="24"/>
              </w:rPr>
            </w:pPr>
            <w:r w:rsidRPr="001C3085">
              <w:rPr>
                <w:rFonts w:eastAsia="Calibri"/>
                <w:b/>
                <w:sz w:val="24"/>
                <w:szCs w:val="24"/>
              </w:rPr>
              <w:t>Type of Respondent</w:t>
            </w:r>
          </w:p>
        </w:tc>
        <w:tc>
          <w:tcPr>
            <w:tcW w:w="1435" w:type="dxa"/>
            <w:tcBorders>
              <w:top w:val="single" w:sz="8" w:space="0" w:color="000000"/>
              <w:left w:val="nil"/>
              <w:bottom w:val="single" w:sz="8" w:space="0" w:color="000000"/>
              <w:right w:val="single" w:sz="8" w:space="0" w:color="000000"/>
            </w:tcBorders>
            <w:shd w:val="clear" w:color="auto" w:fill="BDD7EE"/>
            <w:tcMar>
              <w:top w:w="-44" w:type="dxa"/>
              <w:left w:w="-44" w:type="dxa"/>
              <w:bottom w:w="-44" w:type="dxa"/>
              <w:right w:w="-44" w:type="dxa"/>
            </w:tcMar>
            <w:vAlign w:val="center"/>
          </w:tcPr>
          <w:p w:rsidR="00071046" w:rsidRPr="001C3085" w14:paraId="5ADE1B15" w14:textId="77777777">
            <w:pPr>
              <w:widowControl/>
              <w:spacing w:line="276" w:lineRule="auto"/>
              <w:jc w:val="center"/>
              <w:rPr>
                <w:rFonts w:eastAsia="Calibri"/>
                <w:b/>
                <w:sz w:val="24"/>
                <w:szCs w:val="24"/>
              </w:rPr>
            </w:pPr>
            <w:r w:rsidRPr="001C3085">
              <w:rPr>
                <w:rFonts w:eastAsia="Calibri"/>
                <w:b/>
                <w:sz w:val="24"/>
                <w:szCs w:val="24"/>
              </w:rPr>
              <w:t># of Respondents/year</w:t>
            </w:r>
            <w:r w:rsidRPr="001C3085">
              <w:rPr>
                <w:rFonts w:eastAsia="Calibri"/>
                <w:b/>
                <w:sz w:val="24"/>
                <w:szCs w:val="24"/>
              </w:rPr>
              <w:br/>
              <w:t>(a)</w:t>
            </w:r>
          </w:p>
        </w:tc>
        <w:tc>
          <w:tcPr>
            <w:tcW w:w="1730" w:type="dxa"/>
            <w:tcBorders>
              <w:top w:val="single" w:sz="8" w:space="0" w:color="000000"/>
              <w:left w:val="nil"/>
              <w:bottom w:val="single" w:sz="8" w:space="0" w:color="000000"/>
              <w:right w:val="single" w:sz="8" w:space="0" w:color="000000"/>
            </w:tcBorders>
            <w:shd w:val="clear" w:color="auto" w:fill="BDD7EE"/>
            <w:tcMar>
              <w:top w:w="-44" w:type="dxa"/>
              <w:left w:w="-44" w:type="dxa"/>
              <w:bottom w:w="-44" w:type="dxa"/>
              <w:right w:w="-44" w:type="dxa"/>
            </w:tcMar>
            <w:vAlign w:val="center"/>
          </w:tcPr>
          <w:p w:rsidR="00071046" w:rsidRPr="001C3085" w14:paraId="15C1E2ED" w14:textId="77777777">
            <w:pPr>
              <w:widowControl/>
              <w:spacing w:line="276" w:lineRule="auto"/>
              <w:jc w:val="center"/>
              <w:rPr>
                <w:rFonts w:eastAsia="Calibri"/>
                <w:b/>
                <w:sz w:val="24"/>
                <w:szCs w:val="24"/>
              </w:rPr>
            </w:pPr>
            <w:r w:rsidRPr="001C3085">
              <w:rPr>
                <w:rFonts w:eastAsia="Calibri"/>
                <w:b/>
                <w:sz w:val="24"/>
                <w:szCs w:val="24"/>
              </w:rPr>
              <w:t>Annual # of Responses / Respondent</w:t>
            </w:r>
            <w:r w:rsidRPr="001C3085">
              <w:rPr>
                <w:rFonts w:eastAsia="Calibri"/>
                <w:b/>
                <w:sz w:val="24"/>
                <w:szCs w:val="24"/>
              </w:rPr>
              <w:br/>
              <w:t>(b)</w:t>
            </w:r>
          </w:p>
        </w:tc>
        <w:tc>
          <w:tcPr>
            <w:tcW w:w="1515" w:type="dxa"/>
            <w:tcBorders>
              <w:top w:val="single" w:sz="8" w:space="0" w:color="000000"/>
              <w:left w:val="nil"/>
              <w:bottom w:val="single" w:sz="8" w:space="0" w:color="000000"/>
              <w:right w:val="single" w:sz="8" w:space="0" w:color="000000"/>
            </w:tcBorders>
            <w:shd w:val="clear" w:color="auto" w:fill="BDD7EE"/>
            <w:tcMar>
              <w:top w:w="-44" w:type="dxa"/>
              <w:left w:w="-44" w:type="dxa"/>
              <w:bottom w:w="-44" w:type="dxa"/>
              <w:right w:w="-44" w:type="dxa"/>
            </w:tcMar>
            <w:vAlign w:val="center"/>
          </w:tcPr>
          <w:p w:rsidR="00071046" w:rsidRPr="001C3085" w14:paraId="4A2B5FF6" w14:textId="77777777">
            <w:pPr>
              <w:widowControl/>
              <w:spacing w:line="276" w:lineRule="auto"/>
              <w:jc w:val="center"/>
              <w:rPr>
                <w:rFonts w:eastAsia="Calibri"/>
                <w:b/>
                <w:sz w:val="24"/>
                <w:szCs w:val="24"/>
              </w:rPr>
            </w:pPr>
            <w:r w:rsidRPr="001C3085">
              <w:rPr>
                <w:rFonts w:eastAsia="Calibri"/>
                <w:b/>
                <w:sz w:val="24"/>
                <w:szCs w:val="24"/>
              </w:rPr>
              <w:t>Annual # of Responses</w:t>
            </w:r>
            <w:r w:rsidRPr="001C3085">
              <w:rPr>
                <w:rFonts w:eastAsia="Calibri"/>
                <w:b/>
                <w:sz w:val="24"/>
                <w:szCs w:val="24"/>
              </w:rPr>
              <w:br/>
              <w:t>(c) = (a) x (b)</w:t>
            </w:r>
          </w:p>
        </w:tc>
        <w:tc>
          <w:tcPr>
            <w:tcW w:w="1350" w:type="dxa"/>
            <w:tcBorders>
              <w:top w:val="single" w:sz="8" w:space="0" w:color="000000"/>
              <w:left w:val="nil"/>
              <w:bottom w:val="single" w:sz="8" w:space="0" w:color="000000"/>
              <w:right w:val="single" w:sz="8" w:space="0" w:color="000000"/>
            </w:tcBorders>
            <w:shd w:val="clear" w:color="auto" w:fill="BDD7EE"/>
            <w:tcMar>
              <w:top w:w="-44" w:type="dxa"/>
              <w:left w:w="-44" w:type="dxa"/>
              <w:bottom w:w="-44" w:type="dxa"/>
              <w:right w:w="-44" w:type="dxa"/>
            </w:tcMar>
            <w:vAlign w:val="center"/>
          </w:tcPr>
          <w:p w:rsidR="00071046" w:rsidRPr="001C3085" w14:paraId="7D0D2D3D" w14:textId="77777777">
            <w:pPr>
              <w:widowControl/>
              <w:spacing w:line="276" w:lineRule="auto"/>
              <w:jc w:val="center"/>
              <w:rPr>
                <w:rFonts w:eastAsia="Calibri"/>
                <w:b/>
                <w:sz w:val="24"/>
                <w:szCs w:val="24"/>
              </w:rPr>
            </w:pPr>
            <w:r w:rsidRPr="001C3085">
              <w:rPr>
                <w:rFonts w:eastAsia="Calibri"/>
                <w:b/>
                <w:sz w:val="24"/>
                <w:szCs w:val="24"/>
              </w:rPr>
              <w:t>Burden Hrs / Response</w:t>
            </w:r>
            <w:r w:rsidRPr="001C3085">
              <w:rPr>
                <w:rFonts w:eastAsia="Calibri"/>
                <w:b/>
                <w:sz w:val="24"/>
                <w:szCs w:val="24"/>
              </w:rPr>
              <w:br/>
              <w:t>(d)</w:t>
            </w:r>
          </w:p>
        </w:tc>
        <w:tc>
          <w:tcPr>
            <w:tcW w:w="1530" w:type="dxa"/>
            <w:tcBorders>
              <w:top w:val="single" w:sz="8" w:space="0" w:color="000000"/>
              <w:left w:val="nil"/>
              <w:bottom w:val="single" w:sz="8" w:space="0" w:color="000000"/>
              <w:right w:val="single" w:sz="8" w:space="0" w:color="000000"/>
            </w:tcBorders>
            <w:shd w:val="clear" w:color="auto" w:fill="BDD7EE"/>
            <w:tcMar>
              <w:top w:w="-44" w:type="dxa"/>
              <w:left w:w="-44" w:type="dxa"/>
              <w:bottom w:w="-44" w:type="dxa"/>
              <w:right w:w="-44" w:type="dxa"/>
            </w:tcMar>
            <w:vAlign w:val="center"/>
          </w:tcPr>
          <w:p w:rsidR="00071046" w:rsidRPr="001C3085" w14:paraId="7D8D8B4C" w14:textId="77777777">
            <w:pPr>
              <w:widowControl/>
              <w:spacing w:line="276" w:lineRule="auto"/>
              <w:jc w:val="center"/>
              <w:rPr>
                <w:rFonts w:eastAsia="Calibri"/>
                <w:b/>
                <w:sz w:val="24"/>
                <w:szCs w:val="24"/>
              </w:rPr>
            </w:pPr>
            <w:r w:rsidRPr="001C3085">
              <w:rPr>
                <w:rFonts w:eastAsia="Calibri"/>
                <w:b/>
                <w:sz w:val="24"/>
                <w:szCs w:val="24"/>
              </w:rPr>
              <w:t>Annual Burden Hrs</w:t>
            </w:r>
            <w:r w:rsidRPr="001C3085">
              <w:rPr>
                <w:rFonts w:eastAsia="Calibri"/>
                <w:b/>
                <w:sz w:val="24"/>
                <w:szCs w:val="24"/>
              </w:rPr>
              <w:br/>
              <w:t>(e) = (c) x (d)</w:t>
            </w:r>
          </w:p>
        </w:tc>
        <w:tc>
          <w:tcPr>
            <w:tcW w:w="1260" w:type="dxa"/>
            <w:tcBorders>
              <w:top w:val="single" w:sz="8" w:space="0" w:color="000000"/>
              <w:left w:val="nil"/>
              <w:bottom w:val="single" w:sz="8" w:space="0" w:color="000000"/>
              <w:right w:val="single" w:sz="8" w:space="0" w:color="000000"/>
            </w:tcBorders>
            <w:shd w:val="clear" w:color="auto" w:fill="BDD7EE"/>
            <w:tcMar>
              <w:top w:w="-44" w:type="dxa"/>
              <w:left w:w="-44" w:type="dxa"/>
              <w:bottom w:w="-44" w:type="dxa"/>
              <w:right w:w="-44" w:type="dxa"/>
            </w:tcMar>
            <w:vAlign w:val="center"/>
          </w:tcPr>
          <w:p w:rsidR="00071046" w:rsidRPr="001C3085" w14:paraId="3A25D27A" w14:textId="77777777">
            <w:pPr>
              <w:widowControl/>
              <w:spacing w:line="276" w:lineRule="auto"/>
              <w:jc w:val="center"/>
              <w:rPr>
                <w:rFonts w:eastAsia="Calibri"/>
                <w:b/>
                <w:sz w:val="24"/>
                <w:szCs w:val="24"/>
              </w:rPr>
            </w:pPr>
            <w:r w:rsidRPr="001C3085">
              <w:rPr>
                <w:rFonts w:eastAsia="Calibri"/>
                <w:b/>
                <w:sz w:val="24"/>
                <w:szCs w:val="24"/>
              </w:rPr>
              <w:t>Hourly Wage Rate (f)</w:t>
            </w:r>
          </w:p>
        </w:tc>
        <w:tc>
          <w:tcPr>
            <w:tcW w:w="1905" w:type="dxa"/>
            <w:tcBorders>
              <w:top w:val="single" w:sz="8" w:space="0" w:color="000000"/>
              <w:left w:val="nil"/>
              <w:bottom w:val="single" w:sz="8" w:space="0" w:color="000000"/>
              <w:right w:val="single" w:sz="8" w:space="0" w:color="000000"/>
            </w:tcBorders>
            <w:shd w:val="clear" w:color="auto" w:fill="BDD7EE"/>
            <w:tcMar>
              <w:top w:w="-44" w:type="dxa"/>
              <w:left w:w="-44" w:type="dxa"/>
              <w:bottom w:w="-44" w:type="dxa"/>
              <w:right w:w="-44" w:type="dxa"/>
            </w:tcMar>
            <w:vAlign w:val="center"/>
          </w:tcPr>
          <w:p w:rsidR="00071046" w:rsidRPr="001C3085" w14:paraId="58087380" w14:textId="77777777">
            <w:pPr>
              <w:widowControl/>
              <w:spacing w:line="276" w:lineRule="auto"/>
              <w:jc w:val="center"/>
              <w:rPr>
                <w:rFonts w:eastAsia="Calibri"/>
                <w:b/>
                <w:sz w:val="24"/>
                <w:szCs w:val="24"/>
              </w:rPr>
            </w:pPr>
            <w:r w:rsidRPr="001C3085">
              <w:rPr>
                <w:rFonts w:eastAsia="Calibri"/>
                <w:b/>
                <w:sz w:val="24"/>
                <w:szCs w:val="24"/>
              </w:rPr>
              <w:t>Total Annual Wage Burden Costs</w:t>
            </w:r>
            <w:r w:rsidRPr="001C3085">
              <w:rPr>
                <w:rFonts w:eastAsia="Calibri"/>
                <w:b/>
                <w:sz w:val="24"/>
                <w:szCs w:val="24"/>
              </w:rPr>
              <w:br/>
              <w:t>(g) = (e) x (f)</w:t>
            </w:r>
          </w:p>
        </w:tc>
      </w:tr>
      <w:tr w14:paraId="717AF240" w14:textId="77777777">
        <w:tblPrEx>
          <w:tblW w:w="14730" w:type="dxa"/>
          <w:tblInd w:w="-320" w:type="dxa"/>
          <w:tblLayout w:type="fixed"/>
          <w:tblLook w:val="0400"/>
        </w:tblPrEx>
        <w:trPr>
          <w:trHeight w:val="400"/>
        </w:trPr>
        <w:tc>
          <w:tcPr>
            <w:tcW w:w="14730" w:type="dxa"/>
            <w:gridSpan w:val="9"/>
            <w:tcBorders>
              <w:top w:val="single" w:sz="4" w:space="0" w:color="000000"/>
              <w:left w:val="single" w:sz="8" w:space="0" w:color="000000"/>
              <w:bottom w:val="single" w:sz="4" w:space="0" w:color="000000"/>
              <w:right w:val="single" w:sz="4" w:space="0" w:color="000000"/>
            </w:tcBorders>
            <w:shd w:val="clear" w:color="auto" w:fill="auto"/>
            <w:tcMar>
              <w:top w:w="-44" w:type="dxa"/>
              <w:left w:w="-44" w:type="dxa"/>
              <w:bottom w:w="-44" w:type="dxa"/>
              <w:right w:w="-44" w:type="dxa"/>
            </w:tcMar>
            <w:vAlign w:val="center"/>
          </w:tcPr>
          <w:p w:rsidR="00071046" w:rsidRPr="001C3085" w14:paraId="3BD83BCD" w14:textId="77777777">
            <w:pPr>
              <w:widowControl/>
              <w:spacing w:line="276" w:lineRule="auto"/>
              <w:rPr>
                <w:rFonts w:eastAsia="Calibri"/>
                <w:sz w:val="24"/>
                <w:szCs w:val="24"/>
              </w:rPr>
            </w:pPr>
            <w:r w:rsidRPr="001C3085">
              <w:rPr>
                <w:rFonts w:eastAsia="Calibri"/>
                <w:sz w:val="24"/>
                <w:szCs w:val="24"/>
              </w:rPr>
              <w:t>Full Implementation</w:t>
            </w:r>
          </w:p>
        </w:tc>
      </w:tr>
      <w:tr w14:paraId="72E4A815" w14:textId="77777777" w:rsidTr="00B350D0">
        <w:tblPrEx>
          <w:tblW w:w="14730" w:type="dxa"/>
          <w:tblInd w:w="-320" w:type="dxa"/>
          <w:tblLayout w:type="fixed"/>
          <w:tblLook w:val="0400"/>
        </w:tblPrEx>
        <w:trPr>
          <w:trHeight w:val="392"/>
        </w:trPr>
        <w:tc>
          <w:tcPr>
            <w:tcW w:w="2565" w:type="dxa"/>
            <w:tcBorders>
              <w:top w:val="single" w:sz="4" w:space="0" w:color="000000"/>
              <w:left w:val="single" w:sz="8" w:space="0" w:color="000000"/>
              <w:bottom w:val="single" w:sz="4" w:space="0" w:color="000000"/>
              <w:right w:val="single" w:sz="4" w:space="0" w:color="000000"/>
            </w:tcBorders>
            <w:shd w:val="clear" w:color="auto" w:fill="auto"/>
            <w:tcMar>
              <w:top w:w="-44" w:type="dxa"/>
              <w:left w:w="-44" w:type="dxa"/>
              <w:bottom w:w="-44" w:type="dxa"/>
              <w:right w:w="-44" w:type="dxa"/>
            </w:tcMar>
            <w:vAlign w:val="center"/>
          </w:tcPr>
          <w:p w:rsidR="00071046" w:rsidRPr="001C3085" w14:paraId="14AC65BB" w14:textId="77777777">
            <w:pPr>
              <w:widowControl/>
              <w:spacing w:line="276" w:lineRule="auto"/>
              <w:rPr>
                <w:rFonts w:eastAsia="Calibri"/>
                <w:sz w:val="24"/>
                <w:szCs w:val="24"/>
              </w:rPr>
            </w:pPr>
            <w:r w:rsidRPr="001C3085">
              <w:rPr>
                <w:rFonts w:eastAsia="Calibri"/>
                <w:sz w:val="24"/>
                <w:szCs w:val="24"/>
              </w:rPr>
              <w:t>York River Outdoor Recreation Survey</w:t>
            </w:r>
          </w:p>
        </w:tc>
        <w:tc>
          <w:tcPr>
            <w:tcW w:w="1440" w:type="dxa"/>
            <w:tcBorders>
              <w:top w:val="single" w:sz="4" w:space="0" w:color="000000"/>
              <w:left w:val="nil"/>
              <w:bottom w:val="single" w:sz="4" w:space="0" w:color="000000"/>
              <w:right w:val="single" w:sz="8" w:space="0" w:color="000000"/>
            </w:tcBorders>
            <w:shd w:val="clear" w:color="auto" w:fill="auto"/>
            <w:tcMar>
              <w:top w:w="-44" w:type="dxa"/>
              <w:left w:w="-44" w:type="dxa"/>
              <w:bottom w:w="-44" w:type="dxa"/>
              <w:right w:w="-44" w:type="dxa"/>
            </w:tcMar>
            <w:vAlign w:val="center"/>
          </w:tcPr>
          <w:p w:rsidR="00071046" w:rsidRPr="001C3085" w14:paraId="34C780BD" w14:textId="77777777">
            <w:pPr>
              <w:widowControl/>
              <w:spacing w:line="276" w:lineRule="auto"/>
              <w:jc w:val="center"/>
              <w:rPr>
                <w:rFonts w:eastAsia="Calibri"/>
                <w:sz w:val="24"/>
                <w:szCs w:val="24"/>
              </w:rPr>
            </w:pPr>
            <w:r w:rsidRPr="001C3085">
              <w:rPr>
                <w:rFonts w:eastAsia="Calibri"/>
                <w:sz w:val="24"/>
                <w:szCs w:val="24"/>
              </w:rPr>
              <w:t>Individuals</w:t>
            </w:r>
          </w:p>
        </w:tc>
        <w:tc>
          <w:tcPr>
            <w:tcW w:w="1435" w:type="dxa"/>
            <w:tcBorders>
              <w:top w:val="single" w:sz="4"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071046" w:rsidRPr="001C3085" w14:paraId="64A2A946" w14:textId="77777777">
            <w:pPr>
              <w:jc w:val="center"/>
              <w:rPr>
                <w:rFonts w:eastAsia="Calibri"/>
                <w:sz w:val="24"/>
                <w:szCs w:val="24"/>
              </w:rPr>
            </w:pPr>
            <w:r w:rsidRPr="001C3085">
              <w:rPr>
                <w:rFonts w:eastAsia="Calibri"/>
                <w:sz w:val="24"/>
                <w:szCs w:val="24"/>
              </w:rPr>
              <w:t>1,716</w:t>
            </w:r>
          </w:p>
        </w:tc>
        <w:tc>
          <w:tcPr>
            <w:tcW w:w="1730" w:type="dxa"/>
            <w:tcBorders>
              <w:top w:val="single" w:sz="4"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071046" w:rsidRPr="001C3085" w14:paraId="4F44E1BB" w14:textId="77777777">
            <w:pPr>
              <w:jc w:val="center"/>
              <w:rPr>
                <w:rFonts w:eastAsia="Calibri"/>
                <w:sz w:val="24"/>
                <w:szCs w:val="24"/>
              </w:rPr>
            </w:pPr>
            <w:r w:rsidRPr="001C3085">
              <w:rPr>
                <w:rFonts w:eastAsia="Calibri"/>
                <w:sz w:val="24"/>
                <w:szCs w:val="24"/>
              </w:rPr>
              <w:t>1</w:t>
            </w:r>
          </w:p>
        </w:tc>
        <w:tc>
          <w:tcPr>
            <w:tcW w:w="1515" w:type="dxa"/>
            <w:tcBorders>
              <w:top w:val="single" w:sz="4"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071046" w:rsidRPr="001C3085" w14:paraId="2094B414" w14:textId="77777777">
            <w:pPr>
              <w:jc w:val="center"/>
              <w:rPr>
                <w:rFonts w:eastAsia="Calibri"/>
                <w:sz w:val="24"/>
                <w:szCs w:val="24"/>
              </w:rPr>
            </w:pPr>
            <w:r w:rsidRPr="001C3085">
              <w:rPr>
                <w:rFonts w:eastAsia="Calibri"/>
                <w:sz w:val="24"/>
                <w:szCs w:val="24"/>
              </w:rPr>
              <w:t>1,716</w:t>
            </w:r>
          </w:p>
        </w:tc>
        <w:tc>
          <w:tcPr>
            <w:tcW w:w="135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071046" w:rsidRPr="001C3085" w14:paraId="03CD2163" w14:textId="77777777">
            <w:pPr>
              <w:jc w:val="center"/>
              <w:rPr>
                <w:rFonts w:eastAsia="Calibri"/>
                <w:sz w:val="24"/>
                <w:szCs w:val="24"/>
              </w:rPr>
            </w:pPr>
            <w:r w:rsidRPr="001C3085">
              <w:rPr>
                <w:rFonts w:eastAsia="Calibri"/>
                <w:sz w:val="24"/>
                <w:szCs w:val="24"/>
              </w:rPr>
              <w:t>10 min</w:t>
            </w:r>
          </w:p>
        </w:tc>
        <w:tc>
          <w:tcPr>
            <w:tcW w:w="1530" w:type="dxa"/>
            <w:tcBorders>
              <w:top w:val="single" w:sz="4"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071046" w:rsidRPr="001C3085" w14:paraId="6F867654" w14:textId="77777777">
            <w:pPr>
              <w:jc w:val="center"/>
              <w:rPr>
                <w:rFonts w:eastAsia="Calibri"/>
                <w:sz w:val="24"/>
                <w:szCs w:val="24"/>
              </w:rPr>
            </w:pPr>
            <w:r w:rsidRPr="001C3085">
              <w:rPr>
                <w:rFonts w:eastAsia="Calibri"/>
                <w:sz w:val="24"/>
                <w:szCs w:val="24"/>
              </w:rPr>
              <w:t>286</w:t>
            </w:r>
          </w:p>
        </w:tc>
        <w:tc>
          <w:tcPr>
            <w:tcW w:w="126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071046" w:rsidRPr="001C3085" w14:paraId="14766A88" w14:textId="48C70C3F">
            <w:pPr>
              <w:jc w:val="center"/>
              <w:rPr>
                <w:rFonts w:eastAsia="Calibri"/>
                <w:sz w:val="24"/>
                <w:szCs w:val="24"/>
              </w:rPr>
            </w:pPr>
            <w:r>
              <w:rPr>
                <w:rFonts w:eastAsia="Calibri"/>
                <w:sz w:val="24"/>
                <w:szCs w:val="24"/>
              </w:rPr>
              <w:t>47.20</w:t>
            </w:r>
          </w:p>
        </w:tc>
        <w:tc>
          <w:tcPr>
            <w:tcW w:w="1905" w:type="dxa"/>
            <w:tcBorders>
              <w:top w:val="single" w:sz="4"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071046" w:rsidRPr="001C3085" w14:paraId="1DE19A2E" w14:textId="172D9618">
            <w:pPr>
              <w:jc w:val="center"/>
              <w:rPr>
                <w:rFonts w:eastAsia="Calibri"/>
                <w:sz w:val="24"/>
                <w:szCs w:val="24"/>
              </w:rPr>
            </w:pPr>
            <w:r>
              <w:rPr>
                <w:rFonts w:eastAsia="Calibri"/>
                <w:sz w:val="24"/>
                <w:szCs w:val="24"/>
              </w:rPr>
              <w:t>13499.20</w:t>
            </w:r>
          </w:p>
        </w:tc>
      </w:tr>
      <w:tr w14:paraId="6AD573D7" w14:textId="77777777" w:rsidTr="00B350D0">
        <w:tblPrEx>
          <w:tblW w:w="14730" w:type="dxa"/>
          <w:tblInd w:w="-320" w:type="dxa"/>
          <w:tblLayout w:type="fixed"/>
          <w:tblLook w:val="0400"/>
        </w:tblPrEx>
        <w:trPr>
          <w:trHeight w:val="300"/>
        </w:trPr>
        <w:tc>
          <w:tcPr>
            <w:tcW w:w="2565" w:type="dxa"/>
            <w:tcBorders>
              <w:top w:val="nil"/>
              <w:left w:val="single" w:sz="8" w:space="0" w:color="000000"/>
              <w:bottom w:val="single" w:sz="4" w:space="0" w:color="000000"/>
              <w:right w:val="single" w:sz="4" w:space="0" w:color="000000"/>
            </w:tcBorders>
            <w:shd w:val="clear" w:color="auto" w:fill="auto"/>
            <w:tcMar>
              <w:top w:w="-44" w:type="dxa"/>
              <w:left w:w="-44" w:type="dxa"/>
              <w:bottom w:w="-44" w:type="dxa"/>
              <w:right w:w="-44" w:type="dxa"/>
            </w:tcMar>
            <w:vAlign w:val="center"/>
          </w:tcPr>
          <w:p w:rsidR="00071046" w:rsidRPr="001C3085" w14:paraId="49111182" w14:textId="77777777">
            <w:pPr>
              <w:widowControl/>
              <w:spacing w:line="276" w:lineRule="auto"/>
              <w:rPr>
                <w:rFonts w:eastAsia="Calibri"/>
                <w:sz w:val="24"/>
                <w:szCs w:val="24"/>
              </w:rPr>
            </w:pPr>
            <w:r w:rsidRPr="001C3085">
              <w:rPr>
                <w:rFonts w:eastAsia="Calibri"/>
                <w:sz w:val="24"/>
                <w:szCs w:val="24"/>
              </w:rPr>
              <w:t>Public Perceptions of Prescribed Fires</w:t>
            </w:r>
          </w:p>
        </w:tc>
        <w:tc>
          <w:tcPr>
            <w:tcW w:w="1440" w:type="dxa"/>
            <w:tcBorders>
              <w:top w:val="nil"/>
              <w:left w:val="nil"/>
              <w:bottom w:val="single" w:sz="4" w:space="0" w:color="000000"/>
              <w:right w:val="single" w:sz="8" w:space="0" w:color="000000"/>
            </w:tcBorders>
            <w:shd w:val="clear" w:color="auto" w:fill="auto"/>
            <w:tcMar>
              <w:top w:w="-44" w:type="dxa"/>
              <w:left w:w="-44" w:type="dxa"/>
              <w:bottom w:w="-44" w:type="dxa"/>
              <w:right w:w="-44" w:type="dxa"/>
            </w:tcMar>
            <w:vAlign w:val="center"/>
          </w:tcPr>
          <w:p w:rsidR="00071046" w:rsidRPr="001C3085" w14:paraId="2ED98703" w14:textId="77777777">
            <w:pPr>
              <w:widowControl/>
              <w:spacing w:line="276" w:lineRule="auto"/>
              <w:jc w:val="center"/>
              <w:rPr>
                <w:rFonts w:eastAsia="Calibri"/>
                <w:sz w:val="24"/>
                <w:szCs w:val="24"/>
              </w:rPr>
            </w:pPr>
            <w:r w:rsidRPr="001C3085">
              <w:rPr>
                <w:rFonts w:eastAsia="Calibri"/>
                <w:sz w:val="24"/>
                <w:szCs w:val="24"/>
              </w:rPr>
              <w:t>Individuals</w:t>
            </w:r>
          </w:p>
        </w:tc>
        <w:tc>
          <w:tcPr>
            <w:tcW w:w="143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071046" w:rsidRPr="001C3085" w14:paraId="6A1D4F4F" w14:textId="77777777">
            <w:pPr>
              <w:jc w:val="center"/>
              <w:rPr>
                <w:rFonts w:eastAsia="Calibri"/>
                <w:sz w:val="24"/>
                <w:szCs w:val="24"/>
              </w:rPr>
            </w:pPr>
            <w:r w:rsidRPr="001C3085">
              <w:rPr>
                <w:rFonts w:eastAsia="Calibri"/>
                <w:sz w:val="24"/>
                <w:szCs w:val="24"/>
              </w:rPr>
              <w:t>513</w:t>
            </w:r>
          </w:p>
        </w:tc>
        <w:tc>
          <w:tcPr>
            <w:tcW w:w="173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071046" w:rsidRPr="001C3085" w14:paraId="01788602" w14:textId="77777777">
            <w:pPr>
              <w:jc w:val="center"/>
              <w:rPr>
                <w:rFonts w:eastAsia="Calibri"/>
                <w:sz w:val="24"/>
                <w:szCs w:val="24"/>
              </w:rPr>
            </w:pPr>
            <w:r w:rsidRPr="001C3085">
              <w:rPr>
                <w:rFonts w:eastAsia="Calibri"/>
                <w:sz w:val="24"/>
                <w:szCs w:val="24"/>
              </w:rPr>
              <w:t>1</w:t>
            </w:r>
          </w:p>
        </w:tc>
        <w:tc>
          <w:tcPr>
            <w:tcW w:w="15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071046" w:rsidRPr="001C3085" w14:paraId="07B9BB52" w14:textId="77777777">
            <w:pPr>
              <w:jc w:val="center"/>
              <w:rPr>
                <w:rFonts w:eastAsia="Calibri"/>
                <w:sz w:val="24"/>
                <w:szCs w:val="24"/>
              </w:rPr>
            </w:pPr>
            <w:r w:rsidRPr="001C3085">
              <w:rPr>
                <w:rFonts w:eastAsia="Calibri"/>
                <w:sz w:val="24"/>
                <w:szCs w:val="24"/>
              </w:rPr>
              <w:t>513</w:t>
            </w:r>
          </w:p>
        </w:tc>
        <w:tc>
          <w:tcPr>
            <w:tcW w:w="135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071046" w:rsidRPr="001C3085" w14:paraId="7B53DBEE" w14:textId="77777777">
            <w:pPr>
              <w:jc w:val="center"/>
              <w:rPr>
                <w:rFonts w:eastAsia="Calibri"/>
                <w:sz w:val="24"/>
                <w:szCs w:val="24"/>
              </w:rPr>
            </w:pPr>
            <w:r w:rsidRPr="001C3085">
              <w:rPr>
                <w:rFonts w:eastAsia="Calibri"/>
                <w:sz w:val="24"/>
                <w:szCs w:val="24"/>
              </w:rPr>
              <w:t>10 min</w:t>
            </w:r>
          </w:p>
        </w:tc>
        <w:tc>
          <w:tcPr>
            <w:tcW w:w="153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071046" w:rsidRPr="001C3085" w14:paraId="5B292611" w14:textId="6BF6604A">
            <w:pPr>
              <w:jc w:val="center"/>
              <w:rPr>
                <w:rFonts w:eastAsia="Calibri"/>
                <w:sz w:val="24"/>
                <w:szCs w:val="24"/>
              </w:rPr>
            </w:pPr>
            <w:r w:rsidRPr="001C3085">
              <w:rPr>
                <w:rFonts w:eastAsia="Calibri"/>
                <w:sz w:val="24"/>
                <w:szCs w:val="24"/>
              </w:rPr>
              <w:t>8</w:t>
            </w:r>
            <w:r w:rsidR="004336A5">
              <w:rPr>
                <w:rFonts w:eastAsia="Calibri"/>
                <w:sz w:val="24"/>
                <w:szCs w:val="24"/>
              </w:rPr>
              <w:t>6</w:t>
            </w:r>
          </w:p>
        </w:tc>
        <w:tc>
          <w:tcPr>
            <w:tcW w:w="126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071046" w:rsidRPr="001C3085" w14:paraId="54A65249" w14:textId="4AE3E76B">
            <w:pPr>
              <w:jc w:val="center"/>
              <w:rPr>
                <w:rFonts w:eastAsia="Calibri"/>
                <w:sz w:val="24"/>
                <w:szCs w:val="24"/>
              </w:rPr>
            </w:pPr>
            <w:r>
              <w:rPr>
                <w:rFonts w:eastAsia="Calibri"/>
                <w:sz w:val="24"/>
                <w:szCs w:val="24"/>
              </w:rPr>
              <w:t>47.20</w:t>
            </w:r>
          </w:p>
        </w:tc>
        <w:tc>
          <w:tcPr>
            <w:tcW w:w="190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071046" w:rsidRPr="001C3085" w14:paraId="0BAF9AE1" w14:textId="4FEF513C">
            <w:pPr>
              <w:jc w:val="center"/>
              <w:rPr>
                <w:rFonts w:eastAsia="Calibri"/>
                <w:sz w:val="24"/>
                <w:szCs w:val="24"/>
              </w:rPr>
            </w:pPr>
            <w:r>
              <w:rPr>
                <w:rFonts w:eastAsia="Calibri"/>
                <w:sz w:val="24"/>
                <w:szCs w:val="24"/>
              </w:rPr>
              <w:t>4059.20</w:t>
            </w:r>
          </w:p>
        </w:tc>
      </w:tr>
      <w:tr w14:paraId="1661F8DF" w14:textId="77777777" w:rsidTr="00B350D0">
        <w:tblPrEx>
          <w:tblW w:w="14730" w:type="dxa"/>
          <w:tblInd w:w="-320" w:type="dxa"/>
          <w:tblLayout w:type="fixed"/>
          <w:tblLook w:val="0400"/>
        </w:tblPrEx>
        <w:trPr>
          <w:trHeight w:val="277"/>
        </w:trPr>
        <w:tc>
          <w:tcPr>
            <w:tcW w:w="2565" w:type="dxa"/>
            <w:tcBorders>
              <w:top w:val="nil"/>
              <w:left w:val="single" w:sz="8" w:space="0" w:color="000000"/>
              <w:bottom w:val="single" w:sz="8" w:space="0" w:color="000000"/>
              <w:right w:val="single" w:sz="8" w:space="0" w:color="000000"/>
            </w:tcBorders>
            <w:shd w:val="clear" w:color="auto" w:fill="DDEBF7"/>
            <w:tcMar>
              <w:top w:w="-44" w:type="dxa"/>
              <w:left w:w="-44" w:type="dxa"/>
              <w:bottom w:w="-44" w:type="dxa"/>
              <w:right w:w="-44" w:type="dxa"/>
            </w:tcMar>
            <w:vAlign w:val="center"/>
          </w:tcPr>
          <w:p w:rsidR="00071046" w:rsidRPr="001C3085" w14:paraId="4D3AA8AA" w14:textId="77777777">
            <w:pPr>
              <w:widowControl/>
              <w:spacing w:line="276" w:lineRule="auto"/>
              <w:jc w:val="center"/>
              <w:rPr>
                <w:rFonts w:eastAsia="Calibri"/>
                <w:b/>
                <w:sz w:val="24"/>
                <w:szCs w:val="24"/>
              </w:rPr>
            </w:pPr>
            <w:r w:rsidRPr="001C3085">
              <w:rPr>
                <w:rFonts w:eastAsia="Calibri"/>
                <w:b/>
                <w:sz w:val="24"/>
                <w:szCs w:val="24"/>
              </w:rPr>
              <w:t>Total</w:t>
            </w:r>
          </w:p>
        </w:tc>
        <w:tc>
          <w:tcPr>
            <w:tcW w:w="1440" w:type="dxa"/>
            <w:tcBorders>
              <w:top w:val="nil"/>
              <w:left w:val="nil"/>
              <w:bottom w:val="single" w:sz="8" w:space="0" w:color="000000"/>
              <w:right w:val="single" w:sz="8" w:space="0" w:color="000000"/>
            </w:tcBorders>
            <w:shd w:val="clear" w:color="auto" w:fill="000000"/>
            <w:tcMar>
              <w:top w:w="-44" w:type="dxa"/>
              <w:left w:w="-44" w:type="dxa"/>
              <w:bottom w:w="-44" w:type="dxa"/>
              <w:right w:w="-44" w:type="dxa"/>
            </w:tcMar>
            <w:vAlign w:val="center"/>
          </w:tcPr>
          <w:p w:rsidR="00071046" w:rsidRPr="001C3085" w14:paraId="5E6561D0" w14:textId="77777777">
            <w:pPr>
              <w:widowControl/>
              <w:spacing w:line="276" w:lineRule="auto"/>
              <w:jc w:val="center"/>
              <w:rPr>
                <w:rFonts w:eastAsia="Calibri"/>
                <w:b/>
                <w:sz w:val="24"/>
                <w:szCs w:val="24"/>
              </w:rPr>
            </w:pPr>
          </w:p>
        </w:tc>
        <w:tc>
          <w:tcPr>
            <w:tcW w:w="1435" w:type="dxa"/>
            <w:tcBorders>
              <w:top w:val="single" w:sz="8" w:space="0" w:color="000000"/>
              <w:left w:val="nil"/>
              <w:bottom w:val="single" w:sz="8" w:space="0" w:color="000000"/>
              <w:right w:val="single" w:sz="8" w:space="0" w:color="000000"/>
            </w:tcBorders>
            <w:shd w:val="clear" w:color="auto" w:fill="000000"/>
            <w:tcMar>
              <w:top w:w="-44" w:type="dxa"/>
              <w:left w:w="-44" w:type="dxa"/>
              <w:bottom w:w="-44" w:type="dxa"/>
              <w:right w:w="-44" w:type="dxa"/>
            </w:tcMar>
            <w:vAlign w:val="center"/>
          </w:tcPr>
          <w:p w:rsidR="00071046" w:rsidRPr="001C3085" w14:paraId="72666384" w14:textId="77777777">
            <w:pPr>
              <w:widowControl/>
              <w:spacing w:line="276" w:lineRule="auto"/>
              <w:jc w:val="center"/>
              <w:rPr>
                <w:rFonts w:eastAsia="Calibri"/>
                <w:b/>
                <w:sz w:val="24"/>
                <w:szCs w:val="24"/>
              </w:rPr>
            </w:pPr>
          </w:p>
        </w:tc>
        <w:tc>
          <w:tcPr>
            <w:tcW w:w="1730" w:type="dxa"/>
            <w:tcBorders>
              <w:top w:val="single" w:sz="8" w:space="0" w:color="000000"/>
              <w:left w:val="nil"/>
              <w:bottom w:val="single" w:sz="8" w:space="0" w:color="000000"/>
              <w:right w:val="single" w:sz="8" w:space="0" w:color="000000"/>
            </w:tcBorders>
            <w:shd w:val="clear" w:color="auto" w:fill="000000"/>
            <w:tcMar>
              <w:top w:w="-44" w:type="dxa"/>
              <w:left w:w="-44" w:type="dxa"/>
              <w:bottom w:w="-44" w:type="dxa"/>
              <w:right w:w="-44" w:type="dxa"/>
            </w:tcMar>
            <w:vAlign w:val="center"/>
          </w:tcPr>
          <w:p w:rsidR="00071046" w:rsidRPr="001C3085" w14:paraId="5D04C1ED" w14:textId="77777777">
            <w:pPr>
              <w:widowControl/>
              <w:spacing w:line="276" w:lineRule="auto"/>
              <w:jc w:val="center"/>
              <w:rPr>
                <w:rFonts w:eastAsia="Calibri"/>
                <w:b/>
                <w:sz w:val="24"/>
                <w:szCs w:val="24"/>
              </w:rPr>
            </w:pPr>
          </w:p>
        </w:tc>
        <w:tc>
          <w:tcPr>
            <w:tcW w:w="1515" w:type="dxa"/>
            <w:tcBorders>
              <w:top w:val="single" w:sz="8" w:space="0" w:color="000000"/>
              <w:left w:val="nil"/>
              <w:bottom w:val="single" w:sz="8" w:space="0" w:color="000000"/>
              <w:right w:val="single" w:sz="8" w:space="0" w:color="000000"/>
            </w:tcBorders>
            <w:shd w:val="clear" w:color="auto" w:fill="DDEBF7"/>
            <w:tcMar>
              <w:top w:w="-44" w:type="dxa"/>
              <w:left w:w="-44" w:type="dxa"/>
              <w:bottom w:w="-44" w:type="dxa"/>
              <w:right w:w="-44" w:type="dxa"/>
            </w:tcMar>
            <w:vAlign w:val="center"/>
          </w:tcPr>
          <w:p w:rsidR="00071046" w:rsidRPr="001C3085" w14:paraId="1A908E6C" w14:textId="2620DF73">
            <w:pPr>
              <w:widowControl/>
              <w:spacing w:line="276" w:lineRule="auto"/>
              <w:jc w:val="center"/>
              <w:rPr>
                <w:rFonts w:eastAsia="Calibri"/>
                <w:b/>
                <w:sz w:val="24"/>
                <w:szCs w:val="24"/>
              </w:rPr>
            </w:pPr>
            <w:r w:rsidRPr="001C3085">
              <w:rPr>
                <w:rFonts w:eastAsia="Calibri"/>
                <w:b/>
                <w:sz w:val="24"/>
                <w:szCs w:val="24"/>
              </w:rPr>
              <w:t>2,229</w:t>
            </w:r>
          </w:p>
        </w:tc>
        <w:tc>
          <w:tcPr>
            <w:tcW w:w="1350" w:type="dxa"/>
            <w:tcBorders>
              <w:top w:val="single" w:sz="8" w:space="0" w:color="000000"/>
              <w:left w:val="nil"/>
              <w:bottom w:val="single" w:sz="8" w:space="0" w:color="000000"/>
              <w:right w:val="single" w:sz="8" w:space="0" w:color="000000"/>
            </w:tcBorders>
            <w:shd w:val="clear" w:color="auto" w:fill="000000"/>
            <w:tcMar>
              <w:top w:w="-44" w:type="dxa"/>
              <w:left w:w="-44" w:type="dxa"/>
              <w:bottom w:w="-44" w:type="dxa"/>
              <w:right w:w="-44" w:type="dxa"/>
            </w:tcMar>
            <w:vAlign w:val="center"/>
          </w:tcPr>
          <w:p w:rsidR="00071046" w:rsidRPr="001C3085" w14:paraId="36B4793C" w14:textId="77777777">
            <w:pPr>
              <w:widowControl/>
              <w:spacing w:line="276" w:lineRule="auto"/>
              <w:jc w:val="center"/>
              <w:rPr>
                <w:rFonts w:eastAsia="Calibri"/>
                <w:b/>
                <w:sz w:val="24"/>
                <w:szCs w:val="24"/>
              </w:rPr>
            </w:pPr>
          </w:p>
        </w:tc>
        <w:tc>
          <w:tcPr>
            <w:tcW w:w="1530" w:type="dxa"/>
            <w:tcBorders>
              <w:top w:val="single" w:sz="8" w:space="0" w:color="000000"/>
              <w:left w:val="nil"/>
              <w:bottom w:val="single" w:sz="8" w:space="0" w:color="000000"/>
              <w:right w:val="single" w:sz="8" w:space="0" w:color="000000"/>
            </w:tcBorders>
            <w:shd w:val="clear" w:color="auto" w:fill="DDEBF7"/>
            <w:tcMar>
              <w:top w:w="-44" w:type="dxa"/>
              <w:left w:w="-44" w:type="dxa"/>
              <w:bottom w:w="-44" w:type="dxa"/>
              <w:right w:w="-44" w:type="dxa"/>
            </w:tcMar>
            <w:vAlign w:val="center"/>
          </w:tcPr>
          <w:p w:rsidR="00071046" w:rsidRPr="001C3085" w14:paraId="449BCEE2" w14:textId="43C573E2">
            <w:pPr>
              <w:widowControl/>
              <w:spacing w:line="276" w:lineRule="auto"/>
              <w:jc w:val="center"/>
              <w:rPr>
                <w:rFonts w:eastAsia="Calibri"/>
                <w:b/>
                <w:sz w:val="24"/>
                <w:szCs w:val="24"/>
              </w:rPr>
            </w:pPr>
            <w:r>
              <w:rPr>
                <w:rFonts w:eastAsia="Calibri"/>
                <w:b/>
                <w:sz w:val="24"/>
                <w:szCs w:val="24"/>
              </w:rPr>
              <w:t>37</w:t>
            </w:r>
            <w:r w:rsidR="004336A5">
              <w:rPr>
                <w:rFonts w:eastAsia="Calibri"/>
                <w:b/>
                <w:sz w:val="24"/>
                <w:szCs w:val="24"/>
              </w:rPr>
              <w:t>2</w:t>
            </w:r>
          </w:p>
        </w:tc>
        <w:tc>
          <w:tcPr>
            <w:tcW w:w="1260" w:type="dxa"/>
            <w:tcBorders>
              <w:top w:val="single" w:sz="8" w:space="0" w:color="000000"/>
              <w:left w:val="nil"/>
              <w:bottom w:val="single" w:sz="8" w:space="0" w:color="000000"/>
              <w:right w:val="single" w:sz="8" w:space="0" w:color="000000"/>
            </w:tcBorders>
            <w:shd w:val="clear" w:color="auto" w:fill="000000"/>
            <w:tcMar>
              <w:top w:w="-44" w:type="dxa"/>
              <w:left w:w="-44" w:type="dxa"/>
              <w:bottom w:w="-44" w:type="dxa"/>
              <w:right w:w="-44" w:type="dxa"/>
            </w:tcMar>
            <w:vAlign w:val="center"/>
          </w:tcPr>
          <w:p w:rsidR="00071046" w:rsidRPr="001C3085" w14:paraId="285C9702" w14:textId="77777777">
            <w:pPr>
              <w:widowControl/>
              <w:spacing w:line="276" w:lineRule="auto"/>
              <w:jc w:val="center"/>
              <w:rPr>
                <w:rFonts w:eastAsia="Calibri"/>
                <w:b/>
                <w:sz w:val="24"/>
                <w:szCs w:val="24"/>
              </w:rPr>
            </w:pPr>
          </w:p>
        </w:tc>
        <w:tc>
          <w:tcPr>
            <w:tcW w:w="1905" w:type="dxa"/>
            <w:tcBorders>
              <w:top w:val="single" w:sz="8" w:space="0" w:color="000000"/>
              <w:left w:val="nil"/>
              <w:bottom w:val="single" w:sz="8" w:space="0" w:color="000000"/>
              <w:right w:val="single" w:sz="8" w:space="0" w:color="000000"/>
            </w:tcBorders>
            <w:shd w:val="clear" w:color="auto" w:fill="DDEBF7"/>
            <w:tcMar>
              <w:top w:w="-44" w:type="dxa"/>
              <w:left w:w="-44" w:type="dxa"/>
              <w:bottom w:w="-44" w:type="dxa"/>
              <w:right w:w="-44" w:type="dxa"/>
            </w:tcMar>
            <w:vAlign w:val="center"/>
          </w:tcPr>
          <w:p w:rsidR="00071046" w:rsidRPr="001C3085" w14:paraId="0319F894" w14:textId="4BA9E4E7">
            <w:pPr>
              <w:widowControl/>
              <w:spacing w:line="276" w:lineRule="auto"/>
              <w:jc w:val="center"/>
              <w:rPr>
                <w:rFonts w:eastAsia="Calibri"/>
                <w:b/>
                <w:sz w:val="24"/>
                <w:szCs w:val="24"/>
              </w:rPr>
            </w:pPr>
            <w:r w:rsidRPr="001C3085">
              <w:rPr>
                <w:rFonts w:eastAsia="Calibri"/>
                <w:b/>
                <w:sz w:val="24"/>
                <w:szCs w:val="24"/>
              </w:rPr>
              <w:t>17,</w:t>
            </w:r>
            <w:r w:rsidR="004336A5">
              <w:rPr>
                <w:rFonts w:eastAsia="Calibri"/>
                <w:b/>
                <w:sz w:val="24"/>
                <w:szCs w:val="24"/>
              </w:rPr>
              <w:t>558.40</w:t>
            </w:r>
          </w:p>
        </w:tc>
      </w:tr>
    </w:tbl>
    <w:p w:rsidR="00071046" w:rsidRPr="001C3085" w14:paraId="479531D8" w14:textId="77777777">
      <w:pPr>
        <w:spacing w:line="276" w:lineRule="auto"/>
        <w:ind w:hanging="43"/>
        <w:rPr>
          <w:rFonts w:eastAsia="Calibri"/>
          <w:b/>
        </w:rPr>
        <w:sectPr>
          <w:pgSz w:w="15840" w:h="12240" w:orient="landscape"/>
          <w:pgMar w:top="1080" w:right="1200" w:bottom="1080" w:left="640" w:header="0" w:footer="1014" w:gutter="0"/>
          <w:cols w:space="720"/>
        </w:sectPr>
      </w:pPr>
      <w:r w:rsidRPr="001C3085">
        <w:rPr>
          <w:rFonts w:eastAsia="Calibri"/>
          <w:b/>
        </w:rPr>
        <w:t xml:space="preserve">*The mean average for Civilian Workers on the BLS 2024 National Occupational Employment and Wage Estimates was used in order to encompass the broad range of occupations in the respondent pool. </w:t>
      </w:r>
      <w:hyperlink r:id="rId8">
        <w:r w:rsidRPr="001C3085">
          <w:rPr>
            <w:rFonts w:eastAsia="Calibri"/>
            <w:b/>
            <w:color w:val="1155CC"/>
            <w:u w:val="single"/>
          </w:rPr>
          <w:t>https://www.bls.gov/news.release/pdf/ecec.pdf</w:t>
        </w:r>
      </w:hyperlink>
      <w:r w:rsidRPr="001C3085">
        <w:rPr>
          <w:rFonts w:eastAsia="Calibri"/>
          <w:b/>
        </w:rPr>
        <w:t xml:space="preserve"> </w:t>
      </w:r>
    </w:p>
    <w:p w:rsidR="00071046" w:rsidRPr="001C3085" w14:paraId="41A60A1A" w14:textId="77777777">
      <w:pPr>
        <w:numPr>
          <w:ilvl w:val="0"/>
          <w:numId w:val="6"/>
        </w:numPr>
        <w:pBdr>
          <w:top w:val="nil"/>
          <w:left w:val="nil"/>
          <w:bottom w:val="nil"/>
          <w:right w:val="nil"/>
          <w:between w:val="nil"/>
        </w:pBdr>
        <w:tabs>
          <w:tab w:val="left" w:pos="360"/>
        </w:tabs>
        <w:spacing w:before="80" w:after="200" w:line="276" w:lineRule="auto"/>
        <w:ind w:left="0" w:firstLine="0"/>
        <w:rPr>
          <w:color w:val="000000"/>
        </w:rPr>
      </w:pPr>
      <w:bookmarkStart w:id="5" w:name="_heading=h.tyjcwt" w:colFirst="0" w:colLast="0"/>
      <w:bookmarkEnd w:id="5"/>
      <w:r w:rsidRPr="001C3085">
        <w:rPr>
          <w:rFonts w:eastAsia="Calibri"/>
          <w:b/>
          <w:color w:val="000000"/>
        </w:rPr>
        <w:t>Provide an estimate for the total annual cost burden to respondents or record keepers resulting from the collection of information. (Do not include the cost of any hour burden already reflected on the burden worksheet).</w:t>
      </w:r>
    </w:p>
    <w:p w:rsidR="00071046" w:rsidRPr="001C3085" w14:paraId="19DE7119" w14:textId="77777777">
      <w:pPr>
        <w:tabs>
          <w:tab w:val="left" w:pos="9360"/>
        </w:tabs>
        <w:spacing w:after="200" w:line="276" w:lineRule="auto"/>
        <w:jc w:val="both"/>
        <w:rPr>
          <w:rFonts w:eastAsia="Calibri"/>
          <w:b/>
          <w:color w:val="000000"/>
        </w:rPr>
      </w:pPr>
      <w:r w:rsidRPr="001C3085">
        <w:rPr>
          <w:rFonts w:eastAsia="Calibri"/>
        </w:rPr>
        <w:t>There are no capital costs or operating and maintenance costs associated with this information collection.  No additional cost burden will be incurred by respondents beyond response time.</w:t>
      </w:r>
    </w:p>
    <w:p w:rsidR="00071046" w:rsidRPr="00336012" w14:paraId="05A583E8" w14:textId="77777777">
      <w:pPr>
        <w:numPr>
          <w:ilvl w:val="0"/>
          <w:numId w:val="6"/>
        </w:numPr>
        <w:pBdr>
          <w:top w:val="nil"/>
          <w:left w:val="nil"/>
          <w:bottom w:val="nil"/>
          <w:right w:val="nil"/>
          <w:between w:val="nil"/>
        </w:pBdr>
        <w:tabs>
          <w:tab w:val="left" w:pos="360"/>
        </w:tabs>
        <w:spacing w:before="80" w:after="200" w:line="276" w:lineRule="auto"/>
        <w:ind w:left="0" w:firstLine="0"/>
        <w:rPr>
          <w:color w:val="000000"/>
        </w:rPr>
      </w:pPr>
      <w:r w:rsidRPr="001C3085">
        <w:rPr>
          <w:rFonts w:eastAsia="Calibri"/>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36012" w:rsidRPr="00336012" w:rsidP="00336012" w14:paraId="579221A8" w14:textId="6889404B">
      <w:pPr>
        <w:pBdr>
          <w:top w:val="nil"/>
          <w:left w:val="nil"/>
          <w:bottom w:val="nil"/>
          <w:right w:val="nil"/>
          <w:between w:val="nil"/>
        </w:pBdr>
        <w:tabs>
          <w:tab w:val="left" w:pos="360"/>
        </w:tabs>
        <w:spacing w:before="80" w:after="200" w:line="276" w:lineRule="auto"/>
        <w:rPr>
          <w:bCs/>
          <w:color w:val="000000"/>
        </w:rPr>
      </w:pPr>
      <w:r>
        <w:rPr>
          <w:rFonts w:eastAsia="Calibri"/>
          <w:bCs/>
          <w:color w:val="000000"/>
        </w:rPr>
        <w:t xml:space="preserve">The Commerce Alternative Personnel System (CAPS) pay tables </w:t>
      </w:r>
      <w:r w:rsidR="00126826">
        <w:rPr>
          <w:rFonts w:eastAsia="Calibri"/>
          <w:bCs/>
          <w:color w:val="000000"/>
        </w:rPr>
        <w:t>for the Rest of U.S. locality were used to determine the base salary.  (</w:t>
      </w:r>
      <w:hyperlink r:id="rId9" w:history="1">
        <w:r w:rsidRPr="00D80DAB" w:rsidR="00126826">
          <w:rPr>
            <w:rStyle w:val="Hyperlink"/>
            <w:rFonts w:eastAsia="Calibri"/>
            <w:bCs/>
          </w:rPr>
          <w:t>https://www.commerce.gov/sites/default/files/2024-01/CAPS_rpStandard_2024.pdf</w:t>
        </w:r>
      </w:hyperlink>
      <w:r w:rsidR="00126826">
        <w:rPr>
          <w:rFonts w:eastAsia="Calibri"/>
          <w:bCs/>
          <w:color w:val="000000"/>
        </w:rPr>
        <w:t>)  The Rest of U.S. locality was used since NOAA employees are geographically dispersed.  A multiplier of 1.5 was used to calculate the loaded salary.  The pay tables have not been updated since the last submission for this collection.</w:t>
      </w:r>
    </w:p>
    <w:tbl>
      <w:tblPr>
        <w:tblStyle w:val="1"/>
        <w:tblW w:w="9670"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10"/>
        <w:gridCol w:w="1260"/>
        <w:gridCol w:w="1235"/>
        <w:gridCol w:w="1425"/>
        <w:gridCol w:w="1080"/>
        <w:gridCol w:w="1320"/>
        <w:gridCol w:w="2140"/>
      </w:tblGrid>
      <w:tr w14:paraId="12EDF2AE" w14:textId="77777777" w:rsidTr="00B350D0">
        <w:tblPrEx>
          <w:tblW w:w="9670"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50"/>
        </w:trPr>
        <w:tc>
          <w:tcPr>
            <w:tcW w:w="2470" w:type="dxa"/>
            <w:gridSpan w:val="2"/>
            <w:tcBorders>
              <w:top w:val="single" w:sz="8" w:space="0" w:color="000000"/>
              <w:left w:val="single" w:sz="8" w:space="0" w:color="000000"/>
              <w:bottom w:val="single" w:sz="4" w:space="0" w:color="000000"/>
              <w:right w:val="single" w:sz="8" w:space="0" w:color="000000"/>
            </w:tcBorders>
            <w:shd w:val="clear" w:color="auto" w:fill="BDD7EE"/>
            <w:vAlign w:val="center"/>
          </w:tcPr>
          <w:p w:rsidR="00071046" w:rsidRPr="001C3085" w14:paraId="39C21B1F" w14:textId="77777777">
            <w:pPr>
              <w:widowControl/>
              <w:spacing w:line="276" w:lineRule="auto"/>
              <w:jc w:val="center"/>
              <w:rPr>
                <w:rFonts w:eastAsia="Calibri"/>
                <w:b/>
                <w:sz w:val="24"/>
                <w:szCs w:val="24"/>
              </w:rPr>
            </w:pPr>
            <w:r w:rsidRPr="001C3085">
              <w:rPr>
                <w:rFonts w:eastAsia="Calibri"/>
                <w:b/>
                <w:sz w:val="24"/>
                <w:szCs w:val="24"/>
              </w:rPr>
              <w:t>Cost Descriptions</w:t>
            </w:r>
          </w:p>
        </w:tc>
        <w:tc>
          <w:tcPr>
            <w:tcW w:w="1235" w:type="dxa"/>
            <w:tcBorders>
              <w:top w:val="single" w:sz="8" w:space="0" w:color="000000"/>
              <w:left w:val="nil"/>
              <w:bottom w:val="single" w:sz="4" w:space="0" w:color="000000"/>
              <w:right w:val="single" w:sz="8" w:space="0" w:color="000000"/>
            </w:tcBorders>
            <w:shd w:val="clear" w:color="auto" w:fill="BDD7EE"/>
            <w:vAlign w:val="center"/>
          </w:tcPr>
          <w:p w:rsidR="001425E6" w14:paraId="145A409F" w14:textId="77777777">
            <w:pPr>
              <w:widowControl/>
              <w:spacing w:line="276" w:lineRule="auto"/>
              <w:jc w:val="center"/>
              <w:rPr>
                <w:rFonts w:eastAsia="Calibri"/>
                <w:b/>
                <w:sz w:val="24"/>
                <w:szCs w:val="24"/>
              </w:rPr>
            </w:pPr>
            <w:r w:rsidRPr="001C3085">
              <w:rPr>
                <w:rFonts w:eastAsia="Calibri"/>
                <w:b/>
                <w:sz w:val="24"/>
                <w:szCs w:val="24"/>
              </w:rPr>
              <w:t>Grade/</w:t>
            </w:r>
          </w:p>
          <w:p w:rsidR="00071046" w:rsidRPr="001C3085" w14:paraId="669744CF" w14:textId="6CA5166D">
            <w:pPr>
              <w:widowControl/>
              <w:spacing w:line="276" w:lineRule="auto"/>
              <w:jc w:val="center"/>
              <w:rPr>
                <w:rFonts w:eastAsia="Calibri"/>
                <w:b/>
                <w:sz w:val="24"/>
                <w:szCs w:val="24"/>
              </w:rPr>
            </w:pPr>
            <w:r w:rsidRPr="001C3085">
              <w:rPr>
                <w:rFonts w:eastAsia="Calibri"/>
                <w:b/>
                <w:sz w:val="24"/>
                <w:szCs w:val="24"/>
              </w:rPr>
              <w:t>Step</w:t>
            </w:r>
          </w:p>
        </w:tc>
        <w:tc>
          <w:tcPr>
            <w:tcW w:w="1425" w:type="dxa"/>
            <w:tcBorders>
              <w:top w:val="single" w:sz="8" w:space="0" w:color="000000"/>
              <w:left w:val="nil"/>
              <w:bottom w:val="single" w:sz="4" w:space="0" w:color="000000"/>
              <w:right w:val="single" w:sz="8" w:space="0" w:color="000000"/>
            </w:tcBorders>
            <w:shd w:val="clear" w:color="auto" w:fill="BDD7EE"/>
            <w:vAlign w:val="center"/>
          </w:tcPr>
          <w:p w:rsidR="00071046" w:rsidRPr="001C3085" w14:paraId="54379D27" w14:textId="77777777">
            <w:pPr>
              <w:widowControl/>
              <w:spacing w:line="276" w:lineRule="auto"/>
              <w:jc w:val="center"/>
              <w:rPr>
                <w:rFonts w:eastAsia="Calibri"/>
                <w:b/>
                <w:sz w:val="24"/>
                <w:szCs w:val="24"/>
              </w:rPr>
            </w:pPr>
            <w:r w:rsidRPr="001C3085">
              <w:rPr>
                <w:rFonts w:eastAsia="Calibri"/>
                <w:b/>
                <w:sz w:val="24"/>
                <w:szCs w:val="24"/>
              </w:rPr>
              <w:t>Loaded Salary /Cost</w:t>
            </w:r>
          </w:p>
        </w:tc>
        <w:tc>
          <w:tcPr>
            <w:tcW w:w="1080" w:type="dxa"/>
            <w:tcBorders>
              <w:top w:val="single" w:sz="8" w:space="0" w:color="000000"/>
              <w:left w:val="nil"/>
              <w:bottom w:val="single" w:sz="4" w:space="0" w:color="000000"/>
              <w:right w:val="single" w:sz="8" w:space="0" w:color="000000"/>
            </w:tcBorders>
            <w:shd w:val="clear" w:color="auto" w:fill="BDD7EE"/>
            <w:vAlign w:val="center"/>
          </w:tcPr>
          <w:p w:rsidR="00071046" w:rsidRPr="001C3085" w14:paraId="7494C6D8" w14:textId="77777777">
            <w:pPr>
              <w:widowControl/>
              <w:spacing w:line="276" w:lineRule="auto"/>
              <w:jc w:val="center"/>
              <w:rPr>
                <w:rFonts w:eastAsia="Calibri"/>
                <w:b/>
                <w:sz w:val="24"/>
                <w:szCs w:val="24"/>
              </w:rPr>
            </w:pPr>
            <w:r w:rsidRPr="001C3085">
              <w:rPr>
                <w:rFonts w:eastAsia="Calibri"/>
                <w:b/>
                <w:sz w:val="24"/>
                <w:szCs w:val="24"/>
              </w:rPr>
              <w:t>% of Effort</w:t>
            </w:r>
          </w:p>
        </w:tc>
        <w:tc>
          <w:tcPr>
            <w:tcW w:w="1320" w:type="dxa"/>
            <w:tcBorders>
              <w:top w:val="single" w:sz="8" w:space="0" w:color="000000"/>
              <w:left w:val="nil"/>
              <w:bottom w:val="single" w:sz="4" w:space="0" w:color="000000"/>
              <w:right w:val="single" w:sz="8" w:space="0" w:color="000000"/>
            </w:tcBorders>
            <w:shd w:val="clear" w:color="auto" w:fill="BDD7EE"/>
            <w:vAlign w:val="center"/>
          </w:tcPr>
          <w:p w:rsidR="00071046" w:rsidRPr="001C3085" w14:paraId="0A9D38F8" w14:textId="77777777">
            <w:pPr>
              <w:widowControl/>
              <w:spacing w:line="276" w:lineRule="auto"/>
              <w:jc w:val="center"/>
              <w:rPr>
                <w:rFonts w:eastAsia="Calibri"/>
                <w:b/>
                <w:sz w:val="24"/>
                <w:szCs w:val="24"/>
              </w:rPr>
            </w:pPr>
            <w:r w:rsidRPr="001C3085">
              <w:rPr>
                <w:rFonts w:eastAsia="Calibri"/>
                <w:b/>
                <w:sz w:val="24"/>
                <w:szCs w:val="24"/>
              </w:rPr>
              <w:t>Fringe (if Applicable)</w:t>
            </w:r>
          </w:p>
        </w:tc>
        <w:tc>
          <w:tcPr>
            <w:tcW w:w="2140" w:type="dxa"/>
            <w:tcBorders>
              <w:top w:val="single" w:sz="8" w:space="0" w:color="000000"/>
              <w:left w:val="nil"/>
              <w:bottom w:val="single" w:sz="4" w:space="0" w:color="000000"/>
              <w:right w:val="single" w:sz="8" w:space="0" w:color="000000"/>
            </w:tcBorders>
            <w:shd w:val="clear" w:color="auto" w:fill="BDD7EE"/>
            <w:vAlign w:val="center"/>
          </w:tcPr>
          <w:p w:rsidR="00071046" w:rsidRPr="001C3085" w14:paraId="4C9F362B" w14:textId="77777777">
            <w:pPr>
              <w:widowControl/>
              <w:spacing w:line="276" w:lineRule="auto"/>
              <w:jc w:val="center"/>
              <w:rPr>
                <w:rFonts w:eastAsia="Calibri"/>
                <w:b/>
                <w:sz w:val="24"/>
                <w:szCs w:val="24"/>
              </w:rPr>
            </w:pPr>
            <w:r w:rsidRPr="001C3085">
              <w:rPr>
                <w:rFonts w:eastAsia="Calibri"/>
                <w:b/>
                <w:sz w:val="24"/>
                <w:szCs w:val="24"/>
              </w:rPr>
              <w:t>Total Cost to Government</w:t>
            </w:r>
          </w:p>
        </w:tc>
      </w:tr>
      <w:tr w14:paraId="040AB380" w14:textId="77777777" w:rsidTr="00B350D0">
        <w:tblPrEx>
          <w:tblW w:w="9670" w:type="dxa"/>
          <w:tblInd w:w="-140" w:type="dxa"/>
          <w:tblLayout w:type="fixed"/>
          <w:tblLook w:val="0400"/>
        </w:tblPrEx>
        <w:trPr>
          <w:trHeight w:val="300"/>
        </w:trPr>
        <w:tc>
          <w:tcPr>
            <w:tcW w:w="2470" w:type="dxa"/>
            <w:gridSpan w:val="2"/>
            <w:tcBorders>
              <w:top w:val="single" w:sz="4" w:space="0" w:color="000000"/>
              <w:left w:val="single" w:sz="8" w:space="0" w:color="000000"/>
              <w:bottom w:val="single" w:sz="4" w:space="0" w:color="000000"/>
              <w:right w:val="single" w:sz="8" w:space="0" w:color="000000"/>
            </w:tcBorders>
            <w:shd w:val="clear" w:color="auto" w:fill="auto"/>
            <w:vAlign w:val="bottom"/>
          </w:tcPr>
          <w:p w:rsidR="00071046" w:rsidRPr="001C3085" w14:paraId="4D83B5A2" w14:textId="77777777">
            <w:pPr>
              <w:widowControl/>
              <w:spacing w:line="276" w:lineRule="auto"/>
              <w:rPr>
                <w:rFonts w:eastAsia="Calibri"/>
                <w:sz w:val="24"/>
                <w:szCs w:val="24"/>
              </w:rPr>
            </w:pPr>
            <w:r w:rsidRPr="001C3085">
              <w:rPr>
                <w:rFonts w:eastAsia="Calibri"/>
                <w:sz w:val="24"/>
                <w:szCs w:val="24"/>
              </w:rPr>
              <w:t>Federal Positions</w:t>
            </w:r>
          </w:p>
        </w:tc>
        <w:tc>
          <w:tcPr>
            <w:tcW w:w="1235" w:type="dxa"/>
            <w:tcBorders>
              <w:top w:val="single" w:sz="4" w:space="0" w:color="000000"/>
              <w:left w:val="nil"/>
              <w:bottom w:val="single" w:sz="4" w:space="0" w:color="000000"/>
              <w:right w:val="single" w:sz="4" w:space="0" w:color="000000"/>
            </w:tcBorders>
            <w:shd w:val="clear" w:color="auto" w:fill="auto"/>
            <w:vAlign w:val="bottom"/>
          </w:tcPr>
          <w:p w:rsidR="00071046" w:rsidRPr="001C3085" w14:paraId="50DBD913" w14:textId="77777777">
            <w:pPr>
              <w:widowControl/>
              <w:spacing w:line="276" w:lineRule="auto"/>
              <w:rPr>
                <w:rFonts w:eastAsia="Calibri"/>
                <w:sz w:val="24"/>
                <w:szCs w:val="24"/>
              </w:rPr>
            </w:pPr>
            <w:r w:rsidRPr="001C3085">
              <w:rPr>
                <w:rFonts w:eastAsia="Calibri"/>
                <w:sz w:val="24"/>
                <w:szCs w:val="24"/>
              </w:rPr>
              <w:t>ZA–IV</w:t>
            </w:r>
          </w:p>
        </w:tc>
        <w:tc>
          <w:tcPr>
            <w:tcW w:w="1425" w:type="dxa"/>
            <w:tcBorders>
              <w:top w:val="single" w:sz="4" w:space="0" w:color="000000"/>
              <w:left w:val="nil"/>
              <w:bottom w:val="single" w:sz="4" w:space="0" w:color="000000"/>
              <w:right w:val="single" w:sz="4" w:space="0" w:color="000000"/>
            </w:tcBorders>
            <w:shd w:val="clear" w:color="auto" w:fill="auto"/>
            <w:vAlign w:val="bottom"/>
          </w:tcPr>
          <w:p w:rsidR="00071046" w:rsidRPr="001C3085" w:rsidP="00494473" w14:paraId="1D2383D9" w14:textId="77777777">
            <w:pPr>
              <w:widowControl/>
              <w:spacing w:line="276" w:lineRule="auto"/>
              <w:jc w:val="right"/>
              <w:rPr>
                <w:rFonts w:eastAsia="Calibri"/>
                <w:sz w:val="24"/>
                <w:szCs w:val="24"/>
              </w:rPr>
            </w:pPr>
            <w:r w:rsidRPr="001C3085">
              <w:rPr>
                <w:rFonts w:eastAsia="Calibri"/>
                <w:sz w:val="24"/>
                <w:szCs w:val="24"/>
              </w:rPr>
              <w:t>$238,290</w:t>
            </w:r>
          </w:p>
        </w:tc>
        <w:tc>
          <w:tcPr>
            <w:tcW w:w="1080" w:type="dxa"/>
            <w:tcBorders>
              <w:top w:val="single" w:sz="4" w:space="0" w:color="000000"/>
              <w:left w:val="nil"/>
              <w:bottom w:val="single" w:sz="4" w:space="0" w:color="000000"/>
              <w:right w:val="single" w:sz="4" w:space="0" w:color="000000"/>
            </w:tcBorders>
            <w:shd w:val="clear" w:color="auto" w:fill="auto"/>
            <w:vAlign w:val="bottom"/>
          </w:tcPr>
          <w:p w:rsidR="00071046" w:rsidRPr="001C3085" w:rsidP="00B350D0" w14:paraId="7685DC6B" w14:textId="5B3922CF">
            <w:pPr>
              <w:widowControl/>
              <w:spacing w:line="276" w:lineRule="auto"/>
              <w:jc w:val="right"/>
              <w:rPr>
                <w:rFonts w:eastAsia="Calibri"/>
                <w:sz w:val="24"/>
                <w:szCs w:val="24"/>
              </w:rPr>
            </w:pPr>
            <w:r w:rsidRPr="001C3085">
              <w:rPr>
                <w:rFonts w:eastAsia="Calibri"/>
                <w:sz w:val="24"/>
                <w:szCs w:val="24"/>
              </w:rPr>
              <w:t>25%</w:t>
            </w:r>
          </w:p>
        </w:tc>
        <w:tc>
          <w:tcPr>
            <w:tcW w:w="1320" w:type="dxa"/>
            <w:tcBorders>
              <w:top w:val="single" w:sz="4" w:space="0" w:color="000000"/>
              <w:left w:val="nil"/>
              <w:bottom w:val="single" w:sz="4" w:space="0" w:color="000000"/>
              <w:right w:val="single" w:sz="4" w:space="0" w:color="000000"/>
            </w:tcBorders>
            <w:shd w:val="clear" w:color="auto" w:fill="808080"/>
            <w:vAlign w:val="bottom"/>
          </w:tcPr>
          <w:p w:rsidR="00071046" w:rsidRPr="001C3085" w:rsidP="00B350D0" w14:paraId="0865E4BE" w14:textId="77777777">
            <w:pPr>
              <w:widowControl/>
              <w:spacing w:line="276" w:lineRule="auto"/>
              <w:jc w:val="right"/>
              <w:rPr>
                <w:rFonts w:eastAsia="Calibri"/>
                <w:sz w:val="24"/>
                <w:szCs w:val="24"/>
              </w:rPr>
            </w:pPr>
          </w:p>
        </w:tc>
        <w:tc>
          <w:tcPr>
            <w:tcW w:w="2140" w:type="dxa"/>
            <w:tcBorders>
              <w:top w:val="single" w:sz="4" w:space="0" w:color="000000"/>
              <w:left w:val="nil"/>
              <w:bottom w:val="single" w:sz="4" w:space="0" w:color="000000"/>
              <w:right w:val="single" w:sz="8" w:space="0" w:color="000000"/>
            </w:tcBorders>
            <w:shd w:val="clear" w:color="auto" w:fill="auto"/>
            <w:vAlign w:val="bottom"/>
          </w:tcPr>
          <w:p w:rsidR="00071046" w:rsidRPr="001C3085" w:rsidP="00B350D0" w14:paraId="480507D8" w14:textId="7A67EDA4">
            <w:pPr>
              <w:widowControl/>
              <w:spacing w:line="276" w:lineRule="auto"/>
              <w:jc w:val="right"/>
              <w:rPr>
                <w:rFonts w:eastAsia="Calibri"/>
                <w:sz w:val="24"/>
                <w:szCs w:val="24"/>
              </w:rPr>
            </w:pPr>
            <w:r>
              <w:rPr>
                <w:rFonts w:eastAsia="Calibri"/>
                <w:sz w:val="24"/>
                <w:szCs w:val="24"/>
              </w:rPr>
              <w:t>$</w:t>
            </w:r>
            <w:r w:rsidRPr="001C3085" w:rsidR="00F5511E">
              <w:rPr>
                <w:rFonts w:eastAsia="Calibri"/>
                <w:sz w:val="24"/>
                <w:szCs w:val="24"/>
              </w:rPr>
              <w:t>59,572.50</w:t>
            </w:r>
          </w:p>
        </w:tc>
      </w:tr>
      <w:tr w14:paraId="71AC0D1C" w14:textId="77777777" w:rsidTr="00B350D0">
        <w:tblPrEx>
          <w:tblW w:w="9670" w:type="dxa"/>
          <w:tblInd w:w="-140" w:type="dxa"/>
          <w:tblLayout w:type="fixed"/>
          <w:tblLook w:val="0400"/>
        </w:tblPrEx>
        <w:trPr>
          <w:trHeight w:val="465"/>
        </w:trPr>
        <w:tc>
          <w:tcPr>
            <w:tcW w:w="2470" w:type="dxa"/>
            <w:gridSpan w:val="2"/>
            <w:tcBorders>
              <w:top w:val="nil"/>
              <w:left w:val="single" w:sz="8" w:space="0" w:color="000000"/>
              <w:bottom w:val="single" w:sz="4" w:space="0" w:color="000000"/>
              <w:right w:val="single" w:sz="8" w:space="0" w:color="000000"/>
            </w:tcBorders>
            <w:shd w:val="clear" w:color="auto" w:fill="auto"/>
            <w:vAlign w:val="bottom"/>
          </w:tcPr>
          <w:p w:rsidR="00071046" w:rsidRPr="001C3085" w14:paraId="2994FAA9" w14:textId="77777777">
            <w:pPr>
              <w:widowControl/>
              <w:spacing w:line="276" w:lineRule="auto"/>
              <w:rPr>
                <w:rFonts w:eastAsia="Calibri"/>
                <w:b/>
                <w:sz w:val="24"/>
                <w:szCs w:val="24"/>
              </w:rPr>
            </w:pPr>
            <w:r w:rsidRPr="001C3085">
              <w:rPr>
                <w:rFonts w:eastAsia="Calibri"/>
                <w:b/>
                <w:sz w:val="24"/>
                <w:szCs w:val="24"/>
              </w:rPr>
              <w:t>Contractor Cost</w:t>
            </w:r>
          </w:p>
        </w:tc>
        <w:tc>
          <w:tcPr>
            <w:tcW w:w="1235" w:type="dxa"/>
            <w:tcBorders>
              <w:top w:val="nil"/>
              <w:left w:val="nil"/>
              <w:bottom w:val="single" w:sz="4" w:space="0" w:color="000000"/>
              <w:right w:val="single" w:sz="4" w:space="0" w:color="000000"/>
            </w:tcBorders>
            <w:shd w:val="clear" w:color="auto" w:fill="808080"/>
            <w:vAlign w:val="bottom"/>
          </w:tcPr>
          <w:p w:rsidR="00071046" w:rsidRPr="001C3085" w14:paraId="5360F1F8" w14:textId="77777777">
            <w:pPr>
              <w:widowControl/>
              <w:spacing w:line="276" w:lineRule="auto"/>
              <w:rPr>
                <w:rFonts w:eastAsia="Calibri"/>
                <w:sz w:val="24"/>
                <w:szCs w:val="24"/>
              </w:rPr>
            </w:pPr>
          </w:p>
        </w:tc>
        <w:tc>
          <w:tcPr>
            <w:tcW w:w="1425" w:type="dxa"/>
            <w:tcBorders>
              <w:top w:val="nil"/>
              <w:left w:val="nil"/>
              <w:bottom w:val="single" w:sz="4" w:space="0" w:color="000000"/>
              <w:right w:val="single" w:sz="4" w:space="0" w:color="000000"/>
            </w:tcBorders>
            <w:shd w:val="clear" w:color="auto" w:fill="auto"/>
            <w:vAlign w:val="bottom"/>
          </w:tcPr>
          <w:p w:rsidR="00071046" w:rsidRPr="001C3085" w14:paraId="492FA95C" w14:textId="77777777">
            <w:pPr>
              <w:widowControl/>
              <w:spacing w:line="276" w:lineRule="auto"/>
              <w:rPr>
                <w:rFonts w:eastAsia="Calibri"/>
                <w:sz w:val="24"/>
                <w:szCs w:val="24"/>
              </w:rPr>
            </w:pPr>
          </w:p>
        </w:tc>
        <w:tc>
          <w:tcPr>
            <w:tcW w:w="1080" w:type="dxa"/>
            <w:tcBorders>
              <w:top w:val="nil"/>
              <w:left w:val="nil"/>
              <w:bottom w:val="single" w:sz="4" w:space="0" w:color="000000"/>
              <w:right w:val="single" w:sz="4" w:space="0" w:color="000000"/>
            </w:tcBorders>
            <w:shd w:val="clear" w:color="auto" w:fill="auto"/>
            <w:vAlign w:val="bottom"/>
          </w:tcPr>
          <w:p w:rsidR="00071046" w:rsidRPr="001C3085" w14:paraId="44810856" w14:textId="77777777">
            <w:pPr>
              <w:widowControl/>
              <w:spacing w:line="276" w:lineRule="auto"/>
              <w:rPr>
                <w:rFonts w:eastAsia="Calibri"/>
                <w:sz w:val="24"/>
                <w:szCs w:val="24"/>
              </w:rPr>
            </w:pPr>
          </w:p>
        </w:tc>
        <w:tc>
          <w:tcPr>
            <w:tcW w:w="1320" w:type="dxa"/>
            <w:tcBorders>
              <w:top w:val="nil"/>
              <w:left w:val="nil"/>
              <w:bottom w:val="single" w:sz="4" w:space="0" w:color="000000"/>
              <w:right w:val="single" w:sz="4" w:space="0" w:color="000000"/>
            </w:tcBorders>
            <w:shd w:val="clear" w:color="auto" w:fill="auto"/>
            <w:vAlign w:val="bottom"/>
          </w:tcPr>
          <w:p w:rsidR="00071046" w:rsidRPr="001C3085" w14:paraId="2529A3E2" w14:textId="77777777">
            <w:pPr>
              <w:widowControl/>
              <w:spacing w:line="276" w:lineRule="auto"/>
              <w:rPr>
                <w:rFonts w:eastAsia="Calibri"/>
                <w:sz w:val="24"/>
                <w:szCs w:val="24"/>
              </w:rPr>
            </w:pPr>
          </w:p>
        </w:tc>
        <w:tc>
          <w:tcPr>
            <w:tcW w:w="2140" w:type="dxa"/>
            <w:tcBorders>
              <w:top w:val="nil"/>
              <w:left w:val="nil"/>
              <w:bottom w:val="single" w:sz="4" w:space="0" w:color="000000"/>
              <w:right w:val="single" w:sz="8" w:space="0" w:color="000000"/>
            </w:tcBorders>
            <w:shd w:val="clear" w:color="auto" w:fill="auto"/>
            <w:vAlign w:val="bottom"/>
          </w:tcPr>
          <w:p w:rsidR="00071046" w:rsidRPr="001C3085" w14:paraId="4980EA5F" w14:textId="77777777">
            <w:pPr>
              <w:widowControl/>
              <w:spacing w:line="276" w:lineRule="auto"/>
              <w:rPr>
                <w:rFonts w:eastAsia="Calibri"/>
                <w:sz w:val="24"/>
                <w:szCs w:val="24"/>
              </w:rPr>
            </w:pPr>
          </w:p>
        </w:tc>
      </w:tr>
      <w:tr w14:paraId="273369AE" w14:textId="77777777" w:rsidTr="00B350D0">
        <w:tblPrEx>
          <w:tblW w:w="9670" w:type="dxa"/>
          <w:tblInd w:w="-140" w:type="dxa"/>
          <w:tblLayout w:type="fixed"/>
          <w:tblLook w:val="0400"/>
        </w:tblPrEx>
        <w:trPr>
          <w:trHeight w:val="300"/>
        </w:trPr>
        <w:tc>
          <w:tcPr>
            <w:tcW w:w="1210" w:type="dxa"/>
            <w:vMerge w:val="restart"/>
            <w:tcBorders>
              <w:top w:val="nil"/>
              <w:left w:val="single" w:sz="8" w:space="0" w:color="000000"/>
              <w:right w:val="single" w:sz="8" w:space="0" w:color="000000"/>
            </w:tcBorders>
            <w:shd w:val="clear" w:color="auto" w:fill="auto"/>
            <w:vAlign w:val="center"/>
          </w:tcPr>
          <w:p w:rsidR="00ED19E8" w:rsidRPr="001C3085" w:rsidP="00494473" w14:paraId="4ED5EFAD" w14:textId="3723B50E">
            <w:pPr>
              <w:widowControl/>
              <w:spacing w:line="276" w:lineRule="auto"/>
              <w:rPr>
                <w:rFonts w:eastAsia="Calibri"/>
                <w:b/>
                <w:bCs/>
                <w:sz w:val="24"/>
                <w:szCs w:val="24"/>
              </w:rPr>
            </w:pPr>
            <w:r w:rsidRPr="001C3085">
              <w:rPr>
                <w:rFonts w:eastAsia="Calibri"/>
                <w:b/>
                <w:bCs/>
                <w:sz w:val="24"/>
                <w:szCs w:val="24"/>
              </w:rPr>
              <w:t>Survey Vendor Cost breakdown</w:t>
            </w:r>
          </w:p>
        </w:tc>
        <w:tc>
          <w:tcPr>
            <w:tcW w:w="1260" w:type="dxa"/>
            <w:tcBorders>
              <w:top w:val="nil"/>
              <w:left w:val="single" w:sz="8" w:space="0" w:color="000000"/>
              <w:bottom w:val="single" w:sz="4" w:space="0" w:color="000000"/>
              <w:right w:val="single" w:sz="8" w:space="0" w:color="000000"/>
            </w:tcBorders>
            <w:shd w:val="clear" w:color="auto" w:fill="auto"/>
            <w:vAlign w:val="bottom"/>
          </w:tcPr>
          <w:p w:rsidR="00ED19E8" w:rsidRPr="001C3085" w:rsidP="00ED19E8" w14:paraId="7E437CD9" w14:textId="7DC73772">
            <w:pPr>
              <w:widowControl/>
              <w:spacing w:line="276" w:lineRule="auto"/>
              <w:rPr>
                <w:rFonts w:eastAsia="Calibri"/>
                <w:sz w:val="24"/>
                <w:szCs w:val="24"/>
              </w:rPr>
            </w:pPr>
            <w:r w:rsidRPr="001C3085">
              <w:rPr>
                <w:rFonts w:eastAsia="Calibri"/>
                <w:sz w:val="24"/>
                <w:szCs w:val="24"/>
              </w:rPr>
              <w:t>Printing</w:t>
            </w:r>
          </w:p>
        </w:tc>
        <w:tc>
          <w:tcPr>
            <w:tcW w:w="1235" w:type="dxa"/>
            <w:tcBorders>
              <w:top w:val="nil"/>
              <w:left w:val="nil"/>
              <w:bottom w:val="single" w:sz="4" w:space="0" w:color="000000"/>
              <w:right w:val="single" w:sz="4" w:space="0" w:color="000000"/>
            </w:tcBorders>
            <w:shd w:val="clear" w:color="auto" w:fill="auto"/>
            <w:vAlign w:val="bottom"/>
          </w:tcPr>
          <w:p w:rsidR="00ED19E8" w:rsidRPr="001C3085" w:rsidP="00ED19E8" w14:paraId="7E198A83" w14:textId="77777777">
            <w:pPr>
              <w:widowControl/>
              <w:spacing w:line="276" w:lineRule="auto"/>
              <w:rPr>
                <w:rFonts w:eastAsia="Calibri"/>
                <w:sz w:val="24"/>
                <w:szCs w:val="24"/>
              </w:rPr>
            </w:pPr>
          </w:p>
        </w:tc>
        <w:tc>
          <w:tcPr>
            <w:tcW w:w="1425" w:type="dxa"/>
            <w:tcBorders>
              <w:top w:val="nil"/>
              <w:left w:val="nil"/>
              <w:bottom w:val="single" w:sz="4" w:space="0" w:color="000000"/>
              <w:right w:val="single" w:sz="4" w:space="0" w:color="000000"/>
            </w:tcBorders>
            <w:shd w:val="clear" w:color="auto" w:fill="auto"/>
            <w:vAlign w:val="bottom"/>
          </w:tcPr>
          <w:p w:rsidR="00ED19E8" w:rsidRPr="001C3085" w:rsidP="00B350D0" w14:paraId="34E3C332" w14:textId="0014987B">
            <w:pPr>
              <w:widowControl/>
              <w:spacing w:line="276" w:lineRule="auto"/>
              <w:jc w:val="right"/>
              <w:rPr>
                <w:rFonts w:eastAsia="Calibri"/>
                <w:sz w:val="24"/>
                <w:szCs w:val="24"/>
              </w:rPr>
            </w:pPr>
            <w:r>
              <w:rPr>
                <w:rFonts w:eastAsia="Calibri"/>
                <w:sz w:val="24"/>
                <w:szCs w:val="24"/>
              </w:rPr>
              <w:t>$</w:t>
            </w:r>
            <w:r w:rsidRPr="001C3085">
              <w:rPr>
                <w:rFonts w:eastAsia="Calibri"/>
                <w:sz w:val="24"/>
                <w:szCs w:val="24"/>
              </w:rPr>
              <w:t>38</w:t>
            </w:r>
            <w:r>
              <w:rPr>
                <w:rFonts w:eastAsia="Calibri"/>
                <w:sz w:val="24"/>
                <w:szCs w:val="24"/>
              </w:rPr>
              <w:t>,</w:t>
            </w:r>
            <w:r w:rsidRPr="001C3085">
              <w:rPr>
                <w:rFonts w:eastAsia="Calibri"/>
                <w:sz w:val="24"/>
                <w:szCs w:val="24"/>
              </w:rPr>
              <w:t>000</w:t>
            </w:r>
          </w:p>
        </w:tc>
        <w:tc>
          <w:tcPr>
            <w:tcW w:w="1080" w:type="dxa"/>
            <w:tcBorders>
              <w:top w:val="nil"/>
              <w:left w:val="nil"/>
              <w:bottom w:val="single" w:sz="4" w:space="0" w:color="000000"/>
              <w:right w:val="single" w:sz="4" w:space="0" w:color="000000"/>
            </w:tcBorders>
            <w:shd w:val="clear" w:color="auto" w:fill="auto"/>
            <w:vAlign w:val="bottom"/>
          </w:tcPr>
          <w:p w:rsidR="00ED19E8" w:rsidRPr="001C3085" w:rsidP="00ED19E8" w14:paraId="20C41588" w14:textId="77777777">
            <w:pPr>
              <w:widowControl/>
              <w:spacing w:line="276" w:lineRule="auto"/>
              <w:rPr>
                <w:rFonts w:eastAsia="Calibri"/>
                <w:sz w:val="24"/>
                <w:szCs w:val="24"/>
              </w:rPr>
            </w:pPr>
          </w:p>
        </w:tc>
        <w:tc>
          <w:tcPr>
            <w:tcW w:w="1320" w:type="dxa"/>
            <w:tcBorders>
              <w:top w:val="nil"/>
              <w:left w:val="nil"/>
              <w:bottom w:val="single" w:sz="4" w:space="0" w:color="000000"/>
              <w:right w:val="single" w:sz="4" w:space="0" w:color="000000"/>
            </w:tcBorders>
            <w:shd w:val="clear" w:color="auto" w:fill="auto"/>
            <w:vAlign w:val="bottom"/>
          </w:tcPr>
          <w:p w:rsidR="00ED19E8" w:rsidRPr="001C3085" w:rsidP="00ED19E8" w14:paraId="1D7AB702" w14:textId="77777777">
            <w:pPr>
              <w:widowControl/>
              <w:spacing w:line="276" w:lineRule="auto"/>
              <w:rPr>
                <w:rFonts w:eastAsia="Calibri"/>
                <w:sz w:val="24"/>
                <w:szCs w:val="24"/>
              </w:rPr>
            </w:pPr>
          </w:p>
        </w:tc>
        <w:tc>
          <w:tcPr>
            <w:tcW w:w="2140" w:type="dxa"/>
            <w:tcBorders>
              <w:top w:val="nil"/>
              <w:left w:val="nil"/>
              <w:bottom w:val="single" w:sz="4" w:space="0" w:color="000000"/>
              <w:right w:val="single" w:sz="8" w:space="0" w:color="000000"/>
            </w:tcBorders>
            <w:shd w:val="clear" w:color="auto" w:fill="auto"/>
            <w:vAlign w:val="bottom"/>
          </w:tcPr>
          <w:p w:rsidR="00ED19E8" w:rsidRPr="001C3085" w:rsidP="00ED19E8" w14:paraId="07CB8ED6" w14:textId="77777777">
            <w:pPr>
              <w:widowControl/>
              <w:spacing w:line="276" w:lineRule="auto"/>
              <w:rPr>
                <w:rFonts w:eastAsia="Calibri"/>
                <w:sz w:val="24"/>
                <w:szCs w:val="24"/>
              </w:rPr>
            </w:pPr>
          </w:p>
        </w:tc>
      </w:tr>
      <w:tr w14:paraId="225FFDE6" w14:textId="77777777" w:rsidTr="00B350D0">
        <w:tblPrEx>
          <w:tblW w:w="9670" w:type="dxa"/>
          <w:tblInd w:w="-140" w:type="dxa"/>
          <w:tblLayout w:type="fixed"/>
          <w:tblLook w:val="0400"/>
        </w:tblPrEx>
        <w:trPr>
          <w:trHeight w:val="300"/>
        </w:trPr>
        <w:tc>
          <w:tcPr>
            <w:tcW w:w="1210" w:type="dxa"/>
            <w:vMerge/>
            <w:tcBorders>
              <w:left w:val="single" w:sz="8" w:space="0" w:color="000000"/>
              <w:right w:val="single" w:sz="8" w:space="0" w:color="000000"/>
            </w:tcBorders>
            <w:shd w:val="clear" w:color="auto" w:fill="auto"/>
            <w:vAlign w:val="bottom"/>
          </w:tcPr>
          <w:p w:rsidR="00ED19E8" w:rsidRPr="001C3085" w:rsidP="00ED19E8" w14:paraId="0843FED9" w14:textId="7236908A">
            <w:pPr>
              <w:widowControl/>
              <w:spacing w:line="276" w:lineRule="auto"/>
              <w:rPr>
                <w:rFonts w:eastAsia="Calibri"/>
                <w:sz w:val="24"/>
                <w:szCs w:val="24"/>
              </w:rPr>
            </w:pPr>
          </w:p>
        </w:tc>
        <w:tc>
          <w:tcPr>
            <w:tcW w:w="1260" w:type="dxa"/>
            <w:tcBorders>
              <w:top w:val="nil"/>
              <w:left w:val="single" w:sz="8" w:space="0" w:color="000000"/>
              <w:bottom w:val="single" w:sz="4" w:space="0" w:color="000000"/>
              <w:right w:val="single" w:sz="8" w:space="0" w:color="000000"/>
            </w:tcBorders>
            <w:shd w:val="clear" w:color="auto" w:fill="auto"/>
            <w:vAlign w:val="bottom"/>
          </w:tcPr>
          <w:p w:rsidR="00ED19E8" w:rsidRPr="001C3085" w:rsidP="00ED19E8" w14:paraId="7A6A0C0D" w14:textId="5EA70560">
            <w:pPr>
              <w:widowControl/>
              <w:spacing w:line="276" w:lineRule="auto"/>
              <w:rPr>
                <w:rFonts w:eastAsia="Calibri"/>
                <w:sz w:val="24"/>
                <w:szCs w:val="24"/>
              </w:rPr>
            </w:pPr>
            <w:r w:rsidRPr="001C3085">
              <w:rPr>
                <w:rFonts w:eastAsia="Calibri"/>
                <w:sz w:val="24"/>
                <w:szCs w:val="24"/>
              </w:rPr>
              <w:t>Postage</w:t>
            </w:r>
          </w:p>
        </w:tc>
        <w:tc>
          <w:tcPr>
            <w:tcW w:w="1235" w:type="dxa"/>
            <w:tcBorders>
              <w:top w:val="nil"/>
              <w:left w:val="nil"/>
              <w:bottom w:val="single" w:sz="4" w:space="0" w:color="000000"/>
              <w:right w:val="single" w:sz="4" w:space="0" w:color="000000"/>
            </w:tcBorders>
            <w:shd w:val="clear" w:color="auto" w:fill="auto"/>
            <w:vAlign w:val="bottom"/>
          </w:tcPr>
          <w:p w:rsidR="00ED19E8" w:rsidRPr="001C3085" w:rsidP="00ED19E8" w14:paraId="515D58BD" w14:textId="77777777">
            <w:pPr>
              <w:widowControl/>
              <w:spacing w:line="276" w:lineRule="auto"/>
              <w:rPr>
                <w:rFonts w:eastAsia="Calibri"/>
                <w:sz w:val="24"/>
                <w:szCs w:val="24"/>
              </w:rPr>
            </w:pPr>
          </w:p>
        </w:tc>
        <w:tc>
          <w:tcPr>
            <w:tcW w:w="1425" w:type="dxa"/>
            <w:tcBorders>
              <w:top w:val="nil"/>
              <w:left w:val="nil"/>
              <w:bottom w:val="single" w:sz="4" w:space="0" w:color="000000"/>
              <w:right w:val="single" w:sz="4" w:space="0" w:color="000000"/>
            </w:tcBorders>
            <w:shd w:val="clear" w:color="auto" w:fill="auto"/>
            <w:vAlign w:val="bottom"/>
          </w:tcPr>
          <w:p w:rsidR="00ED19E8" w:rsidRPr="001C3085" w:rsidP="00B350D0" w14:paraId="05223AFB" w14:textId="312A4960">
            <w:pPr>
              <w:widowControl/>
              <w:spacing w:line="276" w:lineRule="auto"/>
              <w:jc w:val="right"/>
              <w:rPr>
                <w:rFonts w:eastAsia="Calibri"/>
                <w:sz w:val="24"/>
                <w:szCs w:val="24"/>
              </w:rPr>
            </w:pPr>
            <w:r>
              <w:rPr>
                <w:rFonts w:eastAsia="Calibri"/>
                <w:sz w:val="24"/>
                <w:szCs w:val="24"/>
              </w:rPr>
              <w:t>$</w:t>
            </w:r>
            <w:r w:rsidRPr="001C3085">
              <w:rPr>
                <w:rFonts w:eastAsia="Calibri"/>
                <w:sz w:val="24"/>
                <w:szCs w:val="24"/>
              </w:rPr>
              <w:t>15</w:t>
            </w:r>
            <w:r>
              <w:rPr>
                <w:rFonts w:eastAsia="Calibri"/>
                <w:sz w:val="24"/>
                <w:szCs w:val="24"/>
              </w:rPr>
              <w:t>,</w:t>
            </w:r>
            <w:r w:rsidRPr="001C3085">
              <w:rPr>
                <w:rFonts w:eastAsia="Calibri"/>
                <w:sz w:val="24"/>
                <w:szCs w:val="24"/>
              </w:rPr>
              <w:t>000</w:t>
            </w:r>
          </w:p>
        </w:tc>
        <w:tc>
          <w:tcPr>
            <w:tcW w:w="1080" w:type="dxa"/>
            <w:tcBorders>
              <w:top w:val="nil"/>
              <w:left w:val="nil"/>
              <w:bottom w:val="single" w:sz="4" w:space="0" w:color="000000"/>
              <w:right w:val="single" w:sz="4" w:space="0" w:color="000000"/>
            </w:tcBorders>
            <w:shd w:val="clear" w:color="auto" w:fill="auto"/>
            <w:vAlign w:val="bottom"/>
          </w:tcPr>
          <w:p w:rsidR="00ED19E8" w:rsidRPr="001C3085" w:rsidP="00ED19E8" w14:paraId="0D3D6D61" w14:textId="77777777">
            <w:pPr>
              <w:widowControl/>
              <w:spacing w:line="276" w:lineRule="auto"/>
              <w:rPr>
                <w:rFonts w:eastAsia="Calibri"/>
                <w:sz w:val="24"/>
                <w:szCs w:val="24"/>
              </w:rPr>
            </w:pPr>
          </w:p>
        </w:tc>
        <w:tc>
          <w:tcPr>
            <w:tcW w:w="1320" w:type="dxa"/>
            <w:tcBorders>
              <w:top w:val="nil"/>
              <w:left w:val="nil"/>
              <w:bottom w:val="single" w:sz="4" w:space="0" w:color="000000"/>
              <w:right w:val="single" w:sz="4" w:space="0" w:color="000000"/>
            </w:tcBorders>
            <w:shd w:val="clear" w:color="auto" w:fill="auto"/>
            <w:vAlign w:val="bottom"/>
          </w:tcPr>
          <w:p w:rsidR="00ED19E8" w:rsidRPr="001C3085" w:rsidP="00ED19E8" w14:paraId="0899CC94" w14:textId="77777777">
            <w:pPr>
              <w:widowControl/>
              <w:spacing w:line="276" w:lineRule="auto"/>
              <w:rPr>
                <w:rFonts w:eastAsia="Calibri"/>
                <w:sz w:val="24"/>
                <w:szCs w:val="24"/>
              </w:rPr>
            </w:pPr>
          </w:p>
        </w:tc>
        <w:tc>
          <w:tcPr>
            <w:tcW w:w="2140" w:type="dxa"/>
            <w:tcBorders>
              <w:top w:val="nil"/>
              <w:left w:val="nil"/>
              <w:bottom w:val="single" w:sz="4" w:space="0" w:color="000000"/>
              <w:right w:val="single" w:sz="8" w:space="0" w:color="000000"/>
            </w:tcBorders>
            <w:shd w:val="clear" w:color="auto" w:fill="auto"/>
            <w:vAlign w:val="bottom"/>
          </w:tcPr>
          <w:p w:rsidR="00ED19E8" w:rsidRPr="001C3085" w:rsidP="00ED19E8" w14:paraId="0F49EEEF" w14:textId="77777777">
            <w:pPr>
              <w:widowControl/>
              <w:spacing w:line="276" w:lineRule="auto"/>
              <w:rPr>
                <w:rFonts w:eastAsia="Calibri"/>
                <w:sz w:val="24"/>
                <w:szCs w:val="24"/>
              </w:rPr>
            </w:pPr>
          </w:p>
        </w:tc>
      </w:tr>
      <w:tr w14:paraId="587DE51B" w14:textId="77777777" w:rsidTr="00B350D0">
        <w:tblPrEx>
          <w:tblW w:w="9670" w:type="dxa"/>
          <w:tblInd w:w="-140" w:type="dxa"/>
          <w:tblLayout w:type="fixed"/>
          <w:tblLook w:val="0400"/>
        </w:tblPrEx>
        <w:trPr>
          <w:trHeight w:val="300"/>
        </w:trPr>
        <w:tc>
          <w:tcPr>
            <w:tcW w:w="1210" w:type="dxa"/>
            <w:vMerge/>
            <w:tcBorders>
              <w:left w:val="single" w:sz="8" w:space="0" w:color="000000"/>
              <w:right w:val="single" w:sz="8" w:space="0" w:color="000000"/>
            </w:tcBorders>
            <w:shd w:val="clear" w:color="auto" w:fill="auto"/>
            <w:vAlign w:val="bottom"/>
          </w:tcPr>
          <w:p w:rsidR="00ED19E8" w:rsidRPr="001C3085" w:rsidP="00ED19E8" w14:paraId="41628E73" w14:textId="325402AF">
            <w:pPr>
              <w:widowControl/>
              <w:spacing w:line="276" w:lineRule="auto"/>
              <w:rPr>
                <w:rFonts w:eastAsia="Calibri"/>
                <w:sz w:val="24"/>
                <w:szCs w:val="24"/>
              </w:rPr>
            </w:pPr>
          </w:p>
        </w:tc>
        <w:tc>
          <w:tcPr>
            <w:tcW w:w="1260" w:type="dxa"/>
            <w:tcBorders>
              <w:top w:val="nil"/>
              <w:left w:val="single" w:sz="8" w:space="0" w:color="000000"/>
              <w:bottom w:val="single" w:sz="4" w:space="0" w:color="000000"/>
              <w:right w:val="single" w:sz="8" w:space="0" w:color="000000"/>
            </w:tcBorders>
            <w:shd w:val="clear" w:color="auto" w:fill="auto"/>
            <w:vAlign w:val="bottom"/>
          </w:tcPr>
          <w:p w:rsidR="00ED19E8" w:rsidRPr="001C3085" w:rsidP="00ED19E8" w14:paraId="579C2770" w14:textId="69366274">
            <w:pPr>
              <w:widowControl/>
              <w:spacing w:line="276" w:lineRule="auto"/>
              <w:rPr>
                <w:rFonts w:eastAsia="Calibri"/>
                <w:sz w:val="24"/>
                <w:szCs w:val="24"/>
              </w:rPr>
            </w:pPr>
            <w:r>
              <w:rPr>
                <w:rFonts w:eastAsia="Calibri"/>
                <w:sz w:val="24"/>
                <w:szCs w:val="24"/>
              </w:rPr>
              <w:t xml:space="preserve">Address </w:t>
            </w:r>
            <w:r w:rsidRPr="001C3085">
              <w:rPr>
                <w:rFonts w:eastAsia="Calibri"/>
                <w:sz w:val="24"/>
                <w:szCs w:val="24"/>
              </w:rPr>
              <w:t>Frame purchase</w:t>
            </w:r>
          </w:p>
        </w:tc>
        <w:tc>
          <w:tcPr>
            <w:tcW w:w="1235" w:type="dxa"/>
            <w:tcBorders>
              <w:top w:val="nil"/>
              <w:left w:val="nil"/>
              <w:bottom w:val="single" w:sz="4" w:space="0" w:color="000000"/>
              <w:right w:val="single" w:sz="4" w:space="0" w:color="000000"/>
            </w:tcBorders>
            <w:shd w:val="clear" w:color="auto" w:fill="auto"/>
            <w:vAlign w:val="bottom"/>
          </w:tcPr>
          <w:p w:rsidR="00ED19E8" w:rsidRPr="001C3085" w:rsidP="00ED19E8" w14:paraId="1CA1C716" w14:textId="77777777">
            <w:pPr>
              <w:widowControl/>
              <w:spacing w:line="276" w:lineRule="auto"/>
              <w:rPr>
                <w:rFonts w:eastAsia="Calibri"/>
                <w:sz w:val="24"/>
                <w:szCs w:val="24"/>
              </w:rPr>
            </w:pPr>
          </w:p>
        </w:tc>
        <w:tc>
          <w:tcPr>
            <w:tcW w:w="1425" w:type="dxa"/>
            <w:tcBorders>
              <w:top w:val="nil"/>
              <w:left w:val="nil"/>
              <w:bottom w:val="single" w:sz="4" w:space="0" w:color="000000"/>
              <w:right w:val="single" w:sz="4" w:space="0" w:color="000000"/>
            </w:tcBorders>
            <w:shd w:val="clear" w:color="auto" w:fill="auto"/>
            <w:vAlign w:val="bottom"/>
          </w:tcPr>
          <w:p w:rsidR="00ED19E8" w:rsidRPr="001C3085" w:rsidP="00B350D0" w14:paraId="055F50D7" w14:textId="3E4DC58A">
            <w:pPr>
              <w:widowControl/>
              <w:spacing w:line="276" w:lineRule="auto"/>
              <w:jc w:val="right"/>
              <w:rPr>
                <w:rFonts w:eastAsia="Calibri"/>
                <w:sz w:val="24"/>
                <w:szCs w:val="24"/>
              </w:rPr>
            </w:pPr>
            <w:r>
              <w:rPr>
                <w:rFonts w:eastAsia="Calibri"/>
                <w:sz w:val="24"/>
                <w:szCs w:val="24"/>
              </w:rPr>
              <w:t>$</w:t>
            </w:r>
            <w:r w:rsidRPr="001C3085">
              <w:rPr>
                <w:rFonts w:eastAsia="Calibri"/>
                <w:sz w:val="24"/>
                <w:szCs w:val="24"/>
              </w:rPr>
              <w:t>10</w:t>
            </w:r>
            <w:r>
              <w:rPr>
                <w:rFonts w:eastAsia="Calibri"/>
                <w:sz w:val="24"/>
                <w:szCs w:val="24"/>
              </w:rPr>
              <w:t>,</w:t>
            </w:r>
            <w:r w:rsidRPr="001C3085">
              <w:rPr>
                <w:rFonts w:eastAsia="Calibri"/>
                <w:sz w:val="24"/>
                <w:szCs w:val="24"/>
              </w:rPr>
              <w:t>000</w:t>
            </w:r>
          </w:p>
        </w:tc>
        <w:tc>
          <w:tcPr>
            <w:tcW w:w="1080" w:type="dxa"/>
            <w:tcBorders>
              <w:top w:val="nil"/>
              <w:left w:val="nil"/>
              <w:bottom w:val="single" w:sz="4" w:space="0" w:color="000000"/>
              <w:right w:val="single" w:sz="4" w:space="0" w:color="000000"/>
            </w:tcBorders>
            <w:shd w:val="clear" w:color="auto" w:fill="auto"/>
            <w:vAlign w:val="bottom"/>
          </w:tcPr>
          <w:p w:rsidR="00ED19E8" w:rsidRPr="001C3085" w:rsidP="00ED19E8" w14:paraId="34AD0446" w14:textId="77777777">
            <w:pPr>
              <w:widowControl/>
              <w:spacing w:line="276" w:lineRule="auto"/>
              <w:rPr>
                <w:rFonts w:eastAsia="Calibri"/>
                <w:sz w:val="24"/>
                <w:szCs w:val="24"/>
              </w:rPr>
            </w:pPr>
          </w:p>
        </w:tc>
        <w:tc>
          <w:tcPr>
            <w:tcW w:w="1320" w:type="dxa"/>
            <w:tcBorders>
              <w:top w:val="nil"/>
              <w:left w:val="nil"/>
              <w:bottom w:val="single" w:sz="4" w:space="0" w:color="000000"/>
              <w:right w:val="single" w:sz="4" w:space="0" w:color="000000"/>
            </w:tcBorders>
            <w:shd w:val="clear" w:color="auto" w:fill="auto"/>
            <w:vAlign w:val="bottom"/>
          </w:tcPr>
          <w:p w:rsidR="00ED19E8" w:rsidRPr="001C3085" w:rsidP="00ED19E8" w14:paraId="6C89C5CC" w14:textId="77777777">
            <w:pPr>
              <w:widowControl/>
              <w:spacing w:line="276" w:lineRule="auto"/>
              <w:rPr>
                <w:rFonts w:eastAsia="Calibri"/>
                <w:sz w:val="24"/>
                <w:szCs w:val="24"/>
              </w:rPr>
            </w:pPr>
          </w:p>
        </w:tc>
        <w:tc>
          <w:tcPr>
            <w:tcW w:w="2140" w:type="dxa"/>
            <w:tcBorders>
              <w:top w:val="nil"/>
              <w:left w:val="nil"/>
              <w:bottom w:val="single" w:sz="4" w:space="0" w:color="000000"/>
              <w:right w:val="single" w:sz="8" w:space="0" w:color="000000"/>
            </w:tcBorders>
            <w:shd w:val="clear" w:color="auto" w:fill="auto"/>
            <w:vAlign w:val="bottom"/>
          </w:tcPr>
          <w:p w:rsidR="00ED19E8" w:rsidRPr="001C3085" w:rsidP="00ED19E8" w14:paraId="7C76112D" w14:textId="77777777">
            <w:pPr>
              <w:widowControl/>
              <w:spacing w:line="276" w:lineRule="auto"/>
              <w:rPr>
                <w:rFonts w:eastAsia="Calibri"/>
                <w:sz w:val="24"/>
                <w:szCs w:val="24"/>
              </w:rPr>
            </w:pPr>
          </w:p>
        </w:tc>
      </w:tr>
      <w:tr w14:paraId="1745ABBE" w14:textId="77777777" w:rsidTr="00B350D0">
        <w:tblPrEx>
          <w:tblW w:w="9670" w:type="dxa"/>
          <w:tblInd w:w="-140" w:type="dxa"/>
          <w:tblLayout w:type="fixed"/>
          <w:tblLook w:val="0400"/>
        </w:tblPrEx>
        <w:trPr>
          <w:trHeight w:val="300"/>
        </w:trPr>
        <w:tc>
          <w:tcPr>
            <w:tcW w:w="1210" w:type="dxa"/>
            <w:vMerge/>
            <w:tcBorders>
              <w:left w:val="single" w:sz="8" w:space="0" w:color="000000"/>
              <w:right w:val="single" w:sz="8" w:space="0" w:color="000000"/>
            </w:tcBorders>
            <w:shd w:val="clear" w:color="auto" w:fill="auto"/>
            <w:vAlign w:val="bottom"/>
          </w:tcPr>
          <w:p w:rsidR="00ED19E8" w:rsidRPr="001C3085" w:rsidP="00ED19E8" w14:paraId="53CEB82B" w14:textId="5BF7B37D">
            <w:pPr>
              <w:widowControl/>
              <w:spacing w:line="276" w:lineRule="auto"/>
              <w:rPr>
                <w:rFonts w:eastAsia="Calibri"/>
                <w:sz w:val="24"/>
                <w:szCs w:val="24"/>
              </w:rPr>
            </w:pPr>
          </w:p>
        </w:tc>
        <w:tc>
          <w:tcPr>
            <w:tcW w:w="1260" w:type="dxa"/>
            <w:tcBorders>
              <w:top w:val="nil"/>
              <w:left w:val="single" w:sz="8" w:space="0" w:color="000000"/>
              <w:bottom w:val="single" w:sz="4" w:space="0" w:color="000000"/>
              <w:right w:val="single" w:sz="8" w:space="0" w:color="000000"/>
            </w:tcBorders>
            <w:shd w:val="clear" w:color="auto" w:fill="auto"/>
            <w:vAlign w:val="bottom"/>
          </w:tcPr>
          <w:p w:rsidR="00ED19E8" w:rsidRPr="001C3085" w:rsidP="00ED19E8" w14:paraId="70CB1D17" w14:textId="5CE81333">
            <w:pPr>
              <w:widowControl/>
              <w:spacing w:line="276" w:lineRule="auto"/>
              <w:rPr>
                <w:rFonts w:eastAsia="Calibri"/>
                <w:sz w:val="24"/>
                <w:szCs w:val="24"/>
              </w:rPr>
            </w:pPr>
            <w:r w:rsidRPr="001C3085">
              <w:rPr>
                <w:rFonts w:eastAsia="Calibri"/>
                <w:sz w:val="24"/>
                <w:szCs w:val="24"/>
              </w:rPr>
              <w:t>Incentive</w:t>
            </w:r>
          </w:p>
        </w:tc>
        <w:tc>
          <w:tcPr>
            <w:tcW w:w="1235" w:type="dxa"/>
            <w:tcBorders>
              <w:top w:val="nil"/>
              <w:left w:val="nil"/>
              <w:bottom w:val="single" w:sz="4" w:space="0" w:color="000000"/>
              <w:right w:val="single" w:sz="4" w:space="0" w:color="000000"/>
            </w:tcBorders>
            <w:shd w:val="clear" w:color="auto" w:fill="auto"/>
            <w:vAlign w:val="bottom"/>
          </w:tcPr>
          <w:p w:rsidR="00ED19E8" w:rsidRPr="001C3085" w:rsidP="00ED19E8" w14:paraId="3B27E4DB" w14:textId="77777777">
            <w:pPr>
              <w:widowControl/>
              <w:spacing w:line="276" w:lineRule="auto"/>
              <w:rPr>
                <w:rFonts w:eastAsia="Calibri"/>
                <w:sz w:val="24"/>
                <w:szCs w:val="24"/>
              </w:rPr>
            </w:pPr>
          </w:p>
        </w:tc>
        <w:tc>
          <w:tcPr>
            <w:tcW w:w="1425" w:type="dxa"/>
            <w:tcBorders>
              <w:top w:val="nil"/>
              <w:left w:val="nil"/>
              <w:bottom w:val="single" w:sz="4" w:space="0" w:color="000000"/>
              <w:right w:val="single" w:sz="4" w:space="0" w:color="000000"/>
            </w:tcBorders>
            <w:shd w:val="clear" w:color="auto" w:fill="auto"/>
            <w:vAlign w:val="bottom"/>
          </w:tcPr>
          <w:p w:rsidR="00ED19E8" w:rsidRPr="001C3085" w:rsidP="00B350D0" w14:paraId="048375D0" w14:textId="48A00232">
            <w:pPr>
              <w:widowControl/>
              <w:spacing w:line="276" w:lineRule="auto"/>
              <w:jc w:val="right"/>
              <w:rPr>
                <w:rFonts w:eastAsia="Calibri"/>
                <w:sz w:val="24"/>
                <w:szCs w:val="24"/>
              </w:rPr>
            </w:pPr>
            <w:r>
              <w:rPr>
                <w:rFonts w:eastAsia="Calibri"/>
                <w:sz w:val="24"/>
                <w:szCs w:val="24"/>
              </w:rPr>
              <w:t>$</w:t>
            </w:r>
            <w:r w:rsidRPr="001C3085">
              <w:rPr>
                <w:rFonts w:eastAsia="Calibri"/>
                <w:sz w:val="24"/>
                <w:szCs w:val="24"/>
              </w:rPr>
              <w:t>25,524</w:t>
            </w:r>
          </w:p>
        </w:tc>
        <w:tc>
          <w:tcPr>
            <w:tcW w:w="1080" w:type="dxa"/>
            <w:tcBorders>
              <w:top w:val="nil"/>
              <w:left w:val="nil"/>
              <w:bottom w:val="single" w:sz="4" w:space="0" w:color="000000"/>
              <w:right w:val="single" w:sz="4" w:space="0" w:color="000000"/>
            </w:tcBorders>
            <w:shd w:val="clear" w:color="auto" w:fill="auto"/>
            <w:vAlign w:val="bottom"/>
          </w:tcPr>
          <w:p w:rsidR="00ED19E8" w:rsidRPr="001C3085" w:rsidP="00ED19E8" w14:paraId="424B4E48" w14:textId="77777777">
            <w:pPr>
              <w:widowControl/>
              <w:spacing w:line="276" w:lineRule="auto"/>
              <w:rPr>
                <w:rFonts w:eastAsia="Calibri"/>
                <w:sz w:val="24"/>
                <w:szCs w:val="24"/>
              </w:rPr>
            </w:pPr>
          </w:p>
        </w:tc>
        <w:tc>
          <w:tcPr>
            <w:tcW w:w="1320" w:type="dxa"/>
            <w:tcBorders>
              <w:top w:val="nil"/>
              <w:left w:val="nil"/>
              <w:bottom w:val="single" w:sz="4" w:space="0" w:color="000000"/>
              <w:right w:val="single" w:sz="4" w:space="0" w:color="000000"/>
            </w:tcBorders>
            <w:shd w:val="clear" w:color="auto" w:fill="auto"/>
            <w:vAlign w:val="bottom"/>
          </w:tcPr>
          <w:p w:rsidR="00ED19E8" w:rsidRPr="001C3085" w:rsidP="00ED19E8" w14:paraId="5E06EFF4" w14:textId="77777777">
            <w:pPr>
              <w:widowControl/>
              <w:spacing w:line="276" w:lineRule="auto"/>
              <w:rPr>
                <w:rFonts w:eastAsia="Calibri"/>
                <w:sz w:val="24"/>
                <w:szCs w:val="24"/>
              </w:rPr>
            </w:pPr>
          </w:p>
        </w:tc>
        <w:tc>
          <w:tcPr>
            <w:tcW w:w="2140" w:type="dxa"/>
            <w:tcBorders>
              <w:top w:val="nil"/>
              <w:left w:val="nil"/>
              <w:bottom w:val="single" w:sz="4" w:space="0" w:color="000000"/>
              <w:right w:val="single" w:sz="8" w:space="0" w:color="000000"/>
            </w:tcBorders>
            <w:shd w:val="clear" w:color="auto" w:fill="auto"/>
            <w:vAlign w:val="bottom"/>
          </w:tcPr>
          <w:p w:rsidR="00ED19E8" w:rsidRPr="001C3085" w:rsidP="00ED19E8" w14:paraId="4B304EA3" w14:textId="77777777">
            <w:pPr>
              <w:widowControl/>
              <w:spacing w:line="276" w:lineRule="auto"/>
              <w:rPr>
                <w:rFonts w:eastAsia="Calibri"/>
                <w:sz w:val="24"/>
                <w:szCs w:val="24"/>
              </w:rPr>
            </w:pPr>
          </w:p>
        </w:tc>
      </w:tr>
      <w:tr w14:paraId="5B9AAD4B" w14:textId="77777777" w:rsidTr="00B350D0">
        <w:tblPrEx>
          <w:tblW w:w="9670" w:type="dxa"/>
          <w:tblInd w:w="-140" w:type="dxa"/>
          <w:tblLayout w:type="fixed"/>
          <w:tblLook w:val="0400"/>
        </w:tblPrEx>
        <w:trPr>
          <w:trHeight w:val="300"/>
        </w:trPr>
        <w:tc>
          <w:tcPr>
            <w:tcW w:w="1210" w:type="dxa"/>
            <w:vMerge/>
            <w:tcBorders>
              <w:left w:val="single" w:sz="8" w:space="0" w:color="000000"/>
              <w:bottom w:val="single" w:sz="4" w:space="0" w:color="000000"/>
              <w:right w:val="single" w:sz="8" w:space="0" w:color="000000"/>
            </w:tcBorders>
            <w:shd w:val="clear" w:color="auto" w:fill="auto"/>
            <w:vAlign w:val="bottom"/>
          </w:tcPr>
          <w:p w:rsidR="00ED19E8" w:rsidRPr="001C3085" w:rsidP="00ED19E8" w14:paraId="6E37DDEF" w14:textId="77777777">
            <w:pPr>
              <w:widowControl/>
              <w:spacing w:line="276" w:lineRule="auto"/>
              <w:rPr>
                <w:rFonts w:eastAsia="Calibri"/>
                <w:sz w:val="24"/>
                <w:szCs w:val="24"/>
              </w:rPr>
            </w:pPr>
          </w:p>
        </w:tc>
        <w:tc>
          <w:tcPr>
            <w:tcW w:w="1260" w:type="dxa"/>
            <w:tcBorders>
              <w:top w:val="nil"/>
              <w:left w:val="single" w:sz="8" w:space="0" w:color="000000"/>
              <w:bottom w:val="single" w:sz="4" w:space="0" w:color="000000"/>
              <w:right w:val="single" w:sz="8" w:space="0" w:color="000000"/>
            </w:tcBorders>
            <w:shd w:val="clear" w:color="auto" w:fill="auto"/>
            <w:vAlign w:val="bottom"/>
          </w:tcPr>
          <w:p w:rsidR="00ED19E8" w:rsidRPr="001C3085" w:rsidP="00ED19E8" w14:paraId="704A015F" w14:textId="565C9E00">
            <w:pPr>
              <w:widowControl/>
              <w:spacing w:line="276" w:lineRule="auto"/>
              <w:rPr>
                <w:rFonts w:eastAsia="Calibri"/>
                <w:sz w:val="24"/>
                <w:szCs w:val="24"/>
              </w:rPr>
            </w:pPr>
            <w:r w:rsidRPr="001C3085">
              <w:rPr>
                <w:rFonts w:eastAsia="Calibri"/>
                <w:sz w:val="24"/>
                <w:szCs w:val="24"/>
              </w:rPr>
              <w:t>Labor and overheads</w:t>
            </w:r>
          </w:p>
        </w:tc>
        <w:tc>
          <w:tcPr>
            <w:tcW w:w="1235" w:type="dxa"/>
            <w:tcBorders>
              <w:top w:val="nil"/>
              <w:left w:val="nil"/>
              <w:bottom w:val="single" w:sz="4" w:space="0" w:color="000000"/>
              <w:right w:val="single" w:sz="4" w:space="0" w:color="000000"/>
            </w:tcBorders>
            <w:shd w:val="clear" w:color="auto" w:fill="auto"/>
            <w:vAlign w:val="bottom"/>
          </w:tcPr>
          <w:p w:rsidR="00ED19E8" w:rsidRPr="001C3085" w:rsidP="00ED19E8" w14:paraId="62239AE9" w14:textId="77777777">
            <w:pPr>
              <w:widowControl/>
              <w:spacing w:line="276" w:lineRule="auto"/>
              <w:rPr>
                <w:rFonts w:eastAsia="Calibri"/>
                <w:sz w:val="24"/>
                <w:szCs w:val="24"/>
              </w:rPr>
            </w:pPr>
          </w:p>
        </w:tc>
        <w:tc>
          <w:tcPr>
            <w:tcW w:w="1425" w:type="dxa"/>
            <w:tcBorders>
              <w:top w:val="nil"/>
              <w:left w:val="nil"/>
              <w:bottom w:val="single" w:sz="4" w:space="0" w:color="000000"/>
              <w:right w:val="single" w:sz="4" w:space="0" w:color="000000"/>
            </w:tcBorders>
            <w:shd w:val="clear" w:color="auto" w:fill="auto"/>
            <w:vAlign w:val="bottom"/>
          </w:tcPr>
          <w:p w:rsidR="00ED19E8" w:rsidRPr="001C3085" w:rsidP="00B350D0" w14:paraId="0AFAD129" w14:textId="453D5D37">
            <w:pPr>
              <w:widowControl/>
              <w:spacing w:line="276" w:lineRule="auto"/>
              <w:jc w:val="right"/>
              <w:rPr>
                <w:rFonts w:eastAsia="Calibri"/>
                <w:sz w:val="24"/>
                <w:szCs w:val="24"/>
              </w:rPr>
            </w:pPr>
            <w:r w:rsidRPr="001C3085">
              <w:rPr>
                <w:rFonts w:eastAsia="Calibri"/>
                <w:sz w:val="24"/>
                <w:szCs w:val="24"/>
              </w:rPr>
              <w:t>311,476</w:t>
            </w:r>
          </w:p>
        </w:tc>
        <w:tc>
          <w:tcPr>
            <w:tcW w:w="1080" w:type="dxa"/>
            <w:tcBorders>
              <w:top w:val="nil"/>
              <w:left w:val="nil"/>
              <w:bottom w:val="single" w:sz="4" w:space="0" w:color="000000"/>
              <w:right w:val="single" w:sz="4" w:space="0" w:color="000000"/>
            </w:tcBorders>
            <w:shd w:val="clear" w:color="auto" w:fill="auto"/>
            <w:vAlign w:val="bottom"/>
          </w:tcPr>
          <w:p w:rsidR="00ED19E8" w:rsidRPr="001C3085" w:rsidP="00ED19E8" w14:paraId="5336D6AE" w14:textId="77777777">
            <w:pPr>
              <w:widowControl/>
              <w:spacing w:line="276" w:lineRule="auto"/>
              <w:rPr>
                <w:rFonts w:eastAsia="Calibri"/>
                <w:sz w:val="24"/>
                <w:szCs w:val="24"/>
              </w:rPr>
            </w:pPr>
          </w:p>
        </w:tc>
        <w:tc>
          <w:tcPr>
            <w:tcW w:w="1320" w:type="dxa"/>
            <w:tcBorders>
              <w:top w:val="nil"/>
              <w:left w:val="nil"/>
              <w:bottom w:val="single" w:sz="4" w:space="0" w:color="000000"/>
              <w:right w:val="single" w:sz="4" w:space="0" w:color="000000"/>
            </w:tcBorders>
            <w:shd w:val="clear" w:color="auto" w:fill="auto"/>
            <w:vAlign w:val="bottom"/>
          </w:tcPr>
          <w:p w:rsidR="00ED19E8" w:rsidRPr="001C3085" w:rsidP="00ED19E8" w14:paraId="79D6A14E" w14:textId="77777777">
            <w:pPr>
              <w:widowControl/>
              <w:spacing w:line="276" w:lineRule="auto"/>
              <w:rPr>
                <w:rFonts w:eastAsia="Calibri"/>
                <w:sz w:val="24"/>
                <w:szCs w:val="24"/>
              </w:rPr>
            </w:pPr>
          </w:p>
        </w:tc>
        <w:tc>
          <w:tcPr>
            <w:tcW w:w="2140" w:type="dxa"/>
            <w:tcBorders>
              <w:top w:val="nil"/>
              <w:left w:val="nil"/>
              <w:bottom w:val="single" w:sz="4" w:space="0" w:color="000000"/>
              <w:right w:val="single" w:sz="8" w:space="0" w:color="000000"/>
            </w:tcBorders>
            <w:shd w:val="clear" w:color="auto" w:fill="auto"/>
            <w:vAlign w:val="bottom"/>
          </w:tcPr>
          <w:p w:rsidR="00ED19E8" w:rsidRPr="001C3085" w:rsidP="00ED19E8" w14:paraId="39F73435" w14:textId="77777777">
            <w:pPr>
              <w:widowControl/>
              <w:spacing w:line="276" w:lineRule="auto"/>
              <w:rPr>
                <w:rFonts w:eastAsia="Calibri"/>
                <w:sz w:val="24"/>
                <w:szCs w:val="24"/>
              </w:rPr>
            </w:pPr>
          </w:p>
        </w:tc>
      </w:tr>
      <w:tr w14:paraId="7B1DC67B" w14:textId="77777777" w:rsidTr="00B350D0">
        <w:tblPrEx>
          <w:tblW w:w="9670" w:type="dxa"/>
          <w:tblInd w:w="-140" w:type="dxa"/>
          <w:tblLayout w:type="fixed"/>
          <w:tblLook w:val="0400"/>
        </w:tblPrEx>
        <w:trPr>
          <w:trHeight w:val="300"/>
        </w:trPr>
        <w:tc>
          <w:tcPr>
            <w:tcW w:w="2470" w:type="dxa"/>
            <w:gridSpan w:val="2"/>
            <w:tcBorders>
              <w:top w:val="nil"/>
              <w:left w:val="single" w:sz="8" w:space="0" w:color="000000"/>
              <w:bottom w:val="single" w:sz="4" w:space="0" w:color="000000"/>
              <w:right w:val="single" w:sz="8" w:space="0" w:color="000000"/>
            </w:tcBorders>
            <w:shd w:val="clear" w:color="auto" w:fill="auto"/>
            <w:vAlign w:val="bottom"/>
          </w:tcPr>
          <w:p w:rsidR="00ED19E8" w:rsidRPr="001C3085" w:rsidP="00ED19E8" w14:paraId="66DA5A68" w14:textId="6E23577C">
            <w:pPr>
              <w:widowControl/>
              <w:spacing w:line="276" w:lineRule="auto"/>
              <w:rPr>
                <w:rFonts w:eastAsia="Calibri"/>
                <w:sz w:val="24"/>
                <w:szCs w:val="24"/>
              </w:rPr>
            </w:pPr>
            <w:r w:rsidRPr="001C3085">
              <w:rPr>
                <w:rFonts w:eastAsia="Calibri"/>
                <w:sz w:val="24"/>
                <w:szCs w:val="24"/>
              </w:rPr>
              <w:t xml:space="preserve">Total Survey Vendor Costs </w:t>
            </w:r>
          </w:p>
        </w:tc>
        <w:tc>
          <w:tcPr>
            <w:tcW w:w="1235" w:type="dxa"/>
            <w:tcBorders>
              <w:top w:val="nil"/>
              <w:left w:val="nil"/>
              <w:bottom w:val="single" w:sz="4" w:space="0" w:color="000000"/>
              <w:right w:val="single" w:sz="4" w:space="0" w:color="000000"/>
            </w:tcBorders>
            <w:shd w:val="clear" w:color="auto" w:fill="auto"/>
            <w:vAlign w:val="bottom"/>
          </w:tcPr>
          <w:p w:rsidR="00ED19E8" w:rsidRPr="001C3085" w:rsidP="00ED19E8" w14:paraId="61CB456F" w14:textId="7F35CBAA">
            <w:pPr>
              <w:widowControl/>
              <w:spacing w:line="276" w:lineRule="auto"/>
              <w:rPr>
                <w:rFonts w:eastAsia="Calibri"/>
                <w:sz w:val="24"/>
                <w:szCs w:val="24"/>
              </w:rPr>
            </w:pPr>
          </w:p>
        </w:tc>
        <w:tc>
          <w:tcPr>
            <w:tcW w:w="1425" w:type="dxa"/>
            <w:tcBorders>
              <w:top w:val="nil"/>
              <w:left w:val="nil"/>
              <w:bottom w:val="single" w:sz="4" w:space="0" w:color="000000"/>
              <w:right w:val="single" w:sz="4" w:space="0" w:color="000000"/>
            </w:tcBorders>
            <w:shd w:val="clear" w:color="auto" w:fill="auto"/>
            <w:vAlign w:val="bottom"/>
          </w:tcPr>
          <w:p w:rsidR="00ED19E8" w:rsidRPr="001C3085" w:rsidP="00494473" w14:paraId="4E33A49E" w14:textId="3ED33D92">
            <w:pPr>
              <w:widowControl/>
              <w:spacing w:line="276" w:lineRule="auto"/>
              <w:jc w:val="right"/>
              <w:rPr>
                <w:rFonts w:eastAsia="Calibri"/>
                <w:sz w:val="24"/>
                <w:szCs w:val="24"/>
              </w:rPr>
            </w:pPr>
            <w:r>
              <w:rPr>
                <w:rFonts w:eastAsia="Calibri"/>
                <w:sz w:val="24"/>
                <w:szCs w:val="24"/>
              </w:rPr>
              <w:t>$</w:t>
            </w:r>
            <w:r w:rsidRPr="001C3085">
              <w:rPr>
                <w:rFonts w:eastAsia="Calibri"/>
                <w:sz w:val="24"/>
                <w:szCs w:val="24"/>
              </w:rPr>
              <w:t>400,000</w:t>
            </w:r>
          </w:p>
        </w:tc>
        <w:tc>
          <w:tcPr>
            <w:tcW w:w="1080" w:type="dxa"/>
            <w:tcBorders>
              <w:top w:val="nil"/>
              <w:left w:val="nil"/>
              <w:bottom w:val="single" w:sz="4" w:space="0" w:color="000000"/>
              <w:right w:val="single" w:sz="4" w:space="0" w:color="000000"/>
            </w:tcBorders>
            <w:shd w:val="clear" w:color="auto" w:fill="auto"/>
            <w:vAlign w:val="bottom"/>
          </w:tcPr>
          <w:p w:rsidR="00ED19E8" w:rsidRPr="001C3085" w:rsidP="00ED19E8" w14:paraId="2E3F0D74" w14:textId="77777777">
            <w:pPr>
              <w:widowControl/>
              <w:spacing w:line="276" w:lineRule="auto"/>
              <w:rPr>
                <w:rFonts w:eastAsia="Calibri"/>
                <w:sz w:val="24"/>
                <w:szCs w:val="24"/>
              </w:rPr>
            </w:pPr>
          </w:p>
        </w:tc>
        <w:tc>
          <w:tcPr>
            <w:tcW w:w="1320" w:type="dxa"/>
            <w:tcBorders>
              <w:top w:val="nil"/>
              <w:left w:val="nil"/>
              <w:bottom w:val="single" w:sz="4" w:space="0" w:color="000000"/>
              <w:right w:val="single" w:sz="4" w:space="0" w:color="000000"/>
            </w:tcBorders>
            <w:shd w:val="clear" w:color="auto" w:fill="auto"/>
            <w:vAlign w:val="bottom"/>
          </w:tcPr>
          <w:p w:rsidR="00ED19E8" w:rsidRPr="001C3085" w:rsidP="00ED19E8" w14:paraId="43F3DCA1" w14:textId="77777777">
            <w:pPr>
              <w:widowControl/>
              <w:spacing w:line="276" w:lineRule="auto"/>
              <w:rPr>
                <w:rFonts w:eastAsia="Calibri"/>
                <w:sz w:val="24"/>
                <w:szCs w:val="24"/>
              </w:rPr>
            </w:pPr>
          </w:p>
        </w:tc>
        <w:tc>
          <w:tcPr>
            <w:tcW w:w="2140" w:type="dxa"/>
            <w:tcBorders>
              <w:top w:val="nil"/>
              <w:left w:val="nil"/>
              <w:bottom w:val="single" w:sz="4" w:space="0" w:color="000000"/>
              <w:right w:val="single" w:sz="8" w:space="0" w:color="000000"/>
            </w:tcBorders>
            <w:shd w:val="clear" w:color="auto" w:fill="auto"/>
            <w:vAlign w:val="bottom"/>
          </w:tcPr>
          <w:p w:rsidR="00ED19E8" w:rsidRPr="001C3085" w:rsidP="00ED19E8" w14:paraId="03A3CCCA" w14:textId="62E4409B">
            <w:pPr>
              <w:widowControl/>
              <w:spacing w:line="276" w:lineRule="auto"/>
              <w:rPr>
                <w:rFonts w:eastAsia="Calibri"/>
                <w:sz w:val="24"/>
                <w:szCs w:val="24"/>
              </w:rPr>
            </w:pPr>
            <w:r>
              <w:rPr>
                <w:rFonts w:eastAsia="Calibri"/>
                <w:sz w:val="24"/>
                <w:szCs w:val="24"/>
              </w:rPr>
              <w:t>$</w:t>
            </w:r>
            <w:r w:rsidRPr="001C3085">
              <w:rPr>
                <w:rFonts w:eastAsia="Calibri"/>
                <w:sz w:val="24"/>
                <w:szCs w:val="24"/>
              </w:rPr>
              <w:t>400,000</w:t>
            </w:r>
          </w:p>
          <w:p w:rsidR="00ED19E8" w:rsidRPr="001C3085" w:rsidP="00ED19E8" w14:paraId="7D63DCE2" w14:textId="3FB50CC3">
            <w:pPr>
              <w:widowControl/>
              <w:spacing w:line="276" w:lineRule="auto"/>
              <w:rPr>
                <w:rFonts w:eastAsia="Calibri"/>
                <w:sz w:val="24"/>
                <w:szCs w:val="24"/>
              </w:rPr>
            </w:pPr>
            <w:r>
              <w:rPr>
                <w:rFonts w:eastAsia="Calibri"/>
                <w:sz w:val="24"/>
                <w:szCs w:val="24"/>
              </w:rPr>
              <w:t>(</w:t>
            </w:r>
            <w:r w:rsidRPr="001C3085">
              <w:rPr>
                <w:rFonts w:eastAsia="Calibri"/>
                <w:sz w:val="24"/>
                <w:szCs w:val="24"/>
              </w:rPr>
              <w:t>$133,333 annualized</w:t>
            </w:r>
            <w:r>
              <w:rPr>
                <w:rFonts w:eastAsia="Calibri"/>
                <w:sz w:val="24"/>
                <w:szCs w:val="24"/>
              </w:rPr>
              <w:t>)</w:t>
            </w:r>
          </w:p>
        </w:tc>
      </w:tr>
      <w:tr w14:paraId="084A73D7" w14:textId="77777777" w:rsidTr="00B350D0">
        <w:tblPrEx>
          <w:tblW w:w="9670" w:type="dxa"/>
          <w:tblInd w:w="-140" w:type="dxa"/>
          <w:tblLayout w:type="fixed"/>
          <w:tblLook w:val="0400"/>
        </w:tblPrEx>
        <w:trPr>
          <w:trHeight w:val="300"/>
        </w:trPr>
        <w:tc>
          <w:tcPr>
            <w:tcW w:w="2470" w:type="dxa"/>
            <w:gridSpan w:val="2"/>
            <w:tcBorders>
              <w:top w:val="nil"/>
              <w:left w:val="single" w:sz="8" w:space="0" w:color="000000"/>
              <w:bottom w:val="single" w:sz="4" w:space="0" w:color="000000"/>
              <w:right w:val="single" w:sz="8" w:space="0" w:color="000000"/>
            </w:tcBorders>
            <w:shd w:val="clear" w:color="auto" w:fill="auto"/>
            <w:vAlign w:val="bottom"/>
          </w:tcPr>
          <w:p w:rsidR="00ED19E8" w:rsidRPr="001C3085" w:rsidP="00ED19E8" w14:paraId="67D5A976" w14:textId="05B23A1B">
            <w:pPr>
              <w:widowControl/>
              <w:spacing w:line="276" w:lineRule="auto"/>
              <w:rPr>
                <w:rFonts w:eastAsia="Calibri"/>
                <w:sz w:val="24"/>
                <w:szCs w:val="24"/>
              </w:rPr>
            </w:pPr>
            <w:r w:rsidRPr="001C3085">
              <w:rPr>
                <w:rFonts w:eastAsia="Calibri"/>
                <w:sz w:val="24"/>
                <w:szCs w:val="24"/>
              </w:rPr>
              <w:t> Contractor Positions</w:t>
            </w:r>
          </w:p>
        </w:tc>
        <w:tc>
          <w:tcPr>
            <w:tcW w:w="1235" w:type="dxa"/>
            <w:tcBorders>
              <w:top w:val="nil"/>
              <w:left w:val="nil"/>
              <w:bottom w:val="single" w:sz="4" w:space="0" w:color="000000"/>
              <w:right w:val="single" w:sz="4" w:space="0" w:color="000000"/>
            </w:tcBorders>
            <w:shd w:val="clear" w:color="auto" w:fill="auto"/>
            <w:vAlign w:val="bottom"/>
          </w:tcPr>
          <w:p w:rsidR="00ED19E8" w:rsidRPr="001C3085" w:rsidP="00ED19E8" w14:paraId="0AD2FFEB" w14:textId="77777777">
            <w:pPr>
              <w:widowControl/>
              <w:spacing w:line="276" w:lineRule="auto"/>
              <w:rPr>
                <w:rFonts w:eastAsia="Calibri"/>
                <w:sz w:val="24"/>
                <w:szCs w:val="24"/>
              </w:rPr>
            </w:pPr>
          </w:p>
        </w:tc>
        <w:tc>
          <w:tcPr>
            <w:tcW w:w="1425" w:type="dxa"/>
            <w:tcBorders>
              <w:top w:val="nil"/>
              <w:left w:val="nil"/>
              <w:bottom w:val="single" w:sz="4" w:space="0" w:color="000000"/>
              <w:right w:val="single" w:sz="4" w:space="0" w:color="000000"/>
            </w:tcBorders>
            <w:shd w:val="clear" w:color="auto" w:fill="auto"/>
            <w:vAlign w:val="bottom"/>
          </w:tcPr>
          <w:p w:rsidR="00ED19E8" w:rsidRPr="001C3085" w:rsidP="00494473" w14:paraId="5BB08B00" w14:textId="1FB77713">
            <w:pPr>
              <w:widowControl/>
              <w:spacing w:line="276" w:lineRule="auto"/>
              <w:jc w:val="right"/>
              <w:rPr>
                <w:rFonts w:eastAsia="Calibri"/>
                <w:sz w:val="24"/>
                <w:szCs w:val="24"/>
              </w:rPr>
            </w:pPr>
            <w:r w:rsidRPr="001C3085">
              <w:rPr>
                <w:rFonts w:eastAsia="Calibri"/>
                <w:sz w:val="24"/>
                <w:szCs w:val="24"/>
              </w:rPr>
              <w:t> </w:t>
            </w:r>
            <w:r w:rsidR="001425E6">
              <w:rPr>
                <w:rFonts w:eastAsia="Calibri"/>
                <w:sz w:val="24"/>
                <w:szCs w:val="24"/>
              </w:rPr>
              <w:t>$</w:t>
            </w:r>
            <w:r w:rsidRPr="001C3085">
              <w:rPr>
                <w:rFonts w:eastAsia="Calibri"/>
                <w:sz w:val="24"/>
                <w:szCs w:val="24"/>
              </w:rPr>
              <w:t>75,000</w:t>
            </w:r>
          </w:p>
        </w:tc>
        <w:tc>
          <w:tcPr>
            <w:tcW w:w="1080" w:type="dxa"/>
            <w:tcBorders>
              <w:top w:val="nil"/>
              <w:left w:val="nil"/>
              <w:bottom w:val="single" w:sz="4" w:space="0" w:color="000000"/>
              <w:right w:val="single" w:sz="4" w:space="0" w:color="000000"/>
            </w:tcBorders>
            <w:shd w:val="clear" w:color="auto" w:fill="auto"/>
            <w:vAlign w:val="bottom"/>
          </w:tcPr>
          <w:p w:rsidR="00ED19E8" w:rsidRPr="001C3085" w:rsidP="00ED19E8" w14:paraId="1ED1546C" w14:textId="77777777">
            <w:pPr>
              <w:widowControl/>
              <w:spacing w:line="276" w:lineRule="auto"/>
              <w:rPr>
                <w:rFonts w:eastAsia="Calibri"/>
                <w:sz w:val="24"/>
                <w:szCs w:val="24"/>
              </w:rPr>
            </w:pPr>
          </w:p>
        </w:tc>
        <w:tc>
          <w:tcPr>
            <w:tcW w:w="1320" w:type="dxa"/>
            <w:tcBorders>
              <w:top w:val="nil"/>
              <w:left w:val="nil"/>
              <w:bottom w:val="single" w:sz="4" w:space="0" w:color="000000"/>
              <w:right w:val="single" w:sz="4" w:space="0" w:color="000000"/>
            </w:tcBorders>
            <w:shd w:val="clear" w:color="auto" w:fill="auto"/>
            <w:vAlign w:val="bottom"/>
          </w:tcPr>
          <w:p w:rsidR="00ED19E8" w:rsidRPr="001C3085" w:rsidP="00ED19E8" w14:paraId="5FA06968" w14:textId="77777777">
            <w:pPr>
              <w:widowControl/>
              <w:spacing w:line="276" w:lineRule="auto"/>
              <w:rPr>
                <w:rFonts w:eastAsia="Calibri"/>
                <w:sz w:val="24"/>
                <w:szCs w:val="24"/>
              </w:rPr>
            </w:pPr>
          </w:p>
        </w:tc>
        <w:tc>
          <w:tcPr>
            <w:tcW w:w="2140" w:type="dxa"/>
            <w:tcBorders>
              <w:top w:val="nil"/>
              <w:left w:val="nil"/>
              <w:bottom w:val="single" w:sz="4" w:space="0" w:color="000000"/>
              <w:right w:val="single" w:sz="8" w:space="0" w:color="000000"/>
            </w:tcBorders>
            <w:shd w:val="clear" w:color="auto" w:fill="auto"/>
            <w:vAlign w:val="bottom"/>
          </w:tcPr>
          <w:p w:rsidR="00ED19E8" w:rsidRPr="001C3085" w:rsidP="00ED19E8" w14:paraId="27F8A123" w14:textId="5C5FCC66">
            <w:pPr>
              <w:widowControl/>
              <w:spacing w:line="276" w:lineRule="auto"/>
              <w:rPr>
                <w:rFonts w:eastAsia="Calibri"/>
                <w:sz w:val="24"/>
                <w:szCs w:val="24"/>
              </w:rPr>
            </w:pPr>
            <w:r w:rsidRPr="001C3085">
              <w:rPr>
                <w:rFonts w:eastAsia="Calibri"/>
                <w:sz w:val="24"/>
                <w:szCs w:val="24"/>
              </w:rPr>
              <w:t> </w:t>
            </w:r>
            <w:r w:rsidR="001425E6">
              <w:rPr>
                <w:rFonts w:eastAsia="Calibri"/>
                <w:sz w:val="24"/>
                <w:szCs w:val="24"/>
              </w:rPr>
              <w:t>$</w:t>
            </w:r>
            <w:r w:rsidRPr="001C3085">
              <w:rPr>
                <w:rFonts w:eastAsia="Calibri"/>
                <w:sz w:val="24"/>
                <w:szCs w:val="24"/>
              </w:rPr>
              <w:t>75,000</w:t>
            </w:r>
          </w:p>
        </w:tc>
      </w:tr>
      <w:tr w14:paraId="24B507C8" w14:textId="77777777" w:rsidTr="00B350D0">
        <w:tblPrEx>
          <w:tblW w:w="9670" w:type="dxa"/>
          <w:tblInd w:w="-140" w:type="dxa"/>
          <w:tblLayout w:type="fixed"/>
          <w:tblLook w:val="0400"/>
        </w:tblPrEx>
        <w:trPr>
          <w:trHeight w:val="300"/>
        </w:trPr>
        <w:tc>
          <w:tcPr>
            <w:tcW w:w="2470" w:type="dxa"/>
            <w:gridSpan w:val="2"/>
            <w:tcBorders>
              <w:top w:val="nil"/>
              <w:left w:val="single" w:sz="8" w:space="0" w:color="000000"/>
              <w:bottom w:val="single" w:sz="4" w:space="0" w:color="000000"/>
              <w:right w:val="single" w:sz="8" w:space="0" w:color="000000"/>
            </w:tcBorders>
            <w:shd w:val="clear" w:color="auto" w:fill="auto"/>
            <w:vAlign w:val="bottom"/>
          </w:tcPr>
          <w:p w:rsidR="00ED19E8" w:rsidRPr="001C3085" w:rsidP="00ED19E8" w14:paraId="40544A9B" w14:textId="77777777">
            <w:pPr>
              <w:widowControl/>
              <w:spacing w:line="276" w:lineRule="auto"/>
              <w:rPr>
                <w:rFonts w:eastAsia="Calibri"/>
                <w:b/>
                <w:sz w:val="24"/>
                <w:szCs w:val="24"/>
              </w:rPr>
            </w:pPr>
            <w:r w:rsidRPr="001C3085">
              <w:rPr>
                <w:rFonts w:eastAsia="Calibri"/>
                <w:b/>
                <w:sz w:val="24"/>
                <w:szCs w:val="24"/>
              </w:rPr>
              <w:t>Travel</w:t>
            </w:r>
          </w:p>
        </w:tc>
        <w:tc>
          <w:tcPr>
            <w:tcW w:w="1235" w:type="dxa"/>
            <w:tcBorders>
              <w:top w:val="nil"/>
              <w:left w:val="nil"/>
              <w:bottom w:val="single" w:sz="4" w:space="0" w:color="000000"/>
              <w:right w:val="single" w:sz="4" w:space="0" w:color="000000"/>
            </w:tcBorders>
            <w:shd w:val="clear" w:color="auto" w:fill="808080"/>
            <w:vAlign w:val="bottom"/>
          </w:tcPr>
          <w:p w:rsidR="00ED19E8" w:rsidRPr="001C3085" w:rsidP="00ED19E8" w14:paraId="7CBEE1C4" w14:textId="77777777">
            <w:pPr>
              <w:widowControl/>
              <w:spacing w:line="276" w:lineRule="auto"/>
              <w:rPr>
                <w:rFonts w:eastAsia="Calibri"/>
                <w:sz w:val="24"/>
                <w:szCs w:val="24"/>
              </w:rPr>
            </w:pPr>
          </w:p>
        </w:tc>
        <w:tc>
          <w:tcPr>
            <w:tcW w:w="1425" w:type="dxa"/>
            <w:tcBorders>
              <w:top w:val="nil"/>
              <w:left w:val="nil"/>
              <w:bottom w:val="single" w:sz="4" w:space="0" w:color="000000"/>
              <w:right w:val="single" w:sz="4" w:space="0" w:color="000000"/>
            </w:tcBorders>
            <w:shd w:val="clear" w:color="auto" w:fill="808080"/>
            <w:vAlign w:val="bottom"/>
          </w:tcPr>
          <w:p w:rsidR="00ED19E8" w:rsidRPr="001C3085" w:rsidP="00ED19E8" w14:paraId="41E804A7" w14:textId="77777777">
            <w:pPr>
              <w:widowControl/>
              <w:spacing w:line="276" w:lineRule="auto"/>
              <w:rPr>
                <w:rFonts w:eastAsia="Calibri"/>
                <w:sz w:val="24"/>
                <w:szCs w:val="24"/>
              </w:rPr>
            </w:pPr>
          </w:p>
        </w:tc>
        <w:tc>
          <w:tcPr>
            <w:tcW w:w="1080" w:type="dxa"/>
            <w:tcBorders>
              <w:top w:val="nil"/>
              <w:left w:val="nil"/>
              <w:bottom w:val="single" w:sz="4" w:space="0" w:color="000000"/>
              <w:right w:val="single" w:sz="4" w:space="0" w:color="000000"/>
            </w:tcBorders>
            <w:shd w:val="clear" w:color="auto" w:fill="808080"/>
            <w:vAlign w:val="bottom"/>
          </w:tcPr>
          <w:p w:rsidR="00ED19E8" w:rsidRPr="001C3085" w:rsidP="00ED19E8" w14:paraId="7D075C99" w14:textId="77777777">
            <w:pPr>
              <w:widowControl/>
              <w:spacing w:line="276" w:lineRule="auto"/>
              <w:rPr>
                <w:rFonts w:eastAsia="Calibri"/>
                <w:sz w:val="24"/>
                <w:szCs w:val="24"/>
              </w:rPr>
            </w:pPr>
          </w:p>
        </w:tc>
        <w:tc>
          <w:tcPr>
            <w:tcW w:w="1320" w:type="dxa"/>
            <w:tcBorders>
              <w:top w:val="nil"/>
              <w:left w:val="nil"/>
              <w:bottom w:val="single" w:sz="4" w:space="0" w:color="000000"/>
              <w:right w:val="single" w:sz="4" w:space="0" w:color="000000"/>
            </w:tcBorders>
            <w:shd w:val="clear" w:color="auto" w:fill="808080"/>
            <w:vAlign w:val="bottom"/>
          </w:tcPr>
          <w:p w:rsidR="00ED19E8" w:rsidRPr="001C3085" w:rsidP="00ED19E8" w14:paraId="1E7842EF" w14:textId="77777777">
            <w:pPr>
              <w:widowControl/>
              <w:spacing w:line="276" w:lineRule="auto"/>
              <w:rPr>
                <w:rFonts w:eastAsia="Calibri"/>
                <w:sz w:val="24"/>
                <w:szCs w:val="24"/>
              </w:rPr>
            </w:pPr>
          </w:p>
        </w:tc>
        <w:tc>
          <w:tcPr>
            <w:tcW w:w="2140" w:type="dxa"/>
            <w:tcBorders>
              <w:top w:val="nil"/>
              <w:left w:val="nil"/>
              <w:bottom w:val="single" w:sz="4" w:space="0" w:color="000000"/>
              <w:right w:val="single" w:sz="8" w:space="0" w:color="000000"/>
            </w:tcBorders>
            <w:shd w:val="clear" w:color="auto" w:fill="auto"/>
            <w:vAlign w:val="bottom"/>
          </w:tcPr>
          <w:p w:rsidR="00ED19E8" w:rsidRPr="001C3085" w:rsidP="00ED19E8" w14:paraId="06AC8D4A" w14:textId="77777777">
            <w:pPr>
              <w:widowControl/>
              <w:spacing w:line="276" w:lineRule="auto"/>
              <w:rPr>
                <w:rFonts w:eastAsia="Calibri"/>
                <w:sz w:val="24"/>
                <w:szCs w:val="24"/>
              </w:rPr>
            </w:pPr>
          </w:p>
        </w:tc>
      </w:tr>
      <w:tr w14:paraId="2DE0AEDA" w14:textId="77777777" w:rsidTr="00B350D0">
        <w:tblPrEx>
          <w:tblW w:w="9670" w:type="dxa"/>
          <w:tblInd w:w="-140" w:type="dxa"/>
          <w:tblLayout w:type="fixed"/>
          <w:tblLook w:val="0400"/>
        </w:tblPrEx>
        <w:trPr>
          <w:trHeight w:val="349"/>
        </w:trPr>
        <w:tc>
          <w:tcPr>
            <w:tcW w:w="2470" w:type="dxa"/>
            <w:gridSpan w:val="2"/>
            <w:tcBorders>
              <w:top w:val="nil"/>
              <w:left w:val="single" w:sz="8" w:space="0" w:color="000000"/>
              <w:bottom w:val="nil"/>
              <w:right w:val="single" w:sz="8" w:space="0" w:color="000000"/>
            </w:tcBorders>
            <w:shd w:val="clear" w:color="auto" w:fill="auto"/>
            <w:vAlign w:val="center"/>
          </w:tcPr>
          <w:p w:rsidR="00ED19E8" w:rsidRPr="001C3085" w:rsidP="00ED19E8" w14:paraId="4FF84A76" w14:textId="77777777">
            <w:pPr>
              <w:widowControl/>
              <w:spacing w:line="276" w:lineRule="auto"/>
              <w:rPr>
                <w:rFonts w:eastAsia="Calibri"/>
                <w:b/>
                <w:sz w:val="24"/>
                <w:szCs w:val="24"/>
              </w:rPr>
            </w:pPr>
            <w:r w:rsidRPr="001C3085">
              <w:rPr>
                <w:rFonts w:eastAsia="Calibri"/>
                <w:b/>
                <w:sz w:val="24"/>
                <w:szCs w:val="24"/>
              </w:rPr>
              <w:t xml:space="preserve">Other Costs: </w:t>
            </w:r>
          </w:p>
        </w:tc>
        <w:tc>
          <w:tcPr>
            <w:tcW w:w="1235" w:type="dxa"/>
            <w:tcBorders>
              <w:top w:val="nil"/>
              <w:left w:val="nil"/>
              <w:bottom w:val="single" w:sz="4" w:space="0" w:color="000000"/>
              <w:right w:val="single" w:sz="4" w:space="0" w:color="000000"/>
            </w:tcBorders>
            <w:shd w:val="clear" w:color="auto" w:fill="808080"/>
            <w:vAlign w:val="bottom"/>
          </w:tcPr>
          <w:p w:rsidR="00ED19E8" w:rsidRPr="001C3085" w:rsidP="00ED19E8" w14:paraId="034D83A9" w14:textId="77777777">
            <w:pPr>
              <w:widowControl/>
              <w:spacing w:line="276" w:lineRule="auto"/>
              <w:rPr>
                <w:rFonts w:eastAsia="Calibri"/>
                <w:sz w:val="24"/>
                <w:szCs w:val="24"/>
              </w:rPr>
            </w:pPr>
          </w:p>
        </w:tc>
        <w:tc>
          <w:tcPr>
            <w:tcW w:w="1425" w:type="dxa"/>
            <w:tcBorders>
              <w:top w:val="nil"/>
              <w:left w:val="nil"/>
              <w:bottom w:val="single" w:sz="4" w:space="0" w:color="000000"/>
              <w:right w:val="single" w:sz="4" w:space="0" w:color="000000"/>
            </w:tcBorders>
            <w:shd w:val="clear" w:color="auto" w:fill="808080"/>
            <w:vAlign w:val="bottom"/>
          </w:tcPr>
          <w:p w:rsidR="00ED19E8" w:rsidRPr="001C3085" w:rsidP="00ED19E8" w14:paraId="4FC0A85C" w14:textId="77777777">
            <w:pPr>
              <w:widowControl/>
              <w:spacing w:line="276" w:lineRule="auto"/>
              <w:rPr>
                <w:rFonts w:eastAsia="Calibri"/>
                <w:sz w:val="24"/>
                <w:szCs w:val="24"/>
              </w:rPr>
            </w:pPr>
          </w:p>
        </w:tc>
        <w:tc>
          <w:tcPr>
            <w:tcW w:w="1080" w:type="dxa"/>
            <w:tcBorders>
              <w:top w:val="nil"/>
              <w:left w:val="nil"/>
              <w:bottom w:val="single" w:sz="4" w:space="0" w:color="000000"/>
              <w:right w:val="single" w:sz="4" w:space="0" w:color="000000"/>
            </w:tcBorders>
            <w:shd w:val="clear" w:color="auto" w:fill="808080"/>
            <w:vAlign w:val="bottom"/>
          </w:tcPr>
          <w:p w:rsidR="00ED19E8" w:rsidRPr="001C3085" w:rsidP="00ED19E8" w14:paraId="2D07B395" w14:textId="77777777">
            <w:pPr>
              <w:widowControl/>
              <w:spacing w:line="276" w:lineRule="auto"/>
              <w:rPr>
                <w:rFonts w:eastAsia="Calibri"/>
                <w:sz w:val="24"/>
                <w:szCs w:val="24"/>
              </w:rPr>
            </w:pPr>
          </w:p>
        </w:tc>
        <w:tc>
          <w:tcPr>
            <w:tcW w:w="1320" w:type="dxa"/>
            <w:tcBorders>
              <w:top w:val="nil"/>
              <w:left w:val="nil"/>
              <w:bottom w:val="single" w:sz="4" w:space="0" w:color="000000"/>
              <w:right w:val="single" w:sz="4" w:space="0" w:color="000000"/>
            </w:tcBorders>
            <w:shd w:val="clear" w:color="auto" w:fill="808080"/>
            <w:vAlign w:val="bottom"/>
          </w:tcPr>
          <w:p w:rsidR="00ED19E8" w:rsidRPr="001C3085" w:rsidP="00ED19E8" w14:paraId="1B8123A9" w14:textId="77777777">
            <w:pPr>
              <w:widowControl/>
              <w:spacing w:line="276" w:lineRule="auto"/>
              <w:rPr>
                <w:rFonts w:eastAsia="Calibri"/>
                <w:sz w:val="24"/>
                <w:szCs w:val="24"/>
              </w:rPr>
            </w:pPr>
          </w:p>
        </w:tc>
        <w:tc>
          <w:tcPr>
            <w:tcW w:w="2140" w:type="dxa"/>
            <w:tcBorders>
              <w:top w:val="nil"/>
              <w:left w:val="nil"/>
              <w:bottom w:val="single" w:sz="4" w:space="0" w:color="000000"/>
              <w:right w:val="single" w:sz="8" w:space="0" w:color="000000"/>
            </w:tcBorders>
            <w:shd w:val="clear" w:color="auto" w:fill="auto"/>
            <w:vAlign w:val="bottom"/>
          </w:tcPr>
          <w:p w:rsidR="00ED19E8" w:rsidRPr="001C3085" w:rsidP="00ED19E8" w14:paraId="4441DDA4" w14:textId="77777777">
            <w:pPr>
              <w:widowControl/>
              <w:spacing w:line="276" w:lineRule="auto"/>
              <w:rPr>
                <w:rFonts w:eastAsia="Calibri"/>
                <w:sz w:val="24"/>
                <w:szCs w:val="24"/>
              </w:rPr>
            </w:pPr>
          </w:p>
        </w:tc>
      </w:tr>
      <w:tr w14:paraId="344CFFF8" w14:textId="77777777" w:rsidTr="00B350D0">
        <w:tblPrEx>
          <w:tblW w:w="9670" w:type="dxa"/>
          <w:tblInd w:w="-140" w:type="dxa"/>
          <w:tblLayout w:type="fixed"/>
          <w:tblLook w:val="0400"/>
        </w:tblPrEx>
        <w:trPr>
          <w:trHeight w:val="315"/>
        </w:trPr>
        <w:tc>
          <w:tcPr>
            <w:tcW w:w="2470" w:type="dxa"/>
            <w:gridSpan w:val="2"/>
            <w:tcBorders>
              <w:top w:val="single" w:sz="8" w:space="0" w:color="000000"/>
              <w:left w:val="single" w:sz="8" w:space="0" w:color="000000"/>
              <w:bottom w:val="single" w:sz="8" w:space="0" w:color="000000"/>
              <w:right w:val="single" w:sz="8" w:space="0" w:color="000000"/>
            </w:tcBorders>
            <w:shd w:val="clear" w:color="auto" w:fill="DDEBF7"/>
            <w:vAlign w:val="bottom"/>
          </w:tcPr>
          <w:p w:rsidR="00ED19E8" w:rsidRPr="001C3085" w:rsidP="00ED19E8" w14:paraId="1FA0A59B" w14:textId="77777777">
            <w:pPr>
              <w:widowControl/>
              <w:spacing w:line="276" w:lineRule="auto"/>
              <w:rPr>
                <w:rFonts w:eastAsia="Calibri"/>
                <w:b/>
                <w:sz w:val="24"/>
                <w:szCs w:val="24"/>
              </w:rPr>
            </w:pPr>
            <w:r w:rsidRPr="001C3085">
              <w:rPr>
                <w:rFonts w:eastAsia="Calibri"/>
                <w:b/>
                <w:sz w:val="24"/>
                <w:szCs w:val="24"/>
              </w:rPr>
              <w:t>TOTAL</w:t>
            </w:r>
          </w:p>
        </w:tc>
        <w:tc>
          <w:tcPr>
            <w:tcW w:w="1235" w:type="dxa"/>
            <w:tcBorders>
              <w:top w:val="single" w:sz="8" w:space="0" w:color="000000"/>
              <w:left w:val="nil"/>
              <w:bottom w:val="single" w:sz="8" w:space="0" w:color="000000"/>
              <w:right w:val="single" w:sz="8" w:space="0" w:color="000000"/>
            </w:tcBorders>
            <w:shd w:val="clear" w:color="auto" w:fill="808080"/>
            <w:vAlign w:val="bottom"/>
          </w:tcPr>
          <w:p w:rsidR="00ED19E8" w:rsidRPr="001C3085" w:rsidP="00ED19E8" w14:paraId="70FDFEED" w14:textId="77777777">
            <w:pPr>
              <w:widowControl/>
              <w:spacing w:line="276" w:lineRule="auto"/>
              <w:rPr>
                <w:rFonts w:eastAsia="Calibri"/>
                <w:sz w:val="24"/>
                <w:szCs w:val="24"/>
              </w:rPr>
            </w:pPr>
          </w:p>
        </w:tc>
        <w:tc>
          <w:tcPr>
            <w:tcW w:w="1425" w:type="dxa"/>
            <w:tcBorders>
              <w:top w:val="single" w:sz="8" w:space="0" w:color="000000"/>
              <w:left w:val="nil"/>
              <w:bottom w:val="single" w:sz="8" w:space="0" w:color="000000"/>
              <w:right w:val="single" w:sz="8" w:space="0" w:color="000000"/>
            </w:tcBorders>
            <w:shd w:val="clear" w:color="auto" w:fill="808080"/>
            <w:vAlign w:val="bottom"/>
          </w:tcPr>
          <w:p w:rsidR="00ED19E8" w:rsidRPr="001C3085" w:rsidP="00ED19E8" w14:paraId="5B29BF36" w14:textId="77777777">
            <w:pPr>
              <w:widowControl/>
              <w:spacing w:line="276" w:lineRule="auto"/>
              <w:rPr>
                <w:rFonts w:eastAsia="Calibri"/>
                <w:sz w:val="24"/>
                <w:szCs w:val="24"/>
              </w:rPr>
            </w:pPr>
          </w:p>
        </w:tc>
        <w:tc>
          <w:tcPr>
            <w:tcW w:w="1080" w:type="dxa"/>
            <w:tcBorders>
              <w:top w:val="single" w:sz="8" w:space="0" w:color="000000"/>
              <w:left w:val="nil"/>
              <w:bottom w:val="single" w:sz="8" w:space="0" w:color="000000"/>
              <w:right w:val="single" w:sz="8" w:space="0" w:color="000000"/>
            </w:tcBorders>
            <w:shd w:val="clear" w:color="auto" w:fill="757171"/>
            <w:vAlign w:val="bottom"/>
          </w:tcPr>
          <w:p w:rsidR="00ED19E8" w:rsidRPr="001C3085" w:rsidP="00ED19E8" w14:paraId="6B9950DB" w14:textId="77777777">
            <w:pPr>
              <w:widowControl/>
              <w:spacing w:line="276" w:lineRule="auto"/>
              <w:rPr>
                <w:rFonts w:eastAsia="Calibri"/>
                <w:sz w:val="24"/>
                <w:szCs w:val="24"/>
              </w:rPr>
            </w:pPr>
          </w:p>
        </w:tc>
        <w:tc>
          <w:tcPr>
            <w:tcW w:w="1320" w:type="dxa"/>
            <w:tcBorders>
              <w:top w:val="single" w:sz="8" w:space="0" w:color="000000"/>
              <w:left w:val="nil"/>
              <w:bottom w:val="single" w:sz="8" w:space="0" w:color="000000"/>
              <w:right w:val="single" w:sz="8" w:space="0" w:color="000000"/>
            </w:tcBorders>
            <w:shd w:val="clear" w:color="auto" w:fill="DDEBF7"/>
            <w:vAlign w:val="bottom"/>
          </w:tcPr>
          <w:p w:rsidR="00ED19E8" w:rsidRPr="001C3085" w:rsidP="00ED19E8" w14:paraId="73BFE461" w14:textId="77777777">
            <w:pPr>
              <w:widowControl/>
              <w:spacing w:line="276" w:lineRule="auto"/>
              <w:rPr>
                <w:rFonts w:eastAsia="Calibri"/>
                <w:sz w:val="24"/>
                <w:szCs w:val="24"/>
              </w:rPr>
            </w:pPr>
          </w:p>
        </w:tc>
        <w:tc>
          <w:tcPr>
            <w:tcW w:w="2140" w:type="dxa"/>
            <w:tcBorders>
              <w:top w:val="single" w:sz="8" w:space="0" w:color="000000"/>
              <w:left w:val="nil"/>
              <w:bottom w:val="single" w:sz="8" w:space="0" w:color="000000"/>
              <w:right w:val="single" w:sz="8" w:space="0" w:color="000000"/>
            </w:tcBorders>
            <w:shd w:val="clear" w:color="auto" w:fill="DDEBF7"/>
            <w:vAlign w:val="bottom"/>
          </w:tcPr>
          <w:p w:rsidR="00ED19E8" w:rsidRPr="001C3085" w:rsidP="00ED19E8" w14:paraId="23A96323" w14:textId="62313D3E">
            <w:pPr>
              <w:widowControl/>
              <w:spacing w:line="276" w:lineRule="auto"/>
              <w:rPr>
                <w:rFonts w:eastAsia="Calibri"/>
                <w:b/>
                <w:sz w:val="24"/>
                <w:szCs w:val="24"/>
              </w:rPr>
            </w:pPr>
            <w:r>
              <w:rPr>
                <w:rFonts w:eastAsia="Calibri"/>
                <w:b/>
                <w:sz w:val="24"/>
                <w:szCs w:val="24"/>
              </w:rPr>
              <w:t>$</w:t>
            </w:r>
            <w:r w:rsidRPr="001C3085">
              <w:rPr>
                <w:rFonts w:eastAsia="Calibri"/>
                <w:b/>
                <w:sz w:val="24"/>
                <w:szCs w:val="24"/>
              </w:rPr>
              <w:t>267,905.50</w:t>
            </w:r>
          </w:p>
        </w:tc>
      </w:tr>
    </w:tbl>
    <w:p w:rsidR="00071046" w:rsidRPr="001C3085" w14:paraId="0904A729" w14:textId="77777777">
      <w:pPr>
        <w:pBdr>
          <w:top w:val="nil"/>
          <w:left w:val="nil"/>
          <w:bottom w:val="nil"/>
          <w:right w:val="nil"/>
          <w:between w:val="nil"/>
        </w:pBdr>
        <w:spacing w:before="9" w:after="1" w:line="276" w:lineRule="auto"/>
        <w:rPr>
          <w:rFonts w:eastAsia="Calibri"/>
          <w:b/>
          <w:color w:val="000000"/>
        </w:rPr>
      </w:pPr>
    </w:p>
    <w:p w:rsidR="00071046" w:rsidRPr="001C3085" w14:paraId="128D901C" w14:textId="77777777">
      <w:pPr>
        <w:numPr>
          <w:ilvl w:val="0"/>
          <w:numId w:val="6"/>
        </w:numPr>
        <w:pBdr>
          <w:top w:val="nil"/>
          <w:left w:val="nil"/>
          <w:bottom w:val="nil"/>
          <w:right w:val="nil"/>
          <w:between w:val="nil"/>
        </w:pBdr>
        <w:tabs>
          <w:tab w:val="left" w:pos="360"/>
        </w:tabs>
        <w:spacing w:before="80" w:after="200" w:line="276" w:lineRule="auto"/>
        <w:ind w:left="0" w:firstLine="0"/>
        <w:rPr>
          <w:color w:val="000000"/>
        </w:rPr>
      </w:pPr>
      <w:r w:rsidRPr="001C3085">
        <w:rPr>
          <w:rFonts w:eastAsia="Calibri"/>
          <w:b/>
          <w:color w:val="000000"/>
        </w:rPr>
        <w:t>Explain the reasons for any program changes or adjustments reported in ROCIS.</w:t>
      </w:r>
    </w:p>
    <w:p w:rsidR="00B350D0" w:rsidP="00B350D0" w14:paraId="5DFB5E32" w14:textId="38F99F0A">
      <w:pPr>
        <w:pBdr>
          <w:top w:val="nil"/>
          <w:left w:val="nil"/>
          <w:bottom w:val="nil"/>
          <w:right w:val="nil"/>
          <w:between w:val="nil"/>
        </w:pBdr>
        <w:tabs>
          <w:tab w:val="left" w:pos="360"/>
        </w:tabs>
        <w:spacing w:after="200" w:line="276" w:lineRule="auto"/>
        <w:rPr>
          <w:rFonts w:eastAsia="Calibri"/>
          <w:color w:val="000000" w:themeColor="text1"/>
        </w:rPr>
      </w:pPr>
      <w:r>
        <w:rPr>
          <w:rFonts w:eastAsia="Calibri"/>
          <w:color w:val="000000" w:themeColor="text1"/>
        </w:rPr>
        <w:t xml:space="preserve">The York River pretest survey was already conducted and has been removed from this submission. </w:t>
      </w:r>
      <w:r w:rsidR="00F01790">
        <w:rPr>
          <w:rFonts w:eastAsia="Calibri"/>
          <w:color w:val="000000" w:themeColor="text1"/>
        </w:rPr>
        <w:t>We have added the full implementation of the Outdoor Recreation and the York River Surveys.</w:t>
      </w:r>
    </w:p>
    <w:tbl>
      <w:tblPr>
        <w:tblW w:w="11040" w:type="dxa"/>
        <w:tblLook w:val="04A0"/>
      </w:tblPr>
      <w:tblGrid>
        <w:gridCol w:w="1980"/>
        <w:gridCol w:w="1070"/>
        <w:gridCol w:w="1310"/>
        <w:gridCol w:w="1160"/>
        <w:gridCol w:w="1140"/>
        <w:gridCol w:w="1180"/>
        <w:gridCol w:w="1240"/>
        <w:gridCol w:w="1960"/>
      </w:tblGrid>
      <w:tr w14:paraId="4CCB1990" w14:textId="77777777" w:rsidTr="00A75D7E">
        <w:tblPrEx>
          <w:tblW w:w="11040" w:type="dxa"/>
          <w:tblLook w:val="04A0"/>
        </w:tblPrEx>
        <w:trPr>
          <w:trHeight w:val="300"/>
        </w:trPr>
        <w:tc>
          <w:tcPr>
            <w:tcW w:w="1980" w:type="dxa"/>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A75D7E" w:rsidRPr="00A75D7E" w:rsidP="00A75D7E" w14:paraId="4A40CE96" w14:textId="77777777">
            <w:pPr>
              <w:widowControl/>
              <w:jc w:val="center"/>
              <w:rPr>
                <w:rFonts w:ascii="Calibri" w:hAnsi="Calibri" w:cs="Calibri"/>
                <w:b/>
                <w:bCs/>
                <w:color w:val="000000"/>
                <w:sz w:val="16"/>
                <w:szCs w:val="16"/>
              </w:rPr>
            </w:pPr>
            <w:r w:rsidRPr="00A75D7E">
              <w:rPr>
                <w:rFonts w:ascii="Calibri" w:hAnsi="Calibri" w:cs="Calibri"/>
                <w:b/>
                <w:bCs/>
                <w:color w:val="000000"/>
                <w:sz w:val="16"/>
                <w:szCs w:val="16"/>
              </w:rPr>
              <w:t>Information Collection</w:t>
            </w:r>
          </w:p>
        </w:tc>
        <w:tc>
          <w:tcPr>
            <w:tcW w:w="238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A75D7E" w:rsidRPr="00A75D7E" w:rsidP="00A75D7E" w14:paraId="334230ED" w14:textId="77777777">
            <w:pPr>
              <w:widowControl/>
              <w:jc w:val="center"/>
              <w:rPr>
                <w:rFonts w:ascii="Calibri" w:hAnsi="Calibri" w:cs="Calibri"/>
                <w:b/>
                <w:bCs/>
                <w:color w:val="000000"/>
                <w:sz w:val="16"/>
                <w:szCs w:val="16"/>
              </w:rPr>
            </w:pPr>
            <w:r w:rsidRPr="00A75D7E">
              <w:rPr>
                <w:rFonts w:ascii="Calibri" w:hAnsi="Calibri" w:cs="Calibri"/>
                <w:b/>
                <w:bCs/>
                <w:color w:val="000000"/>
                <w:sz w:val="16"/>
                <w:szCs w:val="16"/>
              </w:rPr>
              <w:t>Respondents</w:t>
            </w:r>
          </w:p>
        </w:tc>
        <w:tc>
          <w:tcPr>
            <w:tcW w:w="230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A75D7E" w:rsidRPr="00A75D7E" w:rsidP="00A75D7E" w14:paraId="0D5BC52C" w14:textId="77777777">
            <w:pPr>
              <w:widowControl/>
              <w:jc w:val="center"/>
              <w:rPr>
                <w:rFonts w:ascii="Calibri" w:hAnsi="Calibri" w:cs="Calibri"/>
                <w:b/>
                <w:bCs/>
                <w:color w:val="000000"/>
                <w:sz w:val="16"/>
                <w:szCs w:val="16"/>
              </w:rPr>
            </w:pPr>
            <w:r w:rsidRPr="00A75D7E">
              <w:rPr>
                <w:rFonts w:ascii="Calibri" w:hAnsi="Calibri" w:cs="Calibri"/>
                <w:b/>
                <w:bCs/>
                <w:color w:val="000000"/>
                <w:sz w:val="16"/>
                <w:szCs w:val="16"/>
              </w:rPr>
              <w:t>Responses</w:t>
            </w:r>
          </w:p>
        </w:tc>
        <w:tc>
          <w:tcPr>
            <w:tcW w:w="242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A75D7E" w:rsidRPr="00A75D7E" w:rsidP="00A75D7E" w14:paraId="14A7F0FE" w14:textId="77777777">
            <w:pPr>
              <w:widowControl/>
              <w:jc w:val="center"/>
              <w:rPr>
                <w:rFonts w:ascii="Calibri" w:hAnsi="Calibri" w:cs="Calibri"/>
                <w:b/>
                <w:bCs/>
                <w:color w:val="000000"/>
                <w:sz w:val="16"/>
                <w:szCs w:val="16"/>
              </w:rPr>
            </w:pPr>
            <w:r w:rsidRPr="00A75D7E">
              <w:rPr>
                <w:rFonts w:ascii="Calibri" w:hAnsi="Calibri" w:cs="Calibri"/>
                <w:b/>
                <w:bCs/>
                <w:color w:val="000000"/>
                <w:sz w:val="16"/>
                <w:szCs w:val="16"/>
              </w:rPr>
              <w:t>Burden Hours</w:t>
            </w:r>
          </w:p>
        </w:tc>
        <w:tc>
          <w:tcPr>
            <w:tcW w:w="1960" w:type="dxa"/>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A75D7E" w:rsidRPr="00A75D7E" w:rsidP="00A75D7E" w14:paraId="09D5091B" w14:textId="77777777">
            <w:pPr>
              <w:widowControl/>
              <w:jc w:val="center"/>
              <w:rPr>
                <w:rFonts w:ascii="Calibri" w:hAnsi="Calibri" w:cs="Calibri"/>
                <w:b/>
                <w:bCs/>
                <w:color w:val="000000"/>
                <w:sz w:val="16"/>
                <w:szCs w:val="16"/>
              </w:rPr>
            </w:pPr>
            <w:r w:rsidRPr="00A75D7E">
              <w:rPr>
                <w:rFonts w:ascii="Calibri" w:hAnsi="Calibri" w:cs="Calibri"/>
                <w:b/>
                <w:bCs/>
                <w:color w:val="000000"/>
                <w:sz w:val="16"/>
                <w:szCs w:val="16"/>
              </w:rPr>
              <w:t>Reason for change or adjustment</w:t>
            </w:r>
          </w:p>
        </w:tc>
      </w:tr>
      <w:tr w14:paraId="26849B57" w14:textId="77777777" w:rsidTr="00A75D7E">
        <w:tblPrEx>
          <w:tblW w:w="11040" w:type="dxa"/>
          <w:tblLook w:val="04A0"/>
        </w:tblPrEx>
        <w:trPr>
          <w:trHeight w:val="675"/>
        </w:trPr>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A75D7E" w:rsidRPr="00A75D7E" w:rsidP="00A75D7E" w14:paraId="26A09177" w14:textId="77777777">
            <w:pPr>
              <w:widowControl/>
              <w:rPr>
                <w:rFonts w:ascii="Calibri" w:hAnsi="Calibri" w:cs="Calibri"/>
                <w:b/>
                <w:bCs/>
                <w:color w:val="000000"/>
                <w:sz w:val="16"/>
                <w:szCs w:val="16"/>
              </w:rPr>
            </w:pPr>
          </w:p>
        </w:tc>
        <w:tc>
          <w:tcPr>
            <w:tcW w:w="1070" w:type="dxa"/>
            <w:tcBorders>
              <w:top w:val="nil"/>
              <w:left w:val="nil"/>
              <w:bottom w:val="single" w:sz="8" w:space="0" w:color="000000"/>
              <w:right w:val="dotted" w:sz="4" w:space="0" w:color="000000"/>
            </w:tcBorders>
            <w:shd w:val="clear" w:color="FBE4D5" w:fill="FBE4D5"/>
            <w:vAlign w:val="center"/>
            <w:hideMark/>
          </w:tcPr>
          <w:p w:rsidR="00A75D7E" w:rsidRPr="00A75D7E" w:rsidP="00A75D7E" w14:paraId="78F94823" w14:textId="77777777">
            <w:pPr>
              <w:widowControl/>
              <w:jc w:val="center"/>
              <w:rPr>
                <w:rFonts w:ascii="Calibri" w:hAnsi="Calibri" w:cs="Calibri"/>
                <w:color w:val="000000"/>
                <w:sz w:val="16"/>
                <w:szCs w:val="16"/>
              </w:rPr>
            </w:pPr>
            <w:r w:rsidRPr="00A75D7E">
              <w:rPr>
                <w:rFonts w:ascii="Calibri" w:hAnsi="Calibri" w:cs="Calibri"/>
                <w:color w:val="000000"/>
                <w:sz w:val="16"/>
                <w:szCs w:val="16"/>
              </w:rPr>
              <w:t>Current Renewal / Revision</w:t>
            </w:r>
          </w:p>
        </w:tc>
        <w:tc>
          <w:tcPr>
            <w:tcW w:w="1310" w:type="dxa"/>
            <w:tcBorders>
              <w:top w:val="nil"/>
              <w:left w:val="nil"/>
              <w:bottom w:val="single" w:sz="8" w:space="0" w:color="000000"/>
              <w:right w:val="single" w:sz="8" w:space="0" w:color="000000"/>
            </w:tcBorders>
            <w:shd w:val="clear" w:color="FBE4D5" w:fill="FBE4D5"/>
            <w:vAlign w:val="center"/>
            <w:hideMark/>
          </w:tcPr>
          <w:p w:rsidR="00A75D7E" w:rsidRPr="00A75D7E" w:rsidP="00A75D7E" w14:paraId="0E51529D" w14:textId="77777777">
            <w:pPr>
              <w:widowControl/>
              <w:jc w:val="center"/>
              <w:rPr>
                <w:rFonts w:ascii="Calibri" w:hAnsi="Calibri" w:cs="Calibri"/>
                <w:color w:val="000000"/>
                <w:sz w:val="16"/>
                <w:szCs w:val="16"/>
              </w:rPr>
            </w:pPr>
            <w:r w:rsidRPr="00A75D7E">
              <w:rPr>
                <w:rFonts w:ascii="Calibri" w:hAnsi="Calibri" w:cs="Calibri"/>
                <w:color w:val="000000"/>
                <w:sz w:val="16"/>
                <w:szCs w:val="16"/>
              </w:rPr>
              <w:t>Previous Renewal / Revision</w:t>
            </w:r>
          </w:p>
        </w:tc>
        <w:tc>
          <w:tcPr>
            <w:tcW w:w="1160" w:type="dxa"/>
            <w:tcBorders>
              <w:top w:val="nil"/>
              <w:left w:val="nil"/>
              <w:bottom w:val="single" w:sz="8" w:space="0" w:color="000000"/>
              <w:right w:val="dotted" w:sz="4" w:space="0" w:color="000000"/>
            </w:tcBorders>
            <w:shd w:val="clear" w:color="FBE4D5" w:fill="FBE4D5"/>
            <w:vAlign w:val="center"/>
            <w:hideMark/>
          </w:tcPr>
          <w:p w:rsidR="00A75D7E" w:rsidRPr="00A75D7E" w:rsidP="00A75D7E" w14:paraId="60DB1A17" w14:textId="77777777">
            <w:pPr>
              <w:widowControl/>
              <w:jc w:val="center"/>
              <w:rPr>
                <w:rFonts w:ascii="Calibri" w:hAnsi="Calibri" w:cs="Calibri"/>
                <w:color w:val="000000"/>
                <w:sz w:val="16"/>
                <w:szCs w:val="16"/>
              </w:rPr>
            </w:pPr>
            <w:r w:rsidRPr="00A75D7E">
              <w:rPr>
                <w:rFonts w:ascii="Calibri" w:hAnsi="Calibri" w:cs="Calibri"/>
                <w:color w:val="000000"/>
                <w:sz w:val="16"/>
                <w:szCs w:val="16"/>
              </w:rPr>
              <w:t>Current Renewal / Revision</w:t>
            </w:r>
          </w:p>
        </w:tc>
        <w:tc>
          <w:tcPr>
            <w:tcW w:w="1140" w:type="dxa"/>
            <w:tcBorders>
              <w:top w:val="nil"/>
              <w:left w:val="nil"/>
              <w:bottom w:val="single" w:sz="8" w:space="0" w:color="000000"/>
              <w:right w:val="single" w:sz="8" w:space="0" w:color="000000"/>
            </w:tcBorders>
            <w:shd w:val="clear" w:color="FBE4D5" w:fill="FBE4D5"/>
            <w:vAlign w:val="center"/>
            <w:hideMark/>
          </w:tcPr>
          <w:p w:rsidR="00A75D7E" w:rsidRPr="00A75D7E" w:rsidP="00A75D7E" w14:paraId="5084C204" w14:textId="77777777">
            <w:pPr>
              <w:widowControl/>
              <w:jc w:val="center"/>
              <w:rPr>
                <w:rFonts w:ascii="Calibri" w:hAnsi="Calibri" w:cs="Calibri"/>
                <w:color w:val="000000"/>
                <w:sz w:val="16"/>
                <w:szCs w:val="16"/>
              </w:rPr>
            </w:pPr>
            <w:r w:rsidRPr="00A75D7E">
              <w:rPr>
                <w:rFonts w:ascii="Calibri" w:hAnsi="Calibri" w:cs="Calibri"/>
                <w:color w:val="000000"/>
                <w:sz w:val="16"/>
                <w:szCs w:val="16"/>
              </w:rPr>
              <w:t>Previous Renewal / Revision</w:t>
            </w:r>
          </w:p>
        </w:tc>
        <w:tc>
          <w:tcPr>
            <w:tcW w:w="1180" w:type="dxa"/>
            <w:tcBorders>
              <w:top w:val="nil"/>
              <w:left w:val="nil"/>
              <w:bottom w:val="single" w:sz="8" w:space="0" w:color="000000"/>
              <w:right w:val="dotted" w:sz="4" w:space="0" w:color="000000"/>
            </w:tcBorders>
            <w:shd w:val="clear" w:color="FBE4D5" w:fill="FBE4D5"/>
            <w:vAlign w:val="center"/>
            <w:hideMark/>
          </w:tcPr>
          <w:p w:rsidR="00A75D7E" w:rsidRPr="00A75D7E" w:rsidP="00A75D7E" w14:paraId="1013EF3E" w14:textId="77777777">
            <w:pPr>
              <w:widowControl/>
              <w:jc w:val="center"/>
              <w:rPr>
                <w:rFonts w:ascii="Calibri" w:hAnsi="Calibri" w:cs="Calibri"/>
                <w:color w:val="000000"/>
                <w:sz w:val="16"/>
                <w:szCs w:val="16"/>
              </w:rPr>
            </w:pPr>
            <w:r w:rsidRPr="00A75D7E">
              <w:rPr>
                <w:rFonts w:ascii="Calibri" w:hAnsi="Calibri" w:cs="Calibri"/>
                <w:color w:val="000000"/>
                <w:sz w:val="16"/>
                <w:szCs w:val="16"/>
              </w:rPr>
              <w:t>Current Renewal / Revision</w:t>
            </w:r>
          </w:p>
        </w:tc>
        <w:tc>
          <w:tcPr>
            <w:tcW w:w="1240" w:type="dxa"/>
            <w:tcBorders>
              <w:top w:val="nil"/>
              <w:left w:val="nil"/>
              <w:bottom w:val="single" w:sz="8" w:space="0" w:color="000000"/>
              <w:right w:val="single" w:sz="8" w:space="0" w:color="000000"/>
            </w:tcBorders>
            <w:shd w:val="clear" w:color="FBE4D5" w:fill="FBE4D5"/>
            <w:vAlign w:val="center"/>
            <w:hideMark/>
          </w:tcPr>
          <w:p w:rsidR="00A75D7E" w:rsidRPr="00A75D7E" w:rsidP="00A75D7E" w14:paraId="67CDE48E" w14:textId="77777777">
            <w:pPr>
              <w:widowControl/>
              <w:jc w:val="center"/>
              <w:rPr>
                <w:rFonts w:ascii="Calibri" w:hAnsi="Calibri" w:cs="Calibri"/>
                <w:color w:val="000000"/>
                <w:sz w:val="16"/>
                <w:szCs w:val="16"/>
              </w:rPr>
            </w:pPr>
            <w:r w:rsidRPr="00A75D7E">
              <w:rPr>
                <w:rFonts w:ascii="Calibri" w:hAnsi="Calibri" w:cs="Calibri"/>
                <w:color w:val="000000"/>
                <w:sz w:val="16"/>
                <w:szCs w:val="16"/>
              </w:rPr>
              <w:t>Previous Renewal / Revision</w:t>
            </w:r>
          </w:p>
        </w:tc>
        <w:tc>
          <w:tcPr>
            <w:tcW w:w="1960" w:type="dxa"/>
            <w:vMerge/>
            <w:tcBorders>
              <w:top w:val="single" w:sz="8" w:space="0" w:color="000000"/>
              <w:left w:val="single" w:sz="8" w:space="0" w:color="000000"/>
              <w:bottom w:val="single" w:sz="8" w:space="0" w:color="000000"/>
              <w:right w:val="single" w:sz="8" w:space="0" w:color="000000"/>
            </w:tcBorders>
            <w:vAlign w:val="center"/>
            <w:hideMark/>
          </w:tcPr>
          <w:p w:rsidR="00A75D7E" w:rsidRPr="00A75D7E" w:rsidP="00A75D7E" w14:paraId="60C5FCEB" w14:textId="77777777">
            <w:pPr>
              <w:widowControl/>
              <w:rPr>
                <w:rFonts w:ascii="Calibri" w:hAnsi="Calibri" w:cs="Calibri"/>
                <w:b/>
                <w:bCs/>
                <w:color w:val="000000"/>
                <w:sz w:val="16"/>
                <w:szCs w:val="16"/>
              </w:rPr>
            </w:pPr>
          </w:p>
        </w:tc>
      </w:tr>
      <w:tr w14:paraId="76D3DEE5" w14:textId="77777777" w:rsidTr="009F6BEA">
        <w:tblPrEx>
          <w:tblW w:w="11040" w:type="dxa"/>
          <w:tblLook w:val="04A0"/>
        </w:tblPrEx>
        <w:trPr>
          <w:trHeight w:val="300"/>
        </w:trPr>
        <w:tc>
          <w:tcPr>
            <w:tcW w:w="1980" w:type="dxa"/>
            <w:tcBorders>
              <w:top w:val="nil"/>
              <w:left w:val="single" w:sz="8" w:space="0" w:color="000000"/>
              <w:bottom w:val="single" w:sz="8" w:space="0" w:color="000000"/>
              <w:right w:val="single" w:sz="8" w:space="0" w:color="000000"/>
            </w:tcBorders>
            <w:shd w:val="clear" w:color="auto" w:fill="auto"/>
            <w:vAlign w:val="center"/>
            <w:hideMark/>
          </w:tcPr>
          <w:p w:rsidR="00A75D7E" w:rsidRPr="00A75D7E" w:rsidP="00A75D7E" w14:paraId="48481586" w14:textId="77777777">
            <w:pPr>
              <w:widowControl/>
              <w:rPr>
                <w:rFonts w:ascii="Calibri" w:hAnsi="Calibri" w:cs="Calibri"/>
                <w:color w:val="000000"/>
                <w:sz w:val="16"/>
                <w:szCs w:val="16"/>
              </w:rPr>
            </w:pPr>
            <w:r w:rsidRPr="00A75D7E">
              <w:rPr>
                <w:rFonts w:ascii="Calibri" w:hAnsi="Calibri" w:cs="Calibri"/>
                <w:color w:val="000000"/>
                <w:sz w:val="16"/>
                <w:szCs w:val="16"/>
              </w:rPr>
              <w:t>Pretests</w:t>
            </w:r>
          </w:p>
        </w:tc>
        <w:tc>
          <w:tcPr>
            <w:tcW w:w="1070" w:type="dxa"/>
            <w:tcBorders>
              <w:top w:val="nil"/>
              <w:left w:val="nil"/>
              <w:bottom w:val="dotted" w:sz="4" w:space="0" w:color="000000"/>
              <w:right w:val="dotted" w:sz="4" w:space="0" w:color="000000"/>
            </w:tcBorders>
            <w:shd w:val="clear" w:color="auto" w:fill="auto"/>
            <w:vAlign w:val="center"/>
            <w:hideMark/>
          </w:tcPr>
          <w:p w:rsidR="00A75D7E" w:rsidRPr="00A75D7E" w:rsidP="00A75D7E" w14:paraId="106E8302" w14:textId="77777777">
            <w:pPr>
              <w:widowControl/>
              <w:jc w:val="center"/>
              <w:rPr>
                <w:rFonts w:ascii="Calibri" w:hAnsi="Calibri" w:cs="Calibri"/>
                <w:color w:val="000000"/>
                <w:sz w:val="16"/>
                <w:szCs w:val="16"/>
              </w:rPr>
            </w:pPr>
            <w:r w:rsidRPr="00A75D7E">
              <w:rPr>
                <w:rFonts w:ascii="Calibri" w:hAnsi="Calibri" w:cs="Calibri"/>
                <w:color w:val="000000"/>
                <w:sz w:val="16"/>
                <w:szCs w:val="16"/>
              </w:rPr>
              <w:t>0</w:t>
            </w:r>
          </w:p>
        </w:tc>
        <w:tc>
          <w:tcPr>
            <w:tcW w:w="1310" w:type="dxa"/>
            <w:tcBorders>
              <w:top w:val="nil"/>
              <w:left w:val="nil"/>
              <w:bottom w:val="dotted" w:sz="4" w:space="0" w:color="000000"/>
              <w:right w:val="single" w:sz="8" w:space="0" w:color="000000"/>
            </w:tcBorders>
            <w:shd w:val="clear" w:color="auto" w:fill="auto"/>
            <w:vAlign w:val="center"/>
            <w:hideMark/>
          </w:tcPr>
          <w:p w:rsidR="00A75D7E" w:rsidRPr="00A75D7E" w:rsidP="00A75D7E" w14:paraId="7AA4A895" w14:textId="77777777">
            <w:pPr>
              <w:widowControl/>
              <w:jc w:val="center"/>
              <w:rPr>
                <w:rFonts w:ascii="Calibri" w:hAnsi="Calibri" w:cs="Calibri"/>
                <w:color w:val="000000"/>
                <w:sz w:val="16"/>
                <w:szCs w:val="16"/>
              </w:rPr>
            </w:pPr>
            <w:r w:rsidRPr="00A75D7E">
              <w:rPr>
                <w:rFonts w:ascii="Calibri" w:hAnsi="Calibri" w:cs="Calibri"/>
                <w:color w:val="000000"/>
                <w:sz w:val="16"/>
                <w:szCs w:val="16"/>
              </w:rPr>
              <w:t>305</w:t>
            </w:r>
          </w:p>
        </w:tc>
        <w:tc>
          <w:tcPr>
            <w:tcW w:w="1160" w:type="dxa"/>
            <w:tcBorders>
              <w:top w:val="nil"/>
              <w:left w:val="nil"/>
              <w:bottom w:val="dotted" w:sz="4" w:space="0" w:color="000000"/>
              <w:right w:val="dotted" w:sz="4" w:space="0" w:color="000000"/>
            </w:tcBorders>
            <w:shd w:val="clear" w:color="auto" w:fill="auto"/>
            <w:vAlign w:val="center"/>
            <w:hideMark/>
          </w:tcPr>
          <w:p w:rsidR="00A75D7E" w:rsidRPr="00A75D7E" w:rsidP="00A75D7E" w14:paraId="19E45990" w14:textId="77777777">
            <w:pPr>
              <w:widowControl/>
              <w:jc w:val="center"/>
              <w:rPr>
                <w:rFonts w:ascii="Calibri" w:hAnsi="Calibri" w:cs="Calibri"/>
                <w:color w:val="000000"/>
                <w:sz w:val="16"/>
                <w:szCs w:val="16"/>
              </w:rPr>
            </w:pPr>
            <w:r w:rsidRPr="00A75D7E">
              <w:rPr>
                <w:rFonts w:ascii="Calibri" w:hAnsi="Calibri" w:cs="Calibri"/>
                <w:color w:val="000000"/>
                <w:sz w:val="16"/>
                <w:szCs w:val="16"/>
              </w:rPr>
              <w:t>0</w:t>
            </w:r>
          </w:p>
        </w:tc>
        <w:tc>
          <w:tcPr>
            <w:tcW w:w="1140" w:type="dxa"/>
            <w:tcBorders>
              <w:top w:val="nil"/>
              <w:left w:val="nil"/>
              <w:bottom w:val="dotted" w:sz="4" w:space="0" w:color="000000"/>
              <w:right w:val="single" w:sz="8" w:space="0" w:color="000000"/>
            </w:tcBorders>
            <w:shd w:val="clear" w:color="auto" w:fill="auto"/>
            <w:vAlign w:val="center"/>
            <w:hideMark/>
          </w:tcPr>
          <w:p w:rsidR="00A75D7E" w:rsidRPr="00A75D7E" w:rsidP="00A75D7E" w14:paraId="684C9F7C" w14:textId="77777777">
            <w:pPr>
              <w:widowControl/>
              <w:jc w:val="center"/>
              <w:rPr>
                <w:rFonts w:ascii="Calibri" w:hAnsi="Calibri" w:cs="Calibri"/>
                <w:color w:val="000000"/>
                <w:sz w:val="16"/>
                <w:szCs w:val="16"/>
              </w:rPr>
            </w:pPr>
            <w:r w:rsidRPr="00A75D7E">
              <w:rPr>
                <w:rFonts w:ascii="Calibri" w:hAnsi="Calibri" w:cs="Calibri"/>
                <w:color w:val="000000"/>
                <w:sz w:val="16"/>
                <w:szCs w:val="16"/>
              </w:rPr>
              <w:t>305</w:t>
            </w:r>
          </w:p>
        </w:tc>
        <w:tc>
          <w:tcPr>
            <w:tcW w:w="1180" w:type="dxa"/>
            <w:tcBorders>
              <w:top w:val="nil"/>
              <w:left w:val="nil"/>
              <w:bottom w:val="dotted" w:sz="4" w:space="0" w:color="000000"/>
              <w:right w:val="dotted" w:sz="4" w:space="0" w:color="000000"/>
            </w:tcBorders>
            <w:shd w:val="clear" w:color="auto" w:fill="auto"/>
            <w:vAlign w:val="center"/>
            <w:hideMark/>
          </w:tcPr>
          <w:p w:rsidR="00A75D7E" w:rsidRPr="00A75D7E" w:rsidP="00A75D7E" w14:paraId="5E8F3E66" w14:textId="77777777">
            <w:pPr>
              <w:widowControl/>
              <w:jc w:val="center"/>
              <w:rPr>
                <w:rFonts w:ascii="Calibri" w:hAnsi="Calibri" w:cs="Calibri"/>
                <w:color w:val="000000"/>
                <w:sz w:val="16"/>
                <w:szCs w:val="16"/>
              </w:rPr>
            </w:pPr>
            <w:r w:rsidRPr="00A75D7E">
              <w:rPr>
                <w:rFonts w:ascii="Calibri" w:hAnsi="Calibri" w:cs="Calibri"/>
                <w:color w:val="000000"/>
                <w:sz w:val="16"/>
                <w:szCs w:val="16"/>
              </w:rPr>
              <w:t>0</w:t>
            </w:r>
          </w:p>
        </w:tc>
        <w:tc>
          <w:tcPr>
            <w:tcW w:w="1240" w:type="dxa"/>
            <w:tcBorders>
              <w:top w:val="nil"/>
              <w:left w:val="nil"/>
              <w:bottom w:val="dotted" w:sz="4" w:space="0" w:color="000000"/>
              <w:right w:val="single" w:sz="8" w:space="0" w:color="000000"/>
            </w:tcBorders>
            <w:shd w:val="clear" w:color="auto" w:fill="auto"/>
            <w:vAlign w:val="center"/>
            <w:hideMark/>
          </w:tcPr>
          <w:p w:rsidR="00A75D7E" w:rsidRPr="00A75D7E" w:rsidP="00A75D7E" w14:paraId="3859AD8A" w14:textId="77777777">
            <w:pPr>
              <w:widowControl/>
              <w:jc w:val="center"/>
              <w:rPr>
                <w:rFonts w:ascii="Calibri" w:hAnsi="Calibri" w:cs="Calibri"/>
                <w:color w:val="000000"/>
                <w:sz w:val="16"/>
                <w:szCs w:val="16"/>
              </w:rPr>
            </w:pPr>
            <w:r w:rsidRPr="00A75D7E">
              <w:rPr>
                <w:rFonts w:ascii="Calibri" w:hAnsi="Calibri" w:cs="Calibri"/>
                <w:color w:val="000000"/>
                <w:sz w:val="16"/>
                <w:szCs w:val="16"/>
              </w:rPr>
              <w:t>51</w:t>
            </w:r>
          </w:p>
        </w:tc>
        <w:tc>
          <w:tcPr>
            <w:tcW w:w="1960" w:type="dxa"/>
            <w:tcBorders>
              <w:top w:val="nil"/>
              <w:left w:val="nil"/>
              <w:bottom w:val="dotted" w:sz="4" w:space="0" w:color="000000"/>
              <w:right w:val="single" w:sz="8" w:space="0" w:color="000000"/>
            </w:tcBorders>
            <w:shd w:val="clear" w:color="auto" w:fill="auto"/>
            <w:vAlign w:val="center"/>
            <w:hideMark/>
          </w:tcPr>
          <w:p w:rsidR="00A75D7E" w:rsidRPr="00A75D7E" w:rsidP="00A75D7E" w14:paraId="636362D8" w14:textId="74EA349D">
            <w:pPr>
              <w:widowControl/>
              <w:rPr>
                <w:rFonts w:ascii="Calibri" w:hAnsi="Calibri" w:cs="Calibri"/>
                <w:color w:val="000000"/>
                <w:sz w:val="16"/>
                <w:szCs w:val="16"/>
              </w:rPr>
            </w:pPr>
            <w:r w:rsidRPr="00A75D7E">
              <w:rPr>
                <w:rFonts w:ascii="Calibri" w:hAnsi="Calibri" w:cs="Calibri"/>
                <w:color w:val="000000"/>
                <w:sz w:val="16"/>
                <w:szCs w:val="16"/>
              </w:rPr>
              <w:t> </w:t>
            </w:r>
            <w:r w:rsidR="006E34D2">
              <w:rPr>
                <w:rFonts w:ascii="Calibri" w:hAnsi="Calibri" w:cs="Calibri"/>
                <w:color w:val="000000"/>
                <w:sz w:val="16"/>
                <w:szCs w:val="16"/>
              </w:rPr>
              <w:t>Pretests have been concluded and are being removed from this control number.</w:t>
            </w:r>
          </w:p>
        </w:tc>
      </w:tr>
      <w:tr w14:paraId="60B6C0BA" w14:textId="77777777" w:rsidTr="009F6BEA">
        <w:tblPrEx>
          <w:tblW w:w="11040" w:type="dxa"/>
          <w:tblLook w:val="04A0"/>
        </w:tblPrEx>
        <w:trPr>
          <w:trHeight w:val="675"/>
        </w:trPr>
        <w:tc>
          <w:tcPr>
            <w:tcW w:w="1980" w:type="dxa"/>
            <w:tcBorders>
              <w:top w:val="nil"/>
              <w:left w:val="single" w:sz="8" w:space="0" w:color="000000"/>
              <w:bottom w:val="single" w:sz="8" w:space="0" w:color="000000"/>
              <w:right w:val="single" w:sz="8" w:space="0" w:color="000000"/>
            </w:tcBorders>
            <w:shd w:val="clear" w:color="auto" w:fill="auto"/>
            <w:vAlign w:val="center"/>
            <w:hideMark/>
          </w:tcPr>
          <w:p w:rsidR="00A75D7E" w:rsidRPr="00A75D7E" w:rsidP="00A75D7E" w14:paraId="391ADCA5" w14:textId="77777777">
            <w:pPr>
              <w:widowControl/>
              <w:rPr>
                <w:rFonts w:ascii="Calibri" w:hAnsi="Calibri" w:cs="Calibri"/>
                <w:color w:val="000000"/>
                <w:sz w:val="16"/>
                <w:szCs w:val="16"/>
              </w:rPr>
            </w:pPr>
            <w:r w:rsidRPr="00A75D7E">
              <w:rPr>
                <w:rFonts w:ascii="Calibri" w:hAnsi="Calibri" w:cs="Calibri"/>
                <w:color w:val="000000"/>
                <w:sz w:val="16"/>
                <w:szCs w:val="16"/>
              </w:rPr>
              <w:t>York River Outdoor Recreational Survey - Full Implementation</w:t>
            </w:r>
          </w:p>
        </w:tc>
        <w:tc>
          <w:tcPr>
            <w:tcW w:w="1070" w:type="dxa"/>
            <w:tcBorders>
              <w:top w:val="nil"/>
              <w:left w:val="nil"/>
              <w:bottom w:val="dotted" w:sz="4" w:space="0" w:color="000000"/>
              <w:right w:val="dotted" w:sz="4" w:space="0" w:color="000000"/>
            </w:tcBorders>
            <w:shd w:val="clear" w:color="auto" w:fill="auto"/>
            <w:vAlign w:val="center"/>
            <w:hideMark/>
          </w:tcPr>
          <w:p w:rsidR="00A75D7E" w:rsidRPr="00A75D7E" w:rsidP="00A75D7E" w14:paraId="568F7DAE" w14:textId="77777777">
            <w:pPr>
              <w:widowControl/>
              <w:jc w:val="center"/>
              <w:rPr>
                <w:rFonts w:ascii="Calibri" w:hAnsi="Calibri" w:cs="Calibri"/>
                <w:color w:val="000000"/>
                <w:sz w:val="16"/>
                <w:szCs w:val="16"/>
              </w:rPr>
            </w:pPr>
            <w:r w:rsidRPr="00A75D7E">
              <w:rPr>
                <w:rFonts w:ascii="Calibri" w:hAnsi="Calibri" w:cs="Calibri"/>
                <w:color w:val="000000"/>
                <w:sz w:val="16"/>
                <w:szCs w:val="16"/>
              </w:rPr>
              <w:t>1716</w:t>
            </w:r>
          </w:p>
        </w:tc>
        <w:tc>
          <w:tcPr>
            <w:tcW w:w="1310" w:type="dxa"/>
            <w:tcBorders>
              <w:top w:val="nil"/>
              <w:left w:val="nil"/>
              <w:bottom w:val="dotted" w:sz="4" w:space="0" w:color="000000"/>
              <w:right w:val="single" w:sz="8" w:space="0" w:color="000000"/>
            </w:tcBorders>
            <w:shd w:val="clear" w:color="auto" w:fill="auto"/>
            <w:vAlign w:val="center"/>
            <w:hideMark/>
          </w:tcPr>
          <w:p w:rsidR="00A75D7E" w:rsidRPr="00A75D7E" w:rsidP="00A75D7E" w14:paraId="59D570F3" w14:textId="77777777">
            <w:pPr>
              <w:widowControl/>
              <w:jc w:val="center"/>
              <w:rPr>
                <w:rFonts w:ascii="Calibri" w:hAnsi="Calibri" w:cs="Calibri"/>
                <w:color w:val="000000"/>
                <w:sz w:val="16"/>
                <w:szCs w:val="16"/>
              </w:rPr>
            </w:pPr>
            <w:r w:rsidRPr="00A75D7E">
              <w:rPr>
                <w:rFonts w:ascii="Calibri" w:hAnsi="Calibri" w:cs="Calibri"/>
                <w:color w:val="000000"/>
                <w:sz w:val="16"/>
                <w:szCs w:val="16"/>
              </w:rPr>
              <w:t>0</w:t>
            </w:r>
          </w:p>
        </w:tc>
        <w:tc>
          <w:tcPr>
            <w:tcW w:w="1160" w:type="dxa"/>
            <w:tcBorders>
              <w:top w:val="nil"/>
              <w:left w:val="nil"/>
              <w:bottom w:val="dotted" w:sz="4" w:space="0" w:color="000000"/>
              <w:right w:val="dotted" w:sz="4" w:space="0" w:color="000000"/>
            </w:tcBorders>
            <w:shd w:val="clear" w:color="auto" w:fill="auto"/>
            <w:vAlign w:val="center"/>
            <w:hideMark/>
          </w:tcPr>
          <w:p w:rsidR="00A75D7E" w:rsidRPr="00A75D7E" w:rsidP="00A75D7E" w14:paraId="6C5AF3F7" w14:textId="77777777">
            <w:pPr>
              <w:widowControl/>
              <w:jc w:val="center"/>
              <w:rPr>
                <w:rFonts w:ascii="Calibri" w:hAnsi="Calibri" w:cs="Calibri"/>
                <w:color w:val="000000"/>
                <w:sz w:val="16"/>
                <w:szCs w:val="16"/>
              </w:rPr>
            </w:pPr>
            <w:r w:rsidRPr="00A75D7E">
              <w:rPr>
                <w:rFonts w:ascii="Calibri" w:hAnsi="Calibri" w:cs="Calibri"/>
                <w:color w:val="000000"/>
                <w:sz w:val="16"/>
                <w:szCs w:val="16"/>
              </w:rPr>
              <w:t>1716</w:t>
            </w:r>
          </w:p>
        </w:tc>
        <w:tc>
          <w:tcPr>
            <w:tcW w:w="1140" w:type="dxa"/>
            <w:tcBorders>
              <w:top w:val="nil"/>
              <w:left w:val="nil"/>
              <w:bottom w:val="dotted" w:sz="4" w:space="0" w:color="000000"/>
              <w:right w:val="single" w:sz="8" w:space="0" w:color="000000"/>
            </w:tcBorders>
            <w:shd w:val="clear" w:color="auto" w:fill="auto"/>
            <w:vAlign w:val="center"/>
            <w:hideMark/>
          </w:tcPr>
          <w:p w:rsidR="00A75D7E" w:rsidRPr="00A75D7E" w:rsidP="00A75D7E" w14:paraId="784E34D3" w14:textId="77777777">
            <w:pPr>
              <w:widowControl/>
              <w:jc w:val="center"/>
              <w:rPr>
                <w:rFonts w:ascii="Calibri" w:hAnsi="Calibri" w:cs="Calibri"/>
                <w:color w:val="000000"/>
                <w:sz w:val="16"/>
                <w:szCs w:val="16"/>
              </w:rPr>
            </w:pPr>
            <w:r w:rsidRPr="00A75D7E">
              <w:rPr>
                <w:rFonts w:ascii="Calibri" w:hAnsi="Calibri" w:cs="Calibri"/>
                <w:color w:val="000000"/>
                <w:sz w:val="16"/>
                <w:szCs w:val="16"/>
              </w:rPr>
              <w:t>0</w:t>
            </w:r>
          </w:p>
        </w:tc>
        <w:tc>
          <w:tcPr>
            <w:tcW w:w="1180" w:type="dxa"/>
            <w:tcBorders>
              <w:top w:val="nil"/>
              <w:left w:val="nil"/>
              <w:bottom w:val="dotted" w:sz="4" w:space="0" w:color="000000"/>
              <w:right w:val="dotted" w:sz="4" w:space="0" w:color="000000"/>
            </w:tcBorders>
            <w:shd w:val="clear" w:color="auto" w:fill="auto"/>
            <w:vAlign w:val="center"/>
            <w:hideMark/>
          </w:tcPr>
          <w:p w:rsidR="00A75D7E" w:rsidRPr="00A75D7E" w:rsidP="00A75D7E" w14:paraId="6B4D8AA5" w14:textId="77777777">
            <w:pPr>
              <w:widowControl/>
              <w:jc w:val="center"/>
              <w:rPr>
                <w:rFonts w:ascii="Calibri" w:hAnsi="Calibri" w:cs="Calibri"/>
                <w:color w:val="000000"/>
                <w:sz w:val="16"/>
                <w:szCs w:val="16"/>
              </w:rPr>
            </w:pPr>
            <w:r w:rsidRPr="00A75D7E">
              <w:rPr>
                <w:rFonts w:ascii="Calibri" w:hAnsi="Calibri" w:cs="Calibri"/>
                <w:color w:val="000000"/>
                <w:sz w:val="16"/>
                <w:szCs w:val="16"/>
              </w:rPr>
              <w:t>286</w:t>
            </w:r>
          </w:p>
        </w:tc>
        <w:tc>
          <w:tcPr>
            <w:tcW w:w="1240" w:type="dxa"/>
            <w:tcBorders>
              <w:top w:val="nil"/>
              <w:left w:val="nil"/>
              <w:bottom w:val="dotted" w:sz="4" w:space="0" w:color="000000"/>
              <w:right w:val="single" w:sz="8" w:space="0" w:color="000000"/>
            </w:tcBorders>
            <w:shd w:val="clear" w:color="auto" w:fill="auto"/>
            <w:vAlign w:val="center"/>
            <w:hideMark/>
          </w:tcPr>
          <w:p w:rsidR="00A75D7E" w:rsidRPr="00A75D7E" w:rsidP="00A75D7E" w14:paraId="18CCCFDC" w14:textId="77777777">
            <w:pPr>
              <w:widowControl/>
              <w:jc w:val="center"/>
              <w:rPr>
                <w:rFonts w:ascii="Calibri" w:hAnsi="Calibri" w:cs="Calibri"/>
                <w:color w:val="000000"/>
                <w:sz w:val="16"/>
                <w:szCs w:val="16"/>
              </w:rPr>
            </w:pPr>
            <w:r w:rsidRPr="00A75D7E">
              <w:rPr>
                <w:rFonts w:ascii="Calibri" w:hAnsi="Calibri" w:cs="Calibri"/>
                <w:color w:val="000000"/>
                <w:sz w:val="16"/>
                <w:szCs w:val="16"/>
              </w:rPr>
              <w:t>0</w:t>
            </w:r>
          </w:p>
        </w:tc>
        <w:tc>
          <w:tcPr>
            <w:tcW w:w="1960" w:type="dxa"/>
            <w:tcBorders>
              <w:top w:val="nil"/>
              <w:left w:val="nil"/>
              <w:bottom w:val="dotted" w:sz="4" w:space="0" w:color="000000"/>
              <w:right w:val="single" w:sz="8" w:space="0" w:color="000000"/>
            </w:tcBorders>
            <w:shd w:val="clear" w:color="auto" w:fill="auto"/>
            <w:vAlign w:val="center"/>
            <w:hideMark/>
          </w:tcPr>
          <w:p w:rsidR="00A75D7E" w:rsidRPr="00A75D7E" w:rsidP="00A75D7E" w14:paraId="044EDE67" w14:textId="77777777">
            <w:pPr>
              <w:widowControl/>
              <w:rPr>
                <w:rFonts w:ascii="Calibri" w:hAnsi="Calibri" w:cs="Calibri"/>
                <w:color w:val="000000"/>
                <w:sz w:val="16"/>
                <w:szCs w:val="16"/>
              </w:rPr>
            </w:pPr>
            <w:r w:rsidRPr="00A75D7E">
              <w:rPr>
                <w:rFonts w:ascii="Calibri" w:hAnsi="Calibri" w:cs="Calibri"/>
                <w:color w:val="000000"/>
                <w:sz w:val="16"/>
                <w:szCs w:val="16"/>
              </w:rPr>
              <w:t>Full Implementation Survey added.</w:t>
            </w:r>
          </w:p>
        </w:tc>
      </w:tr>
      <w:tr w14:paraId="5E75D731" w14:textId="77777777" w:rsidTr="009F6BEA">
        <w:tblPrEx>
          <w:tblW w:w="11040" w:type="dxa"/>
          <w:tblLook w:val="04A0"/>
        </w:tblPrEx>
        <w:trPr>
          <w:trHeight w:val="300"/>
        </w:trPr>
        <w:tc>
          <w:tcPr>
            <w:tcW w:w="1980" w:type="dxa"/>
            <w:tcBorders>
              <w:top w:val="nil"/>
              <w:left w:val="single" w:sz="8" w:space="0" w:color="000000"/>
              <w:bottom w:val="single" w:sz="8" w:space="0" w:color="000000"/>
              <w:right w:val="single" w:sz="8" w:space="0" w:color="000000"/>
            </w:tcBorders>
            <w:shd w:val="clear" w:color="auto" w:fill="auto"/>
            <w:vAlign w:val="center"/>
            <w:hideMark/>
          </w:tcPr>
          <w:p w:rsidR="00A75D7E" w:rsidRPr="00A75D7E" w:rsidP="00A75D7E" w14:paraId="5E0C78F5" w14:textId="056DF15A">
            <w:pPr>
              <w:widowControl/>
              <w:rPr>
                <w:rFonts w:ascii="Calibri" w:hAnsi="Calibri" w:cs="Calibri"/>
                <w:color w:val="000000"/>
                <w:sz w:val="16"/>
                <w:szCs w:val="16"/>
              </w:rPr>
            </w:pPr>
            <w:r w:rsidRPr="00A75D7E">
              <w:rPr>
                <w:rFonts w:ascii="Calibri" w:hAnsi="Calibri" w:cs="Calibri"/>
                <w:color w:val="000000"/>
                <w:sz w:val="16"/>
                <w:szCs w:val="16"/>
              </w:rPr>
              <w:t> </w:t>
            </w:r>
            <w:r w:rsidR="00087559">
              <w:rPr>
                <w:rFonts w:ascii="Calibri" w:hAnsi="Calibri" w:cs="Calibri"/>
                <w:color w:val="000000"/>
                <w:sz w:val="16"/>
                <w:szCs w:val="16"/>
              </w:rPr>
              <w:t>Public perceptions of prescribed fires</w:t>
            </w:r>
          </w:p>
        </w:tc>
        <w:tc>
          <w:tcPr>
            <w:tcW w:w="1070" w:type="dxa"/>
            <w:tcBorders>
              <w:top w:val="nil"/>
              <w:left w:val="nil"/>
              <w:bottom w:val="dotted" w:sz="4" w:space="0" w:color="000000"/>
              <w:right w:val="dotted" w:sz="4" w:space="0" w:color="000000"/>
            </w:tcBorders>
            <w:shd w:val="clear" w:color="auto" w:fill="auto"/>
            <w:vAlign w:val="center"/>
            <w:hideMark/>
          </w:tcPr>
          <w:p w:rsidR="00A75D7E" w:rsidRPr="00A75D7E" w:rsidP="00A75D7E" w14:paraId="1F894398" w14:textId="4C901514">
            <w:pPr>
              <w:widowControl/>
              <w:jc w:val="center"/>
              <w:rPr>
                <w:rFonts w:ascii="Calibri" w:hAnsi="Calibri" w:cs="Calibri"/>
                <w:color w:val="000000"/>
                <w:sz w:val="16"/>
                <w:szCs w:val="16"/>
              </w:rPr>
            </w:pPr>
            <w:r w:rsidRPr="00A75D7E">
              <w:rPr>
                <w:rFonts w:ascii="Calibri" w:hAnsi="Calibri" w:cs="Calibri"/>
                <w:color w:val="000000"/>
                <w:sz w:val="16"/>
                <w:szCs w:val="16"/>
              </w:rPr>
              <w:t> </w:t>
            </w:r>
            <w:r w:rsidR="00087559">
              <w:rPr>
                <w:rFonts w:ascii="Calibri" w:hAnsi="Calibri" w:cs="Calibri"/>
                <w:color w:val="000000"/>
                <w:sz w:val="16"/>
                <w:szCs w:val="16"/>
              </w:rPr>
              <w:t>513</w:t>
            </w:r>
          </w:p>
        </w:tc>
        <w:tc>
          <w:tcPr>
            <w:tcW w:w="1310" w:type="dxa"/>
            <w:tcBorders>
              <w:top w:val="nil"/>
              <w:left w:val="nil"/>
              <w:bottom w:val="dotted" w:sz="4" w:space="0" w:color="000000"/>
              <w:right w:val="single" w:sz="8" w:space="0" w:color="000000"/>
            </w:tcBorders>
            <w:shd w:val="clear" w:color="auto" w:fill="auto"/>
            <w:vAlign w:val="center"/>
            <w:hideMark/>
          </w:tcPr>
          <w:p w:rsidR="00A75D7E" w:rsidRPr="00A75D7E" w:rsidP="00A75D7E" w14:paraId="6FF2E9F8" w14:textId="5B57217E">
            <w:pPr>
              <w:widowControl/>
              <w:jc w:val="center"/>
              <w:rPr>
                <w:rFonts w:ascii="Calibri" w:hAnsi="Calibri" w:cs="Calibri"/>
                <w:color w:val="000000"/>
                <w:sz w:val="16"/>
                <w:szCs w:val="16"/>
              </w:rPr>
            </w:pPr>
            <w:r>
              <w:rPr>
                <w:rFonts w:ascii="Calibri" w:hAnsi="Calibri" w:cs="Calibri"/>
                <w:color w:val="000000"/>
                <w:sz w:val="16"/>
                <w:szCs w:val="16"/>
              </w:rPr>
              <w:t>0</w:t>
            </w:r>
          </w:p>
        </w:tc>
        <w:tc>
          <w:tcPr>
            <w:tcW w:w="1160" w:type="dxa"/>
            <w:tcBorders>
              <w:top w:val="nil"/>
              <w:left w:val="nil"/>
              <w:bottom w:val="dotted" w:sz="4" w:space="0" w:color="000000"/>
              <w:right w:val="dotted" w:sz="4" w:space="0" w:color="000000"/>
            </w:tcBorders>
            <w:shd w:val="clear" w:color="auto" w:fill="auto"/>
            <w:vAlign w:val="center"/>
            <w:hideMark/>
          </w:tcPr>
          <w:p w:rsidR="00A75D7E" w:rsidRPr="00A75D7E" w:rsidP="00A75D7E" w14:paraId="5506C16F" w14:textId="54DC3B8E">
            <w:pPr>
              <w:widowControl/>
              <w:jc w:val="center"/>
              <w:rPr>
                <w:rFonts w:ascii="Calibri" w:hAnsi="Calibri" w:cs="Calibri"/>
                <w:color w:val="000000"/>
                <w:sz w:val="16"/>
                <w:szCs w:val="16"/>
              </w:rPr>
            </w:pPr>
            <w:r w:rsidRPr="00A75D7E">
              <w:rPr>
                <w:rFonts w:ascii="Calibri" w:hAnsi="Calibri" w:cs="Calibri"/>
                <w:color w:val="000000"/>
                <w:sz w:val="16"/>
                <w:szCs w:val="16"/>
              </w:rPr>
              <w:t> </w:t>
            </w:r>
            <w:r w:rsidR="00F01790">
              <w:rPr>
                <w:rFonts w:ascii="Calibri" w:hAnsi="Calibri" w:cs="Calibri"/>
                <w:color w:val="000000"/>
                <w:sz w:val="16"/>
                <w:szCs w:val="16"/>
              </w:rPr>
              <w:t>513</w:t>
            </w:r>
          </w:p>
        </w:tc>
        <w:tc>
          <w:tcPr>
            <w:tcW w:w="1140" w:type="dxa"/>
            <w:tcBorders>
              <w:top w:val="nil"/>
              <w:left w:val="nil"/>
              <w:bottom w:val="dotted" w:sz="4" w:space="0" w:color="000000"/>
              <w:right w:val="single" w:sz="8" w:space="0" w:color="000000"/>
            </w:tcBorders>
            <w:shd w:val="clear" w:color="auto" w:fill="auto"/>
            <w:vAlign w:val="center"/>
            <w:hideMark/>
          </w:tcPr>
          <w:p w:rsidR="00A75D7E" w:rsidRPr="00A75D7E" w:rsidP="00A75D7E" w14:paraId="7F37A05A" w14:textId="38ACB6F7">
            <w:pPr>
              <w:widowControl/>
              <w:jc w:val="center"/>
              <w:rPr>
                <w:rFonts w:ascii="Calibri" w:hAnsi="Calibri" w:cs="Calibri"/>
                <w:color w:val="000000"/>
                <w:sz w:val="16"/>
                <w:szCs w:val="16"/>
              </w:rPr>
            </w:pPr>
            <w:r>
              <w:rPr>
                <w:rFonts w:ascii="Calibri" w:hAnsi="Calibri" w:cs="Calibri"/>
                <w:color w:val="000000"/>
                <w:sz w:val="16"/>
                <w:szCs w:val="16"/>
              </w:rPr>
              <w:t>0</w:t>
            </w:r>
          </w:p>
        </w:tc>
        <w:tc>
          <w:tcPr>
            <w:tcW w:w="1180" w:type="dxa"/>
            <w:tcBorders>
              <w:top w:val="nil"/>
              <w:left w:val="nil"/>
              <w:bottom w:val="dotted" w:sz="4" w:space="0" w:color="000000"/>
              <w:right w:val="dotted" w:sz="4" w:space="0" w:color="000000"/>
            </w:tcBorders>
            <w:shd w:val="clear" w:color="auto" w:fill="auto"/>
            <w:vAlign w:val="center"/>
            <w:hideMark/>
          </w:tcPr>
          <w:p w:rsidR="00A75D7E" w:rsidRPr="00A75D7E" w:rsidP="00A75D7E" w14:paraId="140FA584" w14:textId="35B4DEA2">
            <w:pPr>
              <w:widowControl/>
              <w:jc w:val="center"/>
              <w:rPr>
                <w:rFonts w:ascii="Calibri" w:hAnsi="Calibri" w:cs="Calibri"/>
                <w:color w:val="000000"/>
                <w:sz w:val="16"/>
                <w:szCs w:val="16"/>
              </w:rPr>
            </w:pPr>
            <w:r>
              <w:rPr>
                <w:rFonts w:ascii="Calibri" w:hAnsi="Calibri" w:cs="Calibri"/>
                <w:color w:val="000000"/>
                <w:sz w:val="16"/>
                <w:szCs w:val="16"/>
              </w:rPr>
              <w:t>86</w:t>
            </w:r>
          </w:p>
        </w:tc>
        <w:tc>
          <w:tcPr>
            <w:tcW w:w="1240" w:type="dxa"/>
            <w:tcBorders>
              <w:top w:val="nil"/>
              <w:left w:val="nil"/>
              <w:bottom w:val="dotted" w:sz="4" w:space="0" w:color="000000"/>
              <w:right w:val="single" w:sz="8" w:space="0" w:color="000000"/>
            </w:tcBorders>
            <w:shd w:val="clear" w:color="auto" w:fill="auto"/>
            <w:vAlign w:val="center"/>
            <w:hideMark/>
          </w:tcPr>
          <w:p w:rsidR="00A75D7E" w:rsidRPr="00A75D7E" w:rsidP="00A75D7E" w14:paraId="374D8681" w14:textId="2DD34F8D">
            <w:pPr>
              <w:widowControl/>
              <w:jc w:val="center"/>
              <w:rPr>
                <w:rFonts w:ascii="Calibri" w:hAnsi="Calibri" w:cs="Calibri"/>
                <w:color w:val="000000"/>
                <w:sz w:val="16"/>
                <w:szCs w:val="16"/>
              </w:rPr>
            </w:pPr>
            <w:r>
              <w:rPr>
                <w:rFonts w:ascii="Calibri" w:hAnsi="Calibri" w:cs="Calibri"/>
                <w:color w:val="000000"/>
                <w:sz w:val="16"/>
                <w:szCs w:val="16"/>
              </w:rPr>
              <w:t>0</w:t>
            </w:r>
          </w:p>
        </w:tc>
        <w:tc>
          <w:tcPr>
            <w:tcW w:w="1960" w:type="dxa"/>
            <w:tcBorders>
              <w:top w:val="nil"/>
              <w:left w:val="nil"/>
              <w:bottom w:val="dotted" w:sz="4" w:space="0" w:color="000000"/>
              <w:right w:val="single" w:sz="8" w:space="0" w:color="000000"/>
            </w:tcBorders>
            <w:shd w:val="clear" w:color="auto" w:fill="auto"/>
            <w:vAlign w:val="center"/>
            <w:hideMark/>
          </w:tcPr>
          <w:p w:rsidR="00A75D7E" w:rsidRPr="00A75D7E" w:rsidP="00A75D7E" w14:paraId="342DDCA1" w14:textId="06A95221">
            <w:pPr>
              <w:widowControl/>
              <w:rPr>
                <w:rFonts w:ascii="Calibri" w:hAnsi="Calibri" w:cs="Calibri"/>
                <w:color w:val="000000"/>
                <w:sz w:val="16"/>
                <w:szCs w:val="16"/>
              </w:rPr>
            </w:pPr>
            <w:r w:rsidRPr="00A75D7E">
              <w:rPr>
                <w:rFonts w:ascii="Calibri" w:hAnsi="Calibri" w:cs="Calibri"/>
                <w:color w:val="000000"/>
                <w:sz w:val="16"/>
                <w:szCs w:val="16"/>
              </w:rPr>
              <w:t> </w:t>
            </w:r>
            <w:r w:rsidR="00F01790">
              <w:rPr>
                <w:rFonts w:ascii="Calibri" w:hAnsi="Calibri" w:cs="Calibri"/>
                <w:color w:val="000000"/>
                <w:sz w:val="16"/>
                <w:szCs w:val="16"/>
              </w:rPr>
              <w:t>Full implementation survey added</w:t>
            </w:r>
          </w:p>
        </w:tc>
      </w:tr>
      <w:tr w14:paraId="353C30D0" w14:textId="77777777" w:rsidTr="009F6BEA">
        <w:tblPrEx>
          <w:tblW w:w="11040" w:type="dxa"/>
          <w:tblLook w:val="04A0"/>
        </w:tblPrEx>
        <w:trPr>
          <w:trHeight w:val="465"/>
        </w:trPr>
        <w:tc>
          <w:tcPr>
            <w:tcW w:w="1980" w:type="dxa"/>
            <w:tcBorders>
              <w:top w:val="nil"/>
              <w:left w:val="single" w:sz="8" w:space="0" w:color="000000"/>
              <w:bottom w:val="nil"/>
              <w:right w:val="single" w:sz="8" w:space="0" w:color="000000"/>
            </w:tcBorders>
            <w:shd w:val="clear" w:color="BDD6EE" w:fill="BDD6EE"/>
            <w:vAlign w:val="center"/>
            <w:hideMark/>
          </w:tcPr>
          <w:p w:rsidR="00A75D7E" w:rsidRPr="00A75D7E" w:rsidP="00A75D7E" w14:paraId="2C6286F5" w14:textId="77777777">
            <w:pPr>
              <w:widowControl/>
              <w:jc w:val="center"/>
              <w:rPr>
                <w:rFonts w:ascii="Calibri" w:hAnsi="Calibri" w:cs="Calibri"/>
                <w:b/>
                <w:bCs/>
                <w:color w:val="000000"/>
                <w:sz w:val="16"/>
                <w:szCs w:val="16"/>
              </w:rPr>
            </w:pPr>
            <w:r w:rsidRPr="00A75D7E">
              <w:rPr>
                <w:rFonts w:ascii="Calibri" w:hAnsi="Calibri" w:cs="Calibri"/>
                <w:b/>
                <w:bCs/>
                <w:color w:val="000000"/>
                <w:sz w:val="16"/>
                <w:szCs w:val="16"/>
              </w:rPr>
              <w:t>Total for Collection</w:t>
            </w:r>
          </w:p>
        </w:tc>
        <w:tc>
          <w:tcPr>
            <w:tcW w:w="1070" w:type="dxa"/>
            <w:tcBorders>
              <w:top w:val="nil"/>
              <w:left w:val="nil"/>
              <w:bottom w:val="nil"/>
              <w:right w:val="dotted" w:sz="4" w:space="0" w:color="000000"/>
            </w:tcBorders>
            <w:shd w:val="clear" w:color="BDD6EE" w:fill="BDD6EE"/>
            <w:vAlign w:val="center"/>
            <w:hideMark/>
          </w:tcPr>
          <w:p w:rsidR="00A75D7E" w:rsidRPr="00A75D7E" w:rsidP="00A75D7E" w14:paraId="5AE02F8E" w14:textId="586EA341">
            <w:pPr>
              <w:widowControl/>
              <w:jc w:val="center"/>
              <w:rPr>
                <w:rFonts w:ascii="Calibri" w:hAnsi="Calibri" w:cs="Calibri"/>
                <w:b/>
                <w:bCs/>
                <w:color w:val="000000"/>
                <w:sz w:val="16"/>
                <w:szCs w:val="16"/>
              </w:rPr>
            </w:pPr>
            <w:r>
              <w:rPr>
                <w:rFonts w:ascii="Calibri" w:hAnsi="Calibri" w:cs="Calibri"/>
                <w:b/>
                <w:bCs/>
                <w:color w:val="000000"/>
                <w:sz w:val="16"/>
                <w:szCs w:val="16"/>
              </w:rPr>
              <w:t>2229</w:t>
            </w:r>
            <w:r w:rsidRPr="00A75D7E">
              <w:rPr>
                <w:rFonts w:ascii="Calibri" w:hAnsi="Calibri" w:cs="Calibri"/>
                <w:b/>
                <w:bCs/>
                <w:color w:val="000000"/>
                <w:sz w:val="16"/>
                <w:szCs w:val="16"/>
              </w:rPr>
              <w:t> </w:t>
            </w:r>
          </w:p>
        </w:tc>
        <w:tc>
          <w:tcPr>
            <w:tcW w:w="1310" w:type="dxa"/>
            <w:tcBorders>
              <w:top w:val="nil"/>
              <w:left w:val="nil"/>
              <w:bottom w:val="nil"/>
              <w:right w:val="single" w:sz="8" w:space="0" w:color="000000"/>
            </w:tcBorders>
            <w:shd w:val="clear" w:color="BDD6EE" w:fill="BDD6EE"/>
            <w:vAlign w:val="center"/>
            <w:hideMark/>
          </w:tcPr>
          <w:p w:rsidR="00A75D7E" w:rsidRPr="00A75D7E" w:rsidP="00A75D7E" w14:paraId="658D5085" w14:textId="780E1FF7">
            <w:pPr>
              <w:widowControl/>
              <w:jc w:val="center"/>
              <w:rPr>
                <w:rFonts w:ascii="Calibri" w:hAnsi="Calibri" w:cs="Calibri"/>
                <w:b/>
                <w:bCs/>
                <w:color w:val="000000"/>
                <w:sz w:val="16"/>
                <w:szCs w:val="16"/>
              </w:rPr>
            </w:pPr>
            <w:r w:rsidRPr="00A75D7E">
              <w:rPr>
                <w:rFonts w:ascii="Calibri" w:hAnsi="Calibri" w:cs="Calibri"/>
                <w:b/>
                <w:bCs/>
                <w:color w:val="000000"/>
                <w:sz w:val="16"/>
                <w:szCs w:val="16"/>
              </w:rPr>
              <w:t> </w:t>
            </w:r>
            <w:r w:rsidR="00F01790">
              <w:rPr>
                <w:rFonts w:ascii="Calibri" w:hAnsi="Calibri" w:cs="Calibri"/>
                <w:b/>
                <w:bCs/>
                <w:color w:val="000000"/>
                <w:sz w:val="16"/>
                <w:szCs w:val="16"/>
              </w:rPr>
              <w:t>305</w:t>
            </w:r>
          </w:p>
        </w:tc>
        <w:tc>
          <w:tcPr>
            <w:tcW w:w="1160" w:type="dxa"/>
            <w:tcBorders>
              <w:top w:val="nil"/>
              <w:left w:val="nil"/>
              <w:bottom w:val="nil"/>
              <w:right w:val="dotted" w:sz="4" w:space="0" w:color="000000"/>
            </w:tcBorders>
            <w:shd w:val="clear" w:color="BDD6EE" w:fill="BDD6EE"/>
            <w:vAlign w:val="center"/>
            <w:hideMark/>
          </w:tcPr>
          <w:p w:rsidR="00A75D7E" w:rsidRPr="00A75D7E" w:rsidP="00A75D7E" w14:paraId="7956FAC5" w14:textId="13053AE5">
            <w:pPr>
              <w:widowControl/>
              <w:jc w:val="center"/>
              <w:rPr>
                <w:rFonts w:ascii="Calibri" w:hAnsi="Calibri" w:cs="Calibri"/>
                <w:b/>
                <w:bCs/>
                <w:color w:val="000000"/>
                <w:sz w:val="16"/>
                <w:szCs w:val="16"/>
              </w:rPr>
            </w:pPr>
            <w:r>
              <w:rPr>
                <w:rFonts w:ascii="Calibri" w:hAnsi="Calibri" w:cs="Calibri"/>
                <w:b/>
                <w:bCs/>
                <w:color w:val="000000"/>
                <w:sz w:val="16"/>
                <w:szCs w:val="16"/>
              </w:rPr>
              <w:t>2229</w:t>
            </w:r>
            <w:r w:rsidRPr="00A75D7E">
              <w:rPr>
                <w:rFonts w:ascii="Calibri" w:hAnsi="Calibri" w:cs="Calibri"/>
                <w:b/>
                <w:bCs/>
                <w:color w:val="000000"/>
                <w:sz w:val="16"/>
                <w:szCs w:val="16"/>
              </w:rPr>
              <w:t> </w:t>
            </w:r>
          </w:p>
        </w:tc>
        <w:tc>
          <w:tcPr>
            <w:tcW w:w="1140" w:type="dxa"/>
            <w:tcBorders>
              <w:top w:val="nil"/>
              <w:left w:val="nil"/>
              <w:bottom w:val="nil"/>
              <w:right w:val="single" w:sz="8" w:space="0" w:color="000000"/>
            </w:tcBorders>
            <w:shd w:val="clear" w:color="BDD6EE" w:fill="BDD6EE"/>
            <w:vAlign w:val="center"/>
            <w:hideMark/>
          </w:tcPr>
          <w:p w:rsidR="00A75D7E" w:rsidRPr="00A75D7E" w:rsidP="00A75D7E" w14:paraId="18DF4C75" w14:textId="41D2D9B5">
            <w:pPr>
              <w:widowControl/>
              <w:jc w:val="center"/>
              <w:rPr>
                <w:rFonts w:ascii="Calibri" w:hAnsi="Calibri" w:cs="Calibri"/>
                <w:b/>
                <w:bCs/>
                <w:color w:val="000000"/>
                <w:sz w:val="16"/>
                <w:szCs w:val="16"/>
              </w:rPr>
            </w:pPr>
            <w:r w:rsidRPr="00A75D7E">
              <w:rPr>
                <w:rFonts w:ascii="Calibri" w:hAnsi="Calibri" w:cs="Calibri"/>
                <w:b/>
                <w:bCs/>
                <w:color w:val="000000"/>
                <w:sz w:val="16"/>
                <w:szCs w:val="16"/>
              </w:rPr>
              <w:t> </w:t>
            </w:r>
            <w:r w:rsidR="00511953">
              <w:rPr>
                <w:rFonts w:ascii="Calibri" w:hAnsi="Calibri" w:cs="Calibri"/>
                <w:b/>
                <w:bCs/>
                <w:color w:val="000000"/>
                <w:sz w:val="16"/>
                <w:szCs w:val="16"/>
              </w:rPr>
              <w:t>305</w:t>
            </w:r>
          </w:p>
        </w:tc>
        <w:tc>
          <w:tcPr>
            <w:tcW w:w="1180" w:type="dxa"/>
            <w:tcBorders>
              <w:top w:val="nil"/>
              <w:left w:val="nil"/>
              <w:bottom w:val="nil"/>
              <w:right w:val="dotted" w:sz="4" w:space="0" w:color="000000"/>
            </w:tcBorders>
            <w:shd w:val="clear" w:color="BDD6EE" w:fill="BDD6EE"/>
            <w:vAlign w:val="center"/>
            <w:hideMark/>
          </w:tcPr>
          <w:p w:rsidR="00A75D7E" w:rsidRPr="00A75D7E" w:rsidP="00A75D7E" w14:paraId="4984E5C4" w14:textId="6F129247">
            <w:pPr>
              <w:widowControl/>
              <w:jc w:val="center"/>
              <w:rPr>
                <w:rFonts w:ascii="Calibri" w:hAnsi="Calibri" w:cs="Calibri"/>
                <w:b/>
                <w:bCs/>
                <w:color w:val="000000"/>
                <w:sz w:val="16"/>
                <w:szCs w:val="16"/>
              </w:rPr>
            </w:pPr>
            <w:r w:rsidRPr="00A75D7E">
              <w:rPr>
                <w:rFonts w:ascii="Calibri" w:hAnsi="Calibri" w:cs="Calibri"/>
                <w:b/>
                <w:bCs/>
                <w:color w:val="000000"/>
                <w:sz w:val="16"/>
                <w:szCs w:val="16"/>
              </w:rPr>
              <w:t> </w:t>
            </w:r>
            <w:r w:rsidR="00511953">
              <w:rPr>
                <w:rFonts w:ascii="Calibri" w:hAnsi="Calibri" w:cs="Calibri"/>
                <w:b/>
                <w:bCs/>
                <w:color w:val="000000"/>
                <w:sz w:val="16"/>
                <w:szCs w:val="16"/>
              </w:rPr>
              <w:t>372</w:t>
            </w:r>
          </w:p>
        </w:tc>
        <w:tc>
          <w:tcPr>
            <w:tcW w:w="1240" w:type="dxa"/>
            <w:tcBorders>
              <w:top w:val="nil"/>
              <w:left w:val="nil"/>
              <w:bottom w:val="nil"/>
              <w:right w:val="single" w:sz="8" w:space="0" w:color="000000"/>
            </w:tcBorders>
            <w:shd w:val="clear" w:color="BDD6EE" w:fill="BDD6EE"/>
            <w:vAlign w:val="center"/>
            <w:hideMark/>
          </w:tcPr>
          <w:p w:rsidR="00A75D7E" w:rsidRPr="00A75D7E" w:rsidP="00A75D7E" w14:paraId="0A6F7210" w14:textId="4D35B508">
            <w:pPr>
              <w:widowControl/>
              <w:jc w:val="center"/>
              <w:rPr>
                <w:rFonts w:ascii="Calibri" w:hAnsi="Calibri" w:cs="Calibri"/>
                <w:b/>
                <w:bCs/>
                <w:color w:val="000000"/>
                <w:sz w:val="16"/>
                <w:szCs w:val="16"/>
              </w:rPr>
            </w:pPr>
            <w:r>
              <w:rPr>
                <w:rFonts w:ascii="Calibri" w:hAnsi="Calibri" w:cs="Calibri"/>
                <w:b/>
                <w:bCs/>
                <w:color w:val="000000"/>
                <w:sz w:val="16"/>
                <w:szCs w:val="16"/>
              </w:rPr>
              <w:t>51</w:t>
            </w:r>
            <w:r w:rsidRPr="00A75D7E">
              <w:rPr>
                <w:rFonts w:ascii="Calibri" w:hAnsi="Calibri" w:cs="Calibri"/>
                <w:b/>
                <w:bCs/>
                <w:color w:val="000000"/>
                <w:sz w:val="16"/>
                <w:szCs w:val="16"/>
              </w:rPr>
              <w:t> </w:t>
            </w:r>
          </w:p>
        </w:tc>
        <w:tc>
          <w:tcPr>
            <w:tcW w:w="1960" w:type="dxa"/>
            <w:tcBorders>
              <w:top w:val="nil"/>
              <w:left w:val="nil"/>
              <w:bottom w:val="nil"/>
              <w:right w:val="single" w:sz="8" w:space="0" w:color="000000"/>
            </w:tcBorders>
            <w:shd w:val="clear" w:color="000000" w:fill="000000"/>
            <w:vAlign w:val="center"/>
            <w:hideMark/>
          </w:tcPr>
          <w:p w:rsidR="00A75D7E" w:rsidRPr="00A75D7E" w:rsidP="00A75D7E" w14:paraId="70778BD4" w14:textId="77777777">
            <w:pPr>
              <w:widowControl/>
              <w:jc w:val="center"/>
              <w:rPr>
                <w:rFonts w:ascii="Calibri" w:hAnsi="Calibri" w:cs="Calibri"/>
                <w:b/>
                <w:bCs/>
                <w:color w:val="000000"/>
                <w:sz w:val="16"/>
                <w:szCs w:val="16"/>
              </w:rPr>
            </w:pPr>
            <w:r w:rsidRPr="00A75D7E">
              <w:rPr>
                <w:rFonts w:ascii="Calibri" w:hAnsi="Calibri" w:cs="Calibri"/>
                <w:b/>
                <w:bCs/>
                <w:color w:val="000000"/>
                <w:sz w:val="16"/>
                <w:szCs w:val="16"/>
              </w:rPr>
              <w:t> </w:t>
            </w:r>
          </w:p>
        </w:tc>
      </w:tr>
      <w:tr w14:paraId="613CC9B5" w14:textId="77777777" w:rsidTr="00A75D7E">
        <w:tblPrEx>
          <w:tblW w:w="11040" w:type="dxa"/>
          <w:tblLook w:val="04A0"/>
        </w:tblPrEx>
        <w:trPr>
          <w:trHeight w:val="300"/>
        </w:trPr>
        <w:tc>
          <w:tcPr>
            <w:tcW w:w="1980" w:type="dxa"/>
            <w:tcBorders>
              <w:top w:val="single" w:sz="8" w:space="0" w:color="000000"/>
              <w:left w:val="single" w:sz="8" w:space="0" w:color="000000"/>
              <w:bottom w:val="single" w:sz="8" w:space="0" w:color="000000"/>
              <w:right w:val="nil"/>
            </w:tcBorders>
            <w:shd w:val="clear" w:color="FBE4D5" w:fill="FBE4D5"/>
            <w:noWrap/>
            <w:vAlign w:val="bottom"/>
            <w:hideMark/>
          </w:tcPr>
          <w:p w:rsidR="00A75D7E" w:rsidRPr="00A75D7E" w:rsidP="00A75D7E" w14:paraId="61296B82" w14:textId="77777777">
            <w:pPr>
              <w:widowControl/>
              <w:jc w:val="center"/>
              <w:rPr>
                <w:rFonts w:ascii="Calibri" w:hAnsi="Calibri" w:cs="Calibri"/>
                <w:b/>
                <w:bCs/>
                <w:color w:val="000000"/>
                <w:sz w:val="16"/>
                <w:szCs w:val="16"/>
              </w:rPr>
            </w:pPr>
            <w:r w:rsidRPr="00A75D7E">
              <w:rPr>
                <w:rFonts w:ascii="Calibri" w:hAnsi="Calibri" w:cs="Calibri"/>
                <w:b/>
                <w:bCs/>
                <w:color w:val="000000"/>
                <w:sz w:val="16"/>
                <w:szCs w:val="16"/>
              </w:rPr>
              <w:t>Difference</w:t>
            </w:r>
          </w:p>
        </w:tc>
        <w:tc>
          <w:tcPr>
            <w:tcW w:w="2380" w:type="dxa"/>
            <w:gridSpan w:val="2"/>
            <w:tcBorders>
              <w:top w:val="single" w:sz="8" w:space="0" w:color="000000"/>
              <w:left w:val="single" w:sz="8" w:space="0" w:color="000000"/>
              <w:bottom w:val="single" w:sz="8" w:space="0" w:color="000000"/>
              <w:right w:val="single" w:sz="8" w:space="0" w:color="000000"/>
            </w:tcBorders>
            <w:shd w:val="clear" w:color="FBE4D5" w:fill="FBE4D5"/>
            <w:noWrap/>
            <w:vAlign w:val="bottom"/>
            <w:hideMark/>
          </w:tcPr>
          <w:p w:rsidR="00A75D7E" w:rsidRPr="00A75D7E" w:rsidP="00A75D7E" w14:paraId="0D0E532A" w14:textId="4FDAACE2">
            <w:pPr>
              <w:widowControl/>
              <w:jc w:val="center"/>
              <w:rPr>
                <w:rFonts w:ascii="Calibri" w:hAnsi="Calibri" w:cs="Calibri"/>
                <w:color w:val="000000"/>
                <w:sz w:val="22"/>
                <w:szCs w:val="22"/>
              </w:rPr>
            </w:pPr>
            <w:r w:rsidRPr="00A75D7E">
              <w:rPr>
                <w:rFonts w:ascii="Calibri" w:hAnsi="Calibri" w:cs="Calibri"/>
                <w:color w:val="000000"/>
                <w:sz w:val="22"/>
                <w:szCs w:val="22"/>
              </w:rPr>
              <w:t> </w:t>
            </w:r>
            <w:r w:rsidR="00F01790">
              <w:rPr>
                <w:rFonts w:ascii="Calibri" w:hAnsi="Calibri" w:cs="Calibri"/>
                <w:color w:val="000000"/>
                <w:sz w:val="22"/>
                <w:szCs w:val="22"/>
              </w:rPr>
              <w:t>1924</w:t>
            </w:r>
          </w:p>
        </w:tc>
        <w:tc>
          <w:tcPr>
            <w:tcW w:w="2300" w:type="dxa"/>
            <w:gridSpan w:val="2"/>
            <w:tcBorders>
              <w:top w:val="single" w:sz="8" w:space="0" w:color="000000"/>
              <w:left w:val="nil"/>
              <w:bottom w:val="single" w:sz="8" w:space="0" w:color="000000"/>
              <w:right w:val="single" w:sz="8" w:space="0" w:color="000000"/>
            </w:tcBorders>
            <w:shd w:val="clear" w:color="FBE4D5" w:fill="FBE4D5"/>
            <w:noWrap/>
            <w:vAlign w:val="bottom"/>
            <w:hideMark/>
          </w:tcPr>
          <w:p w:rsidR="00A75D7E" w:rsidRPr="00A75D7E" w:rsidP="00A75D7E" w14:paraId="79992C2D" w14:textId="7A7696C5">
            <w:pPr>
              <w:widowControl/>
              <w:jc w:val="center"/>
              <w:rPr>
                <w:rFonts w:ascii="Calibri" w:hAnsi="Calibri" w:cs="Calibri"/>
                <w:color w:val="000000"/>
                <w:sz w:val="22"/>
                <w:szCs w:val="22"/>
              </w:rPr>
            </w:pPr>
            <w:r w:rsidRPr="00A75D7E">
              <w:rPr>
                <w:rFonts w:ascii="Calibri" w:hAnsi="Calibri" w:cs="Calibri"/>
                <w:color w:val="000000"/>
                <w:sz w:val="22"/>
                <w:szCs w:val="22"/>
              </w:rPr>
              <w:t> </w:t>
            </w:r>
            <w:r w:rsidR="00F01790">
              <w:rPr>
                <w:rFonts w:ascii="Calibri" w:hAnsi="Calibri" w:cs="Calibri"/>
                <w:color w:val="000000"/>
                <w:sz w:val="22"/>
                <w:szCs w:val="22"/>
              </w:rPr>
              <w:t>1924</w:t>
            </w:r>
          </w:p>
        </w:tc>
        <w:tc>
          <w:tcPr>
            <w:tcW w:w="2420" w:type="dxa"/>
            <w:gridSpan w:val="2"/>
            <w:tcBorders>
              <w:top w:val="single" w:sz="8" w:space="0" w:color="000000"/>
              <w:left w:val="nil"/>
              <w:bottom w:val="single" w:sz="8" w:space="0" w:color="000000"/>
              <w:right w:val="single" w:sz="4" w:space="0" w:color="000000"/>
            </w:tcBorders>
            <w:shd w:val="clear" w:color="FBE4D5" w:fill="FBE4D5"/>
            <w:noWrap/>
            <w:vAlign w:val="bottom"/>
            <w:hideMark/>
          </w:tcPr>
          <w:p w:rsidR="00A75D7E" w:rsidRPr="00A75D7E" w:rsidP="00A75D7E" w14:paraId="0440A3DA" w14:textId="09676F3C">
            <w:pPr>
              <w:widowControl/>
              <w:jc w:val="center"/>
              <w:rPr>
                <w:rFonts w:ascii="Calibri" w:hAnsi="Calibri" w:cs="Calibri"/>
                <w:color w:val="000000"/>
                <w:sz w:val="22"/>
                <w:szCs w:val="22"/>
              </w:rPr>
            </w:pPr>
            <w:r w:rsidRPr="00A75D7E">
              <w:rPr>
                <w:rFonts w:ascii="Calibri" w:hAnsi="Calibri" w:cs="Calibri"/>
                <w:color w:val="000000"/>
                <w:sz w:val="22"/>
                <w:szCs w:val="22"/>
              </w:rPr>
              <w:t> </w:t>
            </w:r>
            <w:r w:rsidR="00F01790">
              <w:rPr>
                <w:rFonts w:ascii="Calibri" w:hAnsi="Calibri" w:cs="Calibri"/>
                <w:color w:val="000000"/>
                <w:sz w:val="22"/>
                <w:szCs w:val="22"/>
              </w:rPr>
              <w:t>32</w:t>
            </w:r>
            <w:r w:rsidR="00511953">
              <w:rPr>
                <w:rFonts w:ascii="Calibri" w:hAnsi="Calibri" w:cs="Calibri"/>
                <w:color w:val="000000"/>
                <w:sz w:val="22"/>
                <w:szCs w:val="22"/>
              </w:rPr>
              <w:t>1</w:t>
            </w:r>
          </w:p>
        </w:tc>
        <w:tc>
          <w:tcPr>
            <w:tcW w:w="1960" w:type="dxa"/>
            <w:tcBorders>
              <w:top w:val="single" w:sz="8" w:space="0" w:color="000000"/>
              <w:left w:val="nil"/>
              <w:bottom w:val="single" w:sz="8" w:space="0" w:color="000000"/>
              <w:right w:val="single" w:sz="8" w:space="0" w:color="000000"/>
            </w:tcBorders>
            <w:shd w:val="clear" w:color="000000" w:fill="000000"/>
            <w:noWrap/>
            <w:vAlign w:val="bottom"/>
            <w:hideMark/>
          </w:tcPr>
          <w:p w:rsidR="00A75D7E" w:rsidRPr="00A75D7E" w:rsidP="00A75D7E" w14:paraId="3EDA8C15" w14:textId="77777777">
            <w:pPr>
              <w:widowControl/>
              <w:rPr>
                <w:rFonts w:ascii="Calibri" w:hAnsi="Calibri" w:cs="Calibri"/>
                <w:color w:val="000000"/>
                <w:sz w:val="22"/>
                <w:szCs w:val="22"/>
              </w:rPr>
            </w:pPr>
            <w:r w:rsidRPr="00A75D7E">
              <w:rPr>
                <w:rFonts w:ascii="Calibri" w:hAnsi="Calibri" w:cs="Calibri"/>
                <w:color w:val="000000"/>
                <w:sz w:val="22"/>
                <w:szCs w:val="22"/>
              </w:rPr>
              <w:t> </w:t>
            </w:r>
          </w:p>
        </w:tc>
      </w:tr>
    </w:tbl>
    <w:p w:rsidR="00A75D7E" w:rsidRPr="00473531" w:rsidP="00B350D0" w14:paraId="2EA2BBC2" w14:textId="77777777">
      <w:pPr>
        <w:pBdr>
          <w:top w:val="nil"/>
          <w:left w:val="nil"/>
          <w:bottom w:val="nil"/>
          <w:right w:val="nil"/>
          <w:between w:val="nil"/>
        </w:pBdr>
        <w:tabs>
          <w:tab w:val="left" w:pos="360"/>
        </w:tabs>
        <w:spacing w:after="200" w:line="276" w:lineRule="auto"/>
        <w:rPr>
          <w:color w:val="000000"/>
        </w:rPr>
      </w:pPr>
    </w:p>
    <w:p w:rsidR="00071046" w:rsidRPr="001C3085" w14:paraId="7A9126E0" w14:textId="31BDEB5F">
      <w:pPr>
        <w:numPr>
          <w:ilvl w:val="0"/>
          <w:numId w:val="6"/>
        </w:numPr>
        <w:pBdr>
          <w:top w:val="nil"/>
          <w:left w:val="nil"/>
          <w:bottom w:val="nil"/>
          <w:right w:val="nil"/>
          <w:between w:val="nil"/>
        </w:pBdr>
        <w:tabs>
          <w:tab w:val="left" w:pos="360"/>
        </w:tabs>
        <w:spacing w:after="200" w:line="276" w:lineRule="auto"/>
        <w:ind w:left="0" w:firstLine="0"/>
        <w:rPr>
          <w:color w:val="000000"/>
        </w:rPr>
      </w:pPr>
      <w:r w:rsidRPr="001C3085">
        <w:rPr>
          <w:rFonts w:eastAsia="Calibri"/>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5075" w:rsidRPr="001C3085" w:rsidP="00473531" w14:paraId="628B11CA" w14:textId="15D607B5">
      <w:pPr>
        <w:pBdr>
          <w:top w:val="nil"/>
          <w:left w:val="nil"/>
          <w:bottom w:val="nil"/>
          <w:right w:val="nil"/>
          <w:between w:val="nil"/>
        </w:pBdr>
        <w:spacing w:after="200" w:line="276" w:lineRule="auto"/>
        <w:jc w:val="both"/>
        <w:rPr>
          <w:rFonts w:eastAsia="Calibri"/>
          <w:color w:val="000000"/>
        </w:rPr>
      </w:pPr>
      <w:r w:rsidRPr="001C3085">
        <w:rPr>
          <w:noProof/>
        </w:rPr>
        <mc:AlternateContent>
          <mc:Choice Requires="wps">
            <w:drawing>
              <wp:anchor distT="0" distB="0" distL="114300" distR="114300" simplePos="0" relativeHeight="251658240" behindDoc="0" locked="0" layoutInCell="1" allowOverlap="1">
                <wp:simplePos x="0" y="0"/>
                <wp:positionH relativeFrom="column">
                  <wp:posOffset>-5943599</wp:posOffset>
                </wp:positionH>
                <wp:positionV relativeFrom="paragraph">
                  <wp:posOffset>3759200</wp:posOffset>
                </wp:positionV>
                <wp:extent cx="1447800" cy="812800"/>
                <wp:effectExtent l="0" t="0" r="0" b="0"/>
                <wp:wrapNone/>
                <wp:docPr id="1" name="Oval 1"/>
                <wp:cNvGraphicFramePr/>
                <a:graphic xmlns:a="http://schemas.openxmlformats.org/drawingml/2006/main">
                  <a:graphicData uri="http://schemas.microsoft.com/office/word/2010/wordprocessingShape">
                    <wps:wsp xmlns:wps="http://schemas.microsoft.com/office/word/2010/wordprocessingShape">
                      <wps:cNvSpPr/>
                      <wps:spPr>
                        <a:xfrm>
                          <a:off x="4631625" y="3383125"/>
                          <a:ext cx="1447800" cy="812800"/>
                        </a:xfrm>
                        <a:prstGeom prst="ellipse">
                          <a:avLst/>
                        </a:prstGeom>
                        <a:solidFill>
                          <a:srgbClr val="FFFFFF"/>
                        </a:solidFill>
                        <a:ln w="9525">
                          <a:solidFill>
                            <a:srgbClr val="000000"/>
                          </a:solidFill>
                          <a:prstDash val="solid"/>
                          <a:round/>
                          <a:headEnd w="sm" len="sm"/>
                          <a:tailEnd w="sm" len="sm"/>
                        </a:ln>
                      </wps:spPr>
                      <wps:txbx>
                        <w:txbxContent>
                          <w:p w:rsidR="00585075" w:rsidP="00585075" w14:textId="77777777">
                            <w:pPr>
                              <w:jc w:val="center"/>
                            </w:pPr>
                            <w:r>
                              <w:rPr>
                                <w:rFonts w:ascii="Arial" w:eastAsia="Arial" w:hAnsi="Arial" w:cs="Arial"/>
                                <w:color w:val="000000"/>
                                <w:sz w:val="28"/>
                              </w:rPr>
                              <w:t>Personal Characteristics</w:t>
                            </w:r>
                          </w:p>
                          <w:p w:rsidR="00585075" w:rsidP="00585075" w14:textId="77777777">
                            <w:pPr>
                              <w:jc w:val="center"/>
                            </w:pPr>
                            <w:r>
                              <w:rPr>
                                <w:rFonts w:ascii="Arial" w:eastAsia="Arial" w:hAnsi="Arial" w:cs="Arial"/>
                                <w:color w:val="000000"/>
                                <w:sz w:val="28"/>
                              </w:rPr>
                              <w:t>Q18-23, Q30-34</w:t>
                            </w:r>
                          </w:p>
                        </w:txbxContent>
                      </wps:txbx>
                      <wps:bodyPr spcFirstLastPara="1" wrap="square" lIns="91425" tIns="45700" rIns="91425" bIns="45700" anchor="t" anchorCtr="0"/>
                    </wps:wsp>
                  </a:graphicData>
                </a:graphic>
              </wp:anchor>
            </w:drawing>
          </mc:Choice>
          <mc:Fallback>
            <w:pict>
              <v:oval id="Oval 1" o:spid="_x0000_s1025" style="width:114pt;height:64pt;margin-top:296pt;margin-left:-468pt;mso-wrap-distance-bottom:0;mso-wrap-distance-left:9pt;mso-wrap-distance-right:9pt;mso-wrap-distance-top:0;mso-wrap-style:square;position:absolute;visibility:visible;v-text-anchor:top;z-index:251659264">
                <v:stroke startarrowwidth="narrow" startarrowlength="short" endarrowwidth="narrow" endarrowlength="short"/>
                <v:textbox inset="7.2pt,3.6pt,7.2pt,3.6pt">
                  <w:txbxContent>
                    <w:p w:rsidR="00585075" w:rsidP="00585075" w14:paraId="3F824243" w14:textId="77777777">
                      <w:pPr>
                        <w:jc w:val="center"/>
                      </w:pPr>
                      <w:r>
                        <w:rPr>
                          <w:rFonts w:ascii="Arial" w:eastAsia="Arial" w:hAnsi="Arial" w:cs="Arial"/>
                          <w:color w:val="000000"/>
                          <w:sz w:val="28"/>
                        </w:rPr>
                        <w:t>Personal Characteristics</w:t>
                      </w:r>
                    </w:p>
                    <w:p w:rsidR="00585075" w:rsidP="00585075" w14:paraId="0334E274" w14:textId="77777777">
                      <w:pPr>
                        <w:jc w:val="center"/>
                      </w:pPr>
                      <w:r>
                        <w:rPr>
                          <w:rFonts w:ascii="Arial" w:eastAsia="Arial" w:hAnsi="Arial" w:cs="Arial"/>
                          <w:color w:val="000000"/>
                          <w:sz w:val="28"/>
                        </w:rPr>
                        <w:t>Q18-23, Q30-34</w:t>
                      </w:r>
                    </w:p>
                  </w:txbxContent>
                </v:textbox>
              </v:oval>
            </w:pict>
          </mc:Fallback>
        </mc:AlternateContent>
      </w:r>
      <w:r w:rsidRPr="001C3085">
        <w:rPr>
          <w:noProof/>
        </w:rPr>
        <mc:AlternateContent>
          <mc:Choice Requires="wps">
            <w:drawing>
              <wp:anchor distT="0" distB="0" distL="114300" distR="114300" simplePos="0" relativeHeight="251660288" behindDoc="0" locked="0" layoutInCell="1" allowOverlap="1">
                <wp:simplePos x="0" y="0"/>
                <wp:positionH relativeFrom="column">
                  <wp:posOffset>-6680199</wp:posOffset>
                </wp:positionH>
                <wp:positionV relativeFrom="paragraph">
                  <wp:posOffset>3022600</wp:posOffset>
                </wp:positionV>
                <wp:extent cx="1447800" cy="812800"/>
                <wp:effectExtent l="0" t="0" r="0" b="0"/>
                <wp:wrapNone/>
                <wp:docPr id="2" name="Oval 2"/>
                <wp:cNvGraphicFramePr/>
                <a:graphic xmlns:a="http://schemas.openxmlformats.org/drawingml/2006/main">
                  <a:graphicData uri="http://schemas.microsoft.com/office/word/2010/wordprocessingShape">
                    <wps:wsp xmlns:wps="http://schemas.microsoft.com/office/word/2010/wordprocessingShape">
                      <wps:cNvSpPr/>
                      <wps:spPr>
                        <a:xfrm>
                          <a:off x="4631625" y="3383125"/>
                          <a:ext cx="1447800" cy="812800"/>
                        </a:xfrm>
                        <a:prstGeom prst="ellipse">
                          <a:avLst/>
                        </a:prstGeom>
                        <a:solidFill>
                          <a:srgbClr val="FFFFFF"/>
                        </a:solidFill>
                        <a:ln w="9525">
                          <a:solidFill>
                            <a:srgbClr val="000000"/>
                          </a:solidFill>
                          <a:prstDash val="solid"/>
                          <a:round/>
                          <a:headEnd w="sm" len="sm"/>
                          <a:tailEnd w="sm" len="sm"/>
                        </a:ln>
                      </wps:spPr>
                      <wps:txbx>
                        <w:txbxContent>
                          <w:p w:rsidR="00585075" w:rsidP="00585075" w14:textId="77777777">
                            <w:pPr>
                              <w:jc w:val="center"/>
                            </w:pPr>
                            <w:r>
                              <w:rPr>
                                <w:rFonts w:ascii="Arial" w:eastAsia="Arial" w:hAnsi="Arial" w:cs="Arial"/>
                                <w:color w:val="000000"/>
                                <w:sz w:val="28"/>
                              </w:rPr>
                              <w:t>Personal Use</w:t>
                            </w:r>
                          </w:p>
                          <w:p w:rsidR="00585075" w:rsidP="00585075" w14:textId="77777777">
                            <w:pPr>
                              <w:jc w:val="center"/>
                            </w:pPr>
                            <w:r>
                              <w:rPr>
                                <w:rFonts w:ascii="Arial" w:eastAsia="Arial" w:hAnsi="Arial" w:cs="Arial"/>
                                <w:color w:val="000000"/>
                                <w:sz w:val="28"/>
                              </w:rPr>
                              <w:t>Q3</w:t>
                            </w:r>
                          </w:p>
                        </w:txbxContent>
                      </wps:txbx>
                      <wps:bodyPr spcFirstLastPara="1" wrap="square" lIns="91425" tIns="45700" rIns="91425" bIns="45700" anchor="t" anchorCtr="0"/>
                    </wps:wsp>
                  </a:graphicData>
                </a:graphic>
              </wp:anchor>
            </w:drawing>
          </mc:Choice>
          <mc:Fallback>
            <w:pict>
              <v:oval id="Oval 2" o:spid="_x0000_s1026" style="width:114pt;height:64pt;margin-top:238pt;margin-left:-526pt;mso-wrap-distance-bottom:0;mso-wrap-distance-left:9pt;mso-wrap-distance-right:9pt;mso-wrap-distance-top:0;mso-wrap-style:square;position:absolute;visibility:visible;v-text-anchor:top;z-index:251661312">
                <v:stroke startarrowwidth="narrow" startarrowlength="short" endarrowwidth="narrow" endarrowlength="short"/>
                <v:textbox inset="7.2pt,3.6pt,7.2pt,3.6pt">
                  <w:txbxContent>
                    <w:p w:rsidR="00585075" w:rsidP="00585075" w14:paraId="1A5E88C4" w14:textId="77777777">
                      <w:pPr>
                        <w:jc w:val="center"/>
                      </w:pPr>
                      <w:r>
                        <w:rPr>
                          <w:rFonts w:ascii="Arial" w:eastAsia="Arial" w:hAnsi="Arial" w:cs="Arial"/>
                          <w:color w:val="000000"/>
                          <w:sz w:val="28"/>
                        </w:rPr>
                        <w:t>Personal Use</w:t>
                      </w:r>
                    </w:p>
                    <w:p w:rsidR="00585075" w:rsidP="00585075" w14:paraId="37B1750F" w14:textId="77777777">
                      <w:pPr>
                        <w:jc w:val="center"/>
                      </w:pPr>
                      <w:r>
                        <w:rPr>
                          <w:rFonts w:ascii="Arial" w:eastAsia="Arial" w:hAnsi="Arial" w:cs="Arial"/>
                          <w:color w:val="000000"/>
                          <w:sz w:val="28"/>
                        </w:rPr>
                        <w:t>Q3</w:t>
                      </w:r>
                    </w:p>
                  </w:txbxContent>
                </v:textbox>
              </v:oval>
            </w:pict>
          </mc:Fallback>
        </mc:AlternateContent>
      </w:r>
      <w:r w:rsidRPr="001C3085">
        <w:rPr>
          <w:rFonts w:eastAsia="Calibri"/>
          <w:color w:val="000000"/>
        </w:rPr>
        <w:t xml:space="preserve">It is anticipated that the information collected will be disseminated to the public or used </w:t>
      </w:r>
      <w:r w:rsidR="008C4B4F">
        <w:rPr>
          <w:rFonts w:eastAsia="Calibri"/>
          <w:color w:val="000000"/>
        </w:rPr>
        <w:t>in</w:t>
      </w:r>
      <w:r w:rsidRPr="001C3085" w:rsidR="008C4B4F">
        <w:rPr>
          <w:rFonts w:eastAsia="Calibri"/>
          <w:color w:val="000000"/>
        </w:rPr>
        <w:t xml:space="preserve"> </w:t>
      </w:r>
      <w:r w:rsidRPr="001C3085">
        <w:rPr>
          <w:rFonts w:eastAsia="Calibri"/>
          <w:color w:val="000000"/>
        </w:rPr>
        <w:t xml:space="preserve">support </w:t>
      </w:r>
      <w:r w:rsidR="008C4B4F">
        <w:rPr>
          <w:rFonts w:eastAsia="Calibri"/>
          <w:color w:val="000000"/>
        </w:rPr>
        <w:t xml:space="preserve">of otherwise </w:t>
      </w:r>
      <w:r w:rsidRPr="001C3085">
        <w:rPr>
          <w:rFonts w:eastAsia="Calibri"/>
          <w:color w:val="000000"/>
        </w:rPr>
        <w:t>publicly disseminated information. NOAA National Ocean Service, National Centers for Coastal Ocean Science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585075" w:rsidRPr="001C3085" w:rsidP="00585075" w14:paraId="4B3EC5B8" w14:textId="77777777">
      <w:pPr>
        <w:pBdr>
          <w:top w:val="nil"/>
          <w:left w:val="nil"/>
          <w:bottom w:val="nil"/>
          <w:right w:val="nil"/>
          <w:between w:val="nil"/>
        </w:pBdr>
        <w:tabs>
          <w:tab w:val="left" w:pos="360"/>
        </w:tabs>
        <w:spacing w:after="200" w:line="276" w:lineRule="auto"/>
        <w:rPr>
          <w:rFonts w:eastAsia="Calibri"/>
          <w:color w:val="000000"/>
        </w:rPr>
      </w:pPr>
      <w:r w:rsidRPr="001C3085">
        <w:rPr>
          <w:rFonts w:eastAsia="Calibri"/>
          <w:color w:val="000000"/>
        </w:rPr>
        <w:t xml:space="preserve">Data will be collected by a contract vendor and analyzed by the NOAA research team. Final products will be determined based on partner and stakeholder needs. </w:t>
      </w:r>
      <w:r w:rsidRPr="001C3085">
        <w:rPr>
          <w:rFonts w:eastAsia="Calibri"/>
        </w:rPr>
        <w:t xml:space="preserve">Findings may be </w:t>
      </w:r>
      <w:r w:rsidRPr="001C3085">
        <w:rPr>
          <w:rFonts w:eastAsia="Calibri"/>
          <w:color w:val="000000"/>
        </w:rPr>
        <w:t>presented at professional conferences and published in peer reviewed journals.</w:t>
      </w:r>
    </w:p>
    <w:p w:rsidR="00071046" w:rsidRPr="001C3085" w14:paraId="1FE6CD23" w14:textId="77777777">
      <w:pPr>
        <w:numPr>
          <w:ilvl w:val="0"/>
          <w:numId w:val="6"/>
        </w:numPr>
        <w:pBdr>
          <w:top w:val="nil"/>
          <w:left w:val="nil"/>
          <w:bottom w:val="nil"/>
          <w:right w:val="nil"/>
          <w:between w:val="nil"/>
        </w:pBdr>
        <w:tabs>
          <w:tab w:val="left" w:pos="360"/>
        </w:tabs>
        <w:spacing w:after="200" w:line="276" w:lineRule="auto"/>
        <w:ind w:left="0" w:firstLine="0"/>
        <w:rPr>
          <w:color w:val="000000"/>
        </w:rPr>
      </w:pPr>
      <w:r w:rsidRPr="001C3085">
        <w:rPr>
          <w:rFonts w:eastAsia="Calibri"/>
          <w:b/>
          <w:color w:val="000000"/>
        </w:rPr>
        <w:t>If seeking approval to not display the expiration date for OMB approval of the information collection, explain the reasons that display would be inappropriate.</w:t>
      </w:r>
    </w:p>
    <w:p w:rsidR="00071046" w:rsidRPr="001C3085" w14:paraId="745885CA" w14:textId="77777777">
      <w:pPr>
        <w:spacing w:after="200" w:line="276" w:lineRule="auto"/>
        <w:rPr>
          <w:rFonts w:eastAsia="Calibri"/>
        </w:rPr>
      </w:pPr>
      <w:r w:rsidRPr="001C3085">
        <w:rPr>
          <w:rFonts w:eastAsia="Calibri"/>
        </w:rPr>
        <w:t>The agency plans to display the expiration date for OMB approval of the information collection on all instruments.</w:t>
      </w:r>
    </w:p>
    <w:p w:rsidR="00071046" w:rsidRPr="001C3085" w14:paraId="03117A91" w14:textId="77777777">
      <w:pPr>
        <w:numPr>
          <w:ilvl w:val="0"/>
          <w:numId w:val="6"/>
        </w:numPr>
        <w:pBdr>
          <w:top w:val="nil"/>
          <w:left w:val="nil"/>
          <w:bottom w:val="nil"/>
          <w:right w:val="nil"/>
          <w:between w:val="nil"/>
        </w:pBdr>
        <w:tabs>
          <w:tab w:val="left" w:pos="360"/>
        </w:tabs>
        <w:spacing w:after="200" w:line="276" w:lineRule="auto"/>
        <w:ind w:left="0" w:firstLine="0"/>
        <w:rPr>
          <w:color w:val="000000"/>
        </w:rPr>
      </w:pPr>
      <w:r w:rsidRPr="001C3085">
        <w:rPr>
          <w:rFonts w:eastAsia="Calibri"/>
          <w:b/>
          <w:color w:val="000000"/>
        </w:rPr>
        <w:t xml:space="preserve">Explain each exception to the certification statement identified in “Certification for Paperwork </w:t>
      </w:r>
      <w:r w:rsidRPr="001C3085">
        <w:rPr>
          <w:rFonts w:eastAsia="Calibri"/>
          <w:b/>
          <w:color w:val="000000"/>
        </w:rPr>
        <w:t>Reduction Act Submissions."</w:t>
      </w:r>
    </w:p>
    <w:p w:rsidR="00071046" w:rsidRPr="001C3085" w14:paraId="5097BA9B" w14:textId="77777777">
      <w:pPr>
        <w:spacing w:after="200" w:line="276" w:lineRule="auto"/>
        <w:jc w:val="both"/>
        <w:rPr>
          <w:rFonts w:eastAsia="Calibri"/>
        </w:rPr>
      </w:pPr>
      <w:r w:rsidRPr="001C3085">
        <w:rPr>
          <w:rFonts w:eastAsia="Calibri"/>
        </w:rPr>
        <w:t xml:space="preserve">The agency certifies compliance with </w:t>
      </w:r>
      <w:hyperlink r:id="rId10">
        <w:r w:rsidRPr="001C3085">
          <w:rPr>
            <w:rFonts w:eastAsia="Calibri"/>
            <w:color w:val="0563C1"/>
            <w:u w:val="single"/>
          </w:rPr>
          <w:t>5 CFR 1320.9</w:t>
        </w:r>
      </w:hyperlink>
      <w:hyperlink r:id="rId10">
        <w:r w:rsidRPr="001C3085">
          <w:rPr>
            <w:rFonts w:eastAsia="Calibri"/>
            <w:color w:val="0563C1"/>
          </w:rPr>
          <w:t xml:space="preserve"> </w:t>
        </w:r>
      </w:hyperlink>
      <w:r w:rsidRPr="001C3085">
        <w:rPr>
          <w:rFonts w:eastAsia="Calibri"/>
        </w:rPr>
        <w:t xml:space="preserve">and the related provisions of </w:t>
      </w:r>
      <w:hyperlink r:id="rId11">
        <w:r w:rsidRPr="001C3085">
          <w:rPr>
            <w:rFonts w:eastAsia="Calibri"/>
            <w:color w:val="0563C1"/>
            <w:u w:val="single"/>
          </w:rPr>
          <w:t>5 CFR</w:t>
        </w:r>
      </w:hyperlink>
      <w:r w:rsidRPr="001C3085">
        <w:rPr>
          <w:rFonts w:eastAsia="Calibri"/>
          <w:color w:val="0563C1"/>
        </w:rPr>
        <w:t xml:space="preserve"> </w:t>
      </w:r>
      <w:hyperlink r:id="rId11">
        <w:r w:rsidRPr="001C3085">
          <w:rPr>
            <w:rFonts w:eastAsia="Calibri"/>
            <w:color w:val="0563C1"/>
            <w:u w:val="single"/>
          </w:rPr>
          <w:t>1320.8(b)(3)</w:t>
        </w:r>
      </w:hyperlink>
      <w:r w:rsidRPr="001C3085">
        <w:rPr>
          <w:rFonts w:eastAsia="Calibri"/>
        </w:rPr>
        <w:t>.</w:t>
      </w:r>
    </w:p>
    <w:p w:rsidR="00071046" w:rsidRPr="001C3085" w14:paraId="67DEB369" w14:textId="77777777">
      <w:pPr>
        <w:spacing w:after="200" w:line="276" w:lineRule="auto"/>
        <w:jc w:val="both"/>
        <w:rPr>
          <w:rFonts w:eastAsia="Calibri"/>
        </w:rPr>
      </w:pPr>
    </w:p>
    <w:p w:rsidR="00071046" w:rsidRPr="001C3085" w14:paraId="6595B196" w14:textId="77777777">
      <w:pPr>
        <w:spacing w:after="200" w:line="276" w:lineRule="auto"/>
        <w:jc w:val="both"/>
        <w:rPr>
          <w:rFonts w:eastAsia="Calibri"/>
        </w:rPr>
      </w:pPr>
      <w:r w:rsidRPr="001C3085">
        <w:br w:type="page"/>
      </w:r>
    </w:p>
    <w:p w:rsidR="00071046" w:rsidRPr="001C3085" w14:paraId="3ACABDA8" w14:textId="77777777">
      <w:pPr>
        <w:pStyle w:val="Heading1"/>
        <w:tabs>
          <w:tab w:val="left" w:pos="9360"/>
        </w:tabs>
        <w:spacing w:before="0" w:after="120"/>
        <w:ind w:left="0"/>
        <w:jc w:val="both"/>
        <w:rPr>
          <w:rFonts w:eastAsia="Calibri"/>
        </w:rPr>
      </w:pPr>
      <w:bookmarkStart w:id="6" w:name="_heading=h.3dy6vkm" w:colFirst="0" w:colLast="0"/>
      <w:bookmarkEnd w:id="6"/>
      <w:r w:rsidRPr="001C3085">
        <w:rPr>
          <w:rFonts w:eastAsia="Calibri"/>
        </w:rPr>
        <w:t>REFERENCES</w:t>
      </w:r>
    </w:p>
    <w:p w:rsidR="00395D80" w:rsidP="00395D80" w14:paraId="6132DE90" w14:textId="65B461FD">
      <w:pPr>
        <w:pStyle w:val="ListParagraph"/>
        <w:numPr>
          <w:ilvl w:val="0"/>
          <w:numId w:val="2"/>
        </w:numPr>
      </w:pPr>
      <w:r>
        <w:t>Anderson, L., Jans, M., Lee, A., Doyle, C., Driscoll, H., &amp; Hilger, J. (2021). Effects of survey response mode, purported topic, and incentives on response rates in human dimensions of fisheries and wildlife research. Human Dimensions of Wildlife, 27(3), 201–219. https://doi.org/10.1080/10871209.2021.1907633.</w:t>
      </w:r>
    </w:p>
    <w:p w:rsidR="00395D80" w:rsidP="00395D80" w14:paraId="77912070" w14:textId="77777777">
      <w:pPr>
        <w:pStyle w:val="ListParagraph"/>
        <w:numPr>
          <w:ilvl w:val="0"/>
          <w:numId w:val="2"/>
        </w:numPr>
      </w:pPr>
      <w:r>
        <w:t>Andrews R., Brick J. M., Mathiowetz W. N. A. (2014). Development and Testing of Recreational Fishing Effort Surveys. National Oceanic and Atmospheric Administration, National Marine Fisheries Service, Silver Spring.</w:t>
      </w:r>
    </w:p>
    <w:p w:rsidR="00071046" w:rsidRPr="001C3085" w14:paraId="0EDA9AAB" w14:textId="77777777">
      <w:pPr>
        <w:keepLines/>
        <w:numPr>
          <w:ilvl w:val="0"/>
          <w:numId w:val="2"/>
        </w:numPr>
        <w:rPr>
          <w:rFonts w:eastAsia="Calibri"/>
        </w:rPr>
      </w:pPr>
      <w:r w:rsidRPr="001C3085">
        <w:rPr>
          <w:rFonts w:eastAsia="Calibri"/>
        </w:rPr>
        <w:t xml:space="preserve">Ascher, T. J., Wilson, R. S., &amp; Toman, E. (2012). The importance of affect, perceived risk and perceived benefit in understanding support for fuels management among wildland–urban interface residents. </w:t>
      </w:r>
      <w:r w:rsidRPr="001C3085">
        <w:rPr>
          <w:rFonts w:eastAsia="Calibri"/>
          <w:i/>
        </w:rPr>
        <w:t>International Journal of Wildland Fire</w:t>
      </w:r>
      <w:r w:rsidRPr="001C3085">
        <w:rPr>
          <w:rFonts w:eastAsia="Calibri"/>
        </w:rPr>
        <w:t>,</w:t>
      </w:r>
      <w:r w:rsidRPr="001C3085">
        <w:rPr>
          <w:rFonts w:eastAsia="Calibri"/>
          <w:i/>
        </w:rPr>
        <w:t xml:space="preserve"> 22</w:t>
      </w:r>
      <w:r w:rsidRPr="001C3085">
        <w:rPr>
          <w:rFonts w:eastAsia="Calibri"/>
        </w:rPr>
        <w:t>(3), 267-276.</w:t>
      </w:r>
    </w:p>
    <w:p w:rsidR="00071046" w:rsidRPr="001C3085" w14:paraId="736C5448" w14:textId="77777777">
      <w:pPr>
        <w:keepLines/>
        <w:numPr>
          <w:ilvl w:val="0"/>
          <w:numId w:val="2"/>
        </w:numPr>
        <w:rPr>
          <w:rFonts w:eastAsia="Calibri"/>
          <w:highlight w:val="white"/>
        </w:rPr>
      </w:pPr>
      <w:r w:rsidRPr="001C3085">
        <w:rPr>
          <w:rFonts w:eastAsia="Calibri"/>
        </w:rPr>
        <w:t xml:space="preserve">Baran, P. K., Smith, W. R., Moore, R. C., Floyd, M. F., Bocarro, J. N., Cosco, N. G., &amp; Danninger, T. M. (2014). Park use among youth and adults: examination of individual, social, and urban form factors. </w:t>
      </w:r>
      <w:r w:rsidRPr="001C3085">
        <w:rPr>
          <w:rFonts w:eastAsia="Calibri"/>
          <w:i/>
        </w:rPr>
        <w:t>Environment and Behavior</w:t>
      </w:r>
      <w:r w:rsidRPr="001C3085">
        <w:rPr>
          <w:rFonts w:eastAsia="Calibri"/>
        </w:rPr>
        <w:t>,</w:t>
      </w:r>
      <w:r w:rsidRPr="001C3085">
        <w:rPr>
          <w:rFonts w:eastAsia="Calibri"/>
          <w:i/>
        </w:rPr>
        <w:t xml:space="preserve"> 46</w:t>
      </w:r>
      <w:r w:rsidRPr="001C3085">
        <w:rPr>
          <w:rFonts w:eastAsia="Calibri"/>
        </w:rPr>
        <w:t>(6), 768-800.</w:t>
      </w:r>
    </w:p>
    <w:p w:rsidR="00071046" w:rsidRPr="001C3085" w14:paraId="1DEA36E9" w14:textId="77777777">
      <w:pPr>
        <w:widowControl/>
        <w:numPr>
          <w:ilvl w:val="0"/>
          <w:numId w:val="2"/>
        </w:numPr>
        <w:jc w:val="both"/>
        <w:rPr>
          <w:rFonts w:eastAsia="Calibri"/>
          <w:highlight w:val="white"/>
        </w:rPr>
      </w:pPr>
      <w:r w:rsidRPr="001C3085">
        <w:rPr>
          <w:rFonts w:eastAsia="Calibri"/>
          <w:highlight w:val="white"/>
        </w:rPr>
        <w:t xml:space="preserve">Blanchard, Brian, and Robert L. Ryan. "Community perceptions of wildland fire risk and fire hazard reduction strategies at the wildland-urban interface in the northeastern United States." In </w:t>
      </w:r>
      <w:r w:rsidRPr="001C3085">
        <w:rPr>
          <w:rFonts w:eastAsia="Calibri"/>
          <w:i/>
          <w:highlight w:val="white"/>
        </w:rPr>
        <w:t>Proceedings of the 2003 Northeastern Recreation Research Symposium</w:t>
      </w:r>
      <w:r w:rsidRPr="001C3085">
        <w:rPr>
          <w:rFonts w:eastAsia="Calibri"/>
          <w:highlight w:val="white"/>
        </w:rPr>
        <w:t>, vol. 317, pp. 285-294. 2003.</w:t>
      </w:r>
    </w:p>
    <w:p w:rsidR="00395D80" w:rsidP="00395D80" w14:paraId="54D827F9" w14:textId="1DDE3D44">
      <w:pPr>
        <w:pStyle w:val="ListParagraph"/>
        <w:numPr>
          <w:ilvl w:val="0"/>
          <w:numId w:val="2"/>
        </w:numPr>
      </w:pPr>
      <w:r>
        <w:t>Butler, B. J., Hewes, J. H., Tyrrell, M. L., &amp; Butler, S. M. (2017). Methods for increasing cooperation rates for surveys of family forest owners. Small-Scale Forestry, 16(2), 169–177. https://doi.org/10.1007/s11842-016-9349-7.</w:t>
      </w:r>
    </w:p>
    <w:p w:rsidR="00395D80" w:rsidP="00395D80" w14:paraId="03826051" w14:textId="71E1277A">
      <w:pPr>
        <w:pStyle w:val="ListParagraph"/>
        <w:numPr>
          <w:ilvl w:val="0"/>
          <w:numId w:val="2"/>
        </w:numPr>
      </w:pPr>
      <w:r>
        <w:t>Carter D. W. et al. (2024). A comparison of recreational fishing demand estimates from a mail-push versus email-only sampling strategy: Evidence from a Survey of Gulf of Mexico Anglers, North American Journal of Fisheries Management.</w:t>
      </w:r>
    </w:p>
    <w:p w:rsidR="00395D80" w:rsidP="00395D80" w14:paraId="6E7FDF30" w14:textId="77777777">
      <w:pPr>
        <w:pStyle w:val="ListParagraph"/>
        <w:numPr>
          <w:ilvl w:val="0"/>
          <w:numId w:val="2"/>
        </w:numPr>
      </w:pPr>
      <w:r>
        <w:t>Church, A. H. (1993). Estimating the effect of incentives on mail survey response rates: A meta-analysis. Public Opinion Quarterly, 57(1), 62–79. https://doi.org/10.1086/269355.</w:t>
      </w:r>
    </w:p>
    <w:p w:rsidR="00395D80" w:rsidP="00395D80" w14:paraId="3AA23923" w14:textId="77777777">
      <w:pPr>
        <w:pStyle w:val="ListParagraph"/>
        <w:numPr>
          <w:ilvl w:val="0"/>
          <w:numId w:val="2"/>
        </w:numPr>
      </w:pPr>
      <w:r>
        <w:t>Cook, C., Heath, F., &amp; Thompson, R. L. (2000). A meta-analysis of response rates in Web- or internet-based surveys. Educational and Psychological Measurement, 60(6), 821–836. https://doi.org/10.1177/00131640021970934</w:t>
      </w:r>
    </w:p>
    <w:p w:rsidR="00071046" w:rsidRPr="001C3085" w14:paraId="3D4939B9" w14:textId="77777777">
      <w:pPr>
        <w:numPr>
          <w:ilvl w:val="0"/>
          <w:numId w:val="2"/>
        </w:numPr>
        <w:tabs>
          <w:tab w:val="left" w:pos="9360"/>
        </w:tabs>
        <w:jc w:val="both"/>
        <w:rPr>
          <w:rFonts w:eastAsia="Calibri"/>
        </w:rPr>
      </w:pPr>
      <w:r w:rsidRPr="001C3085">
        <w:rPr>
          <w:rFonts w:eastAsia="Calibri"/>
        </w:rPr>
        <w:t xml:space="preserve">Cottrell, S. (2002). Predictive model of responsible environmental behaviour: application as a visitor monitoring tool. </w:t>
      </w:r>
      <w:r w:rsidRPr="001C3085">
        <w:rPr>
          <w:rFonts w:eastAsia="Calibri"/>
          <w:i/>
        </w:rPr>
        <w:t>Monitoring and management of visitor flows in recreational and protected areas</w:t>
      </w:r>
      <w:r w:rsidRPr="001C3085">
        <w:rPr>
          <w:rFonts w:eastAsia="Calibri"/>
        </w:rPr>
        <w:t>, 129135.</w:t>
      </w:r>
    </w:p>
    <w:p w:rsidR="00395D80" w:rsidP="00395D80" w14:paraId="539CB27C" w14:textId="77777777">
      <w:pPr>
        <w:pStyle w:val="ListParagraph"/>
        <w:numPr>
          <w:ilvl w:val="0"/>
          <w:numId w:val="2"/>
        </w:numPr>
      </w:pPr>
      <w:r>
        <w:t>DeBell M., Maisel N., Edwards B., Amsbary M., Meldener V. (2020). Improving survey response rates with visible money. Journal of Survey Statistics and Methodology, 8, 821–831.</w:t>
      </w:r>
    </w:p>
    <w:p w:rsidR="00395D80" w:rsidP="00395D80" w14:paraId="3D7810CB" w14:textId="77777777">
      <w:pPr>
        <w:pStyle w:val="ListParagraph"/>
        <w:numPr>
          <w:ilvl w:val="0"/>
          <w:numId w:val="2"/>
        </w:numPr>
      </w:pPr>
      <w:r>
        <w:t>DeBell, M. (2023). The visible cash effect with prepaid incentives: Evidence for data quality, response rates, generalizability, and cost, Journal of Survey Statistics and Methodology, 11(5), 991–1010. https://doi.org/10.1093/jssam/smac032.</w:t>
      </w:r>
    </w:p>
    <w:p w:rsidR="00395D80" w:rsidP="00395D80" w14:paraId="42291C1B" w14:textId="77777777">
      <w:pPr>
        <w:pStyle w:val="ListParagraph"/>
        <w:numPr>
          <w:ilvl w:val="0"/>
          <w:numId w:val="2"/>
        </w:numPr>
      </w:pPr>
      <w:r>
        <w:t>Dillman, D. A., Smyth, J. D., Christian, L. M. (2014). Internet, phone, mail, and mixed-mode surveys: The tailored design method. John Wiley and Sons Inc.</w:t>
      </w:r>
    </w:p>
    <w:p w:rsidR="00071046" w:rsidRPr="001C3085" w14:paraId="3D384713" w14:textId="77777777">
      <w:pPr>
        <w:numPr>
          <w:ilvl w:val="0"/>
          <w:numId w:val="2"/>
        </w:numPr>
        <w:tabs>
          <w:tab w:val="left" w:pos="9360"/>
        </w:tabs>
        <w:jc w:val="both"/>
        <w:rPr>
          <w:rFonts w:eastAsia="Calibri"/>
        </w:rPr>
      </w:pPr>
      <w:r w:rsidRPr="001C3085">
        <w:rPr>
          <w:rFonts w:eastAsia="Calibri"/>
          <w:highlight w:val="white"/>
        </w:rPr>
        <w:t xml:space="preserve">Dupéy, L. N., &amp; Smith, J. W. (2018). An integrative review of empirical research on perceptions and behaviors related to prescribed burning and wildfire in the United States. </w:t>
      </w:r>
      <w:r w:rsidRPr="001C3085">
        <w:rPr>
          <w:rFonts w:eastAsia="Calibri"/>
          <w:i/>
          <w:highlight w:val="white"/>
        </w:rPr>
        <w:t>Environmental management</w:t>
      </w:r>
      <w:r w:rsidRPr="001C3085">
        <w:rPr>
          <w:rFonts w:eastAsia="Calibri"/>
          <w:highlight w:val="white"/>
        </w:rPr>
        <w:t xml:space="preserve">, </w:t>
      </w:r>
      <w:r w:rsidRPr="001C3085">
        <w:rPr>
          <w:rFonts w:eastAsia="Calibri"/>
          <w:i/>
          <w:highlight w:val="white"/>
        </w:rPr>
        <w:t>61</w:t>
      </w:r>
      <w:r w:rsidRPr="001C3085">
        <w:rPr>
          <w:rFonts w:eastAsia="Calibri"/>
          <w:highlight w:val="white"/>
        </w:rPr>
        <w:t>(6), 1002-1018.</w:t>
      </w:r>
    </w:p>
    <w:p w:rsidR="00395D80" w:rsidP="00395D80" w14:paraId="6CCC9A98" w14:textId="77777777">
      <w:pPr>
        <w:pStyle w:val="ListParagraph"/>
        <w:numPr>
          <w:ilvl w:val="0"/>
          <w:numId w:val="2"/>
        </w:numPr>
      </w:pPr>
      <w:r>
        <w:t>Edwards, P. J., Roberts, I., Clarke, M. J., DiGuiseppi, C., Wentz, R., Kwan, I., Cooper, R., Felix, L. M., &amp; Pratap, S. (2009). Methods to increase response to postal and electronic questionnaires. Cochrane Database of Systematic Reviews, 3(3). https://doi.org/10.1002/14651858.MR000008.pub4.</w:t>
      </w:r>
    </w:p>
    <w:p w:rsidR="00071046" w:rsidRPr="001C3085" w14:paraId="330B67B7" w14:textId="77777777">
      <w:pPr>
        <w:numPr>
          <w:ilvl w:val="0"/>
          <w:numId w:val="2"/>
        </w:numPr>
        <w:tabs>
          <w:tab w:val="left" w:pos="9360"/>
        </w:tabs>
        <w:jc w:val="both"/>
        <w:rPr>
          <w:rFonts w:eastAsia="Calibri"/>
        </w:rPr>
      </w:pPr>
      <w:r w:rsidRPr="001C3085">
        <w:rPr>
          <w:rFonts w:eastAsia="Calibri"/>
        </w:rPr>
        <w:t>Ellis, J.M., Yuan, R., He, Y., and Zaslow, S. (2017). 2017 Virginia Outdoors Demand Survey.</w:t>
      </w:r>
    </w:p>
    <w:p w:rsidR="00071046" w:rsidRPr="001C3085" w14:paraId="579699B7" w14:textId="77777777">
      <w:pPr>
        <w:numPr>
          <w:ilvl w:val="0"/>
          <w:numId w:val="2"/>
        </w:numPr>
        <w:tabs>
          <w:tab w:val="left" w:pos="9360"/>
        </w:tabs>
        <w:jc w:val="both"/>
        <w:rPr>
          <w:rFonts w:eastAsia="Calibri"/>
        </w:rPr>
      </w:pPr>
      <w:r w:rsidRPr="001C3085">
        <w:rPr>
          <w:rFonts w:eastAsia="Calibri"/>
        </w:rPr>
        <w:t xml:space="preserve">Fried, J. S., Gatziolis, D., Gilless, J. K., Vogt, C. A., &amp; Winter, G. (2006). Changing beliefs and building trust at the wildland urban interface. </w:t>
      </w:r>
      <w:r w:rsidRPr="001C3085">
        <w:rPr>
          <w:rFonts w:eastAsia="Calibri"/>
          <w:i/>
        </w:rPr>
        <w:t>Fire Management Today</w:t>
      </w:r>
      <w:r w:rsidRPr="001C3085">
        <w:rPr>
          <w:rFonts w:eastAsia="Calibri"/>
        </w:rPr>
        <w:t>, 66(3), 51-54.</w:t>
      </w:r>
    </w:p>
    <w:p w:rsidR="00395D80" w:rsidP="00395D80" w14:paraId="270AC5C3" w14:textId="77777777">
      <w:pPr>
        <w:pStyle w:val="ListParagraph"/>
        <w:numPr>
          <w:ilvl w:val="0"/>
          <w:numId w:val="2"/>
        </w:numPr>
      </w:pPr>
      <w:r>
        <w:t xml:space="preserve">Gneezy, U., &amp; Rey-Biel, P. (2014). On the relative efficiency of performance pay and </w:t>
      </w:r>
      <w:r>
        <w:t>noncontingent incentives. Journal of the European Economic Association, 12(1), 62–72. https://doi.org/10.1111/jeea.12062.</w:t>
      </w:r>
    </w:p>
    <w:p w:rsidR="00071046" w:rsidRPr="001C3085" w14:paraId="4793F133" w14:textId="77777777">
      <w:pPr>
        <w:numPr>
          <w:ilvl w:val="0"/>
          <w:numId w:val="2"/>
        </w:numPr>
        <w:tabs>
          <w:tab w:val="left" w:pos="9360"/>
        </w:tabs>
        <w:jc w:val="both"/>
        <w:rPr>
          <w:rFonts w:eastAsia="Calibri"/>
        </w:rPr>
      </w:pPr>
      <w:r w:rsidRPr="001C3085">
        <w:rPr>
          <w:rFonts w:eastAsia="Calibri"/>
        </w:rPr>
        <w:t xml:space="preserve">Grooms, B., Rutter, J. D., Barnes, J. C., Peele, A., &amp; Dayer, A. A. (2020). </w:t>
      </w:r>
      <w:r w:rsidRPr="001C3085">
        <w:rPr>
          <w:rFonts w:eastAsia="Calibri"/>
          <w:i/>
        </w:rPr>
        <w:t>Supporting wildlife recreationists in Virginia: Survey report to inform the Virginia Department of Wildlife Resources' wildlife viewing plan</w:t>
      </w:r>
      <w:r w:rsidRPr="001C3085">
        <w:rPr>
          <w:rFonts w:eastAsia="Calibri"/>
        </w:rPr>
        <w:t xml:space="preserve">. V. Tech. </w:t>
      </w:r>
    </w:p>
    <w:p w:rsidR="00395D80" w:rsidP="00395D80" w14:paraId="48B5F481" w14:textId="77777777">
      <w:pPr>
        <w:pStyle w:val="ListParagraph"/>
        <w:numPr>
          <w:ilvl w:val="0"/>
          <w:numId w:val="2"/>
        </w:numPr>
      </w:pPr>
      <w:r>
        <w:t>Groves, R., Couper, M., Presser, S., Singer, E., Tourangeau, R., Acosta, G., and Nelson, L. (2006). Experiments in producing nonresponse bias, Public Opinion Quarterly, 70, 720–736.</w:t>
      </w:r>
    </w:p>
    <w:p w:rsidR="00071046" w:rsidRPr="001C3085" w14:paraId="119904B3" w14:textId="77777777">
      <w:pPr>
        <w:numPr>
          <w:ilvl w:val="0"/>
          <w:numId w:val="2"/>
        </w:numPr>
        <w:tabs>
          <w:tab w:val="left" w:pos="9360"/>
        </w:tabs>
        <w:rPr>
          <w:rFonts w:eastAsia="Calibri"/>
        </w:rPr>
      </w:pPr>
      <w:r w:rsidRPr="001C3085">
        <w:rPr>
          <w:rFonts w:eastAsia="Calibri"/>
        </w:rPr>
        <w:t xml:space="preserve">Jacobson, S. K., Monroe, M. C., &amp; Marynowski, S. (2001). Fire at the wildland interface: the influence of experience and mass media on public knowledge, attitudes, and behavioral intentions. </w:t>
      </w:r>
      <w:r w:rsidRPr="001C3085">
        <w:rPr>
          <w:rFonts w:eastAsia="Calibri"/>
          <w:i/>
        </w:rPr>
        <w:t>Wildlife Society Bulletin</w:t>
      </w:r>
      <w:r w:rsidRPr="001C3085">
        <w:rPr>
          <w:rFonts w:eastAsia="Calibri"/>
        </w:rPr>
        <w:t xml:space="preserve">, 929-937. </w:t>
      </w:r>
      <w:hyperlink r:id="rId12">
        <w:r w:rsidRPr="001C3085">
          <w:rPr>
            <w:rFonts w:eastAsia="Calibri"/>
            <w:u w:val="single"/>
          </w:rPr>
          <w:t>https://www.jstor.org/stable/3784420</w:t>
        </w:r>
      </w:hyperlink>
    </w:p>
    <w:p w:rsidR="00071046" w:rsidRPr="001C3085" w14:paraId="36561255" w14:textId="77777777">
      <w:pPr>
        <w:numPr>
          <w:ilvl w:val="0"/>
          <w:numId w:val="2"/>
        </w:numPr>
        <w:tabs>
          <w:tab w:val="left" w:pos="9360"/>
        </w:tabs>
        <w:jc w:val="both"/>
        <w:rPr>
          <w:rFonts w:eastAsia="Calibri"/>
        </w:rPr>
      </w:pPr>
      <w:r w:rsidRPr="001C3085">
        <w:rPr>
          <w:rFonts w:eastAsia="Calibri"/>
        </w:rPr>
        <w:t xml:space="preserve">Jarrett, A., Gan, J., Johnson, C., &amp; Munn, I. A. (2009). Landowner awareness and adoption of wildfire programs in the southern United States. </w:t>
      </w:r>
      <w:r w:rsidRPr="001C3085">
        <w:rPr>
          <w:rFonts w:eastAsia="Calibri"/>
          <w:i/>
        </w:rPr>
        <w:t>Journal of Forestry</w:t>
      </w:r>
      <w:r w:rsidRPr="001C3085">
        <w:rPr>
          <w:rFonts w:eastAsia="Calibri"/>
        </w:rPr>
        <w:t>, 107(3), 113-118.</w:t>
      </w:r>
    </w:p>
    <w:p w:rsidR="00071046" w:rsidRPr="001C3085" w14:paraId="1F0A0F69" w14:textId="77777777">
      <w:pPr>
        <w:keepLines/>
        <w:numPr>
          <w:ilvl w:val="0"/>
          <w:numId w:val="2"/>
        </w:numPr>
        <w:rPr>
          <w:rFonts w:eastAsia="Calibri"/>
          <w:highlight w:val="white"/>
        </w:rPr>
      </w:pPr>
      <w:r w:rsidRPr="001C3085">
        <w:rPr>
          <w:rFonts w:eastAsia="Calibri"/>
        </w:rPr>
        <w:t xml:space="preserve">Johnston, R. J., Grigalunas, T. A., Opaluch, J. J., Mazzotta, M., &amp; Diamantedes, J. (2002). Valuing estuarine resource services using economic and ecological models: the Peconic Estuary System study. </w:t>
      </w:r>
      <w:r w:rsidRPr="001C3085">
        <w:rPr>
          <w:rFonts w:eastAsia="Calibri"/>
          <w:i/>
        </w:rPr>
        <w:t>Coastal Management</w:t>
      </w:r>
      <w:r w:rsidRPr="001C3085">
        <w:rPr>
          <w:rFonts w:eastAsia="Calibri"/>
        </w:rPr>
        <w:t>,</w:t>
      </w:r>
      <w:r w:rsidRPr="001C3085">
        <w:rPr>
          <w:rFonts w:eastAsia="Calibri"/>
          <w:i/>
        </w:rPr>
        <w:t xml:space="preserve"> 30</w:t>
      </w:r>
      <w:r w:rsidRPr="001C3085">
        <w:rPr>
          <w:rFonts w:eastAsia="Calibri"/>
        </w:rPr>
        <w:t>(1), 47-65.</w:t>
      </w:r>
    </w:p>
    <w:p w:rsidR="00071046" w:rsidRPr="001C3085" w14:paraId="5FFE0263" w14:textId="77777777">
      <w:pPr>
        <w:numPr>
          <w:ilvl w:val="0"/>
          <w:numId w:val="2"/>
        </w:numPr>
        <w:tabs>
          <w:tab w:val="left" w:pos="9360"/>
        </w:tabs>
        <w:jc w:val="both"/>
        <w:rPr>
          <w:rFonts w:eastAsia="Calibri"/>
        </w:rPr>
      </w:pPr>
      <w:r w:rsidRPr="001C3085">
        <w:rPr>
          <w:rFonts w:eastAsia="Calibri"/>
        </w:rPr>
        <w:t xml:space="preserve">Kane, B., Zajchowski, C. A., Allen, T. R., McLeod, G., &amp; Allen, N. H. (2021). Is it safer at the beach? Spatial and temporal analyses of beachgoer behaviors during the COVID-19 pandemic. </w:t>
      </w:r>
      <w:r w:rsidRPr="001C3085">
        <w:rPr>
          <w:rFonts w:eastAsia="Calibri"/>
          <w:i/>
        </w:rPr>
        <w:t>Ocean &amp; coastal management</w:t>
      </w:r>
      <w:r w:rsidRPr="001C3085">
        <w:rPr>
          <w:rFonts w:eastAsia="Calibri"/>
        </w:rPr>
        <w:t xml:space="preserve">, 205, 105533. </w:t>
      </w:r>
      <w:hyperlink r:id="rId13">
        <w:r w:rsidRPr="001C3085">
          <w:rPr>
            <w:rFonts w:eastAsia="Calibri"/>
            <w:u w:val="single"/>
          </w:rPr>
          <w:t>https://doi.org/10.1016/j.ocecoaman.2021.105533</w:t>
        </w:r>
      </w:hyperlink>
    </w:p>
    <w:p w:rsidR="00071046" w:rsidRPr="001C3085" w14:paraId="2EAE889A" w14:textId="77777777">
      <w:pPr>
        <w:numPr>
          <w:ilvl w:val="0"/>
          <w:numId w:val="2"/>
        </w:numPr>
        <w:tabs>
          <w:tab w:val="left" w:pos="9360"/>
        </w:tabs>
        <w:jc w:val="both"/>
        <w:rPr>
          <w:rFonts w:eastAsia="Calibri"/>
        </w:rPr>
      </w:pPr>
      <w:r w:rsidRPr="001C3085">
        <w:rPr>
          <w:rFonts w:eastAsia="Calibri"/>
        </w:rPr>
        <w:t xml:space="preserve">Lipton, D. (2004). The value of improved water quality to Chesapeake Bay boaters. </w:t>
      </w:r>
      <w:r w:rsidRPr="001C3085">
        <w:rPr>
          <w:rFonts w:eastAsia="Calibri"/>
          <w:i/>
        </w:rPr>
        <w:t>Marine Resource Economics</w:t>
      </w:r>
      <w:r w:rsidRPr="001C3085">
        <w:rPr>
          <w:rFonts w:eastAsia="Calibri"/>
        </w:rPr>
        <w:t xml:space="preserve">, 19(2), 265-270. </w:t>
      </w:r>
      <w:hyperlink r:id="rId14">
        <w:r w:rsidRPr="001C3085">
          <w:rPr>
            <w:rFonts w:eastAsia="Calibri"/>
            <w:u w:val="single"/>
          </w:rPr>
          <w:t>https://doi.org/10.1086/mre.19.2.42629432</w:t>
        </w:r>
      </w:hyperlink>
    </w:p>
    <w:p w:rsidR="00071046" w:rsidRPr="001C3085" w14:paraId="78BB405A" w14:textId="77777777">
      <w:pPr>
        <w:widowControl/>
        <w:numPr>
          <w:ilvl w:val="0"/>
          <w:numId w:val="2"/>
        </w:numPr>
        <w:jc w:val="both"/>
        <w:rPr>
          <w:rFonts w:eastAsia="Calibri"/>
          <w:highlight w:val="white"/>
        </w:rPr>
      </w:pPr>
      <w:r w:rsidRPr="001C3085">
        <w:rPr>
          <w:rFonts w:eastAsia="Calibri"/>
          <w:highlight w:val="white"/>
        </w:rPr>
        <w:t xml:space="preserve">McCaffrey, S. (2009). Crucial factors influencing public acceptance of fuels treatments. </w:t>
      </w:r>
      <w:r w:rsidRPr="001C3085">
        <w:rPr>
          <w:rFonts w:eastAsia="Calibri"/>
          <w:i/>
          <w:highlight w:val="white"/>
        </w:rPr>
        <w:t>Fire Management Today</w:t>
      </w:r>
      <w:r w:rsidRPr="001C3085">
        <w:rPr>
          <w:rFonts w:eastAsia="Calibri"/>
          <w:highlight w:val="white"/>
        </w:rPr>
        <w:t xml:space="preserve">, </w:t>
      </w:r>
      <w:r w:rsidRPr="001C3085">
        <w:rPr>
          <w:rFonts w:eastAsia="Calibri"/>
          <w:i/>
          <w:highlight w:val="white"/>
        </w:rPr>
        <w:t>69</w:t>
      </w:r>
      <w:r w:rsidRPr="001C3085">
        <w:rPr>
          <w:rFonts w:eastAsia="Calibri"/>
          <w:highlight w:val="white"/>
        </w:rPr>
        <w:t>(1), 9.</w:t>
      </w:r>
    </w:p>
    <w:p w:rsidR="00395D80" w:rsidP="00395D80" w14:paraId="3B3953C6" w14:textId="77777777">
      <w:pPr>
        <w:pStyle w:val="ListParagraph"/>
        <w:numPr>
          <w:ilvl w:val="0"/>
          <w:numId w:val="2"/>
        </w:numPr>
      </w:pPr>
      <w:r>
        <w:t>Mercer, A., Caporaso, A., Cantor, D., &amp; Townsend, R. (2015). How much gets you how much? Monetary incentives and response rates in household surveys. Public Opinion Quarterly, 79(1), 105–129. https://doi.org/10.1093/poq/nfu059.</w:t>
      </w:r>
    </w:p>
    <w:p w:rsidR="00071046" w:rsidRPr="001C3085" w14:paraId="42A0B6AE" w14:textId="77777777">
      <w:pPr>
        <w:numPr>
          <w:ilvl w:val="0"/>
          <w:numId w:val="2"/>
        </w:numPr>
        <w:tabs>
          <w:tab w:val="left" w:pos="9360"/>
        </w:tabs>
        <w:jc w:val="both"/>
        <w:rPr>
          <w:rFonts w:eastAsia="Calibri"/>
        </w:rPr>
      </w:pPr>
      <w:r w:rsidRPr="001C3085">
        <w:rPr>
          <w:rFonts w:eastAsia="Calibri"/>
          <w:highlight w:val="white"/>
        </w:rPr>
        <w:t xml:space="preserve">Nelson, K. C., Monroe, M. C., Johnson, J. F., &amp; Bowers, A. (2004). Living with fire: homeowner assessment of landscape values and defensible space in Minnesota and Florida, USA. </w:t>
      </w:r>
      <w:r w:rsidRPr="001C3085">
        <w:rPr>
          <w:rFonts w:eastAsia="Calibri"/>
          <w:i/>
          <w:highlight w:val="white"/>
        </w:rPr>
        <w:t>International Journal of Wildland Fire</w:t>
      </w:r>
      <w:r w:rsidRPr="001C3085">
        <w:rPr>
          <w:rFonts w:eastAsia="Calibri"/>
          <w:highlight w:val="white"/>
        </w:rPr>
        <w:t xml:space="preserve">, </w:t>
      </w:r>
      <w:r w:rsidRPr="001C3085">
        <w:rPr>
          <w:rFonts w:eastAsia="Calibri"/>
          <w:i/>
          <w:highlight w:val="white"/>
        </w:rPr>
        <w:t>13</w:t>
      </w:r>
      <w:r w:rsidRPr="001C3085">
        <w:rPr>
          <w:rFonts w:eastAsia="Calibri"/>
          <w:highlight w:val="white"/>
        </w:rPr>
        <w:t>(4), 413-425.</w:t>
      </w:r>
    </w:p>
    <w:p w:rsidR="00395D80" w:rsidP="00395D80" w14:paraId="6FDBCCFB" w14:textId="77777777">
      <w:pPr>
        <w:pStyle w:val="ListParagraph"/>
        <w:numPr>
          <w:ilvl w:val="0"/>
          <w:numId w:val="2"/>
        </w:numPr>
      </w:pPr>
      <w:r>
        <w:t>Neman, T. S., Dykema, J., Garbarski, D., Jones, C., Schaeffer, N. C., &amp; Farrar-Edwards, D. (2022). Survey monetary incentives: Digital payments as an alternative to direct mail. Survey Practice, 15(1), 1–7. https://doi.org/10.29115/sp-2021-0012.</w:t>
      </w:r>
    </w:p>
    <w:p w:rsidR="00395D80" w:rsidP="00395D80" w14:paraId="2AAE0D07" w14:textId="77777777">
      <w:pPr>
        <w:pStyle w:val="ListParagraph"/>
        <w:numPr>
          <w:ilvl w:val="0"/>
          <w:numId w:val="2"/>
        </w:numPr>
      </w:pPr>
      <w:r>
        <w:t>Oscarsson, H., &amp; Arkhede, S. (2019). Effects of conditional incentives on response rate, non-response bias and measurement error in a high response-rate context. International Journal of Public Opinion Research. doi:10.1093/ijpor/edz015.</w:t>
      </w:r>
    </w:p>
    <w:p w:rsidR="00395D80" w:rsidP="00395D80" w14:paraId="72368707" w14:textId="77777777">
      <w:pPr>
        <w:pStyle w:val="ListParagraph"/>
        <w:numPr>
          <w:ilvl w:val="0"/>
          <w:numId w:val="2"/>
        </w:numPr>
      </w:pPr>
      <w:r>
        <w:t>Porter, S. R., &amp; Whitcomb, M. E. (2011). The impact of lottery Incentives on Student Survey Response Rates. Research in Higher Education, 44(4), 389–407.</w:t>
      </w:r>
    </w:p>
    <w:p w:rsidR="00395D80" w:rsidP="00395D80" w14:paraId="30E71CB1" w14:textId="77777777">
      <w:pPr>
        <w:pStyle w:val="ListParagraph"/>
        <w:numPr>
          <w:ilvl w:val="0"/>
          <w:numId w:val="2"/>
        </w:numPr>
      </w:pPr>
      <w:r>
        <w:t>Rao, N. (2020). Cost effectiveness of pre- and post-paid incentives for mail survey response. Survey Practice, 13(1), 1–7. https://doi.org/10.29115/sp-2020-0004.</w:t>
      </w:r>
    </w:p>
    <w:p w:rsidR="00071046" w:rsidRPr="001C3085" w14:paraId="2A8CFFF6" w14:textId="77777777">
      <w:pPr>
        <w:numPr>
          <w:ilvl w:val="0"/>
          <w:numId w:val="2"/>
        </w:numPr>
        <w:tabs>
          <w:tab w:val="left" w:pos="9360"/>
        </w:tabs>
        <w:jc w:val="both"/>
        <w:rPr>
          <w:rFonts w:eastAsia="Calibri"/>
        </w:rPr>
      </w:pPr>
      <w:r w:rsidRPr="001C3085">
        <w:rPr>
          <w:rFonts w:eastAsia="Calibri"/>
        </w:rPr>
        <w:t xml:space="preserve">Rideout, S., Oswald, B. P., &amp; Legg, M. H. (2003). Ecological, political and social challenges of prescribed fire restoration in east Texas pineywoods ecosystems: a case study. </w:t>
      </w:r>
      <w:r w:rsidRPr="001C3085">
        <w:rPr>
          <w:rFonts w:eastAsia="Calibri"/>
          <w:i/>
        </w:rPr>
        <w:t>Forestry</w:t>
      </w:r>
      <w:r w:rsidRPr="001C3085">
        <w:rPr>
          <w:rFonts w:eastAsia="Calibri"/>
        </w:rPr>
        <w:t xml:space="preserve">, 76(2), 261-269. </w:t>
      </w:r>
      <w:hyperlink r:id="rId15">
        <w:r w:rsidRPr="001C3085">
          <w:rPr>
            <w:rFonts w:eastAsia="Calibri"/>
            <w:u w:val="single"/>
          </w:rPr>
          <w:t>https://doi.org/10.1093/forestry/76.2.261</w:t>
        </w:r>
      </w:hyperlink>
    </w:p>
    <w:p w:rsidR="00395D80" w:rsidP="00395D80" w14:paraId="4C717D06" w14:textId="7092D60A">
      <w:pPr>
        <w:pStyle w:val="ListParagraph"/>
        <w:numPr>
          <w:ilvl w:val="0"/>
          <w:numId w:val="2"/>
        </w:numPr>
      </w:pPr>
      <w:r>
        <w:t>Robbins, M. W., Grimm, G., Stecher, B., &amp; Opfer, V. D. (2018). A comparison of strategies for recruiting teachers into survey panels. SAGE Open, 8(3). https://doi.org/10.1177/2158244018796412.</w:t>
      </w:r>
    </w:p>
    <w:p w:rsidR="00071046" w:rsidRPr="001C3085" w14:paraId="7E445688" w14:textId="77777777">
      <w:pPr>
        <w:keepLines/>
        <w:numPr>
          <w:ilvl w:val="0"/>
          <w:numId w:val="2"/>
        </w:numPr>
        <w:rPr>
          <w:rFonts w:eastAsia="Calibri"/>
        </w:rPr>
      </w:pPr>
      <w:r w:rsidRPr="001C3085">
        <w:rPr>
          <w:rFonts w:eastAsia="Calibri"/>
        </w:rPr>
        <w:t xml:space="preserve">Rosen, Z., Henery, G., Slater, K. D., Sablan, O., Ford, B., Pierce, J. R., Fischer, E. V., &amp; Magzamen, S. (2022). A Culture of Fire: Identifying Community Risk Perceptions Surrounding Prescribed Burning in the Flint Hills, Kansas. </w:t>
      </w:r>
      <w:r w:rsidRPr="001C3085">
        <w:rPr>
          <w:rFonts w:eastAsia="Calibri"/>
          <w:i/>
        </w:rPr>
        <w:t>Journal of Applied Communications</w:t>
      </w:r>
      <w:r w:rsidRPr="001C3085">
        <w:rPr>
          <w:rFonts w:eastAsia="Calibri"/>
        </w:rPr>
        <w:t>,</w:t>
      </w:r>
      <w:r w:rsidRPr="001C3085">
        <w:rPr>
          <w:rFonts w:eastAsia="Calibri"/>
          <w:i/>
        </w:rPr>
        <w:t xml:space="preserve"> 106</w:t>
      </w:r>
      <w:r w:rsidRPr="001C3085">
        <w:rPr>
          <w:rFonts w:eastAsia="Calibri"/>
        </w:rPr>
        <w:t xml:space="preserve">(4), 6. </w:t>
      </w:r>
    </w:p>
    <w:p w:rsidR="00071046" w:rsidRPr="001C3085" w14:paraId="1EB89B44" w14:textId="77777777">
      <w:pPr>
        <w:widowControl/>
        <w:numPr>
          <w:ilvl w:val="0"/>
          <w:numId w:val="2"/>
        </w:numPr>
        <w:jc w:val="both"/>
        <w:rPr>
          <w:rFonts w:eastAsia="Calibri"/>
        </w:rPr>
      </w:pPr>
      <w:r w:rsidRPr="001C3085">
        <w:rPr>
          <w:rFonts w:eastAsia="Calibri"/>
        </w:rPr>
        <w:t xml:space="preserve">Rushing, B.R., Leavell, M., Nzaku, K., and Black, N. (2021). Outdoor Recreation in Alabama. </w:t>
      </w:r>
    </w:p>
    <w:p w:rsidR="00071046" w:rsidRPr="001C3085" w14:paraId="2B293CEC" w14:textId="77777777">
      <w:pPr>
        <w:widowControl/>
        <w:numPr>
          <w:ilvl w:val="0"/>
          <w:numId w:val="2"/>
        </w:numPr>
        <w:rPr>
          <w:rFonts w:eastAsia="Calibri"/>
        </w:rPr>
      </w:pPr>
      <w:r w:rsidRPr="001C3085">
        <w:rPr>
          <w:rFonts w:eastAsia="Calibri"/>
        </w:rPr>
        <w:t xml:space="preserve">Strickler, M.J., Cristman, C.E., and Poole, D. (2018). Virginia Outdoors Plan 2018. Virginia Department of Conservation and Recreation. </w:t>
      </w:r>
    </w:p>
    <w:p w:rsidR="00071046" w:rsidRPr="001C3085" w14:paraId="6812EC91" w14:textId="77777777">
      <w:pPr>
        <w:widowControl/>
        <w:numPr>
          <w:ilvl w:val="0"/>
          <w:numId w:val="2"/>
        </w:numPr>
        <w:jc w:val="both"/>
        <w:rPr>
          <w:rFonts w:eastAsia="Calibri"/>
          <w:highlight w:val="white"/>
        </w:rPr>
      </w:pPr>
      <w:r w:rsidRPr="001C3085">
        <w:rPr>
          <w:rFonts w:eastAsia="Calibri"/>
          <w:highlight w:val="white"/>
        </w:rPr>
        <w:t xml:space="preserve">Thapa, B., Holland, S. M., &amp; Absher, J. D. (2008). Perceived risk, attitude, knowledge, and reactionary behaviors toward wildfires among Florida tourists. In D. J. Chavez, J. D. Absher, &amp; P. L. Winter (Eds.), </w:t>
      </w:r>
      <w:r w:rsidRPr="001C3085">
        <w:rPr>
          <w:rFonts w:eastAsia="Calibri"/>
          <w:i/>
          <w:highlight w:val="white"/>
        </w:rPr>
        <w:t>Fire social science research from the Pacific Southwest research station: Studies supported by national fire plan funds.</w:t>
      </w:r>
      <w:r w:rsidRPr="001C3085">
        <w:rPr>
          <w:rFonts w:eastAsia="Calibri"/>
          <w:highlight w:val="white"/>
        </w:rPr>
        <w:t xml:space="preserve"> (Vol. General Technical Report PSW-GTR-209, pp. 87). USDA Forest Service: Pacific Southwest Research Station.</w:t>
      </w:r>
    </w:p>
    <w:p w:rsidR="00071046" w:rsidRPr="001C3085" w14:paraId="390A77C7" w14:textId="77777777">
      <w:pPr>
        <w:numPr>
          <w:ilvl w:val="0"/>
          <w:numId w:val="2"/>
        </w:numPr>
        <w:tabs>
          <w:tab w:val="left" w:pos="9360"/>
        </w:tabs>
        <w:jc w:val="both"/>
        <w:rPr>
          <w:rFonts w:eastAsia="Calibri"/>
        </w:rPr>
      </w:pPr>
      <w:r w:rsidRPr="001C3085">
        <w:rPr>
          <w:rFonts w:eastAsia="Calibri"/>
        </w:rPr>
        <w:t xml:space="preserve">US Census Bureau. (2021). Computer and internet use in the United States: 2018. Available online: </w:t>
      </w:r>
      <w:hyperlink r:id="rId16">
        <w:r w:rsidRPr="001C3085">
          <w:rPr>
            <w:rFonts w:eastAsia="Calibri"/>
            <w:color w:val="1155CC"/>
            <w:u w:val="single"/>
          </w:rPr>
          <w:t>https://www.census.gov/content/dam/Census/library/publications/2021/acs/acs-49.pdf</w:t>
        </w:r>
      </w:hyperlink>
    </w:p>
    <w:p w:rsidR="00071046" w:rsidRPr="001C3085" w14:paraId="61A1E5DB" w14:textId="77777777">
      <w:pPr>
        <w:widowControl/>
        <w:numPr>
          <w:ilvl w:val="0"/>
          <w:numId w:val="2"/>
        </w:numPr>
        <w:jc w:val="both"/>
        <w:rPr>
          <w:rFonts w:eastAsia="Calibri"/>
          <w:highlight w:val="white"/>
        </w:rPr>
      </w:pPr>
      <w:r w:rsidRPr="001C3085">
        <w:rPr>
          <w:rFonts w:eastAsia="Calibri"/>
          <w:highlight w:val="white"/>
        </w:rPr>
        <w:t xml:space="preserve">USDA Forest Service. (2018). </w:t>
      </w:r>
      <w:r w:rsidRPr="001C3085">
        <w:rPr>
          <w:rFonts w:eastAsia="Calibri"/>
          <w:i/>
          <w:highlight w:val="white"/>
        </w:rPr>
        <w:t>Introduction to prescribed fire in southern ecosystems</w:t>
      </w:r>
      <w:r w:rsidRPr="001C3085">
        <w:rPr>
          <w:rFonts w:eastAsia="Calibri"/>
          <w:highlight w:val="white"/>
        </w:rPr>
        <w:t xml:space="preserve">. Research &amp; Development, Southern Research Station. Science Update SRS-054. </w:t>
      </w:r>
    </w:p>
    <w:p w:rsidR="00071046" w:rsidRPr="001C3085" w14:paraId="1AFBF739" w14:textId="77777777">
      <w:pPr>
        <w:numPr>
          <w:ilvl w:val="0"/>
          <w:numId w:val="2"/>
        </w:numPr>
        <w:tabs>
          <w:tab w:val="left" w:pos="9360"/>
        </w:tabs>
        <w:jc w:val="both"/>
        <w:rPr>
          <w:rFonts w:eastAsia="Calibri"/>
        </w:rPr>
      </w:pPr>
      <w:r w:rsidRPr="001C3085">
        <w:rPr>
          <w:rFonts w:eastAsia="Calibri"/>
        </w:rPr>
        <w:t xml:space="preserve">Usher, L. E. (2021). Virginia and North Carolina surfers’ perceptions of beach nourishment. </w:t>
      </w:r>
      <w:r w:rsidRPr="001C3085">
        <w:rPr>
          <w:rFonts w:eastAsia="Calibri"/>
          <w:i/>
        </w:rPr>
        <w:t>Ocean &amp; Coastal Management</w:t>
      </w:r>
      <w:r w:rsidRPr="001C3085">
        <w:rPr>
          <w:rFonts w:eastAsia="Calibri"/>
        </w:rPr>
        <w:t xml:space="preserve">, 203, 105471. </w:t>
      </w:r>
      <w:hyperlink r:id="rId17">
        <w:r w:rsidRPr="001C3085">
          <w:rPr>
            <w:rFonts w:eastAsia="Calibri"/>
            <w:u w:val="single"/>
          </w:rPr>
          <w:t>https://doi.org/10.1016/j.ocecoaman.2020.105471</w:t>
        </w:r>
      </w:hyperlink>
    </w:p>
    <w:p w:rsidR="00071046" w:rsidRPr="001C3085" w14:paraId="4F48186D" w14:textId="77777777">
      <w:pPr>
        <w:widowControl/>
        <w:numPr>
          <w:ilvl w:val="0"/>
          <w:numId w:val="2"/>
        </w:numPr>
        <w:jc w:val="both"/>
        <w:rPr>
          <w:rFonts w:eastAsia="Calibri"/>
        </w:rPr>
      </w:pPr>
      <w:r w:rsidRPr="001C3085">
        <w:rPr>
          <w:rFonts w:eastAsia="Calibri"/>
          <w:highlight w:val="white"/>
        </w:rPr>
        <w:t xml:space="preserve">Vaske, J. J., Absher, J. D., &amp; Bright, A. D. (2007). Salient value similarity, social trust and attitudes toward wildland fire management strategies. </w:t>
      </w:r>
      <w:r w:rsidRPr="001C3085">
        <w:rPr>
          <w:rFonts w:eastAsia="Calibri"/>
          <w:i/>
          <w:highlight w:val="white"/>
        </w:rPr>
        <w:t>Human Ecology Review</w:t>
      </w:r>
      <w:r w:rsidRPr="001C3085">
        <w:rPr>
          <w:rFonts w:eastAsia="Calibri"/>
          <w:highlight w:val="white"/>
        </w:rPr>
        <w:t>, 223-232.</w:t>
      </w:r>
    </w:p>
    <w:p w:rsidR="00071046" w14:paraId="1BDDFBD2" w14:textId="12CBA7D6">
      <w:pPr>
        <w:widowControl/>
        <w:numPr>
          <w:ilvl w:val="0"/>
          <w:numId w:val="2"/>
        </w:numPr>
        <w:jc w:val="both"/>
        <w:rPr>
          <w:rFonts w:eastAsia="Calibri"/>
        </w:rPr>
      </w:pPr>
      <w:r w:rsidRPr="001C3085">
        <w:rPr>
          <w:rFonts w:eastAsia="Calibri"/>
          <w:highlight w:val="white"/>
        </w:rPr>
        <w:t xml:space="preserve">Wu, H., Miller, Z. D., Wang, R., Zipp, K. Y., Newman, P., Shr, Y.-H., Dems, C. L., Taylor, A., Kaye, M. W., &amp; Smithwick, E. A. (2022). Public and manager perceptions about prescribed fire in the Mid-Atlantic, United States. </w:t>
      </w:r>
      <w:r w:rsidRPr="001C3085">
        <w:rPr>
          <w:rFonts w:eastAsia="Calibri"/>
          <w:i/>
          <w:highlight w:val="white"/>
        </w:rPr>
        <w:t>Journal of Environmental Management</w:t>
      </w:r>
      <w:r w:rsidRPr="001C3085">
        <w:rPr>
          <w:rFonts w:eastAsia="Calibri"/>
          <w:highlight w:val="white"/>
        </w:rPr>
        <w:t>,</w:t>
      </w:r>
      <w:r w:rsidRPr="001C3085">
        <w:rPr>
          <w:rFonts w:eastAsia="Calibri"/>
          <w:i/>
          <w:highlight w:val="white"/>
        </w:rPr>
        <w:t xml:space="preserve"> 322</w:t>
      </w:r>
      <w:r w:rsidRPr="001C3085">
        <w:rPr>
          <w:rFonts w:eastAsia="Calibri"/>
          <w:highlight w:val="white"/>
        </w:rPr>
        <w:t xml:space="preserve">, 116100. </w:t>
      </w:r>
    </w:p>
    <w:p w:rsidR="00395D80" w:rsidP="00395D80" w14:paraId="545D8ACD" w14:textId="77777777">
      <w:pPr>
        <w:pStyle w:val="ListParagraph"/>
        <w:numPr>
          <w:ilvl w:val="0"/>
          <w:numId w:val="2"/>
        </w:numPr>
      </w:pPr>
      <w:r>
        <w:t>Young, J. M., O’Halloran, A., McAulay, C., Pirotta, M., Forsdike, K., Stacey, I., &amp; Currow, D. (2015). Unconditional and conditional incentives differentially improved general practitioners’ participation in an online survey: Randomized controlled trial. Journal of Clinical Epidemiology, 68(6), 693–697. https://doi.org/10.1016/j.jclinepi.2014.09.013</w:t>
      </w:r>
    </w:p>
    <w:p w:rsidR="00395D80" w:rsidRPr="00395D80" w:rsidP="00395D80" w14:paraId="29F26D72" w14:textId="3296D9CD">
      <w:pPr>
        <w:pStyle w:val="ListParagraph"/>
        <w:numPr>
          <w:ilvl w:val="0"/>
          <w:numId w:val="2"/>
        </w:numPr>
      </w:pPr>
      <w:r>
        <w:t>Zhang, S., West, B. T., Wagner, J., Couper, M. P., Gatward, R., &amp; Axinn, W. G. (2023). Visible cash, a second incentive, and priority mail? An experimental evaluation of mailing strategies for a screening questionnaire in a national push-to-web/mail survey. Journal of Survey Statistics and Methodology, 11(5), 1011–1031.</w:t>
      </w:r>
    </w:p>
    <w:p w:rsidR="00071046" w:rsidRPr="001C3085" w14:paraId="2E12622F" w14:textId="77777777">
      <w:pPr>
        <w:spacing w:after="200" w:line="276" w:lineRule="auto"/>
        <w:jc w:val="both"/>
        <w:rPr>
          <w:rFonts w:eastAsia="Calibri"/>
        </w:rPr>
      </w:pPr>
    </w:p>
    <w:sectPr>
      <w:pgSz w:w="12240" w:h="15840"/>
      <w:pgMar w:top="640" w:right="1080" w:bottom="36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046" w14:paraId="465614F2" w14:textId="77777777">
    <w:pPr>
      <w:pBdr>
        <w:top w:val="nil"/>
        <w:left w:val="nil"/>
        <w:bottom w:val="nil"/>
        <w:right w:val="nil"/>
        <w:between w:val="nil"/>
      </w:pBdr>
      <w:spacing w:line="14" w:lineRule="auto"/>
      <w:jc w:val="right"/>
      <w:rPr>
        <w:rFonts w:ascii="Calibri" w:eastAsia="Calibri" w:hAnsi="Calibri" w:cs="Calibri"/>
        <w:color w:val="000000"/>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3576CD">
      <w:rPr>
        <w:rFonts w:ascii="Calibri" w:eastAsia="Calibri" w:hAnsi="Calibri" w:cs="Calibri"/>
        <w:noProof/>
        <w:sz w:val="22"/>
        <w:szCs w:val="22"/>
      </w:rPr>
      <w:t>1</w:t>
    </w:r>
    <w:r>
      <w:rPr>
        <w:rFonts w:ascii="Calibri" w:eastAsia="Calibri" w:hAnsi="Calibri" w:cs="Calibri"/>
        <w:sz w:val="22"/>
        <w:szCs w:val="22"/>
      </w:rPr>
      <w:fldChar w:fldCharType="end"/>
    </w:r>
    <w:r>
      <w:rPr>
        <w:noProof/>
      </w:rPr>
      <mc:AlternateContent>
        <mc:Choice Requires="wps">
          <w:drawing>
            <wp:anchor distT="0" distB="0" distL="0" distR="0" simplePos="0" relativeHeight="251658240" behindDoc="1" locked="0" layoutInCell="1" allowOverlap="1">
              <wp:simplePos x="0" y="0"/>
              <wp:positionH relativeFrom="column">
                <wp:posOffset>-241299</wp:posOffset>
              </wp:positionH>
              <wp:positionV relativeFrom="paragraph">
                <wp:posOffset>9194800</wp:posOffset>
              </wp:positionV>
              <wp:extent cx="661670" cy="22288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5024690" y="3678083"/>
                        <a:ext cx="661670" cy="222885"/>
                      </a:xfrm>
                      <a:prstGeom prst="rect">
                        <a:avLst/>
                      </a:prstGeom>
                      <a:noFill/>
                      <a:ln>
                        <a:noFill/>
                      </a:ln>
                    </wps:spPr>
                    <wps:txbx>
                      <w:txbxContent>
                        <w:p w:rsidR="00071046" w14:textId="77777777">
                          <w:pPr>
                            <w:spacing w:line="245" w:lineRule="auto"/>
                            <w:ind w:left="20" w:firstLine="120"/>
                          </w:pPr>
                          <w:r>
                            <w:rPr>
                              <w:rFonts w:ascii="Calibri" w:eastAsia="Calibri" w:hAnsi="Calibri" w:cs="Calibri"/>
                              <w:b/>
                              <w:color w:val="000000"/>
                            </w:rPr>
                            <w:t>Page |  PAGE 13</w:t>
                          </w:r>
                        </w:p>
                      </w:txbxContent>
                    </wps:txbx>
                    <wps:bodyPr spcFirstLastPara="1" wrap="square" lIns="0" tIns="0" rIns="0" bIns="0" anchor="t" anchorCtr="0"/>
                  </wps:wsp>
                </a:graphicData>
              </a:graphic>
            </wp:anchor>
          </w:drawing>
        </mc:Choice>
        <mc:Fallback>
          <w:pict>
            <v:rect id="Rectangle 9" o:spid="_x0000_s2049" style="width:52.1pt;height:17.55pt;margin-top:724pt;margin-left:-19pt;mso-wrap-distance-bottom:0;mso-wrap-distance-left:0;mso-wrap-distance-right:0;mso-wrap-distance-top:0;mso-wrap-style:square;position:absolute;visibility:visible;v-text-anchor:top;z-index:-251657216" filled="f" stroked="f">
              <v:textbox inset="0,0,0,0">
                <w:txbxContent>
                  <w:p w:rsidR="00071046" w14:paraId="582CF7DF" w14:textId="77777777">
                    <w:pPr>
                      <w:spacing w:line="245" w:lineRule="auto"/>
                      <w:ind w:left="20" w:firstLine="120"/>
                    </w:pPr>
                    <w:r>
                      <w:rPr>
                        <w:rFonts w:ascii="Calibri" w:eastAsia="Calibri" w:hAnsi="Calibri" w:cs="Calibri"/>
                        <w:b/>
                        <w:color w:val="000000"/>
                      </w:rPr>
                      <w:t xml:space="preserve">Page </w:t>
                    </w:r>
                    <w:r>
                      <w:rPr>
                        <w:rFonts w:ascii="Calibri" w:eastAsia="Calibri" w:hAnsi="Calibri" w:cs="Calibri"/>
                        <w:b/>
                        <w:color w:val="000000"/>
                      </w:rPr>
                      <w:t>|  PAGE</w:t>
                    </w:r>
                    <w:r>
                      <w:rPr>
                        <w:rFonts w:ascii="Calibri" w:eastAsia="Calibri" w:hAnsi="Calibri" w:cs="Calibri"/>
                        <w:b/>
                        <w:color w:val="000000"/>
                      </w:rPr>
                      <w:t xml:space="preserve"> 13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6512" w14:paraId="2D537C78" w14:textId="77777777">
      <w:r>
        <w:separator/>
      </w:r>
    </w:p>
  </w:footnote>
  <w:footnote w:type="continuationSeparator" w:id="1">
    <w:p w:rsidR="00B26512" w14:paraId="44804296" w14:textId="77777777">
      <w:r>
        <w:continuationSeparator/>
      </w:r>
    </w:p>
  </w:footnote>
  <w:footnote w:id="2">
    <w:p w:rsidR="00071046" w14:paraId="3EB43AE5" w14:textId="77777777">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U.S. Census Bureau, 2017-2021 American Community Survey 5-Year Estimates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7834A3"/>
    <w:multiLevelType w:val="multilevel"/>
    <w:tmpl w:val="0476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E3699"/>
    <w:multiLevelType w:val="multilevel"/>
    <w:tmpl w:val="8960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99475A"/>
    <w:multiLevelType w:val="multilevel"/>
    <w:tmpl w:val="03DC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122C1"/>
    <w:multiLevelType w:val="multilevel"/>
    <w:tmpl w:val="122ED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2242955"/>
    <w:multiLevelType w:val="multilevel"/>
    <w:tmpl w:val="D0167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4040D2A"/>
    <w:multiLevelType w:val="hybridMultilevel"/>
    <w:tmpl w:val="85962B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5862EA2"/>
    <w:multiLevelType w:val="multilevel"/>
    <w:tmpl w:val="9C9CA5A4"/>
    <w:lvl w:ilvl="0">
      <w:start w:val="1"/>
      <w:numFmt w:val="decimal"/>
      <w:lvlText w:val="%1."/>
      <w:lvlJc w:val="left"/>
      <w:pPr>
        <w:ind w:left="400" w:hanging="269"/>
      </w:pPr>
      <w:rPr>
        <w:rFonts w:ascii="Times New Roman" w:eastAsia="Arial" w:hAnsi="Times New Roman" w:cs="Times New Roman" w:hint="default"/>
        <w:b/>
        <w:sz w:val="24"/>
        <w:szCs w:val="24"/>
      </w:rPr>
    </w:lvl>
    <w:lvl w:ilvl="1">
      <w:start w:val="0"/>
      <w:numFmt w:val="bullet"/>
      <w:lvlText w:val=""/>
      <w:lvlJc w:val="left"/>
      <w:pPr>
        <w:ind w:left="1120" w:hanging="360"/>
      </w:pPr>
    </w:lvl>
    <w:lvl w:ilvl="2">
      <w:start w:val="0"/>
      <w:numFmt w:val="bullet"/>
      <w:lvlText w:val="•"/>
      <w:lvlJc w:val="left"/>
      <w:pPr>
        <w:ind w:left="1220" w:hanging="360"/>
      </w:pPr>
    </w:lvl>
    <w:lvl w:ilvl="3">
      <w:start w:val="0"/>
      <w:numFmt w:val="bullet"/>
      <w:lvlText w:val="•"/>
      <w:lvlJc w:val="left"/>
      <w:pPr>
        <w:ind w:left="2505" w:hanging="360"/>
      </w:pPr>
    </w:lvl>
    <w:lvl w:ilvl="4">
      <w:start w:val="0"/>
      <w:numFmt w:val="bullet"/>
      <w:lvlText w:val="•"/>
      <w:lvlJc w:val="left"/>
      <w:pPr>
        <w:ind w:left="3790" w:hanging="360"/>
      </w:pPr>
    </w:lvl>
    <w:lvl w:ilvl="5">
      <w:start w:val="0"/>
      <w:numFmt w:val="bullet"/>
      <w:lvlText w:val="•"/>
      <w:lvlJc w:val="left"/>
      <w:pPr>
        <w:ind w:left="5075" w:hanging="360"/>
      </w:pPr>
    </w:lvl>
    <w:lvl w:ilvl="6">
      <w:start w:val="0"/>
      <w:numFmt w:val="bullet"/>
      <w:lvlText w:val="•"/>
      <w:lvlJc w:val="left"/>
      <w:pPr>
        <w:ind w:left="6360" w:hanging="360"/>
      </w:pPr>
    </w:lvl>
    <w:lvl w:ilvl="7">
      <w:start w:val="0"/>
      <w:numFmt w:val="bullet"/>
      <w:lvlText w:val="•"/>
      <w:lvlJc w:val="left"/>
      <w:pPr>
        <w:ind w:left="7645" w:hanging="360"/>
      </w:pPr>
    </w:lvl>
    <w:lvl w:ilvl="8">
      <w:start w:val="0"/>
      <w:numFmt w:val="bullet"/>
      <w:lvlText w:val="•"/>
      <w:lvlJc w:val="left"/>
      <w:pPr>
        <w:ind w:left="8930" w:hanging="360"/>
      </w:pPr>
    </w:lvl>
  </w:abstractNum>
  <w:abstractNum w:abstractNumId="7">
    <w:nsid w:val="55E61F8F"/>
    <w:multiLevelType w:val="multilevel"/>
    <w:tmpl w:val="EB282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EB30B08"/>
    <w:multiLevelType w:val="multilevel"/>
    <w:tmpl w:val="A75CE8B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D8A695E"/>
    <w:multiLevelType w:val="hybridMultilevel"/>
    <w:tmpl w:val="01D6B2B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0">
    <w:nsid w:val="7FDE4E80"/>
    <w:multiLevelType w:val="multilevel"/>
    <w:tmpl w:val="A46644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21568666">
    <w:abstractNumId w:val="8"/>
  </w:num>
  <w:num w:numId="2" w16cid:durableId="1340539927">
    <w:abstractNumId w:val="10"/>
  </w:num>
  <w:num w:numId="3" w16cid:durableId="1200582427">
    <w:abstractNumId w:val="3"/>
  </w:num>
  <w:num w:numId="4" w16cid:durableId="948048336">
    <w:abstractNumId w:val="4"/>
  </w:num>
  <w:num w:numId="5" w16cid:durableId="135732716">
    <w:abstractNumId w:val="7"/>
  </w:num>
  <w:num w:numId="6" w16cid:durableId="1883055142">
    <w:abstractNumId w:val="6"/>
  </w:num>
  <w:num w:numId="7" w16cid:durableId="747504207">
    <w:abstractNumId w:val="0"/>
  </w:num>
  <w:num w:numId="8" w16cid:durableId="1071587922">
    <w:abstractNumId w:val="2"/>
  </w:num>
  <w:num w:numId="9" w16cid:durableId="927956794">
    <w:abstractNumId w:val="9"/>
  </w:num>
  <w:num w:numId="10" w16cid:durableId="724378121">
    <w:abstractNumId w:val="5"/>
  </w:num>
  <w:num w:numId="11" w16cid:durableId="1587179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046"/>
    <w:rsid w:val="00004475"/>
    <w:rsid w:val="000265B5"/>
    <w:rsid w:val="00071046"/>
    <w:rsid w:val="000839F1"/>
    <w:rsid w:val="00087559"/>
    <w:rsid w:val="00091C23"/>
    <w:rsid w:val="000A5CD9"/>
    <w:rsid w:val="0010150A"/>
    <w:rsid w:val="00126826"/>
    <w:rsid w:val="001425E6"/>
    <w:rsid w:val="0015420E"/>
    <w:rsid w:val="0016595F"/>
    <w:rsid w:val="001A10FB"/>
    <w:rsid w:val="001A14E4"/>
    <w:rsid w:val="001C3085"/>
    <w:rsid w:val="001C6283"/>
    <w:rsid w:val="00201D5F"/>
    <w:rsid w:val="0022558D"/>
    <w:rsid w:val="00234763"/>
    <w:rsid w:val="002638E5"/>
    <w:rsid w:val="002A7BBB"/>
    <w:rsid w:val="002D1313"/>
    <w:rsid w:val="0031036D"/>
    <w:rsid w:val="003103AD"/>
    <w:rsid w:val="00336012"/>
    <w:rsid w:val="00341A6A"/>
    <w:rsid w:val="00351268"/>
    <w:rsid w:val="003576CD"/>
    <w:rsid w:val="00382E51"/>
    <w:rsid w:val="00395D80"/>
    <w:rsid w:val="003A71B8"/>
    <w:rsid w:val="003D570E"/>
    <w:rsid w:val="00421DF7"/>
    <w:rsid w:val="004336A5"/>
    <w:rsid w:val="00451942"/>
    <w:rsid w:val="0045709D"/>
    <w:rsid w:val="00467F73"/>
    <w:rsid w:val="00473531"/>
    <w:rsid w:val="00483C42"/>
    <w:rsid w:val="00494473"/>
    <w:rsid w:val="004C26CE"/>
    <w:rsid w:val="004E3A0E"/>
    <w:rsid w:val="00511953"/>
    <w:rsid w:val="00585075"/>
    <w:rsid w:val="005947E0"/>
    <w:rsid w:val="005B3775"/>
    <w:rsid w:val="005D7CDD"/>
    <w:rsid w:val="006026F5"/>
    <w:rsid w:val="00615D34"/>
    <w:rsid w:val="00623C77"/>
    <w:rsid w:val="006853CA"/>
    <w:rsid w:val="006C4742"/>
    <w:rsid w:val="006D4571"/>
    <w:rsid w:val="006E34D2"/>
    <w:rsid w:val="006E45D6"/>
    <w:rsid w:val="00705060"/>
    <w:rsid w:val="007129E2"/>
    <w:rsid w:val="007458B7"/>
    <w:rsid w:val="00761A5E"/>
    <w:rsid w:val="00780CFC"/>
    <w:rsid w:val="00831F3A"/>
    <w:rsid w:val="00855D95"/>
    <w:rsid w:val="008656BE"/>
    <w:rsid w:val="0088208E"/>
    <w:rsid w:val="0089149C"/>
    <w:rsid w:val="0089492C"/>
    <w:rsid w:val="008C4B4F"/>
    <w:rsid w:val="00983CAB"/>
    <w:rsid w:val="009A7583"/>
    <w:rsid w:val="009F6BEA"/>
    <w:rsid w:val="00A151C0"/>
    <w:rsid w:val="00A646BA"/>
    <w:rsid w:val="00A75D7E"/>
    <w:rsid w:val="00A9621B"/>
    <w:rsid w:val="00AA508B"/>
    <w:rsid w:val="00AB67C9"/>
    <w:rsid w:val="00AF6222"/>
    <w:rsid w:val="00AF7B9B"/>
    <w:rsid w:val="00B03A60"/>
    <w:rsid w:val="00B20E04"/>
    <w:rsid w:val="00B26512"/>
    <w:rsid w:val="00B350D0"/>
    <w:rsid w:val="00B76E9B"/>
    <w:rsid w:val="00BA4DC7"/>
    <w:rsid w:val="00BC755B"/>
    <w:rsid w:val="00BF6192"/>
    <w:rsid w:val="00C533A2"/>
    <w:rsid w:val="00C8064B"/>
    <w:rsid w:val="00C90A01"/>
    <w:rsid w:val="00C926D5"/>
    <w:rsid w:val="00CE72EB"/>
    <w:rsid w:val="00CF4944"/>
    <w:rsid w:val="00D12826"/>
    <w:rsid w:val="00D52D2A"/>
    <w:rsid w:val="00D55086"/>
    <w:rsid w:val="00D80DAB"/>
    <w:rsid w:val="00DC3ED7"/>
    <w:rsid w:val="00E348D0"/>
    <w:rsid w:val="00E441A7"/>
    <w:rsid w:val="00E72C9E"/>
    <w:rsid w:val="00ED19E8"/>
    <w:rsid w:val="00F01790"/>
    <w:rsid w:val="00F061F7"/>
    <w:rsid w:val="00F0746F"/>
    <w:rsid w:val="00F12BC7"/>
    <w:rsid w:val="00F40998"/>
    <w:rsid w:val="00F5511E"/>
    <w:rsid w:val="00F61BDB"/>
    <w:rsid w:val="00F91A1F"/>
    <w:rsid w:val="00F924D3"/>
    <w:rsid w:val="00FC42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4457DA"/>
  <w15:docId w15:val="{4C506BE9-8688-4395-A89E-1DB4DA44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a0">
    <w:name w:val="a0"/>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a1">
    <w:name w:val="a1"/>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a2">
    <w:name w:val="a2"/>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a3">
    <w:name w:val="a3"/>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a4">
    <w:name w:val="a4"/>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a5">
    <w:name w:val="a5"/>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character" w:styleId="CommentReference">
    <w:name w:val="annotation reference"/>
    <w:basedOn w:val="DefaultParagraphFont"/>
    <w:uiPriority w:val="99"/>
    <w:semiHidden/>
    <w:unhideWhenUsed/>
    <w:rsid w:val="00F066D5"/>
    <w:rPr>
      <w:sz w:val="16"/>
      <w:szCs w:val="16"/>
    </w:rPr>
  </w:style>
  <w:style w:type="paragraph" w:styleId="CommentText">
    <w:name w:val="annotation text"/>
    <w:basedOn w:val="Normal"/>
    <w:link w:val="CommentTextChar"/>
    <w:uiPriority w:val="99"/>
    <w:unhideWhenUsed/>
    <w:rsid w:val="00F066D5"/>
    <w:rPr>
      <w:sz w:val="20"/>
      <w:szCs w:val="20"/>
    </w:rPr>
  </w:style>
  <w:style w:type="character" w:customStyle="1" w:styleId="CommentTextChar">
    <w:name w:val="Comment Text Char"/>
    <w:basedOn w:val="DefaultParagraphFont"/>
    <w:link w:val="CommentText"/>
    <w:uiPriority w:val="99"/>
    <w:rsid w:val="00F066D5"/>
    <w:rPr>
      <w:sz w:val="20"/>
      <w:szCs w:val="20"/>
    </w:rPr>
  </w:style>
  <w:style w:type="paragraph" w:styleId="CommentSubject">
    <w:name w:val="annotation subject"/>
    <w:basedOn w:val="CommentText"/>
    <w:next w:val="CommentText"/>
    <w:link w:val="CommentSubjectChar"/>
    <w:uiPriority w:val="99"/>
    <w:semiHidden/>
    <w:unhideWhenUsed/>
    <w:rsid w:val="00F066D5"/>
    <w:rPr>
      <w:b/>
      <w:bCs/>
    </w:rPr>
  </w:style>
  <w:style w:type="character" w:customStyle="1" w:styleId="CommentSubjectChar">
    <w:name w:val="Comment Subject Char"/>
    <w:basedOn w:val="CommentTextChar"/>
    <w:link w:val="CommentSubject"/>
    <w:uiPriority w:val="99"/>
    <w:semiHidden/>
    <w:rsid w:val="00F066D5"/>
    <w:rPr>
      <w:b/>
      <w:bCs/>
      <w:sz w:val="20"/>
      <w:szCs w:val="20"/>
    </w:rPr>
  </w:style>
  <w:style w:type="table" w:customStyle="1" w:styleId="14">
    <w:name w:val="14"/>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13">
    <w:name w:val="13"/>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12">
    <w:name w:val="12"/>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11">
    <w:name w:val="11"/>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10">
    <w:name w:val="10"/>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9">
    <w:name w:val="9"/>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8">
    <w:name w:val="8"/>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7">
    <w:name w:val="7"/>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6">
    <w:name w:val="6"/>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5">
    <w:name w:val="5"/>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4">
    <w:name w:val="4"/>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3">
    <w:name w:val="3"/>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2">
    <w:name w:val="2"/>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table" w:customStyle="1" w:styleId="1">
    <w:name w:val="1"/>
    <w:basedOn w:val="TableNormal"/>
    <w:pPr>
      <w:pBdr>
        <w:top w:val="nil"/>
        <w:left w:val="nil"/>
        <w:bottom w:val="nil"/>
        <w:right w:val="nil"/>
        <w:between w:val="nil"/>
      </w:pBdr>
    </w:pPr>
    <w:rPr>
      <w:color w:val="000000"/>
      <w:sz w:val="20"/>
      <w:szCs w:val="20"/>
    </w:rPr>
    <w:tblPr>
      <w:tblStyleRowBandSize w:val="1"/>
      <w:tblStyleColBandSize w:val="1"/>
      <w:tblCellMar>
        <w:top w:w="100" w:type="dxa"/>
        <w:left w:w="115" w:type="dxa"/>
        <w:bottom w:w="100" w:type="dxa"/>
        <w:right w:w="115" w:type="dxa"/>
      </w:tblCellMar>
    </w:tblPr>
  </w:style>
  <w:style w:type="paragraph" w:styleId="NormalWeb">
    <w:name w:val="Normal (Web)"/>
    <w:basedOn w:val="Normal"/>
    <w:uiPriority w:val="99"/>
    <w:unhideWhenUsed/>
    <w:rsid w:val="00DC3ED7"/>
    <w:pPr>
      <w:widowControl/>
      <w:spacing w:before="100" w:beforeAutospacing="1" w:after="100" w:afterAutospacing="1"/>
    </w:pPr>
  </w:style>
  <w:style w:type="paragraph" w:styleId="ListParagraph">
    <w:name w:val="List Paragraph"/>
    <w:basedOn w:val="Normal"/>
    <w:uiPriority w:val="34"/>
    <w:qFormat/>
    <w:rsid w:val="00234763"/>
    <w:pPr>
      <w:ind w:left="720"/>
      <w:contextualSpacing/>
    </w:pPr>
  </w:style>
  <w:style w:type="paragraph" w:styleId="Revision">
    <w:name w:val="Revision"/>
    <w:hidden/>
    <w:uiPriority w:val="99"/>
    <w:semiHidden/>
    <w:rsid w:val="00F061F7"/>
    <w:pPr>
      <w:widowControl/>
    </w:pPr>
  </w:style>
  <w:style w:type="paragraph" w:styleId="Header">
    <w:name w:val="header"/>
    <w:basedOn w:val="Normal"/>
    <w:link w:val="HeaderChar"/>
    <w:uiPriority w:val="99"/>
    <w:unhideWhenUsed/>
    <w:rsid w:val="006C4742"/>
    <w:pPr>
      <w:tabs>
        <w:tab w:val="center" w:pos="4680"/>
        <w:tab w:val="right" w:pos="9360"/>
      </w:tabs>
    </w:pPr>
  </w:style>
  <w:style w:type="character" w:customStyle="1" w:styleId="HeaderChar">
    <w:name w:val="Header Char"/>
    <w:basedOn w:val="DefaultParagraphFont"/>
    <w:link w:val="Header"/>
    <w:uiPriority w:val="99"/>
    <w:rsid w:val="006C4742"/>
  </w:style>
  <w:style w:type="paragraph" w:styleId="Footer">
    <w:name w:val="footer"/>
    <w:basedOn w:val="Normal"/>
    <w:link w:val="FooterChar"/>
    <w:uiPriority w:val="99"/>
    <w:unhideWhenUsed/>
    <w:rsid w:val="006C4742"/>
    <w:pPr>
      <w:tabs>
        <w:tab w:val="center" w:pos="4680"/>
        <w:tab w:val="right" w:pos="9360"/>
      </w:tabs>
    </w:pPr>
  </w:style>
  <w:style w:type="character" w:customStyle="1" w:styleId="FooterChar">
    <w:name w:val="Footer Char"/>
    <w:basedOn w:val="DefaultParagraphFont"/>
    <w:link w:val="Footer"/>
    <w:uiPriority w:val="99"/>
    <w:rsid w:val="006C4742"/>
  </w:style>
  <w:style w:type="character" w:styleId="Hyperlink">
    <w:name w:val="Hyperlink"/>
    <w:basedOn w:val="DefaultParagraphFont"/>
    <w:uiPriority w:val="99"/>
    <w:unhideWhenUsed/>
    <w:rsid w:val="00201D5F"/>
    <w:rPr>
      <w:color w:val="0000FF" w:themeColor="hyperlink"/>
      <w:u w:val="single"/>
    </w:rPr>
  </w:style>
  <w:style w:type="character" w:styleId="UnresolvedMention">
    <w:name w:val="Unresolved Mention"/>
    <w:basedOn w:val="DefaultParagraphFont"/>
    <w:uiPriority w:val="99"/>
    <w:semiHidden/>
    <w:unhideWhenUsed/>
    <w:rsid w:val="00201D5F"/>
    <w:rPr>
      <w:color w:val="605E5C"/>
      <w:shd w:val="clear" w:color="auto" w:fill="E1DFDD"/>
    </w:rPr>
  </w:style>
  <w:style w:type="character" w:styleId="FollowedHyperlink">
    <w:name w:val="FollowedHyperlink"/>
    <w:basedOn w:val="DefaultParagraphFont"/>
    <w:uiPriority w:val="99"/>
    <w:semiHidden/>
    <w:unhideWhenUsed/>
    <w:rsid w:val="00831F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hyperlink" Target="https://www.jstor.org/stable/3784420" TargetMode="External" /><Relationship Id="rId13" Type="http://schemas.openxmlformats.org/officeDocument/2006/relationships/hyperlink" Target="https://doi.org/10.1016/j.ocecoaman.2021.105533" TargetMode="External" /><Relationship Id="rId14" Type="http://schemas.openxmlformats.org/officeDocument/2006/relationships/hyperlink" Target="https://doi.org/10.1086/mre.19.2.42629432" TargetMode="External" /><Relationship Id="rId15" Type="http://schemas.openxmlformats.org/officeDocument/2006/relationships/hyperlink" Target="https://doi.org/10.1093/forestry/76.2.261" TargetMode="External" /><Relationship Id="rId16" Type="http://schemas.openxmlformats.org/officeDocument/2006/relationships/hyperlink" Target="https://www.census.gov/content/dam/Census/library/publications/2021/acs/acs-49.pdf" TargetMode="External" /><Relationship Id="rId17" Type="http://schemas.openxmlformats.org/officeDocument/2006/relationships/hyperlink" Target="https://doi.org/10.1016/j.ocecoaman.2020.105471"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hyperlink" Target="https://www.bls.gov/news.release/pdf/ecec.pdf" TargetMode="External" /><Relationship Id="rId9" Type="http://schemas.openxmlformats.org/officeDocument/2006/relationships/hyperlink" Target="https://www.commerce.gov/sites/default/files/2024-01/CAPS_rpStandard_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zW8bgKbgwt7KMBLIcndhgQP6YQ==">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8542</Words>
  <Characters>48690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4</cp:revision>
  <dcterms:created xsi:type="dcterms:W3CDTF">2025-06-10T19:57:00Z</dcterms:created>
  <dcterms:modified xsi:type="dcterms:W3CDTF">2025-06-10T20:09:00Z</dcterms:modified>
</cp:coreProperties>
</file>