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5B64" w:rsidP="0096694A" w14:paraId="17E3686B" w14:textId="77777777">
      <w:pPr>
        <w:pStyle w:val="NoSpacing"/>
      </w:pPr>
      <w:r>
        <w:rPr>
          <w:noProof/>
        </w:rPr>
        <w:drawing>
          <wp:inline distT="19050" distB="19050" distL="19050" distR="19050">
            <wp:extent cx="5943600" cy="889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4"/>
                    <a:stretch>
                      <a:fillRect/>
                    </a:stretch>
                  </pic:blipFill>
                  <pic:spPr>
                    <a:xfrm>
                      <a:off x="0" y="0"/>
                      <a:ext cx="5943600" cy="889000"/>
                    </a:xfrm>
                    <a:prstGeom prst="rect">
                      <a:avLst/>
                    </a:prstGeom>
                  </pic:spPr>
                </pic:pic>
              </a:graphicData>
            </a:graphic>
          </wp:inline>
        </w:drawing>
      </w:r>
    </w:p>
    <w:p w:rsidR="00945B64" w14:paraId="0A299390" w14:textId="05A6AF7B">
      <w:pPr>
        <w:widowControl w:val="0"/>
        <w:pBdr>
          <w:top w:val="nil"/>
          <w:left w:val="nil"/>
          <w:bottom w:val="nil"/>
          <w:right w:val="nil"/>
          <w:between w:val="nil"/>
        </w:pBdr>
        <w:spacing w:before="428" w:line="345" w:lineRule="auto"/>
        <w:ind w:left="1677" w:right="1479"/>
        <w:jc w:val="center"/>
        <w:rPr>
          <w:b/>
          <w:color w:val="000000"/>
          <w:sz w:val="42"/>
          <w:szCs w:val="42"/>
        </w:rPr>
      </w:pPr>
      <w:r>
        <w:rPr>
          <w:b/>
          <w:color w:val="000000"/>
          <w:sz w:val="42"/>
          <w:szCs w:val="42"/>
        </w:rPr>
        <w:t xml:space="preserve">York River Outdoor Recreation Survey: Understanding Visitor </w:t>
      </w:r>
      <w:r w:rsidR="0060703E">
        <w:rPr>
          <w:b/>
          <w:color w:val="000000"/>
          <w:sz w:val="42"/>
          <w:szCs w:val="42"/>
        </w:rPr>
        <w:t>Experiences, Motivations</w:t>
      </w:r>
      <w:r>
        <w:rPr>
          <w:b/>
          <w:color w:val="000000"/>
          <w:sz w:val="42"/>
          <w:szCs w:val="42"/>
        </w:rPr>
        <w:t xml:space="preserve">, and Barriers </w:t>
      </w:r>
    </w:p>
    <w:p w:rsidR="00945B64" w14:paraId="780EA1BF" w14:textId="77777777">
      <w:pPr>
        <w:widowControl w:val="0"/>
        <w:pBdr>
          <w:top w:val="nil"/>
          <w:left w:val="nil"/>
          <w:bottom w:val="nil"/>
          <w:right w:val="nil"/>
          <w:between w:val="nil"/>
        </w:pBdr>
        <w:spacing w:before="290" w:line="240" w:lineRule="auto"/>
        <w:jc w:val="center"/>
        <w:rPr>
          <w:color w:val="000000"/>
          <w:sz w:val="42"/>
          <w:szCs w:val="42"/>
        </w:rPr>
      </w:pPr>
      <w:r>
        <w:rPr>
          <w:color w:val="000000"/>
          <w:sz w:val="42"/>
          <w:szCs w:val="42"/>
        </w:rPr>
        <w:t xml:space="preserve">Pre-Test Survey Report </w:t>
      </w:r>
    </w:p>
    <w:p w:rsidR="00945B64" w14:paraId="6460238E" w14:textId="77777777">
      <w:pPr>
        <w:widowControl w:val="0"/>
        <w:pBdr>
          <w:top w:val="nil"/>
          <w:left w:val="nil"/>
          <w:bottom w:val="nil"/>
          <w:right w:val="nil"/>
          <w:between w:val="nil"/>
        </w:pBdr>
        <w:spacing w:before="309" w:line="240" w:lineRule="auto"/>
        <w:jc w:val="center"/>
        <w:rPr>
          <w:sz w:val="34"/>
          <w:szCs w:val="34"/>
        </w:rPr>
      </w:pPr>
      <w:r>
        <w:rPr>
          <w:color w:val="000000"/>
          <w:sz w:val="34"/>
          <w:szCs w:val="34"/>
        </w:rPr>
        <w:t xml:space="preserve">February 2025 </w:t>
      </w:r>
    </w:p>
    <w:p w:rsidR="00945B64" w14:paraId="5740F280" w14:textId="77777777">
      <w:pPr>
        <w:widowControl w:val="0"/>
        <w:pBdr>
          <w:top w:val="nil"/>
          <w:left w:val="nil"/>
          <w:bottom w:val="nil"/>
          <w:right w:val="nil"/>
          <w:between w:val="nil"/>
        </w:pBdr>
        <w:spacing w:before="309" w:line="240" w:lineRule="auto"/>
        <w:jc w:val="center"/>
        <w:rPr>
          <w:color w:val="000000"/>
          <w:sz w:val="31"/>
          <w:szCs w:val="31"/>
        </w:rPr>
      </w:pPr>
      <w:r>
        <w:rPr>
          <w:color w:val="000000"/>
          <w:sz w:val="31"/>
          <w:szCs w:val="31"/>
        </w:rPr>
        <w:t xml:space="preserve">Prepared for: </w:t>
      </w:r>
    </w:p>
    <w:p w:rsidR="00945B64" w14:paraId="71A3F243" w14:textId="77777777">
      <w:pPr>
        <w:widowControl w:val="0"/>
        <w:pBdr>
          <w:top w:val="nil"/>
          <w:left w:val="nil"/>
          <w:bottom w:val="nil"/>
          <w:right w:val="nil"/>
          <w:between w:val="nil"/>
        </w:pBdr>
        <w:spacing w:before="289" w:line="240" w:lineRule="auto"/>
        <w:jc w:val="center"/>
        <w:rPr>
          <w:color w:val="222222"/>
          <w:sz w:val="31"/>
          <w:szCs w:val="31"/>
        </w:rPr>
      </w:pPr>
      <w:r>
        <w:rPr>
          <w:color w:val="222222"/>
          <w:sz w:val="31"/>
          <w:szCs w:val="31"/>
          <w:highlight w:val="white"/>
        </w:rPr>
        <w:t>CSS-INC</w:t>
      </w:r>
      <w:r>
        <w:rPr>
          <w:color w:val="222222"/>
          <w:sz w:val="31"/>
          <w:szCs w:val="31"/>
        </w:rPr>
        <w:t xml:space="preserve"> </w:t>
      </w:r>
    </w:p>
    <w:p w:rsidR="00945B64" w14:paraId="3991E568" w14:textId="77777777">
      <w:pPr>
        <w:widowControl w:val="0"/>
        <w:pBdr>
          <w:top w:val="nil"/>
          <w:left w:val="nil"/>
          <w:bottom w:val="nil"/>
          <w:right w:val="nil"/>
          <w:between w:val="nil"/>
        </w:pBdr>
        <w:spacing w:before="289" w:line="240" w:lineRule="auto"/>
        <w:jc w:val="center"/>
        <w:rPr>
          <w:color w:val="000000"/>
          <w:sz w:val="31"/>
          <w:szCs w:val="31"/>
        </w:rPr>
      </w:pPr>
      <w:r>
        <w:rPr>
          <w:color w:val="000000"/>
          <w:sz w:val="31"/>
          <w:szCs w:val="31"/>
        </w:rPr>
        <w:t>National Centers for Coastal Ocean Science (NCCOS)</w:t>
      </w:r>
    </w:p>
    <w:p w:rsidR="00945B64" w14:paraId="2D1AA45E" w14:textId="77777777">
      <w:pPr>
        <w:widowControl w:val="0"/>
        <w:pBdr>
          <w:top w:val="nil"/>
          <w:left w:val="nil"/>
          <w:bottom w:val="nil"/>
          <w:right w:val="nil"/>
          <w:between w:val="nil"/>
        </w:pBdr>
        <w:spacing w:line="240" w:lineRule="auto"/>
        <w:jc w:val="center"/>
        <w:rPr>
          <w:i/>
          <w:color w:val="000000"/>
        </w:rPr>
      </w:pPr>
      <w:r>
        <w:rPr>
          <w:i/>
          <w:color w:val="000000"/>
        </w:rPr>
        <w:t xml:space="preserve">York River Outdoor Recreation Pre-Test Survey Report February 2025 </w:t>
      </w:r>
    </w:p>
    <w:p w:rsidR="00945B64" w14:paraId="72207EF7" w14:textId="77777777">
      <w:pPr>
        <w:widowControl w:val="0"/>
        <w:pBdr>
          <w:top w:val="nil"/>
          <w:left w:val="nil"/>
          <w:bottom w:val="nil"/>
          <w:right w:val="nil"/>
          <w:between w:val="nil"/>
        </w:pBdr>
        <w:spacing w:before="565" w:line="240" w:lineRule="auto"/>
        <w:ind w:left="101"/>
        <w:rPr>
          <w:b/>
          <w:color w:val="000000"/>
        </w:rPr>
      </w:pPr>
      <w:r>
        <w:rPr>
          <w:b/>
          <w:color w:val="000000"/>
        </w:rPr>
        <w:t xml:space="preserve">Table of Contents </w:t>
      </w:r>
    </w:p>
    <w:p w:rsidR="00945B64" w:rsidP="0060703E" w14:paraId="63B3BB3F" w14:textId="77777777">
      <w:pPr>
        <w:widowControl w:val="0"/>
        <w:pBdr>
          <w:top w:val="nil"/>
          <w:left w:val="nil"/>
          <w:bottom w:val="nil"/>
          <w:right w:val="nil"/>
          <w:between w:val="nil"/>
        </w:pBdr>
        <w:spacing w:before="133" w:line="354" w:lineRule="auto"/>
        <w:ind w:left="108" w:right="1513" w:firstLine="9"/>
      </w:pPr>
      <w:r>
        <w:rPr>
          <w:color w:val="000000"/>
        </w:rPr>
        <w:t>Project Background ....................................................................................................................2 Survey Methods.........................................................................................................</w:t>
      </w:r>
      <w:r>
        <w:rPr>
          <w:color w:val="000000"/>
        </w:rPr>
        <w:t>.................3 Results and Analysis ..................................................................................................................6 Conclusions.........................................................................................</w:t>
      </w:r>
      <w:r>
        <w:rPr>
          <w:color w:val="000000"/>
        </w:rPr>
        <w:t>.....................................11 List of Appendices ....................................................................................................................12 References....................................................................</w:t>
      </w:r>
      <w:r>
        <w:rPr>
          <w:color w:val="000000"/>
        </w:rPr>
        <w:t>...........................................................12</w:t>
      </w:r>
    </w:p>
    <w:p w:rsidR="00945B64" w14:paraId="012340EC" w14:textId="77777777">
      <w:pPr>
        <w:widowControl w:val="0"/>
        <w:pBdr>
          <w:top w:val="nil"/>
          <w:left w:val="nil"/>
          <w:bottom w:val="nil"/>
          <w:right w:val="nil"/>
          <w:between w:val="nil"/>
        </w:pBdr>
        <w:spacing w:before="133" w:line="354" w:lineRule="auto"/>
        <w:ind w:left="108" w:right="1513" w:firstLine="9"/>
        <w:jc w:val="both"/>
      </w:pPr>
    </w:p>
    <w:p w:rsidR="00945B64" w14:paraId="407E59D4" w14:textId="77777777">
      <w:pPr>
        <w:widowControl w:val="0"/>
        <w:pBdr>
          <w:top w:val="nil"/>
          <w:left w:val="nil"/>
          <w:bottom w:val="nil"/>
          <w:right w:val="nil"/>
          <w:between w:val="nil"/>
        </w:pBdr>
        <w:spacing w:before="133" w:line="354" w:lineRule="auto"/>
        <w:ind w:left="108" w:right="1513" w:firstLine="9"/>
        <w:jc w:val="both"/>
      </w:pPr>
    </w:p>
    <w:p w:rsidR="00945B64" w14:paraId="4A48E76B" w14:textId="77777777">
      <w:pPr>
        <w:widowControl w:val="0"/>
        <w:pBdr>
          <w:top w:val="nil"/>
          <w:left w:val="nil"/>
          <w:bottom w:val="nil"/>
          <w:right w:val="nil"/>
          <w:between w:val="nil"/>
        </w:pBdr>
        <w:spacing w:before="133" w:line="354" w:lineRule="auto"/>
        <w:ind w:left="108" w:right="1513" w:firstLine="9"/>
        <w:jc w:val="both"/>
      </w:pPr>
    </w:p>
    <w:p w:rsidR="00945B64" w14:paraId="69E2CB29" w14:textId="77777777">
      <w:pPr>
        <w:widowControl w:val="0"/>
        <w:pBdr>
          <w:top w:val="nil"/>
          <w:left w:val="nil"/>
          <w:bottom w:val="nil"/>
          <w:right w:val="nil"/>
          <w:between w:val="nil"/>
        </w:pBdr>
        <w:spacing w:before="133" w:line="354" w:lineRule="auto"/>
        <w:ind w:left="108" w:right="1513" w:firstLine="9"/>
        <w:jc w:val="both"/>
      </w:pPr>
    </w:p>
    <w:p w:rsidR="00945B64" w14:paraId="3C98D530" w14:textId="77777777">
      <w:pPr>
        <w:widowControl w:val="0"/>
        <w:pBdr>
          <w:top w:val="nil"/>
          <w:left w:val="nil"/>
          <w:bottom w:val="nil"/>
          <w:right w:val="nil"/>
          <w:between w:val="nil"/>
        </w:pBdr>
        <w:spacing w:line="240" w:lineRule="auto"/>
        <w:jc w:val="center"/>
        <w:rPr>
          <w:i/>
          <w:color w:val="000000"/>
        </w:rPr>
      </w:pPr>
      <w:r>
        <w:rPr>
          <w:i/>
          <w:color w:val="000000"/>
        </w:rPr>
        <w:t xml:space="preserve">York River Outdoor Recreation Pre-Test Survey Report February 2025 </w:t>
      </w:r>
    </w:p>
    <w:p w:rsidR="00945B64" w14:paraId="4E375E7D" w14:textId="77777777">
      <w:pPr>
        <w:widowControl w:val="0"/>
        <w:pBdr>
          <w:top w:val="nil"/>
          <w:left w:val="nil"/>
          <w:bottom w:val="nil"/>
          <w:right w:val="nil"/>
          <w:between w:val="nil"/>
        </w:pBdr>
        <w:spacing w:before="563" w:line="240" w:lineRule="auto"/>
        <w:ind w:left="116"/>
        <w:rPr>
          <w:b/>
          <w:color w:val="000000"/>
          <w:sz w:val="24"/>
          <w:szCs w:val="24"/>
        </w:rPr>
      </w:pPr>
      <w:r>
        <w:rPr>
          <w:b/>
          <w:color w:val="000000"/>
          <w:sz w:val="24"/>
          <w:szCs w:val="24"/>
        </w:rPr>
        <w:t xml:space="preserve">Project Background  </w:t>
      </w:r>
    </w:p>
    <w:p w:rsidR="00945B64" w14:paraId="3D30C943" w14:textId="0C4999AC">
      <w:pPr>
        <w:widowControl w:val="0"/>
        <w:pBdr>
          <w:top w:val="nil"/>
          <w:left w:val="nil"/>
          <w:bottom w:val="nil"/>
          <w:right w:val="nil"/>
          <w:between w:val="nil"/>
        </w:pBdr>
        <w:spacing w:before="159" w:line="263" w:lineRule="auto"/>
        <w:ind w:left="101" w:right="2"/>
        <w:jc w:val="both"/>
        <w:rPr>
          <w:color w:val="000000"/>
        </w:rPr>
      </w:pPr>
      <w:r>
        <w:rPr>
          <w:color w:val="000000"/>
        </w:rPr>
        <w:t xml:space="preserve">This report examines the pre-test survey results from the 2024-2025 administration of the </w:t>
      </w:r>
      <w:r>
        <w:rPr>
          <w:i/>
          <w:color w:val="000000"/>
        </w:rPr>
        <w:t xml:space="preserve">York River Outdoor </w:t>
      </w:r>
      <w:r>
        <w:rPr>
          <w:i/>
          <w:color w:val="000000"/>
        </w:rPr>
        <w:t>Recreation Survey</w:t>
      </w:r>
      <w:r>
        <w:rPr>
          <w:color w:val="000000"/>
        </w:rPr>
        <w:t>. This survey was conducted for the National Centers for Coastal Ocean Science (NCCOS)</w:t>
      </w:r>
      <w:r>
        <w:rPr>
          <w:color w:val="000000"/>
        </w:rPr>
        <w:t xml:space="preserve"> to collect statistically representative a</w:t>
      </w:r>
      <w:r>
        <w:rPr>
          <w:color w:val="000000"/>
        </w:rPr>
        <w:t xml:space="preserve">nd reliable information from a sample of residents one hour from the York </w:t>
      </w:r>
      <w:r>
        <w:rPr>
          <w:color w:val="000000"/>
        </w:rPr>
        <w:t xml:space="preserve">River. Data from the survey is intended to help characterize stakeholder activities, attitudes, knowledge, and </w:t>
      </w:r>
      <w:r>
        <w:rPr>
          <w:color w:val="000000"/>
        </w:rPr>
        <w:t>preferences, for the Chesapeake Bay National Estuarine Research Reser</w:t>
      </w:r>
      <w:r>
        <w:rPr>
          <w:color w:val="000000"/>
        </w:rPr>
        <w:t xml:space="preserve">ve System (NERRS) in Virginia. This </w:t>
      </w:r>
      <w:r>
        <w:rPr>
          <w:color w:val="000000"/>
        </w:rPr>
        <w:t xml:space="preserve">information will be used by the National Oceanic and Atmospheric Administration (NOAA), local policymakers, </w:t>
      </w:r>
      <w:r>
        <w:rPr>
          <w:color w:val="000000"/>
        </w:rPr>
        <w:t xml:space="preserve">and others to understand human pressures on the York River and surrounding parks and natural areas, potential </w:t>
      </w:r>
      <w:r>
        <w:rPr>
          <w:color w:val="000000"/>
        </w:rPr>
        <w:t xml:space="preserve">barriers to access for communities, and preferences related to management actions. </w:t>
      </w:r>
    </w:p>
    <w:p w:rsidR="00945B64" w14:paraId="13A5DFBE" w14:textId="507B2991">
      <w:pPr>
        <w:widowControl w:val="0"/>
        <w:pBdr>
          <w:top w:val="nil"/>
          <w:left w:val="nil"/>
          <w:bottom w:val="nil"/>
          <w:right w:val="nil"/>
          <w:between w:val="nil"/>
        </w:pBdr>
        <w:spacing w:before="131" w:line="264" w:lineRule="auto"/>
        <w:ind w:left="108" w:right="5" w:hanging="7"/>
        <w:jc w:val="both"/>
        <w:rPr>
          <w:color w:val="000000"/>
        </w:rPr>
      </w:pPr>
      <w:r>
        <w:rPr>
          <w:color w:val="000000"/>
        </w:rPr>
        <w:t xml:space="preserve">The </w:t>
      </w:r>
      <w:r>
        <w:rPr>
          <w:i/>
          <w:color w:val="000000"/>
        </w:rPr>
        <w:t xml:space="preserve">2024 York River Outdoor Recreation Survey </w:t>
      </w:r>
      <w:r>
        <w:rPr>
          <w:color w:val="000000"/>
        </w:rPr>
        <w:t xml:space="preserve">was conducted by the Survey and Evaluation Research </w:t>
      </w:r>
      <w:r>
        <w:rPr>
          <w:color w:val="000000"/>
        </w:rPr>
        <w:t xml:space="preserve">Laboratory (SERL) which is part of the Center of Public Policy (CPP) in </w:t>
      </w:r>
      <w:r>
        <w:rPr>
          <w:color w:val="000000"/>
        </w:rPr>
        <w:t xml:space="preserve">the L. Douglas Wilder School of </w:t>
      </w:r>
      <w:r>
        <w:rPr>
          <w:color w:val="000000"/>
        </w:rPr>
        <w:t xml:space="preserve">Government and Public Affairs at Virginia Commonwealth University (VCU), under contract to NCCOS. </w:t>
      </w:r>
    </w:p>
    <w:p w:rsidR="00945B64" w14:paraId="5D852BAD" w14:textId="77777777">
      <w:pPr>
        <w:widowControl w:val="0"/>
        <w:pBdr>
          <w:top w:val="nil"/>
          <w:left w:val="nil"/>
          <w:bottom w:val="nil"/>
          <w:right w:val="nil"/>
          <w:between w:val="nil"/>
        </w:pBdr>
        <w:spacing w:before="130" w:line="240" w:lineRule="auto"/>
        <w:ind w:left="115"/>
        <w:rPr>
          <w:b/>
          <w:color w:val="000000"/>
        </w:rPr>
      </w:pPr>
      <w:r>
        <w:rPr>
          <w:b/>
          <w:color w:val="000000"/>
        </w:rPr>
        <w:t xml:space="preserve">Pre-Test Survey Development </w:t>
      </w:r>
    </w:p>
    <w:p w:rsidR="00945B64" w14:paraId="58E979C4" w14:textId="6C05541F">
      <w:pPr>
        <w:widowControl w:val="0"/>
        <w:pBdr>
          <w:top w:val="nil"/>
          <w:left w:val="nil"/>
          <w:bottom w:val="nil"/>
          <w:right w:val="nil"/>
          <w:between w:val="nil"/>
        </w:pBdr>
        <w:spacing w:before="152" w:line="263" w:lineRule="auto"/>
        <w:ind w:left="101" w:right="5"/>
        <w:jc w:val="both"/>
        <w:rPr>
          <w:color w:val="000000"/>
        </w:rPr>
      </w:pPr>
      <w:r>
        <w:rPr>
          <w:color w:val="000000"/>
        </w:rPr>
        <w:t xml:space="preserve">The NCCOS team approached SERL with a draft questionnaire. SERL reviewed the draft questionnaire and </w:t>
      </w:r>
      <w:r>
        <w:rPr>
          <w:color w:val="000000"/>
        </w:rPr>
        <w:t xml:space="preserve">made recommendations based on previous data on outdoor recreation from the Virginia Department of </w:t>
      </w:r>
      <w:r>
        <w:rPr>
          <w:color w:val="000000"/>
        </w:rPr>
        <w:t>Conservation’s 2022 Outdoor Recreation survey. In accor</w:t>
      </w:r>
      <w:r>
        <w:rPr>
          <w:color w:val="000000"/>
        </w:rPr>
        <w:t>dance with VCU’s Institutional Review Board, the</w:t>
      </w:r>
      <w:r>
        <w:rPr>
          <w:color w:val="000000"/>
        </w:rPr>
        <w:t xml:space="preserve"> SERL</w:t>
      </w:r>
      <w:r w:rsidR="0096694A">
        <w:rPr>
          <w:color w:val="000000"/>
        </w:rPr>
        <w:t xml:space="preserve"> </w:t>
      </w:r>
      <w:r>
        <w:rPr>
          <w:color w:val="000000"/>
        </w:rPr>
        <w:t xml:space="preserve">and NCCOS team made minor revisions to the existing questionnaire including language to discourage </w:t>
      </w:r>
      <w:r>
        <w:rPr>
          <w:color w:val="000000"/>
        </w:rPr>
        <w:t>minors (under 18 years of age) from participating in the survey. SERL and NCCOS worked together to en</w:t>
      </w:r>
      <w:r>
        <w:rPr>
          <w:color w:val="000000"/>
        </w:rPr>
        <w:t xml:space="preserve">hance </w:t>
      </w:r>
      <w:r>
        <w:rPr>
          <w:color w:val="000000"/>
        </w:rPr>
        <w:t xml:space="preserve">the flow of the survey and clarify questions. Other edits made included adjusting title page and map graphics for </w:t>
      </w:r>
      <w:r>
        <w:rPr>
          <w:color w:val="000000"/>
        </w:rPr>
        <w:t xml:space="preserve">printing purposes and other minor formatting changes. </w:t>
      </w:r>
    </w:p>
    <w:p w:rsidR="00945B64" w14:paraId="0FF13FF4" w14:textId="77777777">
      <w:pPr>
        <w:widowControl w:val="0"/>
        <w:pBdr>
          <w:top w:val="nil"/>
          <w:left w:val="nil"/>
          <w:bottom w:val="nil"/>
          <w:right w:val="nil"/>
          <w:between w:val="nil"/>
        </w:pBdr>
        <w:spacing w:before="130" w:line="240" w:lineRule="auto"/>
        <w:ind w:left="107"/>
        <w:rPr>
          <w:b/>
          <w:color w:val="000000"/>
        </w:rPr>
      </w:pPr>
      <w:r>
        <w:rPr>
          <w:b/>
          <w:color w:val="000000"/>
        </w:rPr>
        <w:t xml:space="preserve">Survey platform selection </w:t>
      </w:r>
    </w:p>
    <w:p w:rsidR="00945B64" w14:paraId="352F2EC3" w14:textId="0E1C3EF5">
      <w:pPr>
        <w:widowControl w:val="0"/>
        <w:pBdr>
          <w:top w:val="nil"/>
          <w:left w:val="nil"/>
          <w:bottom w:val="nil"/>
          <w:right w:val="nil"/>
          <w:between w:val="nil"/>
        </w:pBdr>
        <w:spacing w:before="153" w:line="263" w:lineRule="auto"/>
        <w:ind w:left="101" w:right="4" w:firstLine="7"/>
        <w:jc w:val="both"/>
        <w:rPr>
          <w:color w:val="000000"/>
        </w:rPr>
      </w:pPr>
      <w:r>
        <w:rPr>
          <w:color w:val="000000"/>
        </w:rPr>
        <w:t xml:space="preserve">SERL contacted VCU Technology Services and verified that Qualtrics, the survey software used to administer </w:t>
      </w:r>
      <w:r>
        <w:rPr>
          <w:color w:val="000000"/>
        </w:rPr>
        <w:t xml:space="preserve">the web version of the survey, was approved to handle Category II Information/Data, which was the type of </w:t>
      </w:r>
      <w:r>
        <w:rPr>
          <w:color w:val="000000"/>
        </w:rPr>
        <w:t>content anticipated to be collected durin</w:t>
      </w:r>
      <w:r>
        <w:rPr>
          <w:color w:val="000000"/>
        </w:rPr>
        <w:t xml:space="preserve">g the </w:t>
      </w:r>
      <w:r>
        <w:rPr>
          <w:i/>
          <w:color w:val="000000"/>
        </w:rPr>
        <w:t>York River Outdoor Recreation Survey</w:t>
      </w:r>
      <w:r>
        <w:rPr>
          <w:color w:val="000000"/>
        </w:rPr>
        <w:t xml:space="preserve">. SERL confirmed Qualtrics </w:t>
      </w:r>
      <w:r>
        <w:rPr>
          <w:color w:val="000000"/>
        </w:rPr>
        <w:t xml:space="preserve">was FedRAMP® (Federal Risk and Authorization Management Program) Authorized. </w:t>
      </w:r>
    </w:p>
    <w:p w:rsidR="00945B64" w14:paraId="6E21AE60" w14:textId="77777777">
      <w:pPr>
        <w:widowControl w:val="0"/>
        <w:pBdr>
          <w:top w:val="nil"/>
          <w:left w:val="nil"/>
          <w:bottom w:val="nil"/>
          <w:right w:val="nil"/>
          <w:between w:val="nil"/>
        </w:pBdr>
        <w:spacing w:before="130" w:line="240" w:lineRule="auto"/>
        <w:ind w:left="102"/>
        <w:rPr>
          <w:b/>
          <w:color w:val="000000"/>
        </w:rPr>
      </w:pPr>
      <w:r>
        <w:rPr>
          <w:b/>
          <w:color w:val="000000"/>
        </w:rPr>
        <w:t xml:space="preserve">VCU Institutional Board Approval (IRB) </w:t>
      </w:r>
    </w:p>
    <w:p w:rsidR="00945B64" w14:paraId="1D2B9A47" w14:textId="0360F515">
      <w:pPr>
        <w:widowControl w:val="0"/>
        <w:pBdr>
          <w:top w:val="nil"/>
          <w:left w:val="nil"/>
          <w:bottom w:val="nil"/>
          <w:right w:val="nil"/>
          <w:between w:val="nil"/>
        </w:pBdr>
        <w:spacing w:before="152" w:line="263" w:lineRule="auto"/>
        <w:ind w:left="101" w:right="3" w:firstLine="7"/>
        <w:jc w:val="both"/>
        <w:rPr>
          <w:color w:val="000000"/>
        </w:rPr>
      </w:pPr>
      <w:r>
        <w:rPr>
          <w:color w:val="000000"/>
        </w:rPr>
        <w:t xml:space="preserve">SERL consulted with VCU IRB about the </w:t>
      </w:r>
      <w:r>
        <w:rPr>
          <w:i/>
          <w:color w:val="000000"/>
        </w:rPr>
        <w:t xml:space="preserve">York River Outdoor Recreation </w:t>
      </w:r>
      <w:r>
        <w:rPr>
          <w:i/>
          <w:color w:val="000000"/>
        </w:rPr>
        <w:t>Survey</w:t>
      </w:r>
      <w:r>
        <w:rPr>
          <w:color w:val="000000"/>
        </w:rPr>
        <w:t>. All members of the project</w:t>
      </w:r>
      <w:r>
        <w:rPr>
          <w:color w:val="000000"/>
        </w:rPr>
        <w:t xml:space="preserve"> team completed initial or refresher human subjects research training through CITI (Collaborative Institutional</w:t>
      </w:r>
      <w:r>
        <w:rPr>
          <w:color w:val="000000"/>
        </w:rPr>
        <w:t xml:space="preserve"> Training Initiative) as required by VCU IRB. In July 2024, SERL initiated the first IRB submission. Drafts of the </w:t>
      </w:r>
      <w:r>
        <w:rPr>
          <w:color w:val="000000"/>
        </w:rPr>
        <w:t xml:space="preserve">questionnaire and recruitment materials were submitted. Initial IRB approval was granted on July 25, 2024. VCU </w:t>
      </w:r>
      <w:r>
        <w:rPr>
          <w:color w:val="000000"/>
        </w:rPr>
        <w:t xml:space="preserve">IRB determined that this protocol meets the criteria under 45 CFR 46.104(d), category, for exemption under IRB </w:t>
      </w:r>
      <w:r>
        <w:rPr>
          <w:color w:val="000000"/>
        </w:rPr>
        <w:t xml:space="preserve">review:  </w:t>
      </w:r>
    </w:p>
    <w:p w:rsidR="00945B64" w14:paraId="2CCA63F2" w14:textId="52D03B0C">
      <w:pPr>
        <w:widowControl w:val="0"/>
        <w:pBdr>
          <w:top w:val="nil"/>
          <w:left w:val="nil"/>
          <w:bottom w:val="nil"/>
          <w:right w:val="nil"/>
          <w:between w:val="nil"/>
        </w:pBdr>
        <w:spacing w:before="131" w:line="264" w:lineRule="auto"/>
        <w:ind w:left="105" w:right="10" w:firstLine="1"/>
        <w:jc w:val="both"/>
        <w:rPr>
          <w:color w:val="000000"/>
        </w:rPr>
      </w:pPr>
      <w:r>
        <w:rPr>
          <w:color w:val="000000"/>
        </w:rPr>
        <w:t>“Research that only includes interactions involving educational tests, survey or interview procedures, or</w:t>
      </w:r>
      <w:r>
        <w:rPr>
          <w:color w:val="000000"/>
        </w:rPr>
        <w:t xml:space="preserve"> observation of public behavior when the information obtained is recorded in a manner that the identity of the</w:t>
      </w:r>
      <w:r>
        <w:rPr>
          <w:color w:val="000000"/>
        </w:rPr>
        <w:t xml:space="preserve"> subjects cannot readily be ascertained</w:t>
      </w:r>
      <w:r>
        <w:rPr>
          <w:color w:val="000000"/>
        </w:rPr>
        <w:t xml:space="preserve">.” </w:t>
      </w:r>
    </w:p>
    <w:p w:rsidR="00945B64" w14:paraId="6B68FFB2" w14:textId="197615CD">
      <w:pPr>
        <w:widowControl w:val="0"/>
        <w:pBdr>
          <w:top w:val="nil"/>
          <w:left w:val="nil"/>
          <w:bottom w:val="nil"/>
          <w:right w:val="nil"/>
          <w:between w:val="nil"/>
        </w:pBdr>
        <w:spacing w:before="130" w:line="263" w:lineRule="auto"/>
        <w:ind w:left="101" w:right="2" w:firstLine="17"/>
        <w:jc w:val="both"/>
      </w:pPr>
      <w:r>
        <w:rPr>
          <w:color w:val="000000"/>
        </w:rPr>
        <w:t>In September 2024, SERL submitted an amendment to VCU IRB to reflect small modifications to the project (e.g.  clarifying who the $2 incentive was from and adding the PI’s contact information to the survey invitation letter).  The amendment was approve</w:t>
      </w:r>
      <w:r>
        <w:rPr>
          <w:color w:val="000000"/>
        </w:rPr>
        <w:t>d by VCU IRB on September 4, 2024.The study number was #HM20030190. IRB</w:t>
      </w:r>
      <w:r>
        <w:rPr>
          <w:color w:val="000000"/>
        </w:rPr>
        <w:t xml:space="preserve"> approval letters can be found in the Appendix A.</w:t>
      </w:r>
    </w:p>
    <w:p w:rsidR="00945B64" w14:paraId="36264620" w14:textId="77777777">
      <w:pPr>
        <w:widowControl w:val="0"/>
        <w:pBdr>
          <w:top w:val="nil"/>
          <w:left w:val="nil"/>
          <w:bottom w:val="nil"/>
          <w:right w:val="nil"/>
          <w:between w:val="nil"/>
        </w:pBdr>
        <w:spacing w:before="130" w:line="263" w:lineRule="auto"/>
        <w:ind w:left="101" w:right="2" w:firstLine="17"/>
        <w:jc w:val="both"/>
      </w:pPr>
    </w:p>
    <w:p w:rsidR="00945B64" w14:paraId="0FC34244" w14:textId="77777777">
      <w:pPr>
        <w:widowControl w:val="0"/>
        <w:pBdr>
          <w:top w:val="nil"/>
          <w:left w:val="nil"/>
          <w:bottom w:val="nil"/>
          <w:right w:val="nil"/>
          <w:between w:val="nil"/>
        </w:pBdr>
        <w:spacing w:before="130" w:line="263" w:lineRule="auto"/>
        <w:ind w:left="101" w:right="2" w:firstLine="17"/>
        <w:jc w:val="both"/>
        <w:rPr>
          <w:b/>
          <w:color w:val="000000"/>
        </w:rPr>
      </w:pPr>
      <w:r>
        <w:rPr>
          <w:b/>
        </w:rPr>
        <w:t>S</w:t>
      </w:r>
      <w:r>
        <w:rPr>
          <w:b/>
          <w:color w:val="000000"/>
        </w:rPr>
        <w:t xml:space="preserve">urvey Translation </w:t>
      </w:r>
    </w:p>
    <w:p w:rsidR="00945B64" w14:paraId="50D1EA77" w14:textId="6B683E36">
      <w:pPr>
        <w:widowControl w:val="0"/>
        <w:pBdr>
          <w:top w:val="nil"/>
          <w:left w:val="nil"/>
          <w:bottom w:val="nil"/>
          <w:right w:val="nil"/>
          <w:between w:val="nil"/>
        </w:pBdr>
        <w:spacing w:before="155" w:line="263" w:lineRule="auto"/>
        <w:ind w:left="105" w:right="5" w:firstLine="2"/>
        <w:jc w:val="both"/>
        <w:rPr>
          <w:color w:val="000000"/>
        </w:rPr>
      </w:pPr>
      <w:r>
        <w:rPr>
          <w:color w:val="000000"/>
        </w:rPr>
        <w:t xml:space="preserve">Creating a language translation for the survey was discussed between the NCCOS team and SERL. The web </w:t>
      </w:r>
      <w:r>
        <w:rPr>
          <w:color w:val="000000"/>
        </w:rPr>
        <w:t>s</w:t>
      </w:r>
      <w:r>
        <w:rPr>
          <w:color w:val="000000"/>
        </w:rPr>
        <w:t>urvey pl</w:t>
      </w:r>
      <w:r>
        <w:rPr>
          <w:color w:val="000000"/>
        </w:rPr>
        <w:t xml:space="preserve">atform utilized (Qualtrics) provides language translation functionality. SERL contracted a Professor of </w:t>
      </w:r>
      <w:r>
        <w:rPr>
          <w:color w:val="000000"/>
        </w:rPr>
        <w:t xml:space="preserve">Spanish Translation &amp; Interpreting Studies from the School of World Studies at VCU to translate the survey </w:t>
      </w:r>
      <w:r>
        <w:rPr>
          <w:color w:val="000000"/>
        </w:rPr>
        <w:t xml:space="preserve">instrument to Spanish. The translation was </w:t>
      </w:r>
      <w:r>
        <w:rPr>
          <w:color w:val="000000"/>
        </w:rPr>
        <w:t xml:space="preserve">entered into the Qualtrics platform and reviewed by a SERL team </w:t>
      </w:r>
      <w:r>
        <w:rPr>
          <w:color w:val="000000"/>
        </w:rPr>
        <w:t xml:space="preserve">member proficient in Spanish. Both Qualtrics survey instruments can be found in Appendix B. </w:t>
      </w:r>
    </w:p>
    <w:p w:rsidR="0096694A" w14:paraId="33119EE9" w14:textId="77777777">
      <w:pPr>
        <w:widowControl w:val="0"/>
        <w:pBdr>
          <w:top w:val="nil"/>
          <w:left w:val="nil"/>
          <w:bottom w:val="nil"/>
          <w:right w:val="nil"/>
          <w:between w:val="nil"/>
        </w:pBdr>
        <w:spacing w:before="131" w:line="240" w:lineRule="auto"/>
        <w:ind w:left="107"/>
        <w:rPr>
          <w:b/>
          <w:color w:val="000000"/>
          <w:sz w:val="24"/>
          <w:szCs w:val="24"/>
        </w:rPr>
      </w:pPr>
    </w:p>
    <w:p w:rsidR="00945B64" w14:paraId="201CC72D" w14:textId="48F32650">
      <w:pPr>
        <w:widowControl w:val="0"/>
        <w:pBdr>
          <w:top w:val="nil"/>
          <w:left w:val="nil"/>
          <w:bottom w:val="nil"/>
          <w:right w:val="nil"/>
          <w:between w:val="nil"/>
        </w:pBdr>
        <w:spacing w:before="131" w:line="240" w:lineRule="auto"/>
        <w:ind w:left="107"/>
        <w:rPr>
          <w:b/>
          <w:color w:val="000000"/>
          <w:sz w:val="24"/>
          <w:szCs w:val="24"/>
        </w:rPr>
      </w:pPr>
      <w:r>
        <w:rPr>
          <w:b/>
          <w:color w:val="000000"/>
          <w:sz w:val="24"/>
          <w:szCs w:val="24"/>
        </w:rPr>
        <w:t xml:space="preserve">Survey Methods </w:t>
      </w:r>
    </w:p>
    <w:p w:rsidR="00945B64" w14:paraId="0B11CB10" w14:textId="77777777">
      <w:pPr>
        <w:widowControl w:val="0"/>
        <w:pBdr>
          <w:top w:val="nil"/>
          <w:left w:val="nil"/>
          <w:bottom w:val="nil"/>
          <w:right w:val="nil"/>
          <w:between w:val="nil"/>
        </w:pBdr>
        <w:spacing w:before="156" w:line="240" w:lineRule="auto"/>
        <w:ind w:left="107"/>
        <w:rPr>
          <w:b/>
          <w:color w:val="000000"/>
        </w:rPr>
      </w:pPr>
      <w:r>
        <w:rPr>
          <w:b/>
          <w:color w:val="000000"/>
        </w:rPr>
        <w:t xml:space="preserve">Survey Completion Incentives  </w:t>
      </w:r>
    </w:p>
    <w:p w:rsidR="00945B64" w14:paraId="44A7E3C1" w14:textId="19278565">
      <w:pPr>
        <w:widowControl w:val="0"/>
        <w:pBdr>
          <w:top w:val="nil"/>
          <w:left w:val="nil"/>
          <w:bottom w:val="nil"/>
          <w:right w:val="nil"/>
          <w:between w:val="nil"/>
        </w:pBdr>
        <w:spacing w:before="152" w:line="264" w:lineRule="auto"/>
        <w:ind w:left="105" w:right="4" w:firstLine="9"/>
        <w:rPr>
          <w:color w:val="000000"/>
        </w:rPr>
      </w:pPr>
      <w:r>
        <w:rPr>
          <w:color w:val="000000"/>
        </w:rPr>
        <w:t>Based on discussions with the NCCOS team, SERL arranged to include a $2 cash incentive in the initial mailing</w:t>
      </w:r>
      <w:r>
        <w:rPr>
          <w:color w:val="000000"/>
        </w:rPr>
        <w:t xml:space="preserve"> of the survey in order to increase response rates. A literature review providing support for this conclusion is summarized later in this report. </w:t>
      </w:r>
    </w:p>
    <w:p w:rsidR="00945B64" w14:paraId="77D92CC4" w14:textId="77777777">
      <w:pPr>
        <w:widowControl w:val="0"/>
        <w:pBdr>
          <w:top w:val="nil"/>
          <w:left w:val="nil"/>
          <w:bottom w:val="nil"/>
          <w:right w:val="nil"/>
          <w:between w:val="nil"/>
        </w:pBdr>
        <w:spacing w:before="130" w:line="240" w:lineRule="auto"/>
        <w:ind w:left="107"/>
        <w:rPr>
          <w:b/>
          <w:color w:val="000000"/>
        </w:rPr>
      </w:pPr>
      <w:r>
        <w:rPr>
          <w:b/>
          <w:color w:val="000000"/>
        </w:rPr>
        <w:t xml:space="preserve">Sample Design </w:t>
      </w:r>
    </w:p>
    <w:p w:rsidR="00945B64" w14:paraId="61974A3F" w14:textId="2ACBD73B">
      <w:pPr>
        <w:widowControl w:val="0"/>
        <w:pBdr>
          <w:top w:val="nil"/>
          <w:left w:val="nil"/>
          <w:bottom w:val="nil"/>
          <w:right w:val="nil"/>
          <w:between w:val="nil"/>
        </w:pBdr>
        <w:spacing w:before="152" w:line="263" w:lineRule="auto"/>
        <w:ind w:left="101" w:right="2" w:firstLine="13"/>
        <w:jc w:val="both"/>
      </w:pPr>
      <w:r>
        <w:rPr>
          <w:color w:val="000000"/>
        </w:rPr>
        <w:t>NCCOS provided a sample design in their Statement of Work based on a two-stage stratified random sampling</w:t>
      </w:r>
      <w:r>
        <w:rPr>
          <w:color w:val="000000"/>
        </w:rPr>
        <w:t xml:space="preserve"> plan. NCCOS provided an updated sample design in November 2024 (Appendix C). The two-stage stratified </w:t>
      </w:r>
      <w:r>
        <w:rPr>
          <w:color w:val="000000"/>
        </w:rPr>
        <w:t>random sampling plan was stratified geographic</w:t>
      </w:r>
      <w:r>
        <w:rPr>
          <w:color w:val="000000"/>
        </w:rPr>
        <w:t xml:space="preserve">ally by county and block with households randomly selected </w:t>
      </w:r>
      <w:r>
        <w:rPr>
          <w:color w:val="000000"/>
        </w:rPr>
        <w:t xml:space="preserve">within stratum and individuals. The sampling frames included all residential households within the requested </w:t>
      </w:r>
      <w:r>
        <w:rPr>
          <w:color w:val="000000"/>
        </w:rPr>
        <w:t xml:space="preserve">strata, </w:t>
      </w:r>
      <w:r>
        <w:t>excluding</w:t>
      </w:r>
      <w:r>
        <w:rPr>
          <w:color w:val="000000"/>
        </w:rPr>
        <w:t xml:space="preserve"> non-residential units, and each address corresponds to a single hous</w:t>
      </w:r>
      <w:r>
        <w:rPr>
          <w:color w:val="000000"/>
        </w:rPr>
        <w:t xml:space="preserve">ehold. SERL added FIPS </w:t>
      </w:r>
      <w:r>
        <w:rPr>
          <w:color w:val="000000"/>
        </w:rPr>
        <w:t xml:space="preserve">code to this sampling </w:t>
      </w:r>
      <w:r w:rsidR="0096694A">
        <w:rPr>
          <w:color w:val="000000"/>
        </w:rPr>
        <w:t>plan. The</w:t>
      </w:r>
      <w:r>
        <w:rPr>
          <w:color w:val="000000"/>
        </w:rPr>
        <w:t xml:space="preserve"> mailing addresses for the sample frame were acquired through </w:t>
      </w:r>
      <w:r>
        <w:rPr>
          <w:color w:val="000000"/>
        </w:rPr>
        <w:t>Dynata</w:t>
      </w:r>
      <w:r>
        <w:rPr>
          <w:color w:val="000000"/>
        </w:rPr>
        <w:t xml:space="preserve">. The </w:t>
      </w:r>
      <w:r>
        <w:rPr>
          <w:color w:val="000000"/>
        </w:rPr>
        <w:t xml:space="preserve">following process was used for the </w:t>
      </w:r>
      <w:r>
        <w:rPr>
          <w:color w:val="000000"/>
        </w:rPr>
        <w:t>Dynata</w:t>
      </w:r>
      <w:r>
        <w:rPr>
          <w:color w:val="000000"/>
        </w:rPr>
        <w:t xml:space="preserve"> ABS sample: </w:t>
      </w:r>
    </w:p>
    <w:p w:rsidR="00945B64" w14:paraId="04083439" w14:textId="690CBE7C">
      <w:pPr>
        <w:widowControl w:val="0"/>
        <w:pBdr>
          <w:top w:val="nil"/>
          <w:left w:val="nil"/>
          <w:bottom w:val="nil"/>
          <w:right w:val="nil"/>
          <w:between w:val="nil"/>
        </w:pBdr>
        <w:spacing w:before="152" w:line="263" w:lineRule="auto"/>
        <w:ind w:left="101" w:right="2" w:firstLine="13"/>
        <w:jc w:val="both"/>
        <w:rPr>
          <w:color w:val="222222"/>
          <w:highlight w:val="white"/>
        </w:rPr>
      </w:pPr>
      <w:r>
        <w:rPr>
          <w:color w:val="222222"/>
          <w:highlight w:val="white"/>
        </w:rPr>
        <w:t xml:space="preserve">1. Qualifying addresses are determined based on the selected geography and any demographic criteria </w:t>
      </w:r>
      <w:r>
        <w:rPr>
          <w:color w:val="222222"/>
          <w:highlight w:val="white"/>
        </w:rPr>
        <w:t xml:space="preserve">requested. The selected addresses (universe) are then sorted by FIPS, ZIP and ZIP4. </w:t>
      </w:r>
    </w:p>
    <w:p w:rsidR="00945B64" w14:paraId="49C8204F" w14:textId="77777777">
      <w:pPr>
        <w:widowControl w:val="0"/>
        <w:pBdr>
          <w:top w:val="nil"/>
          <w:left w:val="nil"/>
          <w:bottom w:val="nil"/>
          <w:right w:val="nil"/>
          <w:between w:val="nil"/>
        </w:pBdr>
        <w:spacing w:before="152" w:line="263" w:lineRule="auto"/>
        <w:ind w:left="101" w:right="2" w:firstLine="13"/>
        <w:jc w:val="both"/>
        <w:rPr>
          <w:color w:val="222222"/>
          <w:highlight w:val="white"/>
        </w:rPr>
      </w:pPr>
      <w:r>
        <w:rPr>
          <w:color w:val="222222"/>
          <w:highlight w:val="white"/>
        </w:rPr>
        <w:t xml:space="preserve">2. A sampling interval is determined by dividing the desired quota by </w:t>
      </w:r>
      <w:r>
        <w:rPr>
          <w:color w:val="222222"/>
          <w:highlight w:val="white"/>
        </w:rPr>
        <w:t xml:space="preserve">the universe. </w:t>
      </w:r>
    </w:p>
    <w:p w:rsidR="00945B64" w14:paraId="1D8C59FB" w14:textId="77777777">
      <w:pPr>
        <w:widowControl w:val="0"/>
        <w:pBdr>
          <w:top w:val="nil"/>
          <w:left w:val="nil"/>
          <w:bottom w:val="nil"/>
          <w:right w:val="nil"/>
          <w:between w:val="nil"/>
        </w:pBdr>
        <w:spacing w:before="152" w:line="263" w:lineRule="auto"/>
        <w:ind w:left="101" w:right="2" w:firstLine="13"/>
        <w:jc w:val="both"/>
        <w:rPr>
          <w:color w:val="222222"/>
          <w:highlight w:val="white"/>
        </w:rPr>
      </w:pPr>
      <w:r>
        <w:rPr>
          <w:color w:val="222222"/>
          <w:highlight w:val="white"/>
        </w:rPr>
        <w:t xml:space="preserve">3. A random start point is determined within the first interval and the sample is Nth-d through until the desired sample size is attained. </w:t>
      </w:r>
    </w:p>
    <w:p w:rsidR="00945B64" w14:paraId="2C64BF83" w14:textId="77777777">
      <w:pPr>
        <w:widowControl w:val="0"/>
        <w:pBdr>
          <w:top w:val="nil"/>
          <w:left w:val="nil"/>
          <w:bottom w:val="nil"/>
          <w:right w:val="nil"/>
          <w:between w:val="nil"/>
        </w:pBdr>
        <w:spacing w:before="259" w:line="373" w:lineRule="auto"/>
        <w:ind w:left="107" w:right="1848" w:hanging="5"/>
        <w:rPr>
          <w:b/>
          <w:color w:val="000000"/>
        </w:rPr>
      </w:pPr>
      <w:r>
        <w:rPr>
          <w:color w:val="000000"/>
        </w:rPr>
        <w:t xml:space="preserve">Additional information about the </w:t>
      </w:r>
      <w:r>
        <w:rPr>
          <w:color w:val="000000"/>
        </w:rPr>
        <w:t>Dynata</w:t>
      </w:r>
      <w:r>
        <w:rPr>
          <w:color w:val="000000"/>
        </w:rPr>
        <w:t xml:space="preserve"> ABS File construction is included in the Appendix F.  </w:t>
      </w:r>
      <w:r>
        <w:rPr>
          <w:b/>
          <w:color w:val="000000"/>
        </w:rPr>
        <w:t xml:space="preserve">Survey </w:t>
      </w:r>
      <w:r>
        <w:rPr>
          <w:b/>
          <w:color w:val="000000"/>
        </w:rPr>
        <w:t xml:space="preserve">Printing, Distribution, and Mailing  </w:t>
      </w:r>
    </w:p>
    <w:p w:rsidR="00945B64" w:rsidP="0096694A" w14:paraId="2D88CAFA" w14:textId="4886118A">
      <w:pPr>
        <w:widowControl w:val="0"/>
        <w:pBdr>
          <w:top w:val="nil"/>
          <w:left w:val="nil"/>
          <w:bottom w:val="nil"/>
          <w:right w:val="nil"/>
          <w:between w:val="nil"/>
        </w:pBdr>
        <w:spacing w:before="29" w:line="262" w:lineRule="auto"/>
        <w:ind w:left="106" w:right="9" w:firstLine="12"/>
      </w:pPr>
      <w:r>
        <w:rPr>
          <w:color w:val="000000"/>
        </w:rPr>
        <w:t xml:space="preserve">Individuals in the pilot sample received up to four mailings contacts: (1) an invitation letter with a $2 cash </w:t>
      </w:r>
      <w:r>
        <w:rPr>
          <w:color w:val="000000"/>
        </w:rPr>
        <w:t xml:space="preserve">incentive, (2) a reminder postcard, (3) a paper survey booklet with a cover letter and business reply return </w:t>
      </w:r>
      <w:r>
        <w:rPr>
          <w:color w:val="000000"/>
        </w:rPr>
        <w:t>envelope, and (4) a final reminder</w:t>
      </w:r>
      <w:r>
        <w:rPr>
          <w:color w:val="000000"/>
        </w:rPr>
        <w:t xml:space="preserve"> postcard. Each letter/postcard invited the recipient to complete the survey </w:t>
      </w:r>
      <w:r>
        <w:rPr>
          <w:color w:val="000000"/>
        </w:rPr>
        <w:t>online using the URL, Survey ID and PIN provided. Contacts also include a Quick Response (QR) code and text back number to access the survey. Respondents had to type in their uni</w:t>
      </w:r>
      <w:r>
        <w:rPr>
          <w:color w:val="000000"/>
        </w:rPr>
        <w:t xml:space="preserve">que survey code to begin the </w:t>
      </w:r>
      <w:r>
        <w:rPr>
          <w:color w:val="000000"/>
        </w:rPr>
        <w:t xml:space="preserve">questionnaire regardless of which one of these methods they used. Letters/postcards were printed and mailed </w:t>
      </w:r>
      <w:r>
        <w:rPr>
          <w:color w:val="000000"/>
        </w:rPr>
        <w:t xml:space="preserve">by Worth Higgins &amp; Associates working in collaboration with SERL. All outbound mailing materials traveled using </w:t>
      </w:r>
      <w:r>
        <w:rPr>
          <w:color w:val="000000"/>
        </w:rPr>
        <w:t>non-</w:t>
      </w:r>
      <w:r>
        <w:rPr>
          <w:color w:val="000000"/>
        </w:rPr>
        <w:t xml:space="preserve">profit postage permit No. 889. The business reply envelope for respondents to mail back their survey packet (in the third mailing) was first class mail. Each envelope was addressed to “VIRGINIA RESIDENT”. Throughout </w:t>
      </w:r>
      <w:r>
        <w:rPr>
          <w:color w:val="000000"/>
        </w:rPr>
        <w:t>fielding, SERL maintained a “pull list”</w:t>
      </w:r>
      <w:r>
        <w:rPr>
          <w:color w:val="000000"/>
        </w:rPr>
        <w:t xml:space="preserve"> to remove survey completers from successive mailing waves. Table 1 summarizes the mailing information. One SERL staff and three seed mails were included to monitor USPS </w:t>
      </w:r>
      <w:r>
        <w:rPr>
          <w:color w:val="000000"/>
        </w:rPr>
        <w:t>processing and mailing times. The third-party printer required several days to update</w:t>
      </w:r>
      <w:r>
        <w:rPr>
          <w:color w:val="000000"/>
        </w:rPr>
        <w:t xml:space="preserve"> the mailing list, so everyone </w:t>
      </w:r>
      <w:r>
        <w:rPr>
          <w:color w:val="000000"/>
        </w:rPr>
        <w:t xml:space="preserve">in the first mailing also received the second postcard. Additionally, everyone that received mailing 3 also received </w:t>
      </w:r>
      <w:r>
        <w:rPr>
          <w:color w:val="000000"/>
        </w:rPr>
        <w:t>mailing 4. Recruitment materials can be found in the Appendix D. The survey booklet can be found in Appe</w:t>
      </w:r>
      <w:r>
        <w:rPr>
          <w:color w:val="000000"/>
        </w:rPr>
        <w:t xml:space="preserve">ndix </w:t>
      </w:r>
      <w:r>
        <w:rPr>
          <w:color w:val="000000"/>
        </w:rPr>
        <w:t xml:space="preserve">E. Mailing materials included instructions to contact SERL at serl@vcu.edu if potential respondents had issues </w:t>
      </w:r>
      <w:r>
        <w:rPr>
          <w:color w:val="000000"/>
        </w:rPr>
        <w:t>accessing</w:t>
      </w:r>
      <w:r w:rsidR="0096694A">
        <w:rPr>
          <w:color w:val="000000"/>
        </w:rPr>
        <w:t xml:space="preserve"> </w:t>
      </w:r>
      <w:r>
        <w:rPr>
          <w:color w:val="000000"/>
        </w:rPr>
        <w:t>the survey or questions about the survey.</w:t>
      </w:r>
      <w:r>
        <w:br/>
      </w:r>
    </w:p>
    <w:p w:rsidR="0096694A" w:rsidP="0096694A" w14:paraId="588641F6" w14:textId="77777777">
      <w:pPr>
        <w:tabs>
          <w:tab w:val="left" w:pos="3105"/>
          <w:tab w:val="center" w:pos="5483"/>
        </w:tabs>
      </w:pPr>
      <w:r>
        <w:tab/>
      </w:r>
    </w:p>
    <w:p w:rsidR="0096694A" w:rsidP="0096694A" w14:paraId="7D357598" w14:textId="77777777">
      <w:pPr>
        <w:tabs>
          <w:tab w:val="left" w:pos="3105"/>
          <w:tab w:val="center" w:pos="5483"/>
        </w:tabs>
      </w:pPr>
    </w:p>
    <w:p w:rsidR="0096694A" w:rsidP="0096694A" w14:paraId="55AA43E1" w14:textId="77777777">
      <w:pPr>
        <w:tabs>
          <w:tab w:val="left" w:pos="3105"/>
          <w:tab w:val="center" w:pos="5483"/>
        </w:tabs>
      </w:pPr>
    </w:p>
    <w:p w:rsidR="00945B64" w:rsidP="0096694A" w14:paraId="73DFB02F" w14:textId="06ED38D7">
      <w:pPr>
        <w:tabs>
          <w:tab w:val="left" w:pos="3105"/>
          <w:tab w:val="center" w:pos="5483"/>
        </w:tabs>
      </w:pPr>
      <w:r>
        <w:tab/>
      </w:r>
      <w:r w:rsidR="00AA1F53">
        <w:t xml:space="preserve">Table 1: Pre-test mailing information </w:t>
      </w:r>
    </w:p>
    <w:tbl>
      <w:tblPr>
        <w:tblStyle w:val="a"/>
        <w:tblW w:w="9360"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2925"/>
        <w:gridCol w:w="1905"/>
        <w:gridCol w:w="2190"/>
      </w:tblGrid>
      <w:tr w14:paraId="6495DD05" w14:textId="77777777">
        <w:tblPrEx>
          <w:tblW w:w="9360"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60"/>
        </w:trPr>
        <w:tc>
          <w:tcPr>
            <w:tcW w:w="2340" w:type="dxa"/>
            <w:shd w:val="clear" w:color="auto" w:fill="auto"/>
            <w:tcMar>
              <w:top w:w="100" w:type="dxa"/>
              <w:left w:w="100" w:type="dxa"/>
              <w:bottom w:w="100" w:type="dxa"/>
              <w:right w:w="100" w:type="dxa"/>
            </w:tcMar>
          </w:tcPr>
          <w:p w:rsidR="00945B64" w14:paraId="6776F355" w14:textId="77777777">
            <w:pPr>
              <w:widowControl w:val="0"/>
              <w:pBdr>
                <w:top w:val="nil"/>
                <w:left w:val="nil"/>
                <w:bottom w:val="nil"/>
                <w:right w:val="nil"/>
                <w:between w:val="nil"/>
              </w:pBdr>
              <w:spacing w:line="240" w:lineRule="auto"/>
              <w:ind w:right="297"/>
              <w:jc w:val="right"/>
              <w:rPr>
                <w:b/>
                <w:color w:val="000000"/>
              </w:rPr>
            </w:pPr>
            <w:r>
              <w:rPr>
                <w:b/>
                <w:color w:val="000000"/>
              </w:rPr>
              <w:t xml:space="preserve">Pre-test Survey  </w:t>
            </w:r>
          </w:p>
          <w:p w:rsidR="00945B64" w14:paraId="5961F23F" w14:textId="77777777">
            <w:pPr>
              <w:widowControl w:val="0"/>
              <w:pBdr>
                <w:top w:val="nil"/>
                <w:left w:val="nil"/>
                <w:bottom w:val="nil"/>
                <w:right w:val="nil"/>
                <w:between w:val="nil"/>
              </w:pBdr>
              <w:spacing w:line="240" w:lineRule="auto"/>
              <w:jc w:val="center"/>
              <w:rPr>
                <w:b/>
                <w:color w:val="000000"/>
              </w:rPr>
            </w:pPr>
            <w:r>
              <w:rPr>
                <w:b/>
                <w:color w:val="000000"/>
              </w:rPr>
              <w:t>Mailings</w:t>
            </w:r>
          </w:p>
        </w:tc>
        <w:tc>
          <w:tcPr>
            <w:tcW w:w="2925" w:type="dxa"/>
            <w:shd w:val="clear" w:color="auto" w:fill="auto"/>
            <w:tcMar>
              <w:top w:w="100" w:type="dxa"/>
              <w:left w:w="100" w:type="dxa"/>
              <w:bottom w:w="100" w:type="dxa"/>
              <w:right w:w="100" w:type="dxa"/>
            </w:tcMar>
          </w:tcPr>
          <w:p w:rsidR="00945B64" w14:paraId="1D974A15" w14:textId="77777777">
            <w:pPr>
              <w:widowControl w:val="0"/>
              <w:pBdr>
                <w:top w:val="nil"/>
                <w:left w:val="nil"/>
                <w:bottom w:val="nil"/>
                <w:right w:val="nil"/>
                <w:between w:val="nil"/>
              </w:pBdr>
              <w:spacing w:line="240" w:lineRule="auto"/>
              <w:jc w:val="center"/>
              <w:rPr>
                <w:b/>
                <w:color w:val="000000"/>
              </w:rPr>
            </w:pPr>
            <w:r>
              <w:rPr>
                <w:b/>
                <w:color w:val="000000"/>
              </w:rPr>
              <w:t xml:space="preserve">Description </w:t>
            </w:r>
          </w:p>
        </w:tc>
        <w:tc>
          <w:tcPr>
            <w:tcW w:w="1905" w:type="dxa"/>
            <w:shd w:val="clear" w:color="auto" w:fill="auto"/>
            <w:tcMar>
              <w:top w:w="100" w:type="dxa"/>
              <w:left w:w="100" w:type="dxa"/>
              <w:bottom w:w="100" w:type="dxa"/>
              <w:right w:w="100" w:type="dxa"/>
            </w:tcMar>
          </w:tcPr>
          <w:p w:rsidR="00945B64" w14:paraId="5001D062" w14:textId="77777777">
            <w:pPr>
              <w:widowControl w:val="0"/>
              <w:pBdr>
                <w:top w:val="nil"/>
                <w:left w:val="nil"/>
                <w:bottom w:val="nil"/>
                <w:right w:val="nil"/>
                <w:between w:val="nil"/>
              </w:pBdr>
              <w:spacing w:line="240" w:lineRule="auto"/>
              <w:jc w:val="center"/>
              <w:rPr>
                <w:b/>
                <w:color w:val="000000"/>
              </w:rPr>
            </w:pPr>
            <w:r>
              <w:rPr>
                <w:b/>
                <w:color w:val="000000"/>
              </w:rPr>
              <w:t xml:space="preserve">Mailing Count* </w:t>
            </w:r>
          </w:p>
        </w:tc>
        <w:tc>
          <w:tcPr>
            <w:tcW w:w="2190" w:type="dxa"/>
            <w:shd w:val="clear" w:color="auto" w:fill="auto"/>
            <w:tcMar>
              <w:top w:w="100" w:type="dxa"/>
              <w:left w:w="100" w:type="dxa"/>
              <w:bottom w:w="100" w:type="dxa"/>
              <w:right w:w="100" w:type="dxa"/>
            </w:tcMar>
          </w:tcPr>
          <w:p w:rsidR="00945B64" w14:paraId="70A427C0" w14:textId="77777777">
            <w:pPr>
              <w:widowControl w:val="0"/>
              <w:pBdr>
                <w:top w:val="nil"/>
                <w:left w:val="nil"/>
                <w:bottom w:val="nil"/>
                <w:right w:val="nil"/>
                <w:between w:val="nil"/>
              </w:pBdr>
              <w:spacing w:line="240" w:lineRule="auto"/>
              <w:jc w:val="center"/>
              <w:rPr>
                <w:b/>
                <w:color w:val="000000"/>
              </w:rPr>
            </w:pPr>
            <w:r>
              <w:rPr>
                <w:b/>
                <w:color w:val="000000"/>
              </w:rPr>
              <w:t>Dates</w:t>
            </w:r>
          </w:p>
        </w:tc>
      </w:tr>
      <w:tr w14:paraId="08EF3C27" w14:textId="77777777">
        <w:tblPrEx>
          <w:tblW w:w="9360" w:type="dxa"/>
          <w:tblInd w:w="811" w:type="dxa"/>
          <w:tblLayout w:type="fixed"/>
          <w:tblLook w:val="0600"/>
        </w:tblPrEx>
        <w:trPr>
          <w:trHeight w:val="2925"/>
        </w:trPr>
        <w:tc>
          <w:tcPr>
            <w:tcW w:w="2340" w:type="dxa"/>
            <w:shd w:val="clear" w:color="auto" w:fill="auto"/>
            <w:tcMar>
              <w:top w:w="100" w:type="dxa"/>
              <w:left w:w="100" w:type="dxa"/>
              <w:bottom w:w="100" w:type="dxa"/>
              <w:right w:w="100" w:type="dxa"/>
            </w:tcMar>
          </w:tcPr>
          <w:p w:rsidR="00945B64" w14:paraId="644CF4C9" w14:textId="77777777">
            <w:pPr>
              <w:widowControl w:val="0"/>
              <w:pBdr>
                <w:top w:val="nil"/>
                <w:left w:val="nil"/>
                <w:bottom w:val="nil"/>
                <w:right w:val="nil"/>
                <w:between w:val="nil"/>
              </w:pBdr>
              <w:spacing w:line="240" w:lineRule="auto"/>
              <w:ind w:left="128"/>
              <w:rPr>
                <w:color w:val="000000"/>
              </w:rPr>
            </w:pPr>
            <w:r>
              <w:rPr>
                <w:color w:val="000000"/>
              </w:rPr>
              <w:t xml:space="preserve">Invitation Letter +  </w:t>
            </w:r>
          </w:p>
          <w:p w:rsidR="00945B64" w14:paraId="7757B967" w14:textId="77777777">
            <w:pPr>
              <w:widowControl w:val="0"/>
              <w:pBdr>
                <w:top w:val="nil"/>
                <w:left w:val="nil"/>
                <w:bottom w:val="nil"/>
                <w:right w:val="nil"/>
                <w:between w:val="nil"/>
              </w:pBdr>
              <w:spacing w:line="240" w:lineRule="auto"/>
              <w:ind w:left="128"/>
              <w:rPr>
                <w:color w:val="000000"/>
              </w:rPr>
            </w:pPr>
            <w:r>
              <w:rPr>
                <w:color w:val="000000"/>
              </w:rPr>
              <w:t>Incentive</w:t>
            </w:r>
          </w:p>
        </w:tc>
        <w:tc>
          <w:tcPr>
            <w:tcW w:w="2925" w:type="dxa"/>
            <w:shd w:val="clear" w:color="auto" w:fill="auto"/>
            <w:tcMar>
              <w:top w:w="100" w:type="dxa"/>
              <w:left w:w="100" w:type="dxa"/>
              <w:bottom w:w="100" w:type="dxa"/>
              <w:right w:w="100" w:type="dxa"/>
            </w:tcMar>
          </w:tcPr>
          <w:p w:rsidR="00945B64" w:rsidRPr="0060703E" w:rsidP="0060703E" w14:paraId="7B70A451" w14:textId="6DF7F7A4">
            <w:r w:rsidRPr="0060703E">
              <w:t>Letter - white paper,</w:t>
            </w:r>
            <w:r w:rsidRPr="0060703E">
              <w:t xml:space="preserve"> </w:t>
            </w:r>
            <w:r w:rsidRPr="0060703E">
              <w:t>personalized, color</w:t>
            </w:r>
            <w:r w:rsidRPr="0060703E">
              <w:t xml:space="preserve"> </w:t>
            </w:r>
            <w:r w:rsidRPr="0060703E">
              <w:t xml:space="preserve">ink, VCU + NOAA </w:t>
            </w:r>
            <w:r w:rsidRPr="0060703E">
              <w:t>logos, personalized,</w:t>
            </w:r>
            <w:r w:rsidRPr="0060703E">
              <w:t xml:space="preserve"> </w:t>
            </w:r>
            <w:r w:rsidRPr="0060703E">
              <w:t xml:space="preserve">one sided, tri-folded </w:t>
            </w:r>
            <w:r w:rsidRPr="0060703E">
              <w:t xml:space="preserve">inserted </w:t>
            </w:r>
          </w:p>
          <w:p w:rsidR="00945B64" w:rsidRPr="0060703E" w:rsidP="0060703E" w14:paraId="2B5CBA07" w14:textId="61D34FE1">
            <w:r w:rsidRPr="0060703E">
              <w:t xml:space="preserve">Envelope - #10 white </w:t>
            </w:r>
            <w:r w:rsidRPr="0060703E">
              <w:t>envelope, color, VCU</w:t>
            </w:r>
            <w:r w:rsidRPr="0060703E">
              <w:t xml:space="preserve"> logo </w:t>
            </w:r>
          </w:p>
          <w:p w:rsidR="00945B64" w14:paraId="1F596919" w14:textId="7E280EF9">
            <w:pPr>
              <w:widowControl w:val="0"/>
              <w:pBdr>
                <w:top w:val="nil"/>
                <w:left w:val="nil"/>
                <w:bottom w:val="nil"/>
                <w:right w:val="nil"/>
                <w:between w:val="nil"/>
              </w:pBdr>
              <w:spacing w:before="243" w:line="230" w:lineRule="auto"/>
              <w:ind w:left="120" w:right="29" w:hanging="5"/>
              <w:rPr>
                <w:color w:val="000000"/>
              </w:rPr>
            </w:pPr>
            <w:r w:rsidRPr="0060703E">
              <w:rPr>
                <w:color w:val="000000"/>
              </w:rPr>
              <w:t>$2 incentive - two, $1</w:t>
            </w:r>
            <w:r>
              <w:rPr>
                <w:color w:val="000000"/>
              </w:rPr>
              <w:t xml:space="preserve"> bills</w:t>
            </w:r>
          </w:p>
        </w:tc>
        <w:tc>
          <w:tcPr>
            <w:tcW w:w="1905" w:type="dxa"/>
            <w:shd w:val="clear" w:color="auto" w:fill="auto"/>
            <w:tcMar>
              <w:top w:w="100" w:type="dxa"/>
              <w:left w:w="100" w:type="dxa"/>
              <w:bottom w:w="100" w:type="dxa"/>
              <w:right w:w="100" w:type="dxa"/>
            </w:tcMar>
          </w:tcPr>
          <w:p w:rsidR="00945B64" w14:paraId="4421B3A8" w14:textId="77777777">
            <w:pPr>
              <w:widowControl w:val="0"/>
              <w:pBdr>
                <w:top w:val="nil"/>
                <w:left w:val="nil"/>
                <w:bottom w:val="nil"/>
                <w:right w:val="nil"/>
                <w:between w:val="nil"/>
              </w:pBdr>
              <w:spacing w:line="240" w:lineRule="auto"/>
              <w:jc w:val="center"/>
              <w:rPr>
                <w:color w:val="000000"/>
              </w:rPr>
            </w:pPr>
            <w:r>
              <w:rPr>
                <w:color w:val="000000"/>
              </w:rPr>
              <w:t xml:space="preserve">1,171 </w:t>
            </w:r>
          </w:p>
        </w:tc>
        <w:tc>
          <w:tcPr>
            <w:tcW w:w="2190" w:type="dxa"/>
            <w:shd w:val="clear" w:color="auto" w:fill="auto"/>
            <w:tcMar>
              <w:top w:w="100" w:type="dxa"/>
              <w:left w:w="100" w:type="dxa"/>
              <w:bottom w:w="100" w:type="dxa"/>
              <w:right w:w="100" w:type="dxa"/>
            </w:tcMar>
          </w:tcPr>
          <w:p w:rsidR="00945B64" w14:paraId="5BF60A1F" w14:textId="77777777">
            <w:pPr>
              <w:widowControl w:val="0"/>
              <w:pBdr>
                <w:top w:val="nil"/>
                <w:left w:val="nil"/>
                <w:bottom w:val="nil"/>
                <w:right w:val="nil"/>
                <w:between w:val="nil"/>
              </w:pBdr>
              <w:spacing w:line="240" w:lineRule="auto"/>
              <w:ind w:left="124"/>
              <w:rPr>
                <w:color w:val="000000"/>
              </w:rPr>
            </w:pPr>
            <w:r>
              <w:rPr>
                <w:color w:val="000000"/>
              </w:rPr>
              <w:t>November 27, 2024</w:t>
            </w:r>
          </w:p>
        </w:tc>
      </w:tr>
      <w:tr w14:paraId="70ED0B4C" w14:textId="77777777">
        <w:tblPrEx>
          <w:tblW w:w="9360" w:type="dxa"/>
          <w:tblInd w:w="811" w:type="dxa"/>
          <w:tblLayout w:type="fixed"/>
          <w:tblLook w:val="0600"/>
        </w:tblPrEx>
        <w:trPr>
          <w:trHeight w:val="1130"/>
        </w:trPr>
        <w:tc>
          <w:tcPr>
            <w:tcW w:w="2340" w:type="dxa"/>
            <w:shd w:val="clear" w:color="auto" w:fill="auto"/>
            <w:tcMar>
              <w:top w:w="100" w:type="dxa"/>
              <w:left w:w="100" w:type="dxa"/>
              <w:bottom w:w="100" w:type="dxa"/>
              <w:right w:w="100" w:type="dxa"/>
            </w:tcMar>
          </w:tcPr>
          <w:p w:rsidR="00945B64" w14:paraId="5CE3656E" w14:textId="77777777">
            <w:pPr>
              <w:widowControl w:val="0"/>
              <w:pBdr>
                <w:top w:val="nil"/>
                <w:left w:val="nil"/>
                <w:bottom w:val="nil"/>
                <w:right w:val="nil"/>
                <w:between w:val="nil"/>
              </w:pBdr>
              <w:spacing w:line="240" w:lineRule="auto"/>
              <w:ind w:left="127"/>
              <w:rPr>
                <w:color w:val="000000"/>
              </w:rPr>
            </w:pPr>
            <w:r>
              <w:rPr>
                <w:color w:val="000000"/>
              </w:rPr>
              <w:t xml:space="preserve">Reminder Postcard </w:t>
            </w:r>
          </w:p>
        </w:tc>
        <w:tc>
          <w:tcPr>
            <w:tcW w:w="2925" w:type="dxa"/>
            <w:shd w:val="clear" w:color="auto" w:fill="auto"/>
            <w:tcMar>
              <w:top w:w="100" w:type="dxa"/>
              <w:left w:w="100" w:type="dxa"/>
              <w:bottom w:w="100" w:type="dxa"/>
              <w:right w:w="100" w:type="dxa"/>
            </w:tcMar>
          </w:tcPr>
          <w:p w:rsidR="00945B64" w14:paraId="1AB70ED2" w14:textId="3DB7C017">
            <w:pPr>
              <w:widowControl w:val="0"/>
              <w:pBdr>
                <w:top w:val="nil"/>
                <w:left w:val="nil"/>
                <w:bottom w:val="nil"/>
                <w:right w:val="nil"/>
                <w:between w:val="nil"/>
              </w:pBdr>
              <w:spacing w:line="229" w:lineRule="auto"/>
              <w:ind w:left="120" w:right="31" w:hanging="3"/>
              <w:jc w:val="both"/>
              <w:rPr>
                <w:color w:val="000000"/>
              </w:rPr>
            </w:pPr>
            <w:r>
              <w:rPr>
                <w:color w:val="000000"/>
              </w:rPr>
              <w:t>Cardstock, quarter</w:t>
            </w:r>
            <w:r>
              <w:rPr>
                <w:color w:val="000000"/>
              </w:rPr>
              <w:t xml:space="preserve"> page, personalized on</w:t>
            </w:r>
            <w:r>
              <w:rPr>
                <w:color w:val="000000"/>
              </w:rPr>
              <w:t xml:space="preserve"> both sides, color ink</w:t>
            </w:r>
          </w:p>
        </w:tc>
        <w:tc>
          <w:tcPr>
            <w:tcW w:w="1905" w:type="dxa"/>
            <w:shd w:val="clear" w:color="auto" w:fill="auto"/>
            <w:tcMar>
              <w:top w:w="100" w:type="dxa"/>
              <w:left w:w="100" w:type="dxa"/>
              <w:bottom w:w="100" w:type="dxa"/>
              <w:right w:w="100" w:type="dxa"/>
            </w:tcMar>
          </w:tcPr>
          <w:p w:rsidR="00945B64" w14:paraId="7BC04A4E" w14:textId="77777777">
            <w:pPr>
              <w:widowControl w:val="0"/>
              <w:pBdr>
                <w:top w:val="nil"/>
                <w:left w:val="nil"/>
                <w:bottom w:val="nil"/>
                <w:right w:val="nil"/>
                <w:between w:val="nil"/>
              </w:pBdr>
              <w:spacing w:line="240" w:lineRule="auto"/>
              <w:jc w:val="center"/>
              <w:rPr>
                <w:color w:val="000000"/>
              </w:rPr>
            </w:pPr>
            <w:r>
              <w:rPr>
                <w:color w:val="000000"/>
              </w:rPr>
              <w:t xml:space="preserve">1,171 </w:t>
            </w:r>
          </w:p>
        </w:tc>
        <w:tc>
          <w:tcPr>
            <w:tcW w:w="2190" w:type="dxa"/>
            <w:shd w:val="clear" w:color="auto" w:fill="auto"/>
            <w:tcMar>
              <w:top w:w="100" w:type="dxa"/>
              <w:left w:w="100" w:type="dxa"/>
              <w:bottom w:w="100" w:type="dxa"/>
              <w:right w:w="100" w:type="dxa"/>
            </w:tcMar>
          </w:tcPr>
          <w:p w:rsidR="00945B64" w14:paraId="1AEF7F22" w14:textId="77777777">
            <w:pPr>
              <w:widowControl w:val="0"/>
              <w:pBdr>
                <w:top w:val="nil"/>
                <w:left w:val="nil"/>
                <w:bottom w:val="nil"/>
                <w:right w:val="nil"/>
                <w:between w:val="nil"/>
              </w:pBdr>
              <w:spacing w:line="240" w:lineRule="auto"/>
              <w:ind w:left="125"/>
              <w:rPr>
                <w:color w:val="000000"/>
              </w:rPr>
            </w:pPr>
            <w:r>
              <w:rPr>
                <w:color w:val="000000"/>
              </w:rPr>
              <w:t>December 4, 2024</w:t>
            </w:r>
          </w:p>
        </w:tc>
      </w:tr>
      <w:tr w14:paraId="7D80D6E9" w14:textId="77777777">
        <w:tblPrEx>
          <w:tblW w:w="9360" w:type="dxa"/>
          <w:tblInd w:w="811" w:type="dxa"/>
          <w:tblLayout w:type="fixed"/>
          <w:tblLook w:val="0600"/>
        </w:tblPrEx>
        <w:trPr>
          <w:trHeight w:val="3480"/>
        </w:trPr>
        <w:tc>
          <w:tcPr>
            <w:tcW w:w="2340" w:type="dxa"/>
            <w:shd w:val="clear" w:color="auto" w:fill="auto"/>
            <w:tcMar>
              <w:top w:w="100" w:type="dxa"/>
              <w:left w:w="100" w:type="dxa"/>
              <w:bottom w:w="100" w:type="dxa"/>
              <w:right w:w="100" w:type="dxa"/>
            </w:tcMar>
          </w:tcPr>
          <w:p w:rsidR="00945B64" w:rsidRPr="0060703E" w:rsidP="0060703E" w14:paraId="50D75B8B" w14:textId="3052E2E4">
            <w:r>
              <w:t xml:space="preserve">Reminder Letter </w:t>
            </w:r>
            <w:r w:rsidRPr="0060703E">
              <w:t>+</w:t>
            </w:r>
            <w:r w:rsidRPr="0060703E">
              <w:t xml:space="preserve"> </w:t>
            </w:r>
            <w:r w:rsidRPr="0060703E">
              <w:t xml:space="preserve">Paper Booklets + </w:t>
            </w:r>
          </w:p>
          <w:p w:rsidR="00945B64" w:rsidP="0060703E" w14:paraId="70DFC3ED" w14:textId="77777777">
            <w:r w:rsidRPr="0060703E">
              <w:t>BRE envelope</w:t>
            </w:r>
          </w:p>
        </w:tc>
        <w:tc>
          <w:tcPr>
            <w:tcW w:w="2925" w:type="dxa"/>
            <w:shd w:val="clear" w:color="auto" w:fill="auto"/>
            <w:tcMar>
              <w:top w:w="100" w:type="dxa"/>
              <w:left w:w="100" w:type="dxa"/>
              <w:bottom w:w="100" w:type="dxa"/>
              <w:right w:w="100" w:type="dxa"/>
            </w:tcMar>
          </w:tcPr>
          <w:p w:rsidR="00945B64" w:rsidRPr="0060703E" w:rsidP="0060703E" w14:paraId="536C5288" w14:textId="40F83B9E">
            <w:r w:rsidRPr="0060703E">
              <w:t>Booklet - 2 sheets of</w:t>
            </w:r>
            <w:r w:rsidRPr="0060703E">
              <w:t xml:space="preserve"> </w:t>
            </w:r>
            <w:r w:rsidRPr="0060703E">
              <w:t>white 11” x 17” paper,</w:t>
            </w:r>
            <w:r w:rsidRPr="0060703E">
              <w:t xml:space="preserve"> </w:t>
            </w:r>
            <w:r w:rsidRPr="0060703E">
              <w:t xml:space="preserve">folded and saddle </w:t>
            </w:r>
            <w:r w:rsidRPr="0060703E">
              <w:t xml:space="preserve">stapled,  </w:t>
            </w:r>
          </w:p>
          <w:p w:rsidR="00945B64" w:rsidRPr="0060703E" w:rsidP="0060703E" w14:paraId="7DA719EC" w14:textId="0E14000E">
            <w:r w:rsidRPr="0060703E">
              <w:t>Letter- white paper,</w:t>
            </w:r>
            <w:r w:rsidRPr="0060703E">
              <w:t xml:space="preserve"> </w:t>
            </w:r>
            <w:r w:rsidRPr="0060703E">
              <w:t>color ink,</w:t>
            </w:r>
            <w:r w:rsidRPr="0060703E">
              <w:t xml:space="preserve"> personalized </w:t>
            </w:r>
          </w:p>
          <w:p w:rsidR="00945B64" w:rsidRPr="0060703E" w:rsidP="0060703E" w14:paraId="0E9A6FDE" w14:textId="292116EA">
            <w:r w:rsidRPr="0060703E">
              <w:t>Business Reply</w:t>
            </w:r>
            <w:r w:rsidRPr="0060703E">
              <w:t xml:space="preserve"> </w:t>
            </w:r>
            <w:r w:rsidRPr="0060703E">
              <w:t xml:space="preserve">Envelope - White, 9” x </w:t>
            </w:r>
            <w:r w:rsidRPr="0060703E">
              <w:t xml:space="preserve">11”, black ink  </w:t>
            </w:r>
          </w:p>
          <w:p w:rsidR="00945B64" w:rsidP="0060703E" w14:paraId="55C25850" w14:textId="3544BD5B">
            <w:r w:rsidRPr="0060703E">
              <w:t>Packaged in a 10” x</w:t>
            </w:r>
            <w:r w:rsidRPr="0060703E">
              <w:t xml:space="preserve"> 13” catalog envelope</w:t>
            </w:r>
          </w:p>
        </w:tc>
        <w:tc>
          <w:tcPr>
            <w:tcW w:w="1905" w:type="dxa"/>
            <w:shd w:val="clear" w:color="auto" w:fill="auto"/>
            <w:tcMar>
              <w:top w:w="100" w:type="dxa"/>
              <w:left w:w="100" w:type="dxa"/>
              <w:bottom w:w="100" w:type="dxa"/>
              <w:right w:w="100" w:type="dxa"/>
            </w:tcMar>
          </w:tcPr>
          <w:p w:rsidR="00945B64" w14:paraId="1BC2C58A" w14:textId="77777777">
            <w:pPr>
              <w:widowControl w:val="0"/>
              <w:pBdr>
                <w:top w:val="nil"/>
                <w:left w:val="nil"/>
                <w:bottom w:val="nil"/>
                <w:right w:val="nil"/>
                <w:between w:val="nil"/>
              </w:pBdr>
              <w:spacing w:line="240" w:lineRule="auto"/>
              <w:jc w:val="center"/>
              <w:rPr>
                <w:color w:val="000000"/>
              </w:rPr>
            </w:pPr>
            <w:r>
              <w:rPr>
                <w:color w:val="000000"/>
              </w:rPr>
              <w:t xml:space="preserve">1,067** </w:t>
            </w:r>
          </w:p>
        </w:tc>
        <w:tc>
          <w:tcPr>
            <w:tcW w:w="2190" w:type="dxa"/>
            <w:shd w:val="clear" w:color="auto" w:fill="auto"/>
            <w:tcMar>
              <w:top w:w="100" w:type="dxa"/>
              <w:left w:w="100" w:type="dxa"/>
              <w:bottom w:w="100" w:type="dxa"/>
              <w:right w:w="100" w:type="dxa"/>
            </w:tcMar>
          </w:tcPr>
          <w:p w:rsidR="00945B64" w14:paraId="1A20F5C2" w14:textId="77777777">
            <w:pPr>
              <w:widowControl w:val="0"/>
              <w:pBdr>
                <w:top w:val="nil"/>
                <w:left w:val="nil"/>
                <w:bottom w:val="nil"/>
                <w:right w:val="nil"/>
                <w:between w:val="nil"/>
              </w:pBdr>
              <w:spacing w:line="240" w:lineRule="auto"/>
              <w:ind w:left="111"/>
              <w:rPr>
                <w:color w:val="000000"/>
              </w:rPr>
            </w:pPr>
            <w:r>
              <w:rPr>
                <w:color w:val="000000"/>
              </w:rPr>
              <w:t>January 6, 2025</w:t>
            </w:r>
          </w:p>
        </w:tc>
      </w:tr>
      <w:tr w14:paraId="4AB56E57" w14:textId="77777777">
        <w:tblPrEx>
          <w:tblW w:w="9360" w:type="dxa"/>
          <w:tblInd w:w="811" w:type="dxa"/>
          <w:tblLayout w:type="fixed"/>
          <w:tblLook w:val="0600"/>
        </w:tblPrEx>
        <w:trPr>
          <w:trHeight w:val="690"/>
        </w:trPr>
        <w:tc>
          <w:tcPr>
            <w:tcW w:w="2340" w:type="dxa"/>
            <w:shd w:val="clear" w:color="auto" w:fill="auto"/>
            <w:tcMar>
              <w:top w:w="100" w:type="dxa"/>
              <w:left w:w="100" w:type="dxa"/>
              <w:bottom w:w="100" w:type="dxa"/>
              <w:right w:w="100" w:type="dxa"/>
            </w:tcMar>
          </w:tcPr>
          <w:p w:rsidR="00945B64" w14:paraId="52C194C4" w14:textId="77777777">
            <w:pPr>
              <w:widowControl w:val="0"/>
              <w:pBdr>
                <w:top w:val="nil"/>
                <w:left w:val="nil"/>
                <w:bottom w:val="nil"/>
                <w:right w:val="nil"/>
                <w:between w:val="nil"/>
              </w:pBdr>
              <w:spacing w:line="240" w:lineRule="auto"/>
              <w:ind w:left="126"/>
              <w:rPr>
                <w:color w:val="000000"/>
              </w:rPr>
            </w:pPr>
            <w:r>
              <w:rPr>
                <w:color w:val="000000"/>
              </w:rPr>
              <w:t xml:space="preserve">Final Reminder  </w:t>
            </w:r>
          </w:p>
          <w:p w:rsidR="00945B64" w14:paraId="6775013C" w14:textId="77777777">
            <w:pPr>
              <w:widowControl w:val="0"/>
              <w:pBdr>
                <w:top w:val="nil"/>
                <w:left w:val="nil"/>
                <w:bottom w:val="nil"/>
                <w:right w:val="nil"/>
                <w:between w:val="nil"/>
              </w:pBdr>
              <w:spacing w:line="240" w:lineRule="auto"/>
              <w:ind w:left="126"/>
              <w:rPr>
                <w:color w:val="000000"/>
              </w:rPr>
            </w:pPr>
            <w:r>
              <w:rPr>
                <w:color w:val="000000"/>
              </w:rPr>
              <w:t>Postcard</w:t>
            </w:r>
          </w:p>
        </w:tc>
        <w:tc>
          <w:tcPr>
            <w:tcW w:w="2925" w:type="dxa"/>
            <w:shd w:val="clear" w:color="auto" w:fill="auto"/>
            <w:tcMar>
              <w:top w:w="100" w:type="dxa"/>
              <w:left w:w="100" w:type="dxa"/>
              <w:bottom w:w="100" w:type="dxa"/>
              <w:right w:w="100" w:type="dxa"/>
            </w:tcMar>
          </w:tcPr>
          <w:p w:rsidR="00945B64" w14:paraId="0EBD596E" w14:textId="376D6254">
            <w:pPr>
              <w:widowControl w:val="0"/>
              <w:pBdr>
                <w:top w:val="nil"/>
                <w:left w:val="nil"/>
                <w:bottom w:val="nil"/>
                <w:right w:val="nil"/>
                <w:between w:val="nil"/>
              </w:pBdr>
              <w:spacing w:line="229" w:lineRule="auto"/>
              <w:ind w:left="120" w:right="31" w:hanging="3"/>
              <w:jc w:val="both"/>
              <w:rPr>
                <w:color w:val="000000"/>
              </w:rPr>
            </w:pPr>
            <w:r>
              <w:rPr>
                <w:color w:val="000000"/>
              </w:rPr>
              <w:t xml:space="preserve">Cardstock, quarter </w:t>
            </w:r>
            <w:r>
              <w:rPr>
                <w:color w:val="000000"/>
              </w:rPr>
              <w:t xml:space="preserve">page, personalized on </w:t>
            </w:r>
            <w:r>
              <w:rPr>
                <w:color w:val="000000"/>
              </w:rPr>
              <w:t>both sides, color ink</w:t>
            </w:r>
          </w:p>
        </w:tc>
        <w:tc>
          <w:tcPr>
            <w:tcW w:w="1905" w:type="dxa"/>
            <w:shd w:val="clear" w:color="auto" w:fill="auto"/>
            <w:tcMar>
              <w:top w:w="100" w:type="dxa"/>
              <w:left w:w="100" w:type="dxa"/>
              <w:bottom w:w="100" w:type="dxa"/>
              <w:right w:w="100" w:type="dxa"/>
            </w:tcMar>
          </w:tcPr>
          <w:p w:rsidR="00945B64" w14:paraId="111C8364" w14:textId="77777777">
            <w:pPr>
              <w:widowControl w:val="0"/>
              <w:pBdr>
                <w:top w:val="nil"/>
                <w:left w:val="nil"/>
                <w:bottom w:val="nil"/>
                <w:right w:val="nil"/>
                <w:between w:val="nil"/>
              </w:pBdr>
              <w:spacing w:line="240" w:lineRule="auto"/>
              <w:jc w:val="center"/>
              <w:rPr>
                <w:color w:val="000000"/>
              </w:rPr>
            </w:pPr>
            <w:r>
              <w:rPr>
                <w:color w:val="000000"/>
              </w:rPr>
              <w:t xml:space="preserve">1,067 </w:t>
            </w:r>
          </w:p>
        </w:tc>
        <w:tc>
          <w:tcPr>
            <w:tcW w:w="2190" w:type="dxa"/>
            <w:shd w:val="clear" w:color="auto" w:fill="auto"/>
            <w:tcMar>
              <w:top w:w="100" w:type="dxa"/>
              <w:left w:w="100" w:type="dxa"/>
              <w:bottom w:w="100" w:type="dxa"/>
              <w:right w:w="100" w:type="dxa"/>
            </w:tcMar>
          </w:tcPr>
          <w:p w:rsidR="00945B64" w14:paraId="0DE9502C" w14:textId="77777777">
            <w:pPr>
              <w:widowControl w:val="0"/>
              <w:pBdr>
                <w:top w:val="nil"/>
                <w:left w:val="nil"/>
                <w:bottom w:val="nil"/>
                <w:right w:val="nil"/>
                <w:between w:val="nil"/>
              </w:pBdr>
              <w:spacing w:line="240" w:lineRule="auto"/>
              <w:ind w:left="111"/>
              <w:rPr>
                <w:color w:val="000000"/>
              </w:rPr>
            </w:pPr>
            <w:r>
              <w:rPr>
                <w:color w:val="000000"/>
              </w:rPr>
              <w:t>January 22, 2025</w:t>
            </w:r>
          </w:p>
        </w:tc>
      </w:tr>
    </w:tbl>
    <w:p w:rsidR="00945B64" w14:paraId="2D56EEF3" w14:textId="77777777">
      <w:pPr>
        <w:widowControl w:val="0"/>
        <w:spacing w:line="240" w:lineRule="auto"/>
        <w:jc w:val="center"/>
        <w:rPr>
          <w:i/>
        </w:rPr>
      </w:pPr>
    </w:p>
    <w:p w:rsidR="00945B64" w14:paraId="7B19B6F7" w14:textId="77777777">
      <w:pPr>
        <w:widowControl w:val="0"/>
        <w:spacing w:line="240" w:lineRule="auto"/>
        <w:jc w:val="center"/>
        <w:rPr>
          <w:color w:val="000000"/>
        </w:rPr>
      </w:pPr>
    </w:p>
    <w:p w:rsidR="00945B64" w14:paraId="248D2801" w14:textId="77777777">
      <w:pPr>
        <w:widowControl w:val="0"/>
        <w:pBdr>
          <w:top w:val="nil"/>
          <w:left w:val="nil"/>
          <w:bottom w:val="nil"/>
          <w:right w:val="nil"/>
          <w:between w:val="nil"/>
        </w:pBdr>
        <w:rPr>
          <w:color w:val="000000"/>
          <w:sz w:val="18"/>
          <w:szCs w:val="18"/>
        </w:rPr>
      </w:pPr>
    </w:p>
    <w:p w:rsidR="00945B64" w14:paraId="56447505" w14:textId="77777777">
      <w:pPr>
        <w:widowControl w:val="0"/>
        <w:pBdr>
          <w:top w:val="nil"/>
          <w:left w:val="nil"/>
          <w:bottom w:val="nil"/>
          <w:right w:val="nil"/>
          <w:between w:val="nil"/>
        </w:pBdr>
        <w:spacing w:line="240" w:lineRule="auto"/>
        <w:ind w:left="107"/>
        <w:rPr>
          <w:color w:val="000000"/>
          <w:sz w:val="18"/>
          <w:szCs w:val="18"/>
        </w:rPr>
      </w:pPr>
      <w:r>
        <w:rPr>
          <w:color w:val="000000"/>
          <w:sz w:val="18"/>
          <w:szCs w:val="18"/>
        </w:rPr>
        <w:t xml:space="preserve">*The total count does not include the 4 additional seed mailing. </w:t>
      </w:r>
      <w:r>
        <w:rPr>
          <w:sz w:val="18"/>
          <w:szCs w:val="18"/>
        </w:rPr>
        <w:br/>
        <w:t>*</w:t>
      </w:r>
      <w:r>
        <w:rPr>
          <w:color w:val="000000"/>
          <w:sz w:val="18"/>
          <w:szCs w:val="18"/>
        </w:rPr>
        <w:t>* Two booklets were returned as undeliverable mail as of 2/18/2025</w:t>
      </w:r>
    </w:p>
    <w:p w:rsidR="00945B64" w14:paraId="1B4A25AC" w14:textId="77777777">
      <w:pPr>
        <w:widowControl w:val="0"/>
        <w:pBdr>
          <w:top w:val="nil"/>
          <w:left w:val="nil"/>
          <w:bottom w:val="nil"/>
          <w:right w:val="nil"/>
          <w:between w:val="nil"/>
        </w:pBdr>
        <w:spacing w:before="563" w:line="240" w:lineRule="auto"/>
        <w:ind w:left="108"/>
        <w:rPr>
          <w:b/>
          <w:color w:val="000000"/>
        </w:rPr>
      </w:pPr>
      <w:r>
        <w:rPr>
          <w:b/>
          <w:color w:val="000000"/>
        </w:rPr>
        <w:t xml:space="preserve">Quality Control Procedures  </w:t>
      </w:r>
    </w:p>
    <w:p w:rsidR="00945B64" w:rsidP="0060703E" w14:paraId="0693FDB2" w14:textId="0A33E26C">
      <w:pPr>
        <w:widowControl w:val="0"/>
        <w:pBdr>
          <w:top w:val="nil"/>
          <w:left w:val="nil"/>
          <w:bottom w:val="nil"/>
          <w:right w:val="nil"/>
          <w:between w:val="nil"/>
        </w:pBdr>
        <w:spacing w:before="155" w:line="263" w:lineRule="auto"/>
        <w:ind w:left="101" w:right="2"/>
        <w:rPr>
          <w:color w:val="000000"/>
        </w:rPr>
      </w:pPr>
      <w:r>
        <w:rPr>
          <w:color w:val="000000"/>
        </w:rPr>
        <w:t xml:space="preserve">The SERL project team attended to quality control in several different ways. Prior to launch, SERL and NCCOS </w:t>
      </w:r>
      <w:r>
        <w:rPr>
          <w:color w:val="000000"/>
        </w:rPr>
        <w:t>staff reviewed and proofed the survey multiple times. SERL also instituted a login credentials requirement for</w:t>
      </w:r>
      <w:r>
        <w:rPr>
          <w:color w:val="000000"/>
        </w:rPr>
        <w:t xml:space="preserve"> the</w:t>
      </w:r>
      <w:r w:rsidR="0096694A">
        <w:rPr>
          <w:color w:val="000000"/>
        </w:rPr>
        <w:t xml:space="preserve"> </w:t>
      </w:r>
      <w:r>
        <w:rPr>
          <w:color w:val="000000"/>
        </w:rPr>
        <w:t>web-based version of the pre-t</w:t>
      </w:r>
      <w:r>
        <w:rPr>
          <w:color w:val="000000"/>
        </w:rPr>
        <w:t>est survey; each respondent had to input a unique survey ID and PIN to start</w:t>
      </w:r>
      <w:r>
        <w:rPr>
          <w:color w:val="000000"/>
        </w:rPr>
        <w:t xml:space="preserve"> the questionnaire. Quality checks of the recruitment materials were done virtually by SERL after receiving pdfs </w:t>
      </w:r>
      <w:r>
        <w:rPr>
          <w:color w:val="000000"/>
        </w:rPr>
        <w:t>proof of the mailing. A SERL staff member was included in each ma</w:t>
      </w:r>
      <w:r>
        <w:rPr>
          <w:color w:val="000000"/>
        </w:rPr>
        <w:t xml:space="preserve">iling as a mailing quality check. For received </w:t>
      </w:r>
      <w:r>
        <w:rPr>
          <w:color w:val="000000"/>
        </w:rPr>
        <w:t xml:space="preserve">paper booklets, SERL recorded the date each survey was received. SERL staff entered the paper booklet data </w:t>
      </w:r>
      <w:r>
        <w:rPr>
          <w:color w:val="000000"/>
        </w:rPr>
        <w:t>in a Qualtrics form (separate from the web survey). A separate SERL staff verified that data from ea</w:t>
      </w:r>
      <w:r>
        <w:rPr>
          <w:color w:val="000000"/>
        </w:rPr>
        <w:t xml:space="preserve">ch paper </w:t>
      </w:r>
      <w:r>
        <w:rPr>
          <w:color w:val="000000"/>
        </w:rPr>
        <w:t xml:space="preserve">survey was entered correctly.  </w:t>
      </w:r>
    </w:p>
    <w:p w:rsidR="00945B64" w14:paraId="767850B4" w14:textId="069A8051">
      <w:pPr>
        <w:widowControl w:val="0"/>
        <w:pBdr>
          <w:top w:val="nil"/>
          <w:left w:val="nil"/>
          <w:bottom w:val="nil"/>
          <w:right w:val="nil"/>
          <w:between w:val="nil"/>
        </w:pBdr>
        <w:spacing w:before="131" w:line="263" w:lineRule="auto"/>
        <w:ind w:left="106" w:right="2" w:firstLine="8"/>
        <w:rPr>
          <w:color w:val="000000"/>
        </w:rPr>
      </w:pPr>
      <w:r>
        <w:rPr>
          <w:color w:val="000000"/>
        </w:rPr>
        <w:t>Based on the timing of each mailing, it is possible that a respondent could have completed the survey online and</w:t>
      </w:r>
      <w:r>
        <w:rPr>
          <w:color w:val="000000"/>
        </w:rPr>
        <w:t xml:space="preserve"> also mailed back a completed booklet. A respondent may have completed the survey online after the li</w:t>
      </w:r>
      <w:r>
        <w:rPr>
          <w:color w:val="000000"/>
        </w:rPr>
        <w:t>st of no</w:t>
      </w:r>
      <w:r>
        <w:rPr>
          <w:color w:val="000000"/>
        </w:rPr>
        <w:t>n</w:t>
      </w:r>
      <w:r w:rsidR="0096694A">
        <w:rPr>
          <w:color w:val="000000"/>
        </w:rPr>
        <w:t>-</w:t>
      </w:r>
      <w:r>
        <w:rPr>
          <w:color w:val="000000"/>
        </w:rPr>
        <w:t xml:space="preserve">respondents was generated and sent to the printing vendor. SERL made every effort to only send mailings to </w:t>
      </w:r>
      <w:r>
        <w:rPr>
          <w:color w:val="000000"/>
        </w:rPr>
        <w:t xml:space="preserve">non-respondents, but it is possible that respondents were included in later mailings depending on when they </w:t>
      </w:r>
      <w:r>
        <w:rPr>
          <w:color w:val="000000"/>
        </w:rPr>
        <w:t>completed their online survey</w:t>
      </w:r>
      <w:r>
        <w:rPr>
          <w:color w:val="000000"/>
        </w:rPr>
        <w:t xml:space="preserve">. </w:t>
      </w:r>
    </w:p>
    <w:p w:rsidR="00945B64" w14:paraId="00BD0EB1" w14:textId="1671BCA7">
      <w:pPr>
        <w:widowControl w:val="0"/>
        <w:pBdr>
          <w:top w:val="nil"/>
          <w:left w:val="nil"/>
          <w:bottom w:val="nil"/>
          <w:right w:val="nil"/>
          <w:between w:val="nil"/>
        </w:pBdr>
        <w:spacing w:before="133" w:line="262" w:lineRule="auto"/>
        <w:ind w:left="101" w:right="3" w:firstLine="7"/>
        <w:rPr>
          <w:color w:val="000000"/>
        </w:rPr>
      </w:pPr>
      <w:r>
        <w:rPr>
          <w:color w:val="000000"/>
        </w:rPr>
        <w:t>SERL did not receive inquiries about the survey at the SERL email address, suggesting the Qualtrics</w:t>
      </w:r>
      <w:r w:rsidR="0096694A">
        <w:rPr>
          <w:color w:val="000000"/>
        </w:rPr>
        <w:t xml:space="preserve"> </w:t>
      </w:r>
      <w:r>
        <w:rPr>
          <w:color w:val="000000"/>
        </w:rPr>
        <w:t>instrument</w:t>
      </w:r>
      <w:r>
        <w:rPr>
          <w:color w:val="000000"/>
        </w:rPr>
        <w:t xml:space="preserve"> worked as intended. </w:t>
      </w:r>
    </w:p>
    <w:p w:rsidR="00945B64" w14:paraId="6FE9552B" w14:textId="77777777">
      <w:pPr>
        <w:widowControl w:val="0"/>
        <w:pBdr>
          <w:top w:val="nil"/>
          <w:left w:val="nil"/>
          <w:bottom w:val="nil"/>
          <w:right w:val="nil"/>
          <w:between w:val="nil"/>
        </w:pBdr>
        <w:spacing w:before="131" w:line="240" w:lineRule="auto"/>
        <w:ind w:left="108"/>
        <w:rPr>
          <w:b/>
          <w:color w:val="000000"/>
        </w:rPr>
      </w:pPr>
      <w:r>
        <w:rPr>
          <w:b/>
          <w:color w:val="000000"/>
        </w:rPr>
        <w:t xml:space="preserve">Challenges to printing and mailing </w:t>
      </w:r>
    </w:p>
    <w:p w:rsidR="00945B64" w:rsidP="0060703E" w14:paraId="65754DA7" w14:textId="3379AD9F">
      <w:pPr>
        <w:widowControl w:val="0"/>
        <w:pBdr>
          <w:top w:val="nil"/>
          <w:left w:val="nil"/>
          <w:bottom w:val="nil"/>
          <w:right w:val="nil"/>
          <w:between w:val="nil"/>
        </w:pBdr>
        <w:spacing w:before="152" w:line="263" w:lineRule="auto"/>
        <w:ind w:left="100" w:right="2" w:firstLine="9"/>
        <w:rPr>
          <w:color w:val="000000"/>
        </w:rPr>
      </w:pPr>
      <w:r>
        <w:rPr>
          <w:color w:val="000000"/>
        </w:rPr>
        <w:t>SERL had previously worked with the printing vendor for multiple large, mail to web sur</w:t>
      </w:r>
      <w:r>
        <w:rPr>
          <w:color w:val="000000"/>
        </w:rPr>
        <w:t xml:space="preserve">veys. The printing vendor </w:t>
      </w:r>
      <w:r>
        <w:rPr>
          <w:color w:val="000000"/>
        </w:rPr>
        <w:t xml:space="preserve">underwent staff changes during December and did not inform SERL. The vendor did not communicate with SERL </w:t>
      </w:r>
      <w:r>
        <w:rPr>
          <w:color w:val="000000"/>
        </w:rPr>
        <w:t xml:space="preserve">over the December holiday that printing of the booklets had been delayed. SERL is seeking out additional printing </w:t>
      </w:r>
      <w:r>
        <w:rPr>
          <w:color w:val="000000"/>
        </w:rPr>
        <w:t xml:space="preserve">vendor </w:t>
      </w:r>
      <w:r>
        <w:rPr>
          <w:color w:val="000000"/>
        </w:rPr>
        <w:t xml:space="preserve">options for the production mailing. </w:t>
      </w:r>
    </w:p>
    <w:p w:rsidR="00945B64" w:rsidP="0060703E" w14:paraId="50457D2B" w14:textId="3208FB45">
      <w:pPr>
        <w:widowControl w:val="0"/>
        <w:pBdr>
          <w:top w:val="nil"/>
          <w:left w:val="nil"/>
          <w:bottom w:val="nil"/>
          <w:right w:val="nil"/>
          <w:between w:val="nil"/>
        </w:pBdr>
        <w:spacing w:before="131" w:line="263" w:lineRule="auto"/>
        <w:ind w:left="106" w:right="4" w:firstLine="8"/>
        <w:rPr>
          <w:color w:val="000000"/>
        </w:rPr>
      </w:pPr>
      <w:r>
        <w:rPr>
          <w:color w:val="000000"/>
        </w:rPr>
        <w:t xml:space="preserve">Based on response times and when SERL staff received each mailing, the invitation letter and postcards </w:t>
      </w:r>
      <w:r>
        <w:rPr>
          <w:color w:val="000000"/>
        </w:rPr>
        <w:t>(mailings 1, 2, and 4) were received within 2 business days of postage. However, the third mailing (booklet) took</w:t>
      </w:r>
      <w:r>
        <w:rPr>
          <w:color w:val="000000"/>
        </w:rPr>
        <w:t xml:space="preserve"> 7-10 days to arrive. Starting on Janu</w:t>
      </w:r>
      <w:r>
        <w:rPr>
          <w:color w:val="000000"/>
        </w:rPr>
        <w:t>ary 6</w:t>
      </w:r>
      <w:r>
        <w:rPr>
          <w:color w:val="000000"/>
          <w:sz w:val="23"/>
          <w:szCs w:val="23"/>
          <w:vertAlign w:val="superscript"/>
        </w:rPr>
        <w:t>th</w:t>
      </w:r>
      <w:r>
        <w:rPr>
          <w:color w:val="000000"/>
        </w:rPr>
        <w:t>, 2025, Richmond and surrounding counties experienced a water</w:t>
      </w:r>
      <w:r>
        <w:rPr>
          <w:color w:val="000000"/>
        </w:rPr>
        <w:t xml:space="preserve"> outage, which may have contributed to delays in mailing since mail was sent from Richmond. SERL tracked </w:t>
      </w:r>
      <w:r>
        <w:rPr>
          <w:color w:val="000000"/>
        </w:rPr>
        <w:t xml:space="preserve">undeliverable mail. To calculate the response rate, these undeliverable mailings </w:t>
      </w:r>
      <w:r>
        <w:rPr>
          <w:color w:val="000000"/>
        </w:rPr>
        <w:t xml:space="preserve">were removed from the initial </w:t>
      </w:r>
      <w:r>
        <w:rPr>
          <w:color w:val="000000"/>
        </w:rPr>
        <w:t xml:space="preserve">sample count.  </w:t>
      </w:r>
    </w:p>
    <w:p w:rsidR="00945B64" w14:paraId="14DFC6E5" w14:textId="77777777">
      <w:pPr>
        <w:widowControl w:val="0"/>
        <w:pBdr>
          <w:top w:val="nil"/>
          <w:left w:val="nil"/>
          <w:bottom w:val="nil"/>
          <w:right w:val="nil"/>
          <w:between w:val="nil"/>
        </w:pBdr>
        <w:spacing w:before="131" w:line="240" w:lineRule="auto"/>
        <w:ind w:left="116"/>
        <w:rPr>
          <w:b/>
          <w:color w:val="000000"/>
          <w:sz w:val="24"/>
          <w:szCs w:val="24"/>
        </w:rPr>
      </w:pPr>
      <w:r>
        <w:rPr>
          <w:b/>
          <w:color w:val="000000"/>
          <w:sz w:val="24"/>
          <w:szCs w:val="24"/>
        </w:rPr>
        <w:t xml:space="preserve">Results and Analysis </w:t>
      </w:r>
    </w:p>
    <w:p w:rsidR="00945B64" w14:paraId="67DE04B9" w14:textId="77777777">
      <w:pPr>
        <w:widowControl w:val="0"/>
        <w:pBdr>
          <w:top w:val="nil"/>
          <w:left w:val="nil"/>
          <w:bottom w:val="nil"/>
          <w:right w:val="nil"/>
          <w:between w:val="nil"/>
        </w:pBdr>
        <w:spacing w:before="159" w:line="240" w:lineRule="auto"/>
        <w:jc w:val="center"/>
        <w:rPr>
          <w:color w:val="000000"/>
        </w:rPr>
      </w:pPr>
      <w:r>
        <w:rPr>
          <w:color w:val="000000"/>
        </w:rPr>
        <w:t xml:space="preserve">Table 2: Pre-test response completions information </w:t>
      </w:r>
    </w:p>
    <w:tbl>
      <w:tblPr>
        <w:tblStyle w:val="a0"/>
        <w:tblW w:w="10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23"/>
        <w:gridCol w:w="1801"/>
        <w:gridCol w:w="1071"/>
        <w:gridCol w:w="1648"/>
        <w:gridCol w:w="2050"/>
        <w:gridCol w:w="2520"/>
      </w:tblGrid>
      <w:tr w14:paraId="58F7AE9B" w14:textId="77777777">
        <w:tblPrEx>
          <w:tblW w:w="10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1131"/>
        </w:trPr>
        <w:tc>
          <w:tcPr>
            <w:tcW w:w="1622" w:type="dxa"/>
            <w:shd w:val="clear" w:color="auto" w:fill="auto"/>
            <w:tcMar>
              <w:top w:w="100" w:type="dxa"/>
              <w:left w:w="100" w:type="dxa"/>
              <w:bottom w:w="100" w:type="dxa"/>
              <w:right w:w="100" w:type="dxa"/>
            </w:tcMar>
          </w:tcPr>
          <w:p w:rsidR="00945B64" w14:paraId="4B681CA0" w14:textId="77777777">
            <w:pPr>
              <w:widowControl w:val="0"/>
              <w:pBdr>
                <w:top w:val="nil"/>
                <w:left w:val="nil"/>
                <w:bottom w:val="nil"/>
                <w:right w:val="nil"/>
                <w:between w:val="nil"/>
              </w:pBdr>
              <w:spacing w:line="240" w:lineRule="auto"/>
              <w:jc w:val="center"/>
              <w:rPr>
                <w:b/>
                <w:color w:val="000000"/>
              </w:rPr>
            </w:pPr>
            <w:r>
              <w:rPr>
                <w:b/>
                <w:color w:val="000000"/>
              </w:rPr>
              <w:t xml:space="preserve">Initial Sample </w:t>
            </w:r>
          </w:p>
        </w:tc>
        <w:tc>
          <w:tcPr>
            <w:tcW w:w="1800" w:type="dxa"/>
            <w:shd w:val="clear" w:color="auto" w:fill="auto"/>
            <w:tcMar>
              <w:top w:w="100" w:type="dxa"/>
              <w:left w:w="100" w:type="dxa"/>
              <w:bottom w:w="100" w:type="dxa"/>
              <w:right w:w="100" w:type="dxa"/>
            </w:tcMar>
          </w:tcPr>
          <w:p w:rsidR="00945B64" w14:paraId="741F03C8" w14:textId="77777777">
            <w:pPr>
              <w:widowControl w:val="0"/>
              <w:pBdr>
                <w:top w:val="nil"/>
                <w:left w:val="nil"/>
                <w:bottom w:val="nil"/>
                <w:right w:val="nil"/>
                <w:between w:val="nil"/>
              </w:pBdr>
              <w:spacing w:line="228" w:lineRule="auto"/>
              <w:ind w:left="119" w:right="249" w:firstLine="1"/>
              <w:rPr>
                <w:b/>
                <w:color w:val="000000"/>
              </w:rPr>
            </w:pPr>
            <w:r>
              <w:rPr>
                <w:b/>
                <w:color w:val="000000"/>
              </w:rPr>
              <w:t>Undeliverable mail</w:t>
            </w:r>
          </w:p>
        </w:tc>
        <w:tc>
          <w:tcPr>
            <w:tcW w:w="1071" w:type="dxa"/>
            <w:shd w:val="clear" w:color="auto" w:fill="auto"/>
            <w:tcMar>
              <w:top w:w="100" w:type="dxa"/>
              <w:left w:w="100" w:type="dxa"/>
              <w:bottom w:w="100" w:type="dxa"/>
              <w:right w:w="100" w:type="dxa"/>
            </w:tcMar>
          </w:tcPr>
          <w:p w:rsidR="00945B64" w14:paraId="64E111CE" w14:textId="77777777">
            <w:pPr>
              <w:widowControl w:val="0"/>
              <w:pBdr>
                <w:top w:val="nil"/>
                <w:left w:val="nil"/>
                <w:bottom w:val="nil"/>
                <w:right w:val="nil"/>
                <w:between w:val="nil"/>
              </w:pBdr>
              <w:spacing w:line="240" w:lineRule="auto"/>
              <w:ind w:left="109"/>
              <w:rPr>
                <w:b/>
                <w:color w:val="000000"/>
              </w:rPr>
            </w:pPr>
            <w:r>
              <w:rPr>
                <w:b/>
                <w:color w:val="000000"/>
              </w:rPr>
              <w:t xml:space="preserve">Web  </w:t>
            </w:r>
          </w:p>
          <w:p w:rsidR="00945B64" w14:paraId="2974F94F" w14:textId="5C06A951">
            <w:pPr>
              <w:widowControl w:val="0"/>
              <w:pBdr>
                <w:top w:val="nil"/>
                <w:left w:val="nil"/>
                <w:bottom w:val="nil"/>
                <w:right w:val="nil"/>
                <w:between w:val="nil"/>
              </w:pBdr>
              <w:spacing w:line="230" w:lineRule="auto"/>
              <w:ind w:left="121" w:right="121" w:hanging="7"/>
              <w:rPr>
                <w:b/>
                <w:color w:val="000000"/>
              </w:rPr>
            </w:pPr>
            <w:r>
              <w:rPr>
                <w:b/>
                <w:color w:val="000000"/>
                <w:highlight w:val="white"/>
              </w:rPr>
              <w:t>com</w:t>
            </w:r>
            <w:r w:rsidR="0096694A">
              <w:rPr>
                <w:b/>
                <w:color w:val="000000"/>
                <w:highlight w:val="white"/>
              </w:rPr>
              <w:t>p</w:t>
            </w:r>
            <w:r>
              <w:rPr>
                <w:b/>
                <w:color w:val="000000"/>
                <w:highlight w:val="white"/>
              </w:rPr>
              <w:t>let</w:t>
            </w:r>
            <w:r>
              <w:rPr>
                <w:b/>
                <w:color w:val="000000"/>
              </w:rPr>
              <w:t>ions</w:t>
            </w:r>
          </w:p>
        </w:tc>
        <w:tc>
          <w:tcPr>
            <w:tcW w:w="1648" w:type="dxa"/>
            <w:shd w:val="clear" w:color="auto" w:fill="auto"/>
            <w:tcMar>
              <w:top w:w="100" w:type="dxa"/>
              <w:left w:w="100" w:type="dxa"/>
              <w:bottom w:w="100" w:type="dxa"/>
              <w:right w:w="100" w:type="dxa"/>
            </w:tcMar>
          </w:tcPr>
          <w:p w:rsidR="00945B64" w14:paraId="078D0DA4" w14:textId="77777777">
            <w:pPr>
              <w:widowControl w:val="0"/>
              <w:pBdr>
                <w:top w:val="nil"/>
                <w:left w:val="nil"/>
                <w:bottom w:val="nil"/>
                <w:right w:val="nil"/>
                <w:between w:val="nil"/>
              </w:pBdr>
              <w:spacing w:line="240" w:lineRule="auto"/>
              <w:ind w:left="122"/>
              <w:rPr>
                <w:b/>
                <w:color w:val="000000"/>
              </w:rPr>
            </w:pPr>
            <w:r>
              <w:rPr>
                <w:b/>
                <w:color w:val="000000"/>
              </w:rPr>
              <w:t xml:space="preserve">Paper  </w:t>
            </w:r>
          </w:p>
          <w:p w:rsidR="00945B64" w14:paraId="4950FA0F" w14:textId="77777777">
            <w:pPr>
              <w:widowControl w:val="0"/>
              <w:pBdr>
                <w:top w:val="nil"/>
                <w:left w:val="nil"/>
                <w:bottom w:val="nil"/>
                <w:right w:val="nil"/>
                <w:between w:val="nil"/>
              </w:pBdr>
              <w:spacing w:line="240" w:lineRule="auto"/>
              <w:ind w:left="113"/>
              <w:rPr>
                <w:b/>
                <w:color w:val="000000"/>
              </w:rPr>
            </w:pPr>
            <w:r>
              <w:rPr>
                <w:b/>
                <w:color w:val="000000"/>
              </w:rPr>
              <w:t>completions</w:t>
            </w:r>
          </w:p>
        </w:tc>
        <w:tc>
          <w:tcPr>
            <w:tcW w:w="2050" w:type="dxa"/>
            <w:shd w:val="clear" w:color="auto" w:fill="auto"/>
            <w:tcMar>
              <w:top w:w="100" w:type="dxa"/>
              <w:left w:w="100" w:type="dxa"/>
              <w:bottom w:w="100" w:type="dxa"/>
              <w:right w:w="100" w:type="dxa"/>
            </w:tcMar>
          </w:tcPr>
          <w:p w:rsidR="00945B64" w14:paraId="4295F51B" w14:textId="77777777">
            <w:pPr>
              <w:widowControl w:val="0"/>
              <w:pBdr>
                <w:top w:val="nil"/>
                <w:left w:val="nil"/>
                <w:bottom w:val="nil"/>
                <w:right w:val="nil"/>
                <w:between w:val="nil"/>
              </w:pBdr>
              <w:spacing w:line="240" w:lineRule="auto"/>
              <w:ind w:left="125"/>
              <w:rPr>
                <w:b/>
                <w:color w:val="000000"/>
              </w:rPr>
            </w:pPr>
            <w:r>
              <w:rPr>
                <w:b/>
                <w:color w:val="000000"/>
              </w:rPr>
              <w:t xml:space="preserve">Duplicate*  </w:t>
            </w:r>
          </w:p>
          <w:p w:rsidR="00945B64" w14:paraId="0DE8D69E" w14:textId="77777777">
            <w:pPr>
              <w:widowControl w:val="0"/>
              <w:pBdr>
                <w:top w:val="nil"/>
                <w:left w:val="nil"/>
                <w:bottom w:val="nil"/>
                <w:right w:val="nil"/>
                <w:between w:val="nil"/>
              </w:pBdr>
              <w:spacing w:line="240" w:lineRule="auto"/>
              <w:ind w:left="115"/>
              <w:rPr>
                <w:b/>
                <w:color w:val="000000"/>
              </w:rPr>
            </w:pPr>
            <w:r>
              <w:rPr>
                <w:b/>
                <w:color w:val="000000"/>
              </w:rPr>
              <w:t>completions</w:t>
            </w:r>
          </w:p>
        </w:tc>
        <w:tc>
          <w:tcPr>
            <w:tcW w:w="2520" w:type="dxa"/>
            <w:shd w:val="clear" w:color="auto" w:fill="auto"/>
            <w:tcMar>
              <w:top w:w="100" w:type="dxa"/>
              <w:left w:w="100" w:type="dxa"/>
              <w:bottom w:w="100" w:type="dxa"/>
              <w:right w:w="100" w:type="dxa"/>
            </w:tcMar>
          </w:tcPr>
          <w:p w:rsidR="00945B64" w14:paraId="387E1BA7" w14:textId="77777777">
            <w:pPr>
              <w:widowControl w:val="0"/>
              <w:pBdr>
                <w:top w:val="nil"/>
                <w:left w:val="nil"/>
                <w:bottom w:val="nil"/>
                <w:right w:val="nil"/>
                <w:between w:val="nil"/>
              </w:pBdr>
              <w:spacing w:line="240" w:lineRule="auto"/>
              <w:ind w:left="124"/>
              <w:rPr>
                <w:b/>
                <w:color w:val="000000"/>
              </w:rPr>
            </w:pPr>
            <w:r>
              <w:rPr>
                <w:b/>
                <w:color w:val="000000"/>
              </w:rPr>
              <w:t>Response rate</w:t>
            </w:r>
          </w:p>
        </w:tc>
      </w:tr>
      <w:tr w14:paraId="23B455BC" w14:textId="77777777">
        <w:tblPrEx>
          <w:tblW w:w="10713" w:type="dxa"/>
          <w:tblLayout w:type="fixed"/>
          <w:tblLook w:val="0600"/>
        </w:tblPrEx>
        <w:trPr>
          <w:trHeight w:val="624"/>
        </w:trPr>
        <w:tc>
          <w:tcPr>
            <w:tcW w:w="1622" w:type="dxa"/>
            <w:shd w:val="clear" w:color="auto" w:fill="auto"/>
            <w:tcMar>
              <w:top w:w="100" w:type="dxa"/>
              <w:left w:w="100" w:type="dxa"/>
              <w:bottom w:w="100" w:type="dxa"/>
              <w:right w:w="100" w:type="dxa"/>
            </w:tcMar>
          </w:tcPr>
          <w:p w:rsidR="00945B64" w14:paraId="30F26174" w14:textId="77777777">
            <w:pPr>
              <w:widowControl w:val="0"/>
              <w:pBdr>
                <w:top w:val="nil"/>
                <w:left w:val="nil"/>
                <w:bottom w:val="nil"/>
                <w:right w:val="nil"/>
                <w:between w:val="nil"/>
              </w:pBdr>
              <w:spacing w:line="240" w:lineRule="auto"/>
              <w:jc w:val="center"/>
              <w:rPr>
                <w:color w:val="000000"/>
              </w:rPr>
            </w:pPr>
            <w:r>
              <w:rPr>
                <w:color w:val="000000"/>
              </w:rPr>
              <w:t xml:space="preserve">1171 </w:t>
            </w:r>
          </w:p>
        </w:tc>
        <w:tc>
          <w:tcPr>
            <w:tcW w:w="1800" w:type="dxa"/>
            <w:shd w:val="clear" w:color="auto" w:fill="auto"/>
            <w:tcMar>
              <w:top w:w="100" w:type="dxa"/>
              <w:left w:w="100" w:type="dxa"/>
              <w:bottom w:w="100" w:type="dxa"/>
              <w:right w:w="100" w:type="dxa"/>
            </w:tcMar>
          </w:tcPr>
          <w:p w:rsidR="00945B64" w14:paraId="5D915D41" w14:textId="77777777">
            <w:pPr>
              <w:widowControl w:val="0"/>
              <w:pBdr>
                <w:top w:val="nil"/>
                <w:left w:val="nil"/>
                <w:bottom w:val="nil"/>
                <w:right w:val="nil"/>
                <w:between w:val="nil"/>
              </w:pBdr>
              <w:spacing w:line="240" w:lineRule="auto"/>
              <w:jc w:val="center"/>
              <w:rPr>
                <w:color w:val="000000"/>
              </w:rPr>
            </w:pPr>
            <w:r>
              <w:rPr>
                <w:color w:val="000000"/>
              </w:rPr>
              <w:t xml:space="preserve">9 </w:t>
            </w:r>
          </w:p>
        </w:tc>
        <w:tc>
          <w:tcPr>
            <w:tcW w:w="1071" w:type="dxa"/>
            <w:shd w:val="clear" w:color="auto" w:fill="auto"/>
            <w:tcMar>
              <w:top w:w="100" w:type="dxa"/>
              <w:left w:w="100" w:type="dxa"/>
              <w:bottom w:w="100" w:type="dxa"/>
              <w:right w:w="100" w:type="dxa"/>
            </w:tcMar>
          </w:tcPr>
          <w:p w:rsidR="00945B64" w14:paraId="2CB376B5" w14:textId="77777777">
            <w:pPr>
              <w:widowControl w:val="0"/>
              <w:pBdr>
                <w:top w:val="nil"/>
                <w:left w:val="nil"/>
                <w:bottom w:val="nil"/>
                <w:right w:val="nil"/>
                <w:between w:val="nil"/>
              </w:pBdr>
              <w:spacing w:line="240" w:lineRule="auto"/>
              <w:jc w:val="center"/>
              <w:rPr>
                <w:color w:val="000000"/>
              </w:rPr>
            </w:pPr>
            <w:r>
              <w:rPr>
                <w:color w:val="000000"/>
              </w:rPr>
              <w:t xml:space="preserve">122 </w:t>
            </w:r>
          </w:p>
        </w:tc>
        <w:tc>
          <w:tcPr>
            <w:tcW w:w="1648" w:type="dxa"/>
            <w:shd w:val="clear" w:color="auto" w:fill="auto"/>
            <w:tcMar>
              <w:top w:w="100" w:type="dxa"/>
              <w:left w:w="100" w:type="dxa"/>
              <w:bottom w:w="100" w:type="dxa"/>
              <w:right w:w="100" w:type="dxa"/>
            </w:tcMar>
          </w:tcPr>
          <w:p w:rsidR="00945B64" w14:paraId="7BDDCD66" w14:textId="77777777">
            <w:pPr>
              <w:widowControl w:val="0"/>
              <w:pBdr>
                <w:top w:val="nil"/>
                <w:left w:val="nil"/>
                <w:bottom w:val="nil"/>
                <w:right w:val="nil"/>
                <w:between w:val="nil"/>
              </w:pBdr>
              <w:spacing w:line="240" w:lineRule="auto"/>
              <w:jc w:val="center"/>
              <w:rPr>
                <w:color w:val="000000"/>
              </w:rPr>
            </w:pPr>
            <w:r>
              <w:rPr>
                <w:color w:val="000000"/>
              </w:rPr>
              <w:t xml:space="preserve">32 </w:t>
            </w:r>
          </w:p>
        </w:tc>
        <w:tc>
          <w:tcPr>
            <w:tcW w:w="2050" w:type="dxa"/>
            <w:shd w:val="clear" w:color="auto" w:fill="auto"/>
            <w:tcMar>
              <w:top w:w="100" w:type="dxa"/>
              <w:left w:w="100" w:type="dxa"/>
              <w:bottom w:w="100" w:type="dxa"/>
              <w:right w:w="100" w:type="dxa"/>
            </w:tcMar>
          </w:tcPr>
          <w:p w:rsidR="00945B64" w14:paraId="071DC57C" w14:textId="77777777">
            <w:pPr>
              <w:widowControl w:val="0"/>
              <w:pBdr>
                <w:top w:val="nil"/>
                <w:left w:val="nil"/>
                <w:bottom w:val="nil"/>
                <w:right w:val="nil"/>
                <w:between w:val="nil"/>
              </w:pBdr>
              <w:spacing w:line="240" w:lineRule="auto"/>
              <w:jc w:val="center"/>
              <w:rPr>
                <w:color w:val="000000"/>
              </w:rPr>
            </w:pPr>
            <w:r>
              <w:rPr>
                <w:color w:val="000000"/>
              </w:rPr>
              <w:t xml:space="preserve">1 </w:t>
            </w:r>
          </w:p>
        </w:tc>
        <w:tc>
          <w:tcPr>
            <w:tcW w:w="2520" w:type="dxa"/>
            <w:shd w:val="clear" w:color="auto" w:fill="auto"/>
            <w:tcMar>
              <w:top w:w="100" w:type="dxa"/>
              <w:left w:w="100" w:type="dxa"/>
              <w:bottom w:w="100" w:type="dxa"/>
              <w:right w:w="100" w:type="dxa"/>
            </w:tcMar>
          </w:tcPr>
          <w:p w:rsidR="00945B64" w14:paraId="1C2DCA3D" w14:textId="77777777">
            <w:pPr>
              <w:widowControl w:val="0"/>
              <w:pBdr>
                <w:top w:val="nil"/>
                <w:left w:val="nil"/>
                <w:bottom w:val="nil"/>
                <w:right w:val="nil"/>
                <w:between w:val="nil"/>
              </w:pBdr>
              <w:spacing w:line="240" w:lineRule="auto"/>
              <w:jc w:val="center"/>
              <w:rPr>
                <w:color w:val="000000"/>
              </w:rPr>
            </w:pPr>
            <w:r>
              <w:rPr>
                <w:color w:val="000000"/>
              </w:rPr>
              <w:t>13.2%</w:t>
            </w:r>
          </w:p>
        </w:tc>
      </w:tr>
    </w:tbl>
    <w:p w:rsidR="00945B64" w14:paraId="5849E363" w14:textId="46721EF7">
      <w:pPr>
        <w:widowControl w:val="0"/>
        <w:pBdr>
          <w:top w:val="nil"/>
          <w:left w:val="nil"/>
          <w:bottom w:val="nil"/>
          <w:right w:val="nil"/>
          <w:between w:val="nil"/>
        </w:pBdr>
        <w:spacing w:line="230" w:lineRule="auto"/>
        <w:ind w:left="115" w:right="2" w:hanging="8"/>
      </w:pPr>
      <w:r>
        <w:rPr>
          <w:color w:val="000000"/>
        </w:rPr>
        <w:t xml:space="preserve">*If respondent completed both web and paper surveys, their completion was only counted once in the </w:t>
      </w:r>
      <w:r>
        <w:rPr>
          <w:color w:val="000000"/>
        </w:rPr>
        <w:t>response/completion rates.</w:t>
      </w:r>
    </w:p>
    <w:p w:rsidR="00945B64" w14:paraId="25A541DB" w14:textId="77777777">
      <w:pPr>
        <w:widowControl w:val="0"/>
        <w:pBdr>
          <w:top w:val="nil"/>
          <w:left w:val="nil"/>
          <w:bottom w:val="nil"/>
          <w:right w:val="nil"/>
          <w:between w:val="nil"/>
        </w:pBdr>
        <w:spacing w:before="563" w:line="240" w:lineRule="auto"/>
        <w:ind w:left="114"/>
        <w:rPr>
          <w:b/>
          <w:color w:val="000000"/>
        </w:rPr>
      </w:pPr>
      <w:r>
        <w:rPr>
          <w:b/>
          <w:color w:val="000000"/>
        </w:rPr>
        <w:t xml:space="preserve">Undeliverable mail </w:t>
      </w:r>
    </w:p>
    <w:p w:rsidR="00945B64" w14:paraId="4FDC2FD2" w14:textId="231ACD63">
      <w:pPr>
        <w:widowControl w:val="0"/>
        <w:pBdr>
          <w:top w:val="nil"/>
          <w:left w:val="nil"/>
          <w:bottom w:val="nil"/>
          <w:right w:val="nil"/>
          <w:between w:val="nil"/>
        </w:pBdr>
        <w:spacing w:before="155" w:line="262" w:lineRule="auto"/>
        <w:ind w:left="111" w:right="6" w:hanging="1"/>
        <w:rPr>
          <w:color w:val="000000"/>
        </w:rPr>
      </w:pPr>
      <w:r>
        <w:rPr>
          <w:color w:val="000000"/>
        </w:rPr>
        <w:t xml:space="preserve">SERL received a total of 9 pieces of mail as undeliverable mail – seven invitation letters were returned and </w:t>
      </w:r>
      <w:r>
        <w:rPr>
          <w:color w:val="000000"/>
        </w:rPr>
        <w:t xml:space="preserve">two </w:t>
      </w:r>
      <w:r>
        <w:rPr>
          <w:color w:val="000000"/>
        </w:rPr>
        <w:t xml:space="preserve">paper booklets packets. It is possible that SERL will receive additional undeliverable mailing materials. </w:t>
      </w:r>
    </w:p>
    <w:p w:rsidR="00945B64" w14:paraId="4D236D25" w14:textId="77777777">
      <w:pPr>
        <w:widowControl w:val="0"/>
        <w:pBdr>
          <w:top w:val="nil"/>
          <w:left w:val="nil"/>
          <w:bottom w:val="nil"/>
          <w:right w:val="nil"/>
          <w:between w:val="nil"/>
        </w:pBdr>
        <w:spacing w:before="131" w:line="240" w:lineRule="auto"/>
        <w:ind w:left="115"/>
        <w:rPr>
          <w:b/>
          <w:color w:val="000000"/>
        </w:rPr>
      </w:pPr>
      <w:r>
        <w:rPr>
          <w:b/>
          <w:color w:val="000000"/>
        </w:rPr>
        <w:t xml:space="preserve">Response and completion rates </w:t>
      </w:r>
    </w:p>
    <w:p w:rsidR="00945B64" w:rsidP="0060703E" w14:paraId="631F06D2" w14:textId="4B7A4B1F">
      <w:pPr>
        <w:widowControl w:val="0"/>
        <w:pBdr>
          <w:top w:val="nil"/>
          <w:left w:val="nil"/>
          <w:bottom w:val="nil"/>
          <w:right w:val="nil"/>
          <w:between w:val="nil"/>
        </w:pBdr>
        <w:spacing w:before="152" w:line="263" w:lineRule="auto"/>
        <w:ind w:left="101" w:right="3" w:firstLine="7"/>
        <w:rPr>
          <w:color w:val="000000"/>
        </w:rPr>
      </w:pPr>
      <w:r>
        <w:rPr>
          <w:color w:val="000000"/>
        </w:rPr>
        <w:t xml:space="preserve">SERL received a total of 154 responses, with one respondent completing the survey both by paper and web, for </w:t>
      </w:r>
      <w:r>
        <w:rPr>
          <w:color w:val="000000"/>
        </w:rPr>
        <w:t>a total of 153 unique completions and an overall response rate of 13.2% (153/1162, Table 2). Thirty-two respondents completed the survey via paper</w:t>
      </w:r>
      <w:r>
        <w:rPr>
          <w:color w:val="000000"/>
        </w:rPr>
        <w:t xml:space="preserve">. This was 3.0% of all booklets sent out and received by respondents </w:t>
      </w:r>
      <w:r>
        <w:rPr>
          <w:color w:val="000000"/>
        </w:rPr>
        <w:t xml:space="preserve">(n = 1065), and 20.9% of all survey completions. Over 96% of web-based participants (118) made it all the way </w:t>
      </w:r>
      <w:r>
        <w:rPr>
          <w:color w:val="000000"/>
        </w:rPr>
        <w:t>through the survey once they started. Three web respondents answered less t</w:t>
      </w:r>
      <w:r>
        <w:rPr>
          <w:color w:val="000000"/>
        </w:rPr>
        <w:t xml:space="preserve">han 80% of questions and one </w:t>
      </w:r>
      <w:r>
        <w:rPr>
          <w:color w:val="000000"/>
        </w:rPr>
        <w:t xml:space="preserve">paper respondent answered only one question. Excluding these four individuals, the completion rate would be </w:t>
      </w:r>
      <w:r>
        <w:rPr>
          <w:color w:val="000000"/>
        </w:rPr>
        <w:t xml:space="preserve">149/1162 = 12.8%.  </w:t>
      </w:r>
    </w:p>
    <w:p w:rsidR="00945B64" w:rsidP="0060703E" w14:paraId="38559316" w14:textId="77777777">
      <w:pPr>
        <w:widowControl w:val="0"/>
        <w:pBdr>
          <w:top w:val="nil"/>
          <w:left w:val="nil"/>
          <w:bottom w:val="nil"/>
          <w:right w:val="nil"/>
          <w:between w:val="nil"/>
        </w:pBdr>
        <w:spacing w:before="131" w:line="240" w:lineRule="auto"/>
        <w:ind w:left="101"/>
        <w:rPr>
          <w:b/>
          <w:color w:val="000000"/>
        </w:rPr>
      </w:pPr>
      <w:r>
        <w:rPr>
          <w:b/>
          <w:color w:val="000000"/>
        </w:rPr>
        <w:t xml:space="preserve">Timing of responses  </w:t>
      </w:r>
    </w:p>
    <w:p w:rsidR="00945B64" w:rsidP="0060703E" w14:paraId="45F882F1" w14:textId="704F6CAC">
      <w:pPr>
        <w:widowControl w:val="0"/>
        <w:pBdr>
          <w:top w:val="nil"/>
          <w:left w:val="nil"/>
          <w:bottom w:val="nil"/>
          <w:right w:val="nil"/>
          <w:between w:val="nil"/>
        </w:pBdr>
        <w:spacing w:before="152" w:line="257" w:lineRule="auto"/>
        <w:ind w:left="101" w:right="2"/>
        <w:rPr>
          <w:i/>
          <w:color w:val="000000"/>
        </w:rPr>
      </w:pPr>
      <w:r>
        <w:rPr>
          <w:color w:val="000000"/>
        </w:rPr>
        <w:t xml:space="preserve">Assuming respondents received the first reminder postcard (mailed on December 4, 2024) on December 6, </w:t>
      </w:r>
      <w:r>
        <w:rPr>
          <w:color w:val="000000"/>
        </w:rPr>
        <w:t>2024,</w:t>
      </w:r>
      <w:r w:rsidR="0060703E">
        <w:rPr>
          <w:color w:val="000000"/>
        </w:rPr>
        <w:t xml:space="preserve"> </w:t>
      </w:r>
      <w:r>
        <w:rPr>
          <w:color w:val="000000"/>
        </w:rPr>
        <w:t xml:space="preserve">the first 64 completions would be attributed to the invitation letter (52.5% of total web completions). The </w:t>
      </w:r>
      <w:r>
        <w:rPr>
          <w:color w:val="000000"/>
        </w:rPr>
        <w:t>third mailing (the booklet) was mailed</w:t>
      </w:r>
      <w:r>
        <w:rPr>
          <w:color w:val="000000"/>
        </w:rPr>
        <w:t xml:space="preserve"> from Richmond on January 6, 2025. However, SERL staff in the mailing </w:t>
      </w:r>
      <w:r>
        <w:rPr>
          <w:color w:val="000000"/>
        </w:rPr>
        <w:t>did not receive the booklet until January 17, 2025. Completions between December 7</w:t>
      </w:r>
      <w:r>
        <w:rPr>
          <w:color w:val="000000"/>
          <w:sz w:val="23"/>
          <w:szCs w:val="23"/>
          <w:vertAlign w:val="superscript"/>
        </w:rPr>
        <w:t xml:space="preserve">th </w:t>
      </w:r>
      <w:r>
        <w:rPr>
          <w:color w:val="000000"/>
        </w:rPr>
        <w:t>and January 17</w:t>
      </w:r>
      <w:r>
        <w:rPr>
          <w:color w:val="000000"/>
          <w:sz w:val="23"/>
          <w:szCs w:val="23"/>
          <w:vertAlign w:val="superscript"/>
        </w:rPr>
        <w:t xml:space="preserve">th </w:t>
      </w:r>
      <w:r>
        <w:rPr>
          <w:color w:val="000000"/>
        </w:rPr>
        <w:t xml:space="preserve">could </w:t>
      </w:r>
      <w:r>
        <w:rPr>
          <w:color w:val="000000"/>
        </w:rPr>
        <w:t xml:space="preserve">be attributed to the first postcard reminder. Assuming receipt of the third mailing was similarly delayed, it is </w:t>
      </w:r>
      <w:r>
        <w:rPr>
          <w:color w:val="000000"/>
        </w:rPr>
        <w:t xml:space="preserve">possible respondents received their packet followed closely by the final postcard reminder. Key mailing dates </w:t>
      </w:r>
      <w:r>
        <w:rPr>
          <w:color w:val="000000"/>
        </w:rPr>
        <w:t>and completions are show</w:t>
      </w:r>
      <w:r>
        <w:rPr>
          <w:color w:val="000000"/>
        </w:rPr>
        <w:t xml:space="preserve">n in Figure 1. In addition to the paper completions, the booklet mailing also resulted </w:t>
      </w:r>
      <w:r>
        <w:rPr>
          <w:color w:val="000000"/>
        </w:rPr>
        <w:t xml:space="preserve">in boosting later web responses as evidenced by the 11 web completions in late January. The median response </w:t>
      </w:r>
      <w:r>
        <w:rPr>
          <w:color w:val="000000"/>
        </w:rPr>
        <w:t>time was 28 days. Approximately 81% of paper surveys were r</w:t>
      </w:r>
      <w:r>
        <w:rPr>
          <w:color w:val="000000"/>
        </w:rPr>
        <w:t xml:space="preserve">eceived within 31 days of the initial mailings. </w:t>
      </w:r>
      <w:r>
        <w:rPr>
          <w:i/>
          <w:noProof/>
          <w:color w:val="000000"/>
        </w:rPr>
        <w:drawing>
          <wp:inline distT="19050" distB="19050" distL="19050" distR="19050">
            <wp:extent cx="6747255" cy="379533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5"/>
                    <a:stretch>
                      <a:fillRect/>
                    </a:stretch>
                  </pic:blipFill>
                  <pic:spPr>
                    <a:xfrm>
                      <a:off x="0" y="0"/>
                      <a:ext cx="6747255" cy="3795331"/>
                    </a:xfrm>
                    <a:prstGeom prst="rect">
                      <a:avLst/>
                    </a:prstGeom>
                  </pic:spPr>
                </pic:pic>
              </a:graphicData>
            </a:graphic>
          </wp:inline>
        </w:drawing>
      </w:r>
    </w:p>
    <w:p w:rsidR="00945B64" w14:paraId="69C42A1F" w14:textId="77777777">
      <w:pPr>
        <w:widowControl w:val="0"/>
        <w:pBdr>
          <w:top w:val="nil"/>
          <w:left w:val="nil"/>
          <w:bottom w:val="nil"/>
          <w:right w:val="nil"/>
          <w:between w:val="nil"/>
        </w:pBdr>
        <w:spacing w:line="199" w:lineRule="auto"/>
        <w:rPr>
          <w:i/>
          <w:color w:val="000000"/>
          <w:sz w:val="19"/>
          <w:szCs w:val="19"/>
        </w:rPr>
      </w:pPr>
      <w:r>
        <w:rPr>
          <w:i/>
          <w:color w:val="000000"/>
          <w:sz w:val="19"/>
          <w:szCs w:val="19"/>
        </w:rPr>
        <w:t>Figure 1: Timing of completions by mode</w:t>
      </w:r>
    </w:p>
    <w:p w:rsidR="00945B64" w14:paraId="2590C78C" w14:textId="77777777">
      <w:pPr>
        <w:widowControl w:val="0"/>
        <w:pBdr>
          <w:top w:val="nil"/>
          <w:left w:val="nil"/>
          <w:bottom w:val="nil"/>
          <w:right w:val="nil"/>
          <w:between w:val="nil"/>
        </w:pBdr>
        <w:spacing w:before="995" w:line="240" w:lineRule="auto"/>
        <w:ind w:left="108"/>
        <w:rPr>
          <w:b/>
        </w:rPr>
      </w:pPr>
    </w:p>
    <w:p w:rsidR="00945B64" w14:paraId="3E4408FF" w14:textId="77777777">
      <w:pPr>
        <w:widowControl w:val="0"/>
        <w:pBdr>
          <w:top w:val="nil"/>
          <w:left w:val="nil"/>
          <w:bottom w:val="nil"/>
          <w:right w:val="nil"/>
          <w:between w:val="nil"/>
        </w:pBdr>
        <w:spacing w:before="995" w:line="240" w:lineRule="auto"/>
        <w:ind w:left="108"/>
        <w:rPr>
          <w:b/>
          <w:color w:val="000000"/>
        </w:rPr>
      </w:pPr>
      <w:r>
        <w:rPr>
          <w:b/>
          <w:color w:val="000000"/>
        </w:rPr>
        <w:t xml:space="preserve">Geographic distribution of pre-test respondents  </w:t>
      </w:r>
    </w:p>
    <w:p w:rsidR="00945B64" w:rsidP="0096694A" w14:paraId="5319EEE2" w14:textId="564618C5">
      <w:pPr>
        <w:widowControl w:val="0"/>
        <w:pBdr>
          <w:top w:val="nil"/>
          <w:left w:val="nil"/>
          <w:bottom w:val="nil"/>
          <w:right w:val="nil"/>
          <w:between w:val="nil"/>
        </w:pBdr>
        <w:spacing w:before="152" w:line="213" w:lineRule="auto"/>
        <w:ind w:left="98" w:right="9"/>
        <w:rPr>
          <w:i/>
          <w:color w:val="000000"/>
          <w:sz w:val="19"/>
          <w:szCs w:val="19"/>
        </w:rPr>
      </w:pPr>
      <w:r>
        <w:rPr>
          <w:color w:val="000000"/>
        </w:rPr>
        <w:t xml:space="preserve">The geographic distribution of respondents by completion method is displayed in Figure 2. Locations were </w:t>
      </w:r>
      <w:r>
        <w:rPr>
          <w:color w:val="000000"/>
        </w:rPr>
        <w:t xml:space="preserve">mapped using latitude/longitude coordinates of respondents’ sampled mailing addresses. </w:t>
      </w:r>
      <w:r>
        <w:rPr>
          <w:noProof/>
          <w:color w:val="000000"/>
        </w:rPr>
        <w:drawing>
          <wp:inline distT="19050" distB="19050" distL="19050" distR="19050">
            <wp:extent cx="5943600" cy="2676526"/>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2" name="image3.jpg"/>
                    <pic:cNvPicPr/>
                  </pic:nvPicPr>
                  <pic:blipFill>
                    <a:blip xmlns:r="http://schemas.openxmlformats.org/officeDocument/2006/relationships" r:embed="rId6"/>
                    <a:srcRect t="469" b="469"/>
                    <a:stretch>
                      <a:fillRect/>
                    </a:stretch>
                  </pic:blipFill>
                  <pic:spPr>
                    <a:xfrm>
                      <a:off x="0" y="0"/>
                      <a:ext cx="5943600" cy="2676526"/>
                    </a:xfrm>
                    <a:prstGeom prst="rect">
                      <a:avLst/>
                    </a:prstGeom>
                  </pic:spPr>
                </pic:pic>
              </a:graphicData>
            </a:graphic>
          </wp:inline>
        </w:drawing>
      </w:r>
      <w:r>
        <w:rPr>
          <w:color w:val="000000"/>
        </w:rPr>
        <w:br/>
      </w:r>
      <w:r>
        <w:rPr>
          <w:i/>
          <w:color w:val="000000"/>
          <w:sz w:val="19"/>
          <w:szCs w:val="19"/>
        </w:rPr>
        <w:t xml:space="preserve">Figure 2: Geographic distributions of respondents </w:t>
      </w:r>
    </w:p>
    <w:p w:rsidR="00945B64" w14:paraId="24EE428C" w14:textId="77777777">
      <w:pPr>
        <w:widowControl w:val="0"/>
        <w:pBdr>
          <w:top w:val="nil"/>
          <w:left w:val="nil"/>
          <w:bottom w:val="nil"/>
          <w:right w:val="nil"/>
          <w:between w:val="nil"/>
        </w:pBdr>
        <w:spacing w:before="140" w:line="240" w:lineRule="auto"/>
        <w:ind w:left="101"/>
        <w:rPr>
          <w:b/>
          <w:color w:val="000000"/>
        </w:rPr>
      </w:pPr>
      <w:r>
        <w:rPr>
          <w:b/>
          <w:color w:val="000000"/>
        </w:rPr>
        <w:t>Web respon</w:t>
      </w:r>
      <w:r>
        <w:rPr>
          <w:b/>
          <w:color w:val="000000"/>
        </w:rPr>
        <w:t xml:space="preserve">ses </w:t>
      </w:r>
    </w:p>
    <w:p w:rsidR="00945B64" w:rsidP="0060703E" w14:paraId="637BC4A8" w14:textId="5D6BEC3B">
      <w:pPr>
        <w:widowControl w:val="0"/>
        <w:pBdr>
          <w:top w:val="nil"/>
          <w:left w:val="nil"/>
          <w:bottom w:val="nil"/>
          <w:right w:val="nil"/>
          <w:between w:val="nil"/>
        </w:pBdr>
        <w:spacing w:before="152" w:line="263" w:lineRule="auto"/>
        <w:ind w:left="101" w:right="4" w:firstLine="5"/>
        <w:rPr>
          <w:color w:val="000000"/>
        </w:rPr>
      </w:pPr>
      <w:r>
        <w:rPr>
          <w:color w:val="000000"/>
        </w:rPr>
        <w:t xml:space="preserve">On average, web respondents completed the survey in under 10 minutes. One respondent completed the survey </w:t>
      </w:r>
      <w:r>
        <w:rPr>
          <w:color w:val="000000"/>
        </w:rPr>
        <w:t xml:space="preserve">in approximately 87 minutes, but this is likely because they left their browser open, rather than actively completing </w:t>
      </w:r>
      <w:r>
        <w:rPr>
          <w:color w:val="000000"/>
        </w:rPr>
        <w:t>the survey. All responden</w:t>
      </w:r>
      <w:r>
        <w:rPr>
          <w:color w:val="000000"/>
        </w:rPr>
        <w:t xml:space="preserve">ts completed the survey in English. Fifty-eight (58) respondents scanned the QR code </w:t>
      </w:r>
      <w:r>
        <w:rPr>
          <w:color w:val="000000"/>
        </w:rPr>
        <w:t xml:space="preserve">and 64 used an anonymous link to access the survey. Respondent with ID 1974 completed the survey twice both via paper and web. All surveys were completed in English.  </w:t>
      </w:r>
    </w:p>
    <w:p w:rsidR="00945B64" w:rsidP="0060703E" w14:paraId="1E344C08" w14:textId="77777777">
      <w:pPr>
        <w:widowControl w:val="0"/>
        <w:pBdr>
          <w:top w:val="nil"/>
          <w:left w:val="nil"/>
          <w:bottom w:val="nil"/>
          <w:right w:val="nil"/>
          <w:between w:val="nil"/>
        </w:pBdr>
        <w:spacing w:before="152" w:line="240" w:lineRule="auto"/>
        <w:ind w:left="108"/>
        <w:rPr>
          <w:b/>
          <w:color w:val="000000"/>
        </w:rPr>
      </w:pPr>
      <w:r>
        <w:rPr>
          <w:b/>
          <w:color w:val="000000"/>
        </w:rPr>
        <w:t xml:space="preserve">Open ended responses </w:t>
      </w:r>
    </w:p>
    <w:p w:rsidR="00945B64" w:rsidP="0060703E" w14:paraId="57559111" w14:textId="1181C350">
      <w:pPr>
        <w:widowControl w:val="0"/>
        <w:pBdr>
          <w:top w:val="nil"/>
          <w:left w:val="nil"/>
          <w:bottom w:val="nil"/>
          <w:right w:val="nil"/>
          <w:between w:val="nil"/>
        </w:pBdr>
        <w:spacing w:before="152" w:line="263" w:lineRule="auto"/>
        <w:ind w:left="101"/>
        <w:rPr>
          <w:color w:val="000000"/>
          <w:sz w:val="23"/>
          <w:szCs w:val="23"/>
        </w:rPr>
      </w:pPr>
      <w:r>
        <w:rPr>
          <w:color w:val="000000"/>
          <w:sz w:val="23"/>
          <w:szCs w:val="23"/>
        </w:rPr>
        <w:t xml:space="preserve">At the end of the </w:t>
      </w:r>
      <w:r>
        <w:rPr>
          <w:i/>
          <w:color w:val="000000"/>
        </w:rPr>
        <w:t xml:space="preserve">York River Outdoor Recreation Survey </w:t>
      </w:r>
      <w:r>
        <w:rPr>
          <w:color w:val="000000"/>
          <w:sz w:val="23"/>
          <w:szCs w:val="23"/>
        </w:rPr>
        <w:t xml:space="preserve">participants were invited to share open-ended written </w:t>
      </w:r>
      <w:r>
        <w:rPr>
          <w:color w:val="000000"/>
          <w:sz w:val="23"/>
          <w:szCs w:val="23"/>
        </w:rPr>
        <w:t>comments. A total of 32 comments were received across both the web and paper completions. All</w:t>
      </w:r>
      <w:r>
        <w:rPr>
          <w:color w:val="000000"/>
          <w:sz w:val="23"/>
          <w:szCs w:val="23"/>
        </w:rPr>
        <w:t xml:space="preserve"> responses were reviewed by SE</w:t>
      </w:r>
      <w:r>
        <w:rPr>
          <w:color w:val="000000"/>
          <w:sz w:val="23"/>
          <w:szCs w:val="23"/>
        </w:rPr>
        <w:t>RL staff. A formal thematic analysis of remarks was not conducted, but</w:t>
      </w:r>
      <w:r>
        <w:rPr>
          <w:color w:val="000000"/>
          <w:sz w:val="23"/>
          <w:szCs w:val="23"/>
        </w:rPr>
        <w:t xml:space="preserve"> following are overall themes that emerged from a review of these comments in the pre-test. </w:t>
      </w:r>
    </w:p>
    <w:p w:rsidR="00945B64" w14:paraId="08AB21EE" w14:textId="77777777">
      <w:pPr>
        <w:widowControl w:val="0"/>
        <w:pBdr>
          <w:top w:val="nil"/>
          <w:left w:val="nil"/>
          <w:bottom w:val="nil"/>
          <w:right w:val="nil"/>
          <w:between w:val="nil"/>
        </w:pBdr>
        <w:spacing w:before="133" w:line="240" w:lineRule="auto"/>
        <w:ind w:left="108"/>
        <w:rPr>
          <w:b/>
          <w:color w:val="000000"/>
        </w:rPr>
      </w:pPr>
      <w:r>
        <w:rPr>
          <w:b/>
          <w:color w:val="000000"/>
        </w:rPr>
        <w:t xml:space="preserve">Comments about incentives </w:t>
      </w:r>
    </w:p>
    <w:p w:rsidR="00945B64" w14:paraId="28415864" w14:textId="77777777">
      <w:pPr>
        <w:widowControl w:val="0"/>
        <w:pBdr>
          <w:top w:val="nil"/>
          <w:left w:val="nil"/>
          <w:bottom w:val="nil"/>
          <w:right w:val="nil"/>
          <w:between w:val="nil"/>
        </w:pBdr>
        <w:spacing w:before="153" w:line="240" w:lineRule="auto"/>
        <w:ind w:left="118"/>
        <w:rPr>
          <w:color w:val="000000"/>
          <w:sz w:val="23"/>
          <w:szCs w:val="23"/>
        </w:rPr>
      </w:pPr>
      <w:r>
        <w:rPr>
          <w:color w:val="000000"/>
          <w:sz w:val="23"/>
          <w:szCs w:val="23"/>
        </w:rPr>
        <w:t xml:space="preserve">Respondent expresses gratitude for incentive or other comments about the incentive. </w:t>
      </w:r>
    </w:p>
    <w:p w:rsidR="00945B64" w14:paraId="6DE8BF41" w14:textId="268E253F">
      <w:pPr>
        <w:widowControl w:val="0"/>
        <w:pBdr>
          <w:top w:val="nil"/>
          <w:left w:val="nil"/>
          <w:bottom w:val="nil"/>
          <w:right w:val="nil"/>
          <w:between w:val="nil"/>
        </w:pBdr>
        <w:spacing w:before="155" w:line="264" w:lineRule="auto"/>
        <w:ind w:left="828" w:right="6" w:firstLine="13"/>
        <w:jc w:val="both"/>
        <w:rPr>
          <w:i/>
          <w:color w:val="000000"/>
        </w:rPr>
      </w:pPr>
      <w:r>
        <w:rPr>
          <w:i/>
          <w:color w:val="000000"/>
        </w:rPr>
        <w:t xml:space="preserve">“You might like to know that I completed this survey because of the cash incentive. I appreciate that you </w:t>
      </w:r>
      <w:r>
        <w:rPr>
          <w:i/>
          <w:color w:val="000000"/>
        </w:rPr>
        <w:t>were willing to risk even a few dollars per response, and provid</w:t>
      </w:r>
      <w:r>
        <w:rPr>
          <w:i/>
          <w:color w:val="000000"/>
        </w:rPr>
        <w:t xml:space="preserve">ed the incentive without requiring me to </w:t>
      </w:r>
      <w:r>
        <w:rPr>
          <w:i/>
          <w:color w:val="000000"/>
        </w:rPr>
        <w:t xml:space="preserve">activate cards or submit forms.” </w:t>
      </w:r>
    </w:p>
    <w:p w:rsidR="00945B64" w14:paraId="14FE1308" w14:textId="77777777">
      <w:pPr>
        <w:widowControl w:val="0"/>
        <w:pBdr>
          <w:top w:val="nil"/>
          <w:left w:val="nil"/>
          <w:bottom w:val="nil"/>
          <w:right w:val="nil"/>
          <w:between w:val="nil"/>
        </w:pBdr>
        <w:spacing w:before="130" w:line="240" w:lineRule="auto"/>
        <w:ind w:left="108"/>
        <w:rPr>
          <w:b/>
          <w:color w:val="000000"/>
        </w:rPr>
      </w:pPr>
      <w:r>
        <w:rPr>
          <w:b/>
          <w:color w:val="000000"/>
        </w:rPr>
        <w:t xml:space="preserve">Comments about parks and facilities </w:t>
      </w:r>
    </w:p>
    <w:p w:rsidR="00945B64" w14:paraId="722CDB77" w14:textId="77777777">
      <w:pPr>
        <w:widowControl w:val="0"/>
        <w:pBdr>
          <w:top w:val="nil"/>
          <w:left w:val="nil"/>
          <w:bottom w:val="nil"/>
          <w:right w:val="nil"/>
          <w:between w:val="nil"/>
        </w:pBdr>
        <w:spacing w:before="152" w:line="240" w:lineRule="auto"/>
        <w:ind w:left="118"/>
        <w:rPr>
          <w:i/>
        </w:rPr>
      </w:pPr>
      <w:r>
        <w:rPr>
          <w:color w:val="000000"/>
          <w:sz w:val="23"/>
          <w:szCs w:val="23"/>
        </w:rPr>
        <w:t xml:space="preserve">Respondents answered with feedback about specific parks and suggestions about parks. </w:t>
      </w:r>
    </w:p>
    <w:p w:rsidR="00945B64" w14:paraId="3DEC61F6" w14:textId="3637A386">
      <w:pPr>
        <w:widowControl w:val="0"/>
        <w:pBdr>
          <w:top w:val="nil"/>
          <w:left w:val="nil"/>
          <w:bottom w:val="nil"/>
          <w:right w:val="nil"/>
          <w:between w:val="nil"/>
        </w:pBdr>
        <w:spacing w:before="152" w:line="240" w:lineRule="auto"/>
        <w:ind w:left="838" w:firstLine="601"/>
        <w:rPr>
          <w:i/>
          <w:color w:val="000000"/>
        </w:rPr>
      </w:pPr>
      <w:r>
        <w:rPr>
          <w:i/>
          <w:color w:val="000000"/>
        </w:rPr>
        <w:t xml:space="preserve">“The York River area is a wonderful resource for outdoor recreation. I especially like the facilities at Back </w:t>
      </w:r>
      <w:r>
        <w:rPr>
          <w:i/>
          <w:color w:val="000000"/>
        </w:rPr>
        <w:t>Creek and at Gloucester Point. There needs to be more of th</w:t>
      </w:r>
      <w:r>
        <w:rPr>
          <w:i/>
          <w:color w:val="000000"/>
        </w:rPr>
        <w:t xml:space="preserve">ese areas throughout Virginia's tidal rivers.” </w:t>
      </w:r>
    </w:p>
    <w:p w:rsidR="00945B64" w14:paraId="3076EC6A" w14:textId="0F892A05">
      <w:pPr>
        <w:widowControl w:val="0"/>
        <w:pBdr>
          <w:top w:val="nil"/>
          <w:left w:val="nil"/>
          <w:bottom w:val="nil"/>
          <w:right w:val="nil"/>
          <w:between w:val="nil"/>
        </w:pBdr>
        <w:spacing w:before="129" w:line="262" w:lineRule="auto"/>
        <w:ind w:left="841" w:right="2" w:firstLine="14"/>
        <w:rPr>
          <w:i/>
          <w:color w:val="000000"/>
        </w:rPr>
      </w:pPr>
      <w:r>
        <w:rPr>
          <w:i/>
          <w:color w:val="000000"/>
        </w:rPr>
        <w:t xml:space="preserve">You should only put signage in English. You can't </w:t>
      </w:r>
      <w:r>
        <w:rPr>
          <w:i/>
          <w:color w:val="000000"/>
        </w:rPr>
        <w:t>provided</w:t>
      </w:r>
      <w:r>
        <w:rPr>
          <w:i/>
          <w:color w:val="000000"/>
        </w:rPr>
        <w:t xml:space="preserve"> signage in every language! If people come</w:t>
      </w:r>
      <w:r>
        <w:rPr>
          <w:i/>
          <w:color w:val="000000"/>
        </w:rPr>
        <w:t xml:space="preserve"> to America, they need to learn English!  </w:t>
      </w:r>
    </w:p>
    <w:p w:rsidR="0096694A" w14:paraId="38F204BD" w14:textId="77777777">
      <w:pPr>
        <w:widowControl w:val="0"/>
        <w:pBdr>
          <w:top w:val="nil"/>
          <w:left w:val="nil"/>
          <w:bottom w:val="nil"/>
          <w:right w:val="nil"/>
          <w:between w:val="nil"/>
        </w:pBdr>
        <w:spacing w:before="131" w:line="240" w:lineRule="auto"/>
        <w:ind w:left="108"/>
        <w:rPr>
          <w:b/>
          <w:color w:val="000000"/>
        </w:rPr>
      </w:pPr>
    </w:p>
    <w:p w:rsidR="00945B64" w14:paraId="5D587460" w14:textId="1C1DA93B">
      <w:pPr>
        <w:widowControl w:val="0"/>
        <w:pBdr>
          <w:top w:val="nil"/>
          <w:left w:val="nil"/>
          <w:bottom w:val="nil"/>
          <w:right w:val="nil"/>
          <w:between w:val="nil"/>
        </w:pBdr>
        <w:spacing w:before="131" w:line="240" w:lineRule="auto"/>
        <w:ind w:left="108"/>
        <w:rPr>
          <w:b/>
          <w:color w:val="000000"/>
        </w:rPr>
      </w:pPr>
      <w:r>
        <w:rPr>
          <w:b/>
          <w:color w:val="000000"/>
        </w:rPr>
        <w:t xml:space="preserve">Comments about their own park usage </w:t>
      </w:r>
    </w:p>
    <w:p w:rsidR="00945B64" w14:paraId="257566DC" w14:textId="7636ED6B">
      <w:pPr>
        <w:widowControl w:val="0"/>
        <w:pBdr>
          <w:top w:val="nil"/>
          <w:left w:val="nil"/>
          <w:bottom w:val="nil"/>
          <w:right w:val="nil"/>
          <w:between w:val="nil"/>
        </w:pBdr>
        <w:spacing w:before="155" w:line="262" w:lineRule="auto"/>
        <w:ind w:left="106" w:right="11" w:firstLine="11"/>
        <w:rPr>
          <w:color w:val="000000"/>
        </w:rPr>
      </w:pPr>
      <w:r>
        <w:rPr>
          <w:color w:val="000000"/>
        </w:rPr>
        <w:t xml:space="preserve">Participants referenced their own usage of parks and outdoors spaces and how this may have influenced their </w:t>
      </w:r>
      <w:r>
        <w:rPr>
          <w:color w:val="000000"/>
        </w:rPr>
        <w:t xml:space="preserve">answers to survey questions. </w:t>
      </w:r>
    </w:p>
    <w:p w:rsidR="00945B64" w14:paraId="23F7D38D" w14:textId="77777777">
      <w:pPr>
        <w:widowControl w:val="0"/>
        <w:pBdr>
          <w:top w:val="nil"/>
          <w:left w:val="nil"/>
          <w:bottom w:val="nil"/>
          <w:right w:val="nil"/>
          <w:between w:val="nil"/>
        </w:pBdr>
        <w:spacing w:before="131" w:line="371" w:lineRule="auto"/>
        <w:ind w:left="842" w:right="41"/>
        <w:rPr>
          <w:i/>
          <w:color w:val="000000"/>
        </w:rPr>
      </w:pPr>
      <w:r>
        <w:rPr>
          <w:i/>
          <w:color w:val="000000"/>
        </w:rPr>
        <w:t>“We visit Buggs Island/Kerr Lake a lot, so we do love the outdoors. We just real</w:t>
      </w:r>
      <w:r>
        <w:rPr>
          <w:i/>
          <w:color w:val="000000"/>
        </w:rPr>
        <w:t xml:space="preserve">ly do not travel that way.” “I'd go enjoy the outdoors more often, but as a grad student, college sucks up all my free time.” </w:t>
      </w:r>
    </w:p>
    <w:p w:rsidR="00945B64" w14:paraId="757B8297" w14:textId="37ACAB5D">
      <w:pPr>
        <w:widowControl w:val="0"/>
        <w:pBdr>
          <w:top w:val="nil"/>
          <w:left w:val="nil"/>
          <w:bottom w:val="nil"/>
          <w:right w:val="nil"/>
          <w:between w:val="nil"/>
        </w:pBdr>
        <w:spacing w:before="32" w:line="265" w:lineRule="auto"/>
        <w:ind w:left="837" w:right="3" w:firstLine="4"/>
        <w:rPr>
          <w:i/>
          <w:color w:val="000000"/>
        </w:rPr>
      </w:pPr>
      <w:r>
        <w:rPr>
          <w:i/>
          <w:color w:val="000000"/>
        </w:rPr>
        <w:t xml:space="preserve">“I'm glad there are such parks so that people can enjoy our beautiful area; however, this just isn't a priority </w:t>
      </w:r>
      <w:r>
        <w:rPr>
          <w:i/>
          <w:color w:val="000000"/>
        </w:rPr>
        <w:t xml:space="preserve">for me personally at this stage of my life.” </w:t>
      </w:r>
    </w:p>
    <w:p w:rsidR="00945B64" w14:paraId="1E4DC7CE" w14:textId="77777777">
      <w:pPr>
        <w:widowControl w:val="0"/>
        <w:pBdr>
          <w:top w:val="nil"/>
          <w:left w:val="nil"/>
          <w:bottom w:val="nil"/>
          <w:right w:val="nil"/>
          <w:between w:val="nil"/>
        </w:pBdr>
        <w:spacing w:before="129" w:line="240" w:lineRule="auto"/>
        <w:ind w:left="108"/>
        <w:rPr>
          <w:b/>
          <w:color w:val="000000"/>
        </w:rPr>
      </w:pPr>
      <w:r>
        <w:rPr>
          <w:b/>
          <w:color w:val="000000"/>
        </w:rPr>
        <w:t xml:space="preserve">Comments about the survey </w:t>
      </w:r>
    </w:p>
    <w:p w:rsidR="00945B64" w14:paraId="28F6E182" w14:textId="343F0B85">
      <w:pPr>
        <w:widowControl w:val="0"/>
        <w:pBdr>
          <w:top w:val="nil"/>
          <w:left w:val="nil"/>
          <w:bottom w:val="nil"/>
          <w:right w:val="nil"/>
          <w:between w:val="nil"/>
        </w:pBdr>
        <w:spacing w:before="152" w:line="264" w:lineRule="auto"/>
        <w:ind w:left="113" w:right="3" w:firstLine="4"/>
        <w:rPr>
          <w:color w:val="000000"/>
          <w:sz w:val="23"/>
          <w:szCs w:val="23"/>
        </w:rPr>
      </w:pPr>
      <w:r>
        <w:rPr>
          <w:color w:val="000000"/>
          <w:sz w:val="23"/>
          <w:szCs w:val="23"/>
        </w:rPr>
        <w:t xml:space="preserve">Participants offered their opinions about the survey instrument. Both positive and negative comments are </w:t>
      </w:r>
      <w:r>
        <w:rPr>
          <w:color w:val="000000"/>
          <w:sz w:val="23"/>
          <w:szCs w:val="23"/>
        </w:rPr>
        <w:t xml:space="preserve">included in this theme, </w:t>
      </w:r>
    </w:p>
    <w:p w:rsidR="00945B64" w14:paraId="2236107F" w14:textId="71A9CBA6">
      <w:pPr>
        <w:widowControl w:val="0"/>
        <w:pBdr>
          <w:top w:val="nil"/>
          <w:left w:val="nil"/>
          <w:bottom w:val="nil"/>
          <w:right w:val="nil"/>
          <w:between w:val="nil"/>
        </w:pBdr>
        <w:spacing w:before="132" w:line="262" w:lineRule="auto"/>
        <w:ind w:left="833" w:right="8" w:firstLine="8"/>
        <w:rPr>
          <w:i/>
          <w:color w:val="000000"/>
        </w:rPr>
      </w:pPr>
      <w:r>
        <w:rPr>
          <w:i/>
          <w:color w:val="000000"/>
        </w:rPr>
        <w:t xml:space="preserve">“Why do you ask the personal questions? I like the outdoors, hiking, boating, etc. but I don't think it's </w:t>
      </w:r>
      <w:r>
        <w:rPr>
          <w:i/>
          <w:color w:val="000000"/>
        </w:rPr>
        <w:t xml:space="preserve">necessary for me to let you know anything else about my personal life.” </w:t>
      </w:r>
    </w:p>
    <w:p w:rsidR="00945B64" w14:paraId="0F238A91" w14:textId="77777777">
      <w:pPr>
        <w:widowControl w:val="0"/>
        <w:pBdr>
          <w:top w:val="nil"/>
          <w:left w:val="nil"/>
          <w:bottom w:val="nil"/>
          <w:right w:val="nil"/>
          <w:between w:val="nil"/>
        </w:pBdr>
        <w:spacing w:before="131" w:line="240" w:lineRule="auto"/>
        <w:ind w:left="842"/>
        <w:rPr>
          <w:i/>
          <w:color w:val="000000"/>
        </w:rPr>
      </w:pPr>
      <w:r>
        <w:rPr>
          <w:i/>
          <w:color w:val="000000"/>
        </w:rPr>
        <w:t xml:space="preserve">“I don’t mind taking surveys. This is the first one </w:t>
      </w:r>
      <w:r>
        <w:rPr>
          <w:i/>
          <w:color w:val="000000"/>
        </w:rPr>
        <w:t>i</w:t>
      </w:r>
      <w:r>
        <w:rPr>
          <w:i/>
          <w:color w:val="000000"/>
        </w:rPr>
        <w:t xml:space="preserve"> have ever received “ </w:t>
      </w:r>
    </w:p>
    <w:p w:rsidR="00945B64" w:rsidP="0060703E" w14:paraId="61879984" w14:textId="0B00C4F8">
      <w:pPr>
        <w:widowControl w:val="0"/>
        <w:pBdr>
          <w:top w:val="nil"/>
          <w:left w:val="nil"/>
          <w:bottom w:val="nil"/>
          <w:right w:val="nil"/>
          <w:between w:val="nil"/>
        </w:pBdr>
        <w:spacing w:before="152" w:line="264" w:lineRule="auto"/>
        <w:ind w:left="106" w:right="7" w:firstLine="12"/>
        <w:rPr>
          <w:color w:val="000000"/>
        </w:rPr>
      </w:pPr>
      <w:r>
        <w:rPr>
          <w:color w:val="000000"/>
        </w:rPr>
        <w:t xml:space="preserve">In response to comments about the demographic questions, the initial survey page clearly states that </w:t>
      </w:r>
      <w:r>
        <w:rPr>
          <w:color w:val="000000"/>
        </w:rPr>
        <w:t>respondents can skip questions. The production survey could make it clearer to respondents they can skip the</w:t>
      </w:r>
      <w:r>
        <w:rPr>
          <w:color w:val="000000"/>
        </w:rPr>
        <w:t xml:space="preserve"> </w:t>
      </w:r>
      <w:r>
        <w:rPr>
          <w:color w:val="000000"/>
        </w:rPr>
        <w:t>demographic questions by including a reminde</w:t>
      </w:r>
      <w:r>
        <w:rPr>
          <w:color w:val="000000"/>
        </w:rPr>
        <w:t>r before the demographic questions (e.g.</w:t>
      </w:r>
      <w:r w:rsidR="0060703E">
        <w:rPr>
          <w:color w:val="000000"/>
        </w:rPr>
        <w:t xml:space="preserve">, </w:t>
      </w:r>
      <w:r>
        <w:rPr>
          <w:color w:val="000000"/>
        </w:rPr>
        <w:t xml:space="preserve">before Question 27).  </w:t>
      </w:r>
    </w:p>
    <w:p w:rsidR="00945B64" w:rsidP="0060703E" w14:paraId="2A1949AD" w14:textId="77777777">
      <w:pPr>
        <w:widowControl w:val="0"/>
        <w:pBdr>
          <w:top w:val="nil"/>
          <w:left w:val="nil"/>
          <w:bottom w:val="nil"/>
          <w:right w:val="nil"/>
          <w:between w:val="nil"/>
        </w:pBdr>
        <w:spacing w:before="130" w:line="240" w:lineRule="auto"/>
        <w:ind w:left="115"/>
        <w:rPr>
          <w:b/>
          <w:color w:val="000000"/>
        </w:rPr>
      </w:pPr>
      <w:r>
        <w:rPr>
          <w:b/>
          <w:color w:val="000000"/>
        </w:rPr>
        <w:t xml:space="preserve">Literature Review - Incentives </w:t>
      </w:r>
    </w:p>
    <w:p w:rsidR="00945B64" w:rsidP="0060703E" w14:paraId="272C3AD4" w14:textId="554350D1">
      <w:pPr>
        <w:widowControl w:val="0"/>
        <w:pBdr>
          <w:top w:val="nil"/>
          <w:left w:val="nil"/>
          <w:bottom w:val="nil"/>
          <w:right w:val="nil"/>
          <w:between w:val="nil"/>
        </w:pBdr>
        <w:spacing w:before="152" w:line="263" w:lineRule="auto"/>
        <w:ind w:left="101" w:right="3" w:firstLine="14"/>
        <w:rPr>
          <w:color w:val="000000"/>
        </w:rPr>
      </w:pPr>
      <w:r>
        <w:rPr>
          <w:color w:val="000000"/>
        </w:rPr>
        <w:t xml:space="preserve">Unconditional (prepaid/non-contingent/up-front/token) incentives are received with the survey invitation itself.  Unconditional incentives are based on social exchange theory/altruism, and assume that because the recipient </w:t>
      </w:r>
      <w:r>
        <w:rPr>
          <w:color w:val="000000"/>
        </w:rPr>
        <w:t>has received a gift, they will r</w:t>
      </w:r>
      <w:r>
        <w:rPr>
          <w:color w:val="000000"/>
        </w:rPr>
        <w:t>eciprocate and complete the survey (</w:t>
      </w:r>
      <w:r>
        <w:rPr>
          <w:color w:val="000000"/>
        </w:rPr>
        <w:t>Dillman</w:t>
      </w:r>
      <w:r>
        <w:rPr>
          <w:color w:val="000000"/>
        </w:rPr>
        <w:t xml:space="preserve"> et al. 2014). The incentive creates a </w:t>
      </w:r>
      <w:r>
        <w:rPr>
          <w:color w:val="000000"/>
        </w:rPr>
        <w:t>feeling of goodwill and encourages the respondent to read and consider the request, and ultimately complete</w:t>
      </w:r>
      <w:r>
        <w:rPr>
          <w:color w:val="000000"/>
        </w:rPr>
        <w:t xml:space="preserve"> the survey.  </w:t>
      </w:r>
    </w:p>
    <w:p w:rsidR="00945B64" w:rsidP="0060703E" w14:paraId="66D9ADB5" w14:textId="493B2540">
      <w:pPr>
        <w:widowControl w:val="0"/>
        <w:pBdr>
          <w:top w:val="nil"/>
          <w:left w:val="nil"/>
          <w:bottom w:val="nil"/>
          <w:right w:val="nil"/>
          <w:between w:val="nil"/>
        </w:pBdr>
        <w:spacing w:before="131" w:line="263" w:lineRule="auto"/>
        <w:ind w:left="104" w:right="5" w:firstLine="10"/>
        <w:rPr>
          <w:color w:val="000000"/>
        </w:rPr>
      </w:pPr>
      <w:r>
        <w:rPr>
          <w:color w:val="000000"/>
        </w:rPr>
        <w:t xml:space="preserve">Multiple meta-analyses suggest that unconditional </w:t>
      </w:r>
      <w:r>
        <w:rPr>
          <w:color w:val="000000"/>
        </w:rPr>
        <w:t xml:space="preserve">incentives are more likely to induce participation than are </w:t>
      </w:r>
      <w:r>
        <w:rPr>
          <w:color w:val="000000"/>
        </w:rPr>
        <w:t xml:space="preserve">conditional incentives (Church, 1993; Edwards et al., 2009; Young et al., 2015; Robbins et al., 2018; Rao et al., </w:t>
      </w:r>
      <w:r>
        <w:rPr>
          <w:color w:val="000000"/>
        </w:rPr>
        <w:t>2020), although the effect may vary and may be confounded across survey modes (C</w:t>
      </w:r>
      <w:r>
        <w:rPr>
          <w:color w:val="000000"/>
        </w:rPr>
        <w:t xml:space="preserve">ook et al., 2000; Mercer et </w:t>
      </w:r>
      <w:r>
        <w:rPr>
          <w:color w:val="000000"/>
        </w:rPr>
        <w:t xml:space="preserve">al., 2015). For example, in surveys recruited only by web-based or electronic means, it is not possible to give </w:t>
      </w:r>
      <w:r>
        <w:rPr>
          <w:color w:val="000000"/>
        </w:rPr>
        <w:t xml:space="preserve">cash up-front to a participant, although digital payment methods may help close this gap (Neman et al., 2022). </w:t>
      </w:r>
    </w:p>
    <w:p w:rsidR="00945B64" w:rsidP="0060703E" w14:paraId="47E9D8A9" w14:textId="483AFC89">
      <w:pPr>
        <w:widowControl w:val="0"/>
        <w:pBdr>
          <w:top w:val="nil"/>
          <w:left w:val="nil"/>
          <w:bottom w:val="nil"/>
          <w:right w:val="nil"/>
          <w:between w:val="nil"/>
        </w:pBdr>
        <w:spacing w:before="130" w:line="263" w:lineRule="auto"/>
        <w:ind w:left="106" w:right="3" w:firstLine="9"/>
        <w:rPr>
          <w:color w:val="000000"/>
        </w:rPr>
      </w:pPr>
      <w:r>
        <w:rPr>
          <w:color w:val="000000"/>
        </w:rPr>
        <w:t xml:space="preserve">Unconditional incentives positively influence response rates, although the magnitude of this effect varies. Porter </w:t>
      </w:r>
      <w:r>
        <w:rPr>
          <w:color w:val="000000"/>
        </w:rPr>
        <w:t xml:space="preserve">&amp; Whitcomb’s (2011) suggests that up-front cash (from 50 cents to $5) increases response rate anywhere from </w:t>
      </w:r>
      <w:r>
        <w:rPr>
          <w:color w:val="000000"/>
        </w:rPr>
        <w:t xml:space="preserve">8.7 to 24 percentage points. </w:t>
      </w:r>
      <w:r>
        <w:rPr>
          <w:color w:val="000000"/>
        </w:rPr>
        <w:t>Di</w:t>
      </w:r>
      <w:r>
        <w:rPr>
          <w:color w:val="000000"/>
        </w:rPr>
        <w:t>llman</w:t>
      </w:r>
      <w:r>
        <w:rPr>
          <w:color w:val="000000"/>
        </w:rPr>
        <w:t xml:space="preserve"> et al. (2014) found that $2 incentives may boost response rates by 12 to 31 </w:t>
      </w:r>
      <w:r>
        <w:rPr>
          <w:color w:val="000000"/>
        </w:rPr>
        <w:t xml:space="preserve">percentage points. Butler et al. (2017) found that a $2 incentive increased the response rate by 13 percentage </w:t>
      </w:r>
      <w:r>
        <w:rPr>
          <w:color w:val="000000"/>
        </w:rPr>
        <w:t xml:space="preserve">points in a survey of family forest owners. </w:t>
      </w:r>
    </w:p>
    <w:p w:rsidR="00945B64" w:rsidP="0060703E" w14:paraId="7129B86A" w14:textId="1DCD734F">
      <w:pPr>
        <w:widowControl w:val="0"/>
        <w:pBdr>
          <w:top w:val="nil"/>
          <w:left w:val="nil"/>
          <w:bottom w:val="nil"/>
          <w:right w:val="nil"/>
          <w:between w:val="nil"/>
        </w:pBdr>
        <w:spacing w:before="563" w:line="263" w:lineRule="auto"/>
        <w:ind w:left="101" w:right="2" w:firstLine="17"/>
        <w:rPr>
          <w:color w:val="000000"/>
        </w:rPr>
      </w:pPr>
      <w:r>
        <w:rPr>
          <w:color w:val="000000"/>
        </w:rPr>
        <w:t>In mail surveys,</w:t>
      </w:r>
      <w:r>
        <w:rPr>
          <w:color w:val="000000"/>
        </w:rPr>
        <w:t xml:space="preserve"> unconditional incentives had the greatest per-dollar effect on response rate compared to other </w:t>
      </w:r>
      <w:r>
        <w:rPr>
          <w:color w:val="000000"/>
        </w:rPr>
        <w:t xml:space="preserve">types of incentives, but the impact of each additional pre-paid dollar is non-linear and quickly asymptotic – the </w:t>
      </w:r>
      <w:r>
        <w:rPr>
          <w:color w:val="000000"/>
        </w:rPr>
        <w:t xml:space="preserve">so-called “dose response.” Beyond the first </w:t>
      </w:r>
      <w:r>
        <w:rPr>
          <w:color w:val="000000"/>
        </w:rPr>
        <w:t xml:space="preserve">dollar, each additional dollar has a smaller positive effect on response </w:t>
      </w:r>
      <w:r>
        <w:rPr>
          <w:color w:val="000000"/>
        </w:rPr>
        <w:t xml:space="preserve">rates (Mercer et al., 2015). Gneezy &amp; Rey-Biel (2014) tested unconditional incentives from $1 to $30 and found </w:t>
      </w:r>
      <w:r>
        <w:rPr>
          <w:color w:val="000000"/>
        </w:rPr>
        <w:t>that an unconditional incentive greater than $8 does not result in fur</w:t>
      </w:r>
      <w:r>
        <w:rPr>
          <w:color w:val="000000"/>
        </w:rPr>
        <w:t xml:space="preserve">ther gains in response rates. Other NOAA </w:t>
      </w:r>
      <w:r>
        <w:rPr>
          <w:color w:val="000000"/>
        </w:rPr>
        <w:t>surveys (e.g.</w:t>
      </w:r>
      <w:r w:rsidR="0060703E">
        <w:rPr>
          <w:color w:val="000000"/>
        </w:rPr>
        <w:t>,</w:t>
      </w:r>
      <w:r>
        <w:rPr>
          <w:color w:val="000000"/>
        </w:rPr>
        <w:t xml:space="preserve"> NOAA’s Fishing Effort Survey) typically include a $2 incentive (Andrews et al. 2014, Anderson et </w:t>
      </w:r>
      <w:r>
        <w:rPr>
          <w:color w:val="000000"/>
        </w:rPr>
        <w:t xml:space="preserve">al. 2021, Carter et al. 2024). Additionally, unconditional incentives may reduce non-response bias by </w:t>
      </w:r>
      <w:r>
        <w:rPr>
          <w:color w:val="000000"/>
        </w:rPr>
        <w:t xml:space="preserve">increasing </w:t>
      </w:r>
      <w:r>
        <w:rPr>
          <w:color w:val="000000"/>
        </w:rPr>
        <w:t xml:space="preserve">the propensity of some respondents to respond, although there is mixed empirical support for this </w:t>
      </w:r>
      <w:r>
        <w:rPr>
          <w:color w:val="000000"/>
        </w:rPr>
        <w:t>theory (</w:t>
      </w:r>
      <w:r w:rsidR="0060703E">
        <w:rPr>
          <w:color w:val="000000"/>
        </w:rPr>
        <w:t>Groves et al.</w:t>
      </w:r>
      <w:r>
        <w:rPr>
          <w:color w:val="000000"/>
        </w:rPr>
        <w:t xml:space="preserve"> 2006, </w:t>
      </w:r>
      <w:r>
        <w:rPr>
          <w:color w:val="000000"/>
        </w:rPr>
        <w:t>Oscarsson</w:t>
      </w:r>
      <w:r>
        <w:rPr>
          <w:color w:val="000000"/>
        </w:rPr>
        <w:t xml:space="preserve"> &amp; </w:t>
      </w:r>
      <w:r>
        <w:rPr>
          <w:color w:val="000000"/>
        </w:rPr>
        <w:t>Arkhede</w:t>
      </w:r>
      <w:r>
        <w:rPr>
          <w:color w:val="000000"/>
        </w:rPr>
        <w:t xml:space="preserve"> 2019). Recent work has also explored making unconditional incentives more </w:t>
      </w:r>
      <w:r>
        <w:rPr>
          <w:color w:val="000000"/>
        </w:rPr>
        <w:t>obvious- this can impr</w:t>
      </w:r>
      <w:r>
        <w:rPr>
          <w:color w:val="000000"/>
        </w:rPr>
        <w:t>ove response rate by 1 to 4 percentage points (</w:t>
      </w:r>
      <w:r>
        <w:rPr>
          <w:color w:val="000000"/>
        </w:rPr>
        <w:t>Debell</w:t>
      </w:r>
      <w:r>
        <w:rPr>
          <w:color w:val="000000"/>
        </w:rPr>
        <w:t xml:space="preserve"> et al. 2020, </w:t>
      </w:r>
      <w:r>
        <w:rPr>
          <w:color w:val="000000"/>
        </w:rPr>
        <w:t>Debell</w:t>
      </w:r>
      <w:r>
        <w:rPr>
          <w:color w:val="000000"/>
        </w:rPr>
        <w:t xml:space="preserve"> 2023, Zhang et </w:t>
      </w:r>
      <w:r>
        <w:rPr>
          <w:color w:val="000000"/>
        </w:rPr>
        <w:t>al. 2023). Increasing the visibility of the unconditional incentive is presumed to increase the likelihood a</w:t>
      </w:r>
      <w:r>
        <w:rPr>
          <w:color w:val="000000"/>
        </w:rPr>
        <w:t xml:space="preserve"> respondent will open the initial invitation letter, and </w:t>
      </w:r>
      <w:r>
        <w:rPr>
          <w:color w:val="000000"/>
        </w:rPr>
        <w:t xml:space="preserve">thus respond to the survey. </w:t>
      </w:r>
    </w:p>
    <w:p w:rsidR="00945B64" w14:paraId="68949F5C" w14:textId="7B987B85">
      <w:pPr>
        <w:widowControl w:val="0"/>
        <w:pBdr>
          <w:top w:val="nil"/>
          <w:left w:val="nil"/>
          <w:bottom w:val="nil"/>
          <w:right w:val="nil"/>
          <w:between w:val="nil"/>
        </w:pBdr>
        <w:spacing w:before="131" w:line="262" w:lineRule="auto"/>
        <w:ind w:left="107" w:right="5" w:hanging="5"/>
        <w:rPr>
          <w:color w:val="000000"/>
        </w:rPr>
      </w:pPr>
      <w:r>
        <w:rPr>
          <w:color w:val="000000"/>
        </w:rPr>
        <w:t xml:space="preserve">The last question in the </w:t>
      </w:r>
      <w:r>
        <w:rPr>
          <w:i/>
          <w:color w:val="000000"/>
        </w:rPr>
        <w:t xml:space="preserve">York River Outdoor Recreation Survey </w:t>
      </w:r>
      <w:r>
        <w:rPr>
          <w:color w:val="000000"/>
        </w:rPr>
        <w:t xml:space="preserve">asked if respondents had any </w:t>
      </w:r>
      <w:r w:rsidR="0060703E">
        <w:rPr>
          <w:color w:val="000000"/>
        </w:rPr>
        <w:t>additional comment</w:t>
      </w:r>
      <w:r>
        <w:rPr>
          <w:color w:val="000000"/>
        </w:rPr>
        <w:t xml:space="preserve">. Three respondents expressed their gratitude for the incentive. One respondent wrote  </w:t>
      </w:r>
    </w:p>
    <w:p w:rsidR="00945B64" w14:paraId="28B27925" w14:textId="16AB9287">
      <w:pPr>
        <w:widowControl w:val="0"/>
        <w:pBdr>
          <w:top w:val="nil"/>
          <w:left w:val="nil"/>
          <w:bottom w:val="nil"/>
          <w:right w:val="nil"/>
          <w:between w:val="nil"/>
        </w:pBdr>
        <w:spacing w:before="134" w:line="262" w:lineRule="auto"/>
        <w:ind w:left="828" w:right="7" w:firstLine="13"/>
        <w:jc w:val="both"/>
        <w:rPr>
          <w:i/>
          <w:color w:val="000000"/>
        </w:rPr>
      </w:pPr>
      <w:r>
        <w:rPr>
          <w:i/>
          <w:color w:val="000000"/>
        </w:rPr>
        <w:t xml:space="preserve">“You might like to know that I completed this survey because of the cash incentive. I appreciate that </w:t>
      </w:r>
      <w:r w:rsidR="0060703E">
        <w:rPr>
          <w:i/>
          <w:color w:val="000000"/>
        </w:rPr>
        <w:t>you were</w:t>
      </w:r>
      <w:r>
        <w:rPr>
          <w:i/>
          <w:color w:val="000000"/>
        </w:rPr>
        <w:t xml:space="preserve"> willing to risk even a few dollars per response, and provided the incentive without requiring me </w:t>
      </w:r>
      <w:r w:rsidR="0060703E">
        <w:rPr>
          <w:i/>
          <w:color w:val="000000"/>
        </w:rPr>
        <w:t>to activate</w:t>
      </w:r>
      <w:r>
        <w:rPr>
          <w:i/>
          <w:color w:val="000000"/>
        </w:rPr>
        <w:t xml:space="preserve"> cards or submit forms.” </w:t>
      </w:r>
    </w:p>
    <w:p w:rsidR="00945B64" w14:paraId="61DE496B" w14:textId="433AA654">
      <w:pPr>
        <w:widowControl w:val="0"/>
        <w:pBdr>
          <w:top w:val="nil"/>
          <w:left w:val="nil"/>
          <w:bottom w:val="nil"/>
          <w:right w:val="nil"/>
          <w:between w:val="nil"/>
        </w:pBdr>
        <w:spacing w:before="131" w:line="262" w:lineRule="auto"/>
        <w:ind w:left="105" w:right="9" w:hanging="3"/>
        <w:rPr>
          <w:color w:val="000000"/>
        </w:rPr>
      </w:pPr>
      <w:r>
        <w:rPr>
          <w:color w:val="000000"/>
        </w:rPr>
        <w:t xml:space="preserve">Although </w:t>
      </w:r>
      <w:r>
        <w:rPr>
          <w:color w:val="000000"/>
        </w:rPr>
        <w:t xml:space="preserve">anecdotal, this comment illustrates how unconditional incentives function to elicit responses, </w:t>
      </w:r>
      <w:r w:rsidR="0060703E">
        <w:rPr>
          <w:color w:val="000000"/>
        </w:rPr>
        <w:t>and specifically</w:t>
      </w:r>
      <w:r>
        <w:rPr>
          <w:color w:val="000000"/>
        </w:rPr>
        <w:t xml:space="preserve"> how cash (rather than gift cards) can help boost completion rates. </w:t>
      </w:r>
    </w:p>
    <w:p w:rsidR="00945B64" w14:paraId="27B38AEE" w14:textId="77777777">
      <w:pPr>
        <w:widowControl w:val="0"/>
        <w:pBdr>
          <w:top w:val="nil"/>
          <w:left w:val="nil"/>
          <w:bottom w:val="nil"/>
          <w:right w:val="nil"/>
          <w:between w:val="nil"/>
        </w:pBdr>
        <w:spacing w:before="134" w:line="240" w:lineRule="auto"/>
        <w:ind w:left="107"/>
        <w:rPr>
          <w:b/>
          <w:color w:val="000000"/>
        </w:rPr>
      </w:pPr>
      <w:r>
        <w:rPr>
          <w:b/>
          <w:color w:val="000000"/>
        </w:rPr>
        <w:t xml:space="preserve">Summary </w:t>
      </w:r>
    </w:p>
    <w:p w:rsidR="00945B64" w14:paraId="2DE58602" w14:textId="2D7A13F4">
      <w:pPr>
        <w:widowControl w:val="0"/>
        <w:pBdr>
          <w:top w:val="nil"/>
          <w:left w:val="nil"/>
          <w:bottom w:val="nil"/>
          <w:right w:val="nil"/>
          <w:between w:val="nil"/>
        </w:pBdr>
        <w:spacing w:before="152" w:line="263" w:lineRule="auto"/>
        <w:ind w:left="101" w:right="3" w:hanging="2"/>
        <w:rPr>
          <w:color w:val="000000"/>
        </w:rPr>
      </w:pPr>
      <w:r>
        <w:rPr>
          <w:color w:val="000000"/>
        </w:rPr>
        <w:t xml:space="preserve">The literature supports a $2 unconditional incentive for the </w:t>
      </w:r>
      <w:r>
        <w:rPr>
          <w:i/>
          <w:color w:val="000000"/>
        </w:rPr>
        <w:t xml:space="preserve">York River Outdoor Recreation </w:t>
      </w:r>
      <w:r>
        <w:rPr>
          <w:color w:val="000000"/>
        </w:rPr>
        <w:t>survey</w:t>
      </w:r>
      <w:r>
        <w:rPr>
          <w:i/>
          <w:color w:val="000000"/>
        </w:rPr>
        <w:t xml:space="preserve">. </w:t>
      </w:r>
      <w:r>
        <w:rPr>
          <w:color w:val="000000"/>
        </w:rPr>
        <w:t xml:space="preserve">Given </w:t>
      </w:r>
      <w:r w:rsidR="0060703E">
        <w:rPr>
          <w:color w:val="000000"/>
        </w:rPr>
        <w:t>the lower-than-expected</w:t>
      </w:r>
      <w:r>
        <w:rPr>
          <w:color w:val="000000"/>
        </w:rPr>
        <w:t xml:space="preserve"> responses rate in the pre-test (below 15%), SERL does not recommend eliminating the </w:t>
      </w:r>
      <w:r w:rsidR="0060703E">
        <w:rPr>
          <w:color w:val="000000"/>
        </w:rPr>
        <w:t>pre-paid</w:t>
      </w:r>
      <w:r>
        <w:rPr>
          <w:color w:val="000000"/>
        </w:rPr>
        <w:t xml:space="preserve"> incentive for this survey, despite the associated cost savings. Across survey modes, approximately 64</w:t>
      </w:r>
      <w:r w:rsidR="0060703E">
        <w:rPr>
          <w:color w:val="000000"/>
        </w:rPr>
        <w:t>% responded</w:t>
      </w:r>
      <w:r>
        <w:rPr>
          <w:color w:val="000000"/>
        </w:rPr>
        <w:t xml:space="preserve"> they had not visit</w:t>
      </w:r>
      <w:r>
        <w:rPr>
          <w:color w:val="000000"/>
        </w:rPr>
        <w:t xml:space="preserve">ed the York River or surrounding parks in the last 12 months. If the </w:t>
      </w:r>
      <w:r>
        <w:rPr>
          <w:i/>
          <w:color w:val="000000"/>
        </w:rPr>
        <w:t xml:space="preserve">York </w:t>
      </w:r>
      <w:r w:rsidR="0060703E">
        <w:rPr>
          <w:i/>
          <w:color w:val="000000"/>
        </w:rPr>
        <w:t>River Outdoor</w:t>
      </w:r>
      <w:r>
        <w:rPr>
          <w:i/>
          <w:color w:val="000000"/>
        </w:rPr>
        <w:t xml:space="preserve"> Recreation </w:t>
      </w:r>
      <w:r>
        <w:rPr>
          <w:color w:val="000000"/>
        </w:rPr>
        <w:t xml:space="preserve">is interested in capturing barriers to access, the incentive may help motivate those </w:t>
      </w:r>
      <w:r w:rsidR="0060703E">
        <w:rPr>
          <w:color w:val="000000"/>
        </w:rPr>
        <w:t>not interested</w:t>
      </w:r>
      <w:r>
        <w:rPr>
          <w:color w:val="000000"/>
        </w:rPr>
        <w:t xml:space="preserve"> in the York River to respond. While offering only $1 co</w:t>
      </w:r>
      <w:r>
        <w:rPr>
          <w:color w:val="000000"/>
        </w:rPr>
        <w:t xml:space="preserve">uld be explored, due to rising inflations </w:t>
      </w:r>
      <w:r w:rsidR="0060703E">
        <w:rPr>
          <w:color w:val="000000"/>
        </w:rPr>
        <w:t>since 2019</w:t>
      </w:r>
      <w:r>
        <w:rPr>
          <w:color w:val="000000"/>
        </w:rPr>
        <w:t xml:space="preserve">, $2 to $5 are now typically offered as pre-paid incentives. Given the length and complexity of the </w:t>
      </w:r>
      <w:r w:rsidR="0060703E">
        <w:rPr>
          <w:color w:val="000000"/>
        </w:rPr>
        <w:t>survey (</w:t>
      </w:r>
      <w:r>
        <w:rPr>
          <w:color w:val="000000"/>
        </w:rPr>
        <w:t>~36 questions), $2 seems to be an ideal incentive amount. SERL could explore making the cash i</w:t>
      </w:r>
      <w:r>
        <w:rPr>
          <w:color w:val="000000"/>
        </w:rPr>
        <w:t xml:space="preserve">ncentive </w:t>
      </w:r>
      <w:r w:rsidR="0060703E">
        <w:rPr>
          <w:color w:val="000000"/>
        </w:rPr>
        <w:t>more obvious</w:t>
      </w:r>
      <w:r>
        <w:rPr>
          <w:color w:val="000000"/>
        </w:rPr>
        <w:t xml:space="preserve"> if the NCCOS is interested in this option. </w:t>
      </w:r>
    </w:p>
    <w:p w:rsidR="00945B64" w:rsidP="0060703E" w14:paraId="5952C162" w14:textId="77777777">
      <w:pPr>
        <w:widowControl w:val="0"/>
        <w:pBdr>
          <w:top w:val="nil"/>
          <w:left w:val="nil"/>
          <w:bottom w:val="nil"/>
          <w:right w:val="nil"/>
          <w:between w:val="nil"/>
        </w:pBdr>
        <w:spacing w:before="131" w:line="240" w:lineRule="auto"/>
        <w:ind w:left="108"/>
        <w:rPr>
          <w:b/>
          <w:color w:val="000000"/>
          <w:sz w:val="24"/>
          <w:szCs w:val="24"/>
        </w:rPr>
      </w:pPr>
      <w:r>
        <w:rPr>
          <w:b/>
          <w:color w:val="000000"/>
          <w:sz w:val="24"/>
          <w:szCs w:val="24"/>
        </w:rPr>
        <w:t xml:space="preserve">Conclusions </w:t>
      </w:r>
    </w:p>
    <w:p w:rsidR="00945B64" w:rsidP="0060703E" w14:paraId="56D1B174" w14:textId="35D51FD0">
      <w:pPr>
        <w:widowControl w:val="0"/>
        <w:pBdr>
          <w:top w:val="nil"/>
          <w:left w:val="nil"/>
          <w:bottom w:val="nil"/>
          <w:right w:val="nil"/>
          <w:between w:val="nil"/>
        </w:pBdr>
        <w:spacing w:before="156" w:line="263" w:lineRule="auto"/>
        <w:ind w:left="101" w:right="2"/>
      </w:pPr>
      <w:r>
        <w:rPr>
          <w:color w:val="000000"/>
        </w:rPr>
        <w:t xml:space="preserve">The </w:t>
      </w:r>
      <w:r>
        <w:rPr>
          <w:i/>
          <w:color w:val="000000"/>
        </w:rPr>
        <w:t xml:space="preserve">York River Outdoor Recreation </w:t>
      </w:r>
      <w:r>
        <w:rPr>
          <w:color w:val="000000"/>
        </w:rPr>
        <w:t xml:space="preserve">pre-test survey had a slightly lower response rates than comparable </w:t>
      </w:r>
      <w:r w:rsidR="0060703E">
        <w:rPr>
          <w:color w:val="000000"/>
        </w:rPr>
        <w:t>parks and</w:t>
      </w:r>
      <w:r>
        <w:rPr>
          <w:color w:val="000000"/>
        </w:rPr>
        <w:t xml:space="preserve"> recreation surveys – 13.2% compared to 14.6% for the statewide </w:t>
      </w:r>
      <w:r>
        <w:rPr>
          <w:color w:val="000000"/>
        </w:rPr>
        <w:t xml:space="preserve">2022 Virginia Outdoor Surveys by </w:t>
      </w:r>
      <w:r w:rsidR="0060703E">
        <w:rPr>
          <w:color w:val="000000"/>
        </w:rPr>
        <w:t>the Virginia</w:t>
      </w:r>
      <w:r>
        <w:rPr>
          <w:color w:val="000000"/>
        </w:rPr>
        <w:t xml:space="preserve"> Department of Conservation and 15.0% for the Chesterfield Parks and Recreation Survey. Parks and outdoor recreation surveys are typically launched in the Spring and Summer and it is possible there was a </w:t>
      </w:r>
      <w:r w:rsidR="0060703E">
        <w:rPr>
          <w:color w:val="000000"/>
        </w:rPr>
        <w:t>lower interest</w:t>
      </w:r>
      <w:r>
        <w:rPr>
          <w:color w:val="000000"/>
        </w:rPr>
        <w:t xml:space="preserve"> in a survey about outdoor recreation during the Winter. Additionally, it is possible that respondents </w:t>
      </w:r>
      <w:r w:rsidR="0060703E">
        <w:rPr>
          <w:color w:val="000000"/>
        </w:rPr>
        <w:t>are more</w:t>
      </w:r>
      <w:r>
        <w:rPr>
          <w:color w:val="000000"/>
        </w:rPr>
        <w:t xml:space="preserve"> motivated to respond to letters from a local, county government and/or a Virginia state agency. </w:t>
      </w:r>
      <w:r w:rsidR="0060703E">
        <w:rPr>
          <w:color w:val="000000"/>
        </w:rPr>
        <w:t>Although the</w:t>
      </w:r>
      <w:r>
        <w:rPr>
          <w:color w:val="000000"/>
        </w:rPr>
        <w:t xml:space="preserve"> initial pre-test survey </w:t>
      </w:r>
      <w:r>
        <w:rPr>
          <w:color w:val="000000"/>
        </w:rPr>
        <w:t xml:space="preserve">invitation would have been received after the Thanksgiving holiday and before the start of Hanukkah/Christmas, it is possible the holiday season depressed survey response rates overall. </w:t>
      </w:r>
      <w:r w:rsidR="0060703E">
        <w:rPr>
          <w:color w:val="000000"/>
        </w:rPr>
        <w:t>The production</w:t>
      </w:r>
      <w:r>
        <w:rPr>
          <w:color w:val="000000"/>
        </w:rPr>
        <w:t xml:space="preserve"> survey mailing should be launched to avoid any major h</w:t>
      </w:r>
      <w:r>
        <w:rPr>
          <w:color w:val="000000"/>
        </w:rPr>
        <w:t>olidays (</w:t>
      </w:r>
      <w:r w:rsidR="0060703E">
        <w:rPr>
          <w:color w:val="000000"/>
        </w:rPr>
        <w:t>e.g.,</w:t>
      </w:r>
      <w:r>
        <w:rPr>
          <w:color w:val="000000"/>
        </w:rPr>
        <w:t xml:space="preserve"> </w:t>
      </w:r>
      <w:r w:rsidR="0060703E">
        <w:rPr>
          <w:color w:val="000000"/>
        </w:rPr>
        <w:t>Memorial Day</w:t>
      </w:r>
      <w:r>
        <w:rPr>
          <w:color w:val="000000"/>
        </w:rPr>
        <w:t xml:space="preserve">). </w:t>
      </w:r>
    </w:p>
    <w:p w:rsidR="00945B64" w:rsidP="0060703E" w14:paraId="45919BB6" w14:textId="4874D97B">
      <w:pPr>
        <w:widowControl w:val="0"/>
        <w:pBdr>
          <w:top w:val="nil"/>
          <w:left w:val="nil"/>
          <w:bottom w:val="nil"/>
          <w:right w:val="nil"/>
          <w:between w:val="nil"/>
        </w:pBdr>
        <w:spacing w:before="156" w:line="263" w:lineRule="auto"/>
        <w:ind w:left="101" w:right="2"/>
        <w:rPr>
          <w:color w:val="000000"/>
        </w:rPr>
      </w:pPr>
      <w:r>
        <w:rPr>
          <w:color w:val="000000"/>
        </w:rPr>
        <w:t xml:space="preserve">More than 50% of the web completions occurred shortly after the invitation letter and incentive were received (Figure 1). The first postcard reminder also elicited a large portion of Web responses, although we are not </w:t>
      </w:r>
      <w:r w:rsidR="0060703E">
        <w:rPr>
          <w:color w:val="000000"/>
        </w:rPr>
        <w:t>able to</w:t>
      </w:r>
      <w:r>
        <w:rPr>
          <w:color w:val="000000"/>
        </w:rPr>
        <w:t xml:space="preserve"> ascertain exactly when each household received the first reminder. SERL could explore making the </w:t>
      </w:r>
      <w:r w:rsidR="0060703E">
        <w:rPr>
          <w:color w:val="000000"/>
        </w:rPr>
        <w:t>incentive more</w:t>
      </w:r>
      <w:r>
        <w:rPr>
          <w:color w:val="000000"/>
        </w:rPr>
        <w:t xml:space="preserve"> obvious (see literature review), although this could bring additional concerns </w:t>
      </w:r>
    </w:p>
    <w:p w:rsidR="00945B64" w:rsidP="0060703E" w14:paraId="7E0F7685" w14:textId="05D9773C">
      <w:pPr>
        <w:widowControl w:val="0"/>
        <w:pBdr>
          <w:top w:val="nil"/>
          <w:left w:val="nil"/>
          <w:bottom w:val="nil"/>
          <w:right w:val="nil"/>
          <w:between w:val="nil"/>
        </w:pBdr>
        <w:spacing w:before="130" w:line="263" w:lineRule="auto"/>
        <w:ind w:left="106" w:right="3" w:hanging="4"/>
        <w:rPr>
          <w:color w:val="000000"/>
        </w:rPr>
      </w:pPr>
      <w:r>
        <w:rPr>
          <w:color w:val="000000"/>
        </w:rPr>
        <w:t xml:space="preserve">The holiday season and issues with the printing vendor delayed the mailing of the booklet. Additionally, </w:t>
      </w:r>
      <w:r w:rsidR="0060703E">
        <w:rPr>
          <w:color w:val="000000"/>
        </w:rPr>
        <w:t>the Richmond</w:t>
      </w:r>
      <w:r>
        <w:rPr>
          <w:color w:val="000000"/>
        </w:rPr>
        <w:t xml:space="preserve"> water crisis may have lengthened mailing times. The large gap between the initial mailing and </w:t>
      </w:r>
      <w:r w:rsidR="0060703E">
        <w:rPr>
          <w:color w:val="000000"/>
        </w:rPr>
        <w:t>the booklet</w:t>
      </w:r>
      <w:r>
        <w:rPr>
          <w:color w:val="000000"/>
        </w:rPr>
        <w:t xml:space="preserve"> may have contributed to lower </w:t>
      </w:r>
      <w:r>
        <w:rPr>
          <w:color w:val="000000"/>
        </w:rPr>
        <w:t xml:space="preserve">paper completion rates. For the production survey, SERL will partner </w:t>
      </w:r>
      <w:r w:rsidR="0060703E">
        <w:rPr>
          <w:color w:val="000000"/>
        </w:rPr>
        <w:t>with a</w:t>
      </w:r>
      <w:r>
        <w:rPr>
          <w:color w:val="000000"/>
        </w:rPr>
        <w:t xml:space="preserve"> new printing vendor that will be able to meet a more streamlined mailing schedule. </w:t>
      </w:r>
    </w:p>
    <w:p w:rsidR="00945B64" w:rsidP="0060703E" w14:paraId="3242D19D" w14:textId="05B5EA85">
      <w:pPr>
        <w:widowControl w:val="0"/>
        <w:pBdr>
          <w:top w:val="nil"/>
          <w:left w:val="nil"/>
          <w:bottom w:val="nil"/>
          <w:right w:val="nil"/>
          <w:between w:val="nil"/>
        </w:pBdr>
        <w:spacing w:before="130" w:line="264" w:lineRule="auto"/>
        <w:ind w:left="101" w:right="3" w:firstLine="13"/>
        <w:rPr>
          <w:color w:val="000000"/>
        </w:rPr>
      </w:pPr>
      <w:r>
        <w:rPr>
          <w:color w:val="000000"/>
        </w:rPr>
        <w:t>No respondents completed the survey in Spanish. This is not unusual, as previous Virginia parks</w:t>
      </w:r>
      <w:r>
        <w:rPr>
          <w:color w:val="000000"/>
        </w:rPr>
        <w:t xml:space="preserve"> and </w:t>
      </w:r>
      <w:r w:rsidR="0060703E">
        <w:rPr>
          <w:color w:val="000000"/>
        </w:rPr>
        <w:t>recreation fielded</w:t>
      </w:r>
      <w:r>
        <w:rPr>
          <w:color w:val="000000"/>
        </w:rPr>
        <w:t xml:space="preserve"> by SERL also did not receive Spanish completions when one is offered. The production survey </w:t>
      </w:r>
      <w:r w:rsidR="0060703E">
        <w:rPr>
          <w:color w:val="000000"/>
        </w:rPr>
        <w:t>could highlight</w:t>
      </w:r>
      <w:r>
        <w:rPr>
          <w:color w:val="000000"/>
        </w:rPr>
        <w:t xml:space="preserve"> the Spanish language option in recruitment materials. </w:t>
      </w:r>
    </w:p>
    <w:p w:rsidR="00945B64" w:rsidP="0060703E" w14:paraId="48705345" w14:textId="34C6EC44">
      <w:pPr>
        <w:widowControl w:val="0"/>
        <w:pBdr>
          <w:top w:val="nil"/>
          <w:left w:val="nil"/>
          <w:bottom w:val="nil"/>
          <w:right w:val="nil"/>
          <w:between w:val="nil"/>
        </w:pBdr>
        <w:spacing w:before="131" w:line="263" w:lineRule="auto"/>
        <w:ind w:left="107" w:right="2" w:hanging="5"/>
        <w:rPr>
          <w:color w:val="000000"/>
        </w:rPr>
      </w:pPr>
      <w:r>
        <w:rPr>
          <w:color w:val="000000"/>
        </w:rPr>
        <w:t>The Qualtrics survey performed well – most web respondents that sta</w:t>
      </w:r>
      <w:r>
        <w:rPr>
          <w:color w:val="000000"/>
        </w:rPr>
        <w:t xml:space="preserve">rted the survey completed the survey.  </w:t>
      </w:r>
      <w:r>
        <w:rPr>
          <w:color w:val="000000"/>
        </w:rPr>
        <w:t>SERL did not receive inquiries about access issues to the survey. There were no major issues in the open-</w:t>
      </w:r>
      <w:r w:rsidR="0060703E">
        <w:rPr>
          <w:color w:val="000000"/>
        </w:rPr>
        <w:t>ended comments</w:t>
      </w:r>
      <w:r>
        <w:rPr>
          <w:color w:val="000000"/>
        </w:rPr>
        <w:t xml:space="preserve"> about the survey Respondents that completed the paper by mail were able to follow the skip-</w:t>
      </w:r>
      <w:r w:rsidR="0060703E">
        <w:rPr>
          <w:color w:val="000000"/>
        </w:rPr>
        <w:t>logic instructions</w:t>
      </w:r>
      <w:r>
        <w:rPr>
          <w:color w:val="000000"/>
        </w:rPr>
        <w:t xml:space="preserve">.  </w:t>
      </w:r>
    </w:p>
    <w:p w:rsidR="00945B64" w14:paraId="183752BD" w14:textId="77777777">
      <w:pPr>
        <w:widowControl w:val="0"/>
        <w:pBdr>
          <w:top w:val="nil"/>
          <w:left w:val="nil"/>
          <w:bottom w:val="nil"/>
          <w:right w:val="nil"/>
          <w:between w:val="nil"/>
        </w:pBdr>
        <w:spacing w:before="130" w:line="240" w:lineRule="auto"/>
        <w:ind w:left="116"/>
        <w:rPr>
          <w:b/>
          <w:sz w:val="24"/>
          <w:szCs w:val="24"/>
        </w:rPr>
      </w:pPr>
    </w:p>
    <w:p w:rsidR="00945B64" w14:paraId="1D6DD9E1" w14:textId="77777777">
      <w:pPr>
        <w:widowControl w:val="0"/>
        <w:pBdr>
          <w:top w:val="nil"/>
          <w:left w:val="nil"/>
          <w:bottom w:val="nil"/>
          <w:right w:val="nil"/>
          <w:between w:val="nil"/>
        </w:pBdr>
        <w:spacing w:before="130" w:line="240" w:lineRule="auto"/>
        <w:ind w:left="116"/>
        <w:rPr>
          <w:b/>
          <w:sz w:val="24"/>
          <w:szCs w:val="24"/>
        </w:rPr>
      </w:pPr>
    </w:p>
    <w:p w:rsidR="00945B64" w14:paraId="1A4C4F94" w14:textId="77777777">
      <w:pPr>
        <w:widowControl w:val="0"/>
        <w:pBdr>
          <w:top w:val="nil"/>
          <w:left w:val="nil"/>
          <w:bottom w:val="nil"/>
          <w:right w:val="nil"/>
          <w:between w:val="nil"/>
        </w:pBdr>
        <w:spacing w:before="130" w:line="240" w:lineRule="auto"/>
        <w:ind w:left="116"/>
        <w:rPr>
          <w:b/>
          <w:color w:val="000000"/>
          <w:sz w:val="24"/>
          <w:szCs w:val="24"/>
        </w:rPr>
      </w:pPr>
      <w:r>
        <w:rPr>
          <w:b/>
          <w:color w:val="000000"/>
          <w:sz w:val="24"/>
          <w:szCs w:val="24"/>
        </w:rPr>
        <w:t xml:space="preserve">List of Appendices </w:t>
      </w:r>
    </w:p>
    <w:p w:rsidR="00945B64" w14:paraId="7C959523" w14:textId="77777777">
      <w:pPr>
        <w:widowControl w:val="0"/>
        <w:pBdr>
          <w:top w:val="nil"/>
          <w:left w:val="nil"/>
          <w:bottom w:val="nil"/>
          <w:right w:val="nil"/>
          <w:between w:val="nil"/>
        </w:pBdr>
        <w:spacing w:before="156" w:line="240" w:lineRule="auto"/>
        <w:ind w:left="101"/>
        <w:rPr>
          <w:color w:val="000000"/>
        </w:rPr>
      </w:pPr>
      <w:r>
        <w:rPr>
          <w:color w:val="000000"/>
        </w:rPr>
        <w:t xml:space="preserve">Appendix A – VCU IRB approval letters (pp 1 – 5) </w:t>
      </w:r>
    </w:p>
    <w:p w:rsidR="00945B64" w14:paraId="11875EA6" w14:textId="77777777">
      <w:pPr>
        <w:widowControl w:val="0"/>
        <w:pBdr>
          <w:top w:val="nil"/>
          <w:left w:val="nil"/>
          <w:bottom w:val="nil"/>
          <w:right w:val="nil"/>
          <w:between w:val="nil"/>
        </w:pBdr>
        <w:spacing w:before="152" w:line="240" w:lineRule="auto"/>
        <w:ind w:left="101"/>
        <w:rPr>
          <w:color w:val="000000"/>
        </w:rPr>
      </w:pPr>
      <w:r>
        <w:rPr>
          <w:color w:val="000000"/>
        </w:rPr>
        <w:t xml:space="preserve">Appendix B – Qualtrics Instruments (pp 6 – 54) </w:t>
      </w:r>
    </w:p>
    <w:p w:rsidR="00945B64" w14:paraId="1146AE65" w14:textId="77777777">
      <w:pPr>
        <w:widowControl w:val="0"/>
        <w:pBdr>
          <w:top w:val="nil"/>
          <w:left w:val="nil"/>
          <w:bottom w:val="nil"/>
          <w:right w:val="nil"/>
          <w:between w:val="nil"/>
        </w:pBdr>
        <w:spacing w:before="152" w:line="240" w:lineRule="auto"/>
        <w:ind w:left="101"/>
        <w:rPr>
          <w:color w:val="000000"/>
        </w:rPr>
      </w:pPr>
      <w:r>
        <w:rPr>
          <w:color w:val="000000"/>
        </w:rPr>
        <w:t xml:space="preserve">Appendix C – Sample Design (pp 55 – 85) </w:t>
      </w:r>
    </w:p>
    <w:p w:rsidR="00945B64" w14:paraId="5F9D12FC" w14:textId="77777777">
      <w:pPr>
        <w:widowControl w:val="0"/>
        <w:pBdr>
          <w:top w:val="nil"/>
          <w:left w:val="nil"/>
          <w:bottom w:val="nil"/>
          <w:right w:val="nil"/>
          <w:between w:val="nil"/>
        </w:pBdr>
        <w:spacing w:before="155" w:line="240" w:lineRule="auto"/>
        <w:ind w:left="101"/>
        <w:rPr>
          <w:color w:val="000000"/>
        </w:rPr>
      </w:pPr>
      <w:r>
        <w:rPr>
          <w:color w:val="000000"/>
        </w:rPr>
        <w:t xml:space="preserve">Appendix D – Recruitment Materials (pp 86 – 95) </w:t>
      </w:r>
    </w:p>
    <w:p w:rsidR="00945B64" w14:paraId="27EE3387" w14:textId="77777777">
      <w:pPr>
        <w:widowControl w:val="0"/>
        <w:pBdr>
          <w:top w:val="nil"/>
          <w:left w:val="nil"/>
          <w:bottom w:val="nil"/>
          <w:right w:val="nil"/>
          <w:between w:val="nil"/>
        </w:pBdr>
        <w:spacing w:before="153" w:line="240" w:lineRule="auto"/>
        <w:ind w:left="101"/>
        <w:rPr>
          <w:color w:val="000000"/>
        </w:rPr>
      </w:pPr>
      <w:r>
        <w:rPr>
          <w:color w:val="000000"/>
        </w:rPr>
        <w:t xml:space="preserve">Appendix E – Survey Booklet (pp 96 – 104) </w:t>
      </w:r>
    </w:p>
    <w:p w:rsidR="00945B64" w14:paraId="783B7DAF" w14:textId="77777777">
      <w:pPr>
        <w:widowControl w:val="0"/>
        <w:pBdr>
          <w:top w:val="nil"/>
          <w:left w:val="nil"/>
          <w:bottom w:val="nil"/>
          <w:right w:val="nil"/>
          <w:between w:val="nil"/>
        </w:pBdr>
        <w:spacing w:before="152" w:line="240" w:lineRule="auto"/>
        <w:ind w:left="101"/>
        <w:rPr>
          <w:color w:val="000000"/>
        </w:rPr>
      </w:pPr>
      <w:r>
        <w:rPr>
          <w:color w:val="000000"/>
        </w:rPr>
        <w:t xml:space="preserve">Appendix F – </w:t>
      </w:r>
      <w:r>
        <w:rPr>
          <w:color w:val="000000"/>
        </w:rPr>
        <w:t>Dynata</w:t>
      </w:r>
      <w:r>
        <w:rPr>
          <w:color w:val="000000"/>
        </w:rPr>
        <w:t xml:space="preserve"> ABS File Construction (pp 105 – 106) </w:t>
      </w:r>
    </w:p>
    <w:p w:rsidR="00945B64" w14:paraId="1D5192E5" w14:textId="77777777">
      <w:pPr>
        <w:widowControl w:val="0"/>
        <w:pBdr>
          <w:top w:val="nil"/>
          <w:left w:val="nil"/>
          <w:bottom w:val="nil"/>
          <w:right w:val="nil"/>
          <w:between w:val="nil"/>
        </w:pBdr>
        <w:spacing w:before="152" w:line="240" w:lineRule="auto"/>
        <w:ind w:left="116"/>
        <w:rPr>
          <w:b/>
          <w:sz w:val="24"/>
          <w:szCs w:val="24"/>
        </w:rPr>
      </w:pPr>
    </w:p>
    <w:p w:rsidR="00945B64" w14:paraId="5D7D1975" w14:textId="77777777">
      <w:pPr>
        <w:widowControl w:val="0"/>
        <w:pBdr>
          <w:top w:val="nil"/>
          <w:left w:val="nil"/>
          <w:bottom w:val="nil"/>
          <w:right w:val="nil"/>
          <w:between w:val="nil"/>
        </w:pBdr>
        <w:spacing w:before="152" w:line="240" w:lineRule="auto"/>
        <w:ind w:left="116"/>
        <w:rPr>
          <w:b/>
          <w:color w:val="000000"/>
          <w:sz w:val="24"/>
          <w:szCs w:val="24"/>
        </w:rPr>
      </w:pPr>
      <w:r>
        <w:rPr>
          <w:b/>
          <w:color w:val="000000"/>
          <w:sz w:val="24"/>
          <w:szCs w:val="24"/>
        </w:rPr>
        <w:t xml:space="preserve">References </w:t>
      </w:r>
    </w:p>
    <w:p w:rsidR="00945B64" w14:paraId="2346752C" w14:textId="6614C3C5">
      <w:pPr>
        <w:widowControl w:val="0"/>
        <w:pBdr>
          <w:top w:val="nil"/>
          <w:left w:val="nil"/>
          <w:bottom w:val="nil"/>
          <w:right w:val="nil"/>
          <w:between w:val="nil"/>
        </w:pBdr>
        <w:spacing w:before="159" w:line="228" w:lineRule="auto"/>
        <w:ind w:left="111" w:right="293" w:hanging="9"/>
        <w:rPr>
          <w:color w:val="0000FF"/>
          <w:highlight w:val="white"/>
          <w:u w:val="single"/>
        </w:rPr>
      </w:pPr>
      <w:r>
        <w:rPr>
          <w:color w:val="000000"/>
          <w:highlight w:val="white"/>
        </w:rPr>
        <w:t xml:space="preserve">Anderson, L., </w:t>
      </w:r>
      <w:r>
        <w:rPr>
          <w:color w:val="000000"/>
          <w:highlight w:val="white"/>
        </w:rPr>
        <w:t>Jans</w:t>
      </w:r>
      <w:r>
        <w:rPr>
          <w:color w:val="000000"/>
          <w:highlight w:val="white"/>
        </w:rPr>
        <w:t xml:space="preserve">, M., Lee, A., Doyle, C., Driscoll, H., &amp; </w:t>
      </w:r>
      <w:r>
        <w:rPr>
          <w:color w:val="000000"/>
          <w:highlight w:val="white"/>
        </w:rPr>
        <w:t>Hilger</w:t>
      </w:r>
      <w:r>
        <w:rPr>
          <w:color w:val="000000"/>
          <w:highlight w:val="white"/>
        </w:rPr>
        <w:t xml:space="preserve">, J. (2021). Effects of survey response </w:t>
      </w:r>
      <w:r w:rsidR="0060703E">
        <w:rPr>
          <w:color w:val="000000"/>
          <w:highlight w:val="white"/>
        </w:rPr>
        <w:t xml:space="preserve">mode, </w:t>
      </w:r>
      <w:r w:rsidR="0060703E">
        <w:rPr>
          <w:color w:val="000000"/>
        </w:rPr>
        <w:t>purported</w:t>
      </w:r>
      <w:r>
        <w:rPr>
          <w:color w:val="000000"/>
          <w:highlight w:val="white"/>
        </w:rPr>
        <w:t xml:space="preserve"> topic, and incentives on response rates in human dimensions of fisheries and </w:t>
      </w:r>
      <w:r w:rsidR="0060703E">
        <w:rPr>
          <w:color w:val="000000"/>
          <w:highlight w:val="white"/>
        </w:rPr>
        <w:t xml:space="preserve">wildlife </w:t>
      </w:r>
      <w:r w:rsidR="0060703E">
        <w:rPr>
          <w:color w:val="000000"/>
        </w:rPr>
        <w:t>research</w:t>
      </w:r>
      <w:r>
        <w:rPr>
          <w:color w:val="000000"/>
          <w:highlight w:val="white"/>
        </w:rPr>
        <w:t xml:space="preserve">. </w:t>
      </w:r>
      <w:r>
        <w:rPr>
          <w:i/>
          <w:color w:val="000000"/>
          <w:highlight w:val="white"/>
        </w:rPr>
        <w:t>Human Dimensions of Wildlife</w:t>
      </w:r>
      <w:r>
        <w:rPr>
          <w:color w:val="000000"/>
          <w:highlight w:val="white"/>
        </w:rPr>
        <w:t xml:space="preserve">, </w:t>
      </w:r>
      <w:r>
        <w:rPr>
          <w:i/>
          <w:color w:val="000000"/>
          <w:highlight w:val="white"/>
        </w:rPr>
        <w:t>27</w:t>
      </w:r>
      <w:r>
        <w:rPr>
          <w:color w:val="000000"/>
          <w:highlight w:val="white"/>
        </w:rPr>
        <w:t>(3), 201–219</w:t>
      </w:r>
      <w:r>
        <w:rPr>
          <w:color w:val="0000FF"/>
          <w:highlight w:val="white"/>
          <w:u w:val="single"/>
        </w:rPr>
        <w:t xml:space="preserve">. https://doi.org/10.1080/10871209.2021.1907633 </w:t>
      </w:r>
    </w:p>
    <w:p w:rsidR="00945B64" w14:paraId="6109E064" w14:textId="3B68FF3F">
      <w:pPr>
        <w:widowControl w:val="0"/>
        <w:pBdr>
          <w:top w:val="nil"/>
          <w:left w:val="nil"/>
          <w:bottom w:val="nil"/>
          <w:right w:val="nil"/>
          <w:between w:val="nil"/>
        </w:pBdr>
        <w:spacing w:before="127" w:line="228" w:lineRule="auto"/>
        <w:ind w:left="109" w:right="181" w:hanging="7"/>
        <w:rPr>
          <w:color w:val="000000"/>
        </w:rPr>
      </w:pPr>
      <w:r>
        <w:rPr>
          <w:color w:val="000000"/>
        </w:rPr>
        <w:t>Andrews R., Brick J. M., Mathiowetz W. N. A. (2014). Dev</w:t>
      </w:r>
      <w:r>
        <w:rPr>
          <w:color w:val="000000"/>
        </w:rPr>
        <w:t xml:space="preserve">elopment and Testing of Recreational Fishing </w:t>
      </w:r>
      <w:r w:rsidR="0060703E">
        <w:rPr>
          <w:color w:val="000000"/>
        </w:rPr>
        <w:t>Effort Surveys</w:t>
      </w:r>
      <w:r>
        <w:rPr>
          <w:color w:val="000000"/>
        </w:rPr>
        <w:t xml:space="preserve">. National Oceanic and Atmospheric Administration, National Marine Fisheries Service, Silver Spring. </w:t>
      </w:r>
    </w:p>
    <w:p w:rsidR="00945B64" w14:paraId="52F23A23" w14:textId="2AF9955E">
      <w:pPr>
        <w:widowControl w:val="0"/>
        <w:pBdr>
          <w:top w:val="nil"/>
          <w:left w:val="nil"/>
          <w:bottom w:val="nil"/>
          <w:right w:val="nil"/>
          <w:between w:val="nil"/>
        </w:pBdr>
        <w:spacing w:before="127" w:line="228" w:lineRule="auto"/>
        <w:ind w:left="105" w:right="284" w:firstLine="9"/>
        <w:rPr>
          <w:color w:val="0000FF"/>
        </w:rPr>
      </w:pPr>
      <w:r>
        <w:rPr>
          <w:color w:val="000000"/>
        </w:rPr>
        <w:t xml:space="preserve">Butler, B. J., Hewes, J. H., Tyrrell, M. L., &amp; Butler, S. M. (2017). Methods for increasing cooperation rates </w:t>
      </w:r>
      <w:r w:rsidR="0060703E">
        <w:rPr>
          <w:color w:val="000000"/>
        </w:rPr>
        <w:t>for surveys</w:t>
      </w:r>
      <w:r>
        <w:rPr>
          <w:color w:val="000000"/>
        </w:rPr>
        <w:t xml:space="preserve"> of family forest owners. Small-Scale Forestry, 16(2), 169–177. </w:t>
      </w:r>
      <w:r>
        <w:rPr>
          <w:color w:val="0000FF"/>
          <w:u w:val="single"/>
        </w:rPr>
        <w:t>https://doi.org/10.1007/s11842-016-</w:t>
      </w:r>
      <w:r>
        <w:rPr>
          <w:color w:val="0000FF"/>
        </w:rPr>
        <w:t xml:space="preserve"> </w:t>
      </w:r>
      <w:r>
        <w:rPr>
          <w:color w:val="0000FF"/>
          <w:u w:val="single"/>
        </w:rPr>
        <w:t>9349-7</w:t>
      </w:r>
      <w:r>
        <w:rPr>
          <w:color w:val="0000FF"/>
        </w:rPr>
        <w:t xml:space="preserve"> </w:t>
      </w:r>
    </w:p>
    <w:p w:rsidR="00945B64" w14:paraId="31AD3A71" w14:textId="1AFA3ECC">
      <w:pPr>
        <w:widowControl w:val="0"/>
        <w:pBdr>
          <w:top w:val="nil"/>
          <w:left w:val="nil"/>
          <w:bottom w:val="nil"/>
          <w:right w:val="nil"/>
          <w:between w:val="nil"/>
        </w:pBdr>
        <w:spacing w:before="128" w:line="229" w:lineRule="auto"/>
        <w:ind w:left="107" w:right="360"/>
        <w:rPr>
          <w:color w:val="000000"/>
        </w:rPr>
      </w:pPr>
      <w:r>
        <w:rPr>
          <w:color w:val="000000"/>
        </w:rPr>
        <w:t>Carter D. W. et al. (2024)</w:t>
      </w:r>
      <w:r>
        <w:rPr>
          <w:color w:val="000000"/>
        </w:rPr>
        <w:t xml:space="preserve">. A comparison of recreational fishing demand estimates from a mail-push </w:t>
      </w:r>
      <w:r w:rsidR="0060703E">
        <w:rPr>
          <w:color w:val="000000"/>
        </w:rPr>
        <w:t>versus email</w:t>
      </w:r>
      <w:r>
        <w:rPr>
          <w:color w:val="000000"/>
        </w:rPr>
        <w:t xml:space="preserve">-only sampling strategy: Evidence from a Survey of Gulf of Mexico Anglers, North American Journal </w:t>
      </w:r>
      <w:r>
        <w:rPr>
          <w:color w:val="000000"/>
        </w:rPr>
        <w:t>of  Fisheries</w:t>
      </w:r>
      <w:r>
        <w:rPr>
          <w:color w:val="000000"/>
        </w:rPr>
        <w:t xml:space="preserve"> Management </w:t>
      </w:r>
    </w:p>
    <w:p w:rsidR="00945B64" w14:paraId="5DA7BFD7" w14:textId="77777777">
      <w:pPr>
        <w:widowControl w:val="0"/>
        <w:pBdr>
          <w:top w:val="nil"/>
          <w:left w:val="nil"/>
          <w:bottom w:val="nil"/>
          <w:right w:val="nil"/>
          <w:between w:val="nil"/>
        </w:pBdr>
        <w:spacing w:before="124" w:line="228" w:lineRule="auto"/>
        <w:ind w:left="117" w:right="641" w:hanging="9"/>
        <w:rPr>
          <w:color w:val="0000FF"/>
          <w:u w:val="single"/>
        </w:rPr>
      </w:pPr>
      <w:r>
        <w:rPr>
          <w:color w:val="000000"/>
        </w:rPr>
        <w:t xml:space="preserve">Church, A. H. (1993). Estimating the effect of incentives on mail survey response rates: A meta-analysis.  Public Opinion Quarterly, 57(1), 62–79. </w:t>
      </w:r>
      <w:hyperlink r:id="rId7">
        <w:r>
          <w:rPr>
            <w:color w:val="1155CC"/>
            <w:u w:val="single"/>
          </w:rPr>
          <w:t>https://doi.org/10.1086/269355</w:t>
        </w:r>
      </w:hyperlink>
    </w:p>
    <w:p w:rsidR="00945B64" w14:paraId="07777D31" w14:textId="77777777">
      <w:pPr>
        <w:widowControl w:val="0"/>
        <w:pBdr>
          <w:top w:val="nil"/>
          <w:left w:val="nil"/>
          <w:bottom w:val="nil"/>
          <w:right w:val="nil"/>
          <w:between w:val="nil"/>
        </w:pBdr>
        <w:spacing w:before="124" w:line="228" w:lineRule="auto"/>
        <w:ind w:left="117" w:right="641" w:hanging="9"/>
        <w:rPr>
          <w:color w:val="000000"/>
        </w:rPr>
      </w:pPr>
      <w:r>
        <w:rPr>
          <w:color w:val="000000"/>
        </w:rPr>
        <w:t>Cook, C., Heath, F., &amp; Thomp</w:t>
      </w:r>
      <w:r>
        <w:rPr>
          <w:color w:val="000000"/>
        </w:rPr>
        <w:t>son, R. L. (2000). A meta-analysis of response rates in Web- or internet-</w:t>
      </w:r>
      <w:r>
        <w:rPr>
          <w:color w:val="000000"/>
        </w:rPr>
        <w:t>based  surveys</w:t>
      </w:r>
      <w:r>
        <w:rPr>
          <w:color w:val="000000"/>
        </w:rPr>
        <w:t xml:space="preserve">. Educational and Psychological Measurement, 60(6), 821–836.  </w:t>
      </w:r>
    </w:p>
    <w:p w:rsidR="00945B64" w14:paraId="0E0A6B5D" w14:textId="77777777">
      <w:pPr>
        <w:widowControl w:val="0"/>
        <w:pBdr>
          <w:top w:val="nil"/>
          <w:left w:val="nil"/>
          <w:bottom w:val="nil"/>
          <w:right w:val="nil"/>
          <w:between w:val="nil"/>
        </w:pBdr>
        <w:spacing w:before="3" w:line="240" w:lineRule="auto"/>
        <w:ind w:left="112"/>
        <w:rPr>
          <w:color w:val="0000FF"/>
          <w:u w:val="single"/>
        </w:rPr>
      </w:pPr>
      <w:r>
        <w:rPr>
          <w:color w:val="0000FF"/>
          <w:u w:val="single"/>
        </w:rPr>
        <w:t xml:space="preserve">https://doi.org/10.1177/00131640021970934 </w:t>
      </w:r>
    </w:p>
    <w:p w:rsidR="00945B64" w14:paraId="40C588DB" w14:textId="19622840">
      <w:pPr>
        <w:widowControl w:val="0"/>
        <w:pBdr>
          <w:top w:val="nil"/>
          <w:left w:val="nil"/>
          <w:bottom w:val="nil"/>
          <w:right w:val="nil"/>
          <w:between w:val="nil"/>
        </w:pBdr>
        <w:spacing w:before="116" w:line="228" w:lineRule="auto"/>
        <w:ind w:left="100" w:right="497" w:firstLine="16"/>
        <w:rPr>
          <w:color w:val="000000"/>
        </w:rPr>
      </w:pPr>
      <w:r>
        <w:rPr>
          <w:color w:val="000000"/>
        </w:rPr>
        <w:t>DeBell</w:t>
      </w:r>
      <w:r>
        <w:rPr>
          <w:color w:val="000000"/>
        </w:rPr>
        <w:t xml:space="preserve"> M., Maisel N., Edwards B., </w:t>
      </w:r>
      <w:r>
        <w:rPr>
          <w:color w:val="000000"/>
        </w:rPr>
        <w:t>Amsbary</w:t>
      </w:r>
      <w:r>
        <w:rPr>
          <w:color w:val="000000"/>
        </w:rPr>
        <w:t xml:space="preserve"> M., </w:t>
      </w:r>
      <w:r>
        <w:rPr>
          <w:color w:val="000000"/>
        </w:rPr>
        <w:t>Meldener</w:t>
      </w:r>
      <w:r>
        <w:rPr>
          <w:color w:val="000000"/>
        </w:rPr>
        <w:t xml:space="preserve"> V. (2020). Improving survey response rates </w:t>
      </w:r>
      <w:r w:rsidR="0060703E">
        <w:rPr>
          <w:color w:val="000000"/>
        </w:rPr>
        <w:t>with visible</w:t>
      </w:r>
      <w:r>
        <w:rPr>
          <w:color w:val="000000"/>
        </w:rPr>
        <w:t xml:space="preserve"> money. Journal of Survey Statistics and Methodology, 8, 821–831. </w:t>
      </w:r>
    </w:p>
    <w:p w:rsidR="00945B64" w14:paraId="75200AA1" w14:textId="7EBFFC46">
      <w:pPr>
        <w:widowControl w:val="0"/>
        <w:pBdr>
          <w:top w:val="nil"/>
          <w:left w:val="nil"/>
          <w:bottom w:val="nil"/>
          <w:right w:val="nil"/>
          <w:between w:val="nil"/>
        </w:pBdr>
        <w:spacing w:before="125" w:line="229" w:lineRule="auto"/>
        <w:ind w:left="107" w:right="337" w:firstLine="9"/>
        <w:rPr>
          <w:color w:val="0000FF"/>
        </w:rPr>
      </w:pPr>
      <w:r>
        <w:rPr>
          <w:color w:val="000000"/>
        </w:rPr>
        <w:t>DeBell</w:t>
      </w:r>
      <w:r>
        <w:rPr>
          <w:color w:val="000000"/>
        </w:rPr>
        <w:t>, M. (2023). The visible cash effect with prepaid incentives: Evidence f</w:t>
      </w:r>
      <w:r>
        <w:rPr>
          <w:color w:val="000000"/>
        </w:rPr>
        <w:t xml:space="preserve">or data quality, response </w:t>
      </w:r>
      <w:r w:rsidR="0060703E">
        <w:rPr>
          <w:color w:val="000000"/>
        </w:rPr>
        <w:t>rates, generalizability</w:t>
      </w:r>
      <w:r>
        <w:rPr>
          <w:color w:val="000000"/>
        </w:rPr>
        <w:t xml:space="preserve">, and cost, Journal of Survey Statistics and Methodology, 11(5), 991–1010.  </w:t>
      </w:r>
      <w:r>
        <w:rPr>
          <w:color w:val="0000FF"/>
          <w:u w:val="single"/>
        </w:rPr>
        <w:t>https://doi.org/10.1093/jssam/smac032</w:t>
      </w:r>
      <w:r>
        <w:rPr>
          <w:color w:val="0000FF"/>
        </w:rPr>
        <w:t xml:space="preserve"> </w:t>
      </w:r>
    </w:p>
    <w:p w:rsidR="00945B64" w14:paraId="6944B0DB" w14:textId="342427B0">
      <w:pPr>
        <w:widowControl w:val="0"/>
        <w:pBdr>
          <w:top w:val="nil"/>
          <w:left w:val="nil"/>
          <w:bottom w:val="nil"/>
          <w:right w:val="nil"/>
          <w:between w:val="nil"/>
        </w:pBdr>
        <w:spacing w:before="126" w:line="228" w:lineRule="auto"/>
        <w:ind w:left="101" w:right="627" w:firstLine="14"/>
        <w:rPr>
          <w:color w:val="000000"/>
        </w:rPr>
      </w:pPr>
      <w:r>
        <w:rPr>
          <w:color w:val="000000"/>
        </w:rPr>
        <w:t>Dillman</w:t>
      </w:r>
      <w:r>
        <w:rPr>
          <w:color w:val="000000"/>
        </w:rPr>
        <w:t xml:space="preserve">, D. A., Smyth, J. D., Christian, L. M. (2014). Internet, phone, mail, and mixed-mode surveys: </w:t>
      </w:r>
      <w:r w:rsidR="0060703E">
        <w:rPr>
          <w:color w:val="000000"/>
        </w:rPr>
        <w:t>The tailored</w:t>
      </w:r>
      <w:r>
        <w:rPr>
          <w:color w:val="000000"/>
        </w:rPr>
        <w:t xml:space="preserve"> design method. John Wiley and Sons Inc. </w:t>
      </w:r>
    </w:p>
    <w:p w:rsidR="00945B64" w14:paraId="0B41B0D5" w14:textId="79724CA6">
      <w:pPr>
        <w:widowControl w:val="0"/>
        <w:pBdr>
          <w:top w:val="nil"/>
          <w:left w:val="nil"/>
          <w:bottom w:val="nil"/>
          <w:right w:val="nil"/>
          <w:between w:val="nil"/>
        </w:pBdr>
        <w:spacing w:before="127" w:line="228" w:lineRule="auto"/>
        <w:ind w:left="106" w:right="166" w:firstLine="11"/>
        <w:rPr>
          <w:color w:val="0000FF"/>
        </w:rPr>
      </w:pPr>
      <w:r>
        <w:rPr>
          <w:color w:val="000000"/>
        </w:rPr>
        <w:t xml:space="preserve">Edwards, P. J., Roberts, I., Clarke, M. J., </w:t>
      </w:r>
      <w:r>
        <w:rPr>
          <w:color w:val="000000"/>
        </w:rPr>
        <w:t>DiGuiseppi</w:t>
      </w:r>
      <w:r>
        <w:rPr>
          <w:color w:val="000000"/>
        </w:rPr>
        <w:t>, C., Wentz, R., Kwan, I., Cooper, R., Felix,</w:t>
      </w:r>
      <w:r>
        <w:rPr>
          <w:color w:val="000000"/>
        </w:rPr>
        <w:t xml:space="preserve"> L. M., </w:t>
      </w:r>
      <w:r w:rsidR="0060703E">
        <w:rPr>
          <w:color w:val="000000"/>
        </w:rPr>
        <w:t>&amp; Pratap</w:t>
      </w:r>
      <w:r>
        <w:rPr>
          <w:color w:val="000000"/>
        </w:rPr>
        <w:t xml:space="preserve">, S. (2009). Methods to increase response to postal and electronic questionnaires. Cochrane </w:t>
      </w:r>
      <w:r w:rsidR="0060703E">
        <w:rPr>
          <w:color w:val="000000"/>
        </w:rPr>
        <w:t>Database of</w:t>
      </w:r>
      <w:r>
        <w:rPr>
          <w:color w:val="000000"/>
        </w:rPr>
        <w:t xml:space="preserve"> Systematic Reviews, 3(3). </w:t>
      </w:r>
      <w:r>
        <w:rPr>
          <w:color w:val="0000FF"/>
          <w:u w:val="single"/>
        </w:rPr>
        <w:t>https://doi.org/10.1002/14651858.MR000008.pub4</w:t>
      </w:r>
      <w:r>
        <w:rPr>
          <w:color w:val="0000FF"/>
        </w:rPr>
        <w:t xml:space="preserve"> </w:t>
      </w:r>
    </w:p>
    <w:p w:rsidR="00945B64" w14:paraId="722984BD" w14:textId="77777777">
      <w:pPr>
        <w:widowControl w:val="0"/>
        <w:pBdr>
          <w:top w:val="nil"/>
          <w:left w:val="nil"/>
          <w:bottom w:val="nil"/>
          <w:right w:val="nil"/>
          <w:between w:val="nil"/>
        </w:pBdr>
        <w:spacing w:before="127" w:line="228" w:lineRule="auto"/>
        <w:ind w:left="102" w:right="55" w:firstLine="6"/>
        <w:rPr>
          <w:color w:val="0000FF"/>
        </w:rPr>
      </w:pPr>
      <w:r>
        <w:rPr>
          <w:color w:val="000000"/>
        </w:rPr>
        <w:t>Gneezy, U., &amp; Rey-Biel, P. (2014). On the relative efficienc</w:t>
      </w:r>
      <w:r>
        <w:rPr>
          <w:color w:val="000000"/>
        </w:rPr>
        <w:t xml:space="preserve">y of performance pay and noncontingent incentives.  Journal of the European Economic Association, 12(1), 62–72. </w:t>
      </w:r>
      <w:r>
        <w:rPr>
          <w:color w:val="0000FF"/>
          <w:u w:val="single"/>
        </w:rPr>
        <w:t>https://doi.org/10.1111/jeea.12062</w:t>
      </w:r>
      <w:r>
        <w:rPr>
          <w:color w:val="0000FF"/>
        </w:rPr>
        <w:t xml:space="preserve"> </w:t>
      </w:r>
    </w:p>
    <w:p w:rsidR="00945B64" w14:paraId="3DD62AB1" w14:textId="77777777">
      <w:pPr>
        <w:widowControl w:val="0"/>
        <w:pBdr>
          <w:top w:val="nil"/>
          <w:left w:val="nil"/>
          <w:bottom w:val="nil"/>
          <w:right w:val="nil"/>
          <w:between w:val="nil"/>
        </w:pBdr>
        <w:spacing w:before="127" w:line="228" w:lineRule="auto"/>
        <w:ind w:left="117" w:right="1149" w:hanging="8"/>
        <w:rPr>
          <w:color w:val="000000"/>
        </w:rPr>
      </w:pPr>
      <w:r>
        <w:rPr>
          <w:color w:val="000000"/>
        </w:rPr>
        <w:t xml:space="preserve">Groves, R., Couper, M., Presser, S., Singer, E., Tourangeau, R., Acosta, G., and Nelson, L. (2006).  Experiments in producing nonresponse bias, Public Opinion Quarterly, 70, 720–736. </w:t>
      </w:r>
    </w:p>
    <w:p w:rsidR="00945B64" w14:paraId="5C308EA8" w14:textId="545C9060">
      <w:pPr>
        <w:widowControl w:val="0"/>
        <w:pBdr>
          <w:top w:val="nil"/>
          <w:left w:val="nil"/>
          <w:bottom w:val="nil"/>
          <w:right w:val="nil"/>
          <w:between w:val="nil"/>
        </w:pBdr>
        <w:spacing w:before="125" w:line="229" w:lineRule="auto"/>
        <w:ind w:left="112" w:right="653" w:firstLine="1"/>
        <w:rPr>
          <w:color w:val="0000FF"/>
        </w:rPr>
      </w:pPr>
      <w:r>
        <w:rPr>
          <w:color w:val="000000"/>
        </w:rPr>
        <w:t xml:space="preserve">Mercer, A., </w:t>
      </w:r>
      <w:r>
        <w:rPr>
          <w:color w:val="000000"/>
        </w:rPr>
        <w:t>Caporaso</w:t>
      </w:r>
      <w:r>
        <w:rPr>
          <w:color w:val="000000"/>
        </w:rPr>
        <w:t>, A., Cantor, D., &amp; Townsend, R. (2015). How much ge</w:t>
      </w:r>
      <w:r>
        <w:rPr>
          <w:color w:val="000000"/>
        </w:rPr>
        <w:t xml:space="preserve">ts you how much? </w:t>
      </w:r>
      <w:r w:rsidR="0060703E">
        <w:rPr>
          <w:color w:val="000000"/>
        </w:rPr>
        <w:t>Monetary incentives</w:t>
      </w:r>
      <w:r>
        <w:rPr>
          <w:color w:val="000000"/>
        </w:rPr>
        <w:t xml:space="preserve"> and response rates in household surveys. Public Opinion Quarterly, 79(1), 105–129.  </w:t>
      </w:r>
      <w:r>
        <w:rPr>
          <w:color w:val="0000FF"/>
          <w:u w:val="single"/>
        </w:rPr>
        <w:t>https://doi.org/10.1093/poq/nfu059</w:t>
      </w:r>
      <w:r>
        <w:rPr>
          <w:color w:val="0000FF"/>
        </w:rPr>
        <w:t xml:space="preserve"> </w:t>
      </w:r>
    </w:p>
    <w:p w:rsidR="00945B64" w14:paraId="4DDDB260" w14:textId="411EA880">
      <w:pPr>
        <w:widowControl w:val="0"/>
        <w:pBdr>
          <w:top w:val="nil"/>
          <w:left w:val="nil"/>
          <w:bottom w:val="nil"/>
          <w:right w:val="nil"/>
          <w:between w:val="nil"/>
        </w:pBdr>
        <w:spacing w:before="126" w:line="228" w:lineRule="auto"/>
        <w:ind w:left="112" w:right="424" w:firstLine="2"/>
        <w:rPr>
          <w:color w:val="0000FF"/>
        </w:rPr>
      </w:pPr>
      <w:r>
        <w:rPr>
          <w:color w:val="000000"/>
        </w:rPr>
        <w:t xml:space="preserve">Neman, T. S., Dykema, J., </w:t>
      </w:r>
      <w:r>
        <w:rPr>
          <w:color w:val="000000"/>
        </w:rPr>
        <w:t>Garbarski</w:t>
      </w:r>
      <w:r>
        <w:rPr>
          <w:color w:val="000000"/>
        </w:rPr>
        <w:t>, D., Jones, C., Schaeffer, N. C., &amp; Farrar-Edwards, D. (2022).</w:t>
      </w:r>
      <w:r>
        <w:rPr>
          <w:color w:val="000000"/>
        </w:rPr>
        <w:t xml:space="preserve"> </w:t>
      </w:r>
      <w:r w:rsidR="0060703E">
        <w:rPr>
          <w:color w:val="000000"/>
        </w:rPr>
        <w:t>Survey monetary</w:t>
      </w:r>
      <w:r>
        <w:rPr>
          <w:color w:val="000000"/>
        </w:rPr>
        <w:t xml:space="preserve"> incentives: Digital payments as an alternative to direct mail. Survey Practice, 15(1), 1–7.  </w:t>
      </w:r>
      <w:r>
        <w:rPr>
          <w:color w:val="0000FF"/>
          <w:u w:val="single"/>
        </w:rPr>
        <w:t>https://doi.org/10.29115/sp-2021-0012</w:t>
      </w:r>
      <w:r>
        <w:rPr>
          <w:color w:val="0000FF"/>
        </w:rPr>
        <w:t xml:space="preserve"> </w:t>
      </w:r>
    </w:p>
    <w:p w:rsidR="00945B64" w14:paraId="4D10E391" w14:textId="003E0C9B">
      <w:pPr>
        <w:widowControl w:val="0"/>
        <w:pBdr>
          <w:top w:val="nil"/>
          <w:left w:val="nil"/>
          <w:bottom w:val="nil"/>
          <w:right w:val="nil"/>
          <w:between w:val="nil"/>
        </w:pBdr>
        <w:spacing w:before="128" w:line="229" w:lineRule="auto"/>
        <w:ind w:left="109" w:right="274" w:firstLine="5"/>
        <w:rPr>
          <w:color w:val="000000"/>
        </w:rPr>
      </w:pPr>
      <w:r>
        <w:rPr>
          <w:color w:val="000000"/>
        </w:rPr>
        <w:t xml:space="preserve">National Marine Fisheries Service Office of Science and Technology (2023) Marine Recreational </w:t>
      </w:r>
      <w:r w:rsidR="0060703E">
        <w:rPr>
          <w:color w:val="000000"/>
        </w:rPr>
        <w:t>Information Program</w:t>
      </w:r>
      <w:r>
        <w:rPr>
          <w:color w:val="000000"/>
        </w:rPr>
        <w:t>: Survey Design and Statistical Methods for Estimation of Recreational Fisheries Catch and Effort.  Silver Spring: National Oceanic and Atmosp</w:t>
      </w:r>
      <w:r>
        <w:rPr>
          <w:color w:val="000000"/>
        </w:rPr>
        <w:t xml:space="preserve">heric Administration. </w:t>
      </w:r>
    </w:p>
    <w:p w:rsidR="00945B64" w14:paraId="1BF71196" w14:textId="5871DA9C">
      <w:pPr>
        <w:widowControl w:val="0"/>
        <w:pBdr>
          <w:top w:val="nil"/>
          <w:left w:val="nil"/>
          <w:bottom w:val="nil"/>
          <w:right w:val="nil"/>
          <w:between w:val="nil"/>
        </w:pBdr>
        <w:spacing w:before="124" w:line="229" w:lineRule="auto"/>
        <w:ind w:left="106" w:right="393"/>
        <w:rPr>
          <w:color w:val="0000FF"/>
          <w:u w:val="single"/>
        </w:rPr>
      </w:pPr>
      <w:r>
        <w:rPr>
          <w:color w:val="000000"/>
        </w:rPr>
        <w:t>Oscarsson</w:t>
      </w:r>
      <w:r>
        <w:rPr>
          <w:color w:val="000000"/>
        </w:rPr>
        <w:t xml:space="preserve">, H., &amp; </w:t>
      </w:r>
      <w:r>
        <w:rPr>
          <w:color w:val="000000"/>
        </w:rPr>
        <w:t>Arkhede</w:t>
      </w:r>
      <w:r>
        <w:rPr>
          <w:color w:val="000000"/>
        </w:rPr>
        <w:t xml:space="preserve">, S. (2019). Effects of conditional incentives on response rate, non-response </w:t>
      </w:r>
      <w:r w:rsidR="0060703E">
        <w:rPr>
          <w:color w:val="000000"/>
        </w:rPr>
        <w:t>bias and</w:t>
      </w:r>
      <w:r>
        <w:rPr>
          <w:color w:val="000000"/>
        </w:rPr>
        <w:t xml:space="preserve"> measurement error in a high response-rate context. International Journal of Public Opinion Research.  </w:t>
      </w:r>
      <w:r>
        <w:rPr>
          <w:color w:val="0000FF"/>
          <w:u w:val="single"/>
        </w:rPr>
        <w:t>doi:10.1093/</w:t>
      </w:r>
      <w:r>
        <w:rPr>
          <w:color w:val="0000FF"/>
          <w:u w:val="single"/>
        </w:rPr>
        <w:t>ijpor</w:t>
      </w:r>
      <w:r>
        <w:rPr>
          <w:color w:val="0000FF"/>
          <w:u w:val="single"/>
        </w:rPr>
        <w:t>/e</w:t>
      </w:r>
      <w:r>
        <w:rPr>
          <w:color w:val="0000FF"/>
          <w:u w:val="single"/>
        </w:rPr>
        <w:t xml:space="preserve">dz015 </w:t>
      </w:r>
    </w:p>
    <w:p w:rsidR="00945B64" w14:paraId="706A6E26" w14:textId="77777777">
      <w:pPr>
        <w:widowControl w:val="0"/>
        <w:pBdr>
          <w:top w:val="nil"/>
          <w:left w:val="nil"/>
          <w:bottom w:val="nil"/>
          <w:right w:val="nil"/>
          <w:between w:val="nil"/>
        </w:pBdr>
        <w:spacing w:before="124" w:line="230" w:lineRule="auto"/>
        <w:ind w:left="117" w:right="166"/>
        <w:rPr>
          <w:color w:val="000000"/>
        </w:rPr>
      </w:pPr>
      <w:r>
        <w:rPr>
          <w:color w:val="000000"/>
        </w:rPr>
        <w:t xml:space="preserve">Porter, S. R., &amp; Whitcomb, M. E. (2011). The impact of lottery Incentives on Student Survey Response Rates.  Research in Higher Education, 44(4), 389–407. </w:t>
      </w:r>
    </w:p>
    <w:p w:rsidR="00945B64" w14:paraId="3E108CA9" w14:textId="7B518F7E">
      <w:pPr>
        <w:widowControl w:val="0"/>
        <w:pBdr>
          <w:top w:val="nil"/>
          <w:left w:val="nil"/>
          <w:bottom w:val="nil"/>
          <w:right w:val="nil"/>
          <w:between w:val="nil"/>
        </w:pBdr>
        <w:spacing w:before="123" w:line="228" w:lineRule="auto"/>
        <w:ind w:left="120" w:right="130" w:hanging="2"/>
        <w:rPr>
          <w:color w:val="0000FF"/>
        </w:rPr>
      </w:pPr>
      <w:r>
        <w:rPr>
          <w:color w:val="000000"/>
        </w:rPr>
        <w:t xml:space="preserve">Rao, N. (2020). Cost effectiveness of pre- and post-paid incentives for mail survey response. Survey </w:t>
      </w:r>
      <w:r w:rsidR="0060703E">
        <w:rPr>
          <w:color w:val="000000"/>
        </w:rPr>
        <w:t>Practice, 13</w:t>
      </w:r>
      <w:r>
        <w:rPr>
          <w:color w:val="000000"/>
        </w:rPr>
        <w:t xml:space="preserve">(1), 1–7. </w:t>
      </w:r>
      <w:r>
        <w:rPr>
          <w:color w:val="0000FF"/>
          <w:u w:val="single"/>
        </w:rPr>
        <w:t>https://doi.org/10.29115/sp-2020-0004</w:t>
      </w:r>
      <w:r>
        <w:rPr>
          <w:color w:val="0000FF"/>
        </w:rPr>
        <w:t xml:space="preserve"> </w:t>
      </w:r>
    </w:p>
    <w:p w:rsidR="00945B64" w14:paraId="1BF0F5C1" w14:textId="6A4DDDA3">
      <w:pPr>
        <w:widowControl w:val="0"/>
        <w:pBdr>
          <w:top w:val="nil"/>
          <w:left w:val="nil"/>
          <w:bottom w:val="nil"/>
          <w:right w:val="nil"/>
          <w:between w:val="nil"/>
        </w:pBdr>
        <w:spacing w:before="127" w:line="228" w:lineRule="auto"/>
        <w:ind w:left="101" w:right="751" w:firstLine="16"/>
        <w:rPr>
          <w:color w:val="0000FF"/>
          <w:u w:val="single"/>
        </w:rPr>
      </w:pPr>
      <w:r>
        <w:rPr>
          <w:color w:val="000000"/>
        </w:rPr>
        <w:t xml:space="preserve">Robbins, M. W., Grimm, G., </w:t>
      </w:r>
      <w:r>
        <w:rPr>
          <w:color w:val="000000"/>
        </w:rPr>
        <w:t>Stecher</w:t>
      </w:r>
      <w:r>
        <w:rPr>
          <w:color w:val="000000"/>
        </w:rPr>
        <w:t xml:space="preserve">, B., &amp; </w:t>
      </w:r>
      <w:r>
        <w:rPr>
          <w:color w:val="000000"/>
        </w:rPr>
        <w:t>Opfer</w:t>
      </w:r>
      <w:r>
        <w:rPr>
          <w:color w:val="000000"/>
        </w:rPr>
        <w:t>, V. D. (2018). A comparison of strategies for</w:t>
      </w:r>
      <w:r>
        <w:rPr>
          <w:color w:val="000000"/>
        </w:rPr>
        <w:t xml:space="preserve"> </w:t>
      </w:r>
      <w:r w:rsidR="0060703E">
        <w:rPr>
          <w:color w:val="000000"/>
        </w:rPr>
        <w:t>recruiting teachers</w:t>
      </w:r>
      <w:r>
        <w:rPr>
          <w:color w:val="000000"/>
        </w:rPr>
        <w:t xml:space="preserve"> into survey panels. SAGE Open, 8(3). </w:t>
      </w:r>
      <w:r>
        <w:rPr>
          <w:color w:val="0000FF"/>
          <w:u w:val="single"/>
        </w:rPr>
        <w:t xml:space="preserve">https://doi.org/10.1177/2158244018796412 </w:t>
      </w:r>
    </w:p>
    <w:p w:rsidR="00945B64" w14:paraId="0610B619" w14:textId="049886C7">
      <w:pPr>
        <w:widowControl w:val="0"/>
        <w:pBdr>
          <w:top w:val="nil"/>
          <w:left w:val="nil"/>
          <w:bottom w:val="nil"/>
          <w:right w:val="nil"/>
          <w:between w:val="nil"/>
        </w:pBdr>
        <w:spacing w:before="128" w:line="228" w:lineRule="auto"/>
        <w:ind w:left="105" w:right="155" w:hanging="6"/>
        <w:rPr>
          <w:color w:val="0000FF"/>
        </w:rPr>
      </w:pPr>
      <w:r>
        <w:rPr>
          <w:color w:val="000000"/>
        </w:rPr>
        <w:t xml:space="preserve">Young, J. M., O’Halloran, A., McAulay, C., </w:t>
      </w:r>
      <w:r>
        <w:rPr>
          <w:color w:val="000000"/>
        </w:rPr>
        <w:t>Pirotta</w:t>
      </w:r>
      <w:r>
        <w:rPr>
          <w:color w:val="000000"/>
        </w:rPr>
        <w:t xml:space="preserve">, M., </w:t>
      </w:r>
      <w:r>
        <w:rPr>
          <w:color w:val="000000"/>
        </w:rPr>
        <w:t>Forsdike</w:t>
      </w:r>
      <w:r>
        <w:rPr>
          <w:color w:val="000000"/>
        </w:rPr>
        <w:t xml:space="preserve">, K., Stacey, I., &amp; </w:t>
      </w:r>
      <w:r>
        <w:rPr>
          <w:color w:val="000000"/>
        </w:rPr>
        <w:t>Currow</w:t>
      </w:r>
      <w:r>
        <w:rPr>
          <w:color w:val="000000"/>
        </w:rPr>
        <w:t>, D. (2015).  Unconditional and conditional incentives differenti</w:t>
      </w:r>
      <w:r>
        <w:rPr>
          <w:color w:val="000000"/>
        </w:rPr>
        <w:t xml:space="preserve">ally improved general practitioners’ participation in an </w:t>
      </w:r>
      <w:r w:rsidR="0060703E">
        <w:rPr>
          <w:color w:val="000000"/>
        </w:rPr>
        <w:t>online survey</w:t>
      </w:r>
      <w:r>
        <w:rPr>
          <w:color w:val="000000"/>
        </w:rPr>
        <w:t xml:space="preserve">: Randomized controlled trial. Journal of Clinical Epidemiology, 68(6), 693–697.  </w:t>
      </w:r>
      <w:r>
        <w:rPr>
          <w:color w:val="0000FF"/>
          <w:u w:val="single"/>
        </w:rPr>
        <w:t>https://doi.org/10.1016/j.jclinepi.2014.09.013</w:t>
      </w:r>
      <w:r>
        <w:rPr>
          <w:color w:val="0000FF"/>
        </w:rPr>
        <w:t xml:space="preserve"> </w:t>
      </w:r>
    </w:p>
    <w:p w:rsidR="00945B64" w14:paraId="4A268D69" w14:textId="10F8CAF4">
      <w:pPr>
        <w:widowControl w:val="0"/>
        <w:pBdr>
          <w:top w:val="nil"/>
          <w:left w:val="nil"/>
          <w:bottom w:val="nil"/>
          <w:right w:val="nil"/>
          <w:between w:val="nil"/>
        </w:pBdr>
        <w:spacing w:before="124" w:line="229" w:lineRule="auto"/>
        <w:ind w:left="112" w:right="90" w:hanging="9"/>
        <w:jc w:val="both"/>
        <w:rPr>
          <w:color w:val="000000"/>
        </w:rPr>
      </w:pPr>
      <w:r>
        <w:rPr>
          <w:color w:val="000000"/>
        </w:rPr>
        <w:t xml:space="preserve">Zhang, S., West, B. T., Wagner, J., Couper, M. P., Gatward, R., &amp; </w:t>
      </w:r>
      <w:r>
        <w:rPr>
          <w:color w:val="000000"/>
        </w:rPr>
        <w:t>Axinn</w:t>
      </w:r>
      <w:r>
        <w:rPr>
          <w:color w:val="000000"/>
        </w:rPr>
        <w:t xml:space="preserve">, W. G. (2023). Visible cash, a </w:t>
      </w:r>
      <w:r w:rsidR="0060703E">
        <w:rPr>
          <w:color w:val="000000"/>
        </w:rPr>
        <w:t>second incentive</w:t>
      </w:r>
      <w:r>
        <w:rPr>
          <w:color w:val="000000"/>
        </w:rPr>
        <w:t xml:space="preserve">, and priority mail? An experimental evaluation of mailing strategies for a screening questionnaire in </w:t>
      </w:r>
      <w:r w:rsidR="0060703E">
        <w:rPr>
          <w:color w:val="000000"/>
        </w:rPr>
        <w:t>a national</w:t>
      </w:r>
      <w:r>
        <w:rPr>
          <w:color w:val="000000"/>
        </w:rPr>
        <w:t xml:space="preserve"> push-to-web/mail surv</w:t>
      </w:r>
      <w:r>
        <w:rPr>
          <w:color w:val="000000"/>
        </w:rPr>
        <w:t xml:space="preserve">ey. </w:t>
      </w:r>
      <w:r>
        <w:rPr>
          <w:i/>
          <w:color w:val="000000"/>
        </w:rPr>
        <w:t>Journal of Survey Statistics and Methodology, 11</w:t>
      </w:r>
      <w:r>
        <w:rPr>
          <w:color w:val="000000"/>
        </w:rPr>
        <w:t xml:space="preserve">(5), 1011–1031. </w:t>
      </w:r>
    </w:p>
    <w:p w:rsidR="00945B64" w14:paraId="440BD50E" w14:textId="77777777">
      <w:pPr>
        <w:widowControl w:val="0"/>
        <w:pBdr>
          <w:top w:val="nil"/>
          <w:left w:val="nil"/>
          <w:bottom w:val="nil"/>
          <w:right w:val="nil"/>
          <w:between w:val="nil"/>
        </w:pBdr>
        <w:spacing w:before="748" w:line="240" w:lineRule="auto"/>
        <w:ind w:right="51"/>
        <w:jc w:val="right"/>
        <w:rPr>
          <w:i/>
          <w:color w:val="000000"/>
        </w:rPr>
      </w:pPr>
      <w:r>
        <w:rPr>
          <w:i/>
          <w:color w:val="000000"/>
        </w:rPr>
        <w:t xml:space="preserve">13 </w:t>
      </w:r>
    </w:p>
    <w:sectPr w:rsidSect="0096694A">
      <w:footerReference w:type="default" r:id="rId8"/>
      <w:pgSz w:w="12240" w:h="15840"/>
      <w:pgMar w:top="900" w:right="653" w:bottom="922" w:left="621" w:header="0" w:footer="106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B64" w14:paraId="1491BF10" w14:textId="77777777">
    <w:pPr>
      <w:jc w:val="right"/>
    </w:pPr>
    <w:r>
      <w:fldChar w:fldCharType="begin"/>
    </w:r>
    <w:r>
      <w:instrText>PAGE</w:instrText>
    </w:r>
    <w:r>
      <w:fldChar w:fldCharType="separate"/>
    </w:r>
    <w:r w:rsidR="0096694A">
      <w:rPr>
        <w:noProof/>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B64"/>
    <w:rsid w:val="0060703E"/>
    <w:rsid w:val="00945B64"/>
    <w:rsid w:val="0096694A"/>
    <w:rsid w:val="00AA1F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EBFBD"/>
  <w15:docId w15:val="{78AACF34-3AD1-496E-BEFA-754B6E5C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96694A"/>
    <w:pPr>
      <w:spacing w:line="240" w:lineRule="auto"/>
    </w:pPr>
  </w:style>
  <w:style w:type="paragraph" w:styleId="Header">
    <w:name w:val="header"/>
    <w:basedOn w:val="Normal"/>
    <w:link w:val="HeaderChar"/>
    <w:uiPriority w:val="99"/>
    <w:unhideWhenUsed/>
    <w:rsid w:val="0096694A"/>
    <w:pPr>
      <w:tabs>
        <w:tab w:val="center" w:pos="4680"/>
        <w:tab w:val="right" w:pos="9360"/>
      </w:tabs>
      <w:spacing w:line="240" w:lineRule="auto"/>
    </w:pPr>
  </w:style>
  <w:style w:type="character" w:customStyle="1" w:styleId="HeaderChar">
    <w:name w:val="Header Char"/>
    <w:basedOn w:val="DefaultParagraphFont"/>
    <w:link w:val="Header"/>
    <w:uiPriority w:val="99"/>
    <w:rsid w:val="0096694A"/>
  </w:style>
  <w:style w:type="paragraph" w:styleId="Footer">
    <w:name w:val="footer"/>
    <w:basedOn w:val="Normal"/>
    <w:link w:val="FooterChar"/>
    <w:uiPriority w:val="99"/>
    <w:unhideWhenUsed/>
    <w:rsid w:val="0096694A"/>
    <w:pPr>
      <w:tabs>
        <w:tab w:val="center" w:pos="4680"/>
        <w:tab w:val="right" w:pos="9360"/>
      </w:tabs>
      <w:spacing w:line="240" w:lineRule="auto"/>
    </w:pPr>
  </w:style>
  <w:style w:type="character" w:customStyle="1" w:styleId="FooterChar">
    <w:name w:val="Footer Char"/>
    <w:basedOn w:val="DefaultParagraphFont"/>
    <w:link w:val="Footer"/>
    <w:uiPriority w:val="99"/>
    <w:rsid w:val="0096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hyperlink" Target="https://doi.org/10.1086/269355"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4428</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Fobia</dc:creator>
  <cp:lastModifiedBy>Aleia Fobia</cp:lastModifiedBy>
  <cp:revision>2</cp:revision>
  <dcterms:created xsi:type="dcterms:W3CDTF">2025-03-14T17:29:00Z</dcterms:created>
  <dcterms:modified xsi:type="dcterms:W3CDTF">2025-03-14T17:29:00Z</dcterms:modified>
</cp:coreProperties>
</file>