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7A1E" w:rsidRPr="00332F89" w:rsidP="00B07A1E" w14:paraId="07979D8B" w14:textId="77777777">
      <w:pPr>
        <w:jc w:val="center"/>
        <w:rPr>
          <w:b/>
          <w:bCs/>
          <w:szCs w:val="24"/>
        </w:rPr>
      </w:pPr>
      <w:r w:rsidRPr="00332F89">
        <w:rPr>
          <w:b/>
          <w:szCs w:val="24"/>
        </w:rPr>
        <w:t xml:space="preserve">Supporting Statement for </w:t>
      </w:r>
      <w:r w:rsidRPr="00332F89" w:rsidR="008C02CF">
        <w:rPr>
          <w:b/>
          <w:szCs w:val="24"/>
        </w:rPr>
        <w:t>Health Benefit Election</w:t>
      </w:r>
      <w:r w:rsidRPr="00332F89" w:rsidR="005F07BD">
        <w:rPr>
          <w:b/>
          <w:szCs w:val="24"/>
        </w:rPr>
        <w:t xml:space="preserve"> Form</w:t>
      </w:r>
      <w:r w:rsidRPr="00332F89" w:rsidR="008C02CF">
        <w:rPr>
          <w:b/>
          <w:szCs w:val="24"/>
        </w:rPr>
        <w:t>s</w:t>
      </w:r>
      <w:r w:rsidRPr="00332F89">
        <w:rPr>
          <w:b/>
          <w:szCs w:val="24"/>
        </w:rPr>
        <w:t xml:space="preserve"> </w:t>
      </w:r>
      <w:r w:rsidRPr="00332F89">
        <w:rPr>
          <w:b/>
          <w:bCs/>
          <w:szCs w:val="24"/>
        </w:rPr>
        <w:t xml:space="preserve">(SF 2809 </w:t>
      </w:r>
      <w:r w:rsidR="00AB57CC">
        <w:rPr>
          <w:b/>
          <w:bCs/>
          <w:szCs w:val="24"/>
        </w:rPr>
        <w:t xml:space="preserve">and </w:t>
      </w:r>
      <w:r w:rsidRPr="00332F89">
        <w:rPr>
          <w:b/>
          <w:bCs/>
          <w:szCs w:val="24"/>
        </w:rPr>
        <w:t>OPM 2809)</w:t>
      </w:r>
    </w:p>
    <w:p w:rsidR="00B07A1E" w:rsidRPr="00332F89" w:rsidP="00B07A1E" w14:paraId="5E837F4A" w14:textId="77777777">
      <w:pPr>
        <w:jc w:val="center"/>
        <w:rPr>
          <w:b/>
          <w:bCs/>
          <w:szCs w:val="24"/>
        </w:rPr>
      </w:pPr>
      <w:r w:rsidRPr="00332F89">
        <w:rPr>
          <w:b/>
          <w:bCs/>
          <w:szCs w:val="24"/>
        </w:rPr>
        <w:t xml:space="preserve">OMB </w:t>
      </w:r>
      <w:r w:rsidR="007E0EB5">
        <w:rPr>
          <w:b/>
          <w:bCs/>
          <w:szCs w:val="24"/>
        </w:rPr>
        <w:t xml:space="preserve">Control Number </w:t>
      </w:r>
      <w:r w:rsidRPr="00332F89" w:rsidR="00F5139C">
        <w:rPr>
          <w:b/>
          <w:bCs/>
          <w:szCs w:val="24"/>
        </w:rPr>
        <w:t>3206</w:t>
      </w:r>
      <w:r w:rsidRPr="00332F89">
        <w:rPr>
          <w:b/>
          <w:bCs/>
          <w:szCs w:val="24"/>
        </w:rPr>
        <w:t>-</w:t>
      </w:r>
      <w:r w:rsidRPr="00332F89" w:rsidR="008C02CF">
        <w:rPr>
          <w:b/>
          <w:bCs/>
          <w:szCs w:val="24"/>
        </w:rPr>
        <w:t>0160</w:t>
      </w:r>
      <w:r w:rsidRPr="00332F89">
        <w:rPr>
          <w:b/>
          <w:bCs/>
          <w:szCs w:val="24"/>
        </w:rPr>
        <w:t xml:space="preserve"> </w:t>
      </w:r>
    </w:p>
    <w:p w:rsidR="00B07A1E" w:rsidP="00B07A1E" w14:paraId="75B710A6" w14:textId="77777777"/>
    <w:p w:rsidR="00B07A1E" w:rsidP="00B07A1E" w14:paraId="0B06972F" w14:textId="77777777">
      <w:pPr>
        <w:pStyle w:val="Heading1"/>
      </w:pPr>
      <w:r>
        <w:t>A.  JUSTIFICATION</w:t>
      </w:r>
    </w:p>
    <w:p w:rsidR="00164D2D" w:rsidRPr="000E7D65" w:rsidP="00164D2D" w14:paraId="16E2A8B0" w14:textId="77777777">
      <w:pPr>
        <w:numPr>
          <w:ilvl w:val="0"/>
          <w:numId w:val="3"/>
        </w:numPr>
        <w:rPr>
          <w:i/>
          <w:color w:val="000000" w:themeColor="text1"/>
          <w:szCs w:val="24"/>
          <w:highlight w:val="lightGray"/>
        </w:rPr>
      </w:pPr>
      <w:r>
        <w:rPr>
          <w:i/>
          <w:color w:val="000000" w:themeColor="text1"/>
          <w:szCs w:val="24"/>
          <w:highlight w:val="lightGray"/>
        </w:rPr>
        <w:t>Explain the circumstances of this collection</w:t>
      </w:r>
      <w:r w:rsidR="003A6568">
        <w:rPr>
          <w:i/>
          <w:color w:val="000000" w:themeColor="text1"/>
          <w:szCs w:val="24"/>
          <w:highlight w:val="lightGray"/>
        </w:rPr>
        <w:t xml:space="preserve">, </w:t>
      </w:r>
      <w:r>
        <w:rPr>
          <w:i/>
          <w:color w:val="000000" w:themeColor="text1"/>
          <w:szCs w:val="24"/>
          <w:highlight w:val="lightGray"/>
        </w:rPr>
        <w:t>why</w:t>
      </w:r>
      <w:r w:rsidRPr="000E7D65">
        <w:rPr>
          <w:i/>
          <w:color w:val="000000" w:themeColor="text1"/>
          <w:szCs w:val="24"/>
          <w:highlight w:val="lightGray"/>
        </w:rPr>
        <w:t xml:space="preserve"> this collection </w:t>
      </w:r>
      <w:r w:rsidR="003A6568">
        <w:rPr>
          <w:i/>
          <w:color w:val="000000" w:themeColor="text1"/>
          <w:szCs w:val="24"/>
          <w:highlight w:val="lightGray"/>
        </w:rPr>
        <w:t xml:space="preserve">is </w:t>
      </w:r>
      <w:r w:rsidRPr="000E7D65">
        <w:rPr>
          <w:i/>
          <w:color w:val="000000" w:themeColor="text1"/>
          <w:szCs w:val="24"/>
          <w:highlight w:val="lightGray"/>
        </w:rPr>
        <w:t>necessary</w:t>
      </w:r>
      <w:r w:rsidR="003A6568">
        <w:rPr>
          <w:i/>
          <w:color w:val="000000" w:themeColor="text1"/>
          <w:szCs w:val="24"/>
          <w:highlight w:val="lightGray"/>
        </w:rPr>
        <w:t>.</w:t>
      </w:r>
      <w:r w:rsidRPr="000E7D65">
        <w:rPr>
          <w:i/>
          <w:color w:val="000000" w:themeColor="text1"/>
          <w:szCs w:val="24"/>
          <w:highlight w:val="lightGray"/>
        </w:rPr>
        <w:t xml:space="preserve"> and the legal statutes that allow </w:t>
      </w:r>
      <w:r w:rsidR="003A6568">
        <w:rPr>
          <w:i/>
          <w:color w:val="000000" w:themeColor="text1"/>
          <w:szCs w:val="24"/>
          <w:highlight w:val="lightGray"/>
        </w:rPr>
        <w:t>it.</w:t>
      </w:r>
    </w:p>
    <w:p w:rsidR="00785B4E" w:rsidP="00E23301" w14:paraId="106E2DC6" w14:textId="77777777">
      <w:pPr>
        <w:autoSpaceDE w:val="0"/>
        <w:autoSpaceDN w:val="0"/>
        <w:adjustRightInd w:val="0"/>
        <w:spacing w:after="0"/>
        <w:ind w:left="720"/>
        <w:rPr>
          <w:sz w:val="22"/>
          <w:szCs w:val="22"/>
        </w:rPr>
      </w:pPr>
      <w:bookmarkStart w:id="0" w:name="_Hlk174973316"/>
      <w:r>
        <w:rPr>
          <w:sz w:val="22"/>
          <w:szCs w:val="22"/>
        </w:rPr>
        <w:t>Chapter 89 of title 5, United States Code, authorize</w:t>
      </w:r>
      <w:r w:rsidR="004A28BD">
        <w:rPr>
          <w:sz w:val="22"/>
          <w:szCs w:val="22"/>
        </w:rPr>
        <w:t>s</w:t>
      </w:r>
      <w:r>
        <w:rPr>
          <w:sz w:val="22"/>
          <w:szCs w:val="22"/>
        </w:rPr>
        <w:t xml:space="preserve"> the Office of Personnel Management (OPM) to administer the Federal Employees Health Benefits (FEHB) Program and to publish regulations to carry out the provisions of the FEHB law. The law and regulations specify who is eligible to enroll and when an individual may enroll or change enrollment.  </w:t>
      </w:r>
    </w:p>
    <w:p w:rsidR="00785B4E" w:rsidP="00E23301" w14:paraId="6DDEC37E" w14:textId="77777777">
      <w:pPr>
        <w:autoSpaceDE w:val="0"/>
        <w:autoSpaceDN w:val="0"/>
        <w:adjustRightInd w:val="0"/>
        <w:spacing w:after="0"/>
        <w:ind w:left="720"/>
        <w:rPr>
          <w:sz w:val="22"/>
          <w:szCs w:val="22"/>
        </w:rPr>
      </w:pPr>
    </w:p>
    <w:p w:rsidR="00B07A1E" w:rsidRPr="00E23301" w:rsidP="00E23301" w14:paraId="15FEAC51" w14:textId="77777777">
      <w:pPr>
        <w:autoSpaceDE w:val="0"/>
        <w:autoSpaceDN w:val="0"/>
        <w:adjustRightInd w:val="0"/>
        <w:spacing w:after="0"/>
        <w:ind w:left="720"/>
        <w:rPr>
          <w:sz w:val="22"/>
          <w:szCs w:val="22"/>
        </w:rPr>
      </w:pPr>
      <w:r>
        <w:rPr>
          <w:sz w:val="22"/>
          <w:szCs w:val="22"/>
        </w:rPr>
        <w:t xml:space="preserve">The Postal Service Reform Act of 2022 (PSRA, Pub. L. 117-108) requires OPM to establish and administer the Postal Service Health Benefits </w:t>
      </w:r>
      <w:r w:rsidR="005E6453">
        <w:rPr>
          <w:sz w:val="22"/>
          <w:szCs w:val="22"/>
        </w:rPr>
        <w:t xml:space="preserve">(PSHB) </w:t>
      </w:r>
      <w:r>
        <w:rPr>
          <w:sz w:val="22"/>
          <w:szCs w:val="22"/>
        </w:rPr>
        <w:t>Program, a new health benefits program within the FEHB Program for 1.7 million United States Postal Service (USPS) employees, annuitants, and their eligible family members that will replace their FEHB coverage</w:t>
      </w:r>
      <w:r w:rsidRPr="00E23301" w:rsidR="00F41E23">
        <w:rPr>
          <w:sz w:val="22"/>
          <w:szCs w:val="22"/>
        </w:rPr>
        <w:t>.</w:t>
      </w:r>
      <w:bookmarkEnd w:id="0"/>
      <w:r>
        <w:rPr>
          <w:sz w:val="22"/>
          <w:szCs w:val="22"/>
        </w:rPr>
        <w:t xml:space="preserve"> The PSRA mandates that the PSHB</w:t>
      </w:r>
      <w:r w:rsidR="00E9643C">
        <w:rPr>
          <w:sz w:val="22"/>
          <w:szCs w:val="22"/>
        </w:rPr>
        <w:t xml:space="preserve"> </w:t>
      </w:r>
      <w:r>
        <w:rPr>
          <w:sz w:val="22"/>
          <w:szCs w:val="22"/>
        </w:rPr>
        <w:t>P</w:t>
      </w:r>
      <w:r w:rsidR="00E9643C">
        <w:rPr>
          <w:sz w:val="22"/>
          <w:szCs w:val="22"/>
        </w:rPr>
        <w:t>rogram</w:t>
      </w:r>
      <w:r>
        <w:rPr>
          <w:sz w:val="22"/>
          <w:szCs w:val="22"/>
        </w:rPr>
        <w:t xml:space="preserve"> begin coverage starting in January 2025. </w:t>
      </w:r>
      <w:r w:rsidR="00617AF5">
        <w:rPr>
          <w:sz w:val="22"/>
          <w:szCs w:val="22"/>
        </w:rPr>
        <w:t xml:space="preserve">OPM is combining </w:t>
      </w:r>
      <w:r>
        <w:rPr>
          <w:sz w:val="22"/>
          <w:szCs w:val="22"/>
        </w:rPr>
        <w:t>two Information Collection Request</w:t>
      </w:r>
      <w:r w:rsidR="0097182D">
        <w:rPr>
          <w:sz w:val="22"/>
          <w:szCs w:val="22"/>
        </w:rPr>
        <w:t>s</w:t>
      </w:r>
      <w:r>
        <w:rPr>
          <w:sz w:val="22"/>
          <w:szCs w:val="22"/>
        </w:rPr>
        <w:t xml:space="preserve"> (ICR</w:t>
      </w:r>
      <w:r w:rsidR="0097182D">
        <w:rPr>
          <w:sz w:val="22"/>
          <w:szCs w:val="22"/>
        </w:rPr>
        <w:t>s</w:t>
      </w:r>
      <w:r>
        <w:rPr>
          <w:sz w:val="22"/>
          <w:szCs w:val="22"/>
        </w:rPr>
        <w:t xml:space="preserve">) </w:t>
      </w:r>
      <w:r w:rsidR="00BE141C">
        <w:rPr>
          <w:sz w:val="22"/>
          <w:szCs w:val="22"/>
        </w:rPr>
        <w:t xml:space="preserve">and </w:t>
      </w:r>
      <w:r>
        <w:rPr>
          <w:sz w:val="22"/>
          <w:szCs w:val="22"/>
        </w:rPr>
        <w:t>incorporat</w:t>
      </w:r>
      <w:r w:rsidR="00BE141C">
        <w:rPr>
          <w:sz w:val="22"/>
          <w:szCs w:val="22"/>
        </w:rPr>
        <w:t>ing</w:t>
      </w:r>
      <w:r>
        <w:rPr>
          <w:sz w:val="22"/>
          <w:szCs w:val="22"/>
        </w:rPr>
        <w:t xml:space="preserve"> changes related to the requirements of the PSHB</w:t>
      </w:r>
      <w:r w:rsidR="00756E07">
        <w:rPr>
          <w:sz w:val="22"/>
          <w:szCs w:val="22"/>
        </w:rPr>
        <w:t xml:space="preserve"> </w:t>
      </w:r>
      <w:r>
        <w:rPr>
          <w:sz w:val="22"/>
          <w:szCs w:val="22"/>
        </w:rPr>
        <w:t>P</w:t>
      </w:r>
      <w:r w:rsidR="00756E07">
        <w:rPr>
          <w:sz w:val="22"/>
          <w:szCs w:val="22"/>
        </w:rPr>
        <w:t>rogram</w:t>
      </w:r>
      <w:r w:rsidR="00E15020">
        <w:rPr>
          <w:sz w:val="22"/>
          <w:szCs w:val="22"/>
        </w:rPr>
        <w:t xml:space="preserve">. </w:t>
      </w:r>
    </w:p>
    <w:p w:rsidR="00F41E23" w:rsidP="00F41E23" w14:paraId="6625567F" w14:textId="77777777">
      <w:pPr>
        <w:tabs>
          <w:tab w:val="left" w:pos="360"/>
        </w:tabs>
        <w:ind w:left="720" w:hanging="360"/>
      </w:pPr>
    </w:p>
    <w:p w:rsidR="00851085" w:rsidRPr="00C1464C" w:rsidP="00851085" w14:paraId="41743362" w14:textId="77777777">
      <w:pPr>
        <w:pStyle w:val="ListParagraph"/>
        <w:numPr>
          <w:ilvl w:val="0"/>
          <w:numId w:val="2"/>
        </w:numPr>
        <w:rPr>
          <w:rFonts w:ascii="Times New Roman" w:hAnsi="Times New Roman"/>
          <w:i/>
          <w:color w:val="000000" w:themeColor="text1"/>
          <w:highlight w:val="lightGray"/>
        </w:rPr>
      </w:pPr>
      <w:r w:rsidRPr="00C1464C">
        <w:rPr>
          <w:rFonts w:ascii="Times New Roman" w:hAnsi="Times New Roman"/>
          <w:i/>
          <w:color w:val="000000" w:themeColor="text1"/>
          <w:highlight w:val="lightGray"/>
        </w:rPr>
        <w:t xml:space="preserve">Describe how, by whom, and for what purpose the information is to be used.  Except for a new collection, </w:t>
      </w:r>
      <w:r w:rsidRPr="00C1464C" w:rsidR="00C1464C">
        <w:rPr>
          <w:rFonts w:ascii="Times New Roman" w:hAnsi="Times New Roman"/>
          <w:i/>
          <w:color w:val="000000" w:themeColor="text1"/>
          <w:highlight w:val="lightGray"/>
        </w:rPr>
        <w:t>describe how</w:t>
      </w:r>
      <w:r w:rsidRPr="00C1464C">
        <w:rPr>
          <w:rFonts w:ascii="Times New Roman" w:hAnsi="Times New Roman"/>
          <w:i/>
          <w:color w:val="000000" w:themeColor="text1"/>
          <w:highlight w:val="lightGray"/>
        </w:rPr>
        <w:t xml:space="preserve"> the agency has made </w:t>
      </w:r>
      <w:r w:rsidRPr="00C1464C" w:rsidR="00C1464C">
        <w:rPr>
          <w:rFonts w:ascii="Times New Roman" w:hAnsi="Times New Roman"/>
          <w:i/>
          <w:color w:val="000000" w:themeColor="text1"/>
          <w:highlight w:val="lightGray"/>
        </w:rPr>
        <w:t xml:space="preserve">use </w:t>
      </w:r>
      <w:r w:rsidRPr="00C1464C">
        <w:rPr>
          <w:rFonts w:ascii="Times New Roman" w:hAnsi="Times New Roman"/>
          <w:i/>
          <w:color w:val="000000" w:themeColor="text1"/>
          <w:highlight w:val="lightGray"/>
        </w:rPr>
        <w:t xml:space="preserve">of the information received from the current collection. </w:t>
      </w:r>
    </w:p>
    <w:p w:rsidR="00B07A1E" w:rsidP="00B07A1E" w14:paraId="21E40A00" w14:textId="77777777">
      <w:pPr>
        <w:pStyle w:val="BodyTextIndent2"/>
        <w:tabs>
          <w:tab w:val="clear" w:pos="360"/>
          <w:tab w:val="left" w:pos="720"/>
        </w:tabs>
        <w:ind w:left="720"/>
        <w:jc w:val="left"/>
        <w:rPr>
          <w:sz w:val="22"/>
          <w:szCs w:val="22"/>
        </w:rPr>
      </w:pPr>
      <w:r>
        <w:rPr>
          <w:sz w:val="22"/>
          <w:szCs w:val="22"/>
        </w:rPr>
        <w:t>This ICR has two forms: SF 2809 and OPM 2809</w:t>
      </w:r>
      <w:r w:rsidR="00855763">
        <w:rPr>
          <w:sz w:val="22"/>
          <w:szCs w:val="22"/>
        </w:rPr>
        <w:t>.</w:t>
      </w:r>
    </w:p>
    <w:p w:rsidR="008D10F2" w:rsidP="00B07A1E" w14:paraId="44605BD8" w14:textId="77777777">
      <w:pPr>
        <w:pStyle w:val="BodyTextIndent2"/>
        <w:tabs>
          <w:tab w:val="clear" w:pos="360"/>
          <w:tab w:val="left" w:pos="720"/>
        </w:tabs>
        <w:ind w:left="720"/>
        <w:jc w:val="left"/>
        <w:rPr>
          <w:sz w:val="22"/>
          <w:szCs w:val="22"/>
        </w:rPr>
      </w:pPr>
    </w:p>
    <w:p w:rsidR="008D10F2" w:rsidP="00B07A1E" w14:paraId="3FB05000" w14:textId="77777777">
      <w:pPr>
        <w:pStyle w:val="BodyTextIndent2"/>
        <w:tabs>
          <w:tab w:val="clear" w:pos="360"/>
          <w:tab w:val="left" w:pos="720"/>
        </w:tabs>
        <w:ind w:left="720"/>
        <w:jc w:val="left"/>
        <w:rPr>
          <w:sz w:val="22"/>
          <w:szCs w:val="22"/>
        </w:rPr>
      </w:pPr>
      <w:r>
        <w:rPr>
          <w:sz w:val="22"/>
          <w:szCs w:val="22"/>
        </w:rPr>
        <w:t>The first</w:t>
      </w:r>
      <w:r w:rsidR="00AC08B3">
        <w:rPr>
          <w:sz w:val="22"/>
          <w:szCs w:val="22"/>
        </w:rPr>
        <w:t xml:space="preserve"> form</w:t>
      </w:r>
      <w:r>
        <w:rPr>
          <w:sz w:val="22"/>
          <w:szCs w:val="22"/>
        </w:rPr>
        <w:t xml:space="preserve">, SF 2809, is used by Federal employees </w:t>
      </w:r>
      <w:r w:rsidR="00090488">
        <w:rPr>
          <w:sz w:val="22"/>
          <w:szCs w:val="22"/>
        </w:rPr>
        <w:t xml:space="preserve">and </w:t>
      </w:r>
      <w:r w:rsidR="00093DF5">
        <w:rPr>
          <w:sz w:val="22"/>
          <w:szCs w:val="22"/>
        </w:rPr>
        <w:t xml:space="preserve">by </w:t>
      </w:r>
      <w:r>
        <w:rPr>
          <w:sz w:val="22"/>
          <w:szCs w:val="22"/>
        </w:rPr>
        <w:t>annuitants other than those under the Civil Service Retirement System (CSRS) and the Federal Employees Retirement System (FERS)</w:t>
      </w:r>
      <w:r w:rsidR="00CF5E74">
        <w:rPr>
          <w:sz w:val="22"/>
          <w:szCs w:val="22"/>
        </w:rPr>
        <w:t xml:space="preserve">, </w:t>
      </w:r>
      <w:r w:rsidR="00637FF8">
        <w:rPr>
          <w:sz w:val="22"/>
          <w:szCs w:val="22"/>
        </w:rPr>
        <w:t xml:space="preserve">including </w:t>
      </w:r>
      <w:r>
        <w:rPr>
          <w:sz w:val="22"/>
          <w:szCs w:val="22"/>
        </w:rPr>
        <w:t>individuals receiving benefits from the Office of Workers’ Compensation Programs</w:t>
      </w:r>
      <w:r w:rsidR="00DA0F0D">
        <w:rPr>
          <w:sz w:val="22"/>
          <w:szCs w:val="22"/>
        </w:rPr>
        <w:t>.</w:t>
      </w:r>
      <w:r w:rsidR="00464EE9">
        <w:rPr>
          <w:sz w:val="22"/>
          <w:szCs w:val="22"/>
        </w:rPr>
        <w:t xml:space="preserve"> The SF 2809 is also used by three groups</w:t>
      </w:r>
      <w:r w:rsidR="009F32F1">
        <w:rPr>
          <w:sz w:val="22"/>
          <w:szCs w:val="22"/>
        </w:rPr>
        <w:t xml:space="preserve"> eligible to enroll under the Temporary Continuation of Coverage (TCC) provisions of the FEHB law (5 U.S.C. 8905a):</w:t>
      </w:r>
      <w:r>
        <w:rPr>
          <w:sz w:val="22"/>
          <w:szCs w:val="22"/>
        </w:rPr>
        <w:t xml:space="preserve"> former spouses eligible for benefits under the Spouse Equity Act of 1984 (P.L. 98-615)</w:t>
      </w:r>
      <w:r w:rsidR="00CA2A4C">
        <w:rPr>
          <w:sz w:val="22"/>
          <w:szCs w:val="22"/>
        </w:rPr>
        <w:t>;</w:t>
      </w:r>
      <w:r>
        <w:rPr>
          <w:sz w:val="22"/>
          <w:szCs w:val="22"/>
        </w:rPr>
        <w:t xml:space="preserve"> separated employees</w:t>
      </w:r>
      <w:r w:rsidR="00CA2A4C">
        <w:rPr>
          <w:sz w:val="22"/>
          <w:szCs w:val="22"/>
        </w:rPr>
        <w:t>;</w:t>
      </w:r>
      <w:r>
        <w:rPr>
          <w:sz w:val="22"/>
          <w:szCs w:val="22"/>
        </w:rPr>
        <w:t xml:space="preserve"> and former dependents. These enrollments are administered by OPM’s Healthcare &amp; Insurance</w:t>
      </w:r>
      <w:r w:rsidRPr="3C7934DB" w:rsidR="5D7CAF58">
        <w:rPr>
          <w:sz w:val="22"/>
          <w:szCs w:val="22"/>
        </w:rPr>
        <w:t xml:space="preserve"> office</w:t>
      </w:r>
      <w:r>
        <w:rPr>
          <w:sz w:val="22"/>
          <w:szCs w:val="22"/>
        </w:rPr>
        <w:t>.</w:t>
      </w:r>
    </w:p>
    <w:p w:rsidR="008D10F2" w:rsidP="00B07A1E" w14:paraId="69F9E45E" w14:textId="77777777">
      <w:pPr>
        <w:pStyle w:val="BodyTextIndent2"/>
        <w:tabs>
          <w:tab w:val="clear" w:pos="360"/>
          <w:tab w:val="left" w:pos="720"/>
        </w:tabs>
        <w:ind w:left="720"/>
        <w:jc w:val="left"/>
        <w:rPr>
          <w:sz w:val="22"/>
          <w:szCs w:val="22"/>
        </w:rPr>
      </w:pPr>
    </w:p>
    <w:p w:rsidR="008D10F2" w:rsidP="00B07A1E" w14:paraId="32BAD838" w14:textId="77777777">
      <w:pPr>
        <w:pStyle w:val="BodyTextIndent2"/>
        <w:tabs>
          <w:tab w:val="clear" w:pos="360"/>
          <w:tab w:val="left" w:pos="720"/>
        </w:tabs>
        <w:ind w:left="720"/>
        <w:jc w:val="left"/>
        <w:rPr>
          <w:sz w:val="22"/>
          <w:szCs w:val="22"/>
        </w:rPr>
      </w:pPr>
      <w:r>
        <w:rPr>
          <w:sz w:val="22"/>
          <w:szCs w:val="22"/>
        </w:rPr>
        <w:t>The second</w:t>
      </w:r>
      <w:r w:rsidR="002F57DD">
        <w:rPr>
          <w:sz w:val="22"/>
          <w:szCs w:val="22"/>
        </w:rPr>
        <w:t xml:space="preserve"> form</w:t>
      </w:r>
      <w:r>
        <w:rPr>
          <w:sz w:val="22"/>
          <w:szCs w:val="22"/>
        </w:rPr>
        <w:t>, OPM 2809, is used by CSRS and FERS annuitants to elect, cancel, suspend, or change health benefits enrollment within the FEHB Program during periods other than open season. These enrollments are administered by OPM’s Retirement Services.</w:t>
      </w:r>
    </w:p>
    <w:p w:rsidR="00C343BF" w:rsidP="00B07A1E" w14:paraId="4505AFAA" w14:textId="77777777">
      <w:pPr>
        <w:pStyle w:val="BodyTextIndent2"/>
        <w:tabs>
          <w:tab w:val="clear" w:pos="360"/>
          <w:tab w:val="left" w:pos="720"/>
        </w:tabs>
        <w:ind w:left="720"/>
        <w:jc w:val="left"/>
        <w:rPr>
          <w:sz w:val="22"/>
          <w:szCs w:val="22"/>
        </w:rPr>
      </w:pPr>
    </w:p>
    <w:p w:rsidR="00C343BF" w:rsidP="00B07A1E" w14:paraId="0630E600" w14:textId="77777777">
      <w:pPr>
        <w:pStyle w:val="BodyTextIndent2"/>
        <w:tabs>
          <w:tab w:val="clear" w:pos="360"/>
          <w:tab w:val="left" w:pos="720"/>
        </w:tabs>
        <w:ind w:left="720"/>
        <w:jc w:val="left"/>
        <w:rPr>
          <w:sz w:val="22"/>
          <w:szCs w:val="22"/>
        </w:rPr>
      </w:pPr>
      <w:r>
        <w:rPr>
          <w:sz w:val="22"/>
          <w:szCs w:val="22"/>
        </w:rPr>
        <w:t>The</w:t>
      </w:r>
      <w:r w:rsidR="004872CB">
        <w:rPr>
          <w:sz w:val="22"/>
          <w:szCs w:val="22"/>
        </w:rPr>
        <w:t xml:space="preserve">se forms are used as the official agency or retirement system record of the individual’s coverage and enrollment status under the FEHB Program and as acknowledgement and authorization by the individual for collection of the appropriate premium contributions. A copy of the form is also forwarded to the FEHB carrier as a record of the individual’s enrollment. </w:t>
      </w:r>
      <w:r w:rsidR="004B32CB">
        <w:rPr>
          <w:sz w:val="22"/>
          <w:szCs w:val="22"/>
        </w:rPr>
        <w:t>It</w:t>
      </w:r>
      <w:r w:rsidR="004872CB">
        <w:rPr>
          <w:sz w:val="22"/>
          <w:szCs w:val="22"/>
        </w:rPr>
        <w:t xml:space="preserve"> provides the carrier with information necessary to enable the carrier to pay and process claims for the individual and any covered family members, which the carrier would otherwise have to obtain from the enrollee by other means.</w:t>
      </w:r>
    </w:p>
    <w:p w:rsidR="008B7A21" w:rsidP="00B07A1E" w14:paraId="1CF44E4A" w14:textId="77777777">
      <w:pPr>
        <w:pStyle w:val="BodyTextIndent2"/>
        <w:tabs>
          <w:tab w:val="clear" w:pos="360"/>
          <w:tab w:val="left" w:pos="720"/>
        </w:tabs>
        <w:ind w:left="720"/>
        <w:jc w:val="left"/>
        <w:rPr>
          <w:sz w:val="22"/>
          <w:szCs w:val="22"/>
        </w:rPr>
      </w:pPr>
    </w:p>
    <w:p w:rsidR="008B7A21" w:rsidP="00B07A1E" w14:paraId="636C40E0" w14:textId="77777777">
      <w:pPr>
        <w:pStyle w:val="BodyTextIndent2"/>
        <w:tabs>
          <w:tab w:val="clear" w:pos="360"/>
          <w:tab w:val="left" w:pos="720"/>
        </w:tabs>
        <w:ind w:left="720"/>
        <w:jc w:val="left"/>
      </w:pPr>
      <w:r>
        <w:rPr>
          <w:sz w:val="22"/>
          <w:szCs w:val="22"/>
        </w:rPr>
        <w:t xml:space="preserve">The Postal Service Health Benefits System (PSHBS) is OPM’s established online portal for enrolling in PSHB plans. It provides tools for enrollees to confirm eligibility; compare insurance; and enroll online. It can be accessed by computer or smart devices. Once an individual has completed the registration and enrollment, a confirmation page will display with the plan and premium amount, coverage effective date, premium effective date, and covered family members, if applicable. PSHBS is a centralized location that </w:t>
      </w:r>
      <w:r w:rsidR="008543FC">
        <w:rPr>
          <w:sz w:val="22"/>
          <w:szCs w:val="22"/>
        </w:rPr>
        <w:t>will also</w:t>
      </w:r>
      <w:r>
        <w:rPr>
          <w:sz w:val="22"/>
          <w:szCs w:val="22"/>
        </w:rPr>
        <w:t xml:space="preserve"> provide the insurance carrier with </w:t>
      </w:r>
      <w:r w:rsidR="00885808">
        <w:rPr>
          <w:sz w:val="22"/>
          <w:szCs w:val="22"/>
        </w:rPr>
        <w:t xml:space="preserve">the </w:t>
      </w:r>
      <w:r>
        <w:rPr>
          <w:sz w:val="22"/>
          <w:szCs w:val="22"/>
        </w:rPr>
        <w:t xml:space="preserve">information necessary to </w:t>
      </w:r>
      <w:r w:rsidR="00FF6BA2">
        <w:rPr>
          <w:sz w:val="22"/>
          <w:szCs w:val="22"/>
        </w:rPr>
        <w:t xml:space="preserve">identify the enrolled individual </w:t>
      </w:r>
      <w:r w:rsidR="00653D51">
        <w:rPr>
          <w:sz w:val="22"/>
          <w:szCs w:val="22"/>
        </w:rPr>
        <w:t xml:space="preserve">and any covered family members. The consequences of not collecting the </w:t>
      </w:r>
      <w:r w:rsidR="00CB43D7">
        <w:rPr>
          <w:sz w:val="22"/>
          <w:szCs w:val="22"/>
        </w:rPr>
        <w:t xml:space="preserve">enrollment </w:t>
      </w:r>
      <w:r w:rsidR="00653D51">
        <w:rPr>
          <w:sz w:val="22"/>
          <w:szCs w:val="22"/>
        </w:rPr>
        <w:t xml:space="preserve">information in PSHBS would be that </w:t>
      </w:r>
      <w:r w:rsidR="009D28E6">
        <w:rPr>
          <w:sz w:val="22"/>
          <w:szCs w:val="22"/>
        </w:rPr>
        <w:t>a different</w:t>
      </w:r>
      <w:r w:rsidR="00653D51">
        <w:rPr>
          <w:sz w:val="22"/>
          <w:szCs w:val="22"/>
        </w:rPr>
        <w:t xml:space="preserve"> method of obtaining the information would have to be developed, tested and implemented.</w:t>
      </w:r>
    </w:p>
    <w:p w:rsidR="00692A07" w:rsidRPr="00BE5FAD" w:rsidP="00B07A1E" w14:paraId="4B01C2F7" w14:textId="77777777">
      <w:pPr>
        <w:pStyle w:val="BodyTextIndent2"/>
        <w:tabs>
          <w:tab w:val="clear" w:pos="360"/>
          <w:tab w:val="left" w:pos="720"/>
        </w:tabs>
        <w:ind w:left="720"/>
        <w:jc w:val="left"/>
      </w:pPr>
    </w:p>
    <w:p w:rsidR="00B07A1E" w:rsidRPr="00E83D12" w14:paraId="1DA165A9" w14:textId="77777777">
      <w:pPr>
        <w:numPr>
          <w:ilvl w:val="0"/>
          <w:numId w:val="1"/>
        </w:numPr>
      </w:pPr>
      <w:r w:rsidRPr="1C9EBFFB">
        <w:rPr>
          <w:i/>
          <w:color w:val="000000" w:themeColor="text1"/>
          <w:highlight w:val="lightGray"/>
        </w:rPr>
        <w:t xml:space="preserve">How are the respondents expected to complete the collection? </w:t>
      </w:r>
      <w:r w:rsidRPr="1C9EBFFB" w:rsidR="00511B68">
        <w:rPr>
          <w:i/>
          <w:color w:val="000000" w:themeColor="text1"/>
          <w:highlight w:val="lightGray"/>
        </w:rPr>
        <w:t>Can</w:t>
      </w:r>
      <w:r w:rsidRPr="1C9EBFFB" w:rsidR="00164D2D">
        <w:rPr>
          <w:i/>
          <w:color w:val="000000" w:themeColor="text1"/>
          <w:highlight w:val="lightGray"/>
        </w:rPr>
        <w:t xml:space="preserve"> this collection </w:t>
      </w:r>
      <w:r w:rsidRPr="1C9EBFFB" w:rsidR="00511B68">
        <w:rPr>
          <w:i/>
          <w:color w:val="000000" w:themeColor="text1"/>
          <w:highlight w:val="lightGray"/>
        </w:rPr>
        <w:t>b</w:t>
      </w:r>
      <w:r w:rsidRPr="1C9EBFFB" w:rsidR="00164D2D">
        <w:rPr>
          <w:i/>
          <w:color w:val="000000" w:themeColor="text1"/>
          <w:highlight w:val="lightGray"/>
        </w:rPr>
        <w:t>e completed electronically (</w:t>
      </w:r>
      <w:r w:rsidRPr="1C9EBFFB" w:rsidR="00F904E9">
        <w:rPr>
          <w:i/>
          <w:color w:val="000000" w:themeColor="text1"/>
          <w:highlight w:val="lightGray"/>
        </w:rPr>
        <w:t>e.g.,</w:t>
      </w:r>
      <w:r w:rsidRPr="1C9EBFFB" w:rsidR="00164D2D">
        <w:rPr>
          <w:i/>
          <w:color w:val="000000" w:themeColor="text1"/>
          <w:highlight w:val="lightGray"/>
        </w:rPr>
        <w:t xml:space="preserve"> through a website or application)?</w:t>
      </w:r>
      <w:r w:rsidRPr="1C9EBFFB" w:rsidR="00317986">
        <w:rPr>
          <w:color w:val="000000" w:themeColor="text1"/>
          <w:highlight w:val="lightGray"/>
        </w:rPr>
        <w:t xml:space="preserve"> </w:t>
      </w:r>
      <w:r w:rsidR="00317986">
        <w:br/>
      </w:r>
      <w:r w:rsidR="00F015B0">
        <w:t xml:space="preserve">Completion of the forms represent a voluntary election by the respondent, and the information collected can only be obtained from the respondent. </w:t>
      </w:r>
      <w:r w:rsidR="001169E9">
        <w:t xml:space="preserve">These forms </w:t>
      </w:r>
      <w:r w:rsidR="00837B09">
        <w:t>are</w:t>
      </w:r>
      <w:r w:rsidR="001169E9">
        <w:t xml:space="preserve"> available in a PDF fillable format on our website at </w:t>
      </w:r>
      <w:hyperlink r:id="rId8">
        <w:r w:rsidRPr="1C9EBFFB" w:rsidR="00837B09">
          <w:rPr>
            <w:rStyle w:val="Hyperlink"/>
          </w:rPr>
          <w:t>www.opm.gov/forms</w:t>
        </w:r>
      </w:hyperlink>
      <w:r w:rsidR="00837B09">
        <w:t>.</w:t>
      </w:r>
      <w:r w:rsidR="00F015B0">
        <w:br/>
      </w:r>
      <w:r w:rsidR="00F015B0">
        <w:br/>
        <w:t xml:space="preserve">PSHBS is an online enrollment system available online at </w:t>
      </w:r>
      <w:r w:rsidR="00871CC3">
        <w:t>health-benefits.opm.gov</w:t>
      </w:r>
      <w:r w:rsidR="00F015B0">
        <w:t>.</w:t>
      </w:r>
      <w:r w:rsidR="00154631">
        <w:t xml:space="preserve"> </w:t>
      </w:r>
      <w:r w:rsidR="00870A64">
        <w:t xml:space="preserve">The system is a centralized location that </w:t>
      </w:r>
      <w:r w:rsidR="00BB004D">
        <w:t xml:space="preserve">collects </w:t>
      </w:r>
      <w:r w:rsidR="00870A64">
        <w:t>the</w:t>
      </w:r>
      <w:r w:rsidR="00BB004D">
        <w:t xml:space="preserve"> information</w:t>
      </w:r>
      <w:r w:rsidR="0093339F">
        <w:t xml:space="preserve"> the</w:t>
      </w:r>
      <w:r w:rsidR="00870A64">
        <w:t xml:space="preserve"> insurance carrier </w:t>
      </w:r>
      <w:r w:rsidR="0093339F">
        <w:t>needs</w:t>
      </w:r>
      <w:r w:rsidR="00870A64">
        <w:t xml:space="preserve"> to </w:t>
      </w:r>
      <w:r w:rsidR="003237E8">
        <w:t>identify</w:t>
      </w:r>
      <w:r w:rsidR="00870A64">
        <w:t xml:space="preserve"> the</w:t>
      </w:r>
      <w:r w:rsidR="002F3DBD">
        <w:t xml:space="preserve"> enrolled</w:t>
      </w:r>
      <w:r w:rsidR="00870A64">
        <w:t xml:space="preserve"> individual</w:t>
      </w:r>
      <w:r w:rsidR="00C960AF">
        <w:t xml:space="preserve"> and any covered family members. </w:t>
      </w:r>
      <w:r w:rsidR="00102C74">
        <w:t>In addition, annuitants under a PSHB plan will be able to submit their OPM 2809 information electronically through the new PSHBS.</w:t>
      </w:r>
      <w:r w:rsidR="00D878DE">
        <w:br/>
      </w:r>
      <w:r w:rsidR="00D878DE">
        <w:br/>
      </w:r>
      <w:r w:rsidR="00154631">
        <w:t>Other Federal Enrollment Systems are used by many agencies</w:t>
      </w:r>
      <w:r w:rsidR="0076490F">
        <w:t xml:space="preserve"> and provide</w:t>
      </w:r>
      <w:r w:rsidR="007F1595">
        <w:t xml:space="preserve"> an automated or electronic version of the SF 2809 </w:t>
      </w:r>
      <w:r w:rsidR="00154631">
        <w:t>to complete enrollment actions for FEHB.</w:t>
      </w:r>
      <w:r w:rsidR="00F015B0">
        <w:t xml:space="preserve"> </w:t>
      </w:r>
      <w:r w:rsidR="007F1595">
        <w:t>Enrollment</w:t>
      </w:r>
      <w:r w:rsidR="00D878DE">
        <w:t>s</w:t>
      </w:r>
      <w:r w:rsidR="007F1595">
        <w:t xml:space="preserve"> by phone and paper are permitted to accommodate enrollees with no access to automated means.</w:t>
      </w:r>
      <w:r w:rsidR="00964553">
        <w:br/>
      </w:r>
      <w:r w:rsidR="00D878DE">
        <w:t xml:space="preserve"> </w:t>
      </w:r>
    </w:p>
    <w:p w:rsidR="009361C3" w:rsidRPr="009361C3" w:rsidP="356D6FA1" w14:paraId="53C5B566" w14:textId="77777777">
      <w:pPr>
        <w:numPr>
          <w:ilvl w:val="0"/>
          <w:numId w:val="1"/>
        </w:numPr>
        <w:tabs>
          <w:tab w:val="clear" w:pos="720"/>
        </w:tabs>
        <w:rPr>
          <w:i/>
          <w:iCs/>
          <w:color w:val="000000" w:themeColor="text1"/>
          <w:highlight w:val="lightGray"/>
        </w:rPr>
      </w:pPr>
      <w:r w:rsidRPr="356D6FA1">
        <w:rPr>
          <w:i/>
          <w:iCs/>
          <w:color w:val="000000" w:themeColor="text1"/>
          <w:highlight w:val="lightGray"/>
        </w:rPr>
        <w:t>Does this collection duplicate any other collection of information?</w:t>
      </w:r>
      <w:r w:rsidRPr="356D6FA1" w:rsidR="72703485">
        <w:rPr>
          <w:i/>
          <w:iCs/>
          <w:color w:val="000000" w:themeColor="text1"/>
          <w:highlight w:val="lightGray"/>
        </w:rPr>
        <w:t xml:space="preserve"> Describe why</w:t>
      </w:r>
      <w:r w:rsidRPr="356D6FA1" w:rsidR="07BCEF1E">
        <w:rPr>
          <w:i/>
          <w:iCs/>
          <w:color w:val="000000" w:themeColor="text1"/>
          <w:highlight w:val="lightGray"/>
        </w:rPr>
        <w:t xml:space="preserve"> the agency doesn’t already have this information within their systems.</w:t>
      </w:r>
      <w:r w:rsidRPr="356D6FA1" w:rsidR="0895CC9B">
        <w:rPr>
          <w:color w:val="0070C0"/>
          <w:highlight w:val="yellow"/>
        </w:rPr>
        <w:t xml:space="preserve"> </w:t>
      </w:r>
      <w:r w:rsidR="00164D2D">
        <w:br/>
      </w:r>
      <w:r w:rsidR="74E010F6">
        <w:t>Every effort is made to identify and avoid duplication. The number of times respondents are required to complete this form is kept to a minimum. After initial enrollment, completion of a new form is required only when the covered individual desires to make a change in their health insurance enrollment status.</w:t>
      </w:r>
      <w:r w:rsidR="00164D2D">
        <w:br/>
      </w:r>
      <w:r w:rsidR="00164D2D">
        <w:br/>
      </w:r>
      <w:r w:rsidR="74E010F6">
        <w:t>This information is collected individually and accounts for similarities and differences between t</w:t>
      </w:r>
      <w:r w:rsidR="39E77EB7">
        <w:t>w</w:t>
      </w:r>
      <w:r w:rsidR="74E010F6">
        <w:t>o applicable populations which are enrollees under a FEHB plan and ones under a PSHB plan within the FEHB Program.</w:t>
      </w:r>
      <w:r w:rsidR="1DABE5F2">
        <w:t xml:space="preserve">  </w:t>
      </w:r>
      <w:r w:rsidR="00164D2D">
        <w:br/>
      </w:r>
      <w:r w:rsidR="00164D2D">
        <w:br/>
      </w:r>
    </w:p>
    <w:p w:rsidR="00164D2D" w:rsidRPr="00EC7055" w:rsidP="00164D2D" w14:paraId="62CCDBF3" w14:textId="77777777">
      <w:pPr>
        <w:numPr>
          <w:ilvl w:val="0"/>
          <w:numId w:val="1"/>
        </w:numPr>
        <w:rPr>
          <w:i/>
          <w:color w:val="000000" w:themeColor="text1"/>
          <w:szCs w:val="24"/>
          <w:highlight w:val="lightGray"/>
        </w:rPr>
      </w:pPr>
      <w:r w:rsidRPr="00EC7055">
        <w:rPr>
          <w:i/>
          <w:color w:val="000000" w:themeColor="text1"/>
          <w:szCs w:val="24"/>
          <w:highlight w:val="lightGray"/>
        </w:rPr>
        <w:t>Describe any impacts on small business.</w:t>
      </w:r>
      <w:r w:rsidR="00CF3959">
        <w:rPr>
          <w:i/>
          <w:color w:val="000000" w:themeColor="text1"/>
          <w:szCs w:val="24"/>
          <w:highlight w:val="lightGray"/>
        </w:rPr>
        <w:t xml:space="preserve">  If applicable, describe any methods used to minimize those impacts.</w:t>
      </w:r>
    </w:p>
    <w:p w:rsidR="00B07A1E" w:rsidRPr="00C50BF3" w:rsidP="00A273D2" w14:paraId="681EE792" w14:textId="77777777">
      <w:pPr>
        <w:spacing w:after="0"/>
        <w:ind w:left="720"/>
        <w:rPr>
          <w:sz w:val="22"/>
          <w:szCs w:val="22"/>
        </w:rPr>
      </w:pPr>
      <w:r w:rsidRPr="00C50BF3">
        <w:rPr>
          <w:sz w:val="22"/>
          <w:szCs w:val="22"/>
        </w:rPr>
        <w:t>This information collection request has no impact on small businesses and organizations.</w:t>
      </w:r>
    </w:p>
    <w:p w:rsidR="00C50BF3" w:rsidP="00A273D2" w14:paraId="04A6B445" w14:textId="77777777">
      <w:pPr>
        <w:spacing w:after="0"/>
        <w:ind w:left="720"/>
      </w:pPr>
    </w:p>
    <w:p w:rsidR="00164D2D" w:rsidRPr="002B4D8E" w14:paraId="0A5E6195" w14:textId="77777777">
      <w:pPr>
        <w:numPr>
          <w:ilvl w:val="0"/>
          <w:numId w:val="1"/>
        </w:numPr>
        <w:rPr>
          <w:i/>
          <w:color w:val="000000" w:themeColor="text1"/>
          <w:szCs w:val="24"/>
          <w:highlight w:val="lightGray"/>
        </w:rPr>
      </w:pPr>
      <w:r w:rsidRPr="002B4D8E">
        <w:rPr>
          <w:i/>
          <w:color w:val="000000" w:themeColor="text1"/>
          <w:szCs w:val="24"/>
          <w:highlight w:val="lightGray"/>
        </w:rPr>
        <w:t>What are consequences</w:t>
      </w:r>
      <w:r w:rsidRPr="002B4D8E" w:rsidR="00CF3959">
        <w:rPr>
          <w:i/>
          <w:color w:val="000000" w:themeColor="text1"/>
          <w:szCs w:val="24"/>
          <w:highlight w:val="lightGray"/>
        </w:rPr>
        <w:t xml:space="preserve"> to the Federal program or policy goals</w:t>
      </w:r>
      <w:r w:rsidRPr="002B4D8E">
        <w:rPr>
          <w:i/>
          <w:color w:val="000000" w:themeColor="text1"/>
          <w:szCs w:val="24"/>
          <w:highlight w:val="lightGray"/>
        </w:rPr>
        <w:t xml:space="preserve"> if this collection is not done</w:t>
      </w:r>
      <w:r w:rsidRPr="002B4D8E" w:rsidR="00CF3959">
        <w:rPr>
          <w:i/>
          <w:color w:val="000000" w:themeColor="text1"/>
          <w:szCs w:val="24"/>
          <w:highlight w:val="lightGray"/>
        </w:rPr>
        <w:t xml:space="preserve"> or the information is collected less frequently</w:t>
      </w:r>
      <w:r w:rsidRPr="002B4D8E">
        <w:rPr>
          <w:i/>
          <w:color w:val="000000" w:themeColor="text1"/>
          <w:szCs w:val="24"/>
          <w:highlight w:val="lightGray"/>
        </w:rPr>
        <w:t>?</w:t>
      </w:r>
      <w:r w:rsidRPr="002B4D8E" w:rsidR="002B4D8E">
        <w:rPr>
          <w:i/>
          <w:color w:val="000000" w:themeColor="text1"/>
          <w:szCs w:val="24"/>
          <w:highlight w:val="lightGray"/>
        </w:rPr>
        <w:t xml:space="preserve"> Describe any technical or legal obstacles to reducing burden</w:t>
      </w:r>
      <w:r w:rsidR="002B4D8E">
        <w:rPr>
          <w:i/>
          <w:color w:val="000000" w:themeColor="text1"/>
          <w:szCs w:val="24"/>
          <w:highlight w:val="lightGray"/>
        </w:rPr>
        <w:t>.</w:t>
      </w:r>
    </w:p>
    <w:p w:rsidR="00F939CF" w:rsidRPr="00721D56" w:rsidP="00721D56" w14:paraId="61D2528A" w14:textId="77777777">
      <w:pPr>
        <w:pStyle w:val="BodyTextIndent"/>
        <w:tabs>
          <w:tab w:val="clear" w:pos="720"/>
        </w:tabs>
        <w:jc w:val="left"/>
        <w:rPr>
          <w:sz w:val="22"/>
          <w:szCs w:val="22"/>
        </w:rPr>
      </w:pPr>
      <w:r w:rsidRPr="00F939CF">
        <w:rPr>
          <w:sz w:val="22"/>
          <w:szCs w:val="22"/>
        </w:rPr>
        <w:t>I</w:t>
      </w:r>
      <w:r w:rsidR="00A42E66">
        <w:rPr>
          <w:sz w:val="22"/>
          <w:szCs w:val="22"/>
        </w:rPr>
        <w:t xml:space="preserve">f this information is not collected, respondents cannot enroll or make changes to their FEHB </w:t>
      </w:r>
      <w:r w:rsidR="00323B4B">
        <w:rPr>
          <w:sz w:val="22"/>
          <w:szCs w:val="22"/>
        </w:rPr>
        <w:t>or</w:t>
      </w:r>
      <w:r w:rsidR="00A42E66">
        <w:rPr>
          <w:sz w:val="22"/>
          <w:szCs w:val="22"/>
        </w:rPr>
        <w:t xml:space="preserve"> PSHB enrollment. The only way to reduce the burden would be to restrict an individual’s freedom to make changes to their enrollment, which would require making changes in current regulation. </w:t>
      </w:r>
      <w:r w:rsidR="006640B3">
        <w:rPr>
          <w:sz w:val="22"/>
          <w:szCs w:val="22"/>
        </w:rPr>
        <w:br/>
      </w:r>
      <w:r w:rsidR="006640B3">
        <w:rPr>
          <w:sz w:val="22"/>
          <w:szCs w:val="22"/>
        </w:rPr>
        <w:br/>
        <w:t xml:space="preserve">This type of restriction would cause undue hardship through the possible lapse of appropriate health coverage. </w:t>
      </w:r>
      <w:r w:rsidR="006640B3">
        <w:rPr>
          <w:sz w:val="22"/>
          <w:szCs w:val="22"/>
        </w:rPr>
        <w:br/>
        <w:t>In addition, it would restrict the respondent’s freedom to make changes to their enrollment.</w:t>
      </w:r>
      <w:r w:rsidR="00753043">
        <w:rPr>
          <w:iCs/>
          <w:color w:val="0070C0"/>
        </w:rPr>
        <w:br/>
      </w:r>
    </w:p>
    <w:p w:rsidR="005F66DC" w:rsidRPr="000E7D65" w:rsidP="005F66DC" w14:paraId="5CB567ED" w14:textId="77777777">
      <w:pPr>
        <w:numPr>
          <w:ilvl w:val="0"/>
          <w:numId w:val="1"/>
        </w:numPr>
        <w:rPr>
          <w:i/>
          <w:color w:val="000000" w:themeColor="text1"/>
          <w:szCs w:val="24"/>
          <w:highlight w:val="lightGray"/>
        </w:rPr>
      </w:pPr>
      <w:r w:rsidRPr="000E7D65">
        <w:rPr>
          <w:i/>
          <w:color w:val="000000" w:themeColor="text1"/>
          <w:szCs w:val="24"/>
          <w:highlight w:val="lightGray"/>
        </w:rPr>
        <w:t>Do</w:t>
      </w:r>
      <w:r w:rsidRPr="000E7D65" w:rsidR="00164D2D">
        <w:rPr>
          <w:i/>
          <w:color w:val="000000" w:themeColor="text1"/>
          <w:szCs w:val="24"/>
          <w:highlight w:val="lightGray"/>
        </w:rPr>
        <w:t xml:space="preserve"> any </w:t>
      </w:r>
      <w:r w:rsidRPr="000E7D65">
        <w:rPr>
          <w:i/>
          <w:color w:val="000000" w:themeColor="text1"/>
          <w:szCs w:val="24"/>
          <w:highlight w:val="lightGray"/>
        </w:rPr>
        <w:t xml:space="preserve">of the following </w:t>
      </w:r>
      <w:r w:rsidRPr="000E7D65" w:rsidR="00164D2D">
        <w:rPr>
          <w:i/>
          <w:color w:val="000000" w:themeColor="text1"/>
          <w:szCs w:val="24"/>
          <w:highlight w:val="lightGray"/>
        </w:rPr>
        <w:t>special circumstances</w:t>
      </w:r>
      <w:r w:rsidRPr="000E7D65" w:rsidR="00AD5D02">
        <w:rPr>
          <w:i/>
          <w:color w:val="000000" w:themeColor="text1"/>
          <w:szCs w:val="24"/>
          <w:highlight w:val="lightGray"/>
        </w:rPr>
        <w:t xml:space="preserve"> apply</w:t>
      </w:r>
      <w:r w:rsidRPr="000E7D65" w:rsidR="00164D2D">
        <w:rPr>
          <w:i/>
          <w:color w:val="000000" w:themeColor="text1"/>
          <w:szCs w:val="24"/>
          <w:highlight w:val="lightGray"/>
        </w:rPr>
        <w:t>?</w:t>
      </w:r>
      <w:r w:rsidRPr="000E7D65" w:rsidR="00AD5D02">
        <w:rPr>
          <w:highlight w:val="lightGray"/>
        </w:rPr>
        <w:t xml:space="preserve"> </w:t>
      </w:r>
    </w:p>
    <w:p w:rsidR="00AD5D02" w:rsidRPr="000E7D65" w:rsidP="005F66DC" w14:paraId="3660C93D" w14:textId="77777777">
      <w:pPr>
        <w:ind w:left="720"/>
        <w:rPr>
          <w:i/>
          <w:color w:val="000000" w:themeColor="text1"/>
          <w:szCs w:val="24"/>
          <w:highlight w:val="lightGray"/>
        </w:rPr>
      </w:pPr>
      <w:r w:rsidRPr="000E7D65">
        <w:rPr>
          <w:i/>
          <w:color w:val="000000" w:themeColor="text1"/>
          <w:szCs w:val="24"/>
          <w:highlight w:val="lightGray"/>
        </w:rPr>
        <w:t xml:space="preserve">• requiring respondents to report information to the agency more often than quarterly; </w:t>
      </w:r>
    </w:p>
    <w:p w:rsidR="00AD5D02" w:rsidRPr="000E7D65" w:rsidP="005F66DC" w14:paraId="3A14F058" w14:textId="77777777">
      <w:pPr>
        <w:ind w:left="720"/>
        <w:rPr>
          <w:i/>
          <w:color w:val="000000" w:themeColor="text1"/>
          <w:szCs w:val="24"/>
          <w:highlight w:val="lightGray"/>
        </w:rPr>
      </w:pPr>
      <w:r w:rsidRPr="000E7D65">
        <w:rPr>
          <w:i/>
          <w:color w:val="000000" w:themeColor="text1"/>
          <w:szCs w:val="24"/>
          <w:highlight w:val="lightGray"/>
        </w:rPr>
        <w:t xml:space="preserve">•requiring respondents to prepare a written response to a collection of information in fewer than 30 days after receipt of it; </w:t>
      </w:r>
    </w:p>
    <w:p w:rsidR="00AD5D02" w:rsidRPr="000E7D65" w:rsidP="00AD5D02" w14:paraId="505528E0" w14:textId="77777777">
      <w:pPr>
        <w:ind w:left="720"/>
        <w:rPr>
          <w:i/>
          <w:color w:val="000000" w:themeColor="text1"/>
          <w:szCs w:val="24"/>
          <w:highlight w:val="lightGray"/>
        </w:rPr>
      </w:pPr>
      <w:r w:rsidRPr="000E7D65">
        <w:rPr>
          <w:i/>
          <w:color w:val="000000" w:themeColor="text1"/>
          <w:szCs w:val="24"/>
          <w:highlight w:val="lightGray"/>
        </w:rPr>
        <w:t xml:space="preserve">•requiring respondents to submit more than an original and two copies of any document; </w:t>
      </w:r>
    </w:p>
    <w:p w:rsidR="00AD5D02" w:rsidRPr="000E7D65" w:rsidP="00AD5D02" w14:paraId="6E0DE919" w14:textId="77777777">
      <w:pPr>
        <w:ind w:left="720"/>
        <w:rPr>
          <w:i/>
          <w:color w:val="000000" w:themeColor="text1"/>
          <w:szCs w:val="24"/>
          <w:highlight w:val="lightGray"/>
        </w:rPr>
      </w:pPr>
      <w:r w:rsidRPr="000E7D65">
        <w:rPr>
          <w:i/>
          <w:color w:val="000000" w:themeColor="text1"/>
          <w:szCs w:val="24"/>
          <w:highlight w:val="lightGray"/>
        </w:rPr>
        <w:t xml:space="preserve">• requiring respondents to retain records, other than health, medical, government contract, grant-in-aid, or tax records, for more than three years; </w:t>
      </w:r>
    </w:p>
    <w:p w:rsidR="00AD5D02" w:rsidRPr="000E7D65" w:rsidP="00AD5D02" w14:paraId="26B4481D" w14:textId="77777777">
      <w:pPr>
        <w:ind w:left="720"/>
        <w:rPr>
          <w:i/>
          <w:color w:val="000000" w:themeColor="text1"/>
          <w:szCs w:val="24"/>
          <w:highlight w:val="lightGray"/>
        </w:rPr>
      </w:pPr>
      <w:r w:rsidRPr="000E7D65">
        <w:rPr>
          <w:i/>
          <w:color w:val="000000" w:themeColor="text1"/>
          <w:szCs w:val="24"/>
          <w:highlight w:val="lightGray"/>
        </w:rPr>
        <w:t xml:space="preserve">• in connection with a statistical survey, that is not designed to produce valid and reliable results that can be generalized to the universe of study; </w:t>
      </w:r>
    </w:p>
    <w:p w:rsidR="00AD5D02" w:rsidRPr="000E7D65" w:rsidP="00AD5D02" w14:paraId="6D3F46E4" w14:textId="77777777">
      <w:pPr>
        <w:ind w:left="720"/>
        <w:rPr>
          <w:i/>
          <w:color w:val="000000" w:themeColor="text1"/>
          <w:szCs w:val="24"/>
          <w:highlight w:val="lightGray"/>
        </w:rPr>
      </w:pPr>
      <w:r w:rsidRPr="000E7D65">
        <w:rPr>
          <w:i/>
          <w:color w:val="000000" w:themeColor="text1"/>
          <w:szCs w:val="24"/>
          <w:highlight w:val="lightGray"/>
        </w:rPr>
        <w:t xml:space="preserve">• requiring the use of a statistical data classification that has not been reviewed and approved by OMB; </w:t>
      </w:r>
    </w:p>
    <w:p w:rsidR="00AD5D02" w:rsidRPr="000E7D65" w:rsidP="00AD5D02" w14:paraId="2F8F882C" w14:textId="77777777">
      <w:pPr>
        <w:ind w:left="720"/>
        <w:rPr>
          <w:i/>
          <w:color w:val="000000" w:themeColor="text1"/>
          <w:szCs w:val="24"/>
          <w:highlight w:val="lightGray"/>
        </w:rPr>
      </w:pPr>
      <w:r w:rsidRPr="000E7D65">
        <w:rPr>
          <w:i/>
          <w:color w:val="000000" w:themeColor="text1"/>
          <w:szCs w:val="24"/>
          <w:highlight w:val="lightGray"/>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64D2D" w:rsidRPr="006007AB" w:rsidP="00AD5D02" w14:paraId="3067D6D4" w14:textId="77777777">
      <w:pPr>
        <w:ind w:left="720"/>
        <w:rPr>
          <w:i/>
          <w:color w:val="000000" w:themeColor="text1"/>
          <w:szCs w:val="24"/>
        </w:rPr>
      </w:pPr>
      <w:r w:rsidRPr="000E7D65">
        <w:rPr>
          <w:i/>
          <w:color w:val="000000" w:themeColor="text1"/>
          <w:szCs w:val="24"/>
          <w:highlight w:val="lightGray"/>
        </w:rPr>
        <w:t>• requiring respondents to submit proprietary trade secrets, or other confidential information unless the agency can demonstrate that it has instituted procedures to protect the information's confidentiality to the extent permitted by law.</w:t>
      </w:r>
    </w:p>
    <w:p w:rsidR="0071103E" w:rsidP="0071103E" w14:paraId="1AA94A80" w14:textId="77777777">
      <w:pPr>
        <w:pStyle w:val="BodyTextIndent"/>
        <w:tabs>
          <w:tab w:val="clear" w:pos="720"/>
        </w:tabs>
        <w:jc w:val="left"/>
        <w:rPr>
          <w:sz w:val="22"/>
          <w:szCs w:val="22"/>
        </w:rPr>
      </w:pPr>
      <w:r w:rsidRPr="00317986">
        <w:rPr>
          <w:sz w:val="22"/>
          <w:szCs w:val="22"/>
        </w:rPr>
        <w:t>There are no special circumstances involved in the collection of this information.</w:t>
      </w:r>
    </w:p>
    <w:p w:rsidR="00721D56" w:rsidRPr="00317986" w:rsidP="0071103E" w14:paraId="6B9BCEEA" w14:textId="77777777">
      <w:pPr>
        <w:pStyle w:val="BodyTextIndent"/>
        <w:tabs>
          <w:tab w:val="clear" w:pos="720"/>
        </w:tabs>
        <w:jc w:val="left"/>
        <w:rPr>
          <w:sz w:val="22"/>
          <w:szCs w:val="22"/>
        </w:rPr>
      </w:pPr>
    </w:p>
    <w:p w:rsidR="00317986" w:rsidP="0071103E" w14:paraId="535DCC9C" w14:textId="77777777">
      <w:pPr>
        <w:pStyle w:val="BodyTextIndent"/>
        <w:tabs>
          <w:tab w:val="clear" w:pos="720"/>
        </w:tabs>
        <w:jc w:val="left"/>
      </w:pPr>
    </w:p>
    <w:p w:rsidR="00164D2D" w:rsidRPr="00EC7055" w:rsidP="70E4D15B" w14:paraId="507F6233" w14:textId="77777777">
      <w:pPr>
        <w:numPr>
          <w:ilvl w:val="0"/>
          <w:numId w:val="1"/>
        </w:numPr>
        <w:rPr>
          <w:i/>
          <w:iCs/>
          <w:color w:val="000000" w:themeColor="text1"/>
          <w:highlight w:val="lightGray"/>
        </w:rPr>
      </w:pPr>
      <w:bookmarkStart w:id="1" w:name="_Hlk95989229"/>
      <w:r w:rsidRPr="00EC7055">
        <w:rPr>
          <w:i/>
          <w:iCs/>
          <w:color w:val="000000" w:themeColor="text1"/>
          <w:highlight w:val="lightGray"/>
        </w:rPr>
        <w:t xml:space="preserve">Cite the </w:t>
      </w:r>
      <w:r w:rsidRPr="00EC7055" w:rsidR="0082620A">
        <w:rPr>
          <w:i/>
          <w:iCs/>
          <w:color w:val="000000" w:themeColor="text1"/>
          <w:highlight w:val="lightGray"/>
        </w:rPr>
        <w:t>Federal Register</w:t>
      </w:r>
      <w:r w:rsidRPr="00EC7055">
        <w:rPr>
          <w:i/>
          <w:iCs/>
          <w:color w:val="000000" w:themeColor="text1"/>
          <w:highlight w:val="lightGray"/>
        </w:rPr>
        <w:t xml:space="preserve"> publication for a request for public comments </w:t>
      </w:r>
      <w:r w:rsidRPr="00EC7055" w:rsidR="0082620A">
        <w:rPr>
          <w:i/>
          <w:iCs/>
          <w:color w:val="000000" w:themeColor="text1"/>
          <w:highlight w:val="lightGray"/>
        </w:rPr>
        <w:t>and address any comments received</w:t>
      </w:r>
      <w:r w:rsidRPr="00EC7055">
        <w:rPr>
          <w:i/>
          <w:iCs/>
          <w:color w:val="000000" w:themeColor="text1"/>
          <w:highlight w:val="lightGray"/>
        </w:rPr>
        <w:t>.</w:t>
      </w:r>
    </w:p>
    <w:p w:rsidR="00125DE8" w:rsidP="00125DE8" w14:paraId="41E71D16" w14:textId="77777777">
      <w:pPr>
        <w:ind w:left="720"/>
      </w:pPr>
      <w:r w:rsidRPr="00125DE8">
        <w:rPr>
          <w:color w:val="000000" w:themeColor="text1"/>
        </w:rPr>
        <w:t xml:space="preserve">On </w:t>
      </w:r>
      <w:r w:rsidR="00B20A50">
        <w:rPr>
          <w:color w:val="000000" w:themeColor="text1"/>
        </w:rPr>
        <w:t>May</w:t>
      </w:r>
      <w:r w:rsidRPr="00125DE8">
        <w:rPr>
          <w:color w:val="000000" w:themeColor="text1"/>
        </w:rPr>
        <w:t xml:space="preserve"> </w:t>
      </w:r>
      <w:r w:rsidR="00B20A50">
        <w:rPr>
          <w:color w:val="000000" w:themeColor="text1"/>
        </w:rPr>
        <w:t>6</w:t>
      </w:r>
      <w:r w:rsidRPr="00125DE8">
        <w:rPr>
          <w:color w:val="000000" w:themeColor="text1"/>
        </w:rPr>
        <w:t xml:space="preserve">, </w:t>
      </w:r>
      <w:r w:rsidR="00B20A50">
        <w:rPr>
          <w:color w:val="000000" w:themeColor="text1"/>
        </w:rPr>
        <w:t>2024</w:t>
      </w:r>
      <w:r w:rsidRPr="00125DE8">
        <w:rPr>
          <w:color w:val="000000" w:themeColor="text1"/>
        </w:rPr>
        <w:t>, a 60</w:t>
      </w:r>
      <w:r>
        <w:rPr>
          <w:color w:val="000000" w:themeColor="text1"/>
        </w:rPr>
        <w:t>-</w:t>
      </w:r>
      <w:r w:rsidRPr="00125DE8">
        <w:rPr>
          <w:color w:val="000000" w:themeColor="text1"/>
        </w:rPr>
        <w:t xml:space="preserve">Day Federal Register Notice was published at </w:t>
      </w:r>
      <w:r w:rsidR="00B20A50">
        <w:rPr>
          <w:color w:val="000000" w:themeColor="text1"/>
        </w:rPr>
        <w:t>89</w:t>
      </w:r>
      <w:r w:rsidRPr="00125DE8">
        <w:rPr>
          <w:color w:val="000000" w:themeColor="text1"/>
        </w:rPr>
        <w:t xml:space="preserve"> FR </w:t>
      </w:r>
      <w:r w:rsidR="00B20A50">
        <w:rPr>
          <w:color w:val="000000" w:themeColor="text1"/>
        </w:rPr>
        <w:t>37269</w:t>
      </w:r>
      <w:r w:rsidRPr="00125DE8">
        <w:rPr>
          <w:color w:val="000000" w:themeColor="text1"/>
        </w:rPr>
        <w:t xml:space="preserve">, requesting comments. </w:t>
      </w:r>
    </w:p>
    <w:p w:rsidR="00196E04" w:rsidP="00196E04" w14:paraId="5A53B7AC" w14:textId="77777777">
      <w:pPr>
        <w:ind w:left="720"/>
        <w:rPr>
          <w:color w:val="000000" w:themeColor="text1"/>
        </w:rPr>
      </w:pPr>
      <w:r w:rsidRPr="00196E04">
        <w:rPr>
          <w:color w:val="000000" w:themeColor="text1"/>
        </w:rPr>
        <w:t>OPM received fourteen comments in response to its 60-day notice, including six unique comments and one comment representing eight submissions. We have made additional edits to the SF</w:t>
      </w:r>
      <w:r w:rsidR="00465D97">
        <w:rPr>
          <w:color w:val="000000" w:themeColor="text1"/>
        </w:rPr>
        <w:t xml:space="preserve"> </w:t>
      </w:r>
      <w:r w:rsidRPr="00196E04">
        <w:rPr>
          <w:color w:val="000000" w:themeColor="text1"/>
        </w:rPr>
        <w:t>2809 form based on these comments.  Specifically, the form will now allow a respondent to list addresses for minor children who live at a different location than the enrollee; the form will provide an option to remove a family member; and the form will also include a date field for the Initial Opportunity to Enroll. The SF</w:t>
      </w:r>
      <w:r w:rsidR="00465D97">
        <w:rPr>
          <w:color w:val="000000" w:themeColor="text1"/>
        </w:rPr>
        <w:t xml:space="preserve"> </w:t>
      </w:r>
      <w:r w:rsidRPr="00196E04">
        <w:rPr>
          <w:color w:val="000000" w:themeColor="text1"/>
        </w:rPr>
        <w:t>2809 form also makes a technical correction by noting that a common law spouse is eligible only if the marriage was initiated in a “</w:t>
      </w:r>
      <w:r w:rsidR="00177EB8">
        <w:rPr>
          <w:color w:val="000000" w:themeColor="text1"/>
        </w:rPr>
        <w:t xml:space="preserve">state, </w:t>
      </w:r>
      <w:r w:rsidR="00A25F1B">
        <w:rPr>
          <w:color w:val="000000" w:themeColor="text1"/>
        </w:rPr>
        <w:t xml:space="preserve">the District of Columbia, or other </w:t>
      </w:r>
      <w:r w:rsidRPr="00196E04">
        <w:rPr>
          <w:color w:val="000000" w:themeColor="text1"/>
        </w:rPr>
        <w:t>jurisdiction” (instead of “state”) that recognizes such marriages; this technical correction is necessary to account for common law marriages in the District of Columbia.</w:t>
      </w:r>
    </w:p>
    <w:p w:rsidR="00196E04" w:rsidRPr="00196E04" w:rsidP="00196E04" w14:paraId="58BA23CA" w14:textId="77777777">
      <w:pPr>
        <w:ind w:left="720"/>
        <w:rPr>
          <w:color w:val="000000" w:themeColor="text1"/>
        </w:rPr>
      </w:pPr>
      <w:r w:rsidRPr="00196E04">
        <w:rPr>
          <w:color w:val="000000" w:themeColor="text1"/>
        </w:rPr>
        <w:t xml:space="preserve">We declined several comments. Specifically, we declined comments about formatting of the paper form because most enrollees will use electronic systems to enroll. There were comments about the eOPF that were beyond the scope of this information collection request. </w:t>
      </w:r>
    </w:p>
    <w:p w:rsidR="00196E04" w:rsidRPr="00196E04" w:rsidP="00196E04" w14:paraId="77FBE235" w14:textId="77777777">
      <w:pPr>
        <w:ind w:left="720"/>
        <w:rPr>
          <w:color w:val="000000" w:themeColor="text1"/>
        </w:rPr>
      </w:pPr>
      <w:r w:rsidRPr="00196E04">
        <w:rPr>
          <w:color w:val="000000" w:themeColor="text1"/>
        </w:rPr>
        <w:t xml:space="preserve">One commenter questioned the use of drop-down menus in some areas of the application. Drop-down menus are not functional for manually printed forms. We are declining to remove these because they are intended for use when completing an electronic fillable, printable form, and are only used for short, direct answers.  Drop-down choices are listed in the instructions of the form so employees using a printed version will have them available.  </w:t>
      </w:r>
    </w:p>
    <w:p w:rsidR="00196E04" w:rsidRPr="00196E04" w:rsidP="00196E04" w14:paraId="152205B1" w14:textId="77777777">
      <w:pPr>
        <w:ind w:left="720"/>
        <w:rPr>
          <w:color w:val="000000" w:themeColor="text1"/>
        </w:rPr>
      </w:pPr>
      <w:r w:rsidRPr="00196E04">
        <w:rPr>
          <w:color w:val="000000" w:themeColor="text1"/>
        </w:rPr>
        <w:t>There were also comments related to adding a checkbox or fillable section for family member eligibility documents and a reminder that, without required documents, family members are not enrolled. We are declining these suggestions because we wish to limit freeform text and believe this information is available in many other places related to enrollment including the form instructions, FEHB Handbook, and OPM brochures.</w:t>
      </w:r>
    </w:p>
    <w:p w:rsidR="00196E04" w:rsidRPr="00196E04" w:rsidP="00196E04" w14:paraId="55410348" w14:textId="77777777">
      <w:pPr>
        <w:ind w:left="720"/>
        <w:rPr>
          <w:color w:val="000000" w:themeColor="text1"/>
        </w:rPr>
      </w:pPr>
      <w:r w:rsidRPr="00196E04">
        <w:rPr>
          <w:color w:val="000000" w:themeColor="text1"/>
        </w:rPr>
        <w:t>A commenter noted that the requirement to enter Event Codes 1A and 1B have been removed, noting that processing may need these codes which represent Initial opportunity to enroll and Open Season.  We are declining to implement this suggestion because these codes relating to the Initial Opportunity to Enroll (1A) and Open Season (1B) are among the most popular codes and we want to make it relatively easy for users to check the box rather than find an event code. Moreover, agencies should have these event codes programmed in their automated enrollment systems.</w:t>
      </w:r>
    </w:p>
    <w:p w:rsidR="007351AD" w:rsidP="007351AD" w14:paraId="3A27D2E6" w14:textId="77777777">
      <w:pPr>
        <w:ind w:left="720"/>
        <w:rPr>
          <w:sz w:val="22"/>
        </w:rPr>
      </w:pPr>
      <w:r>
        <w:rPr>
          <w:color w:val="000000" w:themeColor="text1"/>
        </w:rPr>
        <w:t>Another commenter</w:t>
      </w:r>
      <w:r w:rsidR="006F1101">
        <w:rPr>
          <w:color w:val="000000" w:themeColor="text1"/>
        </w:rPr>
        <w:t xml:space="preserve"> asked </w:t>
      </w:r>
      <w:r w:rsidR="00F041E8">
        <w:rPr>
          <w:color w:val="000000" w:themeColor="text1"/>
        </w:rPr>
        <w:t>if a retiring employee would be required to complete the OPM 2809</w:t>
      </w:r>
      <w:r w:rsidR="00AC186B">
        <w:rPr>
          <w:color w:val="000000" w:themeColor="text1"/>
        </w:rPr>
        <w:t xml:space="preserve"> for the retirement package, or </w:t>
      </w:r>
      <w:r w:rsidR="001626A6">
        <w:rPr>
          <w:color w:val="000000" w:themeColor="text1"/>
        </w:rPr>
        <w:t xml:space="preserve">if they could continue to use the RI 79-9 form </w:t>
      </w:r>
      <w:r w:rsidR="006600BA">
        <w:rPr>
          <w:color w:val="000000" w:themeColor="text1"/>
        </w:rPr>
        <w:t xml:space="preserve">to cancel or suspend </w:t>
      </w:r>
      <w:r>
        <w:rPr>
          <w:color w:val="000000" w:themeColor="text1"/>
        </w:rPr>
        <w:t xml:space="preserve">health benefits.  </w:t>
      </w:r>
      <w:r>
        <w:t xml:space="preserve">The Health Benefit Enrollment forms – SF 2809 and OPM 2809 are being revised to include language specific to the new PSHB program.  The revisions will not affect how these forms are currently used by employees and annuitants.  Annuitants who wish to cancel or suspend their health coverage will still be able to use the RI 79-9 as an abbreviated option to the OPM 2809. </w:t>
      </w:r>
    </w:p>
    <w:p w:rsidR="00196E04" w:rsidRPr="00196E04" w:rsidP="00196E04" w14:paraId="24D2910E" w14:textId="77777777">
      <w:pPr>
        <w:ind w:left="720"/>
        <w:rPr>
          <w:color w:val="000000" w:themeColor="text1"/>
        </w:rPr>
      </w:pPr>
      <w:r w:rsidRPr="00196E04">
        <w:rPr>
          <w:color w:val="000000" w:themeColor="text1"/>
        </w:rPr>
        <w:t>Finally, as part of the release of the new PSHB Program, OPM will be offering the use of a new online enrollment system. The information collected using the system will be identical to the paper and electronic PDF versions of the SF</w:t>
      </w:r>
      <w:r w:rsidR="00465D97">
        <w:rPr>
          <w:color w:val="000000" w:themeColor="text1"/>
        </w:rPr>
        <w:t xml:space="preserve"> </w:t>
      </w:r>
      <w:r w:rsidRPr="00196E04">
        <w:rPr>
          <w:color w:val="000000" w:themeColor="text1"/>
        </w:rPr>
        <w:t>2809 and OPM</w:t>
      </w:r>
      <w:r w:rsidR="00465D97">
        <w:rPr>
          <w:color w:val="000000" w:themeColor="text1"/>
        </w:rPr>
        <w:t xml:space="preserve"> </w:t>
      </w:r>
      <w:r w:rsidRPr="00196E04">
        <w:rPr>
          <w:color w:val="000000" w:themeColor="text1"/>
        </w:rPr>
        <w:t>2809 forms; however, users will be able to enter the information using a series of prompts that provide additional instructions and guidance.</w:t>
      </w:r>
    </w:p>
    <w:p w:rsidR="0082620A" w:rsidP="00125DE8" w14:paraId="3D139536" w14:textId="066356BF">
      <w:pPr>
        <w:ind w:left="720"/>
        <w:rPr>
          <w:color w:val="000000" w:themeColor="text1"/>
        </w:rPr>
      </w:pPr>
      <w:r w:rsidRPr="00125DE8">
        <w:rPr>
          <w:color w:val="000000" w:themeColor="text1"/>
        </w:rPr>
        <w:t xml:space="preserve">On </w:t>
      </w:r>
      <w:r w:rsidR="00B20A50">
        <w:rPr>
          <w:color w:val="000000" w:themeColor="text1"/>
        </w:rPr>
        <w:t>September</w:t>
      </w:r>
      <w:r w:rsidRPr="00125DE8">
        <w:rPr>
          <w:color w:val="000000" w:themeColor="text1"/>
        </w:rPr>
        <w:t xml:space="preserve"> </w:t>
      </w:r>
      <w:r w:rsidR="006144B1">
        <w:rPr>
          <w:color w:val="000000" w:themeColor="text1"/>
        </w:rPr>
        <w:t>24</w:t>
      </w:r>
      <w:r w:rsidRPr="00125DE8">
        <w:rPr>
          <w:color w:val="000000" w:themeColor="text1"/>
        </w:rPr>
        <w:t xml:space="preserve">, </w:t>
      </w:r>
      <w:r w:rsidR="00B20A50">
        <w:rPr>
          <w:color w:val="000000" w:themeColor="text1"/>
        </w:rPr>
        <w:t>2024</w:t>
      </w:r>
      <w:r w:rsidRPr="00125DE8">
        <w:rPr>
          <w:color w:val="000000" w:themeColor="text1"/>
        </w:rPr>
        <w:t xml:space="preserve">, a 30-Day Federal </w:t>
      </w:r>
      <w:r w:rsidRPr="008C7CEE">
        <w:rPr>
          <w:color w:val="000000" w:themeColor="text1"/>
        </w:rPr>
        <w:t xml:space="preserve">Register Notice was published at </w:t>
      </w:r>
      <w:r w:rsidRPr="008C7CEE" w:rsidR="007E2E05">
        <w:rPr>
          <w:color w:val="000000" w:themeColor="text1"/>
        </w:rPr>
        <w:t>89 FR 77899</w:t>
      </w:r>
      <w:r w:rsidRPr="008C7CEE">
        <w:rPr>
          <w:color w:val="000000" w:themeColor="text1"/>
        </w:rPr>
        <w:t xml:space="preserve">, requesting comments. </w:t>
      </w:r>
      <w:r w:rsidRPr="008C7CEE" w:rsidR="008C7CEE">
        <w:rPr>
          <w:color w:val="000000" w:themeColor="text1"/>
        </w:rPr>
        <w:t>No</w:t>
      </w:r>
      <w:r w:rsidRPr="008C7CEE">
        <w:rPr>
          <w:color w:val="000000" w:themeColor="text1"/>
        </w:rPr>
        <w:t xml:space="preserve"> comments were received.</w:t>
      </w:r>
    </w:p>
    <w:p w:rsidR="00125DE8" w:rsidRPr="00A273D2" w:rsidP="0082620A" w14:paraId="33500B44" w14:textId="77777777">
      <w:pPr>
        <w:ind w:left="720"/>
        <w:rPr>
          <w:color w:val="000000" w:themeColor="text1"/>
        </w:rPr>
      </w:pPr>
    </w:p>
    <w:bookmarkEnd w:id="1"/>
    <w:p w:rsidR="00164D2D" w:rsidRPr="00EC7055" w:rsidP="00164D2D" w14:paraId="20CCF098" w14:textId="77777777">
      <w:pPr>
        <w:numPr>
          <w:ilvl w:val="0"/>
          <w:numId w:val="1"/>
        </w:numPr>
        <w:rPr>
          <w:i/>
          <w:color w:val="000000" w:themeColor="text1"/>
          <w:szCs w:val="24"/>
          <w:highlight w:val="lightGray"/>
        </w:rPr>
      </w:pPr>
      <w:r w:rsidRPr="00EC7055">
        <w:rPr>
          <w:i/>
          <w:color w:val="000000" w:themeColor="text1"/>
          <w:szCs w:val="24"/>
          <w:highlight w:val="lightGray"/>
        </w:rPr>
        <w:t>Are payments or gifts given to the respondents?</w:t>
      </w:r>
    </w:p>
    <w:p w:rsidR="00B07A1E" w:rsidRPr="00CB2D0A" w:rsidP="00CA4064" w14:paraId="7136B63B" w14:textId="77777777">
      <w:pPr>
        <w:pStyle w:val="BodyTextIndent"/>
        <w:tabs>
          <w:tab w:val="clear" w:pos="720"/>
        </w:tabs>
        <w:jc w:val="left"/>
        <w:rPr>
          <w:sz w:val="22"/>
          <w:szCs w:val="22"/>
        </w:rPr>
      </w:pPr>
      <w:r w:rsidRPr="00CB2D0A">
        <w:rPr>
          <w:sz w:val="22"/>
          <w:szCs w:val="22"/>
        </w:rPr>
        <w:t xml:space="preserve">No </w:t>
      </w:r>
      <w:r w:rsidR="007200FC">
        <w:rPr>
          <w:sz w:val="22"/>
          <w:szCs w:val="22"/>
        </w:rPr>
        <w:t>gifts or payments of any kind have been provided to any individuals who are connected to this Information Collection Request (ICR)</w:t>
      </w:r>
      <w:r w:rsidRPr="00CB2D0A">
        <w:rPr>
          <w:sz w:val="22"/>
          <w:szCs w:val="22"/>
        </w:rPr>
        <w:t>.</w:t>
      </w:r>
    </w:p>
    <w:p w:rsidR="00CB2D0A" w:rsidP="00CA4064" w14:paraId="5AF9EC6B" w14:textId="77777777">
      <w:pPr>
        <w:pStyle w:val="BodyTextIndent"/>
        <w:tabs>
          <w:tab w:val="clear" w:pos="720"/>
        </w:tabs>
        <w:jc w:val="left"/>
      </w:pPr>
    </w:p>
    <w:p w:rsidR="00164D2D" w:rsidRPr="00EC7055" w:rsidP="00164D2D" w14:paraId="40EFAFCB" w14:textId="77777777">
      <w:pPr>
        <w:numPr>
          <w:ilvl w:val="0"/>
          <w:numId w:val="1"/>
        </w:numPr>
        <w:rPr>
          <w:i/>
          <w:color w:val="000000" w:themeColor="text1"/>
          <w:szCs w:val="24"/>
          <w:highlight w:val="lightGray"/>
        </w:rPr>
      </w:pPr>
      <w:r w:rsidRPr="00EC7055">
        <w:rPr>
          <w:i/>
          <w:color w:val="000000" w:themeColor="text1"/>
          <w:szCs w:val="24"/>
          <w:highlight w:val="lightGray"/>
        </w:rPr>
        <w:t xml:space="preserve">Describe </w:t>
      </w:r>
      <w:r w:rsidR="00CF3959">
        <w:rPr>
          <w:i/>
          <w:color w:val="000000" w:themeColor="text1"/>
          <w:szCs w:val="24"/>
          <w:highlight w:val="lightGray"/>
        </w:rPr>
        <w:t xml:space="preserve">any </w:t>
      </w:r>
      <w:r w:rsidRPr="00EC7055">
        <w:rPr>
          <w:i/>
          <w:color w:val="000000" w:themeColor="text1"/>
          <w:szCs w:val="24"/>
          <w:highlight w:val="lightGray"/>
        </w:rPr>
        <w:t>assurances of privacy/confidentiality</w:t>
      </w:r>
      <w:r w:rsidRPr="00EC7055" w:rsidR="004975F1">
        <w:rPr>
          <w:i/>
          <w:color w:val="000000" w:themeColor="text1"/>
          <w:szCs w:val="24"/>
          <w:highlight w:val="lightGray"/>
        </w:rPr>
        <w:t>. Cite specific privacy laws</w:t>
      </w:r>
      <w:r w:rsidR="00CF3959">
        <w:rPr>
          <w:i/>
          <w:color w:val="000000" w:themeColor="text1"/>
          <w:szCs w:val="24"/>
          <w:highlight w:val="lightGray"/>
        </w:rPr>
        <w:t>, relevant OPM regulations,</w:t>
      </w:r>
      <w:r w:rsidRPr="00EC7055" w:rsidR="004975F1">
        <w:rPr>
          <w:i/>
          <w:color w:val="000000" w:themeColor="text1"/>
          <w:szCs w:val="24"/>
          <w:highlight w:val="lightGray"/>
        </w:rPr>
        <w:t xml:space="preserve"> and SORNs</w:t>
      </w:r>
      <w:r w:rsidRPr="00EC7055" w:rsidR="0098184E">
        <w:rPr>
          <w:i/>
          <w:color w:val="000000" w:themeColor="text1"/>
          <w:szCs w:val="24"/>
          <w:highlight w:val="lightGray"/>
        </w:rPr>
        <w:t>.</w:t>
      </w:r>
    </w:p>
    <w:p w:rsidR="00721D56" w:rsidRPr="00992520" w:rsidP="00992520" w14:paraId="4637E04D" w14:textId="77777777">
      <w:pPr>
        <w:pStyle w:val="ListParagraph"/>
        <w:rPr>
          <w:rFonts w:ascii="Times New Roman" w:hAnsi="Times New Roman"/>
          <w:sz w:val="22"/>
          <w:szCs w:val="22"/>
        </w:rPr>
      </w:pPr>
      <w:r w:rsidRPr="008C37F1">
        <w:rPr>
          <w:rFonts w:ascii="Times New Roman" w:hAnsi="Times New Roman"/>
          <w:sz w:val="22"/>
          <w:szCs w:val="22"/>
        </w:rPr>
        <w:t xml:space="preserve">This information collection is protected by the Privacy Act of 1974 and OPM regulations </w:t>
      </w:r>
      <w:r>
        <w:rPr>
          <w:rFonts w:ascii="Times New Roman" w:hAnsi="Times New Roman"/>
          <w:sz w:val="22"/>
          <w:szCs w:val="22"/>
        </w:rPr>
        <w:br/>
      </w:r>
      <w:r w:rsidRPr="008C37F1">
        <w:rPr>
          <w:rFonts w:ascii="Times New Roman" w:hAnsi="Times New Roman"/>
          <w:sz w:val="22"/>
          <w:szCs w:val="22"/>
        </w:rPr>
        <w:t xml:space="preserve">(5 CFR 831.106). The routine uses of disclosure appear in the </w:t>
      </w:r>
      <w:r w:rsidRPr="008C37F1">
        <w:rPr>
          <w:rFonts w:ascii="Times New Roman" w:hAnsi="Times New Roman"/>
          <w:i/>
          <w:sz w:val="22"/>
          <w:szCs w:val="22"/>
        </w:rPr>
        <w:t>Federal Register</w:t>
      </w:r>
      <w:r w:rsidRPr="008C37F1">
        <w:rPr>
          <w:rFonts w:ascii="Times New Roman" w:hAnsi="Times New Roman"/>
          <w:sz w:val="22"/>
          <w:szCs w:val="22"/>
        </w:rPr>
        <w:t xml:space="preserve"> for OPM/Central-</w:t>
      </w:r>
      <w:r w:rsidR="00917080">
        <w:rPr>
          <w:rFonts w:ascii="Times New Roman" w:hAnsi="Times New Roman"/>
          <w:sz w:val="22"/>
          <w:szCs w:val="22"/>
        </w:rPr>
        <w:t>23</w:t>
      </w:r>
      <w:r w:rsidRPr="008C37F1">
        <w:rPr>
          <w:rFonts w:ascii="Times New Roman" w:hAnsi="Times New Roman"/>
          <w:sz w:val="22"/>
          <w:szCs w:val="22"/>
        </w:rPr>
        <w:t xml:space="preserve"> (</w:t>
      </w:r>
      <w:r w:rsidRPr="000456B5" w:rsidR="000456B5">
        <w:rPr>
          <w:rFonts w:ascii="Times New Roman" w:hAnsi="Times New Roman"/>
          <w:sz w:val="22"/>
          <w:szCs w:val="22"/>
        </w:rPr>
        <w:t>89 FR 72902</w:t>
      </w:r>
      <w:r w:rsidRPr="008C37F1">
        <w:rPr>
          <w:rFonts w:ascii="Times New Roman" w:hAnsi="Times New Roman"/>
          <w:sz w:val="22"/>
          <w:szCs w:val="22"/>
        </w:rPr>
        <w:t xml:space="preserve">, </w:t>
      </w:r>
      <w:r w:rsidR="000456B5">
        <w:rPr>
          <w:rFonts w:ascii="Times New Roman" w:hAnsi="Times New Roman"/>
          <w:sz w:val="22"/>
          <w:szCs w:val="22"/>
        </w:rPr>
        <w:t xml:space="preserve">update </w:t>
      </w:r>
      <w:r w:rsidRPr="008C37F1">
        <w:rPr>
          <w:rFonts w:ascii="Times New Roman" w:hAnsi="Times New Roman"/>
          <w:sz w:val="22"/>
          <w:szCs w:val="22"/>
        </w:rPr>
        <w:t xml:space="preserve">published </w:t>
      </w:r>
      <w:r w:rsidR="000456B5">
        <w:rPr>
          <w:rFonts w:ascii="Times New Roman" w:hAnsi="Times New Roman"/>
          <w:sz w:val="22"/>
          <w:szCs w:val="22"/>
        </w:rPr>
        <w:t>September 6, 2024</w:t>
      </w:r>
      <w:r w:rsidRPr="008C37F1">
        <w:rPr>
          <w:rFonts w:ascii="Times New Roman" w:hAnsi="Times New Roman"/>
          <w:sz w:val="22"/>
          <w:szCs w:val="22"/>
        </w:rPr>
        <w:t>).</w:t>
      </w:r>
      <w:r>
        <w:rPr>
          <w:rFonts w:ascii="Times New Roman" w:hAnsi="Times New Roman"/>
          <w:sz w:val="22"/>
          <w:szCs w:val="22"/>
        </w:rPr>
        <w:t xml:space="preserve"> </w:t>
      </w:r>
    </w:p>
    <w:p w:rsidR="008C37F1" w:rsidP="00B07A1E" w14:paraId="68A4D6D7" w14:textId="77777777">
      <w:pPr>
        <w:pStyle w:val="ListParagraph"/>
      </w:pPr>
    </w:p>
    <w:p w:rsidR="00164D2D" w:rsidRPr="000E7D65" w:rsidP="00C87B95" w14:paraId="16D2F363" w14:textId="77777777">
      <w:pPr>
        <w:pStyle w:val="BodyTextIndent"/>
        <w:numPr>
          <w:ilvl w:val="0"/>
          <w:numId w:val="1"/>
        </w:numPr>
        <w:jc w:val="left"/>
        <w:rPr>
          <w:highlight w:val="lightGray"/>
        </w:rPr>
      </w:pPr>
      <w:r w:rsidRPr="000E7D65">
        <w:rPr>
          <w:i/>
          <w:color w:val="000000" w:themeColor="text1"/>
          <w:highlight w:val="lightGray"/>
        </w:rPr>
        <w:t>Are any questions of a sensitive nature asked</w:t>
      </w:r>
      <w:r w:rsidRPr="000E7D65" w:rsidR="003A0B68">
        <w:rPr>
          <w:i/>
          <w:color w:val="000000" w:themeColor="text1"/>
          <w:highlight w:val="lightGray"/>
        </w:rPr>
        <w:t>, such as sexual behavior and attitudes, religious beliefs, and other matters that are commonly considered private</w:t>
      </w:r>
      <w:r w:rsidRPr="000E7D65">
        <w:rPr>
          <w:i/>
          <w:color w:val="000000" w:themeColor="text1"/>
          <w:highlight w:val="lightGray"/>
        </w:rPr>
        <w:t>?</w:t>
      </w:r>
      <w:r w:rsidRPr="000E7D65" w:rsidR="00D817B3">
        <w:rPr>
          <w:i/>
          <w:highlight w:val="lightGray"/>
        </w:rPr>
        <w:t xml:space="preserve"> </w:t>
      </w:r>
      <w:r w:rsidRPr="000E7D65" w:rsidR="002C288B">
        <w:rPr>
          <w:i/>
          <w:highlight w:val="lightGray"/>
        </w:rPr>
        <w:t>If yes, p</w:t>
      </w:r>
      <w:r w:rsidRPr="000E7D65" w:rsidR="00D817B3">
        <w:rPr>
          <w:i/>
          <w:color w:val="000000" w:themeColor="text1"/>
          <w:highlight w:val="lightGray"/>
        </w:rPr>
        <w:t>rovide justification.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5BF2" w:rsidP="009117EC" w14:paraId="35CFEB6A" w14:textId="77777777">
      <w:pPr>
        <w:pStyle w:val="BodyTextIndent"/>
        <w:tabs>
          <w:tab w:val="clear" w:pos="720"/>
        </w:tabs>
        <w:jc w:val="left"/>
        <w:rPr>
          <w:sz w:val="22"/>
          <w:szCs w:val="22"/>
        </w:rPr>
      </w:pPr>
      <w:r w:rsidRPr="002F1199">
        <w:rPr>
          <w:sz w:val="22"/>
          <w:szCs w:val="22"/>
        </w:rPr>
        <w:t>This information collection does not include questions of a sensitive nature, such as sexual behavior and attitudes, religious beliefs, and other matters that are commonly considered private.</w:t>
      </w:r>
    </w:p>
    <w:p w:rsidR="008C37F1" w:rsidP="00164D2D" w14:paraId="0487222B" w14:textId="77777777">
      <w:pPr>
        <w:pStyle w:val="BodyTextIndent"/>
        <w:tabs>
          <w:tab w:val="clear" w:pos="720"/>
        </w:tabs>
        <w:jc w:val="left"/>
      </w:pPr>
    </w:p>
    <w:p w:rsidR="00164D2D" w:rsidRPr="0099287E" w:rsidP="0099287E" w14:paraId="4F368B3C" w14:textId="77777777">
      <w:pPr>
        <w:numPr>
          <w:ilvl w:val="0"/>
          <w:numId w:val="1"/>
        </w:numPr>
        <w:rPr>
          <w:iCs/>
          <w:color w:val="000000" w:themeColor="text1"/>
          <w:sz w:val="22"/>
          <w:szCs w:val="22"/>
          <w:highlight w:val="lightGray"/>
        </w:rPr>
      </w:pPr>
      <w:r w:rsidRPr="000E7D65">
        <w:rPr>
          <w:i/>
          <w:color w:val="000000" w:themeColor="text1"/>
          <w:szCs w:val="24"/>
          <w:highlight w:val="lightGray"/>
        </w:rPr>
        <w:t>Describe the hour time burden and the hour cost burden on the respondent needed to complete this collection.</w:t>
      </w:r>
      <w:r w:rsidRPr="000E7D65" w:rsidR="00F07772">
        <w:rPr>
          <w:i/>
          <w:color w:val="000000" w:themeColor="text1"/>
          <w:szCs w:val="24"/>
          <w:highlight w:val="lightGray"/>
        </w:rPr>
        <w:t xml:space="preserve"> Please specify </w:t>
      </w:r>
      <w:r w:rsidRPr="000E7D65" w:rsidR="0019458A">
        <w:rPr>
          <w:i/>
          <w:color w:val="000000" w:themeColor="text1"/>
          <w:szCs w:val="24"/>
          <w:highlight w:val="lightGray"/>
        </w:rPr>
        <w:t xml:space="preserve">hourly salary for </w:t>
      </w:r>
      <w:r w:rsidRPr="000E7D65" w:rsidR="009618D0">
        <w:rPr>
          <w:i/>
          <w:color w:val="000000" w:themeColor="text1"/>
          <w:szCs w:val="24"/>
          <w:highlight w:val="lightGray"/>
        </w:rPr>
        <w:t>your</w:t>
      </w:r>
      <w:r w:rsidRPr="000E7D65" w:rsidR="0019458A">
        <w:rPr>
          <w:i/>
          <w:color w:val="000000" w:themeColor="text1"/>
          <w:szCs w:val="24"/>
          <w:highlight w:val="lightGray"/>
        </w:rPr>
        <w:t xml:space="preserve"> respondent audience </w:t>
      </w:r>
      <w:r w:rsidRPr="000E7D65" w:rsidR="00497226">
        <w:rPr>
          <w:i/>
          <w:color w:val="000000" w:themeColor="text1"/>
          <w:szCs w:val="24"/>
          <w:highlight w:val="lightGray"/>
        </w:rPr>
        <w:t>by r</w:t>
      </w:r>
      <w:r w:rsidRPr="000E7D65" w:rsidR="007418C9">
        <w:rPr>
          <w:i/>
          <w:color w:val="000000" w:themeColor="text1"/>
          <w:szCs w:val="24"/>
          <w:highlight w:val="lightGray"/>
        </w:rPr>
        <w:t>eferenc</w:t>
      </w:r>
      <w:r w:rsidRPr="000E7D65" w:rsidR="00497226">
        <w:rPr>
          <w:i/>
          <w:color w:val="000000" w:themeColor="text1"/>
          <w:szCs w:val="24"/>
          <w:highlight w:val="lightGray"/>
        </w:rPr>
        <w:t>ing</w:t>
      </w:r>
      <w:r w:rsidRPr="000E7D65" w:rsidR="007418C9">
        <w:rPr>
          <w:i/>
          <w:color w:val="000000" w:themeColor="text1"/>
          <w:szCs w:val="24"/>
          <w:highlight w:val="lightGray"/>
        </w:rPr>
        <w:t xml:space="preserve"> </w:t>
      </w:r>
      <w:hyperlink r:id="rId9" w:history="1">
        <w:r w:rsidRPr="000E7D65" w:rsidR="007418C9">
          <w:rPr>
            <w:rStyle w:val="Hyperlink"/>
            <w:i/>
            <w:szCs w:val="24"/>
            <w:highlight w:val="lightGray"/>
          </w:rPr>
          <w:t xml:space="preserve">Bureau of Labor Statistics Occupational </w:t>
        </w:r>
        <w:r w:rsidRPr="000E7D65" w:rsidR="00CD599F">
          <w:rPr>
            <w:rStyle w:val="Hyperlink"/>
            <w:i/>
            <w:szCs w:val="24"/>
            <w:highlight w:val="lightGray"/>
          </w:rPr>
          <w:t>Employment and Wage Estimates</w:t>
        </w:r>
      </w:hyperlink>
      <w:r w:rsidRPr="000E7D65" w:rsidR="009618D0">
        <w:rPr>
          <w:i/>
          <w:color w:val="000000" w:themeColor="text1"/>
          <w:szCs w:val="24"/>
          <w:highlight w:val="lightGray"/>
        </w:rPr>
        <w:t xml:space="preserve"> or other alternative wage site</w:t>
      </w:r>
      <w:r w:rsidRPr="000E7D65" w:rsidR="00CD599F">
        <w:rPr>
          <w:i/>
          <w:color w:val="000000" w:themeColor="text1"/>
          <w:szCs w:val="24"/>
          <w:highlight w:val="lightGray"/>
        </w:rPr>
        <w:t>, when applicable.</w:t>
      </w:r>
      <w:r w:rsidR="00721D56">
        <w:rPr>
          <w:iCs/>
          <w:szCs w:val="24"/>
          <w:highlight w:val="lightGray"/>
        </w:rPr>
        <w:t xml:space="preserve"> </w:t>
      </w:r>
      <w:r w:rsidRPr="0099287E" w:rsidR="00703EFA">
        <w:rPr>
          <w:sz w:val="22"/>
          <w:szCs w:val="22"/>
        </w:rPr>
        <w:br/>
      </w:r>
      <w:r w:rsidR="0099287E">
        <w:rPr>
          <w:bCs/>
          <w:sz w:val="22"/>
          <w:szCs w:val="22"/>
        </w:rPr>
        <w:t>There is a change in the respondent burden due to additional instructional language and data collection within the revised forms and updated average hourly wage rate</w:t>
      </w:r>
      <w:r w:rsidR="008639C9">
        <w:rPr>
          <w:bCs/>
          <w:sz w:val="22"/>
          <w:szCs w:val="22"/>
        </w:rPr>
        <w:t xml:space="preserve"> based on the </w:t>
      </w:r>
      <w:hyperlink r:id="rId9" w:anchor="00-0000" w:history="1">
        <w:r w:rsidRPr="0031314A" w:rsidR="008639C9">
          <w:rPr>
            <w:rStyle w:val="Hyperlink"/>
            <w:bCs/>
            <w:sz w:val="22"/>
            <w:szCs w:val="22"/>
          </w:rPr>
          <w:t xml:space="preserve">May 2023 </w:t>
        </w:r>
        <w:r w:rsidRPr="0031314A" w:rsidR="0031314A">
          <w:rPr>
            <w:rStyle w:val="Hyperlink"/>
            <w:bCs/>
            <w:sz w:val="22"/>
            <w:szCs w:val="22"/>
          </w:rPr>
          <w:t>National Occupational Employment and Wage Estimates</w:t>
        </w:r>
      </w:hyperlink>
      <w:r w:rsidR="0031314A">
        <w:rPr>
          <w:sz w:val="22"/>
          <w:szCs w:val="22"/>
        </w:rPr>
        <w:t xml:space="preserve"> from</w:t>
      </w:r>
      <w:r w:rsidR="001B4188">
        <w:rPr>
          <w:bCs/>
          <w:sz w:val="22"/>
          <w:szCs w:val="22"/>
        </w:rPr>
        <w:t xml:space="preserve"> th</w:t>
      </w:r>
      <w:r w:rsidR="00C13E81">
        <w:rPr>
          <w:bCs/>
          <w:sz w:val="22"/>
          <w:szCs w:val="22"/>
        </w:rPr>
        <w:t>e Department of Labor’s Bureau of Labor Statistics</w:t>
      </w:r>
      <w:r w:rsidR="0099287E">
        <w:rPr>
          <w:bCs/>
          <w:sz w:val="22"/>
          <w:szCs w:val="22"/>
        </w:rPr>
        <w:t>.</w:t>
      </w:r>
    </w:p>
    <w:tbl>
      <w:tblPr>
        <w:tblStyle w:val="TableGrid"/>
        <w:tblW w:w="0" w:type="auto"/>
        <w:tblInd w:w="720" w:type="dxa"/>
        <w:tblLayout w:type="fixed"/>
        <w:tblLook w:val="04A0"/>
      </w:tblPr>
      <w:tblGrid>
        <w:gridCol w:w="985"/>
        <w:gridCol w:w="3301"/>
        <w:gridCol w:w="872"/>
        <w:gridCol w:w="805"/>
        <w:gridCol w:w="2389"/>
        <w:gridCol w:w="1718"/>
      </w:tblGrid>
      <w:tr w14:paraId="1B3A6A27" w14:textId="77777777" w:rsidTr="00C409F1">
        <w:tblPrEx>
          <w:tblW w:w="0" w:type="auto"/>
          <w:tblInd w:w="720" w:type="dxa"/>
          <w:tblLayout w:type="fixed"/>
          <w:tblLook w:val="04A0"/>
        </w:tblPrEx>
        <w:tc>
          <w:tcPr>
            <w:tcW w:w="985" w:type="dxa"/>
            <w:shd w:val="clear" w:color="auto" w:fill="BFBFBF" w:themeFill="background1" w:themeFillShade="BF"/>
          </w:tcPr>
          <w:p w:rsidR="00C409F1" w:rsidRPr="001B0CE3" w:rsidP="00CA4064" w14:paraId="7A885ECD" w14:textId="77777777">
            <w:pPr>
              <w:pStyle w:val="BodyTextIndent"/>
              <w:tabs>
                <w:tab w:val="clear" w:pos="720"/>
              </w:tabs>
              <w:ind w:left="0"/>
              <w:jc w:val="left"/>
              <w:rPr>
                <w:rFonts w:ascii="Arial" w:hAnsi="Arial" w:cs="Arial"/>
                <w:b/>
                <w:sz w:val="14"/>
                <w:szCs w:val="14"/>
              </w:rPr>
            </w:pPr>
            <w:r w:rsidRPr="001B0CE3">
              <w:rPr>
                <w:rFonts w:ascii="Arial" w:hAnsi="Arial" w:cs="Arial"/>
                <w:b/>
                <w:sz w:val="14"/>
                <w:szCs w:val="14"/>
              </w:rPr>
              <w:t>Form</w:t>
            </w:r>
            <w:r w:rsidRPr="001B0CE3">
              <w:rPr>
                <w:rFonts w:ascii="Arial" w:hAnsi="Arial" w:cs="Arial"/>
                <w:b/>
                <w:sz w:val="14"/>
                <w:szCs w:val="14"/>
              </w:rPr>
              <w:br/>
              <w:t>Number</w:t>
            </w:r>
          </w:p>
        </w:tc>
        <w:tc>
          <w:tcPr>
            <w:tcW w:w="3301" w:type="dxa"/>
            <w:shd w:val="clear" w:color="auto" w:fill="BFBFBF" w:themeFill="background1" w:themeFillShade="BF"/>
          </w:tcPr>
          <w:p w:rsidR="00C409F1" w:rsidRPr="001B0CE3" w:rsidP="00CA4064" w14:paraId="5CA9CECA" w14:textId="77777777">
            <w:pPr>
              <w:pStyle w:val="BodyTextIndent"/>
              <w:tabs>
                <w:tab w:val="clear" w:pos="720"/>
              </w:tabs>
              <w:ind w:left="0"/>
              <w:jc w:val="left"/>
              <w:rPr>
                <w:rFonts w:ascii="Arial" w:hAnsi="Arial" w:cs="Arial"/>
                <w:b/>
                <w:sz w:val="14"/>
                <w:szCs w:val="14"/>
              </w:rPr>
            </w:pPr>
            <w:r w:rsidRPr="001B0CE3">
              <w:rPr>
                <w:rFonts w:ascii="Arial" w:hAnsi="Arial" w:cs="Arial"/>
                <w:b/>
                <w:sz w:val="14"/>
                <w:szCs w:val="14"/>
              </w:rPr>
              <w:t>No. of Respondents</w:t>
            </w:r>
          </w:p>
        </w:tc>
        <w:tc>
          <w:tcPr>
            <w:tcW w:w="872" w:type="dxa"/>
            <w:shd w:val="clear" w:color="auto" w:fill="BFBFBF" w:themeFill="background1" w:themeFillShade="BF"/>
          </w:tcPr>
          <w:p w:rsidR="00C409F1" w:rsidRPr="001B0CE3" w:rsidP="00CA4064" w14:paraId="796F0002" w14:textId="77777777">
            <w:pPr>
              <w:pStyle w:val="BodyTextIndent"/>
              <w:tabs>
                <w:tab w:val="clear" w:pos="720"/>
              </w:tabs>
              <w:ind w:left="0"/>
              <w:jc w:val="left"/>
              <w:rPr>
                <w:rFonts w:ascii="Arial" w:hAnsi="Arial" w:cs="Arial"/>
                <w:b/>
                <w:sz w:val="14"/>
                <w:szCs w:val="14"/>
              </w:rPr>
            </w:pPr>
            <w:r w:rsidRPr="001B0CE3">
              <w:rPr>
                <w:rFonts w:ascii="Arial" w:hAnsi="Arial" w:cs="Arial"/>
                <w:b/>
                <w:sz w:val="14"/>
                <w:szCs w:val="14"/>
              </w:rPr>
              <w:t>Total No. of Responses</w:t>
            </w:r>
          </w:p>
        </w:tc>
        <w:tc>
          <w:tcPr>
            <w:tcW w:w="805" w:type="dxa"/>
            <w:shd w:val="clear" w:color="auto" w:fill="BFBFBF" w:themeFill="background1" w:themeFillShade="BF"/>
          </w:tcPr>
          <w:p w:rsidR="00C409F1" w:rsidRPr="001B0CE3" w:rsidP="00CA4064" w14:paraId="32604AC2" w14:textId="77777777">
            <w:pPr>
              <w:pStyle w:val="BodyTextIndent"/>
              <w:tabs>
                <w:tab w:val="clear" w:pos="720"/>
              </w:tabs>
              <w:ind w:left="0"/>
              <w:jc w:val="left"/>
              <w:rPr>
                <w:rFonts w:ascii="Arial" w:hAnsi="Arial" w:cs="Arial"/>
                <w:b/>
                <w:sz w:val="14"/>
                <w:szCs w:val="14"/>
              </w:rPr>
            </w:pPr>
            <w:r w:rsidRPr="001B0CE3">
              <w:rPr>
                <w:rFonts w:ascii="Arial" w:hAnsi="Arial" w:cs="Arial"/>
                <w:b/>
                <w:sz w:val="14"/>
                <w:szCs w:val="14"/>
              </w:rPr>
              <w:t>Average Burden per Response (in hours)</w:t>
            </w:r>
          </w:p>
        </w:tc>
        <w:tc>
          <w:tcPr>
            <w:tcW w:w="2389" w:type="dxa"/>
            <w:shd w:val="clear" w:color="auto" w:fill="BFBFBF" w:themeFill="background1" w:themeFillShade="BF"/>
          </w:tcPr>
          <w:p w:rsidR="00C409F1" w:rsidRPr="001B0CE3" w:rsidP="00CA4064" w14:paraId="3320BC09" w14:textId="77777777">
            <w:pPr>
              <w:pStyle w:val="BodyTextIndent"/>
              <w:tabs>
                <w:tab w:val="clear" w:pos="720"/>
              </w:tabs>
              <w:ind w:left="0"/>
              <w:jc w:val="left"/>
              <w:rPr>
                <w:rFonts w:ascii="Arial" w:hAnsi="Arial" w:cs="Arial"/>
                <w:b/>
                <w:sz w:val="14"/>
                <w:szCs w:val="14"/>
              </w:rPr>
            </w:pPr>
            <w:r w:rsidRPr="001B0CE3">
              <w:rPr>
                <w:rFonts w:ascii="Arial" w:hAnsi="Arial" w:cs="Arial"/>
                <w:b/>
                <w:sz w:val="14"/>
                <w:szCs w:val="14"/>
              </w:rPr>
              <w:t>Hourly Wage Rate</w:t>
            </w:r>
          </w:p>
        </w:tc>
        <w:tc>
          <w:tcPr>
            <w:tcW w:w="1718" w:type="dxa"/>
            <w:shd w:val="clear" w:color="auto" w:fill="BFBFBF" w:themeFill="background1" w:themeFillShade="BF"/>
          </w:tcPr>
          <w:p w:rsidR="00C409F1" w:rsidRPr="001B0CE3" w:rsidP="00CA4064" w14:paraId="09DA6AA8" w14:textId="77777777">
            <w:pPr>
              <w:pStyle w:val="BodyTextIndent"/>
              <w:tabs>
                <w:tab w:val="clear" w:pos="720"/>
              </w:tabs>
              <w:ind w:left="0"/>
              <w:jc w:val="left"/>
              <w:rPr>
                <w:rFonts w:ascii="Arial" w:hAnsi="Arial" w:cs="Arial"/>
                <w:b/>
                <w:sz w:val="14"/>
                <w:szCs w:val="14"/>
              </w:rPr>
            </w:pPr>
            <w:r w:rsidRPr="001B0CE3">
              <w:rPr>
                <w:rFonts w:ascii="Arial" w:hAnsi="Arial" w:cs="Arial"/>
                <w:b/>
                <w:sz w:val="14"/>
                <w:szCs w:val="14"/>
              </w:rPr>
              <w:t>Total Respondent Cost</w:t>
            </w:r>
          </w:p>
        </w:tc>
      </w:tr>
      <w:tr w14:paraId="155F463B" w14:textId="77777777" w:rsidTr="00C409F1">
        <w:tblPrEx>
          <w:tblW w:w="0" w:type="auto"/>
          <w:tblInd w:w="720" w:type="dxa"/>
          <w:tblLayout w:type="fixed"/>
          <w:tblLook w:val="04A0"/>
        </w:tblPrEx>
        <w:tc>
          <w:tcPr>
            <w:tcW w:w="985" w:type="dxa"/>
          </w:tcPr>
          <w:p w:rsidR="00C409F1" w:rsidRPr="00575946" w:rsidP="00CA4064" w14:paraId="2B0719B5" w14:textId="77777777">
            <w:pPr>
              <w:pStyle w:val="BodyTextIndent"/>
              <w:tabs>
                <w:tab w:val="clear" w:pos="720"/>
              </w:tabs>
              <w:ind w:left="0"/>
              <w:jc w:val="left"/>
              <w:rPr>
                <w:bCs/>
                <w:sz w:val="18"/>
                <w:szCs w:val="18"/>
              </w:rPr>
            </w:pPr>
            <w:r>
              <w:rPr>
                <w:bCs/>
                <w:sz w:val="18"/>
                <w:szCs w:val="18"/>
              </w:rPr>
              <w:t>SF 2809</w:t>
            </w:r>
          </w:p>
        </w:tc>
        <w:tc>
          <w:tcPr>
            <w:tcW w:w="3301" w:type="dxa"/>
          </w:tcPr>
          <w:p w:rsidR="00C409F1" w:rsidRPr="00575946" w:rsidP="001B0CE3" w14:paraId="4A720FCB" w14:textId="77777777">
            <w:pPr>
              <w:pStyle w:val="BodyTextIndent"/>
              <w:tabs>
                <w:tab w:val="clear" w:pos="720"/>
              </w:tabs>
              <w:ind w:left="0"/>
              <w:jc w:val="right"/>
              <w:rPr>
                <w:bCs/>
                <w:sz w:val="18"/>
                <w:szCs w:val="18"/>
              </w:rPr>
            </w:pPr>
            <w:r>
              <w:rPr>
                <w:bCs/>
                <w:sz w:val="18"/>
                <w:szCs w:val="18"/>
              </w:rPr>
              <w:t>18,</w:t>
            </w:r>
            <w:r w:rsidR="007B3115">
              <w:rPr>
                <w:bCs/>
                <w:sz w:val="18"/>
                <w:szCs w:val="18"/>
              </w:rPr>
              <w:t>0</w:t>
            </w:r>
            <w:r>
              <w:rPr>
                <w:bCs/>
                <w:sz w:val="18"/>
                <w:szCs w:val="18"/>
              </w:rPr>
              <w:t>00</w:t>
            </w:r>
          </w:p>
        </w:tc>
        <w:tc>
          <w:tcPr>
            <w:tcW w:w="872" w:type="dxa"/>
          </w:tcPr>
          <w:p w:rsidR="00C409F1" w:rsidRPr="00575946" w:rsidP="001B0CE3" w14:paraId="14D4ACD3" w14:textId="77777777">
            <w:pPr>
              <w:pStyle w:val="BodyTextIndent"/>
              <w:tabs>
                <w:tab w:val="clear" w:pos="720"/>
              </w:tabs>
              <w:ind w:left="0"/>
              <w:jc w:val="right"/>
              <w:rPr>
                <w:bCs/>
                <w:sz w:val="18"/>
                <w:szCs w:val="18"/>
              </w:rPr>
            </w:pPr>
            <w:r>
              <w:rPr>
                <w:bCs/>
                <w:sz w:val="18"/>
                <w:szCs w:val="18"/>
              </w:rPr>
              <w:t>18,</w:t>
            </w:r>
            <w:r w:rsidR="00C26BC0">
              <w:rPr>
                <w:bCs/>
                <w:sz w:val="18"/>
                <w:szCs w:val="18"/>
              </w:rPr>
              <w:t>0</w:t>
            </w:r>
            <w:r>
              <w:rPr>
                <w:bCs/>
                <w:sz w:val="18"/>
                <w:szCs w:val="18"/>
              </w:rPr>
              <w:t>00</w:t>
            </w:r>
          </w:p>
        </w:tc>
        <w:tc>
          <w:tcPr>
            <w:tcW w:w="805" w:type="dxa"/>
          </w:tcPr>
          <w:p w:rsidR="00C409F1" w:rsidRPr="00575946" w:rsidP="006B74D0" w14:paraId="3DF6D878" w14:textId="77777777">
            <w:pPr>
              <w:pStyle w:val="BodyTextIndent"/>
              <w:tabs>
                <w:tab w:val="clear" w:pos="720"/>
              </w:tabs>
              <w:ind w:left="0"/>
              <w:jc w:val="center"/>
              <w:rPr>
                <w:bCs/>
                <w:sz w:val="18"/>
                <w:szCs w:val="18"/>
              </w:rPr>
            </w:pPr>
            <w:r>
              <w:rPr>
                <w:bCs/>
                <w:sz w:val="18"/>
                <w:szCs w:val="18"/>
              </w:rPr>
              <w:t>0.</w:t>
            </w:r>
            <w:r w:rsidR="00835754">
              <w:rPr>
                <w:bCs/>
                <w:sz w:val="18"/>
                <w:szCs w:val="18"/>
              </w:rPr>
              <w:t>50</w:t>
            </w:r>
            <w:r w:rsidRPr="00575946">
              <w:rPr>
                <w:bCs/>
                <w:sz w:val="18"/>
                <w:szCs w:val="18"/>
              </w:rPr>
              <w:t xml:space="preserve"> hours</w:t>
            </w:r>
          </w:p>
        </w:tc>
        <w:tc>
          <w:tcPr>
            <w:tcW w:w="2389" w:type="dxa"/>
          </w:tcPr>
          <w:p w:rsidR="00C409F1" w:rsidRPr="00575946" w:rsidP="001B0CE3" w14:paraId="41DB47D0" w14:textId="77777777">
            <w:pPr>
              <w:pStyle w:val="BodyTextIndent"/>
              <w:tabs>
                <w:tab w:val="clear" w:pos="720"/>
              </w:tabs>
              <w:ind w:left="0"/>
              <w:jc w:val="right"/>
              <w:rPr>
                <w:bCs/>
                <w:sz w:val="18"/>
                <w:szCs w:val="18"/>
              </w:rPr>
            </w:pPr>
            <w:r>
              <w:rPr>
                <w:bCs/>
                <w:sz w:val="18"/>
                <w:szCs w:val="18"/>
              </w:rPr>
              <w:t>$23.11</w:t>
            </w:r>
          </w:p>
        </w:tc>
        <w:tc>
          <w:tcPr>
            <w:tcW w:w="1718" w:type="dxa"/>
          </w:tcPr>
          <w:p w:rsidR="00C409F1" w:rsidRPr="00575946" w:rsidP="001B0CE3" w14:paraId="145ED6B3" w14:textId="77777777">
            <w:pPr>
              <w:pStyle w:val="BodyTextIndent"/>
              <w:tabs>
                <w:tab w:val="clear" w:pos="720"/>
              </w:tabs>
              <w:ind w:left="0"/>
              <w:jc w:val="right"/>
              <w:rPr>
                <w:bCs/>
                <w:sz w:val="18"/>
                <w:szCs w:val="18"/>
              </w:rPr>
            </w:pPr>
            <w:r w:rsidRPr="006B74D0">
              <w:rPr>
                <w:bCs/>
                <w:sz w:val="18"/>
                <w:szCs w:val="18"/>
              </w:rPr>
              <w:t>$</w:t>
            </w:r>
            <w:r w:rsidR="0039524D">
              <w:rPr>
                <w:bCs/>
                <w:sz w:val="18"/>
                <w:szCs w:val="18"/>
              </w:rPr>
              <w:t>207,990</w:t>
            </w:r>
          </w:p>
        </w:tc>
      </w:tr>
      <w:tr w14:paraId="0B97BC5D" w14:textId="77777777" w:rsidTr="00C409F1">
        <w:tblPrEx>
          <w:tblW w:w="0" w:type="auto"/>
          <w:tblInd w:w="720" w:type="dxa"/>
          <w:tblLayout w:type="fixed"/>
          <w:tblLook w:val="04A0"/>
        </w:tblPrEx>
        <w:tc>
          <w:tcPr>
            <w:tcW w:w="985" w:type="dxa"/>
            <w:shd w:val="clear" w:color="auto" w:fill="D9D9D9" w:themeFill="background1" w:themeFillShade="D9"/>
          </w:tcPr>
          <w:p w:rsidR="00C409F1" w:rsidRPr="00575946" w:rsidP="00CA4064" w14:paraId="0315F791" w14:textId="77777777">
            <w:pPr>
              <w:pStyle w:val="BodyTextIndent"/>
              <w:tabs>
                <w:tab w:val="clear" w:pos="720"/>
              </w:tabs>
              <w:ind w:left="0"/>
              <w:jc w:val="left"/>
              <w:rPr>
                <w:bCs/>
                <w:sz w:val="18"/>
                <w:szCs w:val="18"/>
              </w:rPr>
            </w:pPr>
            <w:r>
              <w:rPr>
                <w:bCs/>
                <w:sz w:val="18"/>
                <w:szCs w:val="18"/>
              </w:rPr>
              <w:t>OPM 2809 (written)</w:t>
            </w:r>
          </w:p>
        </w:tc>
        <w:tc>
          <w:tcPr>
            <w:tcW w:w="3301" w:type="dxa"/>
            <w:shd w:val="clear" w:color="auto" w:fill="D9D9D9" w:themeFill="background1" w:themeFillShade="D9"/>
          </w:tcPr>
          <w:p w:rsidR="00C409F1" w:rsidP="001B0CE3" w14:paraId="7CC716A4" w14:textId="77777777">
            <w:pPr>
              <w:pStyle w:val="BodyTextIndent"/>
              <w:tabs>
                <w:tab w:val="clear" w:pos="720"/>
              </w:tabs>
              <w:ind w:left="0"/>
              <w:jc w:val="right"/>
              <w:rPr>
                <w:bCs/>
                <w:color w:val="C00000"/>
                <w:sz w:val="18"/>
                <w:szCs w:val="18"/>
              </w:rPr>
            </w:pPr>
            <w:r w:rsidRPr="006B74D0">
              <w:rPr>
                <w:bCs/>
                <w:sz w:val="18"/>
                <w:szCs w:val="18"/>
              </w:rPr>
              <w:t>20,000</w:t>
            </w:r>
          </w:p>
        </w:tc>
        <w:tc>
          <w:tcPr>
            <w:tcW w:w="872" w:type="dxa"/>
            <w:shd w:val="clear" w:color="auto" w:fill="D9D9D9" w:themeFill="background1" w:themeFillShade="D9"/>
          </w:tcPr>
          <w:p w:rsidR="00C409F1" w:rsidP="001B0CE3" w14:paraId="7CBC8EC8" w14:textId="77777777">
            <w:pPr>
              <w:pStyle w:val="BodyTextIndent"/>
              <w:tabs>
                <w:tab w:val="clear" w:pos="720"/>
              </w:tabs>
              <w:ind w:left="0"/>
              <w:jc w:val="right"/>
              <w:rPr>
                <w:bCs/>
                <w:color w:val="C00000"/>
                <w:sz w:val="18"/>
                <w:szCs w:val="18"/>
              </w:rPr>
            </w:pPr>
            <w:r w:rsidRPr="006B74D0">
              <w:rPr>
                <w:bCs/>
                <w:sz w:val="18"/>
                <w:szCs w:val="18"/>
              </w:rPr>
              <w:t>20,000</w:t>
            </w:r>
          </w:p>
        </w:tc>
        <w:tc>
          <w:tcPr>
            <w:tcW w:w="805" w:type="dxa"/>
            <w:shd w:val="clear" w:color="auto" w:fill="D9D9D9" w:themeFill="background1" w:themeFillShade="D9"/>
          </w:tcPr>
          <w:p w:rsidR="00C409F1" w:rsidP="006B74D0" w14:paraId="68BE9381" w14:textId="77777777">
            <w:pPr>
              <w:pStyle w:val="BodyTextIndent"/>
              <w:tabs>
                <w:tab w:val="clear" w:pos="720"/>
              </w:tabs>
              <w:ind w:left="0"/>
              <w:jc w:val="center"/>
              <w:rPr>
                <w:bCs/>
                <w:color w:val="C00000"/>
                <w:sz w:val="18"/>
                <w:szCs w:val="18"/>
              </w:rPr>
            </w:pPr>
            <w:r>
              <w:rPr>
                <w:bCs/>
                <w:sz w:val="18"/>
                <w:szCs w:val="18"/>
              </w:rPr>
              <w:t xml:space="preserve">   0</w:t>
            </w:r>
            <w:r w:rsidRPr="006B74D0">
              <w:rPr>
                <w:bCs/>
                <w:sz w:val="18"/>
                <w:szCs w:val="18"/>
              </w:rPr>
              <w:t>.</w:t>
            </w:r>
            <w:r w:rsidRPr="006B74D0" w:rsidR="00835754">
              <w:rPr>
                <w:bCs/>
                <w:sz w:val="18"/>
                <w:szCs w:val="18"/>
              </w:rPr>
              <w:t>5</w:t>
            </w:r>
            <w:r w:rsidR="00835754">
              <w:rPr>
                <w:bCs/>
                <w:sz w:val="18"/>
                <w:szCs w:val="18"/>
              </w:rPr>
              <w:t>0</w:t>
            </w:r>
            <w:r w:rsidRPr="006B74D0" w:rsidR="00835754">
              <w:rPr>
                <w:bCs/>
                <w:sz w:val="18"/>
                <w:szCs w:val="18"/>
              </w:rPr>
              <w:t xml:space="preserve"> </w:t>
            </w:r>
            <w:r w:rsidRPr="006B74D0">
              <w:rPr>
                <w:bCs/>
                <w:sz w:val="18"/>
                <w:szCs w:val="18"/>
              </w:rPr>
              <w:t>hours</w:t>
            </w:r>
          </w:p>
        </w:tc>
        <w:tc>
          <w:tcPr>
            <w:tcW w:w="2389" w:type="dxa"/>
            <w:shd w:val="clear" w:color="auto" w:fill="D9D9D9" w:themeFill="background1" w:themeFillShade="D9"/>
          </w:tcPr>
          <w:p w:rsidR="00C409F1" w:rsidRPr="00274863" w:rsidP="001B0CE3" w14:paraId="722D97A6" w14:textId="77777777">
            <w:pPr>
              <w:pStyle w:val="BodyTextIndent"/>
              <w:tabs>
                <w:tab w:val="clear" w:pos="720"/>
              </w:tabs>
              <w:ind w:left="0"/>
              <w:jc w:val="right"/>
              <w:rPr>
                <w:bCs/>
                <w:color w:val="C00000"/>
                <w:sz w:val="18"/>
                <w:szCs w:val="18"/>
                <w:highlight w:val="yellow"/>
              </w:rPr>
            </w:pPr>
            <w:r w:rsidRPr="006B74D0">
              <w:rPr>
                <w:bCs/>
                <w:sz w:val="18"/>
                <w:szCs w:val="18"/>
              </w:rPr>
              <w:t>$</w:t>
            </w:r>
            <w:r>
              <w:rPr>
                <w:bCs/>
                <w:sz w:val="18"/>
                <w:szCs w:val="18"/>
              </w:rPr>
              <w:t>23.11</w:t>
            </w:r>
          </w:p>
        </w:tc>
        <w:tc>
          <w:tcPr>
            <w:tcW w:w="1718" w:type="dxa"/>
            <w:shd w:val="clear" w:color="auto" w:fill="D9D9D9" w:themeFill="background1" w:themeFillShade="D9"/>
          </w:tcPr>
          <w:p w:rsidR="00C409F1" w:rsidRPr="00274863" w:rsidP="001B0CE3" w14:paraId="5A1FA8B3" w14:textId="77777777">
            <w:pPr>
              <w:pStyle w:val="BodyTextIndent"/>
              <w:tabs>
                <w:tab w:val="clear" w:pos="720"/>
              </w:tabs>
              <w:ind w:left="0"/>
              <w:jc w:val="right"/>
              <w:rPr>
                <w:bCs/>
                <w:color w:val="C00000"/>
                <w:sz w:val="18"/>
                <w:szCs w:val="18"/>
                <w:highlight w:val="yellow"/>
              </w:rPr>
            </w:pPr>
            <w:r w:rsidRPr="006B74D0">
              <w:rPr>
                <w:bCs/>
                <w:sz w:val="18"/>
                <w:szCs w:val="18"/>
              </w:rPr>
              <w:t>$</w:t>
            </w:r>
            <w:r w:rsidR="007E4529">
              <w:rPr>
                <w:bCs/>
                <w:sz w:val="18"/>
                <w:szCs w:val="18"/>
              </w:rPr>
              <w:t>231,000</w:t>
            </w:r>
          </w:p>
        </w:tc>
      </w:tr>
      <w:tr w14:paraId="6D5211ED" w14:textId="77777777" w:rsidTr="00C409F1">
        <w:tblPrEx>
          <w:tblW w:w="0" w:type="auto"/>
          <w:tblInd w:w="720" w:type="dxa"/>
          <w:tblLayout w:type="fixed"/>
          <w:tblLook w:val="04A0"/>
        </w:tblPrEx>
        <w:tc>
          <w:tcPr>
            <w:tcW w:w="985" w:type="dxa"/>
          </w:tcPr>
          <w:p w:rsidR="00C409F1" w:rsidRPr="00575946" w:rsidP="00CA4064" w14:paraId="5721ED63" w14:textId="77777777">
            <w:pPr>
              <w:pStyle w:val="BodyTextIndent"/>
              <w:tabs>
                <w:tab w:val="clear" w:pos="720"/>
              </w:tabs>
              <w:ind w:left="0"/>
              <w:jc w:val="left"/>
              <w:rPr>
                <w:bCs/>
                <w:sz w:val="18"/>
                <w:szCs w:val="18"/>
              </w:rPr>
            </w:pPr>
            <w:r>
              <w:rPr>
                <w:bCs/>
                <w:sz w:val="18"/>
                <w:szCs w:val="18"/>
              </w:rPr>
              <w:t>OPM 2809 (verbal)</w:t>
            </w:r>
          </w:p>
        </w:tc>
        <w:tc>
          <w:tcPr>
            <w:tcW w:w="3301" w:type="dxa"/>
          </w:tcPr>
          <w:p w:rsidR="00C409F1" w:rsidP="001B0CE3" w14:paraId="4B9CD23F" w14:textId="77777777">
            <w:pPr>
              <w:pStyle w:val="BodyTextIndent"/>
              <w:tabs>
                <w:tab w:val="clear" w:pos="720"/>
              </w:tabs>
              <w:ind w:left="0"/>
              <w:jc w:val="right"/>
              <w:rPr>
                <w:bCs/>
                <w:color w:val="C00000"/>
                <w:sz w:val="18"/>
                <w:szCs w:val="18"/>
              </w:rPr>
            </w:pPr>
            <w:r w:rsidRPr="006B74D0">
              <w:rPr>
                <w:bCs/>
                <w:sz w:val="18"/>
                <w:szCs w:val="18"/>
              </w:rPr>
              <w:t>10,000</w:t>
            </w:r>
          </w:p>
        </w:tc>
        <w:tc>
          <w:tcPr>
            <w:tcW w:w="872" w:type="dxa"/>
          </w:tcPr>
          <w:p w:rsidR="00C409F1" w:rsidP="001B0CE3" w14:paraId="5A3A8836" w14:textId="77777777">
            <w:pPr>
              <w:pStyle w:val="BodyTextIndent"/>
              <w:tabs>
                <w:tab w:val="clear" w:pos="720"/>
              </w:tabs>
              <w:ind w:left="0"/>
              <w:jc w:val="right"/>
              <w:rPr>
                <w:bCs/>
                <w:color w:val="C00000"/>
                <w:sz w:val="18"/>
                <w:szCs w:val="18"/>
              </w:rPr>
            </w:pPr>
            <w:r w:rsidRPr="006B74D0">
              <w:rPr>
                <w:bCs/>
                <w:sz w:val="18"/>
                <w:szCs w:val="18"/>
              </w:rPr>
              <w:t>10,000</w:t>
            </w:r>
          </w:p>
        </w:tc>
        <w:tc>
          <w:tcPr>
            <w:tcW w:w="805" w:type="dxa"/>
          </w:tcPr>
          <w:p w:rsidR="00C409F1" w:rsidP="006B74D0" w14:paraId="12886AD8" w14:textId="77777777">
            <w:pPr>
              <w:pStyle w:val="BodyTextIndent"/>
              <w:tabs>
                <w:tab w:val="clear" w:pos="720"/>
              </w:tabs>
              <w:ind w:left="0"/>
              <w:jc w:val="center"/>
              <w:rPr>
                <w:bCs/>
                <w:color w:val="C00000"/>
                <w:sz w:val="18"/>
                <w:szCs w:val="18"/>
              </w:rPr>
            </w:pPr>
            <w:r>
              <w:rPr>
                <w:bCs/>
                <w:sz w:val="18"/>
                <w:szCs w:val="18"/>
              </w:rPr>
              <w:t>0</w:t>
            </w:r>
            <w:r w:rsidRPr="006B74D0">
              <w:rPr>
                <w:bCs/>
                <w:sz w:val="18"/>
                <w:szCs w:val="18"/>
              </w:rPr>
              <w:t>.</w:t>
            </w:r>
            <w:r w:rsidR="008862E8">
              <w:rPr>
                <w:bCs/>
                <w:sz w:val="18"/>
                <w:szCs w:val="18"/>
              </w:rPr>
              <w:t>166</w:t>
            </w:r>
            <w:r w:rsidR="00544BE1">
              <w:rPr>
                <w:bCs/>
                <w:sz w:val="18"/>
                <w:szCs w:val="18"/>
              </w:rPr>
              <w:t>7</w:t>
            </w:r>
            <w:r w:rsidR="008862E8">
              <w:rPr>
                <w:bCs/>
                <w:sz w:val="18"/>
                <w:szCs w:val="18"/>
              </w:rPr>
              <w:t xml:space="preserve"> </w:t>
            </w:r>
            <w:r w:rsidRPr="006B74D0">
              <w:rPr>
                <w:bCs/>
                <w:sz w:val="18"/>
                <w:szCs w:val="18"/>
              </w:rPr>
              <w:t>hours</w:t>
            </w:r>
          </w:p>
        </w:tc>
        <w:tc>
          <w:tcPr>
            <w:tcW w:w="2389" w:type="dxa"/>
          </w:tcPr>
          <w:p w:rsidR="00C409F1" w:rsidRPr="00274863" w:rsidP="001B0CE3" w14:paraId="1677912D" w14:textId="77777777">
            <w:pPr>
              <w:pStyle w:val="BodyTextIndent"/>
              <w:tabs>
                <w:tab w:val="clear" w:pos="720"/>
              </w:tabs>
              <w:ind w:left="0"/>
              <w:jc w:val="right"/>
              <w:rPr>
                <w:bCs/>
                <w:color w:val="C00000"/>
                <w:sz w:val="18"/>
                <w:szCs w:val="18"/>
                <w:highlight w:val="yellow"/>
              </w:rPr>
            </w:pPr>
            <w:r w:rsidRPr="006B74D0">
              <w:rPr>
                <w:bCs/>
                <w:sz w:val="18"/>
                <w:szCs w:val="18"/>
              </w:rPr>
              <w:t>$</w:t>
            </w:r>
            <w:r>
              <w:rPr>
                <w:bCs/>
                <w:sz w:val="18"/>
                <w:szCs w:val="18"/>
              </w:rPr>
              <w:t>23.11</w:t>
            </w:r>
          </w:p>
        </w:tc>
        <w:tc>
          <w:tcPr>
            <w:tcW w:w="1718" w:type="dxa"/>
          </w:tcPr>
          <w:p w:rsidR="00C409F1" w:rsidRPr="00274863" w:rsidP="001B0CE3" w14:paraId="04092160" w14:textId="77777777">
            <w:pPr>
              <w:pStyle w:val="BodyTextIndent"/>
              <w:tabs>
                <w:tab w:val="clear" w:pos="720"/>
              </w:tabs>
              <w:ind w:left="0"/>
              <w:jc w:val="right"/>
              <w:rPr>
                <w:bCs/>
                <w:color w:val="C00000"/>
                <w:sz w:val="18"/>
                <w:szCs w:val="18"/>
                <w:highlight w:val="yellow"/>
              </w:rPr>
            </w:pPr>
            <w:r w:rsidRPr="006B74D0">
              <w:rPr>
                <w:bCs/>
                <w:sz w:val="18"/>
                <w:szCs w:val="18"/>
              </w:rPr>
              <w:t>$</w:t>
            </w:r>
            <w:r w:rsidR="00C2175C">
              <w:rPr>
                <w:bCs/>
                <w:sz w:val="18"/>
                <w:szCs w:val="18"/>
              </w:rPr>
              <w:t>38,</w:t>
            </w:r>
            <w:r w:rsidR="003C2C3B">
              <w:rPr>
                <w:bCs/>
                <w:sz w:val="18"/>
                <w:szCs w:val="18"/>
              </w:rPr>
              <w:t>524.37</w:t>
            </w:r>
          </w:p>
        </w:tc>
      </w:tr>
    </w:tbl>
    <w:p w:rsidR="00B07A1E" w:rsidRPr="007C6EF9" w:rsidP="00CA4064" w14:paraId="008697D4" w14:textId="77777777">
      <w:pPr>
        <w:pStyle w:val="BodyTextIndent"/>
        <w:tabs>
          <w:tab w:val="clear" w:pos="720"/>
        </w:tabs>
        <w:jc w:val="left"/>
        <w:rPr>
          <w:bCs/>
          <w:sz w:val="22"/>
          <w:szCs w:val="22"/>
        </w:rPr>
      </w:pPr>
      <w:r>
        <w:br/>
      </w:r>
      <w:r w:rsidR="00393019">
        <w:rPr>
          <w:bCs/>
          <w:sz w:val="22"/>
          <w:szCs w:val="22"/>
        </w:rPr>
        <w:t xml:space="preserve">The Total Annual Respondent Cost is </w:t>
      </w:r>
      <w:r w:rsidRPr="0099287E" w:rsidR="00393019">
        <w:rPr>
          <w:bCs/>
          <w:sz w:val="22"/>
          <w:szCs w:val="22"/>
        </w:rPr>
        <w:t>$</w:t>
      </w:r>
      <w:r w:rsidRPr="005B40B9" w:rsidR="005B40B9">
        <w:rPr>
          <w:bCs/>
          <w:sz w:val="22"/>
          <w:szCs w:val="22"/>
        </w:rPr>
        <w:t>47</w:t>
      </w:r>
      <w:r w:rsidR="00256843">
        <w:rPr>
          <w:bCs/>
          <w:sz w:val="22"/>
          <w:szCs w:val="22"/>
        </w:rPr>
        <w:t>7</w:t>
      </w:r>
      <w:r w:rsidRPr="005B40B9" w:rsidR="005B40B9">
        <w:rPr>
          <w:bCs/>
          <w:sz w:val="22"/>
          <w:szCs w:val="22"/>
        </w:rPr>
        <w:t>,</w:t>
      </w:r>
      <w:r w:rsidR="00256843">
        <w:rPr>
          <w:bCs/>
          <w:sz w:val="22"/>
          <w:szCs w:val="22"/>
        </w:rPr>
        <w:t>514</w:t>
      </w:r>
      <w:r w:rsidRPr="005B40B9" w:rsidR="005B40B9">
        <w:rPr>
          <w:bCs/>
          <w:sz w:val="22"/>
          <w:szCs w:val="22"/>
        </w:rPr>
        <w:t>.</w:t>
      </w:r>
      <w:r w:rsidR="00B50AAA">
        <w:rPr>
          <w:bCs/>
          <w:sz w:val="22"/>
          <w:szCs w:val="22"/>
        </w:rPr>
        <w:t>37</w:t>
      </w:r>
      <w:r w:rsidR="00393019">
        <w:rPr>
          <w:bCs/>
          <w:sz w:val="22"/>
          <w:szCs w:val="22"/>
        </w:rPr>
        <w:t xml:space="preserve">. </w:t>
      </w:r>
    </w:p>
    <w:p w:rsidR="007C6EF9" w:rsidP="00CA4064" w14:paraId="467B54B1" w14:textId="77777777">
      <w:pPr>
        <w:pStyle w:val="BodyTextIndent"/>
        <w:tabs>
          <w:tab w:val="clear" w:pos="720"/>
        </w:tabs>
        <w:jc w:val="left"/>
        <w:rPr>
          <w:b/>
        </w:rPr>
      </w:pPr>
    </w:p>
    <w:p w:rsidR="004929E6" w:rsidRPr="004929E6" w:rsidP="00164D2D" w14:paraId="046CD862" w14:textId="77777777">
      <w:pPr>
        <w:pStyle w:val="ListParagraph"/>
        <w:numPr>
          <w:ilvl w:val="0"/>
          <w:numId w:val="1"/>
        </w:numPr>
        <w:spacing w:after="200" w:line="276" w:lineRule="auto"/>
        <w:rPr>
          <w:rFonts w:ascii="Times New Roman" w:hAnsi="Times New Roman"/>
          <w:i/>
          <w:color w:val="000000" w:themeColor="text1"/>
          <w:highlight w:val="lightGray"/>
        </w:rPr>
      </w:pPr>
      <w:r w:rsidRPr="000E7D65">
        <w:rPr>
          <w:rFonts w:ascii="Times New Roman" w:hAnsi="Times New Roman"/>
          <w:i/>
          <w:color w:val="000000" w:themeColor="text1"/>
          <w:highlight w:val="lightGray"/>
        </w:rPr>
        <w:t xml:space="preserve">Describe the </w:t>
      </w:r>
      <w:r w:rsidRPr="000E7D65" w:rsidR="002D4FA9">
        <w:rPr>
          <w:rFonts w:ascii="Times New Roman" w:hAnsi="Times New Roman"/>
          <w:i/>
          <w:color w:val="000000" w:themeColor="text1"/>
          <w:highlight w:val="lightGray"/>
        </w:rPr>
        <w:t xml:space="preserve">non-hourly </w:t>
      </w:r>
      <w:r w:rsidRPr="000E7D65">
        <w:rPr>
          <w:rFonts w:ascii="Times New Roman" w:hAnsi="Times New Roman"/>
          <w:i/>
          <w:color w:val="000000" w:themeColor="text1"/>
          <w:highlight w:val="lightGray"/>
        </w:rPr>
        <w:t>monetary burden to respondents needed to complete this collection.</w:t>
      </w:r>
      <w:r w:rsidRPr="000E7D65" w:rsidR="00E04E9B">
        <w:rPr>
          <w:rFonts w:ascii="Times New Roman" w:hAnsi="Times New Roman"/>
          <w:i/>
          <w:color w:val="000000" w:themeColor="text1"/>
          <w:highlight w:val="lightGray"/>
        </w:rPr>
        <w:t xml:space="preserve"> </w:t>
      </w:r>
      <w:r w:rsidRPr="000E7D65" w:rsidR="004679E2">
        <w:rPr>
          <w:rFonts w:ascii="Times New Roman" w:hAnsi="Times New Roman"/>
          <w:i/>
          <w:color w:val="000000" w:themeColor="text1"/>
          <w:highlight w:val="lightGray"/>
        </w:rPr>
        <w:t xml:space="preserve">This </w:t>
      </w:r>
      <w:r w:rsidRPr="000E7D65" w:rsidR="00130FEC">
        <w:rPr>
          <w:rFonts w:ascii="Times New Roman" w:hAnsi="Times New Roman"/>
          <w:i/>
          <w:color w:val="000000" w:themeColor="text1"/>
          <w:highlight w:val="lightGray"/>
        </w:rPr>
        <w:t>is</w:t>
      </w:r>
      <w:r w:rsidRPr="000E7D65" w:rsidR="00495AF7">
        <w:rPr>
          <w:rFonts w:ascii="Times New Roman" w:hAnsi="Times New Roman"/>
          <w:i/>
          <w:color w:val="000000" w:themeColor="text1"/>
          <w:highlight w:val="lightGray"/>
        </w:rPr>
        <w:t xml:space="preserve"> </w:t>
      </w:r>
      <w:r w:rsidRPr="000E7D65" w:rsidR="00B326C3">
        <w:rPr>
          <w:rFonts w:ascii="Times New Roman" w:hAnsi="Times New Roman"/>
          <w:i/>
          <w:color w:val="000000" w:themeColor="text1"/>
          <w:highlight w:val="lightGray"/>
        </w:rPr>
        <w:t xml:space="preserve">defined as </w:t>
      </w:r>
      <w:r w:rsidRPr="000E7D65" w:rsidR="00EB49B8">
        <w:rPr>
          <w:rFonts w:ascii="Times New Roman" w:hAnsi="Times New Roman"/>
          <w:i/>
          <w:color w:val="000000" w:themeColor="text1"/>
          <w:highlight w:val="lightGray"/>
        </w:rPr>
        <w:t>out-of-pocket</w:t>
      </w:r>
      <w:r w:rsidRPr="000E7D65" w:rsidR="00495AF7">
        <w:rPr>
          <w:rFonts w:ascii="Times New Roman" w:hAnsi="Times New Roman"/>
          <w:i/>
          <w:color w:val="000000" w:themeColor="text1"/>
          <w:highlight w:val="lightGray"/>
        </w:rPr>
        <w:t xml:space="preserve"> costs such as application fees</w:t>
      </w:r>
      <w:r w:rsidRPr="000E7D65" w:rsidR="005D30C2">
        <w:rPr>
          <w:rFonts w:ascii="Times New Roman" w:hAnsi="Times New Roman"/>
          <w:i/>
          <w:color w:val="000000" w:themeColor="text1"/>
          <w:highlight w:val="lightGray"/>
        </w:rPr>
        <w:t xml:space="preserve"> for the collection</w:t>
      </w:r>
      <w:r w:rsidRPr="000E7D65" w:rsidR="00495AF7">
        <w:rPr>
          <w:rFonts w:ascii="Times New Roman" w:hAnsi="Times New Roman"/>
          <w:i/>
          <w:color w:val="000000" w:themeColor="text1"/>
          <w:highlight w:val="lightGray"/>
        </w:rPr>
        <w:t>, document fees</w:t>
      </w:r>
      <w:r w:rsidRPr="000E7D65" w:rsidR="005D30C2">
        <w:rPr>
          <w:rFonts w:ascii="Times New Roman" w:hAnsi="Times New Roman"/>
          <w:i/>
          <w:color w:val="000000" w:themeColor="text1"/>
          <w:highlight w:val="lightGray"/>
        </w:rPr>
        <w:t xml:space="preserve"> (</w:t>
      </w:r>
      <w:hyperlink r:id="rId10" w:history="1">
        <w:r w:rsidRPr="002B4D8E" w:rsidR="005D30C2">
          <w:rPr>
            <w:rStyle w:val="Hyperlink"/>
            <w:rFonts w:ascii="Times New Roman" w:hAnsi="Times New Roman"/>
            <w:i/>
            <w:highlight w:val="lightGray"/>
          </w:rPr>
          <w:t>birth</w:t>
        </w:r>
        <w:r w:rsidRPr="002B4D8E" w:rsidR="002B4D8E">
          <w:rPr>
            <w:rStyle w:val="Hyperlink"/>
            <w:rFonts w:ascii="Times New Roman" w:hAnsi="Times New Roman"/>
            <w:i/>
            <w:highlight w:val="lightGray"/>
          </w:rPr>
          <w:t>/death</w:t>
        </w:r>
        <w:r w:rsidRPr="002B4D8E" w:rsidR="005D30C2">
          <w:rPr>
            <w:rStyle w:val="Hyperlink"/>
            <w:rFonts w:ascii="Times New Roman" w:hAnsi="Times New Roman"/>
            <w:i/>
            <w:highlight w:val="lightGray"/>
          </w:rPr>
          <w:t xml:space="preserve"> certificates</w:t>
        </w:r>
      </w:hyperlink>
      <w:r w:rsidRPr="000E7D65" w:rsidR="005D30C2">
        <w:rPr>
          <w:rFonts w:ascii="Times New Roman" w:hAnsi="Times New Roman"/>
          <w:i/>
          <w:color w:val="000000" w:themeColor="text1"/>
          <w:highlight w:val="lightGray"/>
        </w:rPr>
        <w:t>, school transcripts)</w:t>
      </w:r>
      <w:r w:rsidRPr="000E7D65" w:rsidR="00F94CD1">
        <w:rPr>
          <w:rFonts w:ascii="Times New Roman" w:hAnsi="Times New Roman"/>
          <w:i/>
          <w:color w:val="000000" w:themeColor="text1"/>
          <w:highlight w:val="lightGray"/>
        </w:rPr>
        <w:t>, mailing costs</w:t>
      </w:r>
      <w:r w:rsidRPr="000E7D65" w:rsidR="00EB49B8">
        <w:rPr>
          <w:rFonts w:ascii="Times New Roman" w:hAnsi="Times New Roman"/>
          <w:i/>
          <w:color w:val="000000" w:themeColor="text1"/>
          <w:highlight w:val="lightGray"/>
        </w:rPr>
        <w:t xml:space="preserve"> </w:t>
      </w:r>
      <w:r w:rsidRPr="000E7D65" w:rsidR="005940E3">
        <w:rPr>
          <w:rFonts w:ascii="Times New Roman" w:hAnsi="Times New Roman"/>
          <w:i/>
          <w:color w:val="000000" w:themeColor="text1"/>
          <w:highlight w:val="lightGray"/>
        </w:rPr>
        <w:t>(</w:t>
      </w:r>
      <w:hyperlink r:id="rId11" w:history="1">
        <w:r w:rsidRPr="002B4D8E" w:rsidR="004679E2">
          <w:rPr>
            <w:rStyle w:val="Hyperlink"/>
            <w:rFonts w:ascii="Times New Roman" w:hAnsi="Times New Roman"/>
            <w:i/>
            <w:highlight w:val="lightGray"/>
          </w:rPr>
          <w:t>printing</w:t>
        </w:r>
      </w:hyperlink>
      <w:r w:rsidRPr="000E7D65" w:rsidR="004679E2">
        <w:rPr>
          <w:rFonts w:ascii="Times New Roman" w:hAnsi="Times New Roman"/>
          <w:i/>
          <w:color w:val="000000" w:themeColor="text1"/>
          <w:highlight w:val="lightGray"/>
        </w:rPr>
        <w:t xml:space="preserve">, </w:t>
      </w:r>
      <w:hyperlink r:id="rId12" w:history="1">
        <w:r w:rsidRPr="002B4D8E" w:rsidR="005940E3">
          <w:rPr>
            <w:rStyle w:val="Hyperlink"/>
            <w:rFonts w:ascii="Times New Roman" w:hAnsi="Times New Roman"/>
            <w:i/>
            <w:highlight w:val="lightGray"/>
          </w:rPr>
          <w:t>postage</w:t>
        </w:r>
      </w:hyperlink>
      <w:r w:rsidRPr="000E7D65" w:rsidR="004679E2">
        <w:rPr>
          <w:rFonts w:ascii="Times New Roman" w:hAnsi="Times New Roman"/>
          <w:i/>
          <w:color w:val="000000" w:themeColor="text1"/>
          <w:highlight w:val="lightGray"/>
        </w:rPr>
        <w:t>,</w:t>
      </w:r>
      <w:r w:rsidRPr="000E7D65" w:rsidR="005940E3">
        <w:rPr>
          <w:rFonts w:ascii="Times New Roman" w:hAnsi="Times New Roman"/>
          <w:i/>
          <w:color w:val="000000" w:themeColor="text1"/>
          <w:highlight w:val="lightGray"/>
        </w:rPr>
        <w:t xml:space="preserve"> and/or </w:t>
      </w:r>
      <w:hyperlink r:id="rId13" w:history="1">
        <w:r w:rsidRPr="002B4D8E" w:rsidR="005940E3">
          <w:rPr>
            <w:rStyle w:val="Hyperlink"/>
            <w:rFonts w:ascii="Times New Roman" w:hAnsi="Times New Roman"/>
            <w:i/>
            <w:highlight w:val="lightGray"/>
          </w:rPr>
          <w:t>mileage</w:t>
        </w:r>
      </w:hyperlink>
      <w:r w:rsidRPr="000E7D65" w:rsidR="005940E3">
        <w:rPr>
          <w:rFonts w:ascii="Times New Roman" w:hAnsi="Times New Roman"/>
          <w:i/>
          <w:color w:val="000000" w:themeColor="text1"/>
          <w:highlight w:val="lightGray"/>
        </w:rPr>
        <w:t>)</w:t>
      </w:r>
      <w:r w:rsidRPr="000E7D65" w:rsidR="00EB49B8">
        <w:rPr>
          <w:rFonts w:ascii="Times New Roman" w:hAnsi="Times New Roman"/>
          <w:i/>
          <w:color w:val="000000" w:themeColor="text1"/>
          <w:highlight w:val="lightGray"/>
        </w:rPr>
        <w:t>, or anything else respondents</w:t>
      </w:r>
      <w:r w:rsidRPr="000E7D65" w:rsidR="005940E3">
        <w:rPr>
          <w:rFonts w:ascii="Times New Roman" w:hAnsi="Times New Roman"/>
          <w:i/>
          <w:color w:val="000000" w:themeColor="text1"/>
          <w:highlight w:val="lightGray"/>
        </w:rPr>
        <w:t xml:space="preserve"> </w:t>
      </w:r>
      <w:r w:rsidRPr="000E7D65" w:rsidR="00E74BFB">
        <w:rPr>
          <w:rFonts w:ascii="Times New Roman" w:hAnsi="Times New Roman"/>
          <w:i/>
          <w:color w:val="000000" w:themeColor="text1"/>
          <w:highlight w:val="lightGray"/>
        </w:rPr>
        <w:t>may need to pay to complete</w:t>
      </w:r>
      <w:r w:rsidRPr="000E7D65" w:rsidR="007126D9">
        <w:rPr>
          <w:rFonts w:ascii="Times New Roman" w:hAnsi="Times New Roman"/>
          <w:i/>
          <w:color w:val="000000" w:themeColor="text1"/>
          <w:highlight w:val="lightGray"/>
        </w:rPr>
        <w:t xml:space="preserve"> and/or implement </w:t>
      </w:r>
      <w:r w:rsidRPr="000E7D65" w:rsidR="00E74BFB">
        <w:rPr>
          <w:rFonts w:ascii="Times New Roman" w:hAnsi="Times New Roman"/>
          <w:i/>
          <w:color w:val="000000" w:themeColor="text1"/>
          <w:highlight w:val="lightGray"/>
        </w:rPr>
        <w:t>the collection</w:t>
      </w:r>
      <w:r w:rsidRPr="004929E6" w:rsidR="00F94CD1">
        <w:rPr>
          <w:rFonts w:ascii="Times New Roman" w:hAnsi="Times New Roman"/>
          <w:iCs/>
          <w:color w:val="000000" w:themeColor="text1"/>
          <w:highlight w:val="lightGray"/>
        </w:rPr>
        <w:t>.</w:t>
      </w:r>
      <w:r w:rsidRPr="004929E6">
        <w:rPr>
          <w:rFonts w:ascii="Times New Roman" w:hAnsi="Times New Roman"/>
          <w:iCs/>
          <w:color w:val="000000" w:themeColor="text1"/>
          <w:highlight w:val="lightGray"/>
        </w:rPr>
        <w:t xml:space="preserve"> </w:t>
      </w:r>
    </w:p>
    <w:p w:rsidR="005A4C23" w:rsidRPr="00E0527E" w:rsidP="00D82500" w14:paraId="5EB5CA84" w14:textId="77777777">
      <w:pPr>
        <w:spacing w:after="200" w:line="220" w:lineRule="exact"/>
        <w:ind w:left="720"/>
        <w:rPr>
          <w:iCs/>
        </w:rPr>
      </w:pPr>
      <w:r>
        <w:rPr>
          <w:iCs/>
        </w:rPr>
        <w:t xml:space="preserve">The average cost #10 Standard envelopes are $.08. </w:t>
      </w:r>
      <w:r>
        <w:rPr>
          <w:iCs/>
        </w:rPr>
        <w:br/>
      </w:r>
      <w:r>
        <w:rPr>
          <w:iCs/>
        </w:rPr>
        <w:br/>
        <w:t xml:space="preserve">The average cost to print thirteen sheets of paper </w:t>
      </w:r>
      <w:r w:rsidRPr="00B710A1">
        <w:rPr>
          <w:i/>
        </w:rPr>
        <w:t>(form &amp; instructions)</w:t>
      </w:r>
      <w:r>
        <w:rPr>
          <w:iCs/>
        </w:rPr>
        <w:t xml:space="preserve"> on a home printer, factoring in paper and toner/ink cost, is $1.08</w:t>
      </w:r>
      <w:r w:rsidR="00D3426C">
        <w:rPr>
          <w:iCs/>
        </w:rPr>
        <w:t>.</w:t>
      </w:r>
      <w:r>
        <w:rPr>
          <w:iCs/>
        </w:rPr>
        <w:br/>
      </w:r>
      <w:r>
        <w:rPr>
          <w:iCs/>
        </w:rPr>
        <w:br/>
        <w:t>The First-class postage cost to mail the 3-page form is $.73.</w:t>
      </w:r>
      <w:r>
        <w:rPr>
          <w:iCs/>
        </w:rPr>
        <w:br/>
      </w:r>
      <w:r>
        <w:rPr>
          <w:iCs/>
        </w:rPr>
        <w:br/>
        <w:t xml:space="preserve">The non-hourly monetary burden </w:t>
      </w:r>
      <w:r w:rsidR="765384B1">
        <w:t xml:space="preserve">for all respondents using paper forms </w:t>
      </w:r>
      <w:r w:rsidR="5E723AFF">
        <w:t>is estimated at $</w:t>
      </w:r>
      <w:r w:rsidR="4DBEA445">
        <w:t>7,300.</w:t>
      </w:r>
    </w:p>
    <w:p w:rsidR="003343AA" w:rsidRPr="000E7D65" w:rsidP="003343AA" w14:paraId="7F271C84" w14:textId="77777777">
      <w:pPr>
        <w:numPr>
          <w:ilvl w:val="0"/>
          <w:numId w:val="1"/>
        </w:numPr>
        <w:rPr>
          <w:i/>
          <w:color w:val="000000" w:themeColor="text1"/>
          <w:szCs w:val="24"/>
          <w:highlight w:val="lightGray"/>
        </w:rPr>
      </w:pPr>
      <w:r w:rsidRPr="000E7D65">
        <w:rPr>
          <w:i/>
          <w:color w:val="000000" w:themeColor="text1"/>
          <w:szCs w:val="24"/>
          <w:highlight w:val="lightGray"/>
        </w:rPr>
        <w:t>Describe the cost incurred by the Federal Government to complete this collection.</w:t>
      </w:r>
    </w:p>
    <w:p w:rsidR="003343AA" w:rsidRPr="00F70655" w:rsidP="00D82500" w14:paraId="1A7DE9BE" w14:textId="77777777">
      <w:pPr>
        <w:spacing w:line="220" w:lineRule="exact"/>
        <w:ind w:left="720"/>
      </w:pPr>
      <w:r>
        <w:t>The annualized cost to the Government is approximately $16,700 for the SF 2809</w:t>
      </w:r>
      <w:r w:rsidR="00BF743B">
        <w:t>.</w:t>
      </w:r>
      <w:r>
        <w:br/>
      </w:r>
      <w:r>
        <w:br/>
        <w:t>The annualized cost to the Government is approximately $91,244 for the OPM 2809.</w:t>
      </w:r>
      <w:r>
        <w:br/>
      </w:r>
      <w:r>
        <w:br/>
        <w:t>The combined annualized cost to the Government for this ICR is approximately $107,944.</w:t>
      </w:r>
      <w:r w:rsidR="008F3A75">
        <w:t xml:space="preserve"> </w:t>
      </w:r>
      <w:r w:rsidR="00864C15">
        <w:t>These ann</w:t>
      </w:r>
      <w:r w:rsidR="00060AC6">
        <w:t>ualized costs are derived from</w:t>
      </w:r>
      <w:r w:rsidR="00A8334B">
        <w:t xml:space="preserve"> employee salaries, staff hours required to process form</w:t>
      </w:r>
      <w:r w:rsidR="000D4738">
        <w:t xml:space="preserve">s and the cost </w:t>
      </w:r>
      <w:r w:rsidR="002900D3">
        <w:t>of</w:t>
      </w:r>
      <w:r w:rsidR="000D4738">
        <w:t xml:space="preserve"> publishing</w:t>
      </w:r>
      <w:r w:rsidR="00520D9C">
        <w:t>, storing, and shipping form</w:t>
      </w:r>
      <w:r w:rsidR="00065451">
        <w:t>s</w:t>
      </w:r>
      <w:r w:rsidR="00520D9C">
        <w:t xml:space="preserve">. </w:t>
      </w:r>
      <w:r w:rsidR="00BF743B">
        <w:t xml:space="preserve"> </w:t>
      </w:r>
    </w:p>
    <w:p w:rsidR="00721D56" w:rsidRPr="00721D56" w:rsidP="003343AA" w14:paraId="6B7CE62D" w14:textId="77777777">
      <w:pPr>
        <w:ind w:left="720"/>
        <w:rPr>
          <w:iCs/>
          <w:szCs w:val="24"/>
        </w:rPr>
      </w:pPr>
    </w:p>
    <w:p w:rsidR="00164D2D" w:rsidRPr="000E7D65" w:rsidP="003343AA" w14:paraId="3197497B" w14:textId="77777777">
      <w:pPr>
        <w:numPr>
          <w:ilvl w:val="0"/>
          <w:numId w:val="1"/>
        </w:numPr>
        <w:rPr>
          <w:i/>
          <w:color w:val="000000" w:themeColor="text1"/>
          <w:szCs w:val="24"/>
          <w:highlight w:val="lightGray"/>
        </w:rPr>
      </w:pPr>
      <w:r w:rsidRPr="000E7D65">
        <w:rPr>
          <w:i/>
          <w:color w:val="000000" w:themeColor="text1"/>
          <w:highlight w:val="lightGray"/>
        </w:rPr>
        <w:t>Explain any changes/adjustments to this collection since the previous submission</w:t>
      </w:r>
      <w:r w:rsidR="005D51B0">
        <w:rPr>
          <w:i/>
          <w:color w:val="000000" w:themeColor="text1"/>
          <w:highlight w:val="lightGray"/>
        </w:rPr>
        <w:t>, if applicable</w:t>
      </w:r>
      <w:r w:rsidRPr="000E7D65" w:rsidR="00387B05">
        <w:rPr>
          <w:i/>
          <w:color w:val="000000" w:themeColor="text1"/>
          <w:highlight w:val="lightGray"/>
        </w:rPr>
        <w:t xml:space="preserve">. </w:t>
      </w:r>
      <w:r w:rsidRPr="000E7D65" w:rsidR="0070743A">
        <w:rPr>
          <w:i/>
          <w:color w:val="000000" w:themeColor="text1"/>
          <w:highlight w:val="lightGray"/>
        </w:rPr>
        <w:t xml:space="preserve">Describe </w:t>
      </w:r>
      <w:r w:rsidRPr="000E7D65" w:rsidR="00615410">
        <w:rPr>
          <w:i/>
          <w:color w:val="000000" w:themeColor="text1"/>
          <w:highlight w:val="lightGray"/>
        </w:rPr>
        <w:t>whether</w:t>
      </w:r>
      <w:r w:rsidRPr="000E7D65" w:rsidR="0070743A">
        <w:rPr>
          <w:i/>
          <w:color w:val="000000" w:themeColor="text1"/>
          <w:highlight w:val="lightGray"/>
        </w:rPr>
        <w:t xml:space="preserve"> these changes impact the hour or</w:t>
      </w:r>
      <w:r w:rsidRPr="000E7D65" w:rsidR="00435714">
        <w:rPr>
          <w:i/>
          <w:color w:val="000000" w:themeColor="text1"/>
          <w:highlight w:val="lightGray"/>
        </w:rPr>
        <w:t xml:space="preserve"> cost burden. If yes, describe if the impact is</w:t>
      </w:r>
      <w:r w:rsidRPr="000E7D65" w:rsidR="003226C3">
        <w:rPr>
          <w:i/>
          <w:color w:val="000000" w:themeColor="text1"/>
          <w:highlight w:val="lightGray"/>
        </w:rPr>
        <w:t xml:space="preserve"> the result of deliberate </w:t>
      </w:r>
      <w:r w:rsidRPr="000E7D65" w:rsidR="00506CD5">
        <w:rPr>
          <w:i/>
          <w:color w:val="000000" w:themeColor="text1"/>
          <w:highlight w:val="lightGray"/>
        </w:rPr>
        <w:t>Federal government action (“</w:t>
      </w:r>
      <w:r w:rsidRPr="000E7D65" w:rsidR="007A7515">
        <w:rPr>
          <w:i/>
          <w:color w:val="000000" w:themeColor="text1"/>
          <w:highlight w:val="lightGray"/>
        </w:rPr>
        <w:t>program change</w:t>
      </w:r>
      <w:r w:rsidRPr="000E7D65" w:rsidR="00506CD5">
        <w:rPr>
          <w:i/>
          <w:color w:val="000000" w:themeColor="text1"/>
          <w:highlight w:val="lightGray"/>
        </w:rPr>
        <w:t>”)</w:t>
      </w:r>
      <w:r w:rsidRPr="000E7D65" w:rsidR="00615410">
        <w:rPr>
          <w:i/>
          <w:color w:val="000000" w:themeColor="text1"/>
          <w:highlight w:val="lightGray"/>
        </w:rPr>
        <w:t xml:space="preserve"> </w:t>
      </w:r>
      <w:r w:rsidRPr="000E7D65" w:rsidR="001C4E9D">
        <w:rPr>
          <w:i/>
          <w:color w:val="000000" w:themeColor="text1"/>
          <w:highlight w:val="lightGray"/>
        </w:rPr>
        <w:t>or</w:t>
      </w:r>
      <w:r w:rsidRPr="000E7D65" w:rsidR="007A7515">
        <w:rPr>
          <w:i/>
          <w:color w:val="000000" w:themeColor="text1"/>
          <w:highlight w:val="lightGray"/>
        </w:rPr>
        <w:t xml:space="preserve"> </w:t>
      </w:r>
      <w:r w:rsidRPr="000E7D65" w:rsidR="001C4E9D">
        <w:rPr>
          <w:i/>
          <w:color w:val="000000" w:themeColor="text1"/>
          <w:highlight w:val="lightGray"/>
        </w:rPr>
        <w:t>something else (“adjustment”).</w:t>
      </w:r>
    </w:p>
    <w:p w:rsidR="003C66E8" w:rsidRPr="003C66E8" w:rsidP="00CA4064" w14:paraId="13EAB45A" w14:textId="77777777">
      <w:pPr>
        <w:ind w:left="720"/>
      </w:pPr>
      <w:r>
        <w:t xml:space="preserve">This is a </w:t>
      </w:r>
      <w:r w:rsidR="00BD52B3">
        <w:t>revised</w:t>
      </w:r>
      <w:r>
        <w:t xml:space="preserve"> information collection request (ICR) and there are </w:t>
      </w:r>
      <w:r w:rsidR="003E1816">
        <w:t xml:space="preserve">changes </w:t>
      </w:r>
      <w:r w:rsidR="00CB78B2">
        <w:t xml:space="preserve">to the hourly burden </w:t>
      </w:r>
      <w:r w:rsidR="003E1816">
        <w:t>reflecting</w:t>
      </w:r>
      <w:r w:rsidR="002967DC">
        <w:t xml:space="preserve"> changes made to</w:t>
      </w:r>
      <w:r w:rsidR="001A1B54">
        <w:t xml:space="preserve"> </w:t>
      </w:r>
      <w:r w:rsidR="00CB533C">
        <w:t>the SF</w:t>
      </w:r>
      <w:r w:rsidR="005E0878">
        <w:t xml:space="preserve"> </w:t>
      </w:r>
      <w:r w:rsidR="00CB533C">
        <w:t>2809 form</w:t>
      </w:r>
      <w:r>
        <w:t xml:space="preserve"> </w:t>
      </w:r>
      <w:r w:rsidR="00F4745F">
        <w:t xml:space="preserve">based on public </w:t>
      </w:r>
      <w:r w:rsidR="00777C6A">
        <w:t>c</w:t>
      </w:r>
      <w:r w:rsidR="00F4745F">
        <w:t>omments</w:t>
      </w:r>
      <w:r w:rsidR="002967DC">
        <w:t>.  There are</w:t>
      </w:r>
      <w:r w:rsidR="005F292D">
        <w:t xml:space="preserve"> </w:t>
      </w:r>
      <w:r w:rsidR="003E1816">
        <w:t>adjustments</w:t>
      </w:r>
      <w:r w:rsidR="00F4745F">
        <w:t xml:space="preserve"> </w:t>
      </w:r>
      <w:r w:rsidR="001A55D1">
        <w:t>to</w:t>
      </w:r>
      <w:r>
        <w:t xml:space="preserve"> the </w:t>
      </w:r>
      <w:r w:rsidR="001A55D1">
        <w:t xml:space="preserve">cost </w:t>
      </w:r>
      <w:r>
        <w:t>burden</w:t>
      </w:r>
      <w:r w:rsidR="001A55D1">
        <w:t xml:space="preserve"> to reflect update</w:t>
      </w:r>
      <w:r w:rsidR="00E06CC4">
        <w:t>d</w:t>
      </w:r>
      <w:r w:rsidR="001A55D1">
        <w:t xml:space="preserve"> </w:t>
      </w:r>
      <w:r w:rsidR="00452BC4">
        <w:t xml:space="preserve">wage </w:t>
      </w:r>
      <w:r w:rsidR="607E2BAC">
        <w:t>estim</w:t>
      </w:r>
      <w:r w:rsidR="14606FF7">
        <w:t>a</w:t>
      </w:r>
      <w:r w:rsidR="607E2BAC">
        <w:t>tes</w:t>
      </w:r>
      <w:r w:rsidR="001A55D1">
        <w:t xml:space="preserve"> from</w:t>
      </w:r>
      <w:r w:rsidR="00E06CC4">
        <w:t xml:space="preserve"> the Bureau of Labor Statistics</w:t>
      </w:r>
      <w:r>
        <w:t>.</w:t>
      </w:r>
    </w:p>
    <w:p w:rsidR="00164D2D" w:rsidRPr="000E7D65" w:rsidP="00164D2D" w14:paraId="2E158ACE" w14:textId="77777777">
      <w:pPr>
        <w:numPr>
          <w:ilvl w:val="0"/>
          <w:numId w:val="1"/>
        </w:numPr>
        <w:rPr>
          <w:i/>
          <w:color w:val="000000" w:themeColor="text1"/>
          <w:szCs w:val="24"/>
          <w:highlight w:val="lightGray"/>
        </w:rPr>
      </w:pPr>
      <w:r w:rsidRPr="000E7D65">
        <w:rPr>
          <w:i/>
          <w:color w:val="000000" w:themeColor="text1"/>
          <w:szCs w:val="24"/>
          <w:highlight w:val="lightGray"/>
        </w:rPr>
        <w:t>Specify if the data gathered by this collection will be published</w:t>
      </w:r>
      <w:r w:rsidR="00DE4C54">
        <w:rPr>
          <w:i/>
          <w:color w:val="000000" w:themeColor="text1"/>
          <w:szCs w:val="24"/>
          <w:highlight w:val="lightGray"/>
        </w:rPr>
        <w:t xml:space="preserve">. </w:t>
      </w:r>
      <w:r w:rsidR="003E1394">
        <w:rPr>
          <w:i/>
          <w:color w:val="000000" w:themeColor="text1"/>
          <w:szCs w:val="24"/>
          <w:highlight w:val="lightGray"/>
        </w:rPr>
        <w:t xml:space="preserve">This could include </w:t>
      </w:r>
      <w:r w:rsidR="00C71CDC">
        <w:rPr>
          <w:i/>
          <w:color w:val="000000" w:themeColor="text1"/>
          <w:szCs w:val="24"/>
          <w:highlight w:val="lightGray"/>
        </w:rPr>
        <w:t xml:space="preserve">Congressional reporting, </w:t>
      </w:r>
      <w:r w:rsidR="00074B07">
        <w:rPr>
          <w:i/>
          <w:color w:val="000000" w:themeColor="text1"/>
          <w:szCs w:val="24"/>
          <w:highlight w:val="lightGray"/>
        </w:rPr>
        <w:t>using respondent number</w:t>
      </w:r>
      <w:r w:rsidR="008A4E15">
        <w:rPr>
          <w:i/>
          <w:color w:val="000000" w:themeColor="text1"/>
          <w:szCs w:val="24"/>
          <w:highlight w:val="lightGray"/>
        </w:rPr>
        <w:t>s</w:t>
      </w:r>
      <w:r w:rsidR="00074B07">
        <w:rPr>
          <w:i/>
          <w:color w:val="000000" w:themeColor="text1"/>
          <w:szCs w:val="24"/>
          <w:highlight w:val="lightGray"/>
        </w:rPr>
        <w:t xml:space="preserve"> in </w:t>
      </w:r>
      <w:r w:rsidR="003E1394">
        <w:rPr>
          <w:i/>
          <w:color w:val="000000" w:themeColor="text1"/>
          <w:szCs w:val="24"/>
          <w:highlight w:val="lightGray"/>
        </w:rPr>
        <w:t>budget justification</w:t>
      </w:r>
      <w:r w:rsidR="008A4E15">
        <w:rPr>
          <w:i/>
          <w:color w:val="000000" w:themeColor="text1"/>
          <w:szCs w:val="24"/>
          <w:highlight w:val="lightGray"/>
        </w:rPr>
        <w:t>, or other broad reporting</w:t>
      </w:r>
      <w:r w:rsidRPr="000E7D65">
        <w:rPr>
          <w:i/>
          <w:color w:val="000000" w:themeColor="text1"/>
          <w:szCs w:val="24"/>
          <w:highlight w:val="lightGray"/>
        </w:rPr>
        <w:t>.</w:t>
      </w:r>
    </w:p>
    <w:p w:rsidR="0019626A" w:rsidP="004929E6" w14:paraId="0B7ADDD3" w14:textId="7579D897">
      <w:pPr>
        <w:ind w:left="720"/>
      </w:pPr>
      <w:r>
        <w:t>The results of this ICR are not published</w:t>
      </w:r>
      <w:r w:rsidRPr="00741061" w:rsidR="00DF67ED">
        <w:t>.</w:t>
      </w:r>
      <w:r w:rsidR="008C7CEE">
        <w:t xml:space="preserve"> However, </w:t>
      </w:r>
      <w:r w:rsidRPr="008C7CEE" w:rsidR="008C7CEE">
        <w:t xml:space="preserve">there may </w:t>
      </w:r>
      <w:r w:rsidR="008C7CEE">
        <w:t xml:space="preserve">occasionally </w:t>
      </w:r>
      <w:r w:rsidRPr="008C7CEE" w:rsidR="008C7CEE">
        <w:t xml:space="preserve">be aggregate </w:t>
      </w:r>
      <w:r w:rsidR="008C7CEE">
        <w:t xml:space="preserve">data </w:t>
      </w:r>
      <w:r w:rsidRPr="008C7CEE" w:rsidR="008C7CEE">
        <w:t>report</w:t>
      </w:r>
      <w:r w:rsidR="008C7CEE">
        <w:t>ed</w:t>
      </w:r>
      <w:r w:rsidRPr="008C7CEE" w:rsidR="008C7CEE">
        <w:t xml:space="preserve"> as </w:t>
      </w:r>
      <w:r w:rsidR="008C7CEE">
        <w:t xml:space="preserve">needed for budget or </w:t>
      </w:r>
      <w:r w:rsidRPr="008C7CEE" w:rsidR="008C7CEE">
        <w:t>congressional</w:t>
      </w:r>
      <w:r w:rsidR="008C7CEE">
        <w:t xml:space="preserve"> reports or justifications</w:t>
      </w:r>
      <w:r w:rsidRPr="008C7CEE" w:rsidR="008C7CEE">
        <w:t>.</w:t>
      </w:r>
    </w:p>
    <w:p w:rsidR="002D23A0" w:rsidRPr="004929E6" w:rsidP="004929E6" w14:paraId="039CAB18" w14:textId="77777777">
      <w:pPr>
        <w:ind w:left="720"/>
        <w:rPr>
          <w:iCs/>
          <w:color w:val="000000" w:themeColor="text1"/>
          <w:szCs w:val="24"/>
        </w:rPr>
      </w:pPr>
    </w:p>
    <w:p w:rsidR="00164D2D" w:rsidRPr="000E7D65" w:rsidP="00164D2D" w14:paraId="2C5C571E" w14:textId="77777777">
      <w:pPr>
        <w:numPr>
          <w:ilvl w:val="0"/>
          <w:numId w:val="1"/>
        </w:numPr>
        <w:rPr>
          <w:i/>
          <w:color w:val="000000" w:themeColor="text1"/>
          <w:szCs w:val="24"/>
          <w:highlight w:val="lightGray"/>
        </w:rPr>
      </w:pPr>
      <w:r w:rsidRPr="000E7D65">
        <w:rPr>
          <w:i/>
          <w:color w:val="000000" w:themeColor="text1"/>
          <w:szCs w:val="24"/>
          <w:highlight w:val="lightGray"/>
        </w:rPr>
        <w:t>If applicable, explain the reason(s) for seeking approval to not display the OMB expiration date.</w:t>
      </w:r>
    </w:p>
    <w:p w:rsidR="00680CB5" w:rsidP="00680CB5" w14:paraId="6D86D17E" w14:textId="77777777">
      <w:pPr>
        <w:ind w:left="720"/>
      </w:pPr>
      <w:r>
        <w:t xml:space="preserve">We seek approval to not display the OMB clearance expiration date on the </w:t>
      </w:r>
      <w:r w:rsidR="005F5233">
        <w:t xml:space="preserve">paper </w:t>
      </w:r>
      <w:r>
        <w:t xml:space="preserve">forms and </w:t>
      </w:r>
      <w:r w:rsidR="005F5233">
        <w:t xml:space="preserve">the PSHBS electronic systems, but </w:t>
      </w:r>
      <w:r>
        <w:t xml:space="preserve">to communicate version changes to the public via the revision date. </w:t>
      </w:r>
      <w:r w:rsidR="005F5233">
        <w:t>OPM also seeks approval not to provide OMB control number during phone collections of information</w:t>
      </w:r>
      <w:r w:rsidR="004A005C">
        <w:t>.</w:t>
      </w:r>
    </w:p>
    <w:p w:rsidR="002F1199" w:rsidRPr="00CA4064" w:rsidP="00680CB5" w14:paraId="681FC66F" w14:textId="77777777">
      <w:pPr>
        <w:ind w:left="720"/>
        <w:rPr>
          <w:iCs/>
          <w:color w:val="000000" w:themeColor="text1"/>
          <w:szCs w:val="24"/>
        </w:rPr>
      </w:pPr>
    </w:p>
    <w:p w:rsidR="00F76776" w:rsidRPr="00ED3107" w14:paraId="260C6D50" w14:textId="77777777">
      <w:pPr>
        <w:numPr>
          <w:ilvl w:val="0"/>
          <w:numId w:val="1"/>
        </w:numPr>
        <w:tabs>
          <w:tab w:val="clear" w:pos="720"/>
        </w:tabs>
        <w:rPr>
          <w:highlight w:val="lightGray"/>
        </w:rPr>
      </w:pPr>
      <w:r w:rsidRPr="00ED3107">
        <w:rPr>
          <w:i/>
          <w:color w:val="000000" w:themeColor="text1"/>
          <w:szCs w:val="24"/>
          <w:highlight w:val="lightGray"/>
        </w:rPr>
        <w:t>Explain each exception to the topics of the certification statement identified in “</w:t>
      </w:r>
      <w:hyperlink r:id="rId14" w:history="1">
        <w:r w:rsidRPr="00ED3107">
          <w:rPr>
            <w:rStyle w:val="Hyperlink"/>
            <w:i/>
            <w:szCs w:val="24"/>
            <w:highlight w:val="lightGray"/>
          </w:rPr>
          <w:t>Certification for Paperwork Reduction Act Submissions</w:t>
        </w:r>
      </w:hyperlink>
      <w:r w:rsidRPr="00ED3107">
        <w:rPr>
          <w:i/>
          <w:color w:val="000000" w:themeColor="text1"/>
          <w:szCs w:val="24"/>
          <w:highlight w:val="lightGray"/>
        </w:rPr>
        <w:t>.”</w:t>
      </w:r>
      <w:r w:rsidRPr="00ED3107" w:rsidR="00164D2D">
        <w:rPr>
          <w:i/>
          <w:color w:val="000000" w:themeColor="text1"/>
          <w:szCs w:val="24"/>
          <w:highlight w:val="lightGray"/>
        </w:rPr>
        <w:t xml:space="preserve">  </w:t>
      </w:r>
    </w:p>
    <w:p w:rsidR="005D34C4" w:rsidP="00F76776" w14:paraId="45CA597F" w14:textId="77777777">
      <w:pPr>
        <w:ind w:left="720"/>
      </w:pPr>
      <w:r>
        <w:t>There are no exceptions.</w:t>
      </w:r>
    </w:p>
    <w:p w:rsidR="00385BF2" w:rsidRPr="00004AF1" w:rsidP="00F76776" w14:paraId="7ED84941" w14:textId="77777777">
      <w:pPr>
        <w:ind w:left="720"/>
      </w:pPr>
    </w:p>
    <w:p w:rsidR="00B07A1E" w:rsidRPr="00004AF1" w:rsidP="00B07A1E" w14:paraId="4A7F46F0" w14:textId="77777777">
      <w:pPr>
        <w:pStyle w:val="Heading1"/>
      </w:pPr>
      <w:r>
        <w:t xml:space="preserve">B. </w:t>
      </w:r>
      <w:r w:rsidRPr="00004AF1">
        <w:t>Collection of Information Employing Statistical Methods</w:t>
      </w:r>
    </w:p>
    <w:p w:rsidR="00B07A1E" w:rsidP="00B07A1E" w14:paraId="0FD136A3" w14:textId="77777777">
      <w:r w:rsidRPr="00004AF1">
        <w:tab/>
        <w:t>This collection does not employ statistical methods.</w:t>
      </w:r>
    </w:p>
    <w:p w:rsidR="00600A53" w14:paraId="6829CFB2" w14:textId="77777777"/>
    <w:sectPr w:rsidSect="00575946">
      <w:headerReference w:type="default" r:id="rId15"/>
      <w:footerReference w:type="first" r:id="rId16"/>
      <w:type w:val="continuous"/>
      <w:pgSz w:w="12240" w:h="15840" w:code="1"/>
      <w:pgMar w:top="720" w:right="720" w:bottom="720" w:left="72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72D6" w14:paraId="4B58FDE0" w14:textId="77777777">
    <w:pPr>
      <w:pStyle w:val="Footer"/>
    </w:pPr>
    <w:r>
      <w:rPr>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9601200</wp:posOffset>
              </wp:positionV>
              <wp:extent cx="7772400" cy="266700"/>
              <wp:effectExtent l="0" t="0" r="0" b="0"/>
              <wp:wrapNone/>
              <wp:docPr id="2" name="MSIPCM971348a8bd6990f36ff7cd25" descr="{&quot;HashCode&quot;:-14458544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6670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4C72D6" w:rsidRPr="004C72D6" w:rsidP="004C72D6" w14:paraId="363ED3E5" w14:textId="77777777">
                          <w:pPr>
                            <w:spacing w:after="0"/>
                            <w:jc w:val="center"/>
                            <w:rPr>
                              <w:color w:val="000000"/>
                              <w:sz w:val="20"/>
                            </w:rPr>
                          </w:pPr>
                          <w:r w:rsidRPr="004C72D6">
                            <w:rPr>
                              <w:color w:val="000000"/>
                              <w:sz w:val="20"/>
                            </w:rPr>
                            <w:t>SENSITIVE BUT UNCLASSIFIED</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971348a8bd6990f36ff7cd25" o:spid="_x0000_s2049" type="#_x0000_t202" alt="{&quot;HashCode&quot;:-1445854450,&quot;Height&quot;:792.0,&quot;Width&quot;:612.0,&quot;Placement&quot;:&quot;Footer&quot;,&quot;Index&quot;:&quot;FirstPage&quot;,&quot;Section&quot;:1,&quot;Top&quot;:0.0,&quot;Left&quot;:0.0}" style="width:612pt;height:21pt;margin-top:756pt;margin-left:0;mso-position-horizontal-relative:page;mso-position-vertical-relative:page;mso-wrap-distance-bottom:0;mso-wrap-distance-left:9pt;mso-wrap-distance-right:9pt;mso-wrap-distance-top:0;mso-wrap-style:square;position:absolute;visibility:visible;v-text-anchor:bottom;z-index:251659264" o:allowincell="f" filled="f" stroked="f" strokeweight="0.5pt">
              <v:textbox inset=",0,,0">
                <w:txbxContent>
                  <w:p w:rsidR="004C72D6" w:rsidRPr="004C72D6" w:rsidP="004C72D6" w14:paraId="7A98476C" w14:textId="71720024">
                    <w:pPr>
                      <w:spacing w:after="0"/>
                      <w:jc w:val="center"/>
                      <w:rPr>
                        <w:color w:val="000000"/>
                        <w:sz w:val="20"/>
                      </w:rPr>
                    </w:pPr>
                    <w:r w:rsidRPr="004C72D6">
                      <w:rPr>
                        <w:color w:val="000000"/>
                        <w:sz w:val="20"/>
                      </w:rPr>
                      <w:t>SENSITIVE BUT UNCLASSIFIED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74B96" w14:paraId="07611BEE" w14:textId="77777777">
    <w:pPr>
      <w:pStyle w:val="Header"/>
      <w:jc w:val="center"/>
    </w:pPr>
    <w:r>
      <w:rPr>
        <w:rStyle w:val="PageNumber"/>
      </w:rPr>
      <w:fldChar w:fldCharType="begin"/>
    </w:r>
    <w:r>
      <w:rPr>
        <w:rStyle w:val="PageNumber"/>
      </w:rPr>
      <w:instrText xml:space="preserve"> PAGE </w:instrText>
    </w:r>
    <w:r>
      <w:rPr>
        <w:rStyle w:val="PageNumber"/>
      </w:rPr>
      <w:fldChar w:fldCharType="separate"/>
    </w:r>
    <w:r w:rsidR="00764FA6">
      <w:rPr>
        <w:rStyle w:val="PageNumber"/>
        <w:noProof/>
      </w:rPr>
      <w:t>9</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03BE42D6"/>
    <w:multiLevelType w:val="hybridMultilevel"/>
    <w:tmpl w:val="BDA84E48"/>
    <w:lvl w:ilvl="0">
      <w:start w:val="1"/>
      <w:numFmt w:val="bullet"/>
      <w:lvlText w:val=""/>
      <w:lvlJc w:val="left"/>
      <w:pPr>
        <w:ind w:left="2520" w:hanging="360"/>
      </w:pPr>
      <w:rPr>
        <w:rFonts w:ascii="Symbol" w:hAnsi="Symbol"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2">
    <w:nsid w:val="05454C32"/>
    <w:multiLevelType w:val="hybridMultilevel"/>
    <w:tmpl w:val="20BC225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794639C"/>
    <w:multiLevelType w:val="hybridMultilevel"/>
    <w:tmpl w:val="5EA6889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8EA365F"/>
    <w:multiLevelType w:val="hybridMultilevel"/>
    <w:tmpl w:val="0310BCBE"/>
    <w:lvl w:ilvl="0">
      <w:start w:val="3"/>
      <w:numFmt w:val="decimal"/>
      <w:lvlText w:val="%1."/>
      <w:lvlJc w:val="left"/>
      <w:pPr>
        <w:tabs>
          <w:tab w:val="num" w:pos="720"/>
        </w:tabs>
        <w:ind w:left="720" w:hanging="360"/>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0D827694"/>
    <w:multiLevelType w:val="hybridMultilevel"/>
    <w:tmpl w:val="D9E850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0FA2638D"/>
    <w:multiLevelType w:val="hybridMultilevel"/>
    <w:tmpl w:val="C74AFDF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A1B1635"/>
    <w:multiLevelType w:val="hybridMultilevel"/>
    <w:tmpl w:val="6A547D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C4223A1"/>
    <w:multiLevelType w:val="hybridMultilevel"/>
    <w:tmpl w:val="3710C9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FD2970"/>
    <w:multiLevelType w:val="hybridMultilevel"/>
    <w:tmpl w:val="DE1EBB3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35A65C9C"/>
    <w:multiLevelType w:val="hybridMultilevel"/>
    <w:tmpl w:val="44E2E90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93E4667"/>
    <w:multiLevelType w:val="hybridMultilevel"/>
    <w:tmpl w:val="811A350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58E2B00"/>
    <w:multiLevelType w:val="hybridMultilevel"/>
    <w:tmpl w:val="D2800B4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E781F23"/>
    <w:multiLevelType w:val="hybridMultilevel"/>
    <w:tmpl w:val="22E8AB3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2223A49"/>
    <w:multiLevelType w:val="hybridMultilevel"/>
    <w:tmpl w:val="581EF50C"/>
    <w:lvl w:ilvl="0">
      <w:start w:val="1"/>
      <w:numFmt w:val="bullet"/>
      <w:lvlText w:val=""/>
      <w:lvlJc w:val="left"/>
      <w:pPr>
        <w:ind w:left="1080" w:hanging="360"/>
      </w:pPr>
      <w:rPr>
        <w:rFonts w:ascii="Symbol" w:hAnsi="Symbol"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nsid w:val="54866BC2"/>
    <w:multiLevelType w:val="hybridMultilevel"/>
    <w:tmpl w:val="A14A36C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59E73AAC"/>
    <w:multiLevelType w:val="hybridMultilevel"/>
    <w:tmpl w:val="6470966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6870E57"/>
    <w:multiLevelType w:val="hybridMultilevel"/>
    <w:tmpl w:val="B6E621D0"/>
    <w:lvl w:ilvl="0">
      <w:start w:val="1"/>
      <w:numFmt w:val="lowerLetter"/>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740A65F7"/>
    <w:multiLevelType w:val="hybridMultilevel"/>
    <w:tmpl w:val="4A8C6F7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328287208">
    <w:abstractNumId w:val="4"/>
  </w:num>
  <w:num w:numId="2" w16cid:durableId="1520270077">
    <w:abstractNumId w:val="15"/>
  </w:num>
  <w:num w:numId="3" w16cid:durableId="1166673236">
    <w:abstractNumId w:val="16"/>
  </w:num>
  <w:num w:numId="4" w16cid:durableId="93624903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1575016">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896459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9858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682520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85890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2804333">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7739864">
    <w:abstractNumId w:val="3"/>
  </w:num>
  <w:num w:numId="12" w16cid:durableId="14425401">
    <w:abstractNumId w:val="17"/>
  </w:num>
  <w:num w:numId="13" w16cid:durableId="923732746">
    <w:abstractNumId w:val="8"/>
  </w:num>
  <w:num w:numId="14" w16cid:durableId="342705304">
    <w:abstractNumId w:val="13"/>
  </w:num>
  <w:num w:numId="15" w16cid:durableId="1611010112">
    <w:abstractNumId w:val="0"/>
  </w:num>
  <w:num w:numId="16" w16cid:durableId="916403718">
    <w:abstractNumId w:val="18"/>
  </w:num>
  <w:num w:numId="17" w16cid:durableId="967735682">
    <w:abstractNumId w:val="2"/>
  </w:num>
  <w:num w:numId="18" w16cid:durableId="402799634">
    <w:abstractNumId w:val="1"/>
  </w:num>
  <w:num w:numId="19" w16cid:durableId="44137836">
    <w:abstractNumId w:val="12"/>
  </w:num>
  <w:num w:numId="20" w16cid:durableId="1462185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oNotTrackFormatting/>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A1E"/>
    <w:rsid w:val="00000201"/>
    <w:rsid w:val="000006F1"/>
    <w:rsid w:val="00000AE3"/>
    <w:rsid w:val="000013AA"/>
    <w:rsid w:val="000013C5"/>
    <w:rsid w:val="0000323A"/>
    <w:rsid w:val="000038E2"/>
    <w:rsid w:val="00004AF1"/>
    <w:rsid w:val="000051CE"/>
    <w:rsid w:val="00007F26"/>
    <w:rsid w:val="00010794"/>
    <w:rsid w:val="00011A41"/>
    <w:rsid w:val="00013A57"/>
    <w:rsid w:val="0002079A"/>
    <w:rsid w:val="00024CAF"/>
    <w:rsid w:val="000250B2"/>
    <w:rsid w:val="00025B31"/>
    <w:rsid w:val="00025CE5"/>
    <w:rsid w:val="00026EB2"/>
    <w:rsid w:val="00026F6A"/>
    <w:rsid w:val="000277FD"/>
    <w:rsid w:val="000318C6"/>
    <w:rsid w:val="0003285E"/>
    <w:rsid w:val="00035581"/>
    <w:rsid w:val="00035F58"/>
    <w:rsid w:val="00036747"/>
    <w:rsid w:val="0003750B"/>
    <w:rsid w:val="00037C40"/>
    <w:rsid w:val="00040E48"/>
    <w:rsid w:val="00040FDD"/>
    <w:rsid w:val="0004496A"/>
    <w:rsid w:val="000456B5"/>
    <w:rsid w:val="00051E44"/>
    <w:rsid w:val="00057F38"/>
    <w:rsid w:val="00060AC6"/>
    <w:rsid w:val="00062D74"/>
    <w:rsid w:val="00063BC5"/>
    <w:rsid w:val="00065427"/>
    <w:rsid w:val="00065451"/>
    <w:rsid w:val="00065A6D"/>
    <w:rsid w:val="000721C2"/>
    <w:rsid w:val="00072AFE"/>
    <w:rsid w:val="00074637"/>
    <w:rsid w:val="00074B07"/>
    <w:rsid w:val="00074B96"/>
    <w:rsid w:val="00074BEB"/>
    <w:rsid w:val="000763DA"/>
    <w:rsid w:val="00081339"/>
    <w:rsid w:val="0008222A"/>
    <w:rsid w:val="00082794"/>
    <w:rsid w:val="00090488"/>
    <w:rsid w:val="000917FB"/>
    <w:rsid w:val="00093DF5"/>
    <w:rsid w:val="000963AD"/>
    <w:rsid w:val="00097491"/>
    <w:rsid w:val="000A02F7"/>
    <w:rsid w:val="000A2B1B"/>
    <w:rsid w:val="000A7A90"/>
    <w:rsid w:val="000B0F97"/>
    <w:rsid w:val="000B1AEB"/>
    <w:rsid w:val="000B2CEB"/>
    <w:rsid w:val="000B65F7"/>
    <w:rsid w:val="000B7F6C"/>
    <w:rsid w:val="000C017A"/>
    <w:rsid w:val="000C2F29"/>
    <w:rsid w:val="000C42C8"/>
    <w:rsid w:val="000D15A5"/>
    <w:rsid w:val="000D4238"/>
    <w:rsid w:val="000D4738"/>
    <w:rsid w:val="000D4E7D"/>
    <w:rsid w:val="000D7E72"/>
    <w:rsid w:val="000E0DB3"/>
    <w:rsid w:val="000E4652"/>
    <w:rsid w:val="000E5162"/>
    <w:rsid w:val="000E5B79"/>
    <w:rsid w:val="000E6AF3"/>
    <w:rsid w:val="000E7D65"/>
    <w:rsid w:val="000F655E"/>
    <w:rsid w:val="00100BF5"/>
    <w:rsid w:val="00101745"/>
    <w:rsid w:val="001017DA"/>
    <w:rsid w:val="00102C74"/>
    <w:rsid w:val="001035B2"/>
    <w:rsid w:val="00103F7A"/>
    <w:rsid w:val="0010409B"/>
    <w:rsid w:val="00105866"/>
    <w:rsid w:val="00107FFE"/>
    <w:rsid w:val="00112518"/>
    <w:rsid w:val="00112A9F"/>
    <w:rsid w:val="00113CC6"/>
    <w:rsid w:val="001164FD"/>
    <w:rsid w:val="001169E9"/>
    <w:rsid w:val="00117881"/>
    <w:rsid w:val="001179EC"/>
    <w:rsid w:val="00117B8B"/>
    <w:rsid w:val="00123E2A"/>
    <w:rsid w:val="00125DE8"/>
    <w:rsid w:val="0012736C"/>
    <w:rsid w:val="0012784D"/>
    <w:rsid w:val="00130CC9"/>
    <w:rsid w:val="00130D04"/>
    <w:rsid w:val="00130FEC"/>
    <w:rsid w:val="00132CF9"/>
    <w:rsid w:val="00133A50"/>
    <w:rsid w:val="00137188"/>
    <w:rsid w:val="00137421"/>
    <w:rsid w:val="00142990"/>
    <w:rsid w:val="00146E5F"/>
    <w:rsid w:val="0014755A"/>
    <w:rsid w:val="0015357D"/>
    <w:rsid w:val="00153A8C"/>
    <w:rsid w:val="00154631"/>
    <w:rsid w:val="00155AFA"/>
    <w:rsid w:val="0015697F"/>
    <w:rsid w:val="00160100"/>
    <w:rsid w:val="001626A6"/>
    <w:rsid w:val="001638E2"/>
    <w:rsid w:val="00164D2D"/>
    <w:rsid w:val="00165B7C"/>
    <w:rsid w:val="00166672"/>
    <w:rsid w:val="00171F4A"/>
    <w:rsid w:val="001730D5"/>
    <w:rsid w:val="00177EB8"/>
    <w:rsid w:val="00180266"/>
    <w:rsid w:val="00180FDC"/>
    <w:rsid w:val="0018296D"/>
    <w:rsid w:val="0019362C"/>
    <w:rsid w:val="0019458A"/>
    <w:rsid w:val="001961AD"/>
    <w:rsid w:val="0019626A"/>
    <w:rsid w:val="00196E04"/>
    <w:rsid w:val="001A1B54"/>
    <w:rsid w:val="001A3BB3"/>
    <w:rsid w:val="001A55D1"/>
    <w:rsid w:val="001A5615"/>
    <w:rsid w:val="001A74CE"/>
    <w:rsid w:val="001B0CE3"/>
    <w:rsid w:val="001B2072"/>
    <w:rsid w:val="001B4188"/>
    <w:rsid w:val="001B43FB"/>
    <w:rsid w:val="001C1A65"/>
    <w:rsid w:val="001C2946"/>
    <w:rsid w:val="001C4E9D"/>
    <w:rsid w:val="001C5349"/>
    <w:rsid w:val="001C5C67"/>
    <w:rsid w:val="001C6132"/>
    <w:rsid w:val="001C6811"/>
    <w:rsid w:val="001D00F3"/>
    <w:rsid w:val="001D032C"/>
    <w:rsid w:val="001D11E8"/>
    <w:rsid w:val="001D13D2"/>
    <w:rsid w:val="001D3DA5"/>
    <w:rsid w:val="001D441F"/>
    <w:rsid w:val="001D66AE"/>
    <w:rsid w:val="001D67D9"/>
    <w:rsid w:val="001E16AA"/>
    <w:rsid w:val="001E2509"/>
    <w:rsid w:val="001E31B3"/>
    <w:rsid w:val="001E35E1"/>
    <w:rsid w:val="001E3D82"/>
    <w:rsid w:val="001E55D7"/>
    <w:rsid w:val="001F10A3"/>
    <w:rsid w:val="001F1BFC"/>
    <w:rsid w:val="001F303C"/>
    <w:rsid w:val="001F40D6"/>
    <w:rsid w:val="001F4816"/>
    <w:rsid w:val="001F5382"/>
    <w:rsid w:val="001F5B68"/>
    <w:rsid w:val="001F61F8"/>
    <w:rsid w:val="002004F1"/>
    <w:rsid w:val="00204505"/>
    <w:rsid w:val="00205648"/>
    <w:rsid w:val="002143C3"/>
    <w:rsid w:val="00215D7E"/>
    <w:rsid w:val="002160B7"/>
    <w:rsid w:val="0021619B"/>
    <w:rsid w:val="00217873"/>
    <w:rsid w:val="002202F7"/>
    <w:rsid w:val="002227E9"/>
    <w:rsid w:val="0022447A"/>
    <w:rsid w:val="00225340"/>
    <w:rsid w:val="002261C3"/>
    <w:rsid w:val="00226347"/>
    <w:rsid w:val="00236251"/>
    <w:rsid w:val="0024102A"/>
    <w:rsid w:val="002414EA"/>
    <w:rsid w:val="00241DED"/>
    <w:rsid w:val="00242C21"/>
    <w:rsid w:val="002472A0"/>
    <w:rsid w:val="00251511"/>
    <w:rsid w:val="00252D8B"/>
    <w:rsid w:val="00253DDC"/>
    <w:rsid w:val="00256843"/>
    <w:rsid w:val="00256BE1"/>
    <w:rsid w:val="002611B6"/>
    <w:rsid w:val="002611DA"/>
    <w:rsid w:val="002643D0"/>
    <w:rsid w:val="00264BDC"/>
    <w:rsid w:val="002678F5"/>
    <w:rsid w:val="00272304"/>
    <w:rsid w:val="00272E80"/>
    <w:rsid w:val="0027343A"/>
    <w:rsid w:val="00274863"/>
    <w:rsid w:val="00275C5C"/>
    <w:rsid w:val="0027731C"/>
    <w:rsid w:val="00283BDE"/>
    <w:rsid w:val="00284010"/>
    <w:rsid w:val="00284978"/>
    <w:rsid w:val="00285763"/>
    <w:rsid w:val="002900D3"/>
    <w:rsid w:val="0029077A"/>
    <w:rsid w:val="00290C85"/>
    <w:rsid w:val="00293674"/>
    <w:rsid w:val="00293A4E"/>
    <w:rsid w:val="00293B11"/>
    <w:rsid w:val="00293B55"/>
    <w:rsid w:val="00296758"/>
    <w:rsid w:val="002967DC"/>
    <w:rsid w:val="00296C5C"/>
    <w:rsid w:val="002A5340"/>
    <w:rsid w:val="002A57D8"/>
    <w:rsid w:val="002A68DB"/>
    <w:rsid w:val="002A7860"/>
    <w:rsid w:val="002A795D"/>
    <w:rsid w:val="002B0ADC"/>
    <w:rsid w:val="002B1D7A"/>
    <w:rsid w:val="002B32E5"/>
    <w:rsid w:val="002B339F"/>
    <w:rsid w:val="002B4D8E"/>
    <w:rsid w:val="002C238D"/>
    <w:rsid w:val="002C288B"/>
    <w:rsid w:val="002C69D1"/>
    <w:rsid w:val="002C7C77"/>
    <w:rsid w:val="002D23A0"/>
    <w:rsid w:val="002D4FA9"/>
    <w:rsid w:val="002E2C82"/>
    <w:rsid w:val="002E3F22"/>
    <w:rsid w:val="002E3F96"/>
    <w:rsid w:val="002E55C4"/>
    <w:rsid w:val="002E646A"/>
    <w:rsid w:val="002F1199"/>
    <w:rsid w:val="002F1C33"/>
    <w:rsid w:val="002F2F34"/>
    <w:rsid w:val="002F3583"/>
    <w:rsid w:val="002F3DBD"/>
    <w:rsid w:val="002F54E2"/>
    <w:rsid w:val="002F57DD"/>
    <w:rsid w:val="00300524"/>
    <w:rsid w:val="00300BBB"/>
    <w:rsid w:val="00300E76"/>
    <w:rsid w:val="003020F1"/>
    <w:rsid w:val="00302DA1"/>
    <w:rsid w:val="00304A96"/>
    <w:rsid w:val="003067D4"/>
    <w:rsid w:val="00311695"/>
    <w:rsid w:val="003120CB"/>
    <w:rsid w:val="0031314A"/>
    <w:rsid w:val="0031352B"/>
    <w:rsid w:val="00317605"/>
    <w:rsid w:val="00317986"/>
    <w:rsid w:val="003207D9"/>
    <w:rsid w:val="0032255E"/>
    <w:rsid w:val="003226C3"/>
    <w:rsid w:val="003237E8"/>
    <w:rsid w:val="003239DA"/>
    <w:rsid w:val="00323B4B"/>
    <w:rsid w:val="00332725"/>
    <w:rsid w:val="0033296E"/>
    <w:rsid w:val="00332F89"/>
    <w:rsid w:val="0033422A"/>
    <w:rsid w:val="003343AA"/>
    <w:rsid w:val="00334DEA"/>
    <w:rsid w:val="00340C3A"/>
    <w:rsid w:val="0034183D"/>
    <w:rsid w:val="00343D6A"/>
    <w:rsid w:val="00346275"/>
    <w:rsid w:val="0034639D"/>
    <w:rsid w:val="00346977"/>
    <w:rsid w:val="0035002D"/>
    <w:rsid w:val="00351155"/>
    <w:rsid w:val="003530C1"/>
    <w:rsid w:val="00353703"/>
    <w:rsid w:val="003547A3"/>
    <w:rsid w:val="00364AAB"/>
    <w:rsid w:val="003664ED"/>
    <w:rsid w:val="00370B66"/>
    <w:rsid w:val="0037451F"/>
    <w:rsid w:val="00380315"/>
    <w:rsid w:val="003817D0"/>
    <w:rsid w:val="003820C9"/>
    <w:rsid w:val="0038407E"/>
    <w:rsid w:val="00385BF2"/>
    <w:rsid w:val="00387B05"/>
    <w:rsid w:val="003926D9"/>
    <w:rsid w:val="00393019"/>
    <w:rsid w:val="0039524D"/>
    <w:rsid w:val="003A0B68"/>
    <w:rsid w:val="003A6568"/>
    <w:rsid w:val="003A7CC0"/>
    <w:rsid w:val="003A7E2E"/>
    <w:rsid w:val="003B055D"/>
    <w:rsid w:val="003B0A0B"/>
    <w:rsid w:val="003B23F1"/>
    <w:rsid w:val="003B6CE6"/>
    <w:rsid w:val="003C14A0"/>
    <w:rsid w:val="003C2C3B"/>
    <w:rsid w:val="003C563C"/>
    <w:rsid w:val="003C6011"/>
    <w:rsid w:val="003C66E8"/>
    <w:rsid w:val="003C7780"/>
    <w:rsid w:val="003D217F"/>
    <w:rsid w:val="003D3BBE"/>
    <w:rsid w:val="003D58EC"/>
    <w:rsid w:val="003E049D"/>
    <w:rsid w:val="003E1394"/>
    <w:rsid w:val="003E1816"/>
    <w:rsid w:val="003E2147"/>
    <w:rsid w:val="003E2F8F"/>
    <w:rsid w:val="003E3E59"/>
    <w:rsid w:val="003E5052"/>
    <w:rsid w:val="003E50FC"/>
    <w:rsid w:val="003E6B5E"/>
    <w:rsid w:val="003F0ECA"/>
    <w:rsid w:val="003F1585"/>
    <w:rsid w:val="003F1687"/>
    <w:rsid w:val="003F5CC6"/>
    <w:rsid w:val="003F67CE"/>
    <w:rsid w:val="003F7B53"/>
    <w:rsid w:val="00400186"/>
    <w:rsid w:val="0040101F"/>
    <w:rsid w:val="00402508"/>
    <w:rsid w:val="0040452D"/>
    <w:rsid w:val="004047E0"/>
    <w:rsid w:val="004049DC"/>
    <w:rsid w:val="00404A51"/>
    <w:rsid w:val="004106E3"/>
    <w:rsid w:val="00411E8E"/>
    <w:rsid w:val="00417037"/>
    <w:rsid w:val="00423BD3"/>
    <w:rsid w:val="004248BA"/>
    <w:rsid w:val="0042581F"/>
    <w:rsid w:val="00426096"/>
    <w:rsid w:val="00431686"/>
    <w:rsid w:val="004324D1"/>
    <w:rsid w:val="00432FB8"/>
    <w:rsid w:val="0043489C"/>
    <w:rsid w:val="00434925"/>
    <w:rsid w:val="0043557A"/>
    <w:rsid w:val="00435714"/>
    <w:rsid w:val="00435AA0"/>
    <w:rsid w:val="00436FC5"/>
    <w:rsid w:val="0044203B"/>
    <w:rsid w:val="00443F82"/>
    <w:rsid w:val="00444EDD"/>
    <w:rsid w:val="004462C3"/>
    <w:rsid w:val="00446A82"/>
    <w:rsid w:val="00447791"/>
    <w:rsid w:val="0045295C"/>
    <w:rsid w:val="00452BC4"/>
    <w:rsid w:val="00452C45"/>
    <w:rsid w:val="00453649"/>
    <w:rsid w:val="0045454A"/>
    <w:rsid w:val="00454D1A"/>
    <w:rsid w:val="004552E6"/>
    <w:rsid w:val="00456995"/>
    <w:rsid w:val="00460791"/>
    <w:rsid w:val="00461B3E"/>
    <w:rsid w:val="00462264"/>
    <w:rsid w:val="00462EE5"/>
    <w:rsid w:val="004639FC"/>
    <w:rsid w:val="00464EE9"/>
    <w:rsid w:val="00465D97"/>
    <w:rsid w:val="00466D1A"/>
    <w:rsid w:val="00466D74"/>
    <w:rsid w:val="0046702C"/>
    <w:rsid w:val="004675CD"/>
    <w:rsid w:val="004679E2"/>
    <w:rsid w:val="004709ED"/>
    <w:rsid w:val="00476519"/>
    <w:rsid w:val="004771F7"/>
    <w:rsid w:val="0048009B"/>
    <w:rsid w:val="00480F51"/>
    <w:rsid w:val="00484EDF"/>
    <w:rsid w:val="00486626"/>
    <w:rsid w:val="004872CB"/>
    <w:rsid w:val="004929E6"/>
    <w:rsid w:val="004939BA"/>
    <w:rsid w:val="0049569A"/>
    <w:rsid w:val="00495AF7"/>
    <w:rsid w:val="00496DD0"/>
    <w:rsid w:val="00497226"/>
    <w:rsid w:val="004975F1"/>
    <w:rsid w:val="00497F91"/>
    <w:rsid w:val="004A005C"/>
    <w:rsid w:val="004A0EA3"/>
    <w:rsid w:val="004A14B5"/>
    <w:rsid w:val="004A28BD"/>
    <w:rsid w:val="004A69EE"/>
    <w:rsid w:val="004A7496"/>
    <w:rsid w:val="004A7D67"/>
    <w:rsid w:val="004B01E4"/>
    <w:rsid w:val="004B068C"/>
    <w:rsid w:val="004B0AB8"/>
    <w:rsid w:val="004B32CB"/>
    <w:rsid w:val="004B3934"/>
    <w:rsid w:val="004B5D7A"/>
    <w:rsid w:val="004B5F88"/>
    <w:rsid w:val="004C02CE"/>
    <w:rsid w:val="004C24A6"/>
    <w:rsid w:val="004C2825"/>
    <w:rsid w:val="004C4BE6"/>
    <w:rsid w:val="004C6C5C"/>
    <w:rsid w:val="004C72D6"/>
    <w:rsid w:val="004D116C"/>
    <w:rsid w:val="004E14F9"/>
    <w:rsid w:val="004E5CDA"/>
    <w:rsid w:val="004E75A2"/>
    <w:rsid w:val="004F07CB"/>
    <w:rsid w:val="004F0902"/>
    <w:rsid w:val="004F09EB"/>
    <w:rsid w:val="004F32C9"/>
    <w:rsid w:val="0050055C"/>
    <w:rsid w:val="00502B17"/>
    <w:rsid w:val="00506CD5"/>
    <w:rsid w:val="00511B68"/>
    <w:rsid w:val="00516883"/>
    <w:rsid w:val="00517D2A"/>
    <w:rsid w:val="0052070F"/>
    <w:rsid w:val="00520799"/>
    <w:rsid w:val="00520D9C"/>
    <w:rsid w:val="00520DE5"/>
    <w:rsid w:val="005222AB"/>
    <w:rsid w:val="0052263F"/>
    <w:rsid w:val="00523046"/>
    <w:rsid w:val="00524283"/>
    <w:rsid w:val="00524B2C"/>
    <w:rsid w:val="005255F6"/>
    <w:rsid w:val="00525D54"/>
    <w:rsid w:val="00526199"/>
    <w:rsid w:val="00536486"/>
    <w:rsid w:val="0053774C"/>
    <w:rsid w:val="00543F6A"/>
    <w:rsid w:val="00544BE1"/>
    <w:rsid w:val="00545207"/>
    <w:rsid w:val="00546372"/>
    <w:rsid w:val="00550695"/>
    <w:rsid w:val="00550873"/>
    <w:rsid w:val="005566D7"/>
    <w:rsid w:val="005572E8"/>
    <w:rsid w:val="00557DF7"/>
    <w:rsid w:val="005603D7"/>
    <w:rsid w:val="005613F8"/>
    <w:rsid w:val="00561F24"/>
    <w:rsid w:val="00562271"/>
    <w:rsid w:val="005626BC"/>
    <w:rsid w:val="005652D1"/>
    <w:rsid w:val="005656F4"/>
    <w:rsid w:val="00572C78"/>
    <w:rsid w:val="00572DD5"/>
    <w:rsid w:val="00573327"/>
    <w:rsid w:val="005735A3"/>
    <w:rsid w:val="00575946"/>
    <w:rsid w:val="0057615E"/>
    <w:rsid w:val="00576D87"/>
    <w:rsid w:val="00580A3C"/>
    <w:rsid w:val="00580C25"/>
    <w:rsid w:val="005816E5"/>
    <w:rsid w:val="005855A1"/>
    <w:rsid w:val="0058630D"/>
    <w:rsid w:val="00586347"/>
    <w:rsid w:val="00586BA9"/>
    <w:rsid w:val="005940E3"/>
    <w:rsid w:val="0059553B"/>
    <w:rsid w:val="00595F4A"/>
    <w:rsid w:val="00596794"/>
    <w:rsid w:val="005A1271"/>
    <w:rsid w:val="005A4385"/>
    <w:rsid w:val="005A4B89"/>
    <w:rsid w:val="005A4C23"/>
    <w:rsid w:val="005A5783"/>
    <w:rsid w:val="005A5805"/>
    <w:rsid w:val="005A657F"/>
    <w:rsid w:val="005B1243"/>
    <w:rsid w:val="005B1D6D"/>
    <w:rsid w:val="005B40B9"/>
    <w:rsid w:val="005C0B7F"/>
    <w:rsid w:val="005C1614"/>
    <w:rsid w:val="005C4152"/>
    <w:rsid w:val="005C4711"/>
    <w:rsid w:val="005C784C"/>
    <w:rsid w:val="005D30C2"/>
    <w:rsid w:val="005D34C4"/>
    <w:rsid w:val="005D51B0"/>
    <w:rsid w:val="005D5CF8"/>
    <w:rsid w:val="005D6804"/>
    <w:rsid w:val="005D7C4D"/>
    <w:rsid w:val="005E0878"/>
    <w:rsid w:val="005E56BA"/>
    <w:rsid w:val="005E6453"/>
    <w:rsid w:val="005F07BD"/>
    <w:rsid w:val="005F0FBA"/>
    <w:rsid w:val="005F174F"/>
    <w:rsid w:val="005F292D"/>
    <w:rsid w:val="005F358D"/>
    <w:rsid w:val="005F4AE4"/>
    <w:rsid w:val="005F5233"/>
    <w:rsid w:val="005F65B3"/>
    <w:rsid w:val="005F66DC"/>
    <w:rsid w:val="006007AB"/>
    <w:rsid w:val="00600A53"/>
    <w:rsid w:val="00600D79"/>
    <w:rsid w:val="00601120"/>
    <w:rsid w:val="006035BE"/>
    <w:rsid w:val="0060731F"/>
    <w:rsid w:val="00610500"/>
    <w:rsid w:val="006124B8"/>
    <w:rsid w:val="00612E49"/>
    <w:rsid w:val="006144B1"/>
    <w:rsid w:val="00615410"/>
    <w:rsid w:val="0061598A"/>
    <w:rsid w:val="00617AF5"/>
    <w:rsid w:val="00620081"/>
    <w:rsid w:val="00621E4B"/>
    <w:rsid w:val="0062336C"/>
    <w:rsid w:val="00634F72"/>
    <w:rsid w:val="00635FDB"/>
    <w:rsid w:val="00636298"/>
    <w:rsid w:val="006369CA"/>
    <w:rsid w:val="00637FF8"/>
    <w:rsid w:val="00641D96"/>
    <w:rsid w:val="00642751"/>
    <w:rsid w:val="006449C9"/>
    <w:rsid w:val="006470D9"/>
    <w:rsid w:val="00647775"/>
    <w:rsid w:val="00650E73"/>
    <w:rsid w:val="00651B86"/>
    <w:rsid w:val="006526A2"/>
    <w:rsid w:val="006529C7"/>
    <w:rsid w:val="00652A6F"/>
    <w:rsid w:val="00653D51"/>
    <w:rsid w:val="006600BA"/>
    <w:rsid w:val="0066156B"/>
    <w:rsid w:val="006630D5"/>
    <w:rsid w:val="00663C1D"/>
    <w:rsid w:val="006640B3"/>
    <w:rsid w:val="00666DDF"/>
    <w:rsid w:val="00670C16"/>
    <w:rsid w:val="006719F8"/>
    <w:rsid w:val="00675E24"/>
    <w:rsid w:val="0067650E"/>
    <w:rsid w:val="00677D4B"/>
    <w:rsid w:val="006809ED"/>
    <w:rsid w:val="00680CB5"/>
    <w:rsid w:val="00684590"/>
    <w:rsid w:val="0068747E"/>
    <w:rsid w:val="00687BA7"/>
    <w:rsid w:val="00690F89"/>
    <w:rsid w:val="0069116B"/>
    <w:rsid w:val="00692A07"/>
    <w:rsid w:val="00692A2D"/>
    <w:rsid w:val="00694A13"/>
    <w:rsid w:val="00695563"/>
    <w:rsid w:val="006A00E4"/>
    <w:rsid w:val="006A524E"/>
    <w:rsid w:val="006A6C29"/>
    <w:rsid w:val="006B35F6"/>
    <w:rsid w:val="006B3811"/>
    <w:rsid w:val="006B57EF"/>
    <w:rsid w:val="006B621E"/>
    <w:rsid w:val="006B6D2A"/>
    <w:rsid w:val="006B74D0"/>
    <w:rsid w:val="006B7ED2"/>
    <w:rsid w:val="006C1C35"/>
    <w:rsid w:val="006C49B8"/>
    <w:rsid w:val="006D1AF2"/>
    <w:rsid w:val="006D3DB2"/>
    <w:rsid w:val="006D3E5F"/>
    <w:rsid w:val="006D4011"/>
    <w:rsid w:val="006E0BBB"/>
    <w:rsid w:val="006E329B"/>
    <w:rsid w:val="006E4479"/>
    <w:rsid w:val="006E4CDD"/>
    <w:rsid w:val="006F0024"/>
    <w:rsid w:val="006F1101"/>
    <w:rsid w:val="006F1E67"/>
    <w:rsid w:val="006F2268"/>
    <w:rsid w:val="006F567C"/>
    <w:rsid w:val="006F6C6A"/>
    <w:rsid w:val="00700AA5"/>
    <w:rsid w:val="00702571"/>
    <w:rsid w:val="00702C41"/>
    <w:rsid w:val="0070365A"/>
    <w:rsid w:val="007037D4"/>
    <w:rsid w:val="00703EFA"/>
    <w:rsid w:val="007040AB"/>
    <w:rsid w:val="00706205"/>
    <w:rsid w:val="0070743A"/>
    <w:rsid w:val="0071103E"/>
    <w:rsid w:val="00711432"/>
    <w:rsid w:val="00711D95"/>
    <w:rsid w:val="007126D9"/>
    <w:rsid w:val="0071488D"/>
    <w:rsid w:val="00715D38"/>
    <w:rsid w:val="007200FC"/>
    <w:rsid w:val="00721D56"/>
    <w:rsid w:val="0072282A"/>
    <w:rsid w:val="0072370F"/>
    <w:rsid w:val="00723ADF"/>
    <w:rsid w:val="00725166"/>
    <w:rsid w:val="00725B29"/>
    <w:rsid w:val="00726141"/>
    <w:rsid w:val="0072648E"/>
    <w:rsid w:val="00727449"/>
    <w:rsid w:val="00730AD2"/>
    <w:rsid w:val="007319D7"/>
    <w:rsid w:val="0073339B"/>
    <w:rsid w:val="0073385E"/>
    <w:rsid w:val="007351AD"/>
    <w:rsid w:val="007364B3"/>
    <w:rsid w:val="00736E9D"/>
    <w:rsid w:val="00736EA6"/>
    <w:rsid w:val="00740E1D"/>
    <w:rsid w:val="00741061"/>
    <w:rsid w:val="007418C9"/>
    <w:rsid w:val="007425AD"/>
    <w:rsid w:val="00744D86"/>
    <w:rsid w:val="00747C33"/>
    <w:rsid w:val="00751C04"/>
    <w:rsid w:val="0075202A"/>
    <w:rsid w:val="00752183"/>
    <w:rsid w:val="00752184"/>
    <w:rsid w:val="00753043"/>
    <w:rsid w:val="00753775"/>
    <w:rsid w:val="00754CE0"/>
    <w:rsid w:val="00756E07"/>
    <w:rsid w:val="00760440"/>
    <w:rsid w:val="00760EB6"/>
    <w:rsid w:val="00761DED"/>
    <w:rsid w:val="0076490F"/>
    <w:rsid w:val="00764FA6"/>
    <w:rsid w:val="00767719"/>
    <w:rsid w:val="00767A47"/>
    <w:rsid w:val="00771AC2"/>
    <w:rsid w:val="00773393"/>
    <w:rsid w:val="00777C6A"/>
    <w:rsid w:val="00777E33"/>
    <w:rsid w:val="007823ED"/>
    <w:rsid w:val="00785B4E"/>
    <w:rsid w:val="00785EE7"/>
    <w:rsid w:val="0078750C"/>
    <w:rsid w:val="0079058B"/>
    <w:rsid w:val="007915C9"/>
    <w:rsid w:val="00791D5C"/>
    <w:rsid w:val="00792C6F"/>
    <w:rsid w:val="007930EE"/>
    <w:rsid w:val="007A0283"/>
    <w:rsid w:val="007A0B7E"/>
    <w:rsid w:val="007A3A1D"/>
    <w:rsid w:val="007A48CE"/>
    <w:rsid w:val="007A7515"/>
    <w:rsid w:val="007B09D2"/>
    <w:rsid w:val="007B3115"/>
    <w:rsid w:val="007B4136"/>
    <w:rsid w:val="007B7243"/>
    <w:rsid w:val="007C2A74"/>
    <w:rsid w:val="007C3654"/>
    <w:rsid w:val="007C6233"/>
    <w:rsid w:val="007C6EF9"/>
    <w:rsid w:val="007C74DD"/>
    <w:rsid w:val="007D0915"/>
    <w:rsid w:val="007D22AA"/>
    <w:rsid w:val="007D3457"/>
    <w:rsid w:val="007D5401"/>
    <w:rsid w:val="007D62BC"/>
    <w:rsid w:val="007D74E7"/>
    <w:rsid w:val="007D76E0"/>
    <w:rsid w:val="007E04D3"/>
    <w:rsid w:val="007E0EB5"/>
    <w:rsid w:val="007E1416"/>
    <w:rsid w:val="007E2E05"/>
    <w:rsid w:val="007E4529"/>
    <w:rsid w:val="007F1595"/>
    <w:rsid w:val="007F3055"/>
    <w:rsid w:val="007F6DD8"/>
    <w:rsid w:val="008003C0"/>
    <w:rsid w:val="00801226"/>
    <w:rsid w:val="00806222"/>
    <w:rsid w:val="00811158"/>
    <w:rsid w:val="00813556"/>
    <w:rsid w:val="00813B05"/>
    <w:rsid w:val="008169F4"/>
    <w:rsid w:val="00822377"/>
    <w:rsid w:val="0082469E"/>
    <w:rsid w:val="00824CF4"/>
    <w:rsid w:val="0082620A"/>
    <w:rsid w:val="008265C9"/>
    <w:rsid w:val="008269D7"/>
    <w:rsid w:val="008312D7"/>
    <w:rsid w:val="0083174C"/>
    <w:rsid w:val="008339D1"/>
    <w:rsid w:val="008347B3"/>
    <w:rsid w:val="00834A82"/>
    <w:rsid w:val="00835418"/>
    <w:rsid w:val="00835754"/>
    <w:rsid w:val="008370CB"/>
    <w:rsid w:val="00837644"/>
    <w:rsid w:val="00837A83"/>
    <w:rsid w:val="00837B09"/>
    <w:rsid w:val="0084046A"/>
    <w:rsid w:val="00844085"/>
    <w:rsid w:val="008464A7"/>
    <w:rsid w:val="00851085"/>
    <w:rsid w:val="00852254"/>
    <w:rsid w:val="008527EE"/>
    <w:rsid w:val="00852970"/>
    <w:rsid w:val="008543FC"/>
    <w:rsid w:val="00854DB6"/>
    <w:rsid w:val="00855221"/>
    <w:rsid w:val="008556D9"/>
    <w:rsid w:val="00855763"/>
    <w:rsid w:val="008639C9"/>
    <w:rsid w:val="00864C15"/>
    <w:rsid w:val="008659DA"/>
    <w:rsid w:val="00870A64"/>
    <w:rsid w:val="00871CC3"/>
    <w:rsid w:val="00873C1A"/>
    <w:rsid w:val="008743E3"/>
    <w:rsid w:val="00874546"/>
    <w:rsid w:val="00874CD1"/>
    <w:rsid w:val="0087646A"/>
    <w:rsid w:val="0088113A"/>
    <w:rsid w:val="008820A1"/>
    <w:rsid w:val="00882618"/>
    <w:rsid w:val="008833A8"/>
    <w:rsid w:val="00885808"/>
    <w:rsid w:val="008862E8"/>
    <w:rsid w:val="00886663"/>
    <w:rsid w:val="0088780E"/>
    <w:rsid w:val="008912F8"/>
    <w:rsid w:val="00891E4B"/>
    <w:rsid w:val="008921D7"/>
    <w:rsid w:val="00895DE5"/>
    <w:rsid w:val="008A04D8"/>
    <w:rsid w:val="008A262E"/>
    <w:rsid w:val="008A4BAE"/>
    <w:rsid w:val="008A4E15"/>
    <w:rsid w:val="008A55A4"/>
    <w:rsid w:val="008A674C"/>
    <w:rsid w:val="008A687F"/>
    <w:rsid w:val="008B24FC"/>
    <w:rsid w:val="008B2E50"/>
    <w:rsid w:val="008B2EE9"/>
    <w:rsid w:val="008B379D"/>
    <w:rsid w:val="008B4D8B"/>
    <w:rsid w:val="008B54A9"/>
    <w:rsid w:val="008B55A7"/>
    <w:rsid w:val="008B6348"/>
    <w:rsid w:val="008B7A21"/>
    <w:rsid w:val="008C02CF"/>
    <w:rsid w:val="008C0301"/>
    <w:rsid w:val="008C1F96"/>
    <w:rsid w:val="008C37F1"/>
    <w:rsid w:val="008C3BF6"/>
    <w:rsid w:val="008C4231"/>
    <w:rsid w:val="008C4EB0"/>
    <w:rsid w:val="008C6BCA"/>
    <w:rsid w:val="008C7CEE"/>
    <w:rsid w:val="008D0732"/>
    <w:rsid w:val="008D10F2"/>
    <w:rsid w:val="008D1352"/>
    <w:rsid w:val="008D2F60"/>
    <w:rsid w:val="008D5863"/>
    <w:rsid w:val="008E257A"/>
    <w:rsid w:val="008E35BE"/>
    <w:rsid w:val="008E51AD"/>
    <w:rsid w:val="008E6080"/>
    <w:rsid w:val="008F053A"/>
    <w:rsid w:val="008F3A75"/>
    <w:rsid w:val="008F44C4"/>
    <w:rsid w:val="008F5C25"/>
    <w:rsid w:val="008F7897"/>
    <w:rsid w:val="008F7F7F"/>
    <w:rsid w:val="00902625"/>
    <w:rsid w:val="00902F73"/>
    <w:rsid w:val="00904B0E"/>
    <w:rsid w:val="0090697E"/>
    <w:rsid w:val="00910E19"/>
    <w:rsid w:val="009117EC"/>
    <w:rsid w:val="009142E9"/>
    <w:rsid w:val="00917080"/>
    <w:rsid w:val="00925249"/>
    <w:rsid w:val="00926A80"/>
    <w:rsid w:val="009276AC"/>
    <w:rsid w:val="00931C8A"/>
    <w:rsid w:val="0093339F"/>
    <w:rsid w:val="0093386A"/>
    <w:rsid w:val="009361C3"/>
    <w:rsid w:val="009366BB"/>
    <w:rsid w:val="009521B5"/>
    <w:rsid w:val="00954C51"/>
    <w:rsid w:val="00955026"/>
    <w:rsid w:val="00957954"/>
    <w:rsid w:val="00957D30"/>
    <w:rsid w:val="009604A9"/>
    <w:rsid w:val="009618D0"/>
    <w:rsid w:val="00964553"/>
    <w:rsid w:val="0096527A"/>
    <w:rsid w:val="0097182D"/>
    <w:rsid w:val="00971B7C"/>
    <w:rsid w:val="00973A94"/>
    <w:rsid w:val="009763A1"/>
    <w:rsid w:val="0097779C"/>
    <w:rsid w:val="0098184E"/>
    <w:rsid w:val="00981B2B"/>
    <w:rsid w:val="009837DE"/>
    <w:rsid w:val="00985B87"/>
    <w:rsid w:val="00986CFA"/>
    <w:rsid w:val="00992520"/>
    <w:rsid w:val="0099287E"/>
    <w:rsid w:val="00992F03"/>
    <w:rsid w:val="009935DD"/>
    <w:rsid w:val="009A079E"/>
    <w:rsid w:val="009A1533"/>
    <w:rsid w:val="009A2969"/>
    <w:rsid w:val="009A3E44"/>
    <w:rsid w:val="009A4035"/>
    <w:rsid w:val="009B0920"/>
    <w:rsid w:val="009B30A0"/>
    <w:rsid w:val="009B5731"/>
    <w:rsid w:val="009B5DE5"/>
    <w:rsid w:val="009C15B1"/>
    <w:rsid w:val="009C17D2"/>
    <w:rsid w:val="009C42CF"/>
    <w:rsid w:val="009C434D"/>
    <w:rsid w:val="009C44D3"/>
    <w:rsid w:val="009C547A"/>
    <w:rsid w:val="009C7C5C"/>
    <w:rsid w:val="009D1288"/>
    <w:rsid w:val="009D28E6"/>
    <w:rsid w:val="009D299B"/>
    <w:rsid w:val="009D2B53"/>
    <w:rsid w:val="009D49EF"/>
    <w:rsid w:val="009D5A03"/>
    <w:rsid w:val="009E2506"/>
    <w:rsid w:val="009E3E61"/>
    <w:rsid w:val="009F1771"/>
    <w:rsid w:val="009F18E1"/>
    <w:rsid w:val="009F32F1"/>
    <w:rsid w:val="009F4027"/>
    <w:rsid w:val="009F4066"/>
    <w:rsid w:val="009F69B1"/>
    <w:rsid w:val="00A02A5F"/>
    <w:rsid w:val="00A043CB"/>
    <w:rsid w:val="00A05366"/>
    <w:rsid w:val="00A0711F"/>
    <w:rsid w:val="00A072D6"/>
    <w:rsid w:val="00A10ECB"/>
    <w:rsid w:val="00A1241A"/>
    <w:rsid w:val="00A13B42"/>
    <w:rsid w:val="00A13F67"/>
    <w:rsid w:val="00A14CB0"/>
    <w:rsid w:val="00A1624C"/>
    <w:rsid w:val="00A17118"/>
    <w:rsid w:val="00A20859"/>
    <w:rsid w:val="00A2168E"/>
    <w:rsid w:val="00A2278E"/>
    <w:rsid w:val="00A244D3"/>
    <w:rsid w:val="00A255FB"/>
    <w:rsid w:val="00A25F1B"/>
    <w:rsid w:val="00A273D2"/>
    <w:rsid w:val="00A27657"/>
    <w:rsid w:val="00A32E01"/>
    <w:rsid w:val="00A337D0"/>
    <w:rsid w:val="00A338E9"/>
    <w:rsid w:val="00A36329"/>
    <w:rsid w:val="00A36DF7"/>
    <w:rsid w:val="00A42E66"/>
    <w:rsid w:val="00A44B82"/>
    <w:rsid w:val="00A47C83"/>
    <w:rsid w:val="00A47D69"/>
    <w:rsid w:val="00A501F5"/>
    <w:rsid w:val="00A50CA6"/>
    <w:rsid w:val="00A556CE"/>
    <w:rsid w:val="00A55B1C"/>
    <w:rsid w:val="00A60B78"/>
    <w:rsid w:val="00A649DE"/>
    <w:rsid w:val="00A70BA5"/>
    <w:rsid w:val="00A70FCB"/>
    <w:rsid w:val="00A71C67"/>
    <w:rsid w:val="00A8334B"/>
    <w:rsid w:val="00A86A70"/>
    <w:rsid w:val="00A87F56"/>
    <w:rsid w:val="00A9241A"/>
    <w:rsid w:val="00A9396E"/>
    <w:rsid w:val="00A94F89"/>
    <w:rsid w:val="00AA0450"/>
    <w:rsid w:val="00AA1CC7"/>
    <w:rsid w:val="00AA2901"/>
    <w:rsid w:val="00AA623B"/>
    <w:rsid w:val="00AA6E73"/>
    <w:rsid w:val="00AB0EA2"/>
    <w:rsid w:val="00AB1373"/>
    <w:rsid w:val="00AB26FA"/>
    <w:rsid w:val="00AB36C3"/>
    <w:rsid w:val="00AB37B0"/>
    <w:rsid w:val="00AB44EE"/>
    <w:rsid w:val="00AB569F"/>
    <w:rsid w:val="00AB57CC"/>
    <w:rsid w:val="00AB5F05"/>
    <w:rsid w:val="00AB7F88"/>
    <w:rsid w:val="00AC08B3"/>
    <w:rsid w:val="00AC15CB"/>
    <w:rsid w:val="00AC186B"/>
    <w:rsid w:val="00AC3068"/>
    <w:rsid w:val="00AC570E"/>
    <w:rsid w:val="00AC64CF"/>
    <w:rsid w:val="00AC6DFC"/>
    <w:rsid w:val="00AD41C1"/>
    <w:rsid w:val="00AD4ABA"/>
    <w:rsid w:val="00AD5D02"/>
    <w:rsid w:val="00AE1285"/>
    <w:rsid w:val="00AE1F3B"/>
    <w:rsid w:val="00AE1F62"/>
    <w:rsid w:val="00AE260A"/>
    <w:rsid w:val="00AE4709"/>
    <w:rsid w:val="00AE4A92"/>
    <w:rsid w:val="00AE548E"/>
    <w:rsid w:val="00AE7840"/>
    <w:rsid w:val="00AE7C89"/>
    <w:rsid w:val="00AF0AD6"/>
    <w:rsid w:val="00AF2BD8"/>
    <w:rsid w:val="00AF2C24"/>
    <w:rsid w:val="00AF3DAB"/>
    <w:rsid w:val="00AF520E"/>
    <w:rsid w:val="00AF5D36"/>
    <w:rsid w:val="00AF7AB0"/>
    <w:rsid w:val="00B07A1E"/>
    <w:rsid w:val="00B10630"/>
    <w:rsid w:val="00B11EE5"/>
    <w:rsid w:val="00B1344A"/>
    <w:rsid w:val="00B1471C"/>
    <w:rsid w:val="00B15976"/>
    <w:rsid w:val="00B16E72"/>
    <w:rsid w:val="00B20A50"/>
    <w:rsid w:val="00B31174"/>
    <w:rsid w:val="00B31D2C"/>
    <w:rsid w:val="00B321A3"/>
    <w:rsid w:val="00B326C3"/>
    <w:rsid w:val="00B32DC7"/>
    <w:rsid w:val="00B32F7D"/>
    <w:rsid w:val="00B343E8"/>
    <w:rsid w:val="00B369E5"/>
    <w:rsid w:val="00B40957"/>
    <w:rsid w:val="00B4435C"/>
    <w:rsid w:val="00B47225"/>
    <w:rsid w:val="00B4724F"/>
    <w:rsid w:val="00B50AAA"/>
    <w:rsid w:val="00B515F5"/>
    <w:rsid w:val="00B5502D"/>
    <w:rsid w:val="00B57556"/>
    <w:rsid w:val="00B606D0"/>
    <w:rsid w:val="00B60964"/>
    <w:rsid w:val="00B6246D"/>
    <w:rsid w:val="00B65C78"/>
    <w:rsid w:val="00B70738"/>
    <w:rsid w:val="00B70C3F"/>
    <w:rsid w:val="00B70D43"/>
    <w:rsid w:val="00B710A1"/>
    <w:rsid w:val="00B73F2D"/>
    <w:rsid w:val="00B76DA2"/>
    <w:rsid w:val="00B77764"/>
    <w:rsid w:val="00B779F0"/>
    <w:rsid w:val="00B80A01"/>
    <w:rsid w:val="00B815E3"/>
    <w:rsid w:val="00B94263"/>
    <w:rsid w:val="00B95FC5"/>
    <w:rsid w:val="00BA0B2D"/>
    <w:rsid w:val="00BA4D37"/>
    <w:rsid w:val="00BA59C6"/>
    <w:rsid w:val="00BA5A77"/>
    <w:rsid w:val="00BA5D5A"/>
    <w:rsid w:val="00BA6645"/>
    <w:rsid w:val="00BA6926"/>
    <w:rsid w:val="00BA71D9"/>
    <w:rsid w:val="00BB004D"/>
    <w:rsid w:val="00BB02A3"/>
    <w:rsid w:val="00BB1C01"/>
    <w:rsid w:val="00BB21CF"/>
    <w:rsid w:val="00BB36C0"/>
    <w:rsid w:val="00BB757A"/>
    <w:rsid w:val="00BC0595"/>
    <w:rsid w:val="00BC3993"/>
    <w:rsid w:val="00BC6842"/>
    <w:rsid w:val="00BD2243"/>
    <w:rsid w:val="00BD52B3"/>
    <w:rsid w:val="00BD64B8"/>
    <w:rsid w:val="00BD7718"/>
    <w:rsid w:val="00BE141C"/>
    <w:rsid w:val="00BE143F"/>
    <w:rsid w:val="00BE1664"/>
    <w:rsid w:val="00BE2C9F"/>
    <w:rsid w:val="00BE447B"/>
    <w:rsid w:val="00BE5254"/>
    <w:rsid w:val="00BE58F8"/>
    <w:rsid w:val="00BE5FAD"/>
    <w:rsid w:val="00BE75B4"/>
    <w:rsid w:val="00BE785D"/>
    <w:rsid w:val="00BF31F4"/>
    <w:rsid w:val="00BF6DB7"/>
    <w:rsid w:val="00BF743B"/>
    <w:rsid w:val="00C04382"/>
    <w:rsid w:val="00C112A1"/>
    <w:rsid w:val="00C12C9D"/>
    <w:rsid w:val="00C12E81"/>
    <w:rsid w:val="00C13E81"/>
    <w:rsid w:val="00C1464C"/>
    <w:rsid w:val="00C15A67"/>
    <w:rsid w:val="00C2175C"/>
    <w:rsid w:val="00C26BC0"/>
    <w:rsid w:val="00C338D1"/>
    <w:rsid w:val="00C33F17"/>
    <w:rsid w:val="00C343BF"/>
    <w:rsid w:val="00C35785"/>
    <w:rsid w:val="00C36317"/>
    <w:rsid w:val="00C36B39"/>
    <w:rsid w:val="00C409F1"/>
    <w:rsid w:val="00C421BD"/>
    <w:rsid w:val="00C50BF3"/>
    <w:rsid w:val="00C54DC0"/>
    <w:rsid w:val="00C617C1"/>
    <w:rsid w:val="00C64CA4"/>
    <w:rsid w:val="00C64D25"/>
    <w:rsid w:val="00C65FE0"/>
    <w:rsid w:val="00C71A76"/>
    <w:rsid w:val="00C71CDC"/>
    <w:rsid w:val="00C72562"/>
    <w:rsid w:val="00C72BC6"/>
    <w:rsid w:val="00C7318D"/>
    <w:rsid w:val="00C8307C"/>
    <w:rsid w:val="00C84ABB"/>
    <w:rsid w:val="00C8726B"/>
    <w:rsid w:val="00C87B95"/>
    <w:rsid w:val="00C87F2F"/>
    <w:rsid w:val="00C9312D"/>
    <w:rsid w:val="00C93C8E"/>
    <w:rsid w:val="00C960AF"/>
    <w:rsid w:val="00C973AF"/>
    <w:rsid w:val="00C974A9"/>
    <w:rsid w:val="00CA0D2D"/>
    <w:rsid w:val="00CA0FD7"/>
    <w:rsid w:val="00CA2A4C"/>
    <w:rsid w:val="00CA4064"/>
    <w:rsid w:val="00CA47B5"/>
    <w:rsid w:val="00CA5394"/>
    <w:rsid w:val="00CA7335"/>
    <w:rsid w:val="00CA7998"/>
    <w:rsid w:val="00CB100F"/>
    <w:rsid w:val="00CB11E2"/>
    <w:rsid w:val="00CB2D0A"/>
    <w:rsid w:val="00CB43D7"/>
    <w:rsid w:val="00CB533C"/>
    <w:rsid w:val="00CB5ECA"/>
    <w:rsid w:val="00CB6B18"/>
    <w:rsid w:val="00CB6BEF"/>
    <w:rsid w:val="00CB6DD5"/>
    <w:rsid w:val="00CB78B2"/>
    <w:rsid w:val="00CD12E7"/>
    <w:rsid w:val="00CD3A52"/>
    <w:rsid w:val="00CD3F56"/>
    <w:rsid w:val="00CD528C"/>
    <w:rsid w:val="00CD5345"/>
    <w:rsid w:val="00CD599F"/>
    <w:rsid w:val="00CD6302"/>
    <w:rsid w:val="00CE0F3E"/>
    <w:rsid w:val="00CE3295"/>
    <w:rsid w:val="00CE3FBF"/>
    <w:rsid w:val="00CE4938"/>
    <w:rsid w:val="00CE4FE8"/>
    <w:rsid w:val="00CE6AAC"/>
    <w:rsid w:val="00CE77B9"/>
    <w:rsid w:val="00CF1560"/>
    <w:rsid w:val="00CF3613"/>
    <w:rsid w:val="00CF3698"/>
    <w:rsid w:val="00CF3959"/>
    <w:rsid w:val="00CF3E8A"/>
    <w:rsid w:val="00CF4E2B"/>
    <w:rsid w:val="00CF4EFA"/>
    <w:rsid w:val="00CF539C"/>
    <w:rsid w:val="00CF5E74"/>
    <w:rsid w:val="00CF676E"/>
    <w:rsid w:val="00D042F2"/>
    <w:rsid w:val="00D04EB3"/>
    <w:rsid w:val="00D07386"/>
    <w:rsid w:val="00D11654"/>
    <w:rsid w:val="00D124B6"/>
    <w:rsid w:val="00D128C5"/>
    <w:rsid w:val="00D13796"/>
    <w:rsid w:val="00D139B7"/>
    <w:rsid w:val="00D16D4C"/>
    <w:rsid w:val="00D2102E"/>
    <w:rsid w:val="00D227C3"/>
    <w:rsid w:val="00D23220"/>
    <w:rsid w:val="00D23E6D"/>
    <w:rsid w:val="00D27436"/>
    <w:rsid w:val="00D30498"/>
    <w:rsid w:val="00D319FE"/>
    <w:rsid w:val="00D3426C"/>
    <w:rsid w:val="00D4288B"/>
    <w:rsid w:val="00D46870"/>
    <w:rsid w:val="00D46AE0"/>
    <w:rsid w:val="00D524F5"/>
    <w:rsid w:val="00D52AEB"/>
    <w:rsid w:val="00D53575"/>
    <w:rsid w:val="00D5395B"/>
    <w:rsid w:val="00D54399"/>
    <w:rsid w:val="00D55003"/>
    <w:rsid w:val="00D6018D"/>
    <w:rsid w:val="00D612F4"/>
    <w:rsid w:val="00D62C76"/>
    <w:rsid w:val="00D740B1"/>
    <w:rsid w:val="00D76749"/>
    <w:rsid w:val="00D80B50"/>
    <w:rsid w:val="00D80E73"/>
    <w:rsid w:val="00D81465"/>
    <w:rsid w:val="00D817B3"/>
    <w:rsid w:val="00D81C28"/>
    <w:rsid w:val="00D82500"/>
    <w:rsid w:val="00D878BC"/>
    <w:rsid w:val="00D878DE"/>
    <w:rsid w:val="00D87CCC"/>
    <w:rsid w:val="00D87CF2"/>
    <w:rsid w:val="00D925E9"/>
    <w:rsid w:val="00D9578A"/>
    <w:rsid w:val="00DA04CF"/>
    <w:rsid w:val="00DA0F0D"/>
    <w:rsid w:val="00DA3ED9"/>
    <w:rsid w:val="00DB0D89"/>
    <w:rsid w:val="00DB1003"/>
    <w:rsid w:val="00DB219E"/>
    <w:rsid w:val="00DB4872"/>
    <w:rsid w:val="00DC5340"/>
    <w:rsid w:val="00DC678C"/>
    <w:rsid w:val="00DC69F3"/>
    <w:rsid w:val="00DC774A"/>
    <w:rsid w:val="00DD03BE"/>
    <w:rsid w:val="00DD0AA3"/>
    <w:rsid w:val="00DD39F3"/>
    <w:rsid w:val="00DD4E92"/>
    <w:rsid w:val="00DE02A5"/>
    <w:rsid w:val="00DE03CD"/>
    <w:rsid w:val="00DE12E5"/>
    <w:rsid w:val="00DE21EB"/>
    <w:rsid w:val="00DE2348"/>
    <w:rsid w:val="00DE4C54"/>
    <w:rsid w:val="00DE51E3"/>
    <w:rsid w:val="00DE6453"/>
    <w:rsid w:val="00DE7BF1"/>
    <w:rsid w:val="00DF22AE"/>
    <w:rsid w:val="00DF3EBD"/>
    <w:rsid w:val="00DF67ED"/>
    <w:rsid w:val="00DF6B43"/>
    <w:rsid w:val="00DF7251"/>
    <w:rsid w:val="00DF7CF5"/>
    <w:rsid w:val="00E00482"/>
    <w:rsid w:val="00E0182B"/>
    <w:rsid w:val="00E048F7"/>
    <w:rsid w:val="00E04DF0"/>
    <w:rsid w:val="00E04E9B"/>
    <w:rsid w:val="00E05180"/>
    <w:rsid w:val="00E0527E"/>
    <w:rsid w:val="00E0626C"/>
    <w:rsid w:val="00E06CC4"/>
    <w:rsid w:val="00E07765"/>
    <w:rsid w:val="00E12727"/>
    <w:rsid w:val="00E12839"/>
    <w:rsid w:val="00E12E9B"/>
    <w:rsid w:val="00E13BB5"/>
    <w:rsid w:val="00E15020"/>
    <w:rsid w:val="00E16F53"/>
    <w:rsid w:val="00E23301"/>
    <w:rsid w:val="00E244EC"/>
    <w:rsid w:val="00E261C6"/>
    <w:rsid w:val="00E26515"/>
    <w:rsid w:val="00E34717"/>
    <w:rsid w:val="00E36ED2"/>
    <w:rsid w:val="00E40B01"/>
    <w:rsid w:val="00E442B9"/>
    <w:rsid w:val="00E51132"/>
    <w:rsid w:val="00E51BF7"/>
    <w:rsid w:val="00E54D9F"/>
    <w:rsid w:val="00E5734E"/>
    <w:rsid w:val="00E6719E"/>
    <w:rsid w:val="00E72F9F"/>
    <w:rsid w:val="00E73336"/>
    <w:rsid w:val="00E74BFB"/>
    <w:rsid w:val="00E77914"/>
    <w:rsid w:val="00E822F1"/>
    <w:rsid w:val="00E82827"/>
    <w:rsid w:val="00E82AED"/>
    <w:rsid w:val="00E83D12"/>
    <w:rsid w:val="00E84621"/>
    <w:rsid w:val="00E85A9A"/>
    <w:rsid w:val="00E866E9"/>
    <w:rsid w:val="00E94B72"/>
    <w:rsid w:val="00E94C5C"/>
    <w:rsid w:val="00E9643C"/>
    <w:rsid w:val="00E97155"/>
    <w:rsid w:val="00EA03C4"/>
    <w:rsid w:val="00EA2B30"/>
    <w:rsid w:val="00EA3AE7"/>
    <w:rsid w:val="00EA4FC5"/>
    <w:rsid w:val="00EA5D51"/>
    <w:rsid w:val="00EA66DC"/>
    <w:rsid w:val="00EA7547"/>
    <w:rsid w:val="00EB0835"/>
    <w:rsid w:val="00EB2A19"/>
    <w:rsid w:val="00EB46E6"/>
    <w:rsid w:val="00EB49B8"/>
    <w:rsid w:val="00EB618F"/>
    <w:rsid w:val="00EB69AB"/>
    <w:rsid w:val="00EC1AAA"/>
    <w:rsid w:val="00EC3502"/>
    <w:rsid w:val="00EC6651"/>
    <w:rsid w:val="00EC7055"/>
    <w:rsid w:val="00ED3107"/>
    <w:rsid w:val="00ED4BDF"/>
    <w:rsid w:val="00EE6019"/>
    <w:rsid w:val="00EF0ABF"/>
    <w:rsid w:val="00EF1180"/>
    <w:rsid w:val="00EF27D7"/>
    <w:rsid w:val="00EF336E"/>
    <w:rsid w:val="00EF35D0"/>
    <w:rsid w:val="00EF4AFC"/>
    <w:rsid w:val="00EF4BF4"/>
    <w:rsid w:val="00F0070F"/>
    <w:rsid w:val="00F015B0"/>
    <w:rsid w:val="00F041E8"/>
    <w:rsid w:val="00F0452A"/>
    <w:rsid w:val="00F059F7"/>
    <w:rsid w:val="00F07772"/>
    <w:rsid w:val="00F106A4"/>
    <w:rsid w:val="00F10E76"/>
    <w:rsid w:val="00F11F4A"/>
    <w:rsid w:val="00F132BE"/>
    <w:rsid w:val="00F13A8C"/>
    <w:rsid w:val="00F13D16"/>
    <w:rsid w:val="00F16557"/>
    <w:rsid w:val="00F2124B"/>
    <w:rsid w:val="00F246C1"/>
    <w:rsid w:val="00F257E4"/>
    <w:rsid w:val="00F412C9"/>
    <w:rsid w:val="00F41E23"/>
    <w:rsid w:val="00F425D3"/>
    <w:rsid w:val="00F42EB9"/>
    <w:rsid w:val="00F4363D"/>
    <w:rsid w:val="00F46599"/>
    <w:rsid w:val="00F4745F"/>
    <w:rsid w:val="00F50521"/>
    <w:rsid w:val="00F5139C"/>
    <w:rsid w:val="00F521FF"/>
    <w:rsid w:val="00F5354D"/>
    <w:rsid w:val="00F546D6"/>
    <w:rsid w:val="00F54D31"/>
    <w:rsid w:val="00F567A2"/>
    <w:rsid w:val="00F575FA"/>
    <w:rsid w:val="00F61C4C"/>
    <w:rsid w:val="00F6335A"/>
    <w:rsid w:val="00F70655"/>
    <w:rsid w:val="00F70A8F"/>
    <w:rsid w:val="00F71B9C"/>
    <w:rsid w:val="00F72059"/>
    <w:rsid w:val="00F741BA"/>
    <w:rsid w:val="00F76776"/>
    <w:rsid w:val="00F76A0C"/>
    <w:rsid w:val="00F83DE8"/>
    <w:rsid w:val="00F87FE0"/>
    <w:rsid w:val="00F904E9"/>
    <w:rsid w:val="00F90641"/>
    <w:rsid w:val="00F939CF"/>
    <w:rsid w:val="00F94CD1"/>
    <w:rsid w:val="00F96BBD"/>
    <w:rsid w:val="00FA0476"/>
    <w:rsid w:val="00FA25EF"/>
    <w:rsid w:val="00FA2AC1"/>
    <w:rsid w:val="00FA4D7E"/>
    <w:rsid w:val="00FB1018"/>
    <w:rsid w:val="00FB540B"/>
    <w:rsid w:val="00FB5A83"/>
    <w:rsid w:val="00FB72F4"/>
    <w:rsid w:val="00FB7E00"/>
    <w:rsid w:val="00FC1599"/>
    <w:rsid w:val="00FC2D25"/>
    <w:rsid w:val="00FC4551"/>
    <w:rsid w:val="00FC7F48"/>
    <w:rsid w:val="00FD4EC4"/>
    <w:rsid w:val="00FD54F5"/>
    <w:rsid w:val="00FD62EB"/>
    <w:rsid w:val="00FE3145"/>
    <w:rsid w:val="00FE404E"/>
    <w:rsid w:val="00FE6D44"/>
    <w:rsid w:val="00FE7610"/>
    <w:rsid w:val="00FE7E49"/>
    <w:rsid w:val="00FF4364"/>
    <w:rsid w:val="00FF47D1"/>
    <w:rsid w:val="00FF5811"/>
    <w:rsid w:val="00FF5F50"/>
    <w:rsid w:val="00FF67E0"/>
    <w:rsid w:val="00FF6BA2"/>
    <w:rsid w:val="00FF6CE5"/>
    <w:rsid w:val="01D88E2B"/>
    <w:rsid w:val="01F9A826"/>
    <w:rsid w:val="02586964"/>
    <w:rsid w:val="03531F28"/>
    <w:rsid w:val="0381E24C"/>
    <w:rsid w:val="03FBDB2F"/>
    <w:rsid w:val="048A1464"/>
    <w:rsid w:val="061A4309"/>
    <w:rsid w:val="07BCEF1E"/>
    <w:rsid w:val="07EB6F0C"/>
    <w:rsid w:val="0895CC9B"/>
    <w:rsid w:val="08DD2C50"/>
    <w:rsid w:val="09354538"/>
    <w:rsid w:val="0A31CB75"/>
    <w:rsid w:val="0A61B5BD"/>
    <w:rsid w:val="0A7C1379"/>
    <w:rsid w:val="0B8F8993"/>
    <w:rsid w:val="0BA1F90C"/>
    <w:rsid w:val="0D562C67"/>
    <w:rsid w:val="0DE522D9"/>
    <w:rsid w:val="0E58445F"/>
    <w:rsid w:val="0F2BBBB8"/>
    <w:rsid w:val="0F692F3F"/>
    <w:rsid w:val="0F90C06B"/>
    <w:rsid w:val="11190C0F"/>
    <w:rsid w:val="1223140B"/>
    <w:rsid w:val="12CBCA72"/>
    <w:rsid w:val="13969ABA"/>
    <w:rsid w:val="145C4B8D"/>
    <w:rsid w:val="14606FF7"/>
    <w:rsid w:val="14ED83D8"/>
    <w:rsid w:val="15474801"/>
    <w:rsid w:val="15EB78F9"/>
    <w:rsid w:val="15FD15FE"/>
    <w:rsid w:val="1ACB6A94"/>
    <w:rsid w:val="1BA7D110"/>
    <w:rsid w:val="1C9EBFFB"/>
    <w:rsid w:val="1D3A67E2"/>
    <w:rsid w:val="1D8F3216"/>
    <w:rsid w:val="1DABE5F2"/>
    <w:rsid w:val="1DC65ABB"/>
    <w:rsid w:val="1DEE98B3"/>
    <w:rsid w:val="1F25605E"/>
    <w:rsid w:val="1FAC3DF4"/>
    <w:rsid w:val="1FDBBF0C"/>
    <w:rsid w:val="20381F04"/>
    <w:rsid w:val="222F4BE0"/>
    <w:rsid w:val="2323FE82"/>
    <w:rsid w:val="232AEE42"/>
    <w:rsid w:val="23A77922"/>
    <w:rsid w:val="273EF14B"/>
    <w:rsid w:val="2792FD01"/>
    <w:rsid w:val="27B01962"/>
    <w:rsid w:val="27D38057"/>
    <w:rsid w:val="28E556D2"/>
    <w:rsid w:val="29CD104C"/>
    <w:rsid w:val="2C23996B"/>
    <w:rsid w:val="2D880636"/>
    <w:rsid w:val="2DA4FE8E"/>
    <w:rsid w:val="2F245AC1"/>
    <w:rsid w:val="316B0AAE"/>
    <w:rsid w:val="31A975D8"/>
    <w:rsid w:val="32FC1565"/>
    <w:rsid w:val="335BA01D"/>
    <w:rsid w:val="34380B91"/>
    <w:rsid w:val="356D6FA1"/>
    <w:rsid w:val="359259F9"/>
    <w:rsid w:val="35F5977B"/>
    <w:rsid w:val="37DF679A"/>
    <w:rsid w:val="394583A5"/>
    <w:rsid w:val="398C072A"/>
    <w:rsid w:val="39E77EB7"/>
    <w:rsid w:val="39ECF29A"/>
    <w:rsid w:val="3A11384F"/>
    <w:rsid w:val="3A62E288"/>
    <w:rsid w:val="3C709D3B"/>
    <w:rsid w:val="3C7934DB"/>
    <w:rsid w:val="3D86B668"/>
    <w:rsid w:val="3EB87881"/>
    <w:rsid w:val="40314659"/>
    <w:rsid w:val="414CA69F"/>
    <w:rsid w:val="416B0AA9"/>
    <w:rsid w:val="4298BCDA"/>
    <w:rsid w:val="440263AB"/>
    <w:rsid w:val="4498D253"/>
    <w:rsid w:val="451FB845"/>
    <w:rsid w:val="45A5217B"/>
    <w:rsid w:val="45D41B49"/>
    <w:rsid w:val="4639BA67"/>
    <w:rsid w:val="47777569"/>
    <w:rsid w:val="48F13176"/>
    <w:rsid w:val="494112FD"/>
    <w:rsid w:val="4984863D"/>
    <w:rsid w:val="4A738DEC"/>
    <w:rsid w:val="4AFFE579"/>
    <w:rsid w:val="4CC1AC53"/>
    <w:rsid w:val="4D1759EF"/>
    <w:rsid w:val="4D42A4AC"/>
    <w:rsid w:val="4DBEA445"/>
    <w:rsid w:val="4E21DDBC"/>
    <w:rsid w:val="50011E14"/>
    <w:rsid w:val="5053E16D"/>
    <w:rsid w:val="50AE3779"/>
    <w:rsid w:val="511B02AB"/>
    <w:rsid w:val="51995139"/>
    <w:rsid w:val="51E51DFA"/>
    <w:rsid w:val="527E3C69"/>
    <w:rsid w:val="53C5879B"/>
    <w:rsid w:val="542E443A"/>
    <w:rsid w:val="5491BD9E"/>
    <w:rsid w:val="5599F252"/>
    <w:rsid w:val="56619F17"/>
    <w:rsid w:val="56A5310F"/>
    <w:rsid w:val="57260401"/>
    <w:rsid w:val="58091877"/>
    <w:rsid w:val="587660FC"/>
    <w:rsid w:val="59BB5624"/>
    <w:rsid w:val="5ABE9637"/>
    <w:rsid w:val="5B04C6E0"/>
    <w:rsid w:val="5B74FAD2"/>
    <w:rsid w:val="5BE17194"/>
    <w:rsid w:val="5BE797B7"/>
    <w:rsid w:val="5CC4E162"/>
    <w:rsid w:val="5D1948A6"/>
    <w:rsid w:val="5D7CAF58"/>
    <w:rsid w:val="5D811D92"/>
    <w:rsid w:val="5DDAE7FC"/>
    <w:rsid w:val="5DF9D58D"/>
    <w:rsid w:val="5E618FAD"/>
    <w:rsid w:val="5E723AFF"/>
    <w:rsid w:val="5F765818"/>
    <w:rsid w:val="5FD74021"/>
    <w:rsid w:val="607E2BAC"/>
    <w:rsid w:val="60EF9C15"/>
    <w:rsid w:val="610EB82D"/>
    <w:rsid w:val="616B03CE"/>
    <w:rsid w:val="61DF4211"/>
    <w:rsid w:val="62479466"/>
    <w:rsid w:val="624D0908"/>
    <w:rsid w:val="629BDB01"/>
    <w:rsid w:val="64416235"/>
    <w:rsid w:val="64D90CC4"/>
    <w:rsid w:val="64FF94EC"/>
    <w:rsid w:val="65DC9864"/>
    <w:rsid w:val="6603C78E"/>
    <w:rsid w:val="692654B4"/>
    <w:rsid w:val="69AFA5D3"/>
    <w:rsid w:val="6AB8B3AB"/>
    <w:rsid w:val="6AD7DB91"/>
    <w:rsid w:val="6CC38CB5"/>
    <w:rsid w:val="6DA17968"/>
    <w:rsid w:val="6DBAD992"/>
    <w:rsid w:val="6F125A75"/>
    <w:rsid w:val="6F75C563"/>
    <w:rsid w:val="70E4D15B"/>
    <w:rsid w:val="713EA236"/>
    <w:rsid w:val="7251C9EE"/>
    <w:rsid w:val="72703485"/>
    <w:rsid w:val="7274EA8B"/>
    <w:rsid w:val="731024DE"/>
    <w:rsid w:val="74E010F6"/>
    <w:rsid w:val="75D06CCE"/>
    <w:rsid w:val="75D98DAD"/>
    <w:rsid w:val="760C45A0"/>
    <w:rsid w:val="765384B1"/>
    <w:rsid w:val="77267E8C"/>
    <w:rsid w:val="77A0E9D9"/>
    <w:rsid w:val="7A8BC50D"/>
    <w:rsid w:val="7CBCD00F"/>
    <w:rsid w:val="7D2994BD"/>
    <w:rsid w:val="7E152643"/>
    <w:rsid w:val="7E778447"/>
    <w:rsid w:val="7EF1E10D"/>
    <w:rsid w:val="7FF9909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AB99283"/>
  <w15:docId w15:val="{059058B3-7992-40A5-884E-5FB75CBF5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7A1E"/>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07A1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7A1E"/>
    <w:rPr>
      <w:rFonts w:ascii="Times New Roman" w:eastAsia="Times New Roman" w:hAnsi="Times New Roman" w:cs="Times New Roman"/>
      <w:b/>
      <w:sz w:val="24"/>
      <w:szCs w:val="20"/>
    </w:rPr>
  </w:style>
  <w:style w:type="paragraph" w:styleId="Header">
    <w:name w:val="header"/>
    <w:basedOn w:val="Normal"/>
    <w:link w:val="HeaderChar"/>
    <w:rsid w:val="00B07A1E"/>
    <w:pPr>
      <w:tabs>
        <w:tab w:val="center" w:pos="4320"/>
        <w:tab w:val="right" w:pos="8640"/>
      </w:tabs>
    </w:pPr>
  </w:style>
  <w:style w:type="character" w:customStyle="1" w:styleId="HeaderChar">
    <w:name w:val="Header Char"/>
    <w:basedOn w:val="DefaultParagraphFont"/>
    <w:link w:val="Header"/>
    <w:rsid w:val="00B07A1E"/>
    <w:rPr>
      <w:rFonts w:ascii="Times New Roman" w:eastAsia="Times New Roman" w:hAnsi="Times New Roman" w:cs="Times New Roman"/>
      <w:sz w:val="24"/>
      <w:szCs w:val="20"/>
    </w:rPr>
  </w:style>
  <w:style w:type="character" w:styleId="PageNumber">
    <w:name w:val="page number"/>
    <w:basedOn w:val="DefaultParagraphFont"/>
    <w:rsid w:val="00B07A1E"/>
  </w:style>
  <w:style w:type="paragraph" w:styleId="BodyTextIndent">
    <w:name w:val="Body Text Indent"/>
    <w:basedOn w:val="Normal"/>
    <w:link w:val="BodyTextIndentChar"/>
    <w:rsid w:val="00B07A1E"/>
    <w:pPr>
      <w:tabs>
        <w:tab w:val="left" w:pos="720"/>
      </w:tabs>
      <w:spacing w:after="0"/>
      <w:ind w:left="720"/>
      <w:jc w:val="both"/>
    </w:pPr>
    <w:rPr>
      <w:szCs w:val="24"/>
    </w:rPr>
  </w:style>
  <w:style w:type="character" w:customStyle="1" w:styleId="BodyTextIndentChar">
    <w:name w:val="Body Text Indent Char"/>
    <w:basedOn w:val="DefaultParagraphFont"/>
    <w:link w:val="BodyTextIndent"/>
    <w:rsid w:val="00B07A1E"/>
    <w:rPr>
      <w:rFonts w:ascii="Times New Roman" w:eastAsia="Times New Roman" w:hAnsi="Times New Roman" w:cs="Times New Roman"/>
      <w:sz w:val="24"/>
      <w:szCs w:val="24"/>
    </w:rPr>
  </w:style>
  <w:style w:type="paragraph" w:styleId="BodyTextIndent2">
    <w:name w:val="Body Text Indent 2"/>
    <w:basedOn w:val="Normal"/>
    <w:link w:val="BodyTextIndent2Char"/>
    <w:rsid w:val="00B07A1E"/>
    <w:pPr>
      <w:tabs>
        <w:tab w:val="left" w:pos="360"/>
      </w:tabs>
      <w:spacing w:after="0"/>
      <w:ind w:left="360"/>
      <w:jc w:val="both"/>
    </w:pPr>
    <w:rPr>
      <w:szCs w:val="24"/>
    </w:rPr>
  </w:style>
  <w:style w:type="character" w:customStyle="1" w:styleId="BodyTextIndent2Char">
    <w:name w:val="Body Text Indent 2 Char"/>
    <w:basedOn w:val="DefaultParagraphFont"/>
    <w:link w:val="BodyTextIndent2"/>
    <w:rsid w:val="00B07A1E"/>
    <w:rPr>
      <w:rFonts w:ascii="Times New Roman" w:eastAsia="Times New Roman" w:hAnsi="Times New Roman" w:cs="Times New Roman"/>
      <w:sz w:val="24"/>
      <w:szCs w:val="24"/>
    </w:rPr>
  </w:style>
  <w:style w:type="paragraph" w:styleId="Title">
    <w:name w:val="Title"/>
    <w:basedOn w:val="Normal"/>
    <w:link w:val="TitleChar"/>
    <w:qFormat/>
    <w:rsid w:val="00B07A1E"/>
    <w:pPr>
      <w:spacing w:after="0"/>
      <w:jc w:val="center"/>
    </w:pPr>
    <w:rPr>
      <w:b/>
      <w:bCs/>
      <w:szCs w:val="24"/>
    </w:rPr>
  </w:style>
  <w:style w:type="character" w:customStyle="1" w:styleId="TitleChar">
    <w:name w:val="Title Char"/>
    <w:basedOn w:val="DefaultParagraphFont"/>
    <w:link w:val="Title"/>
    <w:rsid w:val="00B07A1E"/>
    <w:rPr>
      <w:rFonts w:ascii="Times New Roman" w:eastAsia="Times New Roman" w:hAnsi="Times New Roman" w:cs="Times New Roman"/>
      <w:b/>
      <w:bCs/>
      <w:sz w:val="24"/>
      <w:szCs w:val="24"/>
    </w:rPr>
  </w:style>
  <w:style w:type="character" w:styleId="Hyperlink">
    <w:name w:val="Hyperlink"/>
    <w:basedOn w:val="DefaultParagraphFont"/>
    <w:rsid w:val="00B07A1E"/>
    <w:rPr>
      <w:color w:val="0000FF"/>
      <w:u w:val="single"/>
    </w:rPr>
  </w:style>
  <w:style w:type="paragraph" w:styleId="ListParagraph">
    <w:name w:val="List Paragraph"/>
    <w:basedOn w:val="Normal"/>
    <w:uiPriority w:val="34"/>
    <w:qFormat/>
    <w:rsid w:val="00B07A1E"/>
    <w:pPr>
      <w:spacing w:after="0"/>
      <w:ind w:left="720"/>
      <w:contextualSpacing/>
    </w:pPr>
    <w:rPr>
      <w:rFonts w:ascii="Tw Cen MT" w:hAnsi="Tw Cen MT"/>
      <w:szCs w:val="24"/>
    </w:rPr>
  </w:style>
  <w:style w:type="table" w:styleId="TableGrid">
    <w:name w:val="Table Grid"/>
    <w:basedOn w:val="TableNormal"/>
    <w:uiPriority w:val="39"/>
    <w:rsid w:val="00B07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07A1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7A1E"/>
    <w:rPr>
      <w:rFonts w:ascii="Tahoma" w:eastAsia="Times New Roman" w:hAnsi="Tahoma" w:cs="Tahoma"/>
      <w:sz w:val="16"/>
      <w:szCs w:val="16"/>
    </w:rPr>
  </w:style>
  <w:style w:type="character" w:styleId="CommentReference">
    <w:name w:val="annotation reference"/>
    <w:basedOn w:val="DefaultParagraphFont"/>
    <w:unhideWhenUsed/>
    <w:rsid w:val="00FF67E0"/>
    <w:rPr>
      <w:sz w:val="16"/>
      <w:szCs w:val="16"/>
    </w:rPr>
  </w:style>
  <w:style w:type="paragraph" w:styleId="CommentText">
    <w:name w:val="annotation text"/>
    <w:basedOn w:val="Normal"/>
    <w:link w:val="CommentTextChar"/>
    <w:unhideWhenUsed/>
    <w:rsid w:val="00FF67E0"/>
    <w:rPr>
      <w:sz w:val="20"/>
    </w:rPr>
  </w:style>
  <w:style w:type="character" w:customStyle="1" w:styleId="CommentTextChar">
    <w:name w:val="Comment Text Char"/>
    <w:basedOn w:val="DefaultParagraphFont"/>
    <w:link w:val="CommentText"/>
    <w:rsid w:val="00FF67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67E0"/>
    <w:rPr>
      <w:b/>
      <w:bCs/>
    </w:rPr>
  </w:style>
  <w:style w:type="character" w:customStyle="1" w:styleId="CommentSubjectChar">
    <w:name w:val="Comment Subject Char"/>
    <w:basedOn w:val="CommentTextChar"/>
    <w:link w:val="CommentSubject"/>
    <w:uiPriority w:val="99"/>
    <w:semiHidden/>
    <w:rsid w:val="00FF67E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AC570E"/>
    <w:rPr>
      <w:color w:val="800080" w:themeColor="followedHyperlink"/>
      <w:u w:val="single"/>
    </w:rPr>
  </w:style>
  <w:style w:type="paragraph" w:styleId="EndnoteText">
    <w:name w:val="endnote text"/>
    <w:basedOn w:val="Normal"/>
    <w:link w:val="EndnoteTextChar"/>
    <w:semiHidden/>
    <w:unhideWhenUsed/>
    <w:rsid w:val="00BC6842"/>
    <w:pPr>
      <w:spacing w:after="0"/>
    </w:pPr>
    <w:rPr>
      <w:sz w:val="20"/>
    </w:rPr>
  </w:style>
  <w:style w:type="character" w:customStyle="1" w:styleId="EndnoteTextChar">
    <w:name w:val="Endnote Text Char"/>
    <w:basedOn w:val="DefaultParagraphFont"/>
    <w:link w:val="EndnoteText"/>
    <w:semiHidden/>
    <w:rsid w:val="00BC6842"/>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BC6842"/>
    <w:rPr>
      <w:vertAlign w:val="superscript"/>
    </w:rPr>
  </w:style>
  <w:style w:type="paragraph" w:styleId="FootnoteText">
    <w:name w:val="footnote text"/>
    <w:basedOn w:val="Normal"/>
    <w:link w:val="FootnoteTextChar"/>
    <w:uiPriority w:val="99"/>
    <w:semiHidden/>
    <w:unhideWhenUsed/>
    <w:rsid w:val="001638E2"/>
    <w:pPr>
      <w:spacing w:after="0"/>
    </w:pPr>
    <w:rPr>
      <w:sz w:val="20"/>
    </w:rPr>
  </w:style>
  <w:style w:type="character" w:customStyle="1" w:styleId="FootnoteTextChar">
    <w:name w:val="Footnote Text Char"/>
    <w:basedOn w:val="DefaultParagraphFont"/>
    <w:link w:val="FootnoteText"/>
    <w:uiPriority w:val="99"/>
    <w:semiHidden/>
    <w:rsid w:val="001638E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638E2"/>
    <w:rPr>
      <w:vertAlign w:val="superscript"/>
    </w:rPr>
  </w:style>
  <w:style w:type="paragraph" w:styleId="Revision">
    <w:name w:val="Revision"/>
    <w:hidden/>
    <w:uiPriority w:val="99"/>
    <w:semiHidden/>
    <w:rsid w:val="00FF4364"/>
    <w:pPr>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72D6"/>
    <w:pPr>
      <w:tabs>
        <w:tab w:val="center" w:pos="4680"/>
        <w:tab w:val="right" w:pos="9360"/>
      </w:tabs>
      <w:spacing w:after="0"/>
    </w:pPr>
  </w:style>
  <w:style w:type="character" w:customStyle="1" w:styleId="FooterChar">
    <w:name w:val="Footer Char"/>
    <w:basedOn w:val="DefaultParagraphFont"/>
    <w:link w:val="Footer"/>
    <w:uiPriority w:val="99"/>
    <w:rsid w:val="004C72D6"/>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8C4EB0"/>
    <w:rPr>
      <w:color w:val="605E5C"/>
      <w:shd w:val="clear" w:color="auto" w:fill="E1DFDD"/>
    </w:rPr>
  </w:style>
  <w:style w:type="paragraph" w:styleId="NormalWeb">
    <w:name w:val="Normal (Web)"/>
    <w:basedOn w:val="Normal"/>
    <w:uiPriority w:val="99"/>
    <w:unhideWhenUsed/>
    <w:rsid w:val="007D0915"/>
    <w:pPr>
      <w:spacing w:before="100" w:beforeAutospacing="1" w:after="100" w:afterAutospacing="1"/>
    </w:pPr>
    <w:rPr>
      <w:rFonts w:ascii="Calibri" w:hAnsi="Calibri" w:eastAsiaTheme="minorHAnsi" w:cs="Calibri"/>
      <w:sz w:val="22"/>
      <w:szCs w:val="22"/>
    </w:rPr>
  </w:style>
  <w:style w:type="character" w:styleId="Mention">
    <w:name w:val="Mention"/>
    <w:basedOn w:val="DefaultParagraphFont"/>
    <w:uiPriority w:val="99"/>
    <w:unhideWhenUsed/>
    <w:rPr>
      <w:color w:val="2B579A"/>
      <w:shd w:val="clear" w:color="auto" w:fill="E6E6E6"/>
    </w:rPr>
  </w:style>
  <w:style w:type="character" w:customStyle="1" w:styleId="italic">
    <w:name w:val="italic"/>
    <w:basedOn w:val="DefaultParagraphFont"/>
    <w:rsid w:val="00DD4E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vitalchek.com/v/timing-and-pricing" TargetMode="External" /><Relationship Id="rId11" Type="http://schemas.openxmlformats.org/officeDocument/2006/relationships/hyperlink" Target="https://www.office.fedex.com/default/copy-and-print-services" TargetMode="External" /><Relationship Id="rId12" Type="http://schemas.openxmlformats.org/officeDocument/2006/relationships/hyperlink" Target="https://www.usps.com/business/prices.htm" TargetMode="External" /><Relationship Id="rId13" Type="http://schemas.openxmlformats.org/officeDocument/2006/relationships/hyperlink" Target="https://www.irs.gov/tax-professionals/standard-mileage-rates" TargetMode="External" /><Relationship Id="rId14" Type="http://schemas.openxmlformats.org/officeDocument/2006/relationships/hyperlink" Target="https://www.ecfr.gov/current/title-5/chapter-III/subchapter-B/part-1320/section-1320.9"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opm.gov/forms"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07F8FE809D9145A035CF974347916F" ma:contentTypeVersion="6" ma:contentTypeDescription="Create a new document." ma:contentTypeScope="" ma:versionID="38834664fe031c9b19cfae98c1014c50">
  <xsd:schema xmlns:xsd="http://www.w3.org/2001/XMLSchema" xmlns:xs="http://www.w3.org/2001/XMLSchema" xmlns:p="http://schemas.microsoft.com/office/2006/metadata/properties" xmlns:ns2="ad810144-870c-40bb-a4f2-5b2a1d79a7e2" xmlns:ns3="41c41065-d17a-45dd-8f6b-0acb0a0fdd7c" targetNamespace="http://schemas.microsoft.com/office/2006/metadata/properties" ma:root="true" ma:fieldsID="80a20d0fbba107a3d49310f7bc243b0b" ns2:_="" ns3:_="">
    <xsd:import namespace="ad810144-870c-40bb-a4f2-5b2a1d79a7e2"/>
    <xsd:import namespace="41c41065-d17a-45dd-8f6b-0acb0a0fdd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10144-870c-40bb-a4f2-5b2a1d79a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41065-d17a-45dd-8f6b-0acb0a0fdd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30209E-0978-45BB-9B4F-06DC4D3E6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10144-870c-40bb-a4f2-5b2a1d79a7e2"/>
    <ds:schemaRef ds:uri="41c41065-d17a-45dd-8f6b-0acb0a0fd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76847-2326-48CB-8A81-1E1C3D5602DE}">
  <ds:schemaRefs>
    <ds:schemaRef ds:uri="http://schemas.microsoft.com/sharepoint/v3/contenttype/forms"/>
  </ds:schemaRefs>
</ds:datastoreItem>
</file>

<file path=customXml/itemProps3.xml><?xml version="1.0" encoding="utf-8"?>
<ds:datastoreItem xmlns:ds="http://schemas.openxmlformats.org/officeDocument/2006/customXml" ds:itemID="{D399C132-14B6-44DC-807E-85A2C02B2E84}">
  <ds:schemaRefs>
    <ds:schemaRef ds:uri="http://schemas.openxmlformats.org/officeDocument/2006/bibliography"/>
  </ds:schemaRefs>
</ds:datastoreItem>
</file>

<file path=customXml/itemProps4.xml><?xml version="1.0" encoding="utf-8"?>
<ds:datastoreItem xmlns:ds="http://schemas.openxmlformats.org/officeDocument/2006/customXml" ds:itemID="{2C51A3DE-F757-4209-AFB3-484EE95A79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2563</Words>
  <Characters>14614</Characters>
  <Application>Microsoft Office Word</Application>
  <DocSecurity>0</DocSecurity>
  <Lines>121</Lines>
  <Paragraphs>34</Paragraphs>
  <ScaleCrop>false</ScaleCrop>
  <Company>U S Department of State</Company>
  <LinksUpToDate>false</LinksUpToDate>
  <CharactersWithSpaces>17143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Jazavac, Benjamin</dc:creator>
  <cp:lastModifiedBy>Stanley, Alexys</cp:lastModifiedBy>
  <cp:revision>4</cp:revision>
  <cp:lastPrinted>2024-08-20T18:13:00Z</cp:lastPrinted>
  <dcterms:created xsi:type="dcterms:W3CDTF">2024-10-01T23:11:00Z</dcterms:created>
  <dcterms:modified xsi:type="dcterms:W3CDTF">2024-11-12T15:42:00Z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0x0101004E07F8FE809D9145A035CF974347916F</vt:lpwstr>
  </property>
  <property fmtid="{D5CDD505-2E9C-101B-9397-08002B2CF9AE}" pid="4" name="MediaServiceImageTags">
    <vt:lpwstr/>
  </property>
  <property fmtid="{D5CDD505-2E9C-101B-9397-08002B2CF9AE}" pid="5" name="MSIP_Label_0d3cdd76-ed86-4455-8be3-c27733367ace_ActionId">
    <vt:lpwstr>03720830-78b1-4fd0-bbc0-3e4610727884</vt:lpwstr>
  </property>
  <property fmtid="{D5CDD505-2E9C-101B-9397-08002B2CF9AE}" pid="6" name="MSIP_Label_0d3cdd76-ed86-4455-8be3-c27733367ace_ContentBits">
    <vt:lpwstr>2</vt:lpwstr>
  </property>
  <property fmtid="{D5CDD505-2E9C-101B-9397-08002B2CF9AE}" pid="7" name="MSIP_Label_0d3cdd76-ed86-4455-8be3-c27733367ace_Enabled">
    <vt:lpwstr>true</vt:lpwstr>
  </property>
  <property fmtid="{D5CDD505-2E9C-101B-9397-08002B2CF9AE}" pid="8" name="MSIP_Label_0d3cdd76-ed86-4455-8be3-c27733367ace_Method">
    <vt:lpwstr>Privileged</vt:lpwstr>
  </property>
  <property fmtid="{D5CDD505-2E9C-101B-9397-08002B2CF9AE}" pid="9" name="MSIP_Label_0d3cdd76-ed86-4455-8be3-c27733367ace_Name">
    <vt:lpwstr>0d3cdd76-ed86-4455-8be3-c27733367ace</vt:lpwstr>
  </property>
  <property fmtid="{D5CDD505-2E9C-101B-9397-08002B2CF9AE}" pid="10" name="MSIP_Label_0d3cdd76-ed86-4455-8be3-c27733367ace_SetDate">
    <vt:lpwstr>2022-03-31T17:59:20Z</vt:lpwstr>
  </property>
  <property fmtid="{D5CDD505-2E9C-101B-9397-08002B2CF9AE}" pid="11" name="MSIP_Label_0d3cdd76-ed86-4455-8be3-c27733367ace_SiteId">
    <vt:lpwstr>66cf5074-5afe-48d1-a691-a12b2121f44b</vt:lpwstr>
  </property>
  <property fmtid="{D5CDD505-2E9C-101B-9397-08002B2CF9AE}" pid="12" name="Order">
    <vt:r8>295700</vt:r8>
  </property>
  <property fmtid="{D5CDD505-2E9C-101B-9397-08002B2CF9AE}" pid="13" name="TaskerStatus">
    <vt:lpwstr>Outstanding</vt:lpwstr>
  </property>
  <property fmtid="{D5CDD505-2E9C-101B-9397-08002B2CF9AE}" pid="14" name="TemplateUrl">
    <vt:lpwstr/>
  </property>
  <property fmtid="{D5CDD505-2E9C-101B-9397-08002B2CF9AE}" pid="15" name="TriggerFlowInfo">
    <vt:lpwstr/>
  </property>
  <property fmtid="{D5CDD505-2E9C-101B-9397-08002B2CF9AE}" pid="16" name="xd_ProgID">
    <vt:lpwstr/>
  </property>
  <property fmtid="{D5CDD505-2E9C-101B-9397-08002B2CF9AE}" pid="17" name="xd_Signature">
    <vt:bool>false</vt:bool>
  </property>
  <property fmtid="{D5CDD505-2E9C-101B-9397-08002B2CF9AE}" pid="18" name="_dlc_DocIdItemGuid">
    <vt:lpwstr>1bbeedef-4065-4cb1-8749-3acb7d890017</vt:lpwstr>
  </property>
  <property fmtid="{D5CDD505-2E9C-101B-9397-08002B2CF9AE}" pid="19" name="_ExtendedDescription">
    <vt:lpwstr/>
  </property>
</Properties>
</file>