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A1A" w:rsidRPr="00C40A1A" w:rsidP="00C40A1A" w14:paraId="4F007E1E"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00B37694" w:rsidRPr="00B37694" w:rsidP="000014B9" w14:paraId="60F3294D" w14:textId="77777777">
      <w:pPr>
        <w:widowControl/>
        <w:tabs>
          <w:tab w:val="center" w:pos="5112"/>
        </w:tabs>
        <w:jc w:val="center"/>
        <w:rPr>
          <w:rFonts w:ascii="Times New Roman" w:hAnsi="Times New Roman"/>
        </w:rPr>
      </w:pPr>
      <w:r>
        <w:rPr>
          <w:rFonts w:ascii="Times New Roman" w:hAnsi="Times New Roman"/>
        </w:rPr>
        <w:t>REGISTRATION OF MORTGAGE LOAN ORIGINATORS – SAFE ACT</w:t>
      </w:r>
    </w:p>
    <w:p w:rsidR="00C40A1A" w:rsidRPr="00C40A1A" w:rsidP="00915517" w14:paraId="6B845818" w14:textId="7777777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Pr>
          <w:rFonts w:ascii="Times New Roman" w:hAnsi="Times New Roman"/>
          <w:szCs w:val="24"/>
        </w:rPr>
        <w:t>(OMB Control No. 3064-0</w:t>
      </w:r>
      <w:r w:rsidR="00886ADA">
        <w:rPr>
          <w:rFonts w:ascii="Times New Roman" w:hAnsi="Times New Roman"/>
          <w:szCs w:val="24"/>
        </w:rPr>
        <w:t>1</w:t>
      </w:r>
      <w:r w:rsidR="008C6421">
        <w:rPr>
          <w:rFonts w:ascii="Times New Roman" w:hAnsi="Times New Roman"/>
          <w:szCs w:val="24"/>
        </w:rPr>
        <w:t>71</w:t>
      </w:r>
      <w:r w:rsidRPr="00C40A1A">
        <w:rPr>
          <w:rFonts w:ascii="Times New Roman" w:hAnsi="Times New Roman"/>
          <w:szCs w:val="24"/>
        </w:rPr>
        <w:t>)</w:t>
      </w:r>
    </w:p>
    <w:p w:rsidR="00F146F1" w14:paraId="4F348ADA"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2DBFAA08"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2CEAD0C5" w14:textId="77777777">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14:paraId="4757E391" w14:textId="77777777">
      <w:pPr>
        <w:widowControl/>
        <w:autoSpaceDE w:val="0"/>
        <w:autoSpaceDN w:val="0"/>
        <w:adjustRightInd w:val="0"/>
        <w:rPr>
          <w:rFonts w:ascii="Times New Roman" w:hAnsi="Times New Roman"/>
          <w:szCs w:val="24"/>
        </w:rPr>
      </w:pPr>
    </w:p>
    <w:p w:rsidR="00B10980" w:rsidP="00583579" w14:paraId="11C20EE4" w14:textId="01D6EDB9">
      <w:pPr>
        <w:widowControl/>
        <w:autoSpaceDE w:val="0"/>
        <w:autoSpaceDN w:val="0"/>
        <w:adjustRightInd w:val="0"/>
        <w:rPr>
          <w:rFonts w:ascii="Times New Roman" w:hAnsi="Times New Roman"/>
          <w:szCs w:val="24"/>
        </w:rPr>
      </w:pPr>
      <w:r w:rsidRPr="008C6421">
        <w:rPr>
          <w:rFonts w:ascii="Times New Roman" w:hAnsi="Times New Roman"/>
          <w:bCs/>
          <w:szCs w:val="24"/>
        </w:rPr>
        <w:t xml:space="preserve">The Federal Deposit Insurance Corporation (FDIC) is requesting a three-year </w:t>
      </w:r>
      <w:r w:rsidR="009444CC">
        <w:rPr>
          <w:rFonts w:ascii="Times New Roman" w:hAnsi="Times New Roman"/>
          <w:bCs/>
          <w:szCs w:val="24"/>
        </w:rPr>
        <w:t>extension, with revisions</w:t>
      </w:r>
      <w:r w:rsidRPr="008C6421">
        <w:rPr>
          <w:rFonts w:ascii="Times New Roman" w:hAnsi="Times New Roman"/>
          <w:bCs/>
          <w:szCs w:val="24"/>
        </w:rPr>
        <w:t xml:space="preserve"> of the information collection for its collection (3064-0171) associated with the registration of mortgage loan originators.  The current clearance for the collection expires on </w:t>
      </w:r>
      <w:r w:rsidR="009438A5">
        <w:rPr>
          <w:rFonts w:ascii="Times New Roman" w:hAnsi="Times New Roman"/>
          <w:bCs/>
          <w:szCs w:val="24"/>
        </w:rPr>
        <w:t>April 30, 2025</w:t>
      </w:r>
      <w:r w:rsidRPr="008C6421">
        <w:rPr>
          <w:rFonts w:ascii="Times New Roman" w:hAnsi="Times New Roman"/>
          <w:bCs/>
          <w:szCs w:val="24"/>
        </w:rPr>
        <w:t xml:space="preserve">.  </w:t>
      </w:r>
    </w:p>
    <w:p w:rsidR="000014B9" w:rsidP="00583579" w14:paraId="5CC1F2CE" w14:textId="77777777">
      <w:pPr>
        <w:widowControl/>
        <w:autoSpaceDE w:val="0"/>
        <w:autoSpaceDN w:val="0"/>
        <w:adjustRightInd w:val="0"/>
        <w:rPr>
          <w:rFonts w:ascii="Times New Roman" w:hAnsi="Times New Roman"/>
        </w:rPr>
      </w:pPr>
    </w:p>
    <w:p w:rsidR="00F146F1" w:rsidP="0024672A" w14:paraId="178CA899" w14:textId="77777777">
      <w:pPr>
        <w:widowControl/>
        <w:numPr>
          <w:ilvl w:val="0"/>
          <w:numId w:val="2"/>
        </w:numPr>
        <w:rPr>
          <w:rFonts w:ascii="Times New Roman" w:hAnsi="Times New Roman"/>
        </w:rPr>
      </w:pPr>
      <w:r>
        <w:rPr>
          <w:rFonts w:ascii="Times New Roman" w:hAnsi="Times New Roman"/>
          <w:u w:val="single"/>
        </w:rPr>
        <w:t>JUSTIFICATION</w:t>
      </w:r>
    </w:p>
    <w:p w:rsidR="00F146F1" w14:paraId="0A2CAE4E" w14:textId="77777777">
      <w:pPr>
        <w:widowControl/>
        <w:rPr>
          <w:rFonts w:ascii="Times New Roman" w:hAnsi="Times New Roman"/>
        </w:rPr>
      </w:pPr>
    </w:p>
    <w:p w:rsidR="00F146F1" w:rsidP="00F175D5" w14:paraId="6F27AD11" w14:textId="77777777">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14:paraId="602750FF" w14:textId="77777777">
      <w:pPr>
        <w:widowControl/>
        <w:rPr>
          <w:rFonts w:ascii="Times New Roman" w:hAnsi="Times New Roman"/>
        </w:rPr>
      </w:pPr>
    </w:p>
    <w:p w:rsidR="00FA4D5D" w:rsidRPr="00FA4D5D" w:rsidP="000014B9" w14:paraId="5F5B2F29" w14:textId="10D2DCB7">
      <w:pPr>
        <w:widowControl/>
        <w:ind w:left="1440"/>
        <w:rPr>
          <w:rFonts w:ascii="Times New Roman" w:hAnsi="Times New Roman"/>
        </w:rPr>
      </w:pPr>
      <w:r w:rsidRPr="007403A4">
        <w:rPr>
          <w:rFonts w:ascii="Times New Roman" w:hAnsi="Times New Roman"/>
          <w:bCs/>
        </w:rPr>
        <w:t xml:space="preserve">The </w:t>
      </w:r>
      <w:r w:rsidRPr="007403A4">
        <w:rPr>
          <w:rFonts w:ascii="Times New Roman" w:hAnsi="Times New Roman"/>
          <w:bCs/>
          <w:iCs/>
        </w:rPr>
        <w:t xml:space="preserve">Secure and Fair Enforcement for Mortgage Licensing Act (the S.A.F.E. Act), </w:t>
      </w:r>
      <w:r w:rsidRPr="007403A4">
        <w:rPr>
          <w:rFonts w:ascii="Times New Roman" w:hAnsi="Times New Roman"/>
          <w:bCs/>
        </w:rPr>
        <w:t xml:space="preserve">which was enacted as Title V of the Housing and Economic Recovery Act of 2008, Pub. L. No.110-289, requires employees of certain financial institutions and their subsidiaries, who engage in the business of a mortgage loan originator (“MLO”) to register with Nationwide Mortgage Licensing System and Registry; a web-based system developed and maintained by the Conference of State Bank Supervisors and the American Association of Residential Mortgage regulators jointly through the State Regulatory Registry LLC.  The S.A.F.E. Act also provides that these institutions must require their employees, who act as MLOs to comply with this Act’s requirements to register and obtain a unique identifier, and must adopt and follow written policies and procedures to assure compliance with these requirements.  </w:t>
      </w:r>
    </w:p>
    <w:p w:rsidR="0024672A" w:rsidP="00FA4D5D" w14:paraId="482D20A5" w14:textId="77777777">
      <w:pPr>
        <w:widowControl/>
        <w:rPr>
          <w:rFonts w:ascii="Times New Roman" w:hAnsi="Times New Roman"/>
        </w:rPr>
      </w:pPr>
    </w:p>
    <w:p w:rsidR="00F146F1" w:rsidP="00F175D5" w14:paraId="064A313D" w14:textId="0F50A932">
      <w:pPr>
        <w:widowControl/>
        <w:numPr>
          <w:ilvl w:val="0"/>
          <w:numId w:val="4"/>
        </w:numPr>
        <w:rPr>
          <w:rFonts w:ascii="Times New Roman" w:hAnsi="Times New Roman"/>
        </w:rPr>
      </w:pPr>
      <w:r w:rsidRPr="00366534">
        <w:rPr>
          <w:rFonts w:ascii="Times New Roman" w:hAnsi="Times New Roman"/>
          <w:u w:val="single"/>
        </w:rPr>
        <w:t xml:space="preserve">Use of </w:t>
      </w:r>
      <w:r w:rsidR="001903AE">
        <w:rPr>
          <w:rFonts w:ascii="Times New Roman" w:hAnsi="Times New Roman"/>
          <w:u w:val="single"/>
        </w:rPr>
        <w:t>I</w:t>
      </w:r>
      <w:r w:rsidRPr="00366534">
        <w:rPr>
          <w:rFonts w:ascii="Times New Roman" w:hAnsi="Times New Roman"/>
          <w:u w:val="single"/>
        </w:rPr>
        <w:t>nformation:</w:t>
      </w:r>
    </w:p>
    <w:p w:rsidR="00F146F1" w14:paraId="674F95B9" w14:textId="77777777">
      <w:pPr>
        <w:widowControl/>
        <w:rPr>
          <w:rFonts w:ascii="Times New Roman" w:hAnsi="Times New Roman"/>
        </w:rPr>
      </w:pPr>
    </w:p>
    <w:p w:rsidR="00F146F1" w:rsidP="00D367A8" w14:paraId="732FCC9F" w14:textId="77777777">
      <w:pPr>
        <w:widowControl/>
        <w:ind w:left="1440"/>
        <w:rPr>
          <w:rFonts w:ascii="Times New Roman" w:hAnsi="Times New Roman"/>
        </w:rPr>
      </w:pPr>
      <w:r w:rsidRPr="007403A4">
        <w:rPr>
          <w:rFonts w:ascii="Times New Roman" w:hAnsi="Times New Roman"/>
        </w:rPr>
        <w:t>The information collected is designed to improve the flow of information to and between regulators; provide accountability and tracking of MLOs, enhance consumer protections, reduce fraud in the residential mortgage loan origination process and provide consumers with easily accessible information at no charge regarding the employment history of, and publicly adjudicated disciplinary and enforcement actions against, MLOs</w:t>
      </w:r>
      <w:r w:rsidR="004A75C2">
        <w:rPr>
          <w:rFonts w:ascii="Times New Roman" w:hAnsi="Times New Roman"/>
        </w:rPr>
        <w:t>.</w:t>
      </w:r>
    </w:p>
    <w:p w:rsidR="00FA4D5D" w:rsidP="00FA4D5D" w14:paraId="0BC9D79E" w14:textId="77777777">
      <w:pPr>
        <w:widowControl/>
        <w:ind w:left="1440"/>
        <w:rPr>
          <w:rFonts w:ascii="Times New Roman" w:hAnsi="Times New Roman"/>
        </w:rPr>
      </w:pPr>
    </w:p>
    <w:p w:rsidR="00F146F1" w:rsidP="00F175D5" w14:paraId="59617295" w14:textId="77777777">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14:paraId="0A75A216" w14:textId="77777777">
      <w:pPr>
        <w:widowControl/>
        <w:rPr>
          <w:rFonts w:ascii="Times New Roman" w:hAnsi="Times New Roman"/>
        </w:rPr>
      </w:pPr>
    </w:p>
    <w:p w:rsidR="00F146F1" w14:paraId="5DD7E54E" w14:textId="77777777">
      <w:pPr>
        <w:widowControl/>
        <w:ind w:left="1440"/>
        <w:rPr>
          <w:rFonts w:ascii="Times New Roman" w:hAnsi="Times New Roman"/>
        </w:rPr>
      </w:pPr>
      <w:r w:rsidRPr="007403A4">
        <w:rPr>
          <w:rFonts w:ascii="Times New Roman" w:hAnsi="Times New Roman"/>
        </w:rPr>
        <w:t>Federal registration and state licensing and registration must be completed through the Nationwide Mortgage Licensing System and Registry; a web-based system developed and maintained by the Conference of State Bank Supervisors and the American Association of Residential Mortgage regulators jointly through the State Regulatory Registry LLC.  The electronic form is stored in a secured, centralized repository</w:t>
      </w:r>
      <w:r w:rsidRPr="00FA4D5D" w:rsidR="00FA4D5D">
        <w:rPr>
          <w:rFonts w:ascii="Times New Roman" w:hAnsi="Times New Roman"/>
        </w:rPr>
        <w:t>.</w:t>
      </w:r>
      <w:r>
        <w:rPr>
          <w:rFonts w:ascii="Times New Roman" w:hAnsi="Times New Roman"/>
        </w:rPr>
        <w:t xml:space="preserve">  </w:t>
      </w:r>
    </w:p>
    <w:p w:rsidR="00F146F1" w14:paraId="3E84CDD5" w14:textId="77777777">
      <w:pPr>
        <w:widowControl/>
        <w:ind w:left="1440"/>
        <w:rPr>
          <w:rFonts w:ascii="Times New Roman" w:hAnsi="Times New Roman"/>
        </w:rPr>
      </w:pPr>
    </w:p>
    <w:p w:rsidR="00F146F1" w:rsidP="00F175D5" w14:paraId="07D93ED2" w14:textId="610AA67F">
      <w:pPr>
        <w:widowControl/>
        <w:numPr>
          <w:ilvl w:val="0"/>
          <w:numId w:val="4"/>
        </w:numPr>
        <w:rPr>
          <w:rFonts w:ascii="Times New Roman" w:hAnsi="Times New Roman"/>
        </w:rPr>
      </w:pPr>
      <w:r w:rsidRPr="001903AE">
        <w:rPr>
          <w:rFonts w:ascii="Times New Roman" w:hAnsi="Times New Roman"/>
          <w:u w:val="single"/>
        </w:rPr>
        <w:t>Efforts to Identify Duplication</w:t>
      </w:r>
      <w:r w:rsidRPr="00366534" w:rsidR="00F175D5">
        <w:rPr>
          <w:rFonts w:ascii="Times New Roman" w:hAnsi="Times New Roman"/>
          <w:u w:val="single"/>
        </w:rPr>
        <w:t>:</w:t>
      </w:r>
    </w:p>
    <w:p w:rsidR="00F146F1" w14:paraId="344BBAFB" w14:textId="77777777">
      <w:pPr>
        <w:widowControl/>
        <w:rPr>
          <w:rFonts w:ascii="Times New Roman" w:hAnsi="Times New Roman"/>
        </w:rPr>
      </w:pPr>
    </w:p>
    <w:p w:rsidR="00F146F1" w:rsidP="00FA4D5D" w14:paraId="58510DF7" w14:textId="77777777">
      <w:pPr>
        <w:widowControl/>
        <w:ind w:left="1440"/>
        <w:rPr>
          <w:rFonts w:ascii="Times New Roman" w:hAnsi="Times New Roman"/>
        </w:rPr>
      </w:pPr>
      <w:r w:rsidRPr="007403A4">
        <w:rPr>
          <w:rFonts w:ascii="Times New Roman" w:hAnsi="Times New Roman"/>
        </w:rPr>
        <w:t>The collections of information are unique and cover the institution’s particular circumstances. No duplication exists</w:t>
      </w:r>
      <w:r w:rsidRPr="00D367A8" w:rsidR="00D367A8">
        <w:rPr>
          <w:rFonts w:ascii="Times New Roman" w:hAnsi="Times New Roman"/>
        </w:rPr>
        <w:t>.</w:t>
      </w:r>
    </w:p>
    <w:p w:rsidR="00ED4700" w14:paraId="3891B451" w14:textId="77777777">
      <w:pPr>
        <w:widowControl/>
        <w:ind w:left="1440"/>
        <w:rPr>
          <w:rFonts w:ascii="Times New Roman" w:hAnsi="Times New Roman"/>
        </w:rPr>
      </w:pPr>
    </w:p>
    <w:p w:rsidR="00F146F1" w:rsidP="00F175D5" w14:paraId="48BF5D5E" w14:textId="77777777">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14:paraId="706DC619" w14:textId="77777777">
      <w:pPr>
        <w:widowControl/>
        <w:rPr>
          <w:rFonts w:ascii="Times New Roman" w:hAnsi="Times New Roman"/>
        </w:rPr>
      </w:pPr>
    </w:p>
    <w:p w:rsidR="00F146F1" w:rsidP="000014B9" w14:paraId="3E559CF3" w14:textId="07CF7687">
      <w:pPr>
        <w:widowControl/>
        <w:ind w:left="1440"/>
        <w:rPr>
          <w:rFonts w:ascii="Times New Roman" w:hAnsi="Times New Roman"/>
          <w:szCs w:val="24"/>
        </w:rPr>
      </w:pPr>
      <w:r w:rsidRPr="007403A4">
        <w:rPr>
          <w:rFonts w:ascii="Times New Roman" w:hAnsi="Times New Roman"/>
        </w:rPr>
        <w:t xml:space="preserve">According to Call Report data as of </w:t>
      </w:r>
      <w:r w:rsidR="004320E6">
        <w:rPr>
          <w:rFonts w:ascii="Times New Roman" w:hAnsi="Times New Roman"/>
        </w:rPr>
        <w:t>June 30, 2024</w:t>
      </w:r>
      <w:r w:rsidRPr="007403A4">
        <w:rPr>
          <w:rFonts w:ascii="Times New Roman" w:hAnsi="Times New Roman"/>
        </w:rPr>
        <w:t xml:space="preserve">, there were </w:t>
      </w:r>
      <w:r w:rsidR="00157D6C">
        <w:rPr>
          <w:rFonts w:ascii="Times New Roman" w:hAnsi="Times New Roman"/>
        </w:rPr>
        <w:t>2</w:t>
      </w:r>
      <w:r w:rsidRPr="007403A4">
        <w:rPr>
          <w:rFonts w:ascii="Times New Roman" w:hAnsi="Times New Roman"/>
        </w:rPr>
        <w:t>,</w:t>
      </w:r>
      <w:r w:rsidR="00157D6C">
        <w:rPr>
          <w:rFonts w:ascii="Times New Roman" w:hAnsi="Times New Roman"/>
        </w:rPr>
        <w:t>840</w:t>
      </w:r>
      <w:r w:rsidRPr="007403A4">
        <w:rPr>
          <w:rFonts w:ascii="Times New Roman" w:hAnsi="Times New Roman"/>
        </w:rPr>
        <w:t xml:space="preserve"> FDIC-supervised institutions.  Of these entities, 2,</w:t>
      </w:r>
      <w:r w:rsidR="00CA0678">
        <w:rPr>
          <w:rFonts w:ascii="Times New Roman" w:hAnsi="Times New Roman"/>
        </w:rPr>
        <w:t>173</w:t>
      </w:r>
      <w:r w:rsidRPr="007403A4">
        <w:rPr>
          <w:rFonts w:ascii="Times New Roman" w:hAnsi="Times New Roman"/>
        </w:rPr>
        <w:t xml:space="preserve"> have total assets of less than $</w:t>
      </w:r>
      <w:r w:rsidR="00FB61A0">
        <w:rPr>
          <w:rFonts w:ascii="Times New Roman" w:hAnsi="Times New Roman"/>
        </w:rPr>
        <w:t>850</w:t>
      </w:r>
      <w:r w:rsidRPr="007403A4">
        <w:rPr>
          <w:rFonts w:ascii="Times New Roman" w:hAnsi="Times New Roman"/>
        </w:rPr>
        <w:t xml:space="preserve"> million therefore meeting the Small Business Administration’s definition of a “small entity.”  However, the impact on these small entities would not be significant</w:t>
      </w:r>
      <w:r w:rsidRPr="00D367A8" w:rsidR="00D367A8">
        <w:rPr>
          <w:rFonts w:ascii="Times New Roman" w:hAnsi="Times New Roman"/>
        </w:rPr>
        <w:t>.</w:t>
      </w:r>
    </w:p>
    <w:p w:rsidR="004A75C2" w:rsidP="004A75C2" w14:paraId="7572F775" w14:textId="77777777">
      <w:pPr>
        <w:widowControl/>
        <w:rPr>
          <w:rFonts w:ascii="Times New Roman" w:hAnsi="Times New Roman"/>
        </w:rPr>
      </w:pPr>
    </w:p>
    <w:p w:rsidR="00F146F1" w:rsidP="00F175D5" w14:paraId="568C33E5" w14:textId="765833E6">
      <w:pPr>
        <w:widowControl/>
        <w:numPr>
          <w:ilvl w:val="0"/>
          <w:numId w:val="4"/>
        </w:numPr>
        <w:rPr>
          <w:rFonts w:ascii="Times New Roman" w:hAnsi="Times New Roman"/>
        </w:rPr>
      </w:pPr>
      <w:r w:rsidRPr="00645A81">
        <w:rPr>
          <w:rFonts w:ascii="Times New Roman" w:hAnsi="Times New Roman"/>
          <w:u w:val="single"/>
        </w:rPr>
        <w:t>Consequences to Less Frequent Collections</w:t>
      </w:r>
      <w:r w:rsidRPr="00366534" w:rsidR="00F175D5">
        <w:rPr>
          <w:rFonts w:ascii="Times New Roman" w:hAnsi="Times New Roman"/>
          <w:u w:val="single"/>
        </w:rPr>
        <w:t>:</w:t>
      </w:r>
    </w:p>
    <w:p w:rsidR="00F146F1" w14:paraId="5BAFC3B6" w14:textId="77777777">
      <w:pPr>
        <w:widowControl/>
        <w:rPr>
          <w:rFonts w:ascii="Times New Roman" w:hAnsi="Times New Roman"/>
        </w:rPr>
      </w:pPr>
    </w:p>
    <w:p w:rsidR="00F146F1" w14:paraId="00F41010" w14:textId="77777777">
      <w:pPr>
        <w:widowControl/>
        <w:ind w:left="1440"/>
        <w:rPr>
          <w:rFonts w:ascii="Times New Roman" w:hAnsi="Times New Roman"/>
        </w:rPr>
      </w:pPr>
      <w:r w:rsidRPr="007403A4">
        <w:rPr>
          <w:rFonts w:ascii="Times New Roman" w:hAnsi="Times New Roman"/>
        </w:rPr>
        <w:t>Without this information, the FDIC would be unable to meet the requirements of the statute</w:t>
      </w:r>
      <w:r w:rsidRPr="00E57520" w:rsidR="00E57520">
        <w:rPr>
          <w:rFonts w:ascii="Times New Roman" w:hAnsi="Times New Roman"/>
        </w:rPr>
        <w:t>.</w:t>
      </w:r>
    </w:p>
    <w:p w:rsidR="00F146F1" w14:paraId="2E18DB5A" w14:textId="77777777">
      <w:pPr>
        <w:widowControl/>
        <w:rPr>
          <w:rFonts w:ascii="Times New Roman" w:hAnsi="Times New Roman"/>
        </w:rPr>
      </w:pPr>
    </w:p>
    <w:p w:rsidR="00F146F1" w:rsidP="00F175D5" w14:paraId="0AA3E59D" w14:textId="77777777">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14:paraId="4CAC75D0" w14:textId="77777777">
      <w:pPr>
        <w:widowControl/>
        <w:rPr>
          <w:rFonts w:ascii="Times New Roman" w:hAnsi="Times New Roman"/>
        </w:rPr>
      </w:pPr>
    </w:p>
    <w:p w:rsidR="00F146F1" w:rsidP="00820109" w14:paraId="0F30907C" w14:textId="1D8FE632">
      <w:pPr>
        <w:widowControl/>
        <w:ind w:left="1440"/>
        <w:rPr>
          <w:rFonts w:ascii="Times New Roman" w:hAnsi="Times New Roman"/>
        </w:rPr>
      </w:pPr>
      <w:r w:rsidRPr="00366534">
        <w:rPr>
          <w:rFonts w:ascii="Times New Roman" w:hAnsi="Times New Roman"/>
        </w:rPr>
        <w:t xml:space="preserve">None.  </w:t>
      </w:r>
    </w:p>
    <w:p w:rsidR="00F146F1" w14:paraId="55238DA8" w14:textId="77777777">
      <w:pPr>
        <w:widowControl/>
        <w:ind w:left="576"/>
        <w:rPr>
          <w:rFonts w:ascii="Times New Roman" w:hAnsi="Times New Roman"/>
        </w:rPr>
      </w:pPr>
    </w:p>
    <w:p w:rsidR="00F146F1" w:rsidP="00F175D5" w14:paraId="4FFE511A" w14:textId="3C2B2AC1">
      <w:pPr>
        <w:widowControl/>
        <w:numPr>
          <w:ilvl w:val="0"/>
          <w:numId w:val="4"/>
        </w:numPr>
        <w:rPr>
          <w:rFonts w:ascii="Times New Roman" w:hAnsi="Times New Roman"/>
        </w:rPr>
      </w:pPr>
      <w:r w:rsidRPr="00CA1704">
        <w:rPr>
          <w:rFonts w:ascii="Times New Roman" w:hAnsi="Times New Roman"/>
          <w:u w:val="single"/>
        </w:rPr>
        <w:t>Consultation with Persons Outside the FDIC</w:t>
      </w:r>
      <w:r w:rsidRPr="00366534" w:rsidR="002423D4">
        <w:rPr>
          <w:rFonts w:ascii="Times New Roman" w:hAnsi="Times New Roman"/>
          <w:u w:val="single"/>
        </w:rPr>
        <w:t>:</w:t>
      </w:r>
    </w:p>
    <w:p w:rsidR="00F146F1" w:rsidRPr="00280958" w:rsidP="00280958" w14:paraId="6A7A41F0" w14:textId="77777777">
      <w:pPr>
        <w:widowControl/>
        <w:ind w:left="1440"/>
        <w:rPr>
          <w:rFonts w:ascii="Times New Roman" w:hAnsi="Times New Roman"/>
        </w:rPr>
      </w:pPr>
    </w:p>
    <w:p w:rsidR="00F146F1" w:rsidP="00280958" w14:paraId="6F4078D0" w14:textId="6C92FB11">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3A03F0">
        <w:rPr>
          <w:rFonts w:ascii="Times New Roman" w:hAnsi="Times New Roman"/>
        </w:rPr>
        <w:t>January 23, 2025</w:t>
      </w:r>
      <w:r w:rsidR="00CA5E80">
        <w:rPr>
          <w:rFonts w:ascii="Times New Roman" w:hAnsi="Times New Roman"/>
        </w:rPr>
        <w:t xml:space="preserve"> (</w:t>
      </w:r>
      <w:r w:rsidR="003A03F0">
        <w:rPr>
          <w:rFonts w:ascii="Times New Roman" w:hAnsi="Times New Roman"/>
        </w:rPr>
        <w:t>90</w:t>
      </w:r>
      <w:r>
        <w:rPr>
          <w:rFonts w:ascii="Times New Roman" w:hAnsi="Times New Roman"/>
        </w:rPr>
        <w:t xml:space="preserve"> FR </w:t>
      </w:r>
      <w:r w:rsidR="005710C6">
        <w:rPr>
          <w:rFonts w:ascii="Times New Roman" w:hAnsi="Times New Roman"/>
        </w:rPr>
        <w:t>8027</w:t>
      </w:r>
      <w:r>
        <w:rPr>
          <w:rFonts w:ascii="Times New Roman" w:hAnsi="Times New Roman"/>
        </w:rPr>
        <w:t>)</w:t>
      </w:r>
      <w:r w:rsidRPr="005E1A91">
        <w:rPr>
          <w:rFonts w:ascii="Times New Roman" w:hAnsi="Times New Roman"/>
        </w:rPr>
        <w:t xml:space="preserve">.  </w:t>
      </w:r>
      <w:r w:rsidR="007403A4">
        <w:rPr>
          <w:rFonts w:ascii="Times New Roman" w:hAnsi="Times New Roman"/>
        </w:rPr>
        <w:t>No</w:t>
      </w:r>
      <w:r w:rsidR="00CA5E80">
        <w:rPr>
          <w:rFonts w:ascii="Times New Roman" w:hAnsi="Times New Roman"/>
        </w:rPr>
        <w:t xml:space="preserve"> comment</w:t>
      </w:r>
      <w:r w:rsidR="007403A4">
        <w:rPr>
          <w:rFonts w:ascii="Times New Roman" w:hAnsi="Times New Roman"/>
        </w:rPr>
        <w:t>s were received</w:t>
      </w:r>
      <w:r w:rsidRPr="005E1A91">
        <w:rPr>
          <w:rFonts w:ascii="Times New Roman" w:hAnsi="Times New Roman"/>
        </w:rPr>
        <w:t>.</w:t>
      </w:r>
      <w:r w:rsidRPr="00280958" w:rsidR="00280958">
        <w:rPr>
          <w:rFonts w:ascii="Times New Roman" w:hAnsi="Times New Roman"/>
        </w:rPr>
        <w:t xml:space="preserve"> </w:t>
      </w:r>
    </w:p>
    <w:p w:rsidR="00280958" w:rsidRPr="00280958" w:rsidP="00280958" w14:paraId="1767C198" w14:textId="77777777">
      <w:pPr>
        <w:pStyle w:val="Footer"/>
        <w:widowControl/>
        <w:tabs>
          <w:tab w:val="clear" w:pos="4320"/>
          <w:tab w:val="clear" w:pos="8640"/>
        </w:tabs>
        <w:ind w:left="1440"/>
        <w:rPr>
          <w:rFonts w:ascii="Times New Roman" w:hAnsi="Times New Roman"/>
        </w:rPr>
      </w:pPr>
    </w:p>
    <w:p w:rsidR="00F146F1" w:rsidP="00F175D5" w14:paraId="027AABC8" w14:textId="68B2755A">
      <w:pPr>
        <w:widowControl/>
        <w:numPr>
          <w:ilvl w:val="0"/>
          <w:numId w:val="4"/>
        </w:numPr>
        <w:rPr>
          <w:rFonts w:ascii="Times New Roman" w:hAnsi="Times New Roman"/>
        </w:rPr>
      </w:pPr>
      <w:r w:rsidRPr="00366534">
        <w:rPr>
          <w:rFonts w:ascii="Times New Roman" w:hAnsi="Times New Roman"/>
          <w:u w:val="single"/>
        </w:rPr>
        <w:t xml:space="preserve">Payment or </w:t>
      </w:r>
      <w:r w:rsidR="00F26908">
        <w:rPr>
          <w:rFonts w:ascii="Times New Roman" w:hAnsi="Times New Roman"/>
          <w:u w:val="single"/>
        </w:rPr>
        <w:t>G</w:t>
      </w:r>
      <w:r w:rsidRPr="00366534">
        <w:rPr>
          <w:rFonts w:ascii="Times New Roman" w:hAnsi="Times New Roman"/>
          <w:u w:val="single"/>
        </w:rPr>
        <w:t xml:space="preserve">ift to </w:t>
      </w:r>
      <w:r w:rsidR="00F26908">
        <w:rPr>
          <w:rFonts w:ascii="Times New Roman" w:hAnsi="Times New Roman"/>
          <w:u w:val="single"/>
        </w:rPr>
        <w:t>R</w:t>
      </w:r>
      <w:r w:rsidRPr="00366534">
        <w:rPr>
          <w:rFonts w:ascii="Times New Roman" w:hAnsi="Times New Roman"/>
          <w:u w:val="single"/>
        </w:rPr>
        <w:t>espondents:</w:t>
      </w:r>
    </w:p>
    <w:p w:rsidR="00F146F1" w14:paraId="371CB6AD" w14:textId="77777777">
      <w:pPr>
        <w:widowControl/>
        <w:rPr>
          <w:rFonts w:ascii="Times New Roman" w:hAnsi="Times New Roman"/>
        </w:rPr>
      </w:pPr>
    </w:p>
    <w:p w:rsidR="00F146F1" w14:paraId="6398EC54" w14:textId="77777777">
      <w:pPr>
        <w:widowControl/>
        <w:ind w:left="720" w:firstLine="720"/>
        <w:rPr>
          <w:rFonts w:ascii="Times New Roman" w:hAnsi="Times New Roman"/>
        </w:rPr>
      </w:pPr>
      <w:r w:rsidRPr="00712BA4">
        <w:rPr>
          <w:rFonts w:ascii="Times New Roman" w:hAnsi="Times New Roman"/>
        </w:rPr>
        <w:t>Not applicable.</w:t>
      </w:r>
      <w:r>
        <w:rPr>
          <w:rFonts w:ascii="Times New Roman" w:hAnsi="Times New Roman"/>
        </w:rPr>
        <w:t xml:space="preserve"> </w:t>
      </w:r>
    </w:p>
    <w:p w:rsidR="00573F81" w:rsidP="00E57520" w14:paraId="7CAF4F6B" w14:textId="77777777">
      <w:pPr>
        <w:widowControl/>
        <w:rPr>
          <w:rFonts w:ascii="Times New Roman" w:hAnsi="Times New Roman"/>
        </w:rPr>
      </w:pPr>
    </w:p>
    <w:p w:rsidR="00F146F1" w:rsidP="00F175D5" w14:paraId="6C86B434" w14:textId="77777777">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14:paraId="06BC244F" w14:textId="77777777">
      <w:pPr>
        <w:widowControl/>
        <w:ind w:left="576"/>
        <w:rPr>
          <w:rFonts w:ascii="Times New Roman" w:hAnsi="Times New Roman"/>
        </w:rPr>
      </w:pPr>
    </w:p>
    <w:p w:rsidR="00F146F1" w14:paraId="7AC99016" w14:textId="77777777">
      <w:pPr>
        <w:widowControl/>
        <w:ind w:left="1440"/>
        <w:rPr>
          <w:rFonts w:ascii="Times New Roman" w:hAnsi="Times New Roman"/>
        </w:rPr>
      </w:pPr>
      <w:r w:rsidRPr="00E57520">
        <w:rPr>
          <w:rFonts w:ascii="Times New Roman" w:hAnsi="Times New Roman"/>
        </w:rPr>
        <w:t>Any information deemed to be of a confidential nature would be exempt from public disclosure in accordance with the provisions of the Freedom of Information Act (5 U.S.C. 552).</w:t>
      </w:r>
      <w:r>
        <w:rPr>
          <w:rFonts w:ascii="Times New Roman" w:hAnsi="Times New Roman"/>
        </w:rPr>
        <w:t xml:space="preserve">  </w:t>
      </w:r>
    </w:p>
    <w:p w:rsidR="00F146F1" w14:paraId="21A98E56" w14:textId="77777777">
      <w:pPr>
        <w:widowControl/>
        <w:rPr>
          <w:rFonts w:ascii="Times New Roman" w:hAnsi="Times New Roman"/>
        </w:rPr>
      </w:pPr>
    </w:p>
    <w:p w:rsidR="00F146F1" w:rsidP="00F175D5" w14:paraId="00C633EA" w14:textId="77777777">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14:paraId="4EC2541A" w14:textId="77777777">
      <w:pPr>
        <w:widowControl/>
        <w:rPr>
          <w:rFonts w:ascii="Times New Roman" w:hAnsi="Times New Roman"/>
        </w:rPr>
      </w:pPr>
    </w:p>
    <w:p w:rsidR="00622892" w:rsidP="00622892" w14:paraId="15A50FCB" w14:textId="77777777">
      <w:pPr>
        <w:widowControl/>
        <w:ind w:left="1440"/>
        <w:rPr>
          <w:rFonts w:ascii="Times New Roman" w:hAnsi="Times New Roman"/>
        </w:rPr>
      </w:pPr>
      <w:r w:rsidRPr="00945113">
        <w:rPr>
          <w:rFonts w:ascii="Times New Roman" w:hAnsi="Times New Roman"/>
        </w:rPr>
        <w:t>The information collection does not request information of a sensitive nature</w:t>
      </w:r>
      <w:r w:rsidRPr="000014B9" w:rsidR="000014B9">
        <w:rPr>
          <w:rFonts w:ascii="Times New Roman" w:hAnsi="Times New Roman"/>
        </w:rPr>
        <w:t>.</w:t>
      </w:r>
    </w:p>
    <w:p w:rsidR="00A61D6E" w:rsidP="00622892" w14:paraId="2273B4D7" w14:textId="3ADBB9B8">
      <w:pPr>
        <w:widowControl/>
        <w:ind w:left="1440"/>
        <w:rPr>
          <w:rFonts w:ascii="Times New Roman" w:hAnsi="Times New Roman"/>
        </w:rPr>
      </w:pPr>
      <w:bookmarkStart w:id="0" w:name="_DV_M10"/>
      <w:bookmarkEnd w:id="0"/>
      <w:r>
        <w:rPr>
          <w:rFonts w:ascii="Times New Roman" w:hAnsi="Times New Roman"/>
        </w:rPr>
        <w:br w:type="page"/>
      </w:r>
    </w:p>
    <w:p w:rsidR="00F146F1" w:rsidRPr="00AB5440" w:rsidP="00F175D5" w14:paraId="2F25688E" w14:textId="7B36E860">
      <w:pPr>
        <w:widowControl/>
        <w:numPr>
          <w:ilvl w:val="0"/>
          <w:numId w:val="4"/>
        </w:numPr>
        <w:rPr>
          <w:rFonts w:ascii="Times New Roman" w:hAnsi="Times New Roman"/>
        </w:rPr>
      </w:pPr>
      <w:r w:rsidRPr="001F25AB">
        <w:rPr>
          <w:rFonts w:ascii="Times New Roman" w:hAnsi="Times New Roman"/>
          <w:u w:val="single"/>
        </w:rPr>
        <w:t>Estimate of Hour Burden Including Annualized Hourly Costs</w:t>
      </w:r>
      <w:r w:rsidRPr="009234BE" w:rsidR="002423D4">
        <w:rPr>
          <w:rFonts w:ascii="Times New Roman" w:hAnsi="Times New Roman"/>
          <w:u w:val="single"/>
        </w:rPr>
        <w:t>:</w:t>
      </w:r>
    </w:p>
    <w:p w:rsidR="00AB5440" w:rsidRPr="005773AE" w:rsidP="00AB5440" w14:paraId="5ABB6BF4" w14:textId="77777777">
      <w:pPr>
        <w:widowControl/>
        <w:ind w:left="1080"/>
        <w:rPr>
          <w:rFonts w:ascii="Times New Roman" w:hAnsi="Times New Roman"/>
        </w:rPr>
      </w:pPr>
    </w:p>
    <w:tbl>
      <w:tblPr>
        <w:tblW w:w="9118" w:type="dxa"/>
        <w:tblCellMar>
          <w:top w:w="15" w:type="dxa"/>
        </w:tblCellMar>
        <w:tblLook w:val="04A0"/>
      </w:tblPr>
      <w:tblGrid>
        <w:gridCol w:w="2370"/>
        <w:gridCol w:w="1536"/>
        <w:gridCol w:w="1313"/>
        <w:gridCol w:w="1681"/>
        <w:gridCol w:w="1082"/>
        <w:gridCol w:w="1136"/>
      </w:tblGrid>
      <w:tr w14:paraId="6D08DC98" w14:textId="77777777" w:rsidTr="00E7798A">
        <w:tblPrEx>
          <w:tblW w:w="9118" w:type="dxa"/>
          <w:tblCellMar>
            <w:top w:w="15" w:type="dxa"/>
          </w:tblCellMar>
          <w:tblLook w:val="04A0"/>
        </w:tblPrEx>
        <w:trPr>
          <w:trHeight w:val="360"/>
        </w:trPr>
        <w:tc>
          <w:tcPr>
            <w:tcW w:w="911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B5440" w:rsidRPr="002B5C29" w:rsidP="000D7670" w14:paraId="6C68015A" w14:textId="00BA8EA7">
            <w:pPr>
              <w:jc w:val="center"/>
              <w:rPr>
                <w:rFonts w:ascii="Source Sans Pro" w:hAnsi="Source Sans Pro" w:cs="Calibri"/>
                <w:color w:val="000000"/>
                <w:szCs w:val="24"/>
              </w:rPr>
            </w:pPr>
            <w:r w:rsidRPr="002B5C29">
              <w:rPr>
                <w:rFonts w:ascii="Source Sans Pro" w:hAnsi="Source Sans Pro" w:cs="Calibri"/>
                <w:color w:val="000000"/>
                <w:szCs w:val="24"/>
              </w:rPr>
              <w:t>Summary of Estimated Annual Burden (OMB No. 3064-0171)</w:t>
            </w:r>
          </w:p>
        </w:tc>
      </w:tr>
      <w:tr w14:paraId="21975B91" w14:textId="77777777" w:rsidTr="00E7798A">
        <w:tblPrEx>
          <w:tblW w:w="9118" w:type="dxa"/>
          <w:tblCellMar>
            <w:top w:w="15" w:type="dxa"/>
          </w:tblCellMar>
          <w:tblLook w:val="04A0"/>
        </w:tblPrEx>
        <w:trPr>
          <w:trHeight w:val="840"/>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080399A6" w14:textId="77777777">
            <w:pPr>
              <w:rPr>
                <w:rFonts w:ascii="Source Sans Pro" w:hAnsi="Source Sans Pro" w:cs="Calibri"/>
                <w:color w:val="000000"/>
                <w:sz w:val="20"/>
              </w:rPr>
            </w:pPr>
            <w:r w:rsidRPr="002B5C29">
              <w:rPr>
                <w:rFonts w:ascii="Source Sans Pro" w:hAnsi="Source Sans Pro" w:cs="Calibri"/>
                <w:color w:val="000000"/>
                <w:sz w:val="20"/>
              </w:rPr>
              <w:t>Information Collection (IC) (Obligation to Respond)</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0D2A3479" w14:textId="77777777">
            <w:pPr>
              <w:jc w:val="center"/>
              <w:rPr>
                <w:rFonts w:ascii="Source Sans Pro" w:hAnsi="Source Sans Pro" w:cs="Calibri"/>
                <w:color w:val="000000"/>
                <w:sz w:val="20"/>
              </w:rPr>
            </w:pPr>
            <w:r w:rsidRPr="002B5C29">
              <w:rPr>
                <w:rFonts w:ascii="Source Sans Pro" w:hAnsi="Source Sans Pro" w:cs="Calibri"/>
                <w:color w:val="000000"/>
                <w:sz w:val="20"/>
              </w:rPr>
              <w:t>Type of Burden</w:t>
            </w:r>
            <w:r w:rsidRPr="002B5C29">
              <w:rPr>
                <w:rFonts w:ascii="Source Sans Pro" w:hAnsi="Source Sans Pro" w:cs="Calibri"/>
                <w:color w:val="000000"/>
                <w:sz w:val="20"/>
              </w:rPr>
              <w:br/>
              <w:t>(Frequency of Response)</w:t>
            </w:r>
          </w:p>
        </w:tc>
        <w:tc>
          <w:tcPr>
            <w:tcW w:w="1313" w:type="dxa"/>
            <w:tcBorders>
              <w:top w:val="nil"/>
              <w:left w:val="nil"/>
              <w:bottom w:val="single" w:sz="8" w:space="0" w:color="auto"/>
              <w:right w:val="single" w:sz="8" w:space="0" w:color="auto"/>
            </w:tcBorders>
            <w:shd w:val="clear" w:color="auto" w:fill="auto"/>
            <w:vAlign w:val="center"/>
            <w:hideMark/>
          </w:tcPr>
          <w:p w:rsidR="00AB5440" w:rsidRPr="002B5C29" w:rsidP="000D7670" w14:paraId="272BBE28" w14:textId="77777777">
            <w:pPr>
              <w:jc w:val="center"/>
              <w:rPr>
                <w:rFonts w:ascii="Source Sans Pro" w:hAnsi="Source Sans Pro" w:cs="Calibri"/>
                <w:color w:val="000000"/>
                <w:sz w:val="20"/>
              </w:rPr>
            </w:pPr>
            <w:r w:rsidRPr="002B5C29">
              <w:rPr>
                <w:rFonts w:ascii="Source Sans Pro" w:hAnsi="Source Sans Pro" w:cs="Calibri"/>
                <w:color w:val="000000"/>
                <w:sz w:val="20"/>
              </w:rPr>
              <w:t xml:space="preserve"> Number of Respondents</w:t>
            </w:r>
          </w:p>
        </w:tc>
        <w:tc>
          <w:tcPr>
            <w:tcW w:w="1681" w:type="dxa"/>
            <w:tcBorders>
              <w:top w:val="nil"/>
              <w:left w:val="nil"/>
              <w:bottom w:val="single" w:sz="8" w:space="0" w:color="auto"/>
              <w:right w:val="single" w:sz="8" w:space="0" w:color="auto"/>
            </w:tcBorders>
            <w:shd w:val="clear" w:color="auto" w:fill="auto"/>
            <w:vAlign w:val="center"/>
            <w:hideMark/>
          </w:tcPr>
          <w:p w:rsidR="00AB5440" w:rsidRPr="002B5C29" w:rsidP="000D7670" w14:paraId="542AC0D9" w14:textId="77777777">
            <w:pPr>
              <w:jc w:val="center"/>
              <w:rPr>
                <w:rFonts w:ascii="Source Sans Pro" w:hAnsi="Source Sans Pro" w:cs="Calibri"/>
                <w:color w:val="000000"/>
                <w:sz w:val="20"/>
              </w:rPr>
            </w:pPr>
            <w:r w:rsidRPr="002B5C29">
              <w:rPr>
                <w:rFonts w:ascii="Source Sans Pro" w:hAnsi="Source Sans Pro" w:cs="Calibri"/>
                <w:color w:val="000000"/>
                <w:sz w:val="20"/>
              </w:rPr>
              <w:t xml:space="preserve"> Number of Responses per Respondent</w:t>
            </w:r>
          </w:p>
        </w:tc>
        <w:tc>
          <w:tcPr>
            <w:tcW w:w="1082" w:type="dxa"/>
            <w:tcBorders>
              <w:top w:val="nil"/>
              <w:left w:val="nil"/>
              <w:bottom w:val="single" w:sz="8" w:space="0" w:color="auto"/>
              <w:right w:val="single" w:sz="8" w:space="0" w:color="auto"/>
            </w:tcBorders>
            <w:shd w:val="clear" w:color="auto" w:fill="auto"/>
            <w:vAlign w:val="center"/>
            <w:hideMark/>
          </w:tcPr>
          <w:p w:rsidR="00AB5440" w:rsidRPr="002B5C29" w:rsidP="000D7670" w14:paraId="07352724" w14:textId="77777777">
            <w:pPr>
              <w:jc w:val="center"/>
              <w:rPr>
                <w:rFonts w:ascii="Source Sans Pro" w:hAnsi="Source Sans Pro" w:cs="Calibri"/>
                <w:color w:val="000000"/>
                <w:sz w:val="20"/>
              </w:rPr>
            </w:pPr>
            <w:r w:rsidRPr="002B5C29">
              <w:rPr>
                <w:rFonts w:ascii="Source Sans Pro" w:hAnsi="Source Sans Pro" w:cs="Calibri"/>
                <w:color w:val="000000"/>
                <w:sz w:val="20"/>
              </w:rPr>
              <w:t>Average Time per Response (HH:MM)</w:t>
            </w:r>
          </w:p>
        </w:tc>
        <w:tc>
          <w:tcPr>
            <w:tcW w:w="1136" w:type="dxa"/>
            <w:tcBorders>
              <w:top w:val="nil"/>
              <w:left w:val="nil"/>
              <w:bottom w:val="single" w:sz="8" w:space="0" w:color="auto"/>
              <w:right w:val="single" w:sz="8" w:space="0" w:color="auto"/>
            </w:tcBorders>
            <w:shd w:val="clear" w:color="auto" w:fill="auto"/>
            <w:vAlign w:val="center"/>
            <w:hideMark/>
          </w:tcPr>
          <w:p w:rsidR="00AB5440" w:rsidRPr="002B5C29" w:rsidP="000D7670" w14:paraId="1D2B4F8B" w14:textId="77777777">
            <w:pPr>
              <w:jc w:val="center"/>
              <w:rPr>
                <w:rFonts w:ascii="Source Sans Pro" w:hAnsi="Source Sans Pro" w:cs="Calibri"/>
                <w:color w:val="000000"/>
                <w:sz w:val="20"/>
              </w:rPr>
            </w:pPr>
            <w:r w:rsidRPr="002B5C29">
              <w:rPr>
                <w:rFonts w:ascii="Source Sans Pro" w:hAnsi="Source Sans Pro" w:cs="Calibri"/>
                <w:color w:val="000000"/>
                <w:sz w:val="20"/>
              </w:rPr>
              <w:t>Annual Burden (Hours)</w:t>
            </w:r>
          </w:p>
        </w:tc>
      </w:tr>
      <w:tr w14:paraId="2FADB062" w14:textId="77777777" w:rsidTr="00E7798A">
        <w:tblPrEx>
          <w:tblW w:w="9118" w:type="dxa"/>
          <w:tblCellMar>
            <w:top w:w="15" w:type="dxa"/>
          </w:tblCellMar>
          <w:tblLook w:val="04A0"/>
        </w:tblPrEx>
        <w:trPr>
          <w:trHeight w:val="2496"/>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46A09BDF" w14:textId="77777777">
            <w:pPr>
              <w:rPr>
                <w:rFonts w:ascii="Source Sans Pro" w:hAnsi="Source Sans Pro" w:cs="Calibri"/>
                <w:color w:val="000000"/>
                <w:sz w:val="20"/>
              </w:rPr>
            </w:pPr>
            <w:r w:rsidRPr="002B5C29">
              <w:rPr>
                <w:rFonts w:ascii="Source Sans Pro" w:hAnsi="Source Sans Pro" w:cs="Calibri"/>
                <w:color w:val="000000"/>
                <w:sz w:val="20"/>
              </w:rPr>
              <w:t xml:space="preserve">1. Financial Institution Policies and Procedures for Ensuring Employee-Mortgage Loan Originator Compliance </w:t>
            </w:r>
            <w:r w:rsidRPr="002B5C29">
              <w:rPr>
                <w:rFonts w:ascii="Source Sans Pro" w:hAnsi="Source Sans Pro" w:cs="Calibri"/>
                <w:color w:val="000000"/>
                <w:sz w:val="20"/>
              </w:rPr>
              <w:t>With</w:t>
            </w:r>
            <w:r w:rsidRPr="002B5C29">
              <w:rPr>
                <w:rFonts w:ascii="Source Sans Pro" w:hAnsi="Source Sans Pro" w:cs="Calibri"/>
                <w:color w:val="000000"/>
                <w:sz w:val="20"/>
              </w:rPr>
              <w:t xml:space="preserve"> SAFE Act Requirements – New Entrant,</w:t>
            </w:r>
            <w:r w:rsidRPr="002B5C29">
              <w:rPr>
                <w:rFonts w:ascii="Source Sans Pro" w:hAnsi="Source Sans Pro" w:cs="Calibri"/>
                <w:color w:val="000000"/>
                <w:sz w:val="20"/>
              </w:rPr>
              <w:br/>
              <w:t>12 CFR 1007.104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1A889DD2" w14:textId="77777777">
            <w:pPr>
              <w:jc w:val="center"/>
              <w:rPr>
                <w:rFonts w:ascii="Source Sans Pro" w:hAnsi="Source Sans Pro" w:cs="Calibri"/>
                <w:color w:val="000000"/>
                <w:sz w:val="20"/>
              </w:rPr>
            </w:pPr>
            <w:r w:rsidRPr="002B5C29">
              <w:rPr>
                <w:rFonts w:ascii="Source Sans Pro" w:hAnsi="Source Sans Pro" w:cs="Calibri"/>
                <w:color w:val="000000"/>
                <w:sz w:val="20"/>
              </w:rPr>
              <w:t>Recordkeeping</w:t>
            </w:r>
            <w:r w:rsidRPr="002B5C29">
              <w:rPr>
                <w:rFonts w:ascii="Source Sans Pro" w:hAnsi="Source Sans Pro" w:cs="Calibri"/>
                <w:color w:val="000000"/>
                <w:sz w:val="20"/>
              </w:rPr>
              <w:br/>
              <w:t>(One Time)</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061B32AC" w14:textId="77777777">
            <w:pPr>
              <w:jc w:val="right"/>
              <w:rPr>
                <w:rFonts w:ascii="Source Sans Pro" w:hAnsi="Source Sans Pro" w:cs="Calibri"/>
                <w:color w:val="000000"/>
                <w:sz w:val="20"/>
              </w:rPr>
            </w:pPr>
            <w:r w:rsidRPr="002B5C29">
              <w:rPr>
                <w:rFonts w:ascii="Source Sans Pro" w:hAnsi="Source Sans Pro" w:cs="Calibri"/>
                <w:color w:val="000000"/>
                <w:sz w:val="20"/>
              </w:rPr>
              <w:t>2</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5C73987F"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59AE19D3" w14:textId="77777777">
            <w:pPr>
              <w:jc w:val="right"/>
              <w:rPr>
                <w:rFonts w:ascii="Source Sans Pro" w:hAnsi="Source Sans Pro" w:cs="Calibri"/>
                <w:color w:val="000000"/>
                <w:sz w:val="20"/>
              </w:rPr>
            </w:pPr>
            <w:r w:rsidRPr="002B5C29">
              <w:rPr>
                <w:rFonts w:ascii="Source Sans Pro" w:hAnsi="Source Sans Pro" w:cs="Calibri"/>
                <w:color w:val="000000"/>
                <w:sz w:val="20"/>
              </w:rPr>
              <w:t>20:00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07219DC1" w14:textId="77777777">
            <w:pPr>
              <w:jc w:val="right"/>
              <w:rPr>
                <w:rFonts w:ascii="Source Sans Pro" w:hAnsi="Source Sans Pro" w:cs="Calibri"/>
                <w:color w:val="000000"/>
                <w:sz w:val="20"/>
              </w:rPr>
            </w:pPr>
            <w:r w:rsidRPr="002B5C29">
              <w:rPr>
                <w:rFonts w:ascii="Source Sans Pro" w:hAnsi="Source Sans Pro" w:cs="Calibri"/>
                <w:color w:val="000000"/>
                <w:sz w:val="20"/>
              </w:rPr>
              <w:t>40</w:t>
            </w:r>
          </w:p>
        </w:tc>
      </w:tr>
      <w:tr w14:paraId="1184D73B" w14:textId="77777777" w:rsidTr="00E7798A">
        <w:tblPrEx>
          <w:tblW w:w="9118" w:type="dxa"/>
          <w:tblCellMar>
            <w:top w:w="15" w:type="dxa"/>
          </w:tblCellMar>
          <w:tblLook w:val="04A0"/>
        </w:tblPrEx>
        <w:trPr>
          <w:trHeight w:val="2220"/>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35546D14" w14:textId="77777777">
            <w:pPr>
              <w:rPr>
                <w:rFonts w:ascii="Source Sans Pro" w:hAnsi="Source Sans Pro" w:cs="Calibri"/>
                <w:color w:val="000000"/>
                <w:sz w:val="20"/>
              </w:rPr>
            </w:pPr>
            <w:r w:rsidRPr="002B5C29">
              <w:rPr>
                <w:rFonts w:ascii="Source Sans Pro" w:hAnsi="Source Sans Pro" w:cs="Calibri"/>
                <w:color w:val="000000"/>
                <w:sz w:val="20"/>
              </w:rPr>
              <w:t xml:space="preserve">2. Financial Institution Policies and Procedures for Ensuring Employee-Mortgage Loan Originator Compliance </w:t>
            </w:r>
            <w:r w:rsidRPr="002B5C29">
              <w:rPr>
                <w:rFonts w:ascii="Source Sans Pro" w:hAnsi="Source Sans Pro" w:cs="Calibri"/>
                <w:color w:val="000000"/>
                <w:sz w:val="20"/>
              </w:rPr>
              <w:t>With</w:t>
            </w:r>
            <w:r w:rsidRPr="002B5C29">
              <w:rPr>
                <w:rFonts w:ascii="Source Sans Pro" w:hAnsi="Source Sans Pro" w:cs="Calibri"/>
                <w:color w:val="000000"/>
                <w:sz w:val="20"/>
              </w:rPr>
              <w:t xml:space="preserve"> SAFE Act Requirements – Ongoing,</w:t>
            </w:r>
            <w:r w:rsidRPr="002B5C29">
              <w:rPr>
                <w:rFonts w:ascii="Source Sans Pro" w:hAnsi="Source Sans Pro" w:cs="Calibri"/>
                <w:color w:val="000000"/>
                <w:sz w:val="20"/>
              </w:rPr>
              <w:br/>
              <w:t>12 CFR 1007.104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02E96B11" w14:textId="77777777">
            <w:pPr>
              <w:jc w:val="center"/>
              <w:rPr>
                <w:rFonts w:ascii="Source Sans Pro" w:hAnsi="Source Sans Pro" w:cs="Calibri"/>
                <w:color w:val="000000"/>
                <w:sz w:val="20"/>
              </w:rPr>
            </w:pPr>
            <w:r w:rsidRPr="002B5C29">
              <w:rPr>
                <w:rFonts w:ascii="Source Sans Pro" w:hAnsi="Source Sans Pro" w:cs="Calibri"/>
                <w:color w:val="000000"/>
                <w:sz w:val="20"/>
              </w:rPr>
              <w:t>Recordkeeping</w:t>
            </w:r>
            <w:r w:rsidRPr="002B5C29">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4FBD13A3" w14:textId="77777777">
            <w:pPr>
              <w:jc w:val="right"/>
              <w:rPr>
                <w:rFonts w:ascii="Source Sans Pro" w:hAnsi="Source Sans Pro" w:cs="Calibri"/>
                <w:color w:val="000000"/>
                <w:sz w:val="20"/>
              </w:rPr>
            </w:pPr>
            <w:r w:rsidRPr="002B5C29">
              <w:rPr>
                <w:rFonts w:ascii="Source Sans Pro" w:hAnsi="Source Sans Pro" w:cs="Calibri"/>
                <w:color w:val="000000"/>
                <w:sz w:val="20"/>
              </w:rPr>
              <w:t>2,783</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23A7315B"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601D3212" w14:textId="77777777">
            <w:pPr>
              <w:jc w:val="right"/>
              <w:rPr>
                <w:rFonts w:ascii="Source Sans Pro" w:hAnsi="Source Sans Pro" w:cs="Calibri"/>
                <w:color w:val="000000"/>
                <w:sz w:val="20"/>
              </w:rPr>
            </w:pPr>
            <w:r w:rsidRPr="002B5C29">
              <w:rPr>
                <w:rFonts w:ascii="Source Sans Pro" w:hAnsi="Source Sans Pro" w:cs="Calibri"/>
                <w:color w:val="000000"/>
                <w:sz w:val="20"/>
              </w:rPr>
              <w:t>01:00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5B16B75A" w14:textId="77777777">
            <w:pPr>
              <w:jc w:val="right"/>
              <w:rPr>
                <w:rFonts w:ascii="Source Sans Pro" w:hAnsi="Source Sans Pro" w:cs="Calibri"/>
                <w:color w:val="000000"/>
                <w:sz w:val="20"/>
              </w:rPr>
            </w:pPr>
            <w:r w:rsidRPr="002B5C29">
              <w:rPr>
                <w:rFonts w:ascii="Source Sans Pro" w:hAnsi="Source Sans Pro" w:cs="Calibri"/>
                <w:color w:val="000000"/>
                <w:sz w:val="20"/>
              </w:rPr>
              <w:t>2,783</w:t>
            </w:r>
          </w:p>
        </w:tc>
      </w:tr>
      <w:tr w14:paraId="44A5FACD" w14:textId="77777777" w:rsidTr="00E7798A">
        <w:tblPrEx>
          <w:tblW w:w="9118" w:type="dxa"/>
          <w:tblCellMar>
            <w:top w:w="15" w:type="dxa"/>
          </w:tblCellMar>
          <w:tblLook w:val="04A0"/>
        </w:tblPrEx>
        <w:trPr>
          <w:trHeight w:val="1092"/>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3041BC9D" w14:textId="77777777">
            <w:pPr>
              <w:rPr>
                <w:rFonts w:ascii="Source Sans Pro" w:hAnsi="Source Sans Pro" w:cs="Calibri"/>
                <w:color w:val="000000"/>
                <w:sz w:val="20"/>
              </w:rPr>
            </w:pPr>
            <w:r w:rsidRPr="002B5C29">
              <w:rPr>
                <w:rFonts w:ascii="Source Sans Pro" w:hAnsi="Source Sans Pro" w:cs="Calibri"/>
                <w:color w:val="000000"/>
                <w:sz w:val="20"/>
              </w:rPr>
              <w:t>3. Financial Institution Procedures to Track and Monitor Compliance with SAFE Act Compliance – New Entrant,</w:t>
            </w:r>
            <w:r w:rsidRPr="002B5C29">
              <w:rPr>
                <w:rFonts w:ascii="Source Sans Pro" w:hAnsi="Source Sans Pro" w:cs="Calibri"/>
                <w:color w:val="000000"/>
                <w:sz w:val="20"/>
              </w:rPr>
              <w:br/>
              <w:t>12 CFR 1007.104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64EDA621" w14:textId="77777777">
            <w:pPr>
              <w:jc w:val="center"/>
              <w:rPr>
                <w:rFonts w:ascii="Source Sans Pro" w:hAnsi="Source Sans Pro" w:cs="Calibri"/>
                <w:color w:val="000000"/>
                <w:sz w:val="20"/>
              </w:rPr>
            </w:pPr>
            <w:r w:rsidRPr="002B5C29">
              <w:rPr>
                <w:rFonts w:ascii="Source Sans Pro" w:hAnsi="Source Sans Pro" w:cs="Calibri"/>
                <w:color w:val="000000"/>
                <w:sz w:val="20"/>
              </w:rPr>
              <w:t>Recordkeeping</w:t>
            </w:r>
            <w:r w:rsidRPr="002B5C29">
              <w:rPr>
                <w:rFonts w:ascii="Source Sans Pro" w:hAnsi="Source Sans Pro" w:cs="Calibri"/>
                <w:color w:val="000000"/>
                <w:sz w:val="20"/>
              </w:rPr>
              <w:br/>
              <w:t>(One Time)</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0C0B2AB1" w14:textId="77777777">
            <w:pPr>
              <w:jc w:val="right"/>
              <w:rPr>
                <w:rFonts w:ascii="Source Sans Pro" w:hAnsi="Source Sans Pro" w:cs="Calibri"/>
                <w:color w:val="000000"/>
                <w:sz w:val="20"/>
              </w:rPr>
            </w:pPr>
            <w:r w:rsidRPr="002B5C29">
              <w:rPr>
                <w:rFonts w:ascii="Source Sans Pro" w:hAnsi="Source Sans Pro" w:cs="Calibri"/>
                <w:color w:val="000000"/>
                <w:sz w:val="20"/>
              </w:rPr>
              <w:t>2</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23716E97"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51AC69BA" w14:textId="77777777">
            <w:pPr>
              <w:jc w:val="right"/>
              <w:rPr>
                <w:rFonts w:ascii="Source Sans Pro" w:hAnsi="Source Sans Pro" w:cs="Calibri"/>
                <w:color w:val="000000"/>
                <w:sz w:val="20"/>
              </w:rPr>
            </w:pPr>
            <w:r w:rsidRPr="002B5C29">
              <w:rPr>
                <w:rFonts w:ascii="Source Sans Pro" w:hAnsi="Source Sans Pro" w:cs="Calibri"/>
                <w:color w:val="000000"/>
                <w:sz w:val="20"/>
              </w:rPr>
              <w:t>60:00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5E60DA5D" w14:textId="77777777">
            <w:pPr>
              <w:jc w:val="right"/>
              <w:rPr>
                <w:rFonts w:ascii="Source Sans Pro" w:hAnsi="Source Sans Pro" w:cs="Calibri"/>
                <w:color w:val="000000"/>
                <w:sz w:val="20"/>
              </w:rPr>
            </w:pPr>
            <w:r w:rsidRPr="002B5C29">
              <w:rPr>
                <w:rFonts w:ascii="Source Sans Pro" w:hAnsi="Source Sans Pro" w:cs="Calibri"/>
                <w:color w:val="000000"/>
                <w:sz w:val="20"/>
              </w:rPr>
              <w:t>120</w:t>
            </w:r>
          </w:p>
        </w:tc>
      </w:tr>
      <w:tr w14:paraId="6A8AA33F" w14:textId="77777777" w:rsidTr="00E7798A">
        <w:tblPrEx>
          <w:tblW w:w="9118" w:type="dxa"/>
          <w:tblCellMar>
            <w:top w:w="15" w:type="dxa"/>
          </w:tblCellMar>
          <w:tblLook w:val="04A0"/>
        </w:tblPrEx>
        <w:trPr>
          <w:trHeight w:val="1944"/>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2E935C39" w14:textId="77777777">
            <w:pPr>
              <w:rPr>
                <w:rFonts w:ascii="Source Sans Pro" w:hAnsi="Source Sans Pro" w:cs="Calibri"/>
                <w:color w:val="000000"/>
                <w:sz w:val="20"/>
              </w:rPr>
            </w:pPr>
            <w:r w:rsidRPr="002B5C29">
              <w:rPr>
                <w:rFonts w:ascii="Source Sans Pro" w:hAnsi="Source Sans Pro" w:cs="Calibri"/>
                <w:color w:val="000000"/>
                <w:sz w:val="20"/>
              </w:rPr>
              <w:t>4. Financial Institution Procedures to Track and Monitor Compliance with SAFE Act Compliance – Ongoing,</w:t>
            </w:r>
            <w:r w:rsidRPr="002B5C29">
              <w:rPr>
                <w:rFonts w:ascii="Source Sans Pro" w:hAnsi="Source Sans Pro" w:cs="Calibri"/>
                <w:color w:val="000000"/>
                <w:sz w:val="20"/>
              </w:rPr>
              <w:br/>
              <w:t>12 CFR 1007.104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6645B0B3" w14:textId="77777777">
            <w:pPr>
              <w:jc w:val="center"/>
              <w:rPr>
                <w:rFonts w:ascii="Source Sans Pro" w:hAnsi="Source Sans Pro" w:cs="Calibri"/>
                <w:color w:val="000000"/>
                <w:sz w:val="20"/>
              </w:rPr>
            </w:pPr>
            <w:r w:rsidRPr="002B5C29">
              <w:rPr>
                <w:rFonts w:ascii="Source Sans Pro" w:hAnsi="Source Sans Pro" w:cs="Calibri"/>
                <w:color w:val="000000"/>
                <w:sz w:val="20"/>
              </w:rPr>
              <w:t>Recordkeeping</w:t>
            </w:r>
            <w:r w:rsidRPr="002B5C29">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1A98B37F" w14:textId="77777777">
            <w:pPr>
              <w:jc w:val="right"/>
              <w:rPr>
                <w:rFonts w:ascii="Source Sans Pro" w:hAnsi="Source Sans Pro" w:cs="Calibri"/>
                <w:color w:val="000000"/>
                <w:sz w:val="20"/>
              </w:rPr>
            </w:pPr>
            <w:r w:rsidRPr="002B5C29">
              <w:rPr>
                <w:rFonts w:ascii="Source Sans Pro" w:hAnsi="Source Sans Pro" w:cs="Calibri"/>
                <w:color w:val="000000"/>
                <w:sz w:val="20"/>
              </w:rPr>
              <w:t>2,783</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6F2ADB43"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5A2A8828" w14:textId="77777777">
            <w:pPr>
              <w:jc w:val="right"/>
              <w:rPr>
                <w:rFonts w:ascii="Source Sans Pro" w:hAnsi="Source Sans Pro" w:cs="Calibri"/>
                <w:color w:val="000000"/>
                <w:sz w:val="20"/>
              </w:rPr>
            </w:pPr>
            <w:r w:rsidRPr="002B5C29">
              <w:rPr>
                <w:rFonts w:ascii="Source Sans Pro" w:hAnsi="Source Sans Pro" w:cs="Calibri"/>
                <w:color w:val="000000"/>
                <w:sz w:val="20"/>
              </w:rPr>
              <w:t>01:00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2CB6593F" w14:textId="77777777">
            <w:pPr>
              <w:jc w:val="right"/>
              <w:rPr>
                <w:rFonts w:ascii="Source Sans Pro" w:hAnsi="Source Sans Pro" w:cs="Calibri"/>
                <w:color w:val="000000"/>
                <w:sz w:val="20"/>
              </w:rPr>
            </w:pPr>
            <w:r w:rsidRPr="002B5C29">
              <w:rPr>
                <w:rFonts w:ascii="Source Sans Pro" w:hAnsi="Source Sans Pro" w:cs="Calibri"/>
                <w:color w:val="000000"/>
                <w:sz w:val="20"/>
              </w:rPr>
              <w:t>2,783</w:t>
            </w:r>
          </w:p>
        </w:tc>
      </w:tr>
      <w:tr w14:paraId="4D7A6D0D" w14:textId="77777777" w:rsidTr="00E7798A">
        <w:tblPrEx>
          <w:tblW w:w="9118" w:type="dxa"/>
          <w:tblCellMar>
            <w:top w:w="15" w:type="dxa"/>
          </w:tblCellMar>
          <w:tblLook w:val="04A0"/>
        </w:tblPrEx>
        <w:trPr>
          <w:trHeight w:val="2772"/>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63A58E29" w14:textId="77777777">
            <w:pPr>
              <w:rPr>
                <w:rFonts w:ascii="Source Sans Pro" w:hAnsi="Source Sans Pro" w:cs="Calibri"/>
                <w:color w:val="000000"/>
                <w:sz w:val="20"/>
              </w:rPr>
            </w:pPr>
            <w:r w:rsidRPr="002B5C29">
              <w:rPr>
                <w:rFonts w:ascii="Source Sans Pro" w:hAnsi="Source Sans Pro" w:cs="Calibri"/>
                <w:color w:val="000000"/>
                <w:sz w:val="20"/>
              </w:rPr>
              <w:t>5. Financial Institution Procedures for the Collection and Maintenance of Employee Mortgage Loan Originator's Criminal History Background Reports – New Entrant,</w:t>
            </w:r>
            <w:r w:rsidRPr="002B5C29">
              <w:rPr>
                <w:rFonts w:ascii="Source Sans Pro" w:hAnsi="Source Sans Pro" w:cs="Calibri"/>
                <w:color w:val="000000"/>
                <w:sz w:val="20"/>
              </w:rPr>
              <w:br/>
              <w:t>12 CFR 1007.104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614BB8C6" w14:textId="77777777">
            <w:pPr>
              <w:jc w:val="center"/>
              <w:rPr>
                <w:rFonts w:ascii="Source Sans Pro" w:hAnsi="Source Sans Pro" w:cs="Calibri"/>
                <w:color w:val="000000"/>
                <w:sz w:val="20"/>
              </w:rPr>
            </w:pPr>
            <w:r w:rsidRPr="002B5C29">
              <w:rPr>
                <w:rFonts w:ascii="Source Sans Pro" w:hAnsi="Source Sans Pro" w:cs="Calibri"/>
                <w:color w:val="000000"/>
                <w:sz w:val="20"/>
              </w:rPr>
              <w:t>Recordkeeping</w:t>
            </w:r>
            <w:r w:rsidRPr="002B5C29">
              <w:rPr>
                <w:rFonts w:ascii="Source Sans Pro" w:hAnsi="Source Sans Pro" w:cs="Calibri"/>
                <w:color w:val="000000"/>
                <w:sz w:val="20"/>
              </w:rPr>
              <w:br/>
              <w:t>(One Time)</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30FC63C4" w14:textId="77777777">
            <w:pPr>
              <w:jc w:val="right"/>
              <w:rPr>
                <w:rFonts w:ascii="Source Sans Pro" w:hAnsi="Source Sans Pro" w:cs="Calibri"/>
                <w:color w:val="000000"/>
                <w:sz w:val="20"/>
              </w:rPr>
            </w:pPr>
            <w:r w:rsidRPr="002B5C29">
              <w:rPr>
                <w:rFonts w:ascii="Source Sans Pro" w:hAnsi="Source Sans Pro" w:cs="Calibri"/>
                <w:color w:val="000000"/>
                <w:sz w:val="20"/>
              </w:rPr>
              <w:t>2</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5D8C15E4"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6230B4CD" w14:textId="77777777">
            <w:pPr>
              <w:jc w:val="right"/>
              <w:rPr>
                <w:rFonts w:ascii="Source Sans Pro" w:hAnsi="Source Sans Pro" w:cs="Calibri"/>
                <w:color w:val="000000"/>
                <w:sz w:val="20"/>
              </w:rPr>
            </w:pPr>
            <w:r w:rsidRPr="002B5C29">
              <w:rPr>
                <w:rFonts w:ascii="Source Sans Pro" w:hAnsi="Source Sans Pro" w:cs="Calibri"/>
                <w:color w:val="000000"/>
                <w:sz w:val="20"/>
              </w:rPr>
              <w:t>20:00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019508AC" w14:textId="77777777">
            <w:pPr>
              <w:jc w:val="right"/>
              <w:rPr>
                <w:rFonts w:ascii="Source Sans Pro" w:hAnsi="Source Sans Pro" w:cs="Calibri"/>
                <w:color w:val="000000"/>
                <w:sz w:val="20"/>
              </w:rPr>
            </w:pPr>
            <w:r w:rsidRPr="002B5C29">
              <w:rPr>
                <w:rFonts w:ascii="Source Sans Pro" w:hAnsi="Source Sans Pro" w:cs="Calibri"/>
                <w:color w:val="000000"/>
                <w:sz w:val="20"/>
              </w:rPr>
              <w:t>40</w:t>
            </w:r>
          </w:p>
        </w:tc>
      </w:tr>
      <w:tr w14:paraId="11A4C4A2" w14:textId="77777777" w:rsidTr="00E7798A">
        <w:tblPrEx>
          <w:tblW w:w="9118" w:type="dxa"/>
          <w:tblCellMar>
            <w:top w:w="15" w:type="dxa"/>
          </w:tblCellMar>
          <w:tblLook w:val="04A0"/>
        </w:tblPrEx>
        <w:trPr>
          <w:trHeight w:val="2772"/>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6CB658E6" w14:textId="77777777">
            <w:pPr>
              <w:rPr>
                <w:rFonts w:ascii="Source Sans Pro" w:hAnsi="Source Sans Pro" w:cs="Calibri"/>
                <w:color w:val="000000"/>
                <w:sz w:val="20"/>
              </w:rPr>
            </w:pPr>
            <w:r w:rsidRPr="002B5C29">
              <w:rPr>
                <w:rFonts w:ascii="Source Sans Pro" w:hAnsi="Source Sans Pro" w:cs="Calibri"/>
                <w:color w:val="000000"/>
                <w:sz w:val="20"/>
              </w:rPr>
              <w:t>6. Financial Institution Procedures for the Collection and Maintenance of Employee Mortgage Loan Originator's Criminal History Background Reports – Ongoing,</w:t>
            </w:r>
            <w:r w:rsidRPr="002B5C29">
              <w:rPr>
                <w:rFonts w:ascii="Source Sans Pro" w:hAnsi="Source Sans Pro" w:cs="Calibri"/>
                <w:color w:val="000000"/>
                <w:sz w:val="20"/>
              </w:rPr>
              <w:br/>
              <w:t>12 CFR 1007.104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2A7D584E" w14:textId="77777777">
            <w:pPr>
              <w:jc w:val="center"/>
              <w:rPr>
                <w:rFonts w:ascii="Source Sans Pro" w:hAnsi="Source Sans Pro" w:cs="Calibri"/>
                <w:color w:val="000000"/>
                <w:sz w:val="20"/>
              </w:rPr>
            </w:pPr>
            <w:r w:rsidRPr="002B5C29">
              <w:rPr>
                <w:rFonts w:ascii="Source Sans Pro" w:hAnsi="Source Sans Pro" w:cs="Calibri"/>
                <w:color w:val="000000"/>
                <w:sz w:val="20"/>
              </w:rPr>
              <w:t>Recordkeeping</w:t>
            </w:r>
            <w:r w:rsidRPr="002B5C29">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25B17FC7" w14:textId="77777777">
            <w:pPr>
              <w:jc w:val="right"/>
              <w:rPr>
                <w:rFonts w:ascii="Source Sans Pro" w:hAnsi="Source Sans Pro" w:cs="Calibri"/>
                <w:color w:val="000000"/>
                <w:sz w:val="20"/>
              </w:rPr>
            </w:pPr>
            <w:r w:rsidRPr="002B5C29">
              <w:rPr>
                <w:rFonts w:ascii="Source Sans Pro" w:hAnsi="Source Sans Pro" w:cs="Calibri"/>
                <w:color w:val="000000"/>
                <w:sz w:val="20"/>
              </w:rPr>
              <w:t>2,783</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257FCE29"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3314BEB5" w14:textId="77777777">
            <w:pPr>
              <w:jc w:val="right"/>
              <w:rPr>
                <w:rFonts w:ascii="Source Sans Pro" w:hAnsi="Source Sans Pro" w:cs="Calibri"/>
                <w:color w:val="000000"/>
                <w:sz w:val="20"/>
              </w:rPr>
            </w:pPr>
            <w:r w:rsidRPr="002B5C29">
              <w:rPr>
                <w:rFonts w:ascii="Source Sans Pro" w:hAnsi="Source Sans Pro" w:cs="Calibri"/>
                <w:color w:val="000000"/>
                <w:sz w:val="20"/>
              </w:rPr>
              <w:t>01:00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3DE4E7FE" w14:textId="77777777">
            <w:pPr>
              <w:jc w:val="right"/>
              <w:rPr>
                <w:rFonts w:ascii="Source Sans Pro" w:hAnsi="Source Sans Pro" w:cs="Calibri"/>
                <w:color w:val="000000"/>
                <w:sz w:val="20"/>
              </w:rPr>
            </w:pPr>
            <w:r w:rsidRPr="002B5C29">
              <w:rPr>
                <w:rFonts w:ascii="Source Sans Pro" w:hAnsi="Source Sans Pro" w:cs="Calibri"/>
                <w:color w:val="000000"/>
                <w:sz w:val="20"/>
              </w:rPr>
              <w:t>2,783</w:t>
            </w:r>
          </w:p>
        </w:tc>
      </w:tr>
      <w:tr w14:paraId="62E1D812" w14:textId="77777777" w:rsidTr="00E7798A">
        <w:tblPrEx>
          <w:tblW w:w="9118" w:type="dxa"/>
          <w:tblCellMar>
            <w:top w:w="15" w:type="dxa"/>
          </w:tblCellMar>
          <w:tblLook w:val="04A0"/>
        </w:tblPrEx>
        <w:trPr>
          <w:trHeight w:val="1944"/>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791827A8" w14:textId="77777777">
            <w:pPr>
              <w:rPr>
                <w:rFonts w:ascii="Source Sans Pro" w:hAnsi="Source Sans Pro" w:cs="Calibri"/>
                <w:color w:val="000000"/>
                <w:sz w:val="20"/>
              </w:rPr>
            </w:pPr>
            <w:r w:rsidRPr="002B5C29">
              <w:rPr>
                <w:rFonts w:ascii="Source Sans Pro" w:hAnsi="Source Sans Pro" w:cs="Calibri"/>
                <w:color w:val="000000"/>
                <w:sz w:val="20"/>
              </w:rPr>
              <w:t>7. Financial Institution Procedures for Public Disclosure of Mortgage Loan Originator's Unique Identifier – New Entrant,</w:t>
            </w:r>
            <w:r w:rsidRPr="002B5C29">
              <w:rPr>
                <w:rFonts w:ascii="Source Sans Pro" w:hAnsi="Source Sans Pro" w:cs="Calibri"/>
                <w:color w:val="000000"/>
                <w:sz w:val="20"/>
              </w:rPr>
              <w:br/>
              <w:t>12 CFR 1007.104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2EB649B3" w14:textId="77777777">
            <w:pPr>
              <w:jc w:val="center"/>
              <w:rPr>
                <w:rFonts w:ascii="Source Sans Pro" w:hAnsi="Source Sans Pro" w:cs="Calibri"/>
                <w:color w:val="000000"/>
                <w:sz w:val="20"/>
              </w:rPr>
            </w:pPr>
            <w:r w:rsidRPr="002B5C29">
              <w:rPr>
                <w:rFonts w:ascii="Source Sans Pro" w:hAnsi="Source Sans Pro" w:cs="Calibri"/>
                <w:color w:val="000000"/>
                <w:sz w:val="20"/>
              </w:rPr>
              <w:t>Disclosure</w:t>
            </w:r>
            <w:r w:rsidRPr="002B5C29">
              <w:rPr>
                <w:rFonts w:ascii="Source Sans Pro" w:hAnsi="Source Sans Pro" w:cs="Calibri"/>
                <w:color w:val="000000"/>
                <w:sz w:val="20"/>
              </w:rPr>
              <w:br/>
              <w:t>(One Time)</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223620A3" w14:textId="77777777">
            <w:pPr>
              <w:jc w:val="right"/>
              <w:rPr>
                <w:rFonts w:ascii="Source Sans Pro" w:hAnsi="Source Sans Pro" w:cs="Calibri"/>
                <w:color w:val="000000"/>
                <w:sz w:val="20"/>
              </w:rPr>
            </w:pPr>
            <w:r w:rsidRPr="002B5C29">
              <w:rPr>
                <w:rFonts w:ascii="Source Sans Pro" w:hAnsi="Source Sans Pro" w:cs="Calibri"/>
                <w:color w:val="000000"/>
                <w:sz w:val="20"/>
              </w:rPr>
              <w:t>2</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118EC112"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2C917754" w14:textId="77777777">
            <w:pPr>
              <w:jc w:val="right"/>
              <w:rPr>
                <w:rFonts w:ascii="Source Sans Pro" w:hAnsi="Source Sans Pro" w:cs="Calibri"/>
                <w:color w:val="000000"/>
                <w:sz w:val="20"/>
              </w:rPr>
            </w:pPr>
            <w:r w:rsidRPr="002B5C29">
              <w:rPr>
                <w:rFonts w:ascii="Source Sans Pro" w:hAnsi="Source Sans Pro" w:cs="Calibri"/>
                <w:color w:val="000000"/>
                <w:sz w:val="20"/>
              </w:rPr>
              <w:t>25:00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639B964C" w14:textId="77777777">
            <w:pPr>
              <w:jc w:val="right"/>
              <w:rPr>
                <w:rFonts w:ascii="Source Sans Pro" w:hAnsi="Source Sans Pro" w:cs="Calibri"/>
                <w:color w:val="000000"/>
                <w:sz w:val="20"/>
              </w:rPr>
            </w:pPr>
            <w:r w:rsidRPr="002B5C29">
              <w:rPr>
                <w:rFonts w:ascii="Source Sans Pro" w:hAnsi="Source Sans Pro" w:cs="Calibri"/>
                <w:color w:val="000000"/>
                <w:sz w:val="20"/>
              </w:rPr>
              <w:t>50</w:t>
            </w:r>
          </w:p>
        </w:tc>
      </w:tr>
      <w:tr w14:paraId="337788D2" w14:textId="77777777" w:rsidTr="00E7798A">
        <w:tblPrEx>
          <w:tblW w:w="9118" w:type="dxa"/>
          <w:tblCellMar>
            <w:top w:w="15" w:type="dxa"/>
          </w:tblCellMar>
          <w:tblLook w:val="04A0"/>
        </w:tblPrEx>
        <w:trPr>
          <w:trHeight w:val="1944"/>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0D2B0B0D" w14:textId="77777777">
            <w:pPr>
              <w:rPr>
                <w:rFonts w:ascii="Source Sans Pro" w:hAnsi="Source Sans Pro" w:cs="Calibri"/>
                <w:color w:val="000000"/>
                <w:sz w:val="20"/>
              </w:rPr>
            </w:pPr>
            <w:r w:rsidRPr="002B5C29">
              <w:rPr>
                <w:rFonts w:ascii="Source Sans Pro" w:hAnsi="Source Sans Pro" w:cs="Calibri"/>
                <w:color w:val="000000"/>
                <w:sz w:val="20"/>
              </w:rPr>
              <w:t>8. Financial Institution Procedures for Public Disclosure of Mortgage Loan Originator's Unique Identifier – Ongoing,</w:t>
            </w:r>
            <w:r w:rsidRPr="002B5C29">
              <w:rPr>
                <w:rFonts w:ascii="Source Sans Pro" w:hAnsi="Source Sans Pro" w:cs="Calibri"/>
                <w:color w:val="000000"/>
                <w:sz w:val="20"/>
              </w:rPr>
              <w:br/>
              <w:t>12 CFR 1007.104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4753A366" w14:textId="77777777">
            <w:pPr>
              <w:jc w:val="center"/>
              <w:rPr>
                <w:rFonts w:ascii="Source Sans Pro" w:hAnsi="Source Sans Pro" w:cs="Calibri"/>
                <w:color w:val="000000"/>
                <w:sz w:val="20"/>
              </w:rPr>
            </w:pPr>
            <w:r w:rsidRPr="002B5C29">
              <w:rPr>
                <w:rFonts w:ascii="Source Sans Pro" w:hAnsi="Source Sans Pro" w:cs="Calibri"/>
                <w:color w:val="000000"/>
                <w:sz w:val="20"/>
              </w:rPr>
              <w:t xml:space="preserve"> Disclosure</w:t>
            </w:r>
            <w:r w:rsidRPr="002B5C29">
              <w:rPr>
                <w:rFonts w:ascii="Source Sans Pro" w:hAnsi="Source Sans Pro" w:cs="Calibri"/>
                <w:color w:val="000000"/>
                <w:sz w:val="20"/>
              </w:rPr>
              <w:br/>
              <w:t>(Annual)</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6EB06A4D" w14:textId="77777777">
            <w:pPr>
              <w:jc w:val="right"/>
              <w:rPr>
                <w:rFonts w:ascii="Source Sans Pro" w:hAnsi="Source Sans Pro" w:cs="Calibri"/>
                <w:color w:val="000000"/>
                <w:sz w:val="20"/>
              </w:rPr>
            </w:pPr>
            <w:r w:rsidRPr="002B5C29">
              <w:rPr>
                <w:rFonts w:ascii="Source Sans Pro" w:hAnsi="Source Sans Pro" w:cs="Calibri"/>
                <w:color w:val="000000"/>
                <w:sz w:val="20"/>
              </w:rPr>
              <w:t>2,783</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00EAFB8C"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51C0C8CE" w14:textId="77777777">
            <w:pPr>
              <w:jc w:val="right"/>
              <w:rPr>
                <w:rFonts w:ascii="Source Sans Pro" w:hAnsi="Source Sans Pro" w:cs="Calibri"/>
                <w:color w:val="000000"/>
                <w:sz w:val="20"/>
              </w:rPr>
            </w:pPr>
            <w:r w:rsidRPr="002B5C29">
              <w:rPr>
                <w:rFonts w:ascii="Source Sans Pro" w:hAnsi="Source Sans Pro" w:cs="Calibri"/>
                <w:color w:val="000000"/>
                <w:sz w:val="20"/>
              </w:rPr>
              <w:t>01:00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6BE46159" w14:textId="77777777">
            <w:pPr>
              <w:jc w:val="right"/>
              <w:rPr>
                <w:rFonts w:ascii="Source Sans Pro" w:hAnsi="Source Sans Pro" w:cs="Calibri"/>
                <w:color w:val="000000"/>
                <w:sz w:val="20"/>
              </w:rPr>
            </w:pPr>
            <w:r w:rsidRPr="002B5C29">
              <w:rPr>
                <w:rFonts w:ascii="Source Sans Pro" w:hAnsi="Source Sans Pro" w:cs="Calibri"/>
                <w:color w:val="000000"/>
                <w:sz w:val="20"/>
              </w:rPr>
              <w:t>2,783</w:t>
            </w:r>
          </w:p>
        </w:tc>
      </w:tr>
      <w:tr w14:paraId="4104F6CA" w14:textId="77777777" w:rsidTr="00E7798A">
        <w:tblPrEx>
          <w:tblW w:w="9118" w:type="dxa"/>
          <w:tblCellMar>
            <w:top w:w="15" w:type="dxa"/>
          </w:tblCellMar>
          <w:tblLook w:val="04A0"/>
        </w:tblPrEx>
        <w:trPr>
          <w:trHeight w:val="1392"/>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0BC8B2F0" w14:textId="77777777">
            <w:pPr>
              <w:rPr>
                <w:rFonts w:ascii="Source Sans Pro" w:hAnsi="Source Sans Pro" w:cs="Calibri"/>
                <w:color w:val="000000"/>
                <w:sz w:val="20"/>
              </w:rPr>
            </w:pPr>
            <w:r w:rsidRPr="002B5C29">
              <w:rPr>
                <w:rFonts w:ascii="Source Sans Pro" w:hAnsi="Source Sans Pro" w:cs="Calibri"/>
                <w:color w:val="000000"/>
                <w:sz w:val="20"/>
              </w:rPr>
              <w:t>9. Financial Institution Information Reporting to Registry,</w:t>
            </w:r>
            <w:r w:rsidRPr="002B5C29">
              <w:rPr>
                <w:rFonts w:ascii="Source Sans Pro" w:hAnsi="Source Sans Pro" w:cs="Calibri"/>
                <w:color w:val="000000"/>
                <w:sz w:val="20"/>
              </w:rPr>
              <w:br/>
              <w:t>12 CFR 1007.103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2D856214" w14:textId="77777777">
            <w:pPr>
              <w:jc w:val="center"/>
              <w:rPr>
                <w:rFonts w:ascii="Source Sans Pro" w:hAnsi="Source Sans Pro" w:cs="Calibri"/>
                <w:color w:val="000000"/>
                <w:sz w:val="20"/>
              </w:rPr>
            </w:pPr>
            <w:r w:rsidRPr="002B5C29">
              <w:rPr>
                <w:rFonts w:ascii="Source Sans Pro" w:hAnsi="Source Sans Pro" w:cs="Calibri"/>
                <w:color w:val="000000"/>
                <w:sz w:val="20"/>
              </w:rPr>
              <w:t>Reporting</w:t>
            </w:r>
            <w:r w:rsidRPr="002B5C29">
              <w:rPr>
                <w:rFonts w:ascii="Source Sans Pro" w:hAnsi="Source Sans Pro" w:cs="Calibri"/>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71105847" w14:textId="77777777">
            <w:pPr>
              <w:jc w:val="right"/>
              <w:rPr>
                <w:rFonts w:ascii="Source Sans Pro" w:hAnsi="Source Sans Pro" w:cs="Calibri"/>
                <w:color w:val="000000"/>
                <w:sz w:val="20"/>
              </w:rPr>
            </w:pPr>
            <w:r w:rsidRPr="002B5C29">
              <w:rPr>
                <w:rFonts w:ascii="Source Sans Pro" w:hAnsi="Source Sans Pro" w:cs="Calibri"/>
                <w:color w:val="000000"/>
                <w:sz w:val="20"/>
              </w:rPr>
              <w:t>2,785</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1B1792C8"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7266C736" w14:textId="77777777">
            <w:pPr>
              <w:jc w:val="right"/>
              <w:rPr>
                <w:rFonts w:ascii="Source Sans Pro" w:hAnsi="Source Sans Pro" w:cs="Calibri"/>
                <w:color w:val="000000"/>
                <w:sz w:val="20"/>
              </w:rPr>
            </w:pPr>
            <w:r w:rsidRPr="002B5C29">
              <w:rPr>
                <w:rFonts w:ascii="Source Sans Pro" w:hAnsi="Source Sans Pro" w:cs="Calibri"/>
                <w:color w:val="000000"/>
                <w:sz w:val="20"/>
              </w:rPr>
              <w:t>01:00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6BF56A89" w14:textId="77777777">
            <w:pPr>
              <w:jc w:val="right"/>
              <w:rPr>
                <w:rFonts w:ascii="Source Sans Pro" w:hAnsi="Source Sans Pro" w:cs="Calibri"/>
                <w:color w:val="000000"/>
                <w:sz w:val="20"/>
              </w:rPr>
            </w:pPr>
            <w:r w:rsidRPr="002B5C29">
              <w:rPr>
                <w:rFonts w:ascii="Source Sans Pro" w:hAnsi="Source Sans Pro" w:cs="Calibri"/>
                <w:color w:val="000000"/>
                <w:sz w:val="20"/>
              </w:rPr>
              <w:t>2,785</w:t>
            </w:r>
          </w:p>
        </w:tc>
      </w:tr>
      <w:tr w14:paraId="1397586A" w14:textId="77777777" w:rsidTr="00E7798A">
        <w:tblPrEx>
          <w:tblW w:w="9118" w:type="dxa"/>
          <w:tblCellMar>
            <w:top w:w="15" w:type="dxa"/>
          </w:tblCellMar>
          <w:tblLook w:val="04A0"/>
        </w:tblPrEx>
        <w:trPr>
          <w:trHeight w:val="1944"/>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767C884F" w14:textId="77777777">
            <w:pPr>
              <w:rPr>
                <w:rFonts w:ascii="Source Sans Pro" w:hAnsi="Source Sans Pro" w:cs="Calibri"/>
                <w:color w:val="000000"/>
                <w:sz w:val="20"/>
              </w:rPr>
            </w:pPr>
            <w:r w:rsidRPr="002B5C29">
              <w:rPr>
                <w:rFonts w:ascii="Source Sans Pro" w:hAnsi="Source Sans Pro" w:cs="Calibri"/>
                <w:color w:val="000000"/>
                <w:sz w:val="20"/>
              </w:rPr>
              <w:t>10. Mortgage Loan Originator Initial Registration Reporting and Authorization Requirement,</w:t>
            </w:r>
            <w:r w:rsidRPr="002B5C29">
              <w:rPr>
                <w:rFonts w:ascii="Source Sans Pro" w:hAnsi="Source Sans Pro" w:cs="Calibri"/>
                <w:color w:val="000000"/>
                <w:sz w:val="20"/>
              </w:rPr>
              <w:br/>
              <w:t>12 CFR 1007.103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2286323E" w14:textId="77777777">
            <w:pPr>
              <w:jc w:val="center"/>
              <w:rPr>
                <w:rFonts w:ascii="Source Sans Pro" w:hAnsi="Source Sans Pro" w:cs="Calibri"/>
                <w:color w:val="000000"/>
                <w:sz w:val="20"/>
              </w:rPr>
            </w:pPr>
            <w:r w:rsidRPr="002B5C29">
              <w:rPr>
                <w:rFonts w:ascii="Source Sans Pro" w:hAnsi="Source Sans Pro" w:cs="Calibri"/>
                <w:color w:val="000000"/>
                <w:sz w:val="20"/>
              </w:rPr>
              <w:t>Reporting</w:t>
            </w:r>
            <w:r w:rsidRPr="002B5C29">
              <w:rPr>
                <w:rFonts w:ascii="Source Sans Pro" w:hAnsi="Source Sans Pro" w:cs="Calibri"/>
                <w:color w:val="000000"/>
                <w:sz w:val="20"/>
              </w:rPr>
              <w:br/>
              <w:t>(One Time)</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11422B99" w14:textId="77777777">
            <w:pPr>
              <w:jc w:val="right"/>
              <w:rPr>
                <w:rFonts w:ascii="Source Sans Pro" w:hAnsi="Source Sans Pro" w:cs="Calibri"/>
                <w:color w:val="000000"/>
                <w:sz w:val="20"/>
              </w:rPr>
            </w:pPr>
            <w:r w:rsidRPr="002B5C29">
              <w:rPr>
                <w:rFonts w:ascii="Source Sans Pro" w:hAnsi="Source Sans Pro" w:cs="Calibri"/>
                <w:color w:val="000000"/>
                <w:sz w:val="20"/>
              </w:rPr>
              <w:t>6,204</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328F5377"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3F81CFA0" w14:textId="77777777">
            <w:pPr>
              <w:jc w:val="right"/>
              <w:rPr>
                <w:rFonts w:ascii="Source Sans Pro" w:hAnsi="Source Sans Pro" w:cs="Calibri"/>
                <w:color w:val="000000"/>
                <w:sz w:val="20"/>
              </w:rPr>
            </w:pPr>
            <w:r w:rsidRPr="002B5C29">
              <w:rPr>
                <w:rFonts w:ascii="Source Sans Pro" w:hAnsi="Source Sans Pro" w:cs="Calibri"/>
                <w:color w:val="000000"/>
                <w:sz w:val="20"/>
              </w:rPr>
              <w:t>02:00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72070D55" w14:textId="77777777">
            <w:pPr>
              <w:jc w:val="right"/>
              <w:rPr>
                <w:rFonts w:ascii="Source Sans Pro" w:hAnsi="Source Sans Pro" w:cs="Calibri"/>
                <w:color w:val="000000"/>
                <w:sz w:val="20"/>
              </w:rPr>
            </w:pPr>
            <w:r w:rsidRPr="002B5C29">
              <w:rPr>
                <w:rFonts w:ascii="Source Sans Pro" w:hAnsi="Source Sans Pro" w:cs="Calibri"/>
                <w:color w:val="000000"/>
                <w:sz w:val="20"/>
              </w:rPr>
              <w:t>12,408</w:t>
            </w:r>
          </w:p>
        </w:tc>
      </w:tr>
      <w:tr w14:paraId="7C6EEAEF" w14:textId="77777777" w:rsidTr="00E7798A">
        <w:tblPrEx>
          <w:tblW w:w="9118" w:type="dxa"/>
          <w:tblCellMar>
            <w:top w:w="15" w:type="dxa"/>
          </w:tblCellMar>
          <w:tblLook w:val="04A0"/>
        </w:tblPrEx>
        <w:trPr>
          <w:trHeight w:val="1668"/>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30278897" w14:textId="77777777">
            <w:pPr>
              <w:rPr>
                <w:rFonts w:ascii="Source Sans Pro" w:hAnsi="Source Sans Pro" w:cs="Calibri"/>
                <w:color w:val="000000"/>
                <w:sz w:val="20"/>
              </w:rPr>
            </w:pPr>
            <w:r w:rsidRPr="002B5C29">
              <w:rPr>
                <w:rFonts w:ascii="Source Sans Pro" w:hAnsi="Source Sans Pro" w:cs="Calibri"/>
                <w:color w:val="000000"/>
                <w:sz w:val="20"/>
              </w:rPr>
              <w:t>11. Mortgage Loan Originator Registration Updates Upon Change in Circumstances,</w:t>
            </w:r>
            <w:r w:rsidRPr="002B5C29">
              <w:rPr>
                <w:rFonts w:ascii="Source Sans Pro" w:hAnsi="Source Sans Pro" w:cs="Calibri"/>
                <w:color w:val="000000"/>
                <w:sz w:val="20"/>
              </w:rPr>
              <w:br/>
              <w:t>12 CFR 1007.103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77AFD787" w14:textId="77777777">
            <w:pPr>
              <w:jc w:val="center"/>
              <w:rPr>
                <w:rFonts w:ascii="Source Sans Pro" w:hAnsi="Source Sans Pro" w:cs="Calibri"/>
                <w:color w:val="000000"/>
                <w:sz w:val="20"/>
              </w:rPr>
            </w:pPr>
            <w:r w:rsidRPr="002B5C29">
              <w:rPr>
                <w:rFonts w:ascii="Source Sans Pro" w:hAnsi="Source Sans Pro" w:cs="Calibri"/>
                <w:color w:val="000000"/>
                <w:sz w:val="20"/>
              </w:rPr>
              <w:t>Reporting</w:t>
            </w:r>
            <w:r w:rsidRPr="002B5C29">
              <w:rPr>
                <w:rFonts w:ascii="Source Sans Pro" w:hAnsi="Source Sans Pro" w:cs="Calibri"/>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2FEC4B9B" w14:textId="77777777">
            <w:pPr>
              <w:jc w:val="right"/>
              <w:rPr>
                <w:rFonts w:ascii="Source Sans Pro" w:hAnsi="Source Sans Pro" w:cs="Calibri"/>
                <w:color w:val="000000"/>
                <w:sz w:val="20"/>
              </w:rPr>
            </w:pPr>
            <w:r w:rsidRPr="002B5C29">
              <w:rPr>
                <w:rFonts w:ascii="Source Sans Pro" w:hAnsi="Source Sans Pro" w:cs="Calibri"/>
                <w:color w:val="000000"/>
                <w:sz w:val="20"/>
              </w:rPr>
              <w:t>38,249</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171D5300"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5B05EABC" w14:textId="77777777">
            <w:pPr>
              <w:jc w:val="right"/>
              <w:rPr>
                <w:rFonts w:ascii="Source Sans Pro" w:hAnsi="Source Sans Pro" w:cs="Calibri"/>
                <w:color w:val="000000"/>
                <w:sz w:val="20"/>
              </w:rPr>
            </w:pPr>
            <w:r w:rsidRPr="002B5C29">
              <w:rPr>
                <w:rFonts w:ascii="Source Sans Pro" w:hAnsi="Source Sans Pro" w:cs="Calibri"/>
                <w:color w:val="000000"/>
                <w:sz w:val="20"/>
              </w:rPr>
              <w:t>00:15</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0D0B0FEF" w14:textId="77777777">
            <w:pPr>
              <w:jc w:val="right"/>
              <w:rPr>
                <w:rFonts w:ascii="Source Sans Pro" w:hAnsi="Source Sans Pro" w:cs="Calibri"/>
                <w:color w:val="000000"/>
                <w:sz w:val="20"/>
              </w:rPr>
            </w:pPr>
            <w:r w:rsidRPr="002B5C29">
              <w:rPr>
                <w:rFonts w:ascii="Source Sans Pro" w:hAnsi="Source Sans Pro" w:cs="Calibri"/>
                <w:color w:val="000000"/>
                <w:sz w:val="20"/>
              </w:rPr>
              <w:t>9,562</w:t>
            </w:r>
          </w:p>
        </w:tc>
      </w:tr>
      <w:tr w14:paraId="30270851" w14:textId="77777777" w:rsidTr="00E7798A">
        <w:tblPrEx>
          <w:tblW w:w="9118" w:type="dxa"/>
          <w:tblCellMar>
            <w:top w:w="15" w:type="dxa"/>
          </w:tblCellMar>
          <w:tblLook w:val="04A0"/>
        </w:tblPrEx>
        <w:trPr>
          <w:trHeight w:val="1944"/>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4637CBFC" w14:textId="77777777">
            <w:pPr>
              <w:rPr>
                <w:rFonts w:ascii="Source Sans Pro" w:hAnsi="Source Sans Pro" w:cs="Calibri"/>
                <w:color w:val="000000"/>
                <w:sz w:val="20"/>
              </w:rPr>
            </w:pPr>
            <w:r w:rsidRPr="002B5C29">
              <w:rPr>
                <w:rFonts w:ascii="Source Sans Pro" w:hAnsi="Source Sans Pro" w:cs="Calibri"/>
                <w:color w:val="000000"/>
                <w:sz w:val="20"/>
              </w:rPr>
              <w:t>12. Financial Institution Procedures for the Collection of Employee Mortgage Loan Originator's Fingerprints,</w:t>
            </w:r>
            <w:r w:rsidRPr="002B5C29">
              <w:rPr>
                <w:rFonts w:ascii="Source Sans Pro" w:hAnsi="Source Sans Pro" w:cs="Calibri"/>
                <w:color w:val="000000"/>
                <w:sz w:val="20"/>
              </w:rPr>
              <w:br/>
              <w:t>12 CFR 1007.104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65995172" w14:textId="77777777">
            <w:pPr>
              <w:jc w:val="center"/>
              <w:rPr>
                <w:rFonts w:ascii="Source Sans Pro" w:hAnsi="Source Sans Pro" w:cs="Calibri"/>
                <w:color w:val="000000"/>
                <w:sz w:val="20"/>
              </w:rPr>
            </w:pPr>
            <w:r w:rsidRPr="002B5C29">
              <w:rPr>
                <w:rFonts w:ascii="Source Sans Pro" w:hAnsi="Source Sans Pro" w:cs="Calibri"/>
                <w:color w:val="000000"/>
                <w:sz w:val="20"/>
              </w:rPr>
              <w:t>Recordkeeping</w:t>
            </w:r>
            <w:r w:rsidRPr="002B5C29">
              <w:rPr>
                <w:rFonts w:ascii="Source Sans Pro" w:hAnsi="Source Sans Pro" w:cs="Calibri"/>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45D66685" w14:textId="77777777">
            <w:pPr>
              <w:jc w:val="right"/>
              <w:rPr>
                <w:rFonts w:ascii="Source Sans Pro" w:hAnsi="Source Sans Pro" w:cs="Calibri"/>
                <w:color w:val="000000"/>
                <w:sz w:val="20"/>
              </w:rPr>
            </w:pPr>
            <w:r w:rsidRPr="002B5C29">
              <w:rPr>
                <w:rFonts w:ascii="Source Sans Pro" w:hAnsi="Source Sans Pro" w:cs="Calibri"/>
                <w:color w:val="000000"/>
                <w:sz w:val="20"/>
              </w:rPr>
              <w:t>2,785</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4D27C991"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0A6CA3EF" w14:textId="77777777">
            <w:pPr>
              <w:jc w:val="right"/>
              <w:rPr>
                <w:rFonts w:ascii="Source Sans Pro" w:hAnsi="Source Sans Pro" w:cs="Calibri"/>
                <w:color w:val="000000"/>
                <w:sz w:val="20"/>
              </w:rPr>
            </w:pPr>
            <w:r w:rsidRPr="002B5C29">
              <w:rPr>
                <w:rFonts w:ascii="Source Sans Pro" w:hAnsi="Source Sans Pro" w:cs="Calibri"/>
                <w:color w:val="000000"/>
                <w:sz w:val="20"/>
              </w:rPr>
              <w:t>04:00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04D9BCA7" w14:textId="77777777">
            <w:pPr>
              <w:jc w:val="right"/>
              <w:rPr>
                <w:rFonts w:ascii="Source Sans Pro" w:hAnsi="Source Sans Pro" w:cs="Calibri"/>
                <w:color w:val="000000"/>
                <w:sz w:val="20"/>
              </w:rPr>
            </w:pPr>
            <w:r w:rsidRPr="002B5C29">
              <w:rPr>
                <w:rFonts w:ascii="Source Sans Pro" w:hAnsi="Source Sans Pro" w:cs="Calibri"/>
                <w:color w:val="000000"/>
                <w:sz w:val="20"/>
              </w:rPr>
              <w:t>11,140</w:t>
            </w:r>
          </w:p>
        </w:tc>
      </w:tr>
      <w:tr w14:paraId="584FB036" w14:textId="77777777" w:rsidTr="00E7798A">
        <w:tblPrEx>
          <w:tblW w:w="9118" w:type="dxa"/>
          <w:tblCellMar>
            <w:top w:w="15" w:type="dxa"/>
          </w:tblCellMar>
          <w:tblLook w:val="04A0"/>
        </w:tblPrEx>
        <w:trPr>
          <w:trHeight w:val="1668"/>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6476E75C" w14:textId="77777777">
            <w:pPr>
              <w:rPr>
                <w:rFonts w:ascii="Source Sans Pro" w:hAnsi="Source Sans Pro" w:cs="Calibri"/>
                <w:color w:val="000000"/>
                <w:sz w:val="20"/>
              </w:rPr>
            </w:pPr>
            <w:r w:rsidRPr="002B5C29">
              <w:rPr>
                <w:rFonts w:ascii="Source Sans Pro" w:hAnsi="Source Sans Pro" w:cs="Calibri"/>
                <w:color w:val="000000"/>
                <w:sz w:val="20"/>
              </w:rPr>
              <w:t>13. Mortgage Loan Originator Procedures for Disclosure to Consumers of Unique Identifier,</w:t>
            </w:r>
            <w:r w:rsidRPr="002B5C29">
              <w:rPr>
                <w:rFonts w:ascii="Source Sans Pro" w:hAnsi="Source Sans Pro" w:cs="Calibri"/>
                <w:color w:val="000000"/>
                <w:sz w:val="20"/>
              </w:rPr>
              <w:br/>
              <w:t>12 CFR 1007.104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4096AFC1" w14:textId="77777777">
            <w:pPr>
              <w:jc w:val="center"/>
              <w:rPr>
                <w:rFonts w:ascii="Source Sans Pro" w:hAnsi="Source Sans Pro" w:cs="Calibri"/>
                <w:color w:val="000000"/>
                <w:sz w:val="20"/>
              </w:rPr>
            </w:pPr>
            <w:r w:rsidRPr="002B5C29">
              <w:rPr>
                <w:rFonts w:ascii="Source Sans Pro" w:hAnsi="Source Sans Pro" w:cs="Calibri"/>
                <w:color w:val="000000"/>
                <w:sz w:val="20"/>
              </w:rPr>
              <w:t>Disclosure</w:t>
            </w:r>
            <w:r w:rsidRPr="002B5C29">
              <w:rPr>
                <w:rFonts w:ascii="Source Sans Pro" w:hAnsi="Source Sans Pro" w:cs="Calibri"/>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6FE15833" w14:textId="77777777">
            <w:pPr>
              <w:jc w:val="right"/>
              <w:rPr>
                <w:rFonts w:ascii="Source Sans Pro" w:hAnsi="Source Sans Pro" w:cs="Calibri"/>
                <w:color w:val="000000"/>
                <w:sz w:val="20"/>
              </w:rPr>
            </w:pPr>
            <w:r w:rsidRPr="002B5C29">
              <w:rPr>
                <w:rFonts w:ascii="Source Sans Pro" w:hAnsi="Source Sans Pro" w:cs="Calibri"/>
                <w:color w:val="000000"/>
                <w:sz w:val="20"/>
              </w:rPr>
              <w:t>44,453</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33019B9B"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5FBB658B" w14:textId="77777777">
            <w:pPr>
              <w:jc w:val="right"/>
              <w:rPr>
                <w:rFonts w:ascii="Source Sans Pro" w:hAnsi="Source Sans Pro" w:cs="Calibri"/>
                <w:color w:val="000000"/>
                <w:sz w:val="20"/>
              </w:rPr>
            </w:pPr>
            <w:r w:rsidRPr="002B5C29">
              <w:rPr>
                <w:rFonts w:ascii="Source Sans Pro" w:hAnsi="Source Sans Pro" w:cs="Calibri"/>
                <w:color w:val="000000"/>
                <w:sz w:val="20"/>
              </w:rPr>
              <w:t>01:00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33337657" w14:textId="77777777">
            <w:pPr>
              <w:jc w:val="right"/>
              <w:rPr>
                <w:rFonts w:ascii="Source Sans Pro" w:hAnsi="Source Sans Pro" w:cs="Calibri"/>
                <w:color w:val="000000"/>
                <w:sz w:val="20"/>
              </w:rPr>
            </w:pPr>
            <w:r w:rsidRPr="002B5C29">
              <w:rPr>
                <w:rFonts w:ascii="Source Sans Pro" w:hAnsi="Source Sans Pro" w:cs="Calibri"/>
                <w:color w:val="000000"/>
                <w:sz w:val="20"/>
              </w:rPr>
              <w:t>44,453</w:t>
            </w:r>
          </w:p>
        </w:tc>
      </w:tr>
      <w:tr w14:paraId="4017DD72" w14:textId="77777777" w:rsidTr="00E7798A">
        <w:tblPrEx>
          <w:tblW w:w="9118" w:type="dxa"/>
          <w:tblCellMar>
            <w:top w:w="15" w:type="dxa"/>
          </w:tblCellMar>
          <w:tblLook w:val="04A0"/>
        </w:tblPrEx>
        <w:trPr>
          <w:trHeight w:val="1944"/>
        </w:trPr>
        <w:tc>
          <w:tcPr>
            <w:tcW w:w="2370" w:type="dxa"/>
            <w:tcBorders>
              <w:top w:val="nil"/>
              <w:left w:val="single" w:sz="8" w:space="0" w:color="auto"/>
              <w:bottom w:val="single" w:sz="8" w:space="0" w:color="auto"/>
              <w:right w:val="single" w:sz="8" w:space="0" w:color="auto"/>
            </w:tcBorders>
            <w:shd w:val="clear" w:color="auto" w:fill="auto"/>
            <w:vAlign w:val="center"/>
            <w:hideMark/>
          </w:tcPr>
          <w:p w:rsidR="00AB5440" w:rsidRPr="002B5C29" w:rsidP="000D7670" w14:paraId="0427E1D6" w14:textId="77777777">
            <w:pPr>
              <w:rPr>
                <w:rFonts w:ascii="Source Sans Pro" w:hAnsi="Source Sans Pro" w:cs="Calibri"/>
                <w:color w:val="000000"/>
                <w:sz w:val="20"/>
              </w:rPr>
            </w:pPr>
            <w:r w:rsidRPr="002B5C29">
              <w:rPr>
                <w:rFonts w:ascii="Source Sans Pro" w:hAnsi="Source Sans Pro" w:cs="Calibri"/>
                <w:color w:val="000000"/>
                <w:sz w:val="20"/>
              </w:rPr>
              <w:t>14. Mortgage Loan Originator Annual Renewal Registration Reporting and Authorization Requirements,</w:t>
            </w:r>
            <w:r w:rsidRPr="002B5C29">
              <w:rPr>
                <w:rFonts w:ascii="Source Sans Pro" w:hAnsi="Source Sans Pro" w:cs="Calibri"/>
                <w:color w:val="000000"/>
                <w:sz w:val="20"/>
              </w:rPr>
              <w:br/>
              <w:t>12 CFR 1007.103 (Mandatory)</w:t>
            </w:r>
          </w:p>
        </w:tc>
        <w:tc>
          <w:tcPr>
            <w:tcW w:w="1536" w:type="dxa"/>
            <w:tcBorders>
              <w:top w:val="nil"/>
              <w:left w:val="nil"/>
              <w:bottom w:val="single" w:sz="8" w:space="0" w:color="auto"/>
              <w:right w:val="single" w:sz="8" w:space="0" w:color="auto"/>
            </w:tcBorders>
            <w:shd w:val="clear" w:color="auto" w:fill="auto"/>
            <w:vAlign w:val="center"/>
            <w:hideMark/>
          </w:tcPr>
          <w:p w:rsidR="00AB5440" w:rsidRPr="002B5C29" w:rsidP="000D7670" w14:paraId="090F7688" w14:textId="77777777">
            <w:pPr>
              <w:jc w:val="center"/>
              <w:rPr>
                <w:rFonts w:ascii="Source Sans Pro" w:hAnsi="Source Sans Pro" w:cs="Calibri"/>
                <w:color w:val="000000"/>
                <w:sz w:val="20"/>
              </w:rPr>
            </w:pPr>
            <w:r w:rsidRPr="002B5C29">
              <w:rPr>
                <w:rFonts w:ascii="Source Sans Pro" w:hAnsi="Source Sans Pro" w:cs="Calibri"/>
                <w:color w:val="000000"/>
                <w:sz w:val="20"/>
              </w:rPr>
              <w:t>Reporting</w:t>
            </w:r>
            <w:r w:rsidRPr="002B5C29">
              <w:rPr>
                <w:rFonts w:ascii="Source Sans Pro" w:hAnsi="Source Sans Pro" w:cs="Calibri"/>
                <w:color w:val="000000"/>
                <w:sz w:val="20"/>
              </w:rPr>
              <w:br/>
              <w:t>(On Occasion)</w:t>
            </w:r>
          </w:p>
        </w:tc>
        <w:tc>
          <w:tcPr>
            <w:tcW w:w="1313"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31430431" w14:textId="77777777">
            <w:pPr>
              <w:jc w:val="right"/>
              <w:rPr>
                <w:rFonts w:ascii="Source Sans Pro" w:hAnsi="Source Sans Pro" w:cs="Calibri"/>
                <w:color w:val="000000"/>
                <w:sz w:val="20"/>
              </w:rPr>
            </w:pPr>
            <w:r w:rsidRPr="002B5C29">
              <w:rPr>
                <w:rFonts w:ascii="Source Sans Pro" w:hAnsi="Source Sans Pro" w:cs="Calibri"/>
                <w:color w:val="000000"/>
                <w:sz w:val="20"/>
              </w:rPr>
              <w:t>38,249</w:t>
            </w:r>
          </w:p>
        </w:tc>
        <w:tc>
          <w:tcPr>
            <w:tcW w:w="1681" w:type="dxa"/>
            <w:tcBorders>
              <w:top w:val="nil"/>
              <w:left w:val="nil"/>
              <w:bottom w:val="single" w:sz="8" w:space="0" w:color="auto"/>
              <w:right w:val="single" w:sz="8" w:space="0" w:color="auto"/>
            </w:tcBorders>
            <w:shd w:val="clear" w:color="auto" w:fill="auto"/>
            <w:noWrap/>
            <w:vAlign w:val="center"/>
            <w:hideMark/>
          </w:tcPr>
          <w:p w:rsidR="00AB5440" w:rsidRPr="002B5C29" w:rsidP="000D7670" w14:paraId="73049BE5" w14:textId="77777777">
            <w:pPr>
              <w:jc w:val="right"/>
              <w:rPr>
                <w:rFonts w:ascii="Source Sans Pro" w:hAnsi="Source Sans Pro" w:cs="Calibri"/>
                <w:color w:val="000000"/>
                <w:sz w:val="20"/>
              </w:rPr>
            </w:pPr>
            <w:r w:rsidRPr="002B5C29">
              <w:rPr>
                <w:rFonts w:ascii="Source Sans Pro" w:hAnsi="Source Sans Pro" w:cs="Calibri"/>
                <w:color w:val="000000"/>
                <w:sz w:val="20"/>
              </w:rPr>
              <w:t>1</w:t>
            </w:r>
          </w:p>
        </w:tc>
        <w:tc>
          <w:tcPr>
            <w:tcW w:w="1082" w:type="dxa"/>
            <w:tcBorders>
              <w:top w:val="nil"/>
              <w:left w:val="nil"/>
              <w:bottom w:val="single" w:sz="8" w:space="0" w:color="auto"/>
              <w:right w:val="nil"/>
            </w:tcBorders>
            <w:shd w:val="clear" w:color="auto" w:fill="auto"/>
            <w:vAlign w:val="center"/>
            <w:hideMark/>
          </w:tcPr>
          <w:p w:rsidR="00AB5440" w:rsidRPr="002B5C29" w:rsidP="000D7670" w14:paraId="12DDA711" w14:textId="77777777">
            <w:pPr>
              <w:jc w:val="right"/>
              <w:rPr>
                <w:rFonts w:ascii="Source Sans Pro" w:hAnsi="Source Sans Pro" w:cs="Calibri"/>
                <w:color w:val="000000"/>
                <w:sz w:val="20"/>
              </w:rPr>
            </w:pPr>
            <w:r w:rsidRPr="002B5C29">
              <w:rPr>
                <w:rFonts w:ascii="Source Sans Pro" w:hAnsi="Source Sans Pro" w:cs="Calibri"/>
                <w:color w:val="000000"/>
                <w:sz w:val="20"/>
              </w:rPr>
              <w:t>02:00</w:t>
            </w:r>
          </w:p>
        </w:tc>
        <w:tc>
          <w:tcPr>
            <w:tcW w:w="1136" w:type="dxa"/>
            <w:tcBorders>
              <w:top w:val="nil"/>
              <w:left w:val="single" w:sz="8" w:space="0" w:color="auto"/>
              <w:bottom w:val="single" w:sz="8" w:space="0" w:color="auto"/>
              <w:right w:val="single" w:sz="8" w:space="0" w:color="auto"/>
            </w:tcBorders>
            <w:shd w:val="clear" w:color="auto" w:fill="auto"/>
            <w:noWrap/>
            <w:vAlign w:val="center"/>
            <w:hideMark/>
          </w:tcPr>
          <w:p w:rsidR="00AB5440" w:rsidRPr="002B5C29" w:rsidP="000D7670" w14:paraId="5C5EE8DA" w14:textId="77777777">
            <w:pPr>
              <w:jc w:val="right"/>
              <w:rPr>
                <w:rFonts w:ascii="Source Sans Pro" w:hAnsi="Source Sans Pro" w:cs="Calibri"/>
                <w:color w:val="000000"/>
                <w:sz w:val="20"/>
              </w:rPr>
            </w:pPr>
            <w:r w:rsidRPr="002B5C29">
              <w:rPr>
                <w:rFonts w:ascii="Source Sans Pro" w:hAnsi="Source Sans Pro" w:cs="Calibri"/>
                <w:color w:val="000000"/>
                <w:sz w:val="20"/>
              </w:rPr>
              <w:t>76,498</w:t>
            </w:r>
          </w:p>
        </w:tc>
      </w:tr>
      <w:tr w14:paraId="6B86E12E" w14:textId="77777777" w:rsidTr="00E7798A">
        <w:tblPrEx>
          <w:tblW w:w="9118" w:type="dxa"/>
          <w:tblCellMar>
            <w:top w:w="15" w:type="dxa"/>
          </w:tblCellMar>
          <w:tblLook w:val="04A0"/>
        </w:tblPrEx>
        <w:trPr>
          <w:trHeight w:val="300"/>
        </w:trPr>
        <w:tc>
          <w:tcPr>
            <w:tcW w:w="7982" w:type="dxa"/>
            <w:gridSpan w:val="5"/>
            <w:tcBorders>
              <w:top w:val="single" w:sz="8" w:space="0" w:color="auto"/>
              <w:left w:val="single" w:sz="8" w:space="0" w:color="auto"/>
              <w:bottom w:val="single" w:sz="8" w:space="0" w:color="auto"/>
              <w:right w:val="nil"/>
            </w:tcBorders>
            <w:shd w:val="clear" w:color="auto" w:fill="auto"/>
            <w:noWrap/>
            <w:vAlign w:val="center"/>
            <w:hideMark/>
          </w:tcPr>
          <w:p w:rsidR="00AB5440" w:rsidRPr="002B5C29" w:rsidP="000D7670" w14:paraId="6E97279E" w14:textId="77777777">
            <w:pPr>
              <w:jc w:val="right"/>
              <w:rPr>
                <w:rFonts w:ascii="Source Sans Pro" w:hAnsi="Source Sans Pro" w:cs="Calibri"/>
                <w:b/>
                <w:bCs/>
                <w:i/>
                <w:iCs/>
                <w:color w:val="000000"/>
              </w:rPr>
            </w:pPr>
            <w:r w:rsidRPr="002B5C29">
              <w:rPr>
                <w:rFonts w:ascii="Source Sans Pro" w:hAnsi="Source Sans Pro" w:cs="Calibri"/>
                <w:b/>
                <w:bCs/>
                <w:i/>
                <w:iCs/>
                <w:color w:val="000000"/>
              </w:rPr>
              <w:t>Total Annual Burden (Hours):</w:t>
            </w:r>
          </w:p>
        </w:tc>
        <w:tc>
          <w:tcPr>
            <w:tcW w:w="1136" w:type="dxa"/>
            <w:tcBorders>
              <w:top w:val="nil"/>
              <w:left w:val="nil"/>
              <w:bottom w:val="single" w:sz="8" w:space="0" w:color="auto"/>
              <w:right w:val="single" w:sz="8" w:space="0" w:color="auto"/>
            </w:tcBorders>
            <w:shd w:val="clear" w:color="auto" w:fill="auto"/>
            <w:noWrap/>
            <w:vAlign w:val="bottom"/>
            <w:hideMark/>
          </w:tcPr>
          <w:p w:rsidR="00AB5440" w:rsidRPr="002B5C29" w:rsidP="000D7670" w14:paraId="37D7C3FF" w14:textId="77777777">
            <w:pPr>
              <w:jc w:val="right"/>
              <w:rPr>
                <w:rFonts w:ascii="Source Sans Pro" w:hAnsi="Source Sans Pro" w:cs="Calibri"/>
                <w:b/>
                <w:bCs/>
                <w:i/>
                <w:iCs/>
                <w:color w:val="000000"/>
              </w:rPr>
            </w:pPr>
            <w:r w:rsidRPr="002B5C29">
              <w:rPr>
                <w:rFonts w:ascii="Source Sans Pro" w:hAnsi="Source Sans Pro" w:cs="Calibri"/>
                <w:b/>
                <w:bCs/>
                <w:i/>
                <w:iCs/>
                <w:color w:val="000000"/>
              </w:rPr>
              <w:t>168,228</w:t>
            </w:r>
          </w:p>
        </w:tc>
      </w:tr>
      <w:tr w14:paraId="42909EFF" w14:textId="77777777" w:rsidTr="00E7798A">
        <w:tblPrEx>
          <w:tblW w:w="9118" w:type="dxa"/>
          <w:tblCellMar>
            <w:top w:w="15" w:type="dxa"/>
          </w:tblCellMar>
          <w:tblLook w:val="04A0"/>
        </w:tblPrEx>
        <w:trPr>
          <w:trHeight w:val="252"/>
        </w:trPr>
        <w:tc>
          <w:tcPr>
            <w:tcW w:w="9118" w:type="dxa"/>
            <w:gridSpan w:val="6"/>
            <w:tcBorders>
              <w:top w:val="single" w:sz="8" w:space="0" w:color="auto"/>
              <w:left w:val="single" w:sz="8" w:space="0" w:color="auto"/>
              <w:bottom w:val="single" w:sz="4" w:space="0" w:color="auto"/>
              <w:right w:val="single" w:sz="8" w:space="0" w:color="000000"/>
            </w:tcBorders>
            <w:shd w:val="clear" w:color="auto" w:fill="auto"/>
            <w:noWrap/>
            <w:hideMark/>
          </w:tcPr>
          <w:p w:rsidR="00AB5440" w:rsidRPr="002B5C29" w:rsidP="000D7670" w14:paraId="30798FDB" w14:textId="77777777">
            <w:pPr>
              <w:rPr>
                <w:rFonts w:ascii="Source Sans Pro" w:hAnsi="Source Sans Pro" w:cs="Calibri"/>
                <w:color w:val="000000"/>
                <w:sz w:val="18"/>
                <w:szCs w:val="18"/>
              </w:rPr>
            </w:pPr>
            <w:bookmarkStart w:id="1" w:name="_Hlk194500864"/>
            <w:r w:rsidRPr="002B5C29">
              <w:rPr>
                <w:rFonts w:ascii="Source Sans Pro" w:hAnsi="Source Sans Pro" w:cs="Calibri"/>
                <w:color w:val="000000"/>
                <w:sz w:val="18"/>
                <w:szCs w:val="18"/>
              </w:rPr>
              <w:t>Source: FDIC.</w:t>
            </w:r>
          </w:p>
        </w:tc>
      </w:tr>
      <w:bookmarkEnd w:id="1"/>
    </w:tbl>
    <w:p w:rsidR="00A40227" w:rsidP="00A40227" w14:paraId="10CDAE6E" w14:textId="77777777">
      <w:pPr>
        <w:pStyle w:val="ListParagraph"/>
        <w:tabs>
          <w:tab w:val="left" w:pos="-1440"/>
          <w:tab w:val="left" w:pos="1080"/>
          <w:tab w:val="left" w:pos="1710"/>
        </w:tabs>
        <w:spacing w:line="360" w:lineRule="auto"/>
        <w:ind w:left="1080"/>
        <w:rPr>
          <w:rFonts w:ascii="Times New Roman" w:hAnsi="Times New Roman"/>
        </w:rPr>
      </w:pPr>
    </w:p>
    <w:tbl>
      <w:tblPr>
        <w:tblW w:w="10422" w:type="dxa"/>
        <w:tblCellMar>
          <w:top w:w="15" w:type="dxa"/>
        </w:tblCellMar>
        <w:tblLook w:val="04A0"/>
      </w:tblPr>
      <w:tblGrid>
        <w:gridCol w:w="2203"/>
        <w:gridCol w:w="833"/>
        <w:gridCol w:w="984"/>
        <w:gridCol w:w="984"/>
        <w:gridCol w:w="900"/>
        <w:gridCol w:w="984"/>
        <w:gridCol w:w="984"/>
        <w:gridCol w:w="884"/>
        <w:gridCol w:w="1444"/>
        <w:gridCol w:w="222"/>
      </w:tblGrid>
      <w:tr w14:paraId="0B4ECB14" w14:textId="77777777" w:rsidTr="001614C5">
        <w:tblPrEx>
          <w:tblW w:w="10422" w:type="dxa"/>
          <w:tblCellMar>
            <w:top w:w="15" w:type="dxa"/>
          </w:tblCellMar>
          <w:tblLook w:val="04A0"/>
        </w:tblPrEx>
        <w:trPr>
          <w:gridAfter w:val="1"/>
          <w:wAfter w:w="222" w:type="dxa"/>
          <w:trHeight w:val="360"/>
        </w:trPr>
        <w:tc>
          <w:tcPr>
            <w:tcW w:w="10200"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73D54" w:rsidRPr="00541115" w:rsidP="000D7670" w14:paraId="62A9131B" w14:textId="56662EC8">
            <w:pPr>
              <w:jc w:val="center"/>
              <w:rPr>
                <w:rFonts w:ascii="Source Sans Pro" w:hAnsi="Source Sans Pro" w:cs="Calibri"/>
                <w:color w:val="000000"/>
                <w:szCs w:val="24"/>
              </w:rPr>
            </w:pPr>
            <w:r w:rsidRPr="00541115">
              <w:rPr>
                <w:rFonts w:ascii="Source Sans Pro" w:hAnsi="Source Sans Pro" w:cs="Calibri"/>
                <w:color w:val="000000"/>
                <w:szCs w:val="24"/>
              </w:rPr>
              <w:t>Summary of Hourly Burden Cost Estimate (OMB No. 3064-0171)</w:t>
            </w:r>
          </w:p>
        </w:tc>
      </w:tr>
      <w:tr w14:paraId="0209D5A7" w14:textId="77777777" w:rsidTr="001614C5">
        <w:tblPrEx>
          <w:tblW w:w="10422" w:type="dxa"/>
          <w:tblCellMar>
            <w:top w:w="15" w:type="dxa"/>
          </w:tblCellMar>
          <w:tblLook w:val="04A0"/>
        </w:tblPrEx>
        <w:trPr>
          <w:gridAfter w:val="1"/>
          <w:wAfter w:w="222" w:type="dxa"/>
          <w:trHeight w:val="600"/>
        </w:trPr>
        <w:tc>
          <w:tcPr>
            <w:tcW w:w="2203" w:type="dxa"/>
            <w:vMerge w:val="restart"/>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68D170B1" w14:textId="77777777">
            <w:pPr>
              <w:rPr>
                <w:rFonts w:ascii="Source Sans Pro" w:hAnsi="Source Sans Pro" w:cs="Calibri"/>
                <w:color w:val="000000"/>
                <w:sz w:val="20"/>
              </w:rPr>
            </w:pPr>
            <w:r w:rsidRPr="00541115">
              <w:rPr>
                <w:rFonts w:ascii="Source Sans Pro" w:hAnsi="Source Sans Pro" w:cs="Calibri"/>
                <w:color w:val="000000"/>
                <w:sz w:val="20"/>
              </w:rPr>
              <w:t xml:space="preserve">Information Collection (IC) (Obligation to Respond) </w:t>
            </w:r>
          </w:p>
        </w:tc>
        <w:tc>
          <w:tcPr>
            <w:tcW w:w="833" w:type="dxa"/>
            <w:vMerge w:val="restart"/>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45DD1981" w14:textId="77777777">
            <w:pPr>
              <w:jc w:val="center"/>
              <w:rPr>
                <w:rFonts w:ascii="Source Sans Pro" w:hAnsi="Source Sans Pro" w:cs="Calibri"/>
                <w:color w:val="000000"/>
                <w:sz w:val="20"/>
              </w:rPr>
            </w:pPr>
            <w:r w:rsidRPr="00541115">
              <w:rPr>
                <w:rFonts w:ascii="Source Sans Pro" w:hAnsi="Source Sans Pro" w:cs="Calibri"/>
                <w:color w:val="000000"/>
                <w:sz w:val="20"/>
              </w:rPr>
              <w:t xml:space="preserve">Hourly Weight </w:t>
            </w:r>
            <w:r w:rsidRPr="00541115">
              <w:rPr>
                <w:rFonts w:ascii="Source Sans Pro" w:hAnsi="Source Sans Pro" w:cs="Calibri"/>
                <w:color w:val="000000"/>
                <w:sz w:val="20"/>
              </w:rPr>
              <w:br/>
              <w:t>(%)</w:t>
            </w:r>
          </w:p>
        </w:tc>
        <w:tc>
          <w:tcPr>
            <w:tcW w:w="572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73D54" w:rsidRPr="00541115" w:rsidP="000D7670" w14:paraId="4E285695" w14:textId="77777777">
            <w:pPr>
              <w:jc w:val="center"/>
              <w:rPr>
                <w:rFonts w:ascii="Source Sans Pro" w:hAnsi="Source Sans Pro" w:cs="Calibri"/>
                <w:color w:val="000000"/>
                <w:sz w:val="20"/>
              </w:rPr>
            </w:pPr>
            <w:r w:rsidRPr="00541115">
              <w:rPr>
                <w:rFonts w:ascii="Source Sans Pro" w:hAnsi="Source Sans Pro" w:cs="Calibri"/>
                <w:color w:val="000000"/>
                <w:sz w:val="20"/>
              </w:rPr>
              <w:t xml:space="preserve">Percentage Shares of Hours Spent by and </w:t>
            </w:r>
            <w:r w:rsidRPr="00541115">
              <w:rPr>
                <w:rFonts w:ascii="Source Sans Pro" w:hAnsi="Source Sans Pro" w:cs="Calibri"/>
                <w:color w:val="000000"/>
                <w:sz w:val="20"/>
              </w:rPr>
              <w:br/>
              <w:t xml:space="preserve">Hourly Compensation Rates for each Occupation Group </w:t>
            </w:r>
            <w:r w:rsidRPr="00541115">
              <w:rPr>
                <w:rFonts w:ascii="Source Sans Pro" w:hAnsi="Source Sans Pro" w:cs="Calibri"/>
                <w:color w:val="000000"/>
                <w:sz w:val="20"/>
              </w:rPr>
              <w:br/>
              <w:t>(by Collection)</w:t>
            </w:r>
          </w:p>
        </w:tc>
        <w:tc>
          <w:tcPr>
            <w:tcW w:w="1444" w:type="dxa"/>
            <w:vMerge w:val="restart"/>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7C8E8178" w14:textId="77777777">
            <w:pPr>
              <w:jc w:val="center"/>
              <w:rPr>
                <w:rFonts w:ascii="Source Sans Pro" w:hAnsi="Source Sans Pro" w:cs="Calibri"/>
                <w:color w:val="000000"/>
                <w:sz w:val="20"/>
              </w:rPr>
            </w:pPr>
            <w:r w:rsidRPr="00541115">
              <w:rPr>
                <w:rFonts w:ascii="Source Sans Pro" w:hAnsi="Source Sans Pro" w:cs="Calibri"/>
                <w:color w:val="000000"/>
                <w:sz w:val="20"/>
              </w:rPr>
              <w:t>Estimated Hourly Compensation Rate</w:t>
            </w:r>
          </w:p>
        </w:tc>
      </w:tr>
      <w:tr w14:paraId="1C6DDED7" w14:textId="77777777" w:rsidTr="001614C5">
        <w:tblPrEx>
          <w:tblW w:w="10422" w:type="dxa"/>
          <w:tblCellMar>
            <w:top w:w="15" w:type="dxa"/>
          </w:tblCellMar>
          <w:tblLook w:val="04A0"/>
        </w:tblPrEx>
        <w:trPr>
          <w:trHeight w:val="864"/>
        </w:trPr>
        <w:tc>
          <w:tcPr>
            <w:tcW w:w="2203" w:type="dxa"/>
            <w:vMerge/>
            <w:tcBorders>
              <w:top w:val="nil"/>
              <w:left w:val="single" w:sz="8" w:space="0" w:color="auto"/>
              <w:bottom w:val="single" w:sz="8" w:space="0" w:color="auto"/>
              <w:right w:val="single" w:sz="8" w:space="0" w:color="auto"/>
            </w:tcBorders>
            <w:vAlign w:val="center"/>
            <w:hideMark/>
          </w:tcPr>
          <w:p w:rsidR="00573D54" w:rsidRPr="00541115" w:rsidP="000D7670" w14:paraId="4E56214A" w14:textId="77777777">
            <w:pPr>
              <w:rPr>
                <w:rFonts w:ascii="Source Sans Pro" w:hAnsi="Source Sans Pro" w:cs="Calibri"/>
                <w:color w:val="000000"/>
                <w:sz w:val="20"/>
              </w:rPr>
            </w:pPr>
          </w:p>
        </w:tc>
        <w:tc>
          <w:tcPr>
            <w:tcW w:w="833" w:type="dxa"/>
            <w:vMerge/>
            <w:tcBorders>
              <w:top w:val="nil"/>
              <w:left w:val="single" w:sz="8" w:space="0" w:color="auto"/>
              <w:bottom w:val="single" w:sz="8" w:space="0" w:color="auto"/>
              <w:right w:val="single" w:sz="8" w:space="0" w:color="auto"/>
            </w:tcBorders>
            <w:vAlign w:val="center"/>
            <w:hideMark/>
          </w:tcPr>
          <w:p w:rsidR="00573D54" w:rsidRPr="00541115" w:rsidP="000D7670" w14:paraId="5947E182" w14:textId="77777777">
            <w:pPr>
              <w:rPr>
                <w:rFonts w:ascii="Source Sans Pro" w:hAnsi="Source Sans Pro" w:cs="Calibri"/>
                <w:color w:val="000000"/>
                <w:sz w:val="20"/>
              </w:rPr>
            </w:pPr>
          </w:p>
        </w:tc>
        <w:tc>
          <w:tcPr>
            <w:tcW w:w="5720" w:type="dxa"/>
            <w:gridSpan w:val="6"/>
            <w:vMerge/>
            <w:tcBorders>
              <w:top w:val="single" w:sz="8" w:space="0" w:color="auto"/>
              <w:left w:val="single" w:sz="8" w:space="0" w:color="auto"/>
              <w:bottom w:val="single" w:sz="8" w:space="0" w:color="auto"/>
              <w:right w:val="single" w:sz="8" w:space="0" w:color="auto"/>
            </w:tcBorders>
            <w:vAlign w:val="center"/>
            <w:hideMark/>
          </w:tcPr>
          <w:p w:rsidR="00573D54" w:rsidRPr="00541115" w:rsidP="000D7670" w14:paraId="35A32FF7" w14:textId="77777777">
            <w:pPr>
              <w:rPr>
                <w:rFonts w:ascii="Source Sans Pro" w:hAnsi="Source Sans Pro" w:cs="Calibri"/>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573D54" w:rsidRPr="00541115" w:rsidP="000D7670" w14:paraId="5073D43F" w14:textId="77777777">
            <w:pPr>
              <w:rPr>
                <w:rFonts w:ascii="Source Sans Pro" w:hAnsi="Source Sans Pro" w:cs="Calibri"/>
                <w:color w:val="000000"/>
                <w:sz w:val="20"/>
              </w:rPr>
            </w:pPr>
          </w:p>
        </w:tc>
        <w:tc>
          <w:tcPr>
            <w:tcW w:w="222" w:type="dxa"/>
            <w:tcBorders>
              <w:top w:val="nil"/>
              <w:left w:val="nil"/>
              <w:bottom w:val="nil"/>
              <w:right w:val="nil"/>
            </w:tcBorders>
            <w:shd w:val="clear" w:color="auto" w:fill="auto"/>
            <w:noWrap/>
            <w:vAlign w:val="bottom"/>
            <w:hideMark/>
          </w:tcPr>
          <w:p w:rsidR="00573D54" w:rsidRPr="00541115" w:rsidP="000D7670" w14:paraId="06A2539A" w14:textId="77777777">
            <w:pPr>
              <w:jc w:val="center"/>
              <w:rPr>
                <w:rFonts w:ascii="Source Sans Pro" w:hAnsi="Source Sans Pro" w:cs="Calibri"/>
                <w:color w:val="000000"/>
                <w:sz w:val="20"/>
              </w:rPr>
            </w:pPr>
          </w:p>
        </w:tc>
      </w:tr>
      <w:tr w14:paraId="403B7AF8" w14:textId="77777777" w:rsidTr="001614C5">
        <w:tblPrEx>
          <w:tblW w:w="10422" w:type="dxa"/>
          <w:tblCellMar>
            <w:top w:w="15" w:type="dxa"/>
          </w:tblCellMar>
          <w:tblLook w:val="04A0"/>
        </w:tblPrEx>
        <w:trPr>
          <w:trHeight w:val="360"/>
        </w:trPr>
        <w:tc>
          <w:tcPr>
            <w:tcW w:w="2203" w:type="dxa"/>
            <w:vMerge/>
            <w:tcBorders>
              <w:top w:val="nil"/>
              <w:left w:val="single" w:sz="8" w:space="0" w:color="auto"/>
              <w:bottom w:val="single" w:sz="8" w:space="0" w:color="auto"/>
              <w:right w:val="single" w:sz="8" w:space="0" w:color="auto"/>
            </w:tcBorders>
            <w:vAlign w:val="center"/>
            <w:hideMark/>
          </w:tcPr>
          <w:p w:rsidR="00573D54" w:rsidRPr="00541115" w:rsidP="000D7670" w14:paraId="3E0A91CE" w14:textId="77777777">
            <w:pPr>
              <w:rPr>
                <w:rFonts w:ascii="Source Sans Pro" w:hAnsi="Source Sans Pro" w:cs="Calibri"/>
                <w:color w:val="000000"/>
                <w:sz w:val="20"/>
              </w:rPr>
            </w:pPr>
          </w:p>
        </w:tc>
        <w:tc>
          <w:tcPr>
            <w:tcW w:w="833" w:type="dxa"/>
            <w:vMerge/>
            <w:tcBorders>
              <w:top w:val="nil"/>
              <w:left w:val="single" w:sz="8" w:space="0" w:color="auto"/>
              <w:bottom w:val="single" w:sz="8" w:space="0" w:color="auto"/>
              <w:right w:val="single" w:sz="8" w:space="0" w:color="auto"/>
            </w:tcBorders>
            <w:vAlign w:val="center"/>
            <w:hideMark/>
          </w:tcPr>
          <w:p w:rsidR="00573D54" w:rsidRPr="00541115" w:rsidP="000D7670" w14:paraId="3688726A" w14:textId="77777777">
            <w:pPr>
              <w:rPr>
                <w:rFonts w:ascii="Source Sans Pro" w:hAnsi="Source Sans Pro" w:cs="Calibri"/>
                <w:color w:val="000000"/>
                <w:sz w:val="20"/>
              </w:rPr>
            </w:pP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2B9A1989" w14:textId="77777777">
            <w:pPr>
              <w:jc w:val="center"/>
              <w:rPr>
                <w:rFonts w:ascii="Source Sans Pro" w:hAnsi="Source Sans Pro" w:cs="Calibri"/>
                <w:color w:val="000000"/>
                <w:sz w:val="20"/>
              </w:rPr>
            </w:pPr>
            <w:r w:rsidRPr="00541115">
              <w:rPr>
                <w:rFonts w:ascii="Source Sans Pro" w:hAnsi="Source Sans Pro" w:cs="Calibri"/>
                <w:color w:val="000000"/>
                <w:sz w:val="20"/>
              </w:rPr>
              <w:t>Exec. &amp; Mgr.      ($146.13)</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51D26C1E" w14:textId="77777777">
            <w:pPr>
              <w:jc w:val="center"/>
              <w:rPr>
                <w:rFonts w:ascii="Source Sans Pro" w:hAnsi="Source Sans Pro" w:cs="Calibri"/>
                <w:color w:val="000000"/>
                <w:sz w:val="20"/>
              </w:rPr>
            </w:pPr>
            <w:r w:rsidRPr="00541115">
              <w:rPr>
                <w:rFonts w:ascii="Source Sans Pro" w:hAnsi="Source Sans Pro" w:cs="Calibri"/>
                <w:color w:val="000000"/>
                <w:sz w:val="20"/>
              </w:rPr>
              <w:t>Lawyer</w:t>
            </w:r>
            <w:r w:rsidRPr="00541115">
              <w:rPr>
                <w:rFonts w:ascii="Source Sans Pro" w:hAnsi="Source Sans Pro" w:cs="Calibri"/>
                <w:color w:val="000000"/>
                <w:sz w:val="20"/>
              </w:rPr>
              <w:t xml:space="preserve">   (</w:t>
            </w:r>
            <w:r w:rsidRPr="00541115">
              <w:rPr>
                <w:rFonts w:ascii="Source Sans Pro" w:hAnsi="Source Sans Pro" w:cs="Calibri"/>
                <w:color w:val="000000"/>
                <w:sz w:val="20"/>
              </w:rPr>
              <w:t>$182.07)</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108AA274" w14:textId="77777777">
            <w:pPr>
              <w:jc w:val="center"/>
              <w:rPr>
                <w:rFonts w:ascii="Source Sans Pro" w:hAnsi="Source Sans Pro" w:cs="Calibri"/>
                <w:color w:val="000000"/>
                <w:sz w:val="20"/>
              </w:rPr>
            </w:pPr>
            <w:r w:rsidRPr="00541115">
              <w:rPr>
                <w:rFonts w:ascii="Source Sans Pro" w:hAnsi="Source Sans Pro" w:cs="Calibri"/>
                <w:color w:val="000000"/>
                <w:sz w:val="20"/>
              </w:rPr>
              <w:t>Compl</w:t>
            </w:r>
            <w:r w:rsidRPr="00541115">
              <w:rPr>
                <w:rFonts w:ascii="Source Sans Pro" w:hAnsi="Source Sans Pro" w:cs="Calibri"/>
                <w:color w:val="000000"/>
                <w:sz w:val="20"/>
              </w:rPr>
              <w:t>. Ofc.   ($77.07)</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3186F0AB" w14:textId="77777777">
            <w:pPr>
              <w:jc w:val="center"/>
              <w:rPr>
                <w:rFonts w:ascii="Source Sans Pro" w:hAnsi="Source Sans Pro" w:cs="Calibri"/>
                <w:color w:val="000000"/>
                <w:sz w:val="20"/>
              </w:rPr>
            </w:pPr>
            <w:r w:rsidRPr="00541115">
              <w:rPr>
                <w:rFonts w:ascii="Source Sans Pro" w:hAnsi="Source Sans Pro" w:cs="Calibri"/>
                <w:color w:val="000000"/>
                <w:sz w:val="20"/>
              </w:rPr>
              <w:t xml:space="preserve">IT </w:t>
            </w:r>
            <w:r w:rsidRPr="00541115">
              <w:rPr>
                <w:rFonts w:ascii="Source Sans Pro" w:hAnsi="Source Sans Pro" w:cs="Calibri"/>
                <w:color w:val="000000"/>
                <w:sz w:val="20"/>
              </w:rPr>
              <w:t xml:space="preserve">   (</w:t>
            </w:r>
            <w:r w:rsidRPr="00541115">
              <w:rPr>
                <w:rFonts w:ascii="Source Sans Pro" w:hAnsi="Source Sans Pro" w:cs="Calibri"/>
                <w:color w:val="000000"/>
                <w:sz w:val="20"/>
              </w:rPr>
              <w:t>$110.91)</w:t>
            </w:r>
          </w:p>
        </w:tc>
        <w:tc>
          <w:tcPr>
            <w:tcW w:w="984" w:type="dxa"/>
            <w:vMerge w:val="restart"/>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20CB9043" w14:textId="77777777">
            <w:pPr>
              <w:jc w:val="center"/>
              <w:rPr>
                <w:rFonts w:ascii="Source Sans Pro" w:hAnsi="Source Sans Pro" w:cs="Calibri"/>
                <w:color w:val="000000"/>
                <w:sz w:val="20"/>
              </w:rPr>
            </w:pPr>
            <w:r w:rsidRPr="00541115">
              <w:rPr>
                <w:rFonts w:ascii="Source Sans Pro" w:hAnsi="Source Sans Pro" w:cs="Calibri"/>
                <w:color w:val="000000"/>
                <w:sz w:val="20"/>
              </w:rPr>
              <w:t xml:space="preserve">Fin. </w:t>
            </w:r>
            <w:r w:rsidRPr="00541115">
              <w:rPr>
                <w:rFonts w:ascii="Source Sans Pro" w:hAnsi="Source Sans Pro" w:cs="Calibri"/>
                <w:color w:val="000000"/>
                <w:sz w:val="20"/>
              </w:rPr>
              <w:t>Anlst</w:t>
            </w:r>
            <w:r w:rsidRPr="00541115">
              <w:rPr>
                <w:rFonts w:ascii="Source Sans Pro" w:hAnsi="Source Sans Pro" w:cs="Calibri"/>
                <w:color w:val="000000"/>
                <w:sz w:val="20"/>
              </w:rPr>
              <w:t>.    ($100.28)</w:t>
            </w:r>
          </w:p>
        </w:tc>
        <w:tc>
          <w:tcPr>
            <w:tcW w:w="884" w:type="dxa"/>
            <w:vMerge w:val="restart"/>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3C6A2066" w14:textId="77777777">
            <w:pPr>
              <w:jc w:val="center"/>
              <w:rPr>
                <w:rFonts w:ascii="Source Sans Pro" w:hAnsi="Source Sans Pro" w:cs="Calibri"/>
                <w:color w:val="000000"/>
                <w:sz w:val="20"/>
              </w:rPr>
            </w:pPr>
            <w:r w:rsidRPr="00541115">
              <w:rPr>
                <w:rFonts w:ascii="Source Sans Pro" w:hAnsi="Source Sans Pro" w:cs="Calibri"/>
                <w:color w:val="000000"/>
                <w:sz w:val="20"/>
              </w:rPr>
              <w:t xml:space="preserve">Clerical </w:t>
            </w:r>
            <w:r w:rsidRPr="00541115">
              <w:rPr>
                <w:rFonts w:ascii="Source Sans Pro" w:hAnsi="Source Sans Pro" w:cs="Calibri"/>
                <w:color w:val="000000"/>
                <w:sz w:val="20"/>
              </w:rPr>
              <w:t xml:space="preserve">   (</w:t>
            </w:r>
            <w:r w:rsidRPr="00541115">
              <w:rPr>
                <w:rFonts w:ascii="Source Sans Pro" w:hAnsi="Source Sans Pro" w:cs="Calibri"/>
                <w:color w:val="000000"/>
                <w:sz w:val="20"/>
              </w:rPr>
              <w:t>$39.39)</w:t>
            </w:r>
          </w:p>
        </w:tc>
        <w:tc>
          <w:tcPr>
            <w:tcW w:w="1444" w:type="dxa"/>
            <w:vMerge/>
            <w:tcBorders>
              <w:top w:val="nil"/>
              <w:left w:val="single" w:sz="8" w:space="0" w:color="auto"/>
              <w:bottom w:val="single" w:sz="8" w:space="0" w:color="auto"/>
              <w:right w:val="single" w:sz="8" w:space="0" w:color="auto"/>
            </w:tcBorders>
            <w:vAlign w:val="center"/>
            <w:hideMark/>
          </w:tcPr>
          <w:p w:rsidR="00573D54" w:rsidRPr="00541115" w:rsidP="000D7670" w14:paraId="4E69BC86" w14:textId="77777777">
            <w:pPr>
              <w:rPr>
                <w:rFonts w:ascii="Source Sans Pro" w:hAnsi="Source Sans Pro" w:cs="Calibri"/>
                <w:color w:val="000000"/>
                <w:sz w:val="20"/>
              </w:rPr>
            </w:pPr>
          </w:p>
        </w:tc>
        <w:tc>
          <w:tcPr>
            <w:tcW w:w="222" w:type="dxa"/>
            <w:vAlign w:val="center"/>
            <w:hideMark/>
          </w:tcPr>
          <w:p w:rsidR="00573D54" w:rsidRPr="00541115" w:rsidP="000D7670" w14:paraId="497247DB" w14:textId="77777777">
            <w:pPr>
              <w:rPr>
                <w:rFonts w:ascii="Times New Roman" w:hAnsi="Times New Roman"/>
                <w:sz w:val="20"/>
              </w:rPr>
            </w:pPr>
          </w:p>
        </w:tc>
      </w:tr>
      <w:tr w14:paraId="122DC299" w14:textId="77777777" w:rsidTr="001614C5">
        <w:tblPrEx>
          <w:tblW w:w="10422" w:type="dxa"/>
          <w:tblCellMar>
            <w:top w:w="15" w:type="dxa"/>
          </w:tblCellMar>
          <w:tblLook w:val="04A0"/>
        </w:tblPrEx>
        <w:trPr>
          <w:trHeight w:val="840"/>
        </w:trPr>
        <w:tc>
          <w:tcPr>
            <w:tcW w:w="2203" w:type="dxa"/>
            <w:vMerge/>
            <w:tcBorders>
              <w:top w:val="nil"/>
              <w:left w:val="single" w:sz="8" w:space="0" w:color="auto"/>
              <w:bottom w:val="single" w:sz="8" w:space="0" w:color="auto"/>
              <w:right w:val="single" w:sz="8" w:space="0" w:color="auto"/>
            </w:tcBorders>
            <w:vAlign w:val="center"/>
            <w:hideMark/>
          </w:tcPr>
          <w:p w:rsidR="00573D54" w:rsidRPr="00541115" w:rsidP="000D7670" w14:paraId="44E950D6" w14:textId="77777777">
            <w:pPr>
              <w:rPr>
                <w:rFonts w:ascii="Source Sans Pro" w:hAnsi="Source Sans Pro" w:cs="Calibri"/>
                <w:color w:val="000000"/>
                <w:sz w:val="20"/>
              </w:rPr>
            </w:pPr>
          </w:p>
        </w:tc>
        <w:tc>
          <w:tcPr>
            <w:tcW w:w="833" w:type="dxa"/>
            <w:vMerge/>
            <w:tcBorders>
              <w:top w:val="nil"/>
              <w:left w:val="single" w:sz="8" w:space="0" w:color="auto"/>
              <w:bottom w:val="single" w:sz="8" w:space="0" w:color="auto"/>
              <w:right w:val="single" w:sz="8" w:space="0" w:color="auto"/>
            </w:tcBorders>
            <w:vAlign w:val="center"/>
            <w:hideMark/>
          </w:tcPr>
          <w:p w:rsidR="00573D54" w:rsidRPr="00541115" w:rsidP="000D7670" w14:paraId="45CF0C4A" w14:textId="77777777">
            <w:pPr>
              <w:rPr>
                <w:rFonts w:ascii="Source Sans Pro" w:hAnsi="Source Sans Pro" w:cs="Calibri"/>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573D54" w:rsidRPr="00541115" w:rsidP="000D7670" w14:paraId="331757F6" w14:textId="77777777">
            <w:pPr>
              <w:rPr>
                <w:rFonts w:ascii="Source Sans Pro" w:hAnsi="Source Sans Pro" w:cs="Calibri"/>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573D54" w:rsidRPr="00541115" w:rsidP="000D7670" w14:paraId="2196537B" w14:textId="77777777">
            <w:pPr>
              <w:rPr>
                <w:rFonts w:ascii="Source Sans Pro" w:hAnsi="Source Sans Pro" w:cs="Calibri"/>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573D54" w:rsidRPr="00541115" w:rsidP="000D7670" w14:paraId="1F0D6ABB" w14:textId="77777777">
            <w:pPr>
              <w:rPr>
                <w:rFonts w:ascii="Source Sans Pro" w:hAnsi="Source Sans Pro" w:cs="Calibri"/>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573D54" w:rsidRPr="00541115" w:rsidP="000D7670" w14:paraId="60C441A0" w14:textId="77777777">
            <w:pPr>
              <w:rPr>
                <w:rFonts w:ascii="Source Sans Pro" w:hAnsi="Source Sans Pro" w:cs="Calibri"/>
                <w:color w:val="000000"/>
                <w:sz w:val="20"/>
              </w:rPr>
            </w:pPr>
          </w:p>
        </w:tc>
        <w:tc>
          <w:tcPr>
            <w:tcW w:w="984" w:type="dxa"/>
            <w:vMerge/>
            <w:tcBorders>
              <w:top w:val="nil"/>
              <w:left w:val="single" w:sz="8" w:space="0" w:color="auto"/>
              <w:bottom w:val="single" w:sz="8" w:space="0" w:color="auto"/>
              <w:right w:val="single" w:sz="8" w:space="0" w:color="auto"/>
            </w:tcBorders>
            <w:vAlign w:val="center"/>
            <w:hideMark/>
          </w:tcPr>
          <w:p w:rsidR="00573D54" w:rsidRPr="00541115" w:rsidP="000D7670" w14:paraId="64169215" w14:textId="77777777">
            <w:pPr>
              <w:rPr>
                <w:rFonts w:ascii="Source Sans Pro" w:hAnsi="Source Sans Pro" w:cs="Calibri"/>
                <w:color w:val="000000"/>
                <w:sz w:val="20"/>
              </w:rPr>
            </w:pPr>
          </w:p>
        </w:tc>
        <w:tc>
          <w:tcPr>
            <w:tcW w:w="884" w:type="dxa"/>
            <w:vMerge/>
            <w:tcBorders>
              <w:top w:val="nil"/>
              <w:left w:val="single" w:sz="8" w:space="0" w:color="auto"/>
              <w:bottom w:val="single" w:sz="8" w:space="0" w:color="auto"/>
              <w:right w:val="single" w:sz="8" w:space="0" w:color="auto"/>
            </w:tcBorders>
            <w:vAlign w:val="center"/>
            <w:hideMark/>
          </w:tcPr>
          <w:p w:rsidR="00573D54" w:rsidRPr="00541115" w:rsidP="000D7670" w14:paraId="50EF0C3D" w14:textId="77777777">
            <w:pPr>
              <w:rPr>
                <w:rFonts w:ascii="Source Sans Pro" w:hAnsi="Source Sans Pro" w:cs="Calibri"/>
                <w:color w:val="000000"/>
                <w:sz w:val="20"/>
              </w:rPr>
            </w:pPr>
          </w:p>
        </w:tc>
        <w:tc>
          <w:tcPr>
            <w:tcW w:w="1444" w:type="dxa"/>
            <w:vMerge/>
            <w:tcBorders>
              <w:top w:val="nil"/>
              <w:left w:val="single" w:sz="8" w:space="0" w:color="auto"/>
              <w:bottom w:val="single" w:sz="8" w:space="0" w:color="auto"/>
              <w:right w:val="single" w:sz="8" w:space="0" w:color="auto"/>
            </w:tcBorders>
            <w:vAlign w:val="center"/>
            <w:hideMark/>
          </w:tcPr>
          <w:p w:rsidR="00573D54" w:rsidRPr="00541115" w:rsidP="000D7670" w14:paraId="7DB56D7A" w14:textId="77777777">
            <w:pPr>
              <w:rPr>
                <w:rFonts w:ascii="Source Sans Pro" w:hAnsi="Source Sans Pro" w:cs="Calibri"/>
                <w:color w:val="000000"/>
                <w:sz w:val="20"/>
              </w:rPr>
            </w:pPr>
          </w:p>
        </w:tc>
        <w:tc>
          <w:tcPr>
            <w:tcW w:w="222" w:type="dxa"/>
            <w:tcBorders>
              <w:top w:val="nil"/>
              <w:left w:val="nil"/>
              <w:bottom w:val="nil"/>
              <w:right w:val="nil"/>
            </w:tcBorders>
            <w:shd w:val="clear" w:color="auto" w:fill="auto"/>
            <w:noWrap/>
            <w:vAlign w:val="bottom"/>
            <w:hideMark/>
          </w:tcPr>
          <w:p w:rsidR="00573D54" w:rsidRPr="00541115" w:rsidP="000D7670" w14:paraId="3435E20C" w14:textId="77777777">
            <w:pPr>
              <w:jc w:val="center"/>
              <w:rPr>
                <w:rFonts w:ascii="Source Sans Pro" w:hAnsi="Source Sans Pro" w:cs="Calibri"/>
                <w:color w:val="000000"/>
                <w:sz w:val="20"/>
              </w:rPr>
            </w:pPr>
          </w:p>
        </w:tc>
      </w:tr>
      <w:tr w14:paraId="065AB080" w14:textId="77777777" w:rsidTr="001614C5">
        <w:tblPrEx>
          <w:tblW w:w="10422" w:type="dxa"/>
          <w:tblCellMar>
            <w:top w:w="15" w:type="dxa"/>
          </w:tblCellMar>
          <w:tblLook w:val="04A0"/>
        </w:tblPrEx>
        <w:trPr>
          <w:trHeight w:val="2496"/>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008F3211" w14:textId="77777777">
            <w:pPr>
              <w:rPr>
                <w:rFonts w:ascii="Source Sans Pro" w:hAnsi="Source Sans Pro" w:cs="Calibri"/>
                <w:color w:val="000000"/>
                <w:sz w:val="20"/>
              </w:rPr>
            </w:pPr>
            <w:r w:rsidRPr="00541115">
              <w:rPr>
                <w:rFonts w:ascii="Source Sans Pro" w:hAnsi="Source Sans Pro" w:cs="Calibri"/>
                <w:color w:val="000000"/>
                <w:sz w:val="20"/>
              </w:rPr>
              <w:t xml:space="preserve">1. Financial Institution Policies and Procedures for Ensuring Employee-Mortgage Loan Originator Compliance </w:t>
            </w:r>
            <w:r w:rsidRPr="00541115">
              <w:rPr>
                <w:rFonts w:ascii="Source Sans Pro" w:hAnsi="Source Sans Pro" w:cs="Calibri"/>
                <w:color w:val="000000"/>
                <w:sz w:val="20"/>
              </w:rPr>
              <w:t>With</w:t>
            </w:r>
            <w:r w:rsidRPr="00541115">
              <w:rPr>
                <w:rFonts w:ascii="Source Sans Pro" w:hAnsi="Source Sans Pro" w:cs="Calibri"/>
                <w:color w:val="000000"/>
                <w:sz w:val="20"/>
              </w:rPr>
              <w:t xml:space="preserve"> SAFE Act Requirements – New Entrant,</w:t>
            </w:r>
            <w:r w:rsidRPr="00541115">
              <w:rPr>
                <w:rFonts w:ascii="Source Sans Pro" w:hAnsi="Source Sans Pro" w:cs="Calibri"/>
                <w:color w:val="000000"/>
                <w:sz w:val="20"/>
              </w:rPr>
              <w:br/>
              <w:t>12 CFR 1007.104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1080586C" w14:textId="77777777">
            <w:pPr>
              <w:jc w:val="center"/>
              <w:rPr>
                <w:rFonts w:ascii="Source Sans Pro" w:hAnsi="Source Sans Pro" w:cs="Calibri"/>
                <w:color w:val="000000"/>
                <w:sz w:val="20"/>
              </w:rPr>
            </w:pPr>
            <w:r w:rsidRPr="00541115">
              <w:rPr>
                <w:rFonts w:ascii="Source Sans Pro" w:hAnsi="Source Sans Pro" w:cs="Calibri"/>
                <w:color w:val="000000"/>
                <w:sz w:val="20"/>
              </w:rPr>
              <w:t>0.02</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26CCDB16" w14:textId="77777777">
            <w:pPr>
              <w:jc w:val="center"/>
              <w:rPr>
                <w:rFonts w:ascii="Source Sans Pro" w:hAnsi="Source Sans Pro" w:cs="Calibri"/>
                <w:color w:val="000000"/>
                <w:sz w:val="20"/>
              </w:rPr>
            </w:pPr>
            <w:r w:rsidRPr="00541115">
              <w:rPr>
                <w:rFonts w:ascii="Source Sans Pro" w:hAnsi="Source Sans Pro" w:cs="Calibri"/>
                <w:color w:val="000000"/>
                <w:sz w:val="20"/>
              </w:rPr>
              <w:t>10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1BFDB4A5"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6F07F15F" w14:textId="77777777">
            <w:pPr>
              <w:jc w:val="center"/>
              <w:rPr>
                <w:rFonts w:ascii="Source Sans Pro" w:hAnsi="Source Sans Pro" w:cs="Calibri"/>
                <w:color w:val="000000"/>
                <w:sz w:val="20"/>
              </w:rPr>
            </w:pPr>
            <w:r w:rsidRPr="00541115">
              <w:rPr>
                <w:rFonts w:ascii="Source Sans Pro" w:hAnsi="Source Sans Pro" w:cs="Calibri"/>
                <w:color w:val="000000"/>
                <w:sz w:val="20"/>
              </w:rPr>
              <w:t>80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1EC3C063"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56B8635D"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7AC8D8F9" w14:textId="77777777">
            <w:pPr>
              <w:jc w:val="center"/>
              <w:rPr>
                <w:rFonts w:ascii="Source Sans Pro" w:hAnsi="Source Sans Pro" w:cs="Calibri"/>
                <w:color w:val="000000"/>
                <w:sz w:val="20"/>
              </w:rPr>
            </w:pPr>
            <w:r w:rsidRPr="00541115">
              <w:rPr>
                <w:rFonts w:ascii="Source Sans Pro" w:hAnsi="Source Sans Pro" w:cs="Calibri"/>
                <w:color w:val="000000"/>
                <w:sz w:val="20"/>
              </w:rPr>
              <w:t>10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0638C1C5"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$80.21 </w:t>
            </w:r>
          </w:p>
        </w:tc>
        <w:tc>
          <w:tcPr>
            <w:tcW w:w="222" w:type="dxa"/>
            <w:vAlign w:val="center"/>
            <w:hideMark/>
          </w:tcPr>
          <w:p w:rsidR="00573D54" w:rsidRPr="00541115" w:rsidP="000D7670" w14:paraId="4A6E590A" w14:textId="77777777">
            <w:pPr>
              <w:rPr>
                <w:rFonts w:ascii="Times New Roman" w:hAnsi="Times New Roman"/>
                <w:sz w:val="20"/>
              </w:rPr>
            </w:pPr>
          </w:p>
        </w:tc>
      </w:tr>
      <w:tr w14:paraId="17317668" w14:textId="77777777" w:rsidTr="001614C5">
        <w:tblPrEx>
          <w:tblW w:w="10422" w:type="dxa"/>
          <w:tblCellMar>
            <w:top w:w="15" w:type="dxa"/>
          </w:tblCellMar>
          <w:tblLook w:val="04A0"/>
        </w:tblPrEx>
        <w:trPr>
          <w:trHeight w:val="2220"/>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6031C623" w14:textId="77777777">
            <w:pPr>
              <w:rPr>
                <w:rFonts w:ascii="Source Sans Pro" w:hAnsi="Source Sans Pro" w:cs="Calibri"/>
                <w:color w:val="000000"/>
                <w:sz w:val="20"/>
              </w:rPr>
            </w:pPr>
            <w:r w:rsidRPr="00541115">
              <w:rPr>
                <w:rFonts w:ascii="Source Sans Pro" w:hAnsi="Source Sans Pro" w:cs="Calibri"/>
                <w:color w:val="000000"/>
                <w:sz w:val="20"/>
              </w:rPr>
              <w:t xml:space="preserve">2. Financial Institution Policies and Procedures for Ensuring Employee-Mortgage Loan Originator Compliance </w:t>
            </w:r>
            <w:r w:rsidRPr="00541115">
              <w:rPr>
                <w:rFonts w:ascii="Source Sans Pro" w:hAnsi="Source Sans Pro" w:cs="Calibri"/>
                <w:color w:val="000000"/>
                <w:sz w:val="20"/>
              </w:rPr>
              <w:t>With</w:t>
            </w:r>
            <w:r w:rsidRPr="00541115">
              <w:rPr>
                <w:rFonts w:ascii="Source Sans Pro" w:hAnsi="Source Sans Pro" w:cs="Calibri"/>
                <w:color w:val="000000"/>
                <w:sz w:val="20"/>
              </w:rPr>
              <w:t xml:space="preserve"> SAFE Act Requirements – Ongoing,</w:t>
            </w:r>
            <w:r w:rsidRPr="00541115">
              <w:rPr>
                <w:rFonts w:ascii="Source Sans Pro" w:hAnsi="Source Sans Pro" w:cs="Calibri"/>
                <w:color w:val="000000"/>
                <w:sz w:val="20"/>
              </w:rPr>
              <w:br/>
              <w:t>12 CFR 1007.104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708B09EC" w14:textId="77777777">
            <w:pPr>
              <w:jc w:val="center"/>
              <w:rPr>
                <w:rFonts w:ascii="Source Sans Pro" w:hAnsi="Source Sans Pro" w:cs="Calibri"/>
                <w:color w:val="000000"/>
                <w:sz w:val="20"/>
              </w:rPr>
            </w:pPr>
            <w:r w:rsidRPr="00541115">
              <w:rPr>
                <w:rFonts w:ascii="Source Sans Pro" w:hAnsi="Source Sans Pro" w:cs="Calibri"/>
                <w:color w:val="000000"/>
                <w:sz w:val="20"/>
              </w:rPr>
              <w:t>1.65</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2108A171" w14:textId="77777777">
            <w:pPr>
              <w:jc w:val="center"/>
              <w:rPr>
                <w:rFonts w:ascii="Source Sans Pro" w:hAnsi="Source Sans Pro" w:cs="Calibri"/>
                <w:color w:val="000000"/>
                <w:sz w:val="20"/>
              </w:rPr>
            </w:pPr>
            <w:r w:rsidRPr="00541115">
              <w:rPr>
                <w:rFonts w:ascii="Source Sans Pro" w:hAnsi="Source Sans Pro" w:cs="Calibri"/>
                <w:color w:val="000000"/>
                <w:sz w:val="20"/>
              </w:rPr>
              <w:t>10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63262585"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497A455E" w14:textId="77777777">
            <w:pPr>
              <w:jc w:val="center"/>
              <w:rPr>
                <w:rFonts w:ascii="Source Sans Pro" w:hAnsi="Source Sans Pro" w:cs="Calibri"/>
                <w:color w:val="000000"/>
                <w:sz w:val="20"/>
              </w:rPr>
            </w:pPr>
            <w:r w:rsidRPr="00541115">
              <w:rPr>
                <w:rFonts w:ascii="Source Sans Pro" w:hAnsi="Source Sans Pro" w:cs="Calibri"/>
                <w:color w:val="000000"/>
                <w:sz w:val="20"/>
              </w:rPr>
              <w:t>80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72C4101F"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66AB6175"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57C6AA6E" w14:textId="77777777">
            <w:pPr>
              <w:jc w:val="center"/>
              <w:rPr>
                <w:rFonts w:ascii="Source Sans Pro" w:hAnsi="Source Sans Pro" w:cs="Calibri"/>
                <w:color w:val="000000"/>
                <w:sz w:val="20"/>
              </w:rPr>
            </w:pPr>
            <w:r w:rsidRPr="00541115">
              <w:rPr>
                <w:rFonts w:ascii="Source Sans Pro" w:hAnsi="Source Sans Pro" w:cs="Calibri"/>
                <w:color w:val="000000"/>
                <w:sz w:val="20"/>
              </w:rPr>
              <w:t>10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7B85317F"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$80.21 </w:t>
            </w:r>
          </w:p>
        </w:tc>
        <w:tc>
          <w:tcPr>
            <w:tcW w:w="222" w:type="dxa"/>
            <w:vAlign w:val="center"/>
            <w:hideMark/>
          </w:tcPr>
          <w:p w:rsidR="00573D54" w:rsidRPr="00541115" w:rsidP="000D7670" w14:paraId="3FC8D8C9" w14:textId="77777777">
            <w:pPr>
              <w:rPr>
                <w:rFonts w:ascii="Times New Roman" w:hAnsi="Times New Roman"/>
                <w:sz w:val="20"/>
              </w:rPr>
            </w:pPr>
          </w:p>
        </w:tc>
      </w:tr>
      <w:tr w14:paraId="7D161278" w14:textId="77777777" w:rsidTr="001614C5">
        <w:tblPrEx>
          <w:tblW w:w="10422" w:type="dxa"/>
          <w:tblCellMar>
            <w:top w:w="15" w:type="dxa"/>
          </w:tblCellMar>
          <w:tblLook w:val="04A0"/>
        </w:tblPrEx>
        <w:trPr>
          <w:trHeight w:val="1092"/>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5F983006" w14:textId="77777777">
            <w:pPr>
              <w:rPr>
                <w:rFonts w:ascii="Source Sans Pro" w:hAnsi="Source Sans Pro" w:cs="Calibri"/>
                <w:color w:val="000000"/>
                <w:sz w:val="20"/>
              </w:rPr>
            </w:pPr>
            <w:r w:rsidRPr="00541115">
              <w:rPr>
                <w:rFonts w:ascii="Source Sans Pro" w:hAnsi="Source Sans Pro" w:cs="Calibri"/>
                <w:color w:val="000000"/>
                <w:sz w:val="20"/>
              </w:rPr>
              <w:t>3. Financial Institution Procedures to Track and Monitor Compliance with SAFE Act Compliance – New Entrant,</w:t>
            </w:r>
            <w:r w:rsidRPr="00541115">
              <w:rPr>
                <w:rFonts w:ascii="Source Sans Pro" w:hAnsi="Source Sans Pro" w:cs="Calibri"/>
                <w:color w:val="000000"/>
                <w:sz w:val="20"/>
              </w:rPr>
              <w:br/>
              <w:t>12 CFR 1007.104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6C773184" w14:textId="77777777">
            <w:pPr>
              <w:jc w:val="center"/>
              <w:rPr>
                <w:rFonts w:ascii="Source Sans Pro" w:hAnsi="Source Sans Pro" w:cs="Calibri"/>
                <w:color w:val="000000"/>
                <w:sz w:val="20"/>
              </w:rPr>
            </w:pPr>
            <w:r w:rsidRPr="00541115">
              <w:rPr>
                <w:rFonts w:ascii="Source Sans Pro" w:hAnsi="Source Sans Pro" w:cs="Calibri"/>
                <w:color w:val="000000"/>
                <w:sz w:val="20"/>
              </w:rPr>
              <w:t>0.07</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33B37EE7"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081837C4"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2420177F" w14:textId="77777777">
            <w:pPr>
              <w:jc w:val="center"/>
              <w:rPr>
                <w:rFonts w:ascii="Source Sans Pro" w:hAnsi="Source Sans Pro" w:cs="Calibri"/>
                <w:color w:val="000000"/>
                <w:sz w:val="20"/>
              </w:rPr>
            </w:pPr>
            <w:r w:rsidRPr="00541115">
              <w:rPr>
                <w:rFonts w:ascii="Source Sans Pro" w:hAnsi="Source Sans Pro" w:cs="Calibri"/>
                <w:color w:val="000000"/>
                <w:sz w:val="20"/>
              </w:rPr>
              <w:t>70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7E322CF0"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65F2F02A"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33F47A90" w14:textId="77777777">
            <w:pPr>
              <w:jc w:val="center"/>
              <w:rPr>
                <w:rFonts w:ascii="Source Sans Pro" w:hAnsi="Source Sans Pro" w:cs="Calibri"/>
                <w:color w:val="000000"/>
                <w:sz w:val="20"/>
              </w:rPr>
            </w:pPr>
            <w:r w:rsidRPr="00541115">
              <w:rPr>
                <w:rFonts w:ascii="Source Sans Pro" w:hAnsi="Source Sans Pro" w:cs="Calibri"/>
                <w:color w:val="000000"/>
                <w:sz w:val="20"/>
              </w:rPr>
              <w:t>30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450EB117"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$65.77 </w:t>
            </w:r>
          </w:p>
        </w:tc>
        <w:tc>
          <w:tcPr>
            <w:tcW w:w="222" w:type="dxa"/>
            <w:vAlign w:val="center"/>
            <w:hideMark/>
          </w:tcPr>
          <w:p w:rsidR="00573D54" w:rsidRPr="00541115" w:rsidP="000D7670" w14:paraId="5FACA3D5" w14:textId="77777777">
            <w:pPr>
              <w:rPr>
                <w:rFonts w:ascii="Times New Roman" w:hAnsi="Times New Roman"/>
                <w:sz w:val="20"/>
              </w:rPr>
            </w:pPr>
          </w:p>
        </w:tc>
      </w:tr>
      <w:tr w14:paraId="0236845E" w14:textId="77777777" w:rsidTr="001614C5">
        <w:tblPrEx>
          <w:tblW w:w="10422" w:type="dxa"/>
          <w:tblCellMar>
            <w:top w:w="15" w:type="dxa"/>
          </w:tblCellMar>
          <w:tblLook w:val="04A0"/>
        </w:tblPrEx>
        <w:trPr>
          <w:trHeight w:val="1944"/>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52CF7B9B" w14:textId="77777777">
            <w:pPr>
              <w:rPr>
                <w:rFonts w:ascii="Source Sans Pro" w:hAnsi="Source Sans Pro" w:cs="Calibri"/>
                <w:color w:val="000000"/>
                <w:sz w:val="20"/>
              </w:rPr>
            </w:pPr>
            <w:r w:rsidRPr="00541115">
              <w:rPr>
                <w:rFonts w:ascii="Source Sans Pro" w:hAnsi="Source Sans Pro" w:cs="Calibri"/>
                <w:color w:val="000000"/>
                <w:sz w:val="20"/>
              </w:rPr>
              <w:t>4. Financial Institution Procedures to Track and Monitor Compliance with SAFE Act Compliance – Ongoing,</w:t>
            </w:r>
            <w:r w:rsidRPr="00541115">
              <w:rPr>
                <w:rFonts w:ascii="Source Sans Pro" w:hAnsi="Source Sans Pro" w:cs="Calibri"/>
                <w:color w:val="000000"/>
                <w:sz w:val="20"/>
              </w:rPr>
              <w:br/>
              <w:t>12 CFR 1007.104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7CC5C671" w14:textId="77777777">
            <w:pPr>
              <w:jc w:val="center"/>
              <w:rPr>
                <w:rFonts w:ascii="Source Sans Pro" w:hAnsi="Source Sans Pro" w:cs="Calibri"/>
                <w:color w:val="000000"/>
                <w:sz w:val="20"/>
              </w:rPr>
            </w:pPr>
            <w:r w:rsidRPr="00541115">
              <w:rPr>
                <w:rFonts w:ascii="Source Sans Pro" w:hAnsi="Source Sans Pro" w:cs="Calibri"/>
                <w:color w:val="000000"/>
                <w:sz w:val="20"/>
              </w:rPr>
              <w:t>1.65</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4A5AD4C9"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19A2070D"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77F54401" w14:textId="77777777">
            <w:pPr>
              <w:jc w:val="center"/>
              <w:rPr>
                <w:rFonts w:ascii="Source Sans Pro" w:hAnsi="Source Sans Pro" w:cs="Calibri"/>
                <w:color w:val="000000"/>
                <w:sz w:val="20"/>
              </w:rPr>
            </w:pPr>
            <w:r w:rsidRPr="00541115">
              <w:rPr>
                <w:rFonts w:ascii="Source Sans Pro" w:hAnsi="Source Sans Pro" w:cs="Calibri"/>
                <w:color w:val="000000"/>
                <w:sz w:val="20"/>
              </w:rPr>
              <w:t>70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173EC2BE"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5DC1A78C"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69458C5C" w14:textId="77777777">
            <w:pPr>
              <w:jc w:val="center"/>
              <w:rPr>
                <w:rFonts w:ascii="Source Sans Pro" w:hAnsi="Source Sans Pro" w:cs="Calibri"/>
                <w:color w:val="000000"/>
                <w:sz w:val="20"/>
              </w:rPr>
            </w:pPr>
            <w:r w:rsidRPr="00541115">
              <w:rPr>
                <w:rFonts w:ascii="Source Sans Pro" w:hAnsi="Source Sans Pro" w:cs="Calibri"/>
                <w:color w:val="000000"/>
                <w:sz w:val="20"/>
              </w:rPr>
              <w:t>30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2C2691D8"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$65.77 </w:t>
            </w:r>
          </w:p>
        </w:tc>
        <w:tc>
          <w:tcPr>
            <w:tcW w:w="222" w:type="dxa"/>
            <w:vAlign w:val="center"/>
            <w:hideMark/>
          </w:tcPr>
          <w:p w:rsidR="00573D54" w:rsidRPr="00541115" w:rsidP="000D7670" w14:paraId="5EB5DEF0" w14:textId="77777777">
            <w:pPr>
              <w:rPr>
                <w:rFonts w:ascii="Times New Roman" w:hAnsi="Times New Roman"/>
                <w:sz w:val="20"/>
              </w:rPr>
            </w:pPr>
          </w:p>
        </w:tc>
      </w:tr>
      <w:tr w14:paraId="671CA2BF" w14:textId="77777777" w:rsidTr="001614C5">
        <w:tblPrEx>
          <w:tblW w:w="10422" w:type="dxa"/>
          <w:tblCellMar>
            <w:top w:w="15" w:type="dxa"/>
          </w:tblCellMar>
          <w:tblLook w:val="04A0"/>
        </w:tblPrEx>
        <w:trPr>
          <w:trHeight w:val="2772"/>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0080C233" w14:textId="77777777">
            <w:pPr>
              <w:rPr>
                <w:rFonts w:ascii="Source Sans Pro" w:hAnsi="Source Sans Pro" w:cs="Calibri"/>
                <w:color w:val="000000"/>
                <w:sz w:val="20"/>
              </w:rPr>
            </w:pPr>
            <w:r w:rsidRPr="00541115">
              <w:rPr>
                <w:rFonts w:ascii="Source Sans Pro" w:hAnsi="Source Sans Pro" w:cs="Calibri"/>
                <w:color w:val="000000"/>
                <w:sz w:val="20"/>
              </w:rPr>
              <w:t>5. Financial Institution Procedures for the Collection and Maintenance of Employee Mortgage Loan Originator's Criminal History Background Reports – New Entrant,</w:t>
            </w:r>
            <w:r w:rsidRPr="00541115">
              <w:rPr>
                <w:rFonts w:ascii="Source Sans Pro" w:hAnsi="Source Sans Pro" w:cs="Calibri"/>
                <w:color w:val="000000"/>
                <w:sz w:val="20"/>
              </w:rPr>
              <w:br/>
              <w:t>12 CFR 1007.104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66A6CCE9" w14:textId="77777777">
            <w:pPr>
              <w:jc w:val="center"/>
              <w:rPr>
                <w:rFonts w:ascii="Source Sans Pro" w:hAnsi="Source Sans Pro" w:cs="Calibri"/>
                <w:color w:val="000000"/>
                <w:sz w:val="20"/>
              </w:rPr>
            </w:pPr>
            <w:r w:rsidRPr="00541115">
              <w:rPr>
                <w:rFonts w:ascii="Source Sans Pro" w:hAnsi="Source Sans Pro" w:cs="Calibri"/>
                <w:color w:val="000000"/>
                <w:sz w:val="20"/>
              </w:rPr>
              <w:t>0.02</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280FE1D4"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04574AED"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23E20F76" w14:textId="77777777">
            <w:pPr>
              <w:jc w:val="center"/>
              <w:rPr>
                <w:rFonts w:ascii="Source Sans Pro" w:hAnsi="Source Sans Pro" w:cs="Calibri"/>
                <w:color w:val="000000"/>
                <w:sz w:val="20"/>
              </w:rPr>
            </w:pPr>
            <w:r w:rsidRPr="00541115">
              <w:rPr>
                <w:rFonts w:ascii="Source Sans Pro" w:hAnsi="Source Sans Pro" w:cs="Calibri"/>
                <w:color w:val="000000"/>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3277DF89"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3BC7510E"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687D4818" w14:textId="77777777">
            <w:pPr>
              <w:jc w:val="center"/>
              <w:rPr>
                <w:rFonts w:ascii="Source Sans Pro" w:hAnsi="Source Sans Pro" w:cs="Calibri"/>
                <w:color w:val="000000"/>
                <w:sz w:val="20"/>
              </w:rPr>
            </w:pPr>
            <w:r w:rsidRPr="00541115">
              <w:rPr>
                <w:rFonts w:ascii="Source Sans Pro" w:hAnsi="Source Sans Pro" w:cs="Calibri"/>
                <w:color w:val="000000"/>
                <w:sz w:val="20"/>
              </w:rPr>
              <w:t>50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2943C1E6"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$58.23 </w:t>
            </w:r>
          </w:p>
        </w:tc>
        <w:tc>
          <w:tcPr>
            <w:tcW w:w="222" w:type="dxa"/>
            <w:vAlign w:val="center"/>
            <w:hideMark/>
          </w:tcPr>
          <w:p w:rsidR="00573D54" w:rsidRPr="00541115" w:rsidP="000D7670" w14:paraId="27724DBA" w14:textId="77777777">
            <w:pPr>
              <w:rPr>
                <w:rFonts w:ascii="Times New Roman" w:hAnsi="Times New Roman"/>
                <w:sz w:val="20"/>
              </w:rPr>
            </w:pPr>
          </w:p>
        </w:tc>
      </w:tr>
      <w:tr w14:paraId="5222846B" w14:textId="77777777" w:rsidTr="001614C5">
        <w:tblPrEx>
          <w:tblW w:w="10422" w:type="dxa"/>
          <w:tblCellMar>
            <w:top w:w="15" w:type="dxa"/>
          </w:tblCellMar>
          <w:tblLook w:val="04A0"/>
        </w:tblPrEx>
        <w:trPr>
          <w:trHeight w:val="2772"/>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509C72D8" w14:textId="77777777">
            <w:pPr>
              <w:rPr>
                <w:rFonts w:ascii="Source Sans Pro" w:hAnsi="Source Sans Pro" w:cs="Calibri"/>
                <w:color w:val="000000"/>
                <w:sz w:val="20"/>
              </w:rPr>
            </w:pPr>
            <w:r w:rsidRPr="00541115">
              <w:rPr>
                <w:rFonts w:ascii="Source Sans Pro" w:hAnsi="Source Sans Pro" w:cs="Calibri"/>
                <w:color w:val="000000"/>
                <w:sz w:val="20"/>
              </w:rPr>
              <w:t>6. Financial Institution Procedures for the Collection and Maintenance of Employee Mortgage Loan Originator's Criminal History Background Reports – Ongoing,</w:t>
            </w:r>
            <w:r w:rsidRPr="00541115">
              <w:rPr>
                <w:rFonts w:ascii="Source Sans Pro" w:hAnsi="Source Sans Pro" w:cs="Calibri"/>
                <w:color w:val="000000"/>
                <w:sz w:val="20"/>
              </w:rPr>
              <w:br/>
              <w:t>12 CFR 1007.104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1CEEB32B" w14:textId="77777777">
            <w:pPr>
              <w:jc w:val="center"/>
              <w:rPr>
                <w:rFonts w:ascii="Source Sans Pro" w:hAnsi="Source Sans Pro" w:cs="Calibri"/>
                <w:color w:val="000000"/>
                <w:sz w:val="20"/>
              </w:rPr>
            </w:pPr>
            <w:r w:rsidRPr="00541115">
              <w:rPr>
                <w:rFonts w:ascii="Source Sans Pro" w:hAnsi="Source Sans Pro" w:cs="Calibri"/>
                <w:color w:val="000000"/>
                <w:sz w:val="20"/>
              </w:rPr>
              <w:t>1.65</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0C5C4547"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4ADA614D"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36D39CC4" w14:textId="77777777">
            <w:pPr>
              <w:jc w:val="center"/>
              <w:rPr>
                <w:rFonts w:ascii="Source Sans Pro" w:hAnsi="Source Sans Pro" w:cs="Calibri"/>
                <w:color w:val="000000"/>
                <w:sz w:val="20"/>
              </w:rPr>
            </w:pPr>
            <w:r w:rsidRPr="00541115">
              <w:rPr>
                <w:rFonts w:ascii="Source Sans Pro" w:hAnsi="Source Sans Pro" w:cs="Calibri"/>
                <w:color w:val="000000"/>
                <w:sz w:val="20"/>
              </w:rPr>
              <w:t>50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6F31E437"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680D0A17"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5748F4C9" w14:textId="77777777">
            <w:pPr>
              <w:jc w:val="center"/>
              <w:rPr>
                <w:rFonts w:ascii="Source Sans Pro" w:hAnsi="Source Sans Pro" w:cs="Calibri"/>
                <w:color w:val="000000"/>
                <w:sz w:val="20"/>
              </w:rPr>
            </w:pPr>
            <w:r w:rsidRPr="00541115">
              <w:rPr>
                <w:rFonts w:ascii="Source Sans Pro" w:hAnsi="Source Sans Pro" w:cs="Calibri"/>
                <w:color w:val="000000"/>
                <w:sz w:val="20"/>
              </w:rPr>
              <w:t>50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24E3BA75"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$58.23 </w:t>
            </w:r>
          </w:p>
        </w:tc>
        <w:tc>
          <w:tcPr>
            <w:tcW w:w="222" w:type="dxa"/>
            <w:vAlign w:val="center"/>
            <w:hideMark/>
          </w:tcPr>
          <w:p w:rsidR="00573D54" w:rsidRPr="00541115" w:rsidP="000D7670" w14:paraId="4F74E282" w14:textId="77777777">
            <w:pPr>
              <w:rPr>
                <w:rFonts w:ascii="Times New Roman" w:hAnsi="Times New Roman"/>
                <w:sz w:val="20"/>
              </w:rPr>
            </w:pPr>
          </w:p>
        </w:tc>
      </w:tr>
      <w:tr w14:paraId="773DBE8A" w14:textId="77777777" w:rsidTr="001614C5">
        <w:tblPrEx>
          <w:tblW w:w="10422" w:type="dxa"/>
          <w:tblCellMar>
            <w:top w:w="15" w:type="dxa"/>
          </w:tblCellMar>
          <w:tblLook w:val="04A0"/>
        </w:tblPrEx>
        <w:trPr>
          <w:trHeight w:val="1944"/>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113EEBFE" w14:textId="77777777">
            <w:pPr>
              <w:rPr>
                <w:rFonts w:ascii="Source Sans Pro" w:hAnsi="Source Sans Pro" w:cs="Calibri"/>
                <w:color w:val="000000"/>
                <w:sz w:val="20"/>
              </w:rPr>
            </w:pPr>
            <w:r w:rsidRPr="00541115">
              <w:rPr>
                <w:rFonts w:ascii="Source Sans Pro" w:hAnsi="Source Sans Pro" w:cs="Calibri"/>
                <w:color w:val="000000"/>
                <w:sz w:val="20"/>
              </w:rPr>
              <w:t>7. Financial Institution Procedures for Public Disclosure of Mortgage Loan Originator's Unique Identifier – New Entrant,</w:t>
            </w:r>
            <w:r w:rsidRPr="00541115">
              <w:rPr>
                <w:rFonts w:ascii="Source Sans Pro" w:hAnsi="Source Sans Pro" w:cs="Calibri"/>
                <w:color w:val="000000"/>
                <w:sz w:val="20"/>
              </w:rPr>
              <w:br/>
              <w:t>12 CFR 1007.104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35F03110" w14:textId="77777777">
            <w:pPr>
              <w:jc w:val="center"/>
              <w:rPr>
                <w:rFonts w:ascii="Source Sans Pro" w:hAnsi="Source Sans Pro" w:cs="Calibri"/>
                <w:color w:val="000000"/>
                <w:sz w:val="20"/>
              </w:rPr>
            </w:pPr>
            <w:r w:rsidRPr="00541115">
              <w:rPr>
                <w:rFonts w:ascii="Source Sans Pro" w:hAnsi="Source Sans Pro" w:cs="Calibri"/>
                <w:color w:val="000000"/>
                <w:sz w:val="20"/>
              </w:rPr>
              <w:t>0.03</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5A96F8B8"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6CD096BD"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1933C015" w14:textId="77777777">
            <w:pPr>
              <w:jc w:val="center"/>
              <w:rPr>
                <w:rFonts w:ascii="Source Sans Pro" w:hAnsi="Source Sans Pro" w:cs="Calibri"/>
                <w:color w:val="000000"/>
                <w:sz w:val="20"/>
              </w:rPr>
            </w:pPr>
            <w:r w:rsidRPr="00541115">
              <w:rPr>
                <w:rFonts w:ascii="Source Sans Pro" w:hAnsi="Source Sans Pro" w:cs="Calibri"/>
                <w:color w:val="000000"/>
                <w:sz w:val="20"/>
              </w:rPr>
              <w:t>40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715C9D00"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08FFEBC2"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5D043489" w14:textId="77777777">
            <w:pPr>
              <w:jc w:val="center"/>
              <w:rPr>
                <w:rFonts w:ascii="Source Sans Pro" w:hAnsi="Source Sans Pro" w:cs="Calibri"/>
                <w:color w:val="000000"/>
                <w:sz w:val="20"/>
              </w:rPr>
            </w:pPr>
            <w:r w:rsidRPr="00541115">
              <w:rPr>
                <w:rFonts w:ascii="Source Sans Pro" w:hAnsi="Source Sans Pro" w:cs="Calibri"/>
                <w:color w:val="000000"/>
                <w:sz w:val="20"/>
              </w:rPr>
              <w:t>60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05605B6B"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$54.46 </w:t>
            </w:r>
          </w:p>
        </w:tc>
        <w:tc>
          <w:tcPr>
            <w:tcW w:w="222" w:type="dxa"/>
            <w:vAlign w:val="center"/>
            <w:hideMark/>
          </w:tcPr>
          <w:p w:rsidR="00573D54" w:rsidRPr="00541115" w:rsidP="000D7670" w14:paraId="5C9FBDB5" w14:textId="77777777">
            <w:pPr>
              <w:rPr>
                <w:rFonts w:ascii="Times New Roman" w:hAnsi="Times New Roman"/>
                <w:sz w:val="20"/>
              </w:rPr>
            </w:pPr>
          </w:p>
        </w:tc>
      </w:tr>
      <w:tr w14:paraId="72F20D06" w14:textId="77777777" w:rsidTr="001614C5">
        <w:tblPrEx>
          <w:tblW w:w="10422" w:type="dxa"/>
          <w:tblCellMar>
            <w:top w:w="15" w:type="dxa"/>
          </w:tblCellMar>
          <w:tblLook w:val="04A0"/>
        </w:tblPrEx>
        <w:trPr>
          <w:trHeight w:val="1944"/>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16C3A2A8" w14:textId="77777777">
            <w:pPr>
              <w:rPr>
                <w:rFonts w:ascii="Source Sans Pro" w:hAnsi="Source Sans Pro" w:cs="Calibri"/>
                <w:color w:val="000000"/>
                <w:sz w:val="20"/>
              </w:rPr>
            </w:pPr>
            <w:r w:rsidRPr="00541115">
              <w:rPr>
                <w:rFonts w:ascii="Source Sans Pro" w:hAnsi="Source Sans Pro" w:cs="Calibri"/>
                <w:color w:val="000000"/>
                <w:sz w:val="20"/>
              </w:rPr>
              <w:t>8. Financial Institution Procedures for Public Disclosure of Mortgage Loan Originator's Unique Identifier – Ongoing,</w:t>
            </w:r>
            <w:r w:rsidRPr="00541115">
              <w:rPr>
                <w:rFonts w:ascii="Source Sans Pro" w:hAnsi="Source Sans Pro" w:cs="Calibri"/>
                <w:color w:val="000000"/>
                <w:sz w:val="20"/>
              </w:rPr>
              <w:br/>
              <w:t>12 CFR 1007.104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6A43B782" w14:textId="77777777">
            <w:pPr>
              <w:jc w:val="center"/>
              <w:rPr>
                <w:rFonts w:ascii="Source Sans Pro" w:hAnsi="Source Sans Pro" w:cs="Calibri"/>
                <w:color w:val="000000"/>
                <w:sz w:val="20"/>
              </w:rPr>
            </w:pPr>
            <w:r w:rsidRPr="00541115">
              <w:rPr>
                <w:rFonts w:ascii="Source Sans Pro" w:hAnsi="Source Sans Pro" w:cs="Calibri"/>
                <w:color w:val="000000"/>
                <w:sz w:val="20"/>
              </w:rPr>
              <w:t>1.65</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42E3E412"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3BB16B51"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206EE808" w14:textId="77777777">
            <w:pPr>
              <w:jc w:val="center"/>
              <w:rPr>
                <w:rFonts w:ascii="Source Sans Pro" w:hAnsi="Source Sans Pro" w:cs="Calibri"/>
                <w:color w:val="000000"/>
                <w:sz w:val="20"/>
              </w:rPr>
            </w:pPr>
            <w:r w:rsidRPr="00541115">
              <w:rPr>
                <w:rFonts w:ascii="Source Sans Pro" w:hAnsi="Source Sans Pro" w:cs="Calibri"/>
                <w:color w:val="000000"/>
                <w:sz w:val="20"/>
              </w:rPr>
              <w:t>40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59C83A12"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7168A319"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5645D8C3" w14:textId="77777777">
            <w:pPr>
              <w:jc w:val="center"/>
              <w:rPr>
                <w:rFonts w:ascii="Source Sans Pro" w:hAnsi="Source Sans Pro" w:cs="Calibri"/>
                <w:color w:val="000000"/>
                <w:sz w:val="20"/>
              </w:rPr>
            </w:pPr>
            <w:r w:rsidRPr="00541115">
              <w:rPr>
                <w:rFonts w:ascii="Source Sans Pro" w:hAnsi="Source Sans Pro" w:cs="Calibri"/>
                <w:color w:val="000000"/>
                <w:sz w:val="20"/>
              </w:rPr>
              <w:t>60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50999338"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$54.46 </w:t>
            </w:r>
          </w:p>
        </w:tc>
        <w:tc>
          <w:tcPr>
            <w:tcW w:w="222" w:type="dxa"/>
            <w:vAlign w:val="center"/>
            <w:hideMark/>
          </w:tcPr>
          <w:p w:rsidR="00573D54" w:rsidRPr="00541115" w:rsidP="000D7670" w14:paraId="2EB1B824" w14:textId="77777777">
            <w:pPr>
              <w:rPr>
                <w:rFonts w:ascii="Times New Roman" w:hAnsi="Times New Roman"/>
                <w:sz w:val="20"/>
              </w:rPr>
            </w:pPr>
          </w:p>
        </w:tc>
      </w:tr>
      <w:tr w14:paraId="5D4C3E90" w14:textId="77777777" w:rsidTr="001614C5">
        <w:tblPrEx>
          <w:tblW w:w="10422" w:type="dxa"/>
          <w:tblCellMar>
            <w:top w:w="15" w:type="dxa"/>
          </w:tblCellMar>
          <w:tblLook w:val="04A0"/>
        </w:tblPrEx>
        <w:trPr>
          <w:trHeight w:val="1392"/>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4AEA981D" w14:textId="77777777">
            <w:pPr>
              <w:rPr>
                <w:rFonts w:ascii="Source Sans Pro" w:hAnsi="Source Sans Pro" w:cs="Calibri"/>
                <w:color w:val="000000"/>
                <w:sz w:val="20"/>
              </w:rPr>
            </w:pPr>
            <w:r w:rsidRPr="00541115">
              <w:rPr>
                <w:rFonts w:ascii="Source Sans Pro" w:hAnsi="Source Sans Pro" w:cs="Calibri"/>
                <w:color w:val="000000"/>
                <w:sz w:val="20"/>
              </w:rPr>
              <w:t>9. Financial Institution Information Reporting to Registry,</w:t>
            </w:r>
            <w:r w:rsidRPr="00541115">
              <w:rPr>
                <w:rFonts w:ascii="Source Sans Pro" w:hAnsi="Source Sans Pro" w:cs="Calibri"/>
                <w:color w:val="000000"/>
                <w:sz w:val="20"/>
              </w:rPr>
              <w:br/>
              <w:t>12 CFR 1007.103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24DA70F8" w14:textId="77777777">
            <w:pPr>
              <w:jc w:val="center"/>
              <w:rPr>
                <w:rFonts w:ascii="Source Sans Pro" w:hAnsi="Source Sans Pro" w:cs="Calibri"/>
                <w:color w:val="000000"/>
                <w:sz w:val="20"/>
              </w:rPr>
            </w:pPr>
            <w:r w:rsidRPr="00541115">
              <w:rPr>
                <w:rFonts w:ascii="Source Sans Pro" w:hAnsi="Source Sans Pro" w:cs="Calibri"/>
                <w:color w:val="000000"/>
                <w:sz w:val="20"/>
              </w:rPr>
              <w:t>1.66</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6B2CAB2A"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2BAF58A1"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00E7E166" w14:textId="77777777">
            <w:pPr>
              <w:jc w:val="center"/>
              <w:rPr>
                <w:rFonts w:ascii="Source Sans Pro" w:hAnsi="Source Sans Pro" w:cs="Calibri"/>
                <w:color w:val="000000"/>
                <w:sz w:val="20"/>
              </w:rPr>
            </w:pPr>
            <w:r w:rsidRPr="00541115">
              <w:rPr>
                <w:rFonts w:ascii="Source Sans Pro" w:hAnsi="Source Sans Pro" w:cs="Calibri"/>
                <w:color w:val="000000"/>
                <w:sz w:val="20"/>
              </w:rPr>
              <w:t>10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5ABEAF6A"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605C5989"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51E3D4E1" w14:textId="77777777">
            <w:pPr>
              <w:jc w:val="center"/>
              <w:rPr>
                <w:rFonts w:ascii="Source Sans Pro" w:hAnsi="Source Sans Pro" w:cs="Calibri"/>
                <w:color w:val="000000"/>
                <w:sz w:val="20"/>
              </w:rPr>
            </w:pPr>
            <w:r w:rsidRPr="00541115">
              <w:rPr>
                <w:rFonts w:ascii="Source Sans Pro" w:hAnsi="Source Sans Pro" w:cs="Calibri"/>
                <w:color w:val="000000"/>
                <w:sz w:val="20"/>
              </w:rPr>
              <w:t>90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2C6A9C19"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$43.16 </w:t>
            </w:r>
          </w:p>
        </w:tc>
        <w:tc>
          <w:tcPr>
            <w:tcW w:w="222" w:type="dxa"/>
            <w:vAlign w:val="center"/>
            <w:hideMark/>
          </w:tcPr>
          <w:p w:rsidR="00573D54" w:rsidRPr="00541115" w:rsidP="000D7670" w14:paraId="10F33530" w14:textId="77777777">
            <w:pPr>
              <w:rPr>
                <w:rFonts w:ascii="Times New Roman" w:hAnsi="Times New Roman"/>
                <w:sz w:val="20"/>
              </w:rPr>
            </w:pPr>
          </w:p>
        </w:tc>
      </w:tr>
      <w:tr w14:paraId="54AE1DC1" w14:textId="77777777" w:rsidTr="001614C5">
        <w:tblPrEx>
          <w:tblW w:w="10422" w:type="dxa"/>
          <w:tblCellMar>
            <w:top w:w="15" w:type="dxa"/>
          </w:tblCellMar>
          <w:tblLook w:val="04A0"/>
        </w:tblPrEx>
        <w:trPr>
          <w:trHeight w:val="1944"/>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51090921" w14:textId="77777777">
            <w:pPr>
              <w:rPr>
                <w:rFonts w:ascii="Source Sans Pro" w:hAnsi="Source Sans Pro" w:cs="Calibri"/>
                <w:color w:val="000000"/>
                <w:sz w:val="20"/>
              </w:rPr>
            </w:pPr>
            <w:r w:rsidRPr="00541115">
              <w:rPr>
                <w:rFonts w:ascii="Source Sans Pro" w:hAnsi="Source Sans Pro" w:cs="Calibri"/>
                <w:color w:val="000000"/>
                <w:sz w:val="20"/>
              </w:rPr>
              <w:t>10. Mortgage Loan Originator Initial Registration Reporting and Authorization Requirement,</w:t>
            </w:r>
            <w:r w:rsidRPr="00541115">
              <w:rPr>
                <w:rFonts w:ascii="Source Sans Pro" w:hAnsi="Source Sans Pro" w:cs="Calibri"/>
                <w:color w:val="000000"/>
                <w:sz w:val="20"/>
              </w:rPr>
              <w:br/>
              <w:t>12 CFR 1007.103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62B029A0" w14:textId="77777777">
            <w:pPr>
              <w:jc w:val="center"/>
              <w:rPr>
                <w:rFonts w:ascii="Source Sans Pro" w:hAnsi="Source Sans Pro" w:cs="Calibri"/>
                <w:color w:val="000000"/>
                <w:sz w:val="20"/>
              </w:rPr>
            </w:pPr>
            <w:r w:rsidRPr="00541115">
              <w:rPr>
                <w:rFonts w:ascii="Source Sans Pro" w:hAnsi="Source Sans Pro" w:cs="Calibri"/>
                <w:color w:val="000000"/>
                <w:sz w:val="20"/>
              </w:rPr>
              <w:t>7.38</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1B39DBE2"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15B53124"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632AE2DB"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7F4DCEE9"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6707BB4D" w14:textId="77777777">
            <w:pPr>
              <w:jc w:val="center"/>
              <w:rPr>
                <w:rFonts w:ascii="Source Sans Pro" w:hAnsi="Source Sans Pro" w:cs="Calibri"/>
                <w:color w:val="000000"/>
                <w:sz w:val="20"/>
              </w:rPr>
            </w:pPr>
            <w:r w:rsidRPr="00541115">
              <w:rPr>
                <w:rFonts w:ascii="Source Sans Pro" w:hAnsi="Source Sans Pro" w:cs="Calibri"/>
                <w:color w:val="000000"/>
                <w:sz w:val="20"/>
              </w:rPr>
              <w:t>50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2EA96026" w14:textId="77777777">
            <w:pPr>
              <w:jc w:val="center"/>
              <w:rPr>
                <w:rFonts w:ascii="Source Sans Pro" w:hAnsi="Source Sans Pro" w:cs="Calibri"/>
                <w:color w:val="000000"/>
                <w:sz w:val="20"/>
              </w:rPr>
            </w:pPr>
            <w:r w:rsidRPr="00541115">
              <w:rPr>
                <w:rFonts w:ascii="Source Sans Pro" w:hAnsi="Source Sans Pro" w:cs="Calibri"/>
                <w:color w:val="000000"/>
                <w:sz w:val="20"/>
              </w:rPr>
              <w:t>50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32DA7037"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$69.84 </w:t>
            </w:r>
          </w:p>
        </w:tc>
        <w:tc>
          <w:tcPr>
            <w:tcW w:w="222" w:type="dxa"/>
            <w:vAlign w:val="center"/>
            <w:hideMark/>
          </w:tcPr>
          <w:p w:rsidR="00573D54" w:rsidRPr="00541115" w:rsidP="000D7670" w14:paraId="010FC2BB" w14:textId="77777777">
            <w:pPr>
              <w:rPr>
                <w:rFonts w:ascii="Times New Roman" w:hAnsi="Times New Roman"/>
                <w:sz w:val="20"/>
              </w:rPr>
            </w:pPr>
          </w:p>
        </w:tc>
      </w:tr>
      <w:tr w14:paraId="7480A4A5" w14:textId="77777777" w:rsidTr="001614C5">
        <w:tblPrEx>
          <w:tblW w:w="10422" w:type="dxa"/>
          <w:tblCellMar>
            <w:top w:w="15" w:type="dxa"/>
          </w:tblCellMar>
          <w:tblLook w:val="04A0"/>
        </w:tblPrEx>
        <w:trPr>
          <w:trHeight w:val="1668"/>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36B85A32" w14:textId="77777777">
            <w:pPr>
              <w:rPr>
                <w:rFonts w:ascii="Source Sans Pro" w:hAnsi="Source Sans Pro" w:cs="Calibri"/>
                <w:color w:val="000000"/>
                <w:sz w:val="20"/>
              </w:rPr>
            </w:pPr>
            <w:r w:rsidRPr="00541115">
              <w:rPr>
                <w:rFonts w:ascii="Source Sans Pro" w:hAnsi="Source Sans Pro" w:cs="Calibri"/>
                <w:color w:val="000000"/>
                <w:sz w:val="20"/>
              </w:rPr>
              <w:t>11. Mortgage Loan Originator Registration Updates Upon Change in Circumstances,</w:t>
            </w:r>
            <w:r w:rsidRPr="00541115">
              <w:rPr>
                <w:rFonts w:ascii="Source Sans Pro" w:hAnsi="Source Sans Pro" w:cs="Calibri"/>
                <w:color w:val="000000"/>
                <w:sz w:val="20"/>
              </w:rPr>
              <w:br/>
              <w:t>12 CFR 1007.103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5968F060" w14:textId="77777777">
            <w:pPr>
              <w:jc w:val="center"/>
              <w:rPr>
                <w:rFonts w:ascii="Source Sans Pro" w:hAnsi="Source Sans Pro" w:cs="Calibri"/>
                <w:color w:val="000000"/>
                <w:sz w:val="20"/>
              </w:rPr>
            </w:pPr>
            <w:r w:rsidRPr="00541115">
              <w:rPr>
                <w:rFonts w:ascii="Source Sans Pro" w:hAnsi="Source Sans Pro" w:cs="Calibri"/>
                <w:color w:val="000000"/>
                <w:sz w:val="20"/>
              </w:rPr>
              <w:t>5.68</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29DA8644"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3F5DAE0D"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07EB1047"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5FDC2851"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1C0391EE" w14:textId="77777777">
            <w:pPr>
              <w:jc w:val="center"/>
              <w:rPr>
                <w:rFonts w:ascii="Source Sans Pro" w:hAnsi="Source Sans Pro" w:cs="Calibri"/>
                <w:color w:val="000000"/>
                <w:sz w:val="20"/>
              </w:rPr>
            </w:pPr>
            <w:r w:rsidRPr="00541115">
              <w:rPr>
                <w:rFonts w:ascii="Source Sans Pro" w:hAnsi="Source Sans Pro" w:cs="Calibri"/>
                <w:color w:val="000000"/>
                <w:sz w:val="20"/>
              </w:rPr>
              <w:t>50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50021D85" w14:textId="77777777">
            <w:pPr>
              <w:jc w:val="center"/>
              <w:rPr>
                <w:rFonts w:ascii="Source Sans Pro" w:hAnsi="Source Sans Pro" w:cs="Calibri"/>
                <w:color w:val="000000"/>
                <w:sz w:val="20"/>
              </w:rPr>
            </w:pPr>
            <w:r w:rsidRPr="00541115">
              <w:rPr>
                <w:rFonts w:ascii="Source Sans Pro" w:hAnsi="Source Sans Pro" w:cs="Calibri"/>
                <w:color w:val="000000"/>
                <w:sz w:val="20"/>
              </w:rPr>
              <w:t>50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7C334AC8"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$69.84 </w:t>
            </w:r>
          </w:p>
        </w:tc>
        <w:tc>
          <w:tcPr>
            <w:tcW w:w="222" w:type="dxa"/>
            <w:vAlign w:val="center"/>
            <w:hideMark/>
          </w:tcPr>
          <w:p w:rsidR="00573D54" w:rsidRPr="00541115" w:rsidP="000D7670" w14:paraId="56C8E832" w14:textId="77777777">
            <w:pPr>
              <w:rPr>
                <w:rFonts w:ascii="Times New Roman" w:hAnsi="Times New Roman"/>
                <w:sz w:val="20"/>
              </w:rPr>
            </w:pPr>
          </w:p>
        </w:tc>
      </w:tr>
      <w:tr w14:paraId="6A93920E" w14:textId="77777777" w:rsidTr="001614C5">
        <w:tblPrEx>
          <w:tblW w:w="10422" w:type="dxa"/>
          <w:tblCellMar>
            <w:top w:w="15" w:type="dxa"/>
          </w:tblCellMar>
          <w:tblLook w:val="04A0"/>
        </w:tblPrEx>
        <w:trPr>
          <w:trHeight w:val="1944"/>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06395005" w14:textId="77777777">
            <w:pPr>
              <w:rPr>
                <w:rFonts w:ascii="Source Sans Pro" w:hAnsi="Source Sans Pro" w:cs="Calibri"/>
                <w:color w:val="000000"/>
                <w:sz w:val="20"/>
              </w:rPr>
            </w:pPr>
            <w:r w:rsidRPr="00541115">
              <w:rPr>
                <w:rFonts w:ascii="Source Sans Pro" w:hAnsi="Source Sans Pro" w:cs="Calibri"/>
                <w:color w:val="000000"/>
                <w:sz w:val="20"/>
              </w:rPr>
              <w:t>12. Financial Institution Procedures for the Collection of Employee Mortgage Loan Originator's Fingerprints,</w:t>
            </w:r>
            <w:r w:rsidRPr="00541115">
              <w:rPr>
                <w:rFonts w:ascii="Source Sans Pro" w:hAnsi="Source Sans Pro" w:cs="Calibri"/>
                <w:color w:val="000000"/>
                <w:sz w:val="20"/>
              </w:rPr>
              <w:br/>
              <w:t>12 CFR 1007.104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5FBF8FE1" w14:textId="77777777">
            <w:pPr>
              <w:jc w:val="center"/>
              <w:rPr>
                <w:rFonts w:ascii="Source Sans Pro" w:hAnsi="Source Sans Pro" w:cs="Calibri"/>
                <w:color w:val="000000"/>
                <w:sz w:val="20"/>
              </w:rPr>
            </w:pPr>
            <w:r w:rsidRPr="00541115">
              <w:rPr>
                <w:rFonts w:ascii="Source Sans Pro" w:hAnsi="Source Sans Pro" w:cs="Calibri"/>
                <w:color w:val="000000"/>
                <w:sz w:val="20"/>
              </w:rPr>
              <w:t>6.62</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52FF9031"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314B7F65"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38630621"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49EF01EB"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71297DB8" w14:textId="77777777">
            <w:pPr>
              <w:jc w:val="center"/>
              <w:rPr>
                <w:rFonts w:ascii="Source Sans Pro" w:hAnsi="Source Sans Pro" w:cs="Calibri"/>
                <w:color w:val="000000"/>
                <w:sz w:val="20"/>
              </w:rPr>
            </w:pPr>
            <w:r w:rsidRPr="00541115">
              <w:rPr>
                <w:rFonts w:ascii="Source Sans Pro" w:hAnsi="Source Sans Pro" w:cs="Calibri"/>
                <w:color w:val="000000"/>
                <w:sz w:val="20"/>
              </w:rPr>
              <w:t>80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5FC8E484" w14:textId="77777777">
            <w:pPr>
              <w:jc w:val="center"/>
              <w:rPr>
                <w:rFonts w:ascii="Source Sans Pro" w:hAnsi="Source Sans Pro" w:cs="Calibri"/>
                <w:color w:val="000000"/>
                <w:sz w:val="20"/>
              </w:rPr>
            </w:pPr>
            <w:r w:rsidRPr="00541115">
              <w:rPr>
                <w:rFonts w:ascii="Source Sans Pro" w:hAnsi="Source Sans Pro" w:cs="Calibri"/>
                <w:color w:val="000000"/>
                <w:sz w:val="20"/>
              </w:rPr>
              <w:t>20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38F392B7"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$88.10 </w:t>
            </w:r>
          </w:p>
        </w:tc>
        <w:tc>
          <w:tcPr>
            <w:tcW w:w="222" w:type="dxa"/>
            <w:vAlign w:val="center"/>
            <w:hideMark/>
          </w:tcPr>
          <w:p w:rsidR="00573D54" w:rsidRPr="00541115" w:rsidP="000D7670" w14:paraId="73504C7F" w14:textId="77777777">
            <w:pPr>
              <w:rPr>
                <w:rFonts w:ascii="Times New Roman" w:hAnsi="Times New Roman"/>
                <w:sz w:val="20"/>
              </w:rPr>
            </w:pPr>
          </w:p>
        </w:tc>
      </w:tr>
      <w:tr w14:paraId="344170AB" w14:textId="77777777" w:rsidTr="001614C5">
        <w:tblPrEx>
          <w:tblW w:w="10422" w:type="dxa"/>
          <w:tblCellMar>
            <w:top w:w="15" w:type="dxa"/>
          </w:tblCellMar>
          <w:tblLook w:val="04A0"/>
        </w:tblPrEx>
        <w:trPr>
          <w:trHeight w:val="1668"/>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3A570EE9" w14:textId="77777777">
            <w:pPr>
              <w:rPr>
                <w:rFonts w:ascii="Source Sans Pro" w:hAnsi="Source Sans Pro" w:cs="Calibri"/>
                <w:color w:val="000000"/>
                <w:sz w:val="20"/>
              </w:rPr>
            </w:pPr>
            <w:r w:rsidRPr="00541115">
              <w:rPr>
                <w:rFonts w:ascii="Source Sans Pro" w:hAnsi="Source Sans Pro" w:cs="Calibri"/>
                <w:color w:val="000000"/>
                <w:sz w:val="20"/>
              </w:rPr>
              <w:t>13. Mortgage Loan Originator Procedures for Disclosure to Consumers of Unique Identifier,</w:t>
            </w:r>
            <w:r w:rsidRPr="00541115">
              <w:rPr>
                <w:rFonts w:ascii="Source Sans Pro" w:hAnsi="Source Sans Pro" w:cs="Calibri"/>
                <w:color w:val="000000"/>
                <w:sz w:val="20"/>
              </w:rPr>
              <w:br/>
              <w:t>12 CFR 1007.104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38E3C2BB" w14:textId="77777777">
            <w:pPr>
              <w:jc w:val="center"/>
              <w:rPr>
                <w:rFonts w:ascii="Source Sans Pro" w:hAnsi="Source Sans Pro" w:cs="Calibri"/>
                <w:color w:val="000000"/>
                <w:sz w:val="20"/>
              </w:rPr>
            </w:pPr>
            <w:r w:rsidRPr="00541115">
              <w:rPr>
                <w:rFonts w:ascii="Source Sans Pro" w:hAnsi="Source Sans Pro" w:cs="Calibri"/>
                <w:color w:val="000000"/>
                <w:sz w:val="20"/>
              </w:rPr>
              <w:t>26.42</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14B261B8"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1A5B84E5"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44060FBF"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3796E1F6"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32677076" w14:textId="77777777">
            <w:pPr>
              <w:jc w:val="center"/>
              <w:rPr>
                <w:rFonts w:ascii="Source Sans Pro" w:hAnsi="Source Sans Pro" w:cs="Calibri"/>
                <w:color w:val="000000"/>
                <w:sz w:val="20"/>
              </w:rPr>
            </w:pPr>
            <w:r w:rsidRPr="00541115">
              <w:rPr>
                <w:rFonts w:ascii="Source Sans Pro" w:hAnsi="Source Sans Pro" w:cs="Calibri"/>
                <w:color w:val="000000"/>
                <w:sz w:val="20"/>
              </w:rPr>
              <w:t>100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45522D64"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1444" w:type="dxa"/>
            <w:tcBorders>
              <w:top w:val="nil"/>
              <w:left w:val="nil"/>
              <w:bottom w:val="single" w:sz="8" w:space="0" w:color="auto"/>
              <w:right w:val="single" w:sz="8" w:space="0" w:color="auto"/>
            </w:tcBorders>
            <w:shd w:val="clear" w:color="auto" w:fill="auto"/>
            <w:vAlign w:val="center"/>
            <w:hideMark/>
          </w:tcPr>
          <w:p w:rsidR="00573D54" w:rsidRPr="00541115" w:rsidP="000D7670" w14:paraId="7CA43CF3"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$100.28 </w:t>
            </w:r>
          </w:p>
        </w:tc>
        <w:tc>
          <w:tcPr>
            <w:tcW w:w="222" w:type="dxa"/>
            <w:vAlign w:val="center"/>
            <w:hideMark/>
          </w:tcPr>
          <w:p w:rsidR="00573D54" w:rsidRPr="00541115" w:rsidP="000D7670" w14:paraId="43C33E7F" w14:textId="77777777">
            <w:pPr>
              <w:rPr>
                <w:rFonts w:ascii="Times New Roman" w:hAnsi="Times New Roman"/>
                <w:sz w:val="20"/>
              </w:rPr>
            </w:pPr>
          </w:p>
        </w:tc>
      </w:tr>
      <w:tr w14:paraId="4D666107" w14:textId="77777777" w:rsidTr="003801B9">
        <w:tblPrEx>
          <w:tblW w:w="10422" w:type="dxa"/>
          <w:tblCellMar>
            <w:top w:w="15" w:type="dxa"/>
          </w:tblCellMar>
          <w:tblLook w:val="04A0"/>
        </w:tblPrEx>
        <w:trPr>
          <w:trHeight w:val="1944"/>
        </w:trPr>
        <w:tc>
          <w:tcPr>
            <w:tcW w:w="2203" w:type="dxa"/>
            <w:tcBorders>
              <w:top w:val="nil"/>
              <w:left w:val="single" w:sz="8" w:space="0" w:color="auto"/>
              <w:bottom w:val="single" w:sz="8" w:space="0" w:color="auto"/>
              <w:right w:val="single" w:sz="8" w:space="0" w:color="auto"/>
            </w:tcBorders>
            <w:shd w:val="clear" w:color="auto" w:fill="auto"/>
            <w:vAlign w:val="center"/>
            <w:hideMark/>
          </w:tcPr>
          <w:p w:rsidR="00573D54" w:rsidRPr="00541115" w:rsidP="000D7670" w14:paraId="4D8C247D" w14:textId="77777777">
            <w:pPr>
              <w:rPr>
                <w:rFonts w:ascii="Source Sans Pro" w:hAnsi="Source Sans Pro" w:cs="Calibri"/>
                <w:color w:val="000000"/>
                <w:sz w:val="20"/>
              </w:rPr>
            </w:pPr>
            <w:r w:rsidRPr="00541115">
              <w:rPr>
                <w:rFonts w:ascii="Source Sans Pro" w:hAnsi="Source Sans Pro" w:cs="Calibri"/>
                <w:color w:val="000000"/>
                <w:sz w:val="20"/>
              </w:rPr>
              <w:t>14. Mortgage Loan Originator Annual Renewal Registration Reporting and Authorization Requirements,</w:t>
            </w:r>
            <w:r w:rsidRPr="00541115">
              <w:rPr>
                <w:rFonts w:ascii="Source Sans Pro" w:hAnsi="Source Sans Pro" w:cs="Calibri"/>
                <w:color w:val="000000"/>
                <w:sz w:val="20"/>
              </w:rPr>
              <w:br/>
              <w:t>12 CFR 1007.103 (Mandatory)</w:t>
            </w:r>
          </w:p>
        </w:tc>
        <w:tc>
          <w:tcPr>
            <w:tcW w:w="833" w:type="dxa"/>
            <w:tcBorders>
              <w:top w:val="nil"/>
              <w:left w:val="nil"/>
              <w:bottom w:val="single" w:sz="8" w:space="0" w:color="auto"/>
              <w:right w:val="single" w:sz="8" w:space="0" w:color="auto"/>
            </w:tcBorders>
            <w:shd w:val="clear" w:color="auto" w:fill="auto"/>
            <w:vAlign w:val="center"/>
            <w:hideMark/>
          </w:tcPr>
          <w:p w:rsidR="00573D54" w:rsidRPr="00541115" w:rsidP="000D7670" w14:paraId="1460BD7C" w14:textId="77777777">
            <w:pPr>
              <w:jc w:val="center"/>
              <w:rPr>
                <w:rFonts w:ascii="Source Sans Pro" w:hAnsi="Source Sans Pro" w:cs="Calibri"/>
                <w:color w:val="000000"/>
                <w:sz w:val="20"/>
              </w:rPr>
            </w:pPr>
            <w:r w:rsidRPr="00541115">
              <w:rPr>
                <w:rFonts w:ascii="Source Sans Pro" w:hAnsi="Source Sans Pro" w:cs="Calibri"/>
                <w:color w:val="000000"/>
                <w:sz w:val="20"/>
              </w:rPr>
              <w:t>45.47</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5E51EB01"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07B15E9B"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00" w:type="dxa"/>
            <w:tcBorders>
              <w:top w:val="nil"/>
              <w:left w:val="nil"/>
              <w:bottom w:val="single" w:sz="8" w:space="0" w:color="auto"/>
              <w:right w:val="single" w:sz="8" w:space="0" w:color="auto"/>
            </w:tcBorders>
            <w:shd w:val="clear" w:color="auto" w:fill="auto"/>
            <w:vAlign w:val="center"/>
            <w:hideMark/>
          </w:tcPr>
          <w:p w:rsidR="00573D54" w:rsidRPr="00541115" w:rsidP="000D7670" w14:paraId="3A872099"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6CFA6193" w14:textId="77777777">
            <w:pPr>
              <w:jc w:val="center"/>
              <w:rPr>
                <w:rFonts w:ascii="Source Sans Pro" w:hAnsi="Source Sans Pro" w:cs="Calibri"/>
                <w:color w:val="000000"/>
                <w:sz w:val="20"/>
              </w:rPr>
            </w:pPr>
            <w:r w:rsidRPr="00541115">
              <w:rPr>
                <w:rFonts w:ascii="Source Sans Pro" w:hAnsi="Source Sans Pro" w:cs="Calibri"/>
                <w:color w:val="000000"/>
                <w:sz w:val="20"/>
              </w:rPr>
              <w:t>0</w:t>
            </w:r>
          </w:p>
        </w:tc>
        <w:tc>
          <w:tcPr>
            <w:tcW w:w="984" w:type="dxa"/>
            <w:tcBorders>
              <w:top w:val="nil"/>
              <w:left w:val="nil"/>
              <w:bottom w:val="single" w:sz="8" w:space="0" w:color="auto"/>
              <w:right w:val="single" w:sz="8" w:space="0" w:color="auto"/>
            </w:tcBorders>
            <w:shd w:val="clear" w:color="auto" w:fill="auto"/>
            <w:vAlign w:val="center"/>
            <w:hideMark/>
          </w:tcPr>
          <w:p w:rsidR="00573D54" w:rsidRPr="00541115" w:rsidP="000D7670" w14:paraId="5C7E35FE" w14:textId="77777777">
            <w:pPr>
              <w:jc w:val="center"/>
              <w:rPr>
                <w:rFonts w:ascii="Source Sans Pro" w:hAnsi="Source Sans Pro" w:cs="Calibri"/>
                <w:color w:val="000000"/>
                <w:sz w:val="20"/>
              </w:rPr>
            </w:pPr>
            <w:r w:rsidRPr="00541115">
              <w:rPr>
                <w:rFonts w:ascii="Source Sans Pro" w:hAnsi="Source Sans Pro" w:cs="Calibri"/>
                <w:color w:val="000000"/>
                <w:sz w:val="20"/>
              </w:rPr>
              <w:t>50</w:t>
            </w:r>
          </w:p>
        </w:tc>
        <w:tc>
          <w:tcPr>
            <w:tcW w:w="884" w:type="dxa"/>
            <w:tcBorders>
              <w:top w:val="nil"/>
              <w:left w:val="nil"/>
              <w:bottom w:val="single" w:sz="8" w:space="0" w:color="auto"/>
              <w:right w:val="single" w:sz="8" w:space="0" w:color="auto"/>
            </w:tcBorders>
            <w:shd w:val="clear" w:color="auto" w:fill="auto"/>
            <w:vAlign w:val="center"/>
            <w:hideMark/>
          </w:tcPr>
          <w:p w:rsidR="00573D54" w:rsidRPr="00541115" w:rsidP="000D7670" w14:paraId="70EA3932" w14:textId="77777777">
            <w:pPr>
              <w:jc w:val="center"/>
              <w:rPr>
                <w:rFonts w:ascii="Source Sans Pro" w:hAnsi="Source Sans Pro" w:cs="Calibri"/>
                <w:color w:val="000000"/>
                <w:sz w:val="20"/>
              </w:rPr>
            </w:pPr>
            <w:r w:rsidRPr="00541115">
              <w:rPr>
                <w:rFonts w:ascii="Source Sans Pro" w:hAnsi="Source Sans Pro" w:cs="Calibri"/>
                <w:color w:val="000000"/>
                <w:sz w:val="20"/>
              </w:rPr>
              <w:t>50</w:t>
            </w:r>
          </w:p>
        </w:tc>
        <w:tc>
          <w:tcPr>
            <w:tcW w:w="1444" w:type="dxa"/>
            <w:tcBorders>
              <w:top w:val="nil"/>
              <w:left w:val="nil"/>
              <w:bottom w:val="single" w:sz="4" w:space="0" w:color="auto"/>
              <w:right w:val="single" w:sz="8" w:space="0" w:color="auto"/>
            </w:tcBorders>
            <w:shd w:val="clear" w:color="auto" w:fill="auto"/>
            <w:vAlign w:val="center"/>
            <w:hideMark/>
          </w:tcPr>
          <w:p w:rsidR="00573D54" w:rsidRPr="00541115" w:rsidP="000D7670" w14:paraId="64A130E4" w14:textId="77777777">
            <w:pPr>
              <w:ind w:firstLine="200" w:firstLineChars="100"/>
              <w:jc w:val="right"/>
              <w:rPr>
                <w:rFonts w:ascii="Source Sans Pro" w:hAnsi="Source Sans Pro" w:cs="Calibri"/>
                <w:color w:val="000000"/>
                <w:sz w:val="20"/>
              </w:rPr>
            </w:pPr>
            <w:r w:rsidRPr="00541115">
              <w:rPr>
                <w:rFonts w:ascii="Source Sans Pro" w:hAnsi="Source Sans Pro" w:cs="Calibri"/>
                <w:color w:val="000000"/>
                <w:sz w:val="20"/>
              </w:rPr>
              <w:t xml:space="preserve">$69.84 </w:t>
            </w:r>
          </w:p>
        </w:tc>
        <w:tc>
          <w:tcPr>
            <w:tcW w:w="222" w:type="dxa"/>
            <w:vAlign w:val="center"/>
            <w:hideMark/>
          </w:tcPr>
          <w:p w:rsidR="00573D54" w:rsidRPr="00541115" w:rsidP="000D7670" w14:paraId="16DD933E" w14:textId="77777777">
            <w:pPr>
              <w:rPr>
                <w:rFonts w:ascii="Times New Roman" w:hAnsi="Times New Roman"/>
                <w:sz w:val="20"/>
              </w:rPr>
            </w:pPr>
          </w:p>
        </w:tc>
      </w:tr>
      <w:tr w14:paraId="44432D24" w14:textId="77777777" w:rsidTr="003801B9">
        <w:tblPrEx>
          <w:tblW w:w="10422" w:type="dxa"/>
          <w:tblCellMar>
            <w:top w:w="15" w:type="dxa"/>
          </w:tblCellMar>
          <w:tblLook w:val="04A0"/>
        </w:tblPrEx>
        <w:trPr>
          <w:trHeight w:val="300"/>
        </w:trPr>
        <w:tc>
          <w:tcPr>
            <w:tcW w:w="8756" w:type="dxa"/>
            <w:gridSpan w:val="8"/>
            <w:tcBorders>
              <w:top w:val="single" w:sz="8" w:space="0" w:color="auto"/>
              <w:left w:val="single" w:sz="8" w:space="0" w:color="auto"/>
              <w:bottom w:val="single" w:sz="8" w:space="0" w:color="auto"/>
              <w:right w:val="single" w:sz="4" w:space="0" w:color="auto"/>
            </w:tcBorders>
            <w:shd w:val="clear" w:color="auto" w:fill="auto"/>
            <w:vAlign w:val="center"/>
            <w:hideMark/>
          </w:tcPr>
          <w:p w:rsidR="00573D54" w:rsidRPr="00541115" w:rsidP="000D7670" w14:paraId="6BA52986" w14:textId="77777777">
            <w:pPr>
              <w:jc w:val="right"/>
              <w:rPr>
                <w:rFonts w:ascii="Source Sans Pro" w:hAnsi="Source Sans Pro" w:cs="Calibri"/>
                <w:b/>
                <w:bCs/>
                <w:i/>
                <w:iCs/>
                <w:color w:val="000000"/>
              </w:rPr>
            </w:pPr>
            <w:r w:rsidRPr="00541115">
              <w:rPr>
                <w:rFonts w:ascii="Source Sans Pro" w:hAnsi="Source Sans Pro" w:cs="Calibri"/>
                <w:b/>
                <w:bCs/>
                <w:i/>
                <w:iCs/>
                <w:color w:val="000000"/>
              </w:rPr>
              <w:t>Weighted Average Hourly Compensation Rate:</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D54" w:rsidRPr="00541115" w:rsidP="000D7670" w14:paraId="3A36EDAB" w14:textId="77777777">
            <w:pPr>
              <w:ind w:firstLine="240" w:firstLineChars="100"/>
              <w:jc w:val="right"/>
              <w:rPr>
                <w:rFonts w:ascii="Source Sans Pro" w:hAnsi="Source Sans Pro" w:cs="Calibri"/>
                <w:b/>
                <w:bCs/>
                <w:i/>
                <w:iCs/>
                <w:color w:val="000000"/>
              </w:rPr>
            </w:pPr>
            <w:r w:rsidRPr="00541115">
              <w:rPr>
                <w:rFonts w:ascii="Source Sans Pro" w:hAnsi="Source Sans Pro" w:cs="Calibri"/>
                <w:b/>
                <w:bCs/>
                <w:i/>
                <w:iCs/>
                <w:color w:val="000000"/>
              </w:rPr>
              <w:t xml:space="preserve">$78.30 </w:t>
            </w:r>
          </w:p>
        </w:tc>
        <w:tc>
          <w:tcPr>
            <w:tcW w:w="222" w:type="dxa"/>
            <w:tcBorders>
              <w:left w:val="single" w:sz="4" w:space="0" w:color="auto"/>
            </w:tcBorders>
            <w:vAlign w:val="center"/>
            <w:hideMark/>
          </w:tcPr>
          <w:p w:rsidR="00573D54" w:rsidRPr="00541115" w:rsidP="000D7670" w14:paraId="684899DA" w14:textId="77777777">
            <w:pPr>
              <w:rPr>
                <w:rFonts w:ascii="Times New Roman" w:hAnsi="Times New Roman"/>
                <w:sz w:val="20"/>
              </w:rPr>
            </w:pPr>
          </w:p>
        </w:tc>
      </w:tr>
      <w:tr w14:paraId="44E33365" w14:textId="77777777" w:rsidTr="00552B96">
        <w:tblPrEx>
          <w:tblW w:w="10422" w:type="dxa"/>
          <w:tblCellMar>
            <w:top w:w="15" w:type="dxa"/>
          </w:tblCellMar>
          <w:tblLook w:val="04A0"/>
        </w:tblPrEx>
        <w:trPr>
          <w:trHeight w:val="300"/>
        </w:trPr>
        <w:tc>
          <w:tcPr>
            <w:tcW w:w="10200" w:type="dxa"/>
            <w:gridSpan w:val="9"/>
            <w:tcBorders>
              <w:top w:val="single" w:sz="4" w:space="0" w:color="auto"/>
              <w:left w:val="single" w:sz="8" w:space="0" w:color="auto"/>
              <w:bottom w:val="single" w:sz="4" w:space="0" w:color="auto"/>
              <w:right w:val="single" w:sz="8" w:space="0" w:color="auto"/>
            </w:tcBorders>
            <w:shd w:val="clear" w:color="auto" w:fill="auto"/>
            <w:vAlign w:val="center"/>
          </w:tcPr>
          <w:p w:rsidR="003801B9" w:rsidRPr="00541115" w:rsidP="003801B9" w14:paraId="03467894" w14:textId="284A5633">
            <w:pPr>
              <w:rPr>
                <w:rFonts w:ascii="Source Sans Pro" w:hAnsi="Source Sans Pro" w:cs="Calibri"/>
                <w:b/>
                <w:bCs/>
                <w:i/>
                <w:iCs/>
                <w:color w:val="000000"/>
              </w:rPr>
            </w:pPr>
            <w:r w:rsidRPr="002B5C29">
              <w:rPr>
                <w:rFonts w:ascii="Source Sans Pro" w:hAnsi="Source Sans Pro" w:cs="Calibri"/>
                <w:color w:val="000000"/>
                <w:sz w:val="18"/>
                <w:szCs w:val="18"/>
              </w:rPr>
              <w:t xml:space="preserve">Source: </w:t>
            </w:r>
            <w:r w:rsidRPr="00541115" w:rsidR="00C70551">
              <w:rPr>
                <w:rFonts w:ascii="Source Sans Pro" w:hAnsi="Source Sans Pro" w:cs="Calibri"/>
                <w:color w:val="000000"/>
                <w:sz w:val="18"/>
                <w:szCs w:val="18"/>
              </w:rPr>
              <w:t>Bureau of Labor Statistics</w:t>
            </w:r>
            <w:r w:rsidR="00C70551">
              <w:rPr>
                <w:rFonts w:ascii="Source Sans Pro" w:hAnsi="Source Sans Pro" w:cs="Calibri"/>
                <w:color w:val="000000"/>
                <w:sz w:val="18"/>
                <w:szCs w:val="18"/>
              </w:rPr>
              <w:t>.</w:t>
            </w:r>
          </w:p>
        </w:tc>
        <w:tc>
          <w:tcPr>
            <w:tcW w:w="222" w:type="dxa"/>
            <w:vAlign w:val="center"/>
          </w:tcPr>
          <w:p w:rsidR="003801B9" w:rsidRPr="00541115" w:rsidP="000D7670" w14:paraId="418C77F8" w14:textId="77777777">
            <w:pPr>
              <w:rPr>
                <w:rFonts w:ascii="Times New Roman" w:hAnsi="Times New Roman"/>
                <w:sz w:val="20"/>
              </w:rPr>
            </w:pPr>
          </w:p>
        </w:tc>
      </w:tr>
    </w:tbl>
    <w:p w:rsidR="00E7798A" w:rsidP="00A40227" w14:paraId="198950D6" w14:textId="77777777">
      <w:pPr>
        <w:pStyle w:val="ListParagraph"/>
        <w:tabs>
          <w:tab w:val="left" w:pos="-1440"/>
          <w:tab w:val="left" w:pos="1080"/>
          <w:tab w:val="left" w:pos="1710"/>
        </w:tabs>
        <w:spacing w:line="360" w:lineRule="auto"/>
        <w:ind w:left="1080"/>
        <w:rPr>
          <w:rFonts w:ascii="Times New Roman" w:hAnsi="Times New Roman"/>
        </w:rPr>
      </w:pPr>
    </w:p>
    <w:tbl>
      <w:tblPr>
        <w:tblW w:w="10260" w:type="dxa"/>
        <w:tblInd w:w="-10" w:type="dxa"/>
        <w:tblLook w:val="04A0"/>
      </w:tblPr>
      <w:tblGrid>
        <w:gridCol w:w="1980"/>
        <w:gridCol w:w="3062"/>
        <w:gridCol w:w="3038"/>
        <w:gridCol w:w="2180"/>
      </w:tblGrid>
      <w:tr w14:paraId="718BCA09" w14:textId="77777777" w:rsidTr="004F68EC">
        <w:tblPrEx>
          <w:tblW w:w="10260" w:type="dxa"/>
          <w:tblInd w:w="-10" w:type="dxa"/>
          <w:tblLook w:val="04A0"/>
        </w:tblPrEx>
        <w:trPr>
          <w:trHeight w:val="360"/>
        </w:trPr>
        <w:tc>
          <w:tcPr>
            <w:tcW w:w="102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F68EC" w:rsidRPr="004F68EC" w:rsidP="000D7670" w14:paraId="098940E8" w14:textId="2BB2DAB6">
            <w:pPr>
              <w:jc w:val="center"/>
              <w:rPr>
                <w:rFonts w:ascii="Times New Roman" w:hAnsi="Times New Roman"/>
                <w:color w:val="000000"/>
                <w:szCs w:val="24"/>
              </w:rPr>
            </w:pPr>
            <w:r w:rsidRPr="004F68EC">
              <w:rPr>
                <w:rFonts w:ascii="Times New Roman" w:hAnsi="Times New Roman"/>
                <w:color w:val="000000"/>
                <w:szCs w:val="24"/>
              </w:rPr>
              <w:t>Total Estimated Cost Burden (OMB No. 3064-0171)</w:t>
            </w:r>
          </w:p>
        </w:tc>
      </w:tr>
      <w:tr w14:paraId="4693F12F" w14:textId="77777777" w:rsidTr="004F68EC">
        <w:tblPrEx>
          <w:tblW w:w="10260" w:type="dxa"/>
          <w:tblInd w:w="-10" w:type="dxa"/>
          <w:tblLook w:val="04A0"/>
        </w:tblPrEx>
        <w:trPr>
          <w:trHeight w:val="600"/>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4F68EC" w:rsidRPr="004F68EC" w:rsidP="000D7670" w14:paraId="1AD2BF98" w14:textId="77777777">
            <w:pPr>
              <w:rPr>
                <w:rFonts w:ascii="Times New Roman" w:hAnsi="Times New Roman"/>
                <w:color w:val="000000"/>
                <w:sz w:val="20"/>
              </w:rPr>
            </w:pPr>
            <w:r w:rsidRPr="004F68EC">
              <w:rPr>
                <w:rFonts w:ascii="Times New Roman" w:hAnsi="Times New Roman"/>
                <w:color w:val="000000"/>
                <w:sz w:val="20"/>
              </w:rPr>
              <w:t>Information Collection Request</w:t>
            </w:r>
          </w:p>
        </w:tc>
        <w:tc>
          <w:tcPr>
            <w:tcW w:w="3062" w:type="dxa"/>
            <w:tcBorders>
              <w:top w:val="nil"/>
              <w:left w:val="nil"/>
              <w:bottom w:val="single" w:sz="8" w:space="0" w:color="auto"/>
              <w:right w:val="single" w:sz="8" w:space="0" w:color="auto"/>
            </w:tcBorders>
            <w:shd w:val="clear" w:color="auto" w:fill="auto"/>
            <w:vAlign w:val="center"/>
            <w:hideMark/>
          </w:tcPr>
          <w:p w:rsidR="004F68EC" w:rsidRPr="004F68EC" w:rsidP="000D7670" w14:paraId="220CFBAB" w14:textId="77777777">
            <w:pPr>
              <w:jc w:val="center"/>
              <w:rPr>
                <w:rFonts w:ascii="Times New Roman" w:hAnsi="Times New Roman"/>
                <w:color w:val="000000"/>
                <w:sz w:val="20"/>
              </w:rPr>
            </w:pPr>
            <w:r w:rsidRPr="004F68EC">
              <w:rPr>
                <w:rFonts w:ascii="Times New Roman" w:hAnsi="Times New Roman"/>
                <w:color w:val="000000"/>
                <w:sz w:val="20"/>
              </w:rPr>
              <w:t>Annual Burden (Hours)</w:t>
            </w:r>
          </w:p>
        </w:tc>
        <w:tc>
          <w:tcPr>
            <w:tcW w:w="3038" w:type="dxa"/>
            <w:tcBorders>
              <w:top w:val="nil"/>
              <w:left w:val="nil"/>
              <w:bottom w:val="single" w:sz="8" w:space="0" w:color="auto"/>
              <w:right w:val="single" w:sz="8" w:space="0" w:color="auto"/>
            </w:tcBorders>
            <w:shd w:val="clear" w:color="auto" w:fill="auto"/>
            <w:vAlign w:val="center"/>
            <w:hideMark/>
          </w:tcPr>
          <w:p w:rsidR="004F68EC" w:rsidRPr="004F68EC" w:rsidP="000D7670" w14:paraId="671F939A" w14:textId="77777777">
            <w:pPr>
              <w:jc w:val="center"/>
              <w:rPr>
                <w:rFonts w:ascii="Times New Roman" w:hAnsi="Times New Roman"/>
                <w:color w:val="000000"/>
                <w:sz w:val="20"/>
              </w:rPr>
            </w:pPr>
            <w:r w:rsidRPr="004F68EC">
              <w:rPr>
                <w:rFonts w:ascii="Times New Roman" w:hAnsi="Times New Roman"/>
                <w:color w:val="000000"/>
                <w:sz w:val="20"/>
              </w:rPr>
              <w:t>Weighted Average Hourly Compensation Rate</w:t>
            </w:r>
          </w:p>
        </w:tc>
        <w:tc>
          <w:tcPr>
            <w:tcW w:w="2180" w:type="dxa"/>
            <w:tcBorders>
              <w:top w:val="nil"/>
              <w:left w:val="nil"/>
              <w:bottom w:val="single" w:sz="8" w:space="0" w:color="auto"/>
              <w:right w:val="single" w:sz="8" w:space="0" w:color="auto"/>
            </w:tcBorders>
            <w:shd w:val="clear" w:color="auto" w:fill="auto"/>
            <w:vAlign w:val="center"/>
            <w:hideMark/>
          </w:tcPr>
          <w:p w:rsidR="004F68EC" w:rsidRPr="004F68EC" w:rsidP="000D7670" w14:paraId="416E7BE6" w14:textId="77777777">
            <w:pPr>
              <w:jc w:val="center"/>
              <w:rPr>
                <w:rFonts w:ascii="Times New Roman" w:hAnsi="Times New Roman"/>
                <w:color w:val="000000"/>
                <w:sz w:val="20"/>
              </w:rPr>
            </w:pPr>
            <w:r w:rsidRPr="004F68EC">
              <w:rPr>
                <w:rFonts w:ascii="Times New Roman" w:hAnsi="Times New Roman"/>
                <w:color w:val="000000"/>
                <w:sz w:val="20"/>
              </w:rPr>
              <w:t>Annual Respondent Cost</w:t>
            </w:r>
          </w:p>
        </w:tc>
      </w:tr>
      <w:tr w14:paraId="65397080" w14:textId="77777777" w:rsidTr="004F68EC">
        <w:tblPrEx>
          <w:tblW w:w="10260" w:type="dxa"/>
          <w:tblInd w:w="-10" w:type="dxa"/>
          <w:tblLook w:val="04A0"/>
        </w:tblPrEx>
        <w:trPr>
          <w:trHeight w:val="864"/>
        </w:trPr>
        <w:tc>
          <w:tcPr>
            <w:tcW w:w="1980" w:type="dxa"/>
            <w:tcBorders>
              <w:top w:val="nil"/>
              <w:left w:val="single" w:sz="8" w:space="0" w:color="auto"/>
              <w:bottom w:val="single" w:sz="8" w:space="0" w:color="auto"/>
              <w:right w:val="single" w:sz="8" w:space="0" w:color="auto"/>
            </w:tcBorders>
            <w:shd w:val="clear" w:color="auto" w:fill="auto"/>
            <w:vAlign w:val="center"/>
            <w:hideMark/>
          </w:tcPr>
          <w:p w:rsidR="004F68EC" w:rsidRPr="004F68EC" w:rsidP="000D7670" w14:paraId="34986E9E" w14:textId="77777777">
            <w:pPr>
              <w:rPr>
                <w:rFonts w:ascii="Times New Roman" w:hAnsi="Times New Roman"/>
                <w:color w:val="000000"/>
                <w:sz w:val="20"/>
              </w:rPr>
            </w:pPr>
            <w:r w:rsidRPr="004F68EC">
              <w:rPr>
                <w:rFonts w:ascii="Times New Roman" w:hAnsi="Times New Roman"/>
                <w:color w:val="000000"/>
                <w:sz w:val="20"/>
              </w:rPr>
              <w:t>Registration of Mortgage Loan Originators</w:t>
            </w:r>
          </w:p>
        </w:tc>
        <w:tc>
          <w:tcPr>
            <w:tcW w:w="3062" w:type="dxa"/>
            <w:tcBorders>
              <w:top w:val="nil"/>
              <w:left w:val="nil"/>
              <w:bottom w:val="single" w:sz="8" w:space="0" w:color="auto"/>
              <w:right w:val="single" w:sz="8" w:space="0" w:color="auto"/>
            </w:tcBorders>
            <w:shd w:val="clear" w:color="auto" w:fill="auto"/>
            <w:noWrap/>
            <w:vAlign w:val="center"/>
            <w:hideMark/>
          </w:tcPr>
          <w:p w:rsidR="004F68EC" w:rsidRPr="004F68EC" w:rsidP="000D7670" w14:paraId="56D8755E" w14:textId="77777777">
            <w:pPr>
              <w:ind w:firstLine="400" w:firstLineChars="200"/>
              <w:jc w:val="right"/>
              <w:rPr>
                <w:rFonts w:ascii="Times New Roman" w:hAnsi="Times New Roman"/>
                <w:color w:val="000000"/>
                <w:sz w:val="20"/>
              </w:rPr>
            </w:pPr>
            <w:r w:rsidRPr="004F68EC">
              <w:rPr>
                <w:rFonts w:ascii="Times New Roman" w:hAnsi="Times New Roman"/>
                <w:color w:val="000000"/>
                <w:sz w:val="20"/>
              </w:rPr>
              <w:t xml:space="preserve">                                         168,228 </w:t>
            </w:r>
          </w:p>
        </w:tc>
        <w:tc>
          <w:tcPr>
            <w:tcW w:w="3038" w:type="dxa"/>
            <w:tcBorders>
              <w:top w:val="nil"/>
              <w:left w:val="nil"/>
              <w:bottom w:val="single" w:sz="8" w:space="0" w:color="auto"/>
              <w:right w:val="single" w:sz="8" w:space="0" w:color="auto"/>
            </w:tcBorders>
            <w:shd w:val="clear" w:color="auto" w:fill="auto"/>
            <w:noWrap/>
            <w:vAlign w:val="center"/>
            <w:hideMark/>
          </w:tcPr>
          <w:p w:rsidR="004F68EC" w:rsidRPr="004F68EC" w:rsidP="000D7670" w14:paraId="491B8C69" w14:textId="77777777">
            <w:pPr>
              <w:ind w:firstLine="200" w:firstLineChars="100"/>
              <w:jc w:val="right"/>
              <w:rPr>
                <w:rFonts w:ascii="Times New Roman" w:hAnsi="Times New Roman"/>
                <w:color w:val="000000"/>
                <w:sz w:val="20"/>
              </w:rPr>
            </w:pPr>
            <w:r w:rsidRPr="004F68EC">
              <w:rPr>
                <w:rFonts w:ascii="Times New Roman" w:hAnsi="Times New Roman"/>
                <w:color w:val="000000"/>
                <w:sz w:val="20"/>
              </w:rPr>
              <w:t>$78.30</w:t>
            </w:r>
          </w:p>
        </w:tc>
        <w:tc>
          <w:tcPr>
            <w:tcW w:w="2180" w:type="dxa"/>
            <w:tcBorders>
              <w:top w:val="nil"/>
              <w:left w:val="nil"/>
              <w:bottom w:val="single" w:sz="8" w:space="0" w:color="auto"/>
              <w:right w:val="single" w:sz="8" w:space="0" w:color="auto"/>
            </w:tcBorders>
            <w:shd w:val="clear" w:color="auto" w:fill="auto"/>
            <w:noWrap/>
            <w:vAlign w:val="center"/>
            <w:hideMark/>
          </w:tcPr>
          <w:p w:rsidR="004F68EC" w:rsidRPr="004F68EC" w:rsidP="000D7670" w14:paraId="40E67C40" w14:textId="77777777">
            <w:pPr>
              <w:ind w:firstLine="200" w:firstLineChars="100"/>
              <w:jc w:val="right"/>
              <w:rPr>
                <w:rFonts w:ascii="Times New Roman" w:hAnsi="Times New Roman"/>
                <w:color w:val="000000"/>
                <w:sz w:val="20"/>
              </w:rPr>
            </w:pPr>
            <w:r w:rsidRPr="004F68EC">
              <w:rPr>
                <w:rFonts w:ascii="Times New Roman" w:hAnsi="Times New Roman"/>
                <w:color w:val="000000"/>
                <w:sz w:val="20"/>
              </w:rPr>
              <w:t>$13,172,252</w:t>
            </w:r>
          </w:p>
        </w:tc>
      </w:tr>
      <w:tr w14:paraId="3DE702FC" w14:textId="77777777" w:rsidTr="004F68EC">
        <w:tblPrEx>
          <w:tblW w:w="10260" w:type="dxa"/>
          <w:tblInd w:w="-10" w:type="dxa"/>
          <w:tblLook w:val="04A0"/>
        </w:tblPrEx>
        <w:trPr>
          <w:trHeight w:val="360"/>
        </w:trPr>
        <w:tc>
          <w:tcPr>
            <w:tcW w:w="808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4F68EC" w:rsidRPr="004F68EC" w:rsidP="000D7670" w14:paraId="679DC2C1" w14:textId="77777777">
            <w:pPr>
              <w:jc w:val="right"/>
              <w:rPr>
                <w:rFonts w:ascii="Times New Roman" w:hAnsi="Times New Roman"/>
                <w:b/>
                <w:bCs/>
                <w:i/>
                <w:iCs/>
                <w:color w:val="000000"/>
              </w:rPr>
            </w:pPr>
            <w:r w:rsidRPr="004F68EC">
              <w:rPr>
                <w:rFonts w:ascii="Times New Roman" w:hAnsi="Times New Roman"/>
                <w:b/>
                <w:bCs/>
                <w:i/>
                <w:iCs/>
                <w:color w:val="000000"/>
              </w:rPr>
              <w:t>Total Annual Respondent Cost:</w:t>
            </w:r>
          </w:p>
        </w:tc>
        <w:tc>
          <w:tcPr>
            <w:tcW w:w="2180" w:type="dxa"/>
            <w:tcBorders>
              <w:top w:val="nil"/>
              <w:left w:val="nil"/>
              <w:bottom w:val="single" w:sz="8" w:space="0" w:color="auto"/>
              <w:right w:val="single" w:sz="8" w:space="0" w:color="auto"/>
            </w:tcBorders>
            <w:shd w:val="clear" w:color="000000" w:fill="FFFFFF"/>
            <w:vAlign w:val="center"/>
            <w:hideMark/>
          </w:tcPr>
          <w:p w:rsidR="004F68EC" w:rsidRPr="004F68EC" w:rsidP="000D7670" w14:paraId="2A45414D" w14:textId="77777777">
            <w:pPr>
              <w:ind w:firstLine="240" w:firstLineChars="100"/>
              <w:jc w:val="right"/>
              <w:rPr>
                <w:rFonts w:ascii="Times New Roman" w:hAnsi="Times New Roman"/>
                <w:b/>
                <w:bCs/>
                <w:i/>
                <w:iCs/>
                <w:color w:val="000000"/>
              </w:rPr>
            </w:pPr>
            <w:r w:rsidRPr="004F68EC">
              <w:rPr>
                <w:rFonts w:ascii="Times New Roman" w:hAnsi="Times New Roman"/>
                <w:b/>
                <w:bCs/>
                <w:i/>
                <w:iCs/>
                <w:color w:val="000000"/>
              </w:rPr>
              <w:t xml:space="preserve">$13,172,252 </w:t>
            </w:r>
          </w:p>
        </w:tc>
      </w:tr>
      <w:tr w14:paraId="24F7BF04" w14:textId="77777777" w:rsidTr="004F68EC">
        <w:tblPrEx>
          <w:tblW w:w="10260" w:type="dxa"/>
          <w:tblInd w:w="-10" w:type="dxa"/>
          <w:tblLook w:val="04A0"/>
        </w:tblPrEx>
        <w:trPr>
          <w:trHeight w:val="232"/>
        </w:trPr>
        <w:tc>
          <w:tcPr>
            <w:tcW w:w="10260"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4F68EC" w:rsidRPr="004F68EC" w:rsidP="000D7670" w14:paraId="626A597B" w14:textId="77777777">
            <w:pPr>
              <w:rPr>
                <w:rFonts w:ascii="Times New Roman" w:hAnsi="Times New Roman"/>
                <w:color w:val="000000"/>
                <w:sz w:val="18"/>
                <w:szCs w:val="18"/>
              </w:rPr>
            </w:pPr>
            <w:r w:rsidRPr="004F68EC">
              <w:rPr>
                <w:rFonts w:ascii="Times New Roman" w:hAnsi="Times New Roman"/>
                <w:color w:val="000000"/>
                <w:sz w:val="18"/>
                <w:szCs w:val="18"/>
              </w:rPr>
              <w:t>Source: FDIC.</w:t>
            </w:r>
          </w:p>
        </w:tc>
      </w:tr>
    </w:tbl>
    <w:p w:rsidR="00D82970" w:rsidRPr="00A40227" w:rsidP="00A40227" w14:paraId="10F3E44B" w14:textId="77777777">
      <w:pPr>
        <w:pStyle w:val="ListParagraph"/>
        <w:tabs>
          <w:tab w:val="left" w:pos="-1440"/>
          <w:tab w:val="left" w:pos="1080"/>
          <w:tab w:val="left" w:pos="1710"/>
        </w:tabs>
        <w:spacing w:line="360" w:lineRule="auto"/>
        <w:ind w:left="1080"/>
        <w:rPr>
          <w:rFonts w:ascii="Times New Roman" w:hAnsi="Times New Roman"/>
        </w:rPr>
      </w:pPr>
    </w:p>
    <w:p w:rsidR="00F146F1" w:rsidRPr="006F584F" w:rsidP="00D879BD" w14:paraId="5D57EB0F" w14:textId="1D062BDE">
      <w:pPr>
        <w:pStyle w:val="ListParagraph"/>
        <w:numPr>
          <w:ilvl w:val="0"/>
          <w:numId w:val="11"/>
        </w:numPr>
        <w:tabs>
          <w:tab w:val="left" w:pos="-1440"/>
          <w:tab w:val="left" w:pos="1080"/>
          <w:tab w:val="left" w:pos="1710"/>
        </w:tabs>
        <w:spacing w:line="360" w:lineRule="auto"/>
        <w:ind w:left="1080"/>
        <w:rPr>
          <w:rFonts w:ascii="Times New Roman" w:hAnsi="Times New Roman"/>
        </w:rPr>
      </w:pPr>
      <w:r w:rsidRPr="00D879BD">
        <w:rPr>
          <w:rFonts w:ascii="Times New Roman" w:hAnsi="Times New Roman"/>
          <w:u w:val="single"/>
        </w:rPr>
        <w:t>Capital, Start-up, Operating, and Maintenance Estimate of Start-up Costs to Respondents</w:t>
      </w:r>
      <w:r w:rsidRPr="006F584F" w:rsidR="002423D4">
        <w:rPr>
          <w:rFonts w:ascii="Times New Roman" w:hAnsi="Times New Roman"/>
          <w:u w:val="single"/>
        </w:rPr>
        <w:t>:</w:t>
      </w:r>
    </w:p>
    <w:p w:rsidR="00FA715D" w14:paraId="10E19583" w14:textId="77777777">
      <w:pPr>
        <w:widowControl/>
        <w:ind w:left="720" w:firstLine="720"/>
        <w:rPr>
          <w:rFonts w:ascii="Times New Roman" w:hAnsi="Times New Roman"/>
        </w:rPr>
      </w:pPr>
    </w:p>
    <w:p w:rsidR="00F146F1" w14:paraId="39318E1E" w14:textId="5A0F944C">
      <w:pPr>
        <w:widowControl/>
        <w:ind w:left="720" w:firstLine="720"/>
        <w:rPr>
          <w:rFonts w:ascii="Times New Roman" w:hAnsi="Times New Roman"/>
        </w:rPr>
      </w:pPr>
      <w:r>
        <w:rPr>
          <w:rFonts w:ascii="Times New Roman" w:hAnsi="Times New Roman"/>
        </w:rPr>
        <w:t>None</w:t>
      </w:r>
      <w:r w:rsidRPr="00366534" w:rsidR="002423D4">
        <w:rPr>
          <w:rFonts w:ascii="Times New Roman" w:hAnsi="Times New Roman"/>
        </w:rPr>
        <w:t>.</w:t>
      </w:r>
    </w:p>
    <w:p w:rsidR="00F146F1" w14:paraId="3D25F256" w14:textId="77777777">
      <w:pPr>
        <w:widowControl/>
        <w:rPr>
          <w:rFonts w:ascii="Times New Roman" w:hAnsi="Times New Roman"/>
        </w:rPr>
      </w:pPr>
    </w:p>
    <w:p w:rsidR="00F146F1" w:rsidP="00FA715D" w14:paraId="73CE941F" w14:textId="77777777">
      <w:pPr>
        <w:widowControl/>
        <w:numPr>
          <w:ilvl w:val="0"/>
          <w:numId w:val="10"/>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14:paraId="57156305" w14:textId="77777777">
      <w:pPr>
        <w:widowControl/>
        <w:rPr>
          <w:rFonts w:ascii="Times New Roman" w:hAnsi="Times New Roman"/>
        </w:rPr>
      </w:pPr>
    </w:p>
    <w:p w:rsidR="00F146F1" w14:paraId="6A849719" w14:textId="77777777">
      <w:pPr>
        <w:widowControl/>
        <w:ind w:left="1440"/>
        <w:rPr>
          <w:rFonts w:ascii="Times New Roman" w:hAnsi="Times New Roman"/>
        </w:rPr>
      </w:pPr>
      <w:r>
        <w:rPr>
          <w:rFonts w:ascii="Times New Roman" w:hAnsi="Times New Roman"/>
        </w:rPr>
        <w:t xml:space="preserve">None. </w:t>
      </w:r>
    </w:p>
    <w:p w:rsidR="004F68EC" w14:paraId="62D019F9" w14:textId="77777777">
      <w:pPr>
        <w:widowControl/>
        <w:ind w:left="1440"/>
        <w:rPr>
          <w:rFonts w:ascii="Times New Roman" w:hAnsi="Times New Roman"/>
        </w:rPr>
      </w:pPr>
    </w:p>
    <w:p w:rsidR="00F146F1" w14:paraId="7BA58394" w14:textId="77777777">
      <w:pPr>
        <w:widowControl/>
        <w:ind w:left="1440"/>
        <w:rPr>
          <w:rFonts w:ascii="Times New Roman" w:hAnsi="Times New Roman"/>
        </w:rPr>
      </w:pPr>
    </w:p>
    <w:p w:rsidR="00F146F1" w:rsidRPr="009234BE" w:rsidP="00FA715D" w14:paraId="17B5BB61" w14:textId="0E0543F4">
      <w:pPr>
        <w:numPr>
          <w:ilvl w:val="0"/>
          <w:numId w:val="10"/>
        </w:numPr>
        <w:tabs>
          <w:tab w:val="left" w:pos="480"/>
          <w:tab w:val="left" w:pos="1080"/>
          <w:tab w:val="left" w:pos="1680"/>
        </w:tabs>
        <w:suppressAutoHyphens/>
        <w:rPr>
          <w:rFonts w:ascii="Times New Roman" w:hAnsi="Times New Roman"/>
        </w:rPr>
      </w:pPr>
      <w:r w:rsidRPr="009234BE">
        <w:rPr>
          <w:rFonts w:ascii="Times New Roman" w:hAnsi="Times New Roman"/>
          <w:u w:val="single"/>
        </w:rPr>
        <w:t xml:space="preserve">Analysis of </w:t>
      </w:r>
      <w:r w:rsidR="00622FB7">
        <w:rPr>
          <w:rFonts w:ascii="Times New Roman" w:hAnsi="Times New Roman"/>
          <w:u w:val="single"/>
        </w:rPr>
        <w:t>c</w:t>
      </w:r>
      <w:r w:rsidRPr="009234BE">
        <w:rPr>
          <w:rFonts w:ascii="Times New Roman" w:hAnsi="Times New Roman"/>
          <w:u w:val="single"/>
        </w:rPr>
        <w:t xml:space="preserve">hange in </w:t>
      </w:r>
      <w:r w:rsidR="00622FB7">
        <w:rPr>
          <w:rFonts w:ascii="Times New Roman" w:hAnsi="Times New Roman"/>
          <w:u w:val="single"/>
        </w:rPr>
        <w:t>b</w:t>
      </w:r>
      <w:r w:rsidRPr="009234BE">
        <w:rPr>
          <w:rFonts w:ascii="Times New Roman" w:hAnsi="Times New Roman"/>
          <w:u w:val="single"/>
        </w:rPr>
        <w:t>urden:</w:t>
      </w:r>
    </w:p>
    <w:p w:rsidR="00F146F1" w14:paraId="31E24065" w14:textId="77777777">
      <w:pPr>
        <w:widowControl/>
        <w:rPr>
          <w:rFonts w:ascii="Times New Roman" w:hAnsi="Times New Roman"/>
        </w:rPr>
      </w:pPr>
    </w:p>
    <w:p w:rsidR="00D5774D" w:rsidRPr="00E26853" w:rsidP="003548EB" w14:paraId="4FCD3975" w14:textId="1866D817">
      <w:pPr>
        <w:widowControl/>
        <w:ind w:left="1440"/>
        <w:rPr>
          <w:rFonts w:ascii="Times New Roman" w:hAnsi="Times New Roman"/>
          <w:i/>
          <w:iCs/>
          <w:spacing w:val="-3"/>
        </w:rPr>
      </w:pPr>
      <w:r w:rsidRPr="003604A6">
        <w:rPr>
          <w:rFonts w:ascii="Times New Roman" w:hAnsi="Times New Roman"/>
          <w:spacing w:val="-3"/>
        </w:rPr>
        <w:t xml:space="preserve">There is no change in the method or substance of the collection.  The overall </w:t>
      </w:r>
      <w:r w:rsidRPr="003604A6" w:rsidR="000019C0">
        <w:rPr>
          <w:rFonts w:ascii="Times New Roman" w:hAnsi="Times New Roman"/>
          <w:spacing w:val="-3"/>
        </w:rPr>
        <w:t>decrease</w:t>
      </w:r>
      <w:r w:rsidRPr="003604A6">
        <w:rPr>
          <w:rFonts w:ascii="Times New Roman" w:hAnsi="Times New Roman"/>
          <w:spacing w:val="-3"/>
        </w:rPr>
        <w:t xml:space="preserve"> in burden hours (from </w:t>
      </w:r>
      <w:r w:rsidR="00A90D06">
        <w:rPr>
          <w:rFonts w:ascii="Times New Roman" w:hAnsi="Times New Roman"/>
          <w:spacing w:val="-3"/>
        </w:rPr>
        <w:t>174,549</w:t>
      </w:r>
      <w:r w:rsidRPr="003604A6">
        <w:rPr>
          <w:rFonts w:ascii="Times New Roman" w:hAnsi="Times New Roman"/>
          <w:spacing w:val="-3"/>
        </w:rPr>
        <w:t xml:space="preserve"> hours to </w:t>
      </w:r>
      <w:r w:rsidR="00727BCC">
        <w:rPr>
          <w:rFonts w:ascii="Times New Roman" w:hAnsi="Times New Roman"/>
          <w:spacing w:val="-3"/>
        </w:rPr>
        <w:t>168,228</w:t>
      </w:r>
      <w:r w:rsidRPr="003604A6">
        <w:rPr>
          <w:rFonts w:ascii="Times New Roman" w:hAnsi="Times New Roman"/>
          <w:spacing w:val="-3"/>
        </w:rPr>
        <w:t xml:space="preserve"> hours) </w:t>
      </w:r>
      <w:r w:rsidR="00F86558">
        <w:rPr>
          <w:rFonts w:ascii="Times New Roman" w:hAnsi="Times New Roman"/>
          <w:spacing w:val="-3"/>
        </w:rPr>
        <w:t xml:space="preserve">is due to the decrease </w:t>
      </w:r>
      <w:r w:rsidR="009A25FA">
        <w:rPr>
          <w:rFonts w:ascii="Times New Roman" w:hAnsi="Times New Roman"/>
          <w:spacing w:val="-3"/>
        </w:rPr>
        <w:t>in the estimated number of respondents.</w:t>
      </w:r>
    </w:p>
    <w:p w:rsidR="004A13D2" w:rsidP="003548EB" w14:paraId="0F222462" w14:textId="77777777">
      <w:pPr>
        <w:widowControl/>
        <w:ind w:left="1440"/>
        <w:rPr>
          <w:rFonts w:ascii="Times New Roman" w:hAnsi="Times New Roman"/>
        </w:rPr>
      </w:pPr>
    </w:p>
    <w:p w:rsidR="00F146F1" w:rsidP="00FA715D" w14:paraId="2BDA8624" w14:textId="77777777">
      <w:pPr>
        <w:widowControl/>
        <w:numPr>
          <w:ilvl w:val="0"/>
          <w:numId w:val="10"/>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14:paraId="7958D1F1" w14:textId="77777777">
      <w:pPr>
        <w:widowControl/>
        <w:rPr>
          <w:rFonts w:ascii="Times New Roman" w:hAnsi="Times New Roman"/>
        </w:rPr>
      </w:pPr>
    </w:p>
    <w:p w:rsidR="00820109" w:rsidP="00573F81" w14:paraId="5F7AF399" w14:textId="77777777">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14:paraId="0AE027E6" w14:textId="77777777">
      <w:pPr>
        <w:widowControl/>
        <w:rPr>
          <w:rFonts w:ascii="Times New Roman" w:hAnsi="Times New Roman"/>
        </w:rPr>
      </w:pPr>
    </w:p>
    <w:p w:rsidR="00F146F1" w:rsidP="00FA715D" w14:paraId="54676AEF" w14:textId="3853AAED">
      <w:pPr>
        <w:widowControl/>
        <w:numPr>
          <w:ilvl w:val="0"/>
          <w:numId w:val="10"/>
        </w:numPr>
        <w:rPr>
          <w:rFonts w:ascii="Times New Roman" w:hAnsi="Times New Roman"/>
        </w:rPr>
      </w:pPr>
      <w:r w:rsidRPr="005320A1">
        <w:rPr>
          <w:rFonts w:ascii="Times New Roman" w:hAnsi="Times New Roman"/>
          <w:u w:val="single"/>
        </w:rPr>
        <w:t>Display of Expiration Date</w:t>
      </w:r>
      <w:r w:rsidR="00C856F6">
        <w:rPr>
          <w:rFonts w:ascii="Times New Roman" w:hAnsi="Times New Roman"/>
          <w:u w:val="single"/>
        </w:rPr>
        <w:t>:</w:t>
      </w:r>
    </w:p>
    <w:p w:rsidR="00F146F1" w14:paraId="1E7E3E80" w14:textId="77777777">
      <w:pPr>
        <w:widowControl/>
        <w:rPr>
          <w:rFonts w:ascii="Times New Roman" w:hAnsi="Times New Roman"/>
        </w:rPr>
      </w:pPr>
    </w:p>
    <w:p w:rsidR="00F146F1" w:rsidP="00820109" w14:paraId="6C3068A6" w14:textId="77777777">
      <w:pPr>
        <w:widowControl/>
        <w:ind w:left="1296" w:firstLine="144"/>
        <w:rPr>
          <w:rFonts w:ascii="Times New Roman" w:hAnsi="Times New Roman"/>
        </w:rPr>
      </w:pPr>
      <w:r w:rsidRPr="00FA715D">
        <w:rPr>
          <w:rFonts w:ascii="Times New Roman" w:hAnsi="Times New Roman"/>
        </w:rPr>
        <w:t>This information collection is contained in a regulation</w:t>
      </w:r>
      <w:r w:rsidRPr="00820109" w:rsidR="00820109">
        <w:rPr>
          <w:rFonts w:ascii="Times New Roman" w:hAnsi="Times New Roman"/>
        </w:rPr>
        <w:t>.</w:t>
      </w:r>
      <w:r>
        <w:rPr>
          <w:rFonts w:ascii="Times New Roman" w:hAnsi="Times New Roman"/>
        </w:rPr>
        <w:t xml:space="preserve"> </w:t>
      </w:r>
    </w:p>
    <w:p w:rsidR="00EC31FD" w:rsidP="00820109" w14:paraId="182B9255" w14:textId="049A29D3">
      <w:pPr>
        <w:widowControl/>
        <w:ind w:left="1296" w:firstLine="144"/>
        <w:rPr>
          <w:rFonts w:ascii="Times New Roman" w:hAnsi="Times New Roman"/>
        </w:rPr>
      </w:pPr>
    </w:p>
    <w:p w:rsidR="006F584F" w:rsidP="00820109" w14:paraId="294342F8" w14:textId="77777777">
      <w:pPr>
        <w:widowControl/>
        <w:ind w:left="1296" w:firstLine="144"/>
        <w:rPr>
          <w:rFonts w:ascii="Times New Roman" w:hAnsi="Times New Roman"/>
        </w:rPr>
      </w:pPr>
    </w:p>
    <w:p w:rsidR="00F146F1" w:rsidP="00FA715D" w14:paraId="5A997B41" w14:textId="77777777">
      <w:pPr>
        <w:widowControl/>
        <w:numPr>
          <w:ilvl w:val="0"/>
          <w:numId w:val="10"/>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14:paraId="4D1A452E" w14:textId="77777777">
      <w:pPr>
        <w:widowControl/>
        <w:rPr>
          <w:rFonts w:ascii="Times New Roman" w:hAnsi="Times New Roman"/>
        </w:rPr>
      </w:pPr>
    </w:p>
    <w:p w:rsidR="00F146F1" w14:paraId="03DCC404" w14:textId="77777777">
      <w:pPr>
        <w:widowControl/>
        <w:ind w:left="1296" w:firstLine="144"/>
        <w:rPr>
          <w:rFonts w:ascii="Times New Roman" w:hAnsi="Times New Roman"/>
        </w:rPr>
      </w:pPr>
      <w:r>
        <w:rPr>
          <w:rFonts w:ascii="Times New Roman" w:hAnsi="Times New Roman"/>
        </w:rPr>
        <w:t xml:space="preserve">None. </w:t>
      </w:r>
    </w:p>
    <w:p w:rsidR="00F146F1" w14:paraId="475879D0" w14:textId="77777777">
      <w:pPr>
        <w:pStyle w:val="Footer"/>
        <w:widowControl/>
        <w:tabs>
          <w:tab w:val="clear" w:pos="4320"/>
          <w:tab w:val="clear" w:pos="8640"/>
        </w:tabs>
        <w:rPr>
          <w:rFonts w:ascii="Times New Roman" w:hAnsi="Times New Roman"/>
        </w:rPr>
      </w:pPr>
    </w:p>
    <w:p w:rsidR="00F146F1" w:rsidP="0024672A" w14:paraId="2845E86C" w14:textId="77777777">
      <w:pPr>
        <w:widowControl/>
        <w:numPr>
          <w:ilvl w:val="0"/>
          <w:numId w:val="2"/>
        </w:numPr>
        <w:rPr>
          <w:rFonts w:ascii="Times New Roman" w:hAnsi="Times New Roman"/>
        </w:rPr>
      </w:pPr>
      <w:r>
        <w:rPr>
          <w:rFonts w:ascii="Times New Roman" w:hAnsi="Times New Roman"/>
          <w:u w:val="single"/>
        </w:rPr>
        <w:t>STATISTICAL METHODS</w:t>
      </w:r>
    </w:p>
    <w:p w:rsidR="00F146F1" w14:paraId="1CF23221" w14:textId="77777777">
      <w:pPr>
        <w:widowControl/>
        <w:rPr>
          <w:rFonts w:ascii="Times New Roman" w:hAnsi="Times New Roman"/>
        </w:rPr>
      </w:pPr>
    </w:p>
    <w:p w:rsidR="00F146F1" w:rsidP="005320A1" w14:paraId="1279ECFD" w14:textId="77777777">
      <w:pPr>
        <w:ind w:left="360" w:firstLine="720"/>
      </w:pPr>
      <w:r>
        <w:rPr>
          <w:rFonts w:ascii="Times New Roman" w:hAnsi="Times New Roman"/>
        </w:rPr>
        <w:t>Statistical methods are not employed in this collection.</w:t>
      </w:r>
    </w:p>
    <w:sectPr w:rsidSect="00B91D2F">
      <w:headerReference w:type="even" r:id="rId5"/>
      <w:headerReference w:type="default" r:id="rId6"/>
      <w:footerReference w:type="default" r:id="rId7"/>
      <w:headerReference w:type="first" r:id="rId8"/>
      <w:pgSz w:w="12240" w:h="15840" w:code="1"/>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B6E" w:rsidRPr="00AB4B6E" w14:paraId="6E1CB0A1" w14:textId="6100D234">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6F584F">
      <w:rPr>
        <w:rFonts w:ascii="Times New Roman" w:hAnsi="Times New Roman"/>
        <w:noProof/>
      </w:rPr>
      <w:t>10</w:t>
    </w:r>
    <w:r w:rsidRPr="00AB4B6E">
      <w:rPr>
        <w:rFonts w:ascii="Times New Roman" w:hAnsi="Times New Roman"/>
        <w:noProof/>
      </w:rPr>
      <w:fldChar w:fldCharType="end"/>
    </w:r>
  </w:p>
  <w:p w:rsidR="00AB4B6E" w14:paraId="5DB113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56CDECDF" w14:textId="279272B0">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381885" cy="382270"/>
              <wp:effectExtent l="0" t="0" r="18415" b="17780"/>
              <wp:wrapNone/>
              <wp:docPr id="352316983" name="Text Box 2"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6C6489" w:rsidRPr="006C6489" w:rsidP="006C6489" w14:textId="2426EBCB">
                          <w:pPr>
                            <w:rPr>
                              <w:rFonts w:ascii="Source Sans Pro Semibold" w:eastAsia="Source Sans Pro Semibold" w:hAnsi="Source Sans Pro Semibold" w:cs="Source Sans Pro Semibold"/>
                              <w:noProof/>
                              <w:color w:val="000000"/>
                              <w:szCs w:val="24"/>
                            </w:rPr>
                          </w:pPr>
                          <w:r w:rsidRPr="006C6489">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6C6489" w:rsidRPr="006C6489" w:rsidP="006C6489" w14:paraId="047C005F" w14:textId="2426EBCB">
                    <w:pPr>
                      <w:rPr>
                        <w:rFonts w:ascii="Source Sans Pro Semibold" w:eastAsia="Source Sans Pro Semibold" w:hAnsi="Source Sans Pro Semibold" w:cs="Source Sans Pro Semibold"/>
                        <w:noProof/>
                        <w:color w:val="000000"/>
                        <w:szCs w:val="24"/>
                      </w:rPr>
                    </w:pPr>
                    <w:r w:rsidRPr="006C6489">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1D93CAA2" w14:textId="42AAC5BB">
    <w:pPr>
      <w:pStyle w:val="Head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381885" cy="382270"/>
              <wp:effectExtent l="0" t="0" r="18415" b="17780"/>
              <wp:wrapNone/>
              <wp:docPr id="804328962" name="Text Box 3"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6C6489" w:rsidRPr="006C6489" w:rsidP="006C6489" w14:textId="047C3F3A">
                          <w:pPr>
                            <w:rPr>
                              <w:rFonts w:ascii="Source Sans Pro Semibold" w:eastAsia="Source Sans Pro Semibold" w:hAnsi="Source Sans Pro Semibold" w:cs="Source Sans Pro Semibold"/>
                              <w:noProof/>
                              <w:color w:val="000000"/>
                              <w:szCs w:val="24"/>
                            </w:rPr>
                          </w:pPr>
                          <w:r w:rsidRPr="006C6489">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fill o:detectmouseclick="t"/>
              <v:textbox style="mso-fit-shape-to-text:t" inset="0,15pt,0,0">
                <w:txbxContent>
                  <w:p w:rsidR="006C6489" w:rsidRPr="006C6489" w:rsidP="006C6489" w14:paraId="32A1CE83" w14:textId="047C3F3A">
                    <w:pPr>
                      <w:rPr>
                        <w:rFonts w:ascii="Source Sans Pro Semibold" w:eastAsia="Source Sans Pro Semibold" w:hAnsi="Source Sans Pro Semibold" w:cs="Source Sans Pro Semibold"/>
                        <w:noProof/>
                        <w:color w:val="000000"/>
                        <w:szCs w:val="24"/>
                      </w:rPr>
                    </w:pPr>
                    <w:r w:rsidRPr="006C6489">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1BE28EC3" w14:textId="3C77A1F3">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381885" cy="382270"/>
              <wp:effectExtent l="0" t="0" r="18415" b="17780"/>
              <wp:wrapNone/>
              <wp:docPr id="177616490" name="Text Box 1" descr="CONTROLLED//FDIC INTERNAL ONLY">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382270"/>
                      </a:xfrm>
                      <a:prstGeom prst="rect">
                        <a:avLst/>
                      </a:prstGeom>
                      <a:noFill/>
                      <a:ln>
                        <a:noFill/>
                      </a:ln>
                    </wps:spPr>
                    <wps:txbx>
                      <w:txbxContent>
                        <w:p w:rsidR="006C6489" w:rsidRPr="006C6489" w:rsidP="006C6489" w14:textId="2A8CD559">
                          <w:pPr>
                            <w:rPr>
                              <w:rFonts w:ascii="Source Sans Pro Semibold" w:eastAsia="Source Sans Pro Semibold" w:hAnsi="Source Sans Pro Semibold" w:cs="Source Sans Pro Semibold"/>
                              <w:noProof/>
                              <w:color w:val="000000"/>
                              <w:szCs w:val="24"/>
                            </w:rPr>
                          </w:pPr>
                          <w:r w:rsidRPr="006C6489">
                            <w:rPr>
                              <w:rFonts w:ascii="Source Sans Pro Semibold" w:eastAsia="Source Sans Pro Semibold" w:hAnsi="Source Sans Pro Semibold" w:cs="Source Sans Pro Semibold"/>
                              <w:noProof/>
                              <w:color w:val="000000"/>
                              <w:szCs w:val="24"/>
                            </w:rPr>
                            <w:t>CONTROLLED//FDIC INTERNAL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CONTROLLED//FDIC INTERNAL ONLY" style="width:18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0,15pt,0,0">
                <w:txbxContent>
                  <w:p w:rsidR="006C6489" w:rsidRPr="006C6489" w:rsidP="006C6489" w14:paraId="7708E02B" w14:textId="2A8CD559">
                    <w:pPr>
                      <w:rPr>
                        <w:rFonts w:ascii="Source Sans Pro Semibold" w:eastAsia="Source Sans Pro Semibold" w:hAnsi="Source Sans Pro Semibold" w:cs="Source Sans Pro Semibold"/>
                        <w:noProof/>
                        <w:color w:val="000000"/>
                        <w:szCs w:val="24"/>
                      </w:rPr>
                    </w:pPr>
                    <w:r w:rsidRPr="006C6489">
                      <w:rPr>
                        <w:rFonts w:ascii="Source Sans Pro Semibold" w:eastAsia="Source Sans Pro Semibold" w:hAnsi="Source Sans Pro Semibold" w:cs="Source Sans Pro Semibold"/>
                        <w:noProof/>
                        <w:color w:val="000000"/>
                        <w:szCs w:val="24"/>
                      </w:rPr>
                      <w:t>CONTROLLED//FDIC INTERNAL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523C"/>
    <w:multiLevelType w:val="hybridMultilevel"/>
    <w:tmpl w:val="6ED445DA"/>
    <w:lvl w:ilvl="0">
      <w:start w:val="1"/>
      <w:numFmt w:val="decimal"/>
      <w:lvlText w:val="%1."/>
      <w:lvlJc w:val="left"/>
      <w:pPr>
        <w:ind w:left="2160" w:hanging="864"/>
      </w:pPr>
      <w:rPr>
        <w:rFonts w:hint="default"/>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1">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nsid w:val="0DAE780E"/>
    <w:multiLevelType w:val="hybridMultilevel"/>
    <w:tmpl w:val="FB082562"/>
    <w:lvl w:ilvl="0">
      <w:start w:val="1"/>
      <w:numFmt w:val="decimal"/>
      <w:lvlText w:val="%1."/>
      <w:lvlJc w:val="left"/>
      <w:pPr>
        <w:ind w:left="36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7A3F88"/>
    <w:multiLevelType w:val="hybridMultilevel"/>
    <w:tmpl w:val="380A44D4"/>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411919"/>
    <w:multiLevelType w:val="hybridMultilevel"/>
    <w:tmpl w:val="0DF023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3446CD4"/>
    <w:multiLevelType w:val="hybridMultilevel"/>
    <w:tmpl w:val="BA4A5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1065410"/>
    <w:multiLevelType w:val="hybridMultilevel"/>
    <w:tmpl w:val="42BA23F0"/>
    <w:lvl w:ilvl="0">
      <w:start w:val="13"/>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2E18A7"/>
    <w:multiLevelType w:val="hybridMultilevel"/>
    <w:tmpl w:val="F22C2890"/>
    <w:lvl w:ilvl="0">
      <w:start w:val="14"/>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7436B8"/>
    <w:multiLevelType w:val="hybridMultilevel"/>
    <w:tmpl w:val="FD229DE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C657D3"/>
    <w:multiLevelType w:val="hybridMultilevel"/>
    <w:tmpl w:val="1DF6ECE0"/>
    <w:lvl w:ilvl="0">
      <w:start w:val="13"/>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C0142F1"/>
    <w:multiLevelType w:val="hybridMultilevel"/>
    <w:tmpl w:val="D7686AD0"/>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43620">
    <w:abstractNumId w:val="5"/>
  </w:num>
  <w:num w:numId="2" w16cid:durableId="1205361691">
    <w:abstractNumId w:val="8"/>
  </w:num>
  <w:num w:numId="3" w16cid:durableId="2034530544">
    <w:abstractNumId w:val="0"/>
  </w:num>
  <w:num w:numId="4" w16cid:durableId="176770251">
    <w:abstractNumId w:val="4"/>
  </w:num>
  <w:num w:numId="5" w16cid:durableId="2123302366">
    <w:abstractNumId w:val="1"/>
  </w:num>
  <w:num w:numId="6" w16cid:durableId="1893881705">
    <w:abstractNumId w:val="3"/>
  </w:num>
  <w:num w:numId="7" w16cid:durableId="1594320012">
    <w:abstractNumId w:val="10"/>
  </w:num>
  <w:num w:numId="8" w16cid:durableId="2127694705">
    <w:abstractNumId w:val="2"/>
  </w:num>
  <w:num w:numId="9" w16cid:durableId="130292352">
    <w:abstractNumId w:val="9"/>
  </w:num>
  <w:num w:numId="10" w16cid:durableId="1737632435">
    <w:abstractNumId w:val="7"/>
  </w:num>
  <w:num w:numId="11" w16cid:durableId="391150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3A"/>
    <w:rsid w:val="000014B9"/>
    <w:rsid w:val="000019C0"/>
    <w:rsid w:val="000305E9"/>
    <w:rsid w:val="00041792"/>
    <w:rsid w:val="000467FC"/>
    <w:rsid w:val="00046904"/>
    <w:rsid w:val="00091BEA"/>
    <w:rsid w:val="000B08A5"/>
    <w:rsid w:val="000C2522"/>
    <w:rsid w:val="000D7670"/>
    <w:rsid w:val="000E621B"/>
    <w:rsid w:val="000F36F0"/>
    <w:rsid w:val="000F78A5"/>
    <w:rsid w:val="001025E3"/>
    <w:rsid w:val="00133277"/>
    <w:rsid w:val="00141FCE"/>
    <w:rsid w:val="0014226C"/>
    <w:rsid w:val="00145F58"/>
    <w:rsid w:val="00147951"/>
    <w:rsid w:val="001544DF"/>
    <w:rsid w:val="00157D6C"/>
    <w:rsid w:val="001614C5"/>
    <w:rsid w:val="001903AE"/>
    <w:rsid w:val="0019296B"/>
    <w:rsid w:val="001A2105"/>
    <w:rsid w:val="001B6E46"/>
    <w:rsid w:val="001C1315"/>
    <w:rsid w:val="001F2335"/>
    <w:rsid w:val="001F25AB"/>
    <w:rsid w:val="001F423C"/>
    <w:rsid w:val="001F4E62"/>
    <w:rsid w:val="0022479C"/>
    <w:rsid w:val="002259F8"/>
    <w:rsid w:val="002423D4"/>
    <w:rsid w:val="00243153"/>
    <w:rsid w:val="00244DE1"/>
    <w:rsid w:val="0024672A"/>
    <w:rsid w:val="00256911"/>
    <w:rsid w:val="00257FD9"/>
    <w:rsid w:val="00261EDE"/>
    <w:rsid w:val="00263676"/>
    <w:rsid w:val="00270559"/>
    <w:rsid w:val="00275749"/>
    <w:rsid w:val="002761FD"/>
    <w:rsid w:val="00280958"/>
    <w:rsid w:val="00293E01"/>
    <w:rsid w:val="002B5C29"/>
    <w:rsid w:val="002D08FA"/>
    <w:rsid w:val="002E7411"/>
    <w:rsid w:val="0030358E"/>
    <w:rsid w:val="00306A74"/>
    <w:rsid w:val="003111CD"/>
    <w:rsid w:val="003548EB"/>
    <w:rsid w:val="00360271"/>
    <w:rsid w:val="003604A6"/>
    <w:rsid w:val="00366534"/>
    <w:rsid w:val="003801B9"/>
    <w:rsid w:val="00387C01"/>
    <w:rsid w:val="00397D8A"/>
    <w:rsid w:val="003A03F0"/>
    <w:rsid w:val="003A7E15"/>
    <w:rsid w:val="003B6611"/>
    <w:rsid w:val="00403156"/>
    <w:rsid w:val="004236C6"/>
    <w:rsid w:val="004320E6"/>
    <w:rsid w:val="00440BFE"/>
    <w:rsid w:val="00450EA2"/>
    <w:rsid w:val="004565BD"/>
    <w:rsid w:val="004610F8"/>
    <w:rsid w:val="004A13D2"/>
    <w:rsid w:val="004A1DB1"/>
    <w:rsid w:val="004A735C"/>
    <w:rsid w:val="004A75C2"/>
    <w:rsid w:val="004D178A"/>
    <w:rsid w:val="004D39FB"/>
    <w:rsid w:val="004E46C5"/>
    <w:rsid w:val="004F68EC"/>
    <w:rsid w:val="005175CB"/>
    <w:rsid w:val="005215AD"/>
    <w:rsid w:val="005320A1"/>
    <w:rsid w:val="00541115"/>
    <w:rsid w:val="005710C6"/>
    <w:rsid w:val="00573D54"/>
    <w:rsid w:val="00573F81"/>
    <w:rsid w:val="005773AE"/>
    <w:rsid w:val="00577D56"/>
    <w:rsid w:val="00583579"/>
    <w:rsid w:val="005B4A72"/>
    <w:rsid w:val="005C3A95"/>
    <w:rsid w:val="005D7D11"/>
    <w:rsid w:val="005E1A91"/>
    <w:rsid w:val="00622892"/>
    <w:rsid w:val="00622FB7"/>
    <w:rsid w:val="0063577C"/>
    <w:rsid w:val="00645A81"/>
    <w:rsid w:val="00665011"/>
    <w:rsid w:val="00685D84"/>
    <w:rsid w:val="00686394"/>
    <w:rsid w:val="006877D5"/>
    <w:rsid w:val="006C40EC"/>
    <w:rsid w:val="006C6489"/>
    <w:rsid w:val="006D363B"/>
    <w:rsid w:val="006E7CE7"/>
    <w:rsid w:val="006F584F"/>
    <w:rsid w:val="007128AC"/>
    <w:rsid w:val="00712BA4"/>
    <w:rsid w:val="00727BCC"/>
    <w:rsid w:val="0073611C"/>
    <w:rsid w:val="007403A4"/>
    <w:rsid w:val="007520FC"/>
    <w:rsid w:val="007B6499"/>
    <w:rsid w:val="007C18CB"/>
    <w:rsid w:val="007C7C88"/>
    <w:rsid w:val="007E19E5"/>
    <w:rsid w:val="00820109"/>
    <w:rsid w:val="00837F0F"/>
    <w:rsid w:val="00850EBB"/>
    <w:rsid w:val="0086148F"/>
    <w:rsid w:val="00886ADA"/>
    <w:rsid w:val="008C5E58"/>
    <w:rsid w:val="008C6421"/>
    <w:rsid w:val="008D5746"/>
    <w:rsid w:val="008E67B9"/>
    <w:rsid w:val="008F6AF3"/>
    <w:rsid w:val="00915517"/>
    <w:rsid w:val="009234BE"/>
    <w:rsid w:val="00940034"/>
    <w:rsid w:val="009438A5"/>
    <w:rsid w:val="009444CC"/>
    <w:rsid w:val="00945113"/>
    <w:rsid w:val="009533E6"/>
    <w:rsid w:val="00966D55"/>
    <w:rsid w:val="009A25FA"/>
    <w:rsid w:val="009A2D61"/>
    <w:rsid w:val="009B56A4"/>
    <w:rsid w:val="009C52CF"/>
    <w:rsid w:val="009D2562"/>
    <w:rsid w:val="00A07FF0"/>
    <w:rsid w:val="00A2735A"/>
    <w:rsid w:val="00A352C5"/>
    <w:rsid w:val="00A40227"/>
    <w:rsid w:val="00A5592E"/>
    <w:rsid w:val="00A61D6E"/>
    <w:rsid w:val="00A85EB9"/>
    <w:rsid w:val="00A90D06"/>
    <w:rsid w:val="00A92BC6"/>
    <w:rsid w:val="00A9693A"/>
    <w:rsid w:val="00AB4B6E"/>
    <w:rsid w:val="00AB5440"/>
    <w:rsid w:val="00AC65F4"/>
    <w:rsid w:val="00AC6C23"/>
    <w:rsid w:val="00AF457E"/>
    <w:rsid w:val="00B10980"/>
    <w:rsid w:val="00B12AA5"/>
    <w:rsid w:val="00B37694"/>
    <w:rsid w:val="00B53EE5"/>
    <w:rsid w:val="00B84F00"/>
    <w:rsid w:val="00B8769D"/>
    <w:rsid w:val="00B87773"/>
    <w:rsid w:val="00B91D2F"/>
    <w:rsid w:val="00BD100A"/>
    <w:rsid w:val="00BE42C9"/>
    <w:rsid w:val="00BE646F"/>
    <w:rsid w:val="00BE7264"/>
    <w:rsid w:val="00C2127E"/>
    <w:rsid w:val="00C378BA"/>
    <w:rsid w:val="00C40A1A"/>
    <w:rsid w:val="00C47693"/>
    <w:rsid w:val="00C56C82"/>
    <w:rsid w:val="00C650FC"/>
    <w:rsid w:val="00C70551"/>
    <w:rsid w:val="00C85089"/>
    <w:rsid w:val="00C856F6"/>
    <w:rsid w:val="00CA0678"/>
    <w:rsid w:val="00CA1704"/>
    <w:rsid w:val="00CA5E80"/>
    <w:rsid w:val="00CC631A"/>
    <w:rsid w:val="00D07D24"/>
    <w:rsid w:val="00D367A8"/>
    <w:rsid w:val="00D42DF2"/>
    <w:rsid w:val="00D463FB"/>
    <w:rsid w:val="00D5774D"/>
    <w:rsid w:val="00D61C76"/>
    <w:rsid w:val="00D82970"/>
    <w:rsid w:val="00D879BD"/>
    <w:rsid w:val="00D90E2D"/>
    <w:rsid w:val="00DB3B4B"/>
    <w:rsid w:val="00DB6017"/>
    <w:rsid w:val="00DE7B91"/>
    <w:rsid w:val="00DF6607"/>
    <w:rsid w:val="00E102C0"/>
    <w:rsid w:val="00E20E7C"/>
    <w:rsid w:val="00E25D2F"/>
    <w:rsid w:val="00E26853"/>
    <w:rsid w:val="00E31410"/>
    <w:rsid w:val="00E57520"/>
    <w:rsid w:val="00E57EA2"/>
    <w:rsid w:val="00E7798A"/>
    <w:rsid w:val="00EC31FD"/>
    <w:rsid w:val="00ED4700"/>
    <w:rsid w:val="00EE7AE6"/>
    <w:rsid w:val="00EF4F6D"/>
    <w:rsid w:val="00F11548"/>
    <w:rsid w:val="00F14469"/>
    <w:rsid w:val="00F146F1"/>
    <w:rsid w:val="00F175D5"/>
    <w:rsid w:val="00F26908"/>
    <w:rsid w:val="00F57EDA"/>
    <w:rsid w:val="00F611B1"/>
    <w:rsid w:val="00F64A3B"/>
    <w:rsid w:val="00F85608"/>
    <w:rsid w:val="00F86558"/>
    <w:rsid w:val="00FA0B60"/>
    <w:rsid w:val="00FA4D5D"/>
    <w:rsid w:val="00FA5B95"/>
    <w:rsid w:val="00FA715D"/>
    <w:rsid w:val="00FB61A0"/>
    <w:rsid w:val="00FD0AC1"/>
    <w:rsid w:val="00FE0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C4A3E5"/>
  <w15:chartTrackingRefBased/>
  <w15:docId w15:val="{A1939B95-5F15-4F0A-B600-CC3A6FC2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locked/>
    <w:rsid w:val="00FE049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ootnote Reference),12,BVI fnr,EN Footnote Reference,Footnote,Footnote Reference Superscript,Footnote reference number,Footnote symbol,Nota,SUPERS,Style 14,Style 16,Style 19,Style 35,Style 39,Style 6,Voetnootverwijzing,fr,note TESI"/>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 w:type="table" w:customStyle="1" w:styleId="TableGrid2">
    <w:name w:val="Table Grid2"/>
    <w:basedOn w:val="TableNormal"/>
    <w:next w:val="TableGrid"/>
    <w:uiPriority w:val="39"/>
    <w:rsid w:val="00945113"/>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773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773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1593-0B74-4A94-B30E-BA128880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Gofney, Rashida K.</cp:lastModifiedBy>
  <cp:revision>63</cp:revision>
  <dcterms:created xsi:type="dcterms:W3CDTF">2025-04-02T17:03:00Z</dcterms:created>
  <dcterms:modified xsi:type="dcterms:W3CDTF">2025-04-02T20:14:00Z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a96366a,14ffee37,2ff11602</vt:lpwstr>
  </property>
  <property fmtid="{D5CDD505-2E9C-101B-9397-08002B2CF9AE}" pid="4" name="ClassificationContentMarkingHeaderText">
    <vt:lpwstr>CONTROLLED//FDIC INTERNAL ONLY</vt:lpwstr>
  </property>
  <property fmtid="{D5CDD505-2E9C-101B-9397-08002B2CF9AE}" pid="5" name="MSIP_Label_8e8b60d7-0d0f-4bba-99cb-e67b75665b9a_ActionId">
    <vt:lpwstr>a1674952-0502-4c81-a959-f2e6cec41bdc</vt:lpwstr>
  </property>
  <property fmtid="{D5CDD505-2E9C-101B-9397-08002B2CF9AE}" pid="6" name="MSIP_Label_8e8b60d7-0d0f-4bba-99cb-e67b75665b9a_ContentBits">
    <vt:lpwstr>1</vt:lpwstr>
  </property>
  <property fmtid="{D5CDD505-2E9C-101B-9397-08002B2CF9AE}" pid="7" name="MSIP_Label_8e8b60d7-0d0f-4bba-99cb-e67b75665b9a_Enabled">
    <vt:lpwstr>true</vt:lpwstr>
  </property>
  <property fmtid="{D5CDD505-2E9C-101B-9397-08002B2CF9AE}" pid="8" name="MSIP_Label_8e8b60d7-0d0f-4bba-99cb-e67b75665b9a_Method">
    <vt:lpwstr>Privileged</vt:lpwstr>
  </property>
  <property fmtid="{D5CDD505-2E9C-101B-9397-08002B2CF9AE}" pid="9" name="MSIP_Label_8e8b60d7-0d0f-4bba-99cb-e67b75665b9a_Name">
    <vt:lpwstr>8e8b60d7-0d0f-4bba-99cb-e67b75665b9a</vt:lpwstr>
  </property>
  <property fmtid="{D5CDD505-2E9C-101B-9397-08002B2CF9AE}" pid="10" name="MSIP_Label_8e8b60d7-0d0f-4bba-99cb-e67b75665b9a_SetDate">
    <vt:lpwstr>2025-04-02T16:59:11Z</vt:lpwstr>
  </property>
  <property fmtid="{D5CDD505-2E9C-101B-9397-08002B2CF9AE}" pid="11" name="MSIP_Label_8e8b60d7-0d0f-4bba-99cb-e67b75665b9a_SiteId">
    <vt:lpwstr>26c83bc9-31c1-4d77-a523-0816095aba31</vt:lpwstr>
  </property>
  <property fmtid="{D5CDD505-2E9C-101B-9397-08002B2CF9AE}" pid="12" name="MSIP_Label_8e8b60d7-0d0f-4bba-99cb-e67b75665b9a_Tag">
    <vt:lpwstr>10, 0, 1, 1</vt:lpwstr>
  </property>
</Properties>
</file>