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31C3" w:rsidRPr="005A08FC" w:rsidP="001F44FE" w14:paraId="6B1E9925" w14:textId="200EE57E">
      <w:pPr>
        <w:contextualSpacing/>
        <w:jc w:val="center"/>
        <w:rPr>
          <w:rFonts w:cs="Calibri"/>
          <w:b/>
          <w:sz w:val="24"/>
          <w:szCs w:val="24"/>
        </w:rPr>
      </w:pPr>
      <w:r w:rsidRPr="005A08FC">
        <w:rPr>
          <w:rFonts w:cs="Calibri"/>
          <w:b/>
          <w:sz w:val="24"/>
          <w:szCs w:val="24"/>
        </w:rPr>
        <w:t xml:space="preserve"> </w:t>
      </w:r>
      <w:r w:rsidRPr="005A08FC">
        <w:rPr>
          <w:rFonts w:cs="Calibri"/>
          <w:b/>
          <w:sz w:val="24"/>
          <w:szCs w:val="24"/>
        </w:rPr>
        <w:t xml:space="preserve">Supporting Statement for </w:t>
      </w:r>
    </w:p>
    <w:p w:rsidR="00056EF3" w:rsidRPr="005A08FC" w:rsidP="001F44FE" w14:paraId="0FE61A47" w14:textId="77777777">
      <w:pPr>
        <w:contextualSpacing/>
        <w:jc w:val="center"/>
        <w:rPr>
          <w:rFonts w:cs="Calibri"/>
          <w:b/>
          <w:sz w:val="24"/>
          <w:szCs w:val="24"/>
        </w:rPr>
      </w:pPr>
      <w:r w:rsidRPr="005A08FC">
        <w:rPr>
          <w:rFonts w:cs="Calibri"/>
          <w:b/>
          <w:sz w:val="24"/>
          <w:szCs w:val="24"/>
        </w:rPr>
        <w:t xml:space="preserve">Application for Pre-Need Determination of Eligibility for </w:t>
      </w:r>
    </w:p>
    <w:p w:rsidR="001F31C3" w:rsidRPr="005A08FC" w:rsidP="001F44FE" w14:paraId="098AE226" w14:textId="1CA7C420">
      <w:pPr>
        <w:contextualSpacing/>
        <w:jc w:val="center"/>
        <w:rPr>
          <w:rFonts w:cs="Calibri"/>
          <w:b/>
          <w:sz w:val="24"/>
          <w:szCs w:val="24"/>
        </w:rPr>
      </w:pPr>
      <w:r w:rsidRPr="005A08FC">
        <w:rPr>
          <w:rFonts w:cs="Calibri"/>
          <w:b/>
          <w:sz w:val="24"/>
          <w:szCs w:val="24"/>
        </w:rPr>
        <w:t>Burial in a VA National Cemetery</w:t>
      </w:r>
      <w:r w:rsidRPr="005A08FC" w:rsidR="00583ED9">
        <w:rPr>
          <w:rFonts w:cs="Calibri"/>
          <w:b/>
          <w:sz w:val="24"/>
          <w:szCs w:val="24"/>
        </w:rPr>
        <w:br/>
      </w:r>
      <w:r w:rsidRPr="005A08FC" w:rsidR="00583ED9">
        <w:rPr>
          <w:rFonts w:cs="Calibri"/>
          <w:b/>
          <w:color w:val="000000"/>
          <w:sz w:val="24"/>
          <w:szCs w:val="24"/>
        </w:rPr>
        <w:t xml:space="preserve">OMB </w:t>
      </w:r>
      <w:r w:rsidRPr="005A08FC" w:rsidR="00266DC3">
        <w:rPr>
          <w:rFonts w:cs="Calibri"/>
          <w:b/>
          <w:color w:val="000000"/>
          <w:sz w:val="24"/>
          <w:szCs w:val="24"/>
        </w:rPr>
        <w:t xml:space="preserve">Control Number: </w:t>
      </w:r>
      <w:r w:rsidRPr="005A08FC" w:rsidR="00583ED9">
        <w:rPr>
          <w:rFonts w:cs="Calibri"/>
          <w:b/>
          <w:color w:val="000000"/>
          <w:sz w:val="24"/>
          <w:szCs w:val="24"/>
        </w:rPr>
        <w:t>2900-0784</w:t>
      </w:r>
    </w:p>
    <w:p w:rsidR="001F31C3" w:rsidRPr="005A08FC" w:rsidP="001F31C3" w14:paraId="301282CE" w14:textId="77777777">
      <w:pPr>
        <w:rPr>
          <w:rFonts w:cs="Calibri"/>
          <w:sz w:val="24"/>
          <w:szCs w:val="24"/>
        </w:rPr>
      </w:pPr>
    </w:p>
    <w:p w:rsidR="001F31C3" w:rsidRPr="005A08FC" w:rsidP="001F31C3" w14:paraId="5130D8C0" w14:textId="77777777">
      <w:pPr>
        <w:pStyle w:val="ListParagraph"/>
        <w:numPr>
          <w:ilvl w:val="0"/>
          <w:numId w:val="1"/>
        </w:numPr>
        <w:rPr>
          <w:rFonts w:eastAsia="Times New Roman" w:cs="Calibri"/>
          <w:b/>
          <w:sz w:val="24"/>
          <w:szCs w:val="24"/>
        </w:rPr>
      </w:pPr>
      <w:r w:rsidRPr="005A08FC">
        <w:rPr>
          <w:rFonts w:eastAsia="Times New Roman" w:cs="Calibri"/>
          <w:b/>
          <w:sz w:val="24"/>
          <w:szCs w:val="24"/>
        </w:rPr>
        <w:t>JUSTIFICATION</w:t>
      </w:r>
    </w:p>
    <w:p w:rsidR="001F31C3" w:rsidRPr="005A08FC" w:rsidP="001F44FE" w14:paraId="59F81544" w14:textId="77777777">
      <w:pPr>
        <w:pStyle w:val="ListParagraph"/>
        <w:numPr>
          <w:ilvl w:val="0"/>
          <w:numId w:val="2"/>
        </w:numPr>
        <w:ind w:left="360" w:firstLine="0"/>
        <w:rPr>
          <w:rFonts w:cs="Calibri"/>
          <w:b/>
          <w:sz w:val="24"/>
          <w:szCs w:val="24"/>
        </w:rPr>
      </w:pPr>
      <w:r w:rsidRPr="005A08FC">
        <w:rPr>
          <w:rFonts w:cs="Calibri"/>
          <w:b/>
          <w:sz w:val="24"/>
          <w:szCs w:val="24"/>
        </w:rPr>
        <w:t xml:space="preserve"> Explain the circumstances that make the collection of information necessary. Identify legal or administrative requirements that necessitate the collection of information.</w:t>
      </w:r>
      <w:r w:rsidRPr="005A08FC">
        <w:rPr>
          <w:rFonts w:cs="Calibri"/>
          <w:sz w:val="24"/>
          <w:szCs w:val="24"/>
        </w:rPr>
        <w:t xml:space="preserve"> </w:t>
      </w:r>
    </w:p>
    <w:p w:rsidR="00EA6FB8" w:rsidRPr="005A08FC" w:rsidP="001F31C3" w14:paraId="1D54B18A" w14:textId="77777777">
      <w:pPr>
        <w:ind w:left="1080"/>
        <w:rPr>
          <w:rFonts w:cs="Calibri"/>
          <w:sz w:val="24"/>
          <w:szCs w:val="24"/>
        </w:rPr>
      </w:pPr>
    </w:p>
    <w:p w:rsidR="001F31C3" w:rsidRPr="005A08FC" w:rsidP="00B23401" w14:paraId="552BBAD2" w14:textId="44641163">
      <w:pPr>
        <w:ind w:left="360"/>
        <w:rPr>
          <w:rFonts w:cs="Calibri"/>
          <w:sz w:val="24"/>
          <w:szCs w:val="24"/>
        </w:rPr>
      </w:pPr>
      <w:r w:rsidRPr="005A08FC">
        <w:rPr>
          <w:rFonts w:cs="Calibri"/>
          <w:sz w:val="24"/>
          <w:szCs w:val="24"/>
        </w:rPr>
        <w:t xml:space="preserve">Title 38 U.S.C. 2402 grants the authority for the solicitation of this information.  </w:t>
      </w:r>
      <w:r w:rsidRPr="005A08FC" w:rsidR="00FD5313">
        <w:rPr>
          <w:rFonts w:cs="Calibri"/>
          <w:sz w:val="24"/>
          <w:szCs w:val="24"/>
        </w:rPr>
        <w:t xml:space="preserve">VA </w:t>
      </w:r>
      <w:r w:rsidRPr="005A08FC" w:rsidR="00A1626A">
        <w:rPr>
          <w:rFonts w:cs="Calibri"/>
          <w:sz w:val="24"/>
          <w:szCs w:val="24"/>
        </w:rPr>
        <w:t>use</w:t>
      </w:r>
      <w:r w:rsidRPr="005A08FC" w:rsidR="00282831">
        <w:rPr>
          <w:rFonts w:cs="Calibri"/>
          <w:sz w:val="24"/>
          <w:szCs w:val="24"/>
        </w:rPr>
        <w:t>s</w:t>
      </w:r>
      <w:r w:rsidRPr="005A08FC" w:rsidR="00A1626A">
        <w:rPr>
          <w:rFonts w:cs="Calibri"/>
          <w:sz w:val="24"/>
          <w:szCs w:val="24"/>
        </w:rPr>
        <w:t xml:space="preserve"> </w:t>
      </w:r>
      <w:r w:rsidRPr="005A08FC" w:rsidR="00FD5313">
        <w:rPr>
          <w:rFonts w:cs="Calibri"/>
          <w:sz w:val="24"/>
          <w:szCs w:val="24"/>
        </w:rPr>
        <w:t xml:space="preserve">the </w:t>
      </w:r>
      <w:r w:rsidRPr="005A08FC" w:rsidR="00B23401">
        <w:rPr>
          <w:rFonts w:cs="Calibri"/>
          <w:sz w:val="24"/>
          <w:szCs w:val="24"/>
        </w:rPr>
        <w:t xml:space="preserve">Application for Pre-Need Determination of Eligibility for Burial </w:t>
      </w:r>
      <w:r w:rsidRPr="005A08FC" w:rsidR="00FD5313">
        <w:rPr>
          <w:rFonts w:cs="Calibri"/>
          <w:sz w:val="24"/>
          <w:szCs w:val="24"/>
        </w:rPr>
        <w:t>information</w:t>
      </w:r>
      <w:r w:rsidRPr="005A08FC" w:rsidR="00B23401">
        <w:rPr>
          <w:rFonts w:cs="Calibri"/>
          <w:sz w:val="24"/>
          <w:szCs w:val="24"/>
        </w:rPr>
        <w:t>,</w:t>
      </w:r>
      <w:r w:rsidRPr="005A08FC" w:rsidR="00FD5313">
        <w:rPr>
          <w:rFonts w:cs="Calibri"/>
          <w:sz w:val="24"/>
          <w:szCs w:val="24"/>
        </w:rPr>
        <w:t xml:space="preserve"> </w:t>
      </w:r>
      <w:r w:rsidRPr="005A08FC" w:rsidR="00AE2B2F">
        <w:rPr>
          <w:rFonts w:cs="Calibri"/>
          <w:sz w:val="24"/>
          <w:szCs w:val="24"/>
        </w:rPr>
        <w:t>to</w:t>
      </w:r>
      <w:r w:rsidRPr="005A08FC" w:rsidR="00FD5313">
        <w:rPr>
          <w:rFonts w:cs="Calibri"/>
          <w:sz w:val="24"/>
          <w:szCs w:val="24"/>
        </w:rPr>
        <w:t xml:space="preserve"> review and </w:t>
      </w:r>
      <w:r w:rsidRPr="005A08FC" w:rsidR="00A1626A">
        <w:rPr>
          <w:rFonts w:cs="Calibri"/>
          <w:sz w:val="24"/>
          <w:szCs w:val="24"/>
        </w:rPr>
        <w:t xml:space="preserve">make determinations of </w:t>
      </w:r>
      <w:r w:rsidRPr="005A08FC" w:rsidR="00A847B3">
        <w:rPr>
          <w:rFonts w:cs="Calibri"/>
          <w:sz w:val="24"/>
          <w:szCs w:val="24"/>
        </w:rPr>
        <w:t xml:space="preserve">eligibility </w:t>
      </w:r>
      <w:r w:rsidRPr="005A08FC" w:rsidR="00FD5313">
        <w:rPr>
          <w:rFonts w:cs="Calibri"/>
          <w:sz w:val="24"/>
          <w:szCs w:val="24"/>
        </w:rPr>
        <w:t xml:space="preserve">for burial in a VA national cemetery </w:t>
      </w:r>
      <w:r w:rsidRPr="005A08FC" w:rsidR="00A847B3">
        <w:rPr>
          <w:rFonts w:cs="Calibri"/>
          <w:sz w:val="24"/>
          <w:szCs w:val="24"/>
        </w:rPr>
        <w:t xml:space="preserve">in advance of a need.  </w:t>
      </w:r>
      <w:r w:rsidRPr="005A08FC" w:rsidR="00271BCB">
        <w:rPr>
          <w:rFonts w:cs="Calibri"/>
          <w:sz w:val="24"/>
          <w:szCs w:val="24"/>
        </w:rPr>
        <w:t>U</w:t>
      </w:r>
      <w:r w:rsidRPr="005A08FC" w:rsidR="00A847B3">
        <w:rPr>
          <w:rFonts w:cs="Calibri"/>
          <w:sz w:val="24"/>
          <w:szCs w:val="24"/>
        </w:rPr>
        <w:t>nder the program, VA offer</w:t>
      </w:r>
      <w:r w:rsidRPr="005A08FC" w:rsidR="00550C55">
        <w:rPr>
          <w:rFonts w:cs="Calibri"/>
          <w:sz w:val="24"/>
          <w:szCs w:val="24"/>
        </w:rPr>
        <w:t>s</w:t>
      </w:r>
      <w:r w:rsidRPr="005A08FC" w:rsidR="00A847B3">
        <w:rPr>
          <w:rFonts w:cs="Calibri"/>
          <w:sz w:val="24"/>
          <w:szCs w:val="24"/>
        </w:rPr>
        <w:t xml:space="preserve"> </w:t>
      </w:r>
      <w:r w:rsidRPr="005A08FC" w:rsidR="007E6F7E">
        <w:rPr>
          <w:rFonts w:cs="Calibri"/>
          <w:sz w:val="24"/>
          <w:szCs w:val="24"/>
        </w:rPr>
        <w:t xml:space="preserve">individuals and those filing on their behalf the </w:t>
      </w:r>
      <w:r w:rsidRPr="005A08FC">
        <w:rPr>
          <w:rFonts w:cs="Calibri"/>
          <w:sz w:val="24"/>
          <w:szCs w:val="24"/>
        </w:rPr>
        <w:t xml:space="preserve">opportunity to </w:t>
      </w:r>
      <w:r w:rsidRPr="005A08FC" w:rsidR="00746D22">
        <w:rPr>
          <w:rFonts w:cs="Calibri"/>
          <w:sz w:val="24"/>
          <w:szCs w:val="24"/>
        </w:rPr>
        <w:t xml:space="preserve">obtain </w:t>
      </w:r>
      <w:r w:rsidRPr="005A08FC" w:rsidR="00A847B3">
        <w:rPr>
          <w:rFonts w:cs="Calibri"/>
          <w:sz w:val="24"/>
          <w:szCs w:val="24"/>
        </w:rPr>
        <w:t xml:space="preserve">decisions about </w:t>
      </w:r>
      <w:r w:rsidRPr="005A08FC" w:rsidR="007E6F7E">
        <w:rPr>
          <w:rFonts w:cs="Calibri"/>
          <w:sz w:val="24"/>
          <w:szCs w:val="24"/>
        </w:rPr>
        <w:t xml:space="preserve">an individual’s </w:t>
      </w:r>
      <w:r w:rsidRPr="005A08FC" w:rsidR="00A847B3">
        <w:rPr>
          <w:rFonts w:cs="Calibri"/>
          <w:sz w:val="24"/>
          <w:szCs w:val="24"/>
        </w:rPr>
        <w:t>burial eligibility</w:t>
      </w:r>
      <w:r w:rsidRPr="005A08FC" w:rsidR="007E6F7E">
        <w:rPr>
          <w:rFonts w:cs="Calibri"/>
          <w:sz w:val="24"/>
          <w:szCs w:val="24"/>
        </w:rPr>
        <w:t xml:space="preserve">.  These decisions will help Veterans and their loved ones </w:t>
      </w:r>
      <w:r w:rsidRPr="005A08FC" w:rsidR="00A847B3">
        <w:rPr>
          <w:rFonts w:cs="Calibri"/>
          <w:sz w:val="24"/>
          <w:szCs w:val="24"/>
        </w:rPr>
        <w:t>better plan for end</w:t>
      </w:r>
      <w:r w:rsidRPr="005A08FC" w:rsidR="00030727">
        <w:rPr>
          <w:rFonts w:cs="Calibri"/>
          <w:sz w:val="24"/>
          <w:szCs w:val="24"/>
        </w:rPr>
        <w:t>-</w:t>
      </w:r>
      <w:r w:rsidRPr="005A08FC" w:rsidR="00A847B3">
        <w:rPr>
          <w:rFonts w:cs="Calibri"/>
          <w:sz w:val="24"/>
          <w:szCs w:val="24"/>
        </w:rPr>
        <w:t>of</w:t>
      </w:r>
      <w:r w:rsidRPr="005A08FC" w:rsidR="00030727">
        <w:rPr>
          <w:rFonts w:cs="Calibri"/>
          <w:sz w:val="24"/>
          <w:szCs w:val="24"/>
        </w:rPr>
        <w:t>-</w:t>
      </w:r>
      <w:r w:rsidRPr="005A08FC" w:rsidR="00A847B3">
        <w:rPr>
          <w:rFonts w:cs="Calibri"/>
          <w:sz w:val="24"/>
          <w:szCs w:val="24"/>
        </w:rPr>
        <w:t xml:space="preserve">life decisions.  </w:t>
      </w:r>
      <w:r w:rsidRPr="005A08FC" w:rsidR="004C1CBF">
        <w:rPr>
          <w:rFonts w:cs="Calibri"/>
          <w:sz w:val="24"/>
          <w:szCs w:val="24"/>
        </w:rPr>
        <w:t xml:space="preserve">The purpose of the VA pre-need burial eligibility program is to streamline access to VA benefits and to continue to improve customer service and the Veterans experience with pre-need burial services </w:t>
      </w:r>
      <w:r w:rsidRPr="005A08FC" w:rsidR="00AE2B2F">
        <w:rPr>
          <w:rFonts w:cs="Calibri"/>
          <w:sz w:val="24"/>
          <w:szCs w:val="24"/>
        </w:rPr>
        <w:t>using</w:t>
      </w:r>
      <w:r w:rsidRPr="005A08FC" w:rsidR="004C1CBF">
        <w:rPr>
          <w:rFonts w:cs="Calibri"/>
          <w:sz w:val="24"/>
          <w:szCs w:val="24"/>
        </w:rPr>
        <w:t xml:space="preserve"> innovative technologies</w:t>
      </w:r>
      <w:r w:rsidRPr="005A08FC" w:rsidR="00850C8D">
        <w:rPr>
          <w:rFonts w:cs="Calibri"/>
          <w:sz w:val="24"/>
          <w:szCs w:val="24"/>
        </w:rPr>
        <w:t>.</w:t>
      </w:r>
    </w:p>
    <w:p w:rsidR="008E115F" w:rsidRPr="005A08FC" w:rsidP="001F44FE" w14:paraId="09AAF344" w14:textId="77777777">
      <w:pPr>
        <w:tabs>
          <w:tab w:val="left" w:pos="3912"/>
        </w:tabs>
        <w:ind w:left="360"/>
        <w:rPr>
          <w:rFonts w:cs="Calibri"/>
          <w:sz w:val="24"/>
          <w:szCs w:val="24"/>
        </w:rPr>
      </w:pPr>
      <w:r w:rsidRPr="005A08FC">
        <w:rPr>
          <w:rFonts w:cs="Calibri"/>
          <w:sz w:val="24"/>
          <w:szCs w:val="24"/>
        </w:rPr>
        <w:tab/>
      </w:r>
    </w:p>
    <w:p w:rsidR="00033D49" w:rsidRPr="005A08FC" w:rsidP="001F44FE" w14:paraId="7E433D88" w14:textId="33BA0B50">
      <w:pPr>
        <w:ind w:left="360"/>
        <w:rPr>
          <w:rFonts w:cs="Calibri"/>
          <w:sz w:val="24"/>
          <w:szCs w:val="24"/>
        </w:rPr>
      </w:pPr>
      <w:r w:rsidRPr="005A08FC">
        <w:rPr>
          <w:rFonts w:cs="Calibri"/>
          <w:sz w:val="24"/>
          <w:szCs w:val="24"/>
        </w:rPr>
        <w:t>VA record</w:t>
      </w:r>
      <w:r w:rsidRPr="005A08FC" w:rsidR="00282831">
        <w:rPr>
          <w:rFonts w:cs="Calibri"/>
          <w:sz w:val="24"/>
          <w:szCs w:val="24"/>
        </w:rPr>
        <w:t>s</w:t>
      </w:r>
      <w:r w:rsidRPr="005A08FC">
        <w:rPr>
          <w:rFonts w:cs="Calibri"/>
          <w:sz w:val="24"/>
          <w:szCs w:val="24"/>
        </w:rPr>
        <w:t xml:space="preserve"> </w:t>
      </w:r>
      <w:r w:rsidRPr="005A08FC" w:rsidR="00271BCB">
        <w:rPr>
          <w:rFonts w:cs="Calibri"/>
          <w:sz w:val="24"/>
          <w:szCs w:val="24"/>
        </w:rPr>
        <w:t xml:space="preserve">an individual’s pre-need </w:t>
      </w:r>
      <w:r w:rsidRPr="005A08FC">
        <w:rPr>
          <w:rFonts w:cs="Calibri"/>
          <w:sz w:val="24"/>
          <w:szCs w:val="24"/>
        </w:rPr>
        <w:t xml:space="preserve">information in a recallable system for use at the time of </w:t>
      </w:r>
      <w:r w:rsidRPr="005A08FC" w:rsidR="00271BCB">
        <w:rPr>
          <w:rFonts w:cs="Calibri"/>
          <w:sz w:val="24"/>
          <w:szCs w:val="24"/>
        </w:rPr>
        <w:t xml:space="preserve">death and upon receipt of a burial request.  Based on this information, Veterans and their family members </w:t>
      </w:r>
      <w:r w:rsidRPr="005A08FC" w:rsidR="00AE2B2F">
        <w:rPr>
          <w:rFonts w:cs="Calibri"/>
          <w:sz w:val="24"/>
          <w:szCs w:val="24"/>
        </w:rPr>
        <w:t>can</w:t>
      </w:r>
      <w:r w:rsidRPr="005A08FC">
        <w:rPr>
          <w:rFonts w:cs="Calibri"/>
          <w:sz w:val="24"/>
          <w:szCs w:val="24"/>
        </w:rPr>
        <w:t xml:space="preserve"> communicate their burial wishes to loved ones</w:t>
      </w:r>
      <w:r w:rsidRPr="005A08FC" w:rsidR="00271BCB">
        <w:rPr>
          <w:rFonts w:cs="Calibri"/>
          <w:sz w:val="24"/>
          <w:szCs w:val="24"/>
        </w:rPr>
        <w:t>, authorized representatives,</w:t>
      </w:r>
      <w:r w:rsidRPr="005A08FC">
        <w:rPr>
          <w:rFonts w:cs="Calibri"/>
          <w:sz w:val="24"/>
          <w:szCs w:val="24"/>
        </w:rPr>
        <w:t xml:space="preserve"> and funeral service providers.</w:t>
      </w:r>
      <w:r w:rsidRPr="005A08FC" w:rsidR="004E2071">
        <w:rPr>
          <w:rFonts w:cs="Calibri"/>
          <w:sz w:val="24"/>
          <w:szCs w:val="24"/>
        </w:rPr>
        <w:t xml:space="preserve">  </w:t>
      </w:r>
      <w:r w:rsidRPr="005A08FC" w:rsidR="00271BCB">
        <w:rPr>
          <w:rFonts w:cs="Calibri"/>
          <w:sz w:val="24"/>
          <w:szCs w:val="24"/>
        </w:rPr>
        <w:t xml:space="preserve">To request a pre-need eligibility decision, individuals may submit supporting documentation along with a completed </w:t>
      </w:r>
      <w:r w:rsidRPr="005A08FC" w:rsidR="004E2071">
        <w:rPr>
          <w:rFonts w:cs="Calibri"/>
          <w:sz w:val="24"/>
          <w:szCs w:val="24"/>
        </w:rPr>
        <w:t>VA Form 40-10007</w:t>
      </w:r>
      <w:r w:rsidRPr="005A08FC" w:rsidR="00271BCB">
        <w:rPr>
          <w:rFonts w:cs="Calibri"/>
          <w:sz w:val="24"/>
          <w:szCs w:val="24"/>
        </w:rPr>
        <w:t xml:space="preserve">, which VA has renamed </w:t>
      </w:r>
      <w:r w:rsidRPr="005A08FC" w:rsidR="004E2071">
        <w:rPr>
          <w:rFonts w:cs="Calibri"/>
          <w:sz w:val="24"/>
          <w:szCs w:val="24"/>
        </w:rPr>
        <w:t xml:space="preserve">“Application </w:t>
      </w:r>
      <w:r w:rsidRPr="005A08FC" w:rsidR="00421113">
        <w:rPr>
          <w:rFonts w:cs="Calibri"/>
          <w:sz w:val="24"/>
          <w:szCs w:val="24"/>
        </w:rPr>
        <w:t>f</w:t>
      </w:r>
      <w:r w:rsidRPr="005A08FC" w:rsidR="004E2071">
        <w:rPr>
          <w:rFonts w:cs="Calibri"/>
          <w:sz w:val="24"/>
          <w:szCs w:val="24"/>
        </w:rPr>
        <w:t xml:space="preserve">or Pre-Need </w:t>
      </w:r>
      <w:r w:rsidRPr="005A08FC" w:rsidR="00271BCB">
        <w:rPr>
          <w:rFonts w:cs="Calibri"/>
          <w:sz w:val="24"/>
          <w:szCs w:val="24"/>
        </w:rPr>
        <w:t xml:space="preserve">Determination of </w:t>
      </w:r>
      <w:r w:rsidRPr="005A08FC" w:rsidR="004E2071">
        <w:rPr>
          <w:rFonts w:cs="Calibri"/>
          <w:sz w:val="24"/>
          <w:szCs w:val="24"/>
        </w:rPr>
        <w:t>Eligibility</w:t>
      </w:r>
      <w:r w:rsidRPr="005A08FC" w:rsidR="00271BCB">
        <w:rPr>
          <w:rFonts w:cs="Calibri"/>
          <w:sz w:val="24"/>
          <w:szCs w:val="24"/>
        </w:rPr>
        <w:t xml:space="preserve"> for Burial in a VA National Cemetery</w:t>
      </w:r>
      <w:r w:rsidRPr="005A08FC" w:rsidR="004E2071">
        <w:rPr>
          <w:rFonts w:cs="Calibri"/>
          <w:sz w:val="24"/>
          <w:szCs w:val="24"/>
        </w:rPr>
        <w:t>”.</w:t>
      </w:r>
    </w:p>
    <w:p w:rsidR="000A4DE8" w:rsidRPr="005A08FC" w:rsidP="001F44FE" w14:paraId="7DCDE673" w14:textId="5F0EB6CC">
      <w:pPr>
        <w:ind w:left="360"/>
        <w:rPr>
          <w:rFonts w:cs="Calibri"/>
          <w:sz w:val="24"/>
          <w:szCs w:val="24"/>
        </w:rPr>
      </w:pPr>
    </w:p>
    <w:p w:rsidR="00033D49" w:rsidRPr="005A08FC" w:rsidP="001F44FE" w14:paraId="749C95B2" w14:textId="77777777">
      <w:pPr>
        <w:ind w:left="360"/>
        <w:rPr>
          <w:rFonts w:cs="Calibri"/>
          <w:sz w:val="24"/>
          <w:szCs w:val="24"/>
        </w:rPr>
      </w:pPr>
    </w:p>
    <w:p w:rsidR="001F31C3" w:rsidRPr="005A08FC" w:rsidP="001F44FE" w14:paraId="3627C148" w14:textId="77777777">
      <w:pPr>
        <w:ind w:left="360"/>
        <w:rPr>
          <w:rFonts w:cs="Calibri"/>
          <w:b/>
          <w:sz w:val="24"/>
          <w:szCs w:val="24"/>
        </w:rPr>
      </w:pPr>
      <w:r w:rsidRPr="005A08FC">
        <w:rPr>
          <w:rFonts w:cs="Calibri"/>
          <w:b/>
          <w:sz w:val="24"/>
          <w:szCs w:val="24"/>
        </w:rPr>
        <w:t>2.</w:t>
      </w:r>
      <w:r w:rsidRPr="005A08FC">
        <w:rPr>
          <w:rFonts w:cs="Calibri"/>
          <w:b/>
          <w:sz w:val="24"/>
          <w:szCs w:val="24"/>
        </w:rPr>
        <w:tab/>
        <w:t>Indicate how, by whom, and for what purposes the information is to be used; indicate actual use the agency has made of the information received from current collection.</w:t>
      </w:r>
    </w:p>
    <w:p w:rsidR="00EA6FB8" w:rsidRPr="005A08FC" w:rsidP="001F44FE" w14:paraId="2E2EA520" w14:textId="77777777">
      <w:pPr>
        <w:ind w:left="360"/>
        <w:rPr>
          <w:rFonts w:cs="Calibri"/>
          <w:sz w:val="24"/>
          <w:szCs w:val="24"/>
        </w:rPr>
      </w:pPr>
    </w:p>
    <w:p w:rsidR="001F31C3" w:rsidRPr="005A08FC" w:rsidP="001F44FE" w14:paraId="4E81786B" w14:textId="07EDDFF5">
      <w:pPr>
        <w:ind w:left="360"/>
        <w:rPr>
          <w:rFonts w:cs="Calibri"/>
          <w:color w:val="000000"/>
          <w:sz w:val="24"/>
          <w:szCs w:val="24"/>
        </w:rPr>
      </w:pPr>
      <w:r w:rsidRPr="005A08FC">
        <w:rPr>
          <w:rFonts w:cs="Calibri"/>
          <w:sz w:val="24"/>
          <w:szCs w:val="24"/>
        </w:rPr>
        <w:t xml:space="preserve">VA </w:t>
      </w:r>
      <w:r w:rsidRPr="005A08FC" w:rsidR="00692242">
        <w:rPr>
          <w:rFonts w:cs="Calibri"/>
          <w:sz w:val="24"/>
          <w:szCs w:val="24"/>
        </w:rPr>
        <w:t xml:space="preserve">has </w:t>
      </w:r>
      <w:r w:rsidRPr="005A08FC">
        <w:rPr>
          <w:rFonts w:cs="Calibri"/>
          <w:sz w:val="24"/>
          <w:szCs w:val="24"/>
        </w:rPr>
        <w:t>respond</w:t>
      </w:r>
      <w:r w:rsidRPr="005A08FC" w:rsidR="00692242">
        <w:rPr>
          <w:rFonts w:cs="Calibri"/>
          <w:sz w:val="24"/>
          <w:szCs w:val="24"/>
        </w:rPr>
        <w:t>ed</w:t>
      </w:r>
      <w:r w:rsidRPr="005A08FC">
        <w:rPr>
          <w:rFonts w:cs="Calibri"/>
          <w:sz w:val="24"/>
          <w:szCs w:val="24"/>
        </w:rPr>
        <w:t xml:space="preserve"> to a</w:t>
      </w:r>
      <w:r w:rsidRPr="005A08FC" w:rsidR="00047284">
        <w:rPr>
          <w:rFonts w:cs="Calibri"/>
          <w:sz w:val="24"/>
          <w:szCs w:val="24"/>
        </w:rPr>
        <w:t xml:space="preserve"> growing interest from Veterans and their family members to plan for their burial needs prior to death.  </w:t>
      </w:r>
      <w:r w:rsidRPr="005A08FC" w:rsidR="00C5492D">
        <w:rPr>
          <w:rFonts w:cs="Calibri"/>
          <w:sz w:val="24"/>
          <w:szCs w:val="24"/>
        </w:rPr>
        <w:t>VA</w:t>
      </w:r>
      <w:r w:rsidRPr="005A08FC" w:rsidR="006D0554">
        <w:rPr>
          <w:rFonts w:cs="Calibri"/>
          <w:sz w:val="24"/>
          <w:szCs w:val="24"/>
        </w:rPr>
        <w:t xml:space="preserve"> </w:t>
      </w:r>
      <w:r w:rsidRPr="005A08FC" w:rsidR="00C5492D">
        <w:rPr>
          <w:rFonts w:cs="Calibri"/>
          <w:sz w:val="24"/>
          <w:szCs w:val="24"/>
        </w:rPr>
        <w:t>collect</w:t>
      </w:r>
      <w:r w:rsidRPr="005A08FC" w:rsidR="006D0554">
        <w:rPr>
          <w:rFonts w:cs="Calibri"/>
          <w:sz w:val="24"/>
          <w:szCs w:val="24"/>
        </w:rPr>
        <w:t>s</w:t>
      </w:r>
      <w:r w:rsidRPr="005A08FC" w:rsidR="00C5492D">
        <w:rPr>
          <w:rFonts w:cs="Calibri"/>
          <w:sz w:val="24"/>
          <w:szCs w:val="24"/>
        </w:rPr>
        <w:t xml:space="preserve"> p</w:t>
      </w:r>
      <w:r w:rsidRPr="005A08FC" w:rsidR="00047284">
        <w:rPr>
          <w:rFonts w:cs="Calibri"/>
          <w:color w:val="000000"/>
          <w:sz w:val="24"/>
          <w:szCs w:val="24"/>
        </w:rPr>
        <w:t xml:space="preserve">re-need burial request </w:t>
      </w:r>
      <w:r w:rsidRPr="005A08FC">
        <w:rPr>
          <w:rFonts w:cs="Calibri"/>
          <w:color w:val="000000"/>
          <w:sz w:val="24"/>
          <w:szCs w:val="24"/>
        </w:rPr>
        <w:t xml:space="preserve">information through a hardcopy form, </w:t>
      </w:r>
      <w:bookmarkStart w:id="0" w:name="_Hlk15914213"/>
      <w:r w:rsidRPr="005A08FC">
        <w:rPr>
          <w:rFonts w:cs="Calibri"/>
          <w:color w:val="000000"/>
          <w:sz w:val="24"/>
          <w:szCs w:val="24"/>
        </w:rPr>
        <w:t xml:space="preserve">VA </w:t>
      </w:r>
      <w:r w:rsidRPr="005A08FC">
        <w:rPr>
          <w:rFonts w:cs="Calibri"/>
          <w:sz w:val="24"/>
          <w:szCs w:val="24"/>
        </w:rPr>
        <w:t>40-10007</w:t>
      </w:r>
      <w:bookmarkEnd w:id="0"/>
      <w:r w:rsidRPr="005A08FC" w:rsidR="00727C25">
        <w:rPr>
          <w:rFonts w:cs="Calibri"/>
          <w:sz w:val="24"/>
          <w:szCs w:val="24"/>
        </w:rPr>
        <w:t>.</w:t>
      </w:r>
      <w:r w:rsidRPr="005A08FC">
        <w:rPr>
          <w:rFonts w:cs="Calibri"/>
          <w:color w:val="000000"/>
          <w:sz w:val="24"/>
          <w:szCs w:val="24"/>
        </w:rPr>
        <w:t xml:space="preserve">  </w:t>
      </w:r>
      <w:r w:rsidRPr="005A08FC" w:rsidR="00B42E06">
        <w:rPr>
          <w:rFonts w:cs="Calibri"/>
          <w:color w:val="000000"/>
          <w:sz w:val="24"/>
          <w:szCs w:val="24"/>
        </w:rPr>
        <w:t>VA implement</w:t>
      </w:r>
      <w:r w:rsidRPr="005A08FC" w:rsidR="0062145B">
        <w:rPr>
          <w:rFonts w:cs="Calibri"/>
          <w:color w:val="000000"/>
          <w:sz w:val="24"/>
          <w:szCs w:val="24"/>
        </w:rPr>
        <w:t>ed</w:t>
      </w:r>
      <w:r w:rsidRPr="005A08FC" w:rsidR="00B42E06">
        <w:rPr>
          <w:rFonts w:cs="Calibri"/>
          <w:color w:val="000000"/>
          <w:sz w:val="24"/>
          <w:szCs w:val="24"/>
        </w:rPr>
        <w:t xml:space="preserve"> an online form in </w:t>
      </w:r>
      <w:r w:rsidRPr="005A08FC" w:rsidR="0062145B">
        <w:rPr>
          <w:rFonts w:cs="Calibri"/>
          <w:color w:val="000000"/>
          <w:sz w:val="24"/>
          <w:szCs w:val="24"/>
        </w:rPr>
        <w:t>November 2018</w:t>
      </w:r>
      <w:r w:rsidRPr="005A08FC" w:rsidR="00B42E06">
        <w:rPr>
          <w:rFonts w:cs="Calibri"/>
          <w:color w:val="000000"/>
          <w:sz w:val="24"/>
          <w:szCs w:val="24"/>
        </w:rPr>
        <w:t xml:space="preserve">.  </w:t>
      </w:r>
      <w:r w:rsidRPr="005A08FC">
        <w:rPr>
          <w:rFonts w:cs="Calibri"/>
          <w:color w:val="000000"/>
          <w:sz w:val="24"/>
          <w:szCs w:val="24"/>
        </w:rPr>
        <w:t>Information such as personal identifying information, military service records</w:t>
      </w:r>
      <w:r w:rsidRPr="005A08FC" w:rsidR="00047284">
        <w:rPr>
          <w:rFonts w:cs="Calibri"/>
          <w:color w:val="000000"/>
          <w:sz w:val="24"/>
          <w:szCs w:val="24"/>
        </w:rPr>
        <w:t>,</w:t>
      </w:r>
      <w:r w:rsidRPr="005A08FC">
        <w:rPr>
          <w:rFonts w:cs="Calibri"/>
          <w:color w:val="000000"/>
          <w:sz w:val="24"/>
          <w:szCs w:val="24"/>
        </w:rPr>
        <w:t xml:space="preserve"> and other supporting document</w:t>
      </w:r>
      <w:r w:rsidRPr="005A08FC" w:rsidR="008433B5">
        <w:rPr>
          <w:rFonts w:cs="Calibri"/>
          <w:color w:val="000000"/>
          <w:sz w:val="24"/>
          <w:szCs w:val="24"/>
        </w:rPr>
        <w:t xml:space="preserve">s </w:t>
      </w:r>
      <w:r w:rsidRPr="005A08FC" w:rsidR="006D0554">
        <w:rPr>
          <w:rFonts w:cs="Calibri"/>
          <w:color w:val="000000"/>
          <w:sz w:val="24"/>
          <w:szCs w:val="24"/>
        </w:rPr>
        <w:t xml:space="preserve">are </w:t>
      </w:r>
      <w:r w:rsidRPr="005A08FC">
        <w:rPr>
          <w:rFonts w:cs="Calibri"/>
          <w:color w:val="000000"/>
          <w:sz w:val="24"/>
          <w:szCs w:val="24"/>
        </w:rPr>
        <w:t xml:space="preserve">entered </w:t>
      </w:r>
      <w:r w:rsidRPr="005A08FC" w:rsidR="00B42E06">
        <w:rPr>
          <w:rFonts w:cs="Calibri"/>
          <w:color w:val="000000"/>
          <w:sz w:val="24"/>
          <w:szCs w:val="24"/>
        </w:rPr>
        <w:t xml:space="preserve">by VA </w:t>
      </w:r>
      <w:r w:rsidRPr="005A08FC">
        <w:rPr>
          <w:rFonts w:cs="Calibri"/>
          <w:color w:val="000000"/>
          <w:sz w:val="24"/>
          <w:szCs w:val="24"/>
        </w:rPr>
        <w:t>into an electronic database</w:t>
      </w:r>
      <w:r w:rsidRPr="005A08FC" w:rsidR="00B42E06">
        <w:rPr>
          <w:rFonts w:cs="Calibri"/>
          <w:color w:val="000000"/>
          <w:sz w:val="24"/>
          <w:szCs w:val="24"/>
        </w:rPr>
        <w:t xml:space="preserve"> and </w:t>
      </w:r>
      <w:r w:rsidRPr="005A08FC">
        <w:rPr>
          <w:rFonts w:cs="Calibri"/>
          <w:color w:val="000000"/>
          <w:sz w:val="24"/>
          <w:szCs w:val="24"/>
        </w:rPr>
        <w:t>review</w:t>
      </w:r>
      <w:r w:rsidRPr="005A08FC" w:rsidR="00B42E06">
        <w:rPr>
          <w:rFonts w:cs="Calibri"/>
          <w:color w:val="000000"/>
          <w:sz w:val="24"/>
          <w:szCs w:val="24"/>
        </w:rPr>
        <w:t>ed</w:t>
      </w:r>
      <w:r w:rsidRPr="005A08FC">
        <w:rPr>
          <w:rFonts w:cs="Calibri"/>
          <w:color w:val="000000"/>
          <w:sz w:val="24"/>
          <w:szCs w:val="24"/>
        </w:rPr>
        <w:t xml:space="preserve"> for accuracy and completeness.  The collected information </w:t>
      </w:r>
      <w:r w:rsidRPr="005A08FC" w:rsidR="00B42E06">
        <w:rPr>
          <w:rFonts w:cs="Calibri"/>
          <w:color w:val="000000"/>
          <w:sz w:val="24"/>
          <w:szCs w:val="24"/>
        </w:rPr>
        <w:t>provide</w:t>
      </w:r>
      <w:r w:rsidRPr="005A08FC" w:rsidR="006D0554">
        <w:rPr>
          <w:rFonts w:cs="Calibri"/>
          <w:color w:val="000000"/>
          <w:sz w:val="24"/>
          <w:szCs w:val="24"/>
        </w:rPr>
        <w:t>s</w:t>
      </w:r>
      <w:r w:rsidRPr="005A08FC" w:rsidR="00B42E06">
        <w:rPr>
          <w:rFonts w:cs="Calibri"/>
          <w:color w:val="000000"/>
          <w:sz w:val="24"/>
          <w:szCs w:val="24"/>
        </w:rPr>
        <w:t xml:space="preserve"> </w:t>
      </w:r>
      <w:r w:rsidRPr="005A08FC">
        <w:rPr>
          <w:rFonts w:cs="Calibri"/>
          <w:color w:val="000000"/>
          <w:sz w:val="24"/>
          <w:szCs w:val="24"/>
        </w:rPr>
        <w:t xml:space="preserve">the basis </w:t>
      </w:r>
      <w:r w:rsidRPr="005A08FC" w:rsidR="00213913">
        <w:rPr>
          <w:rFonts w:cs="Calibri"/>
          <w:color w:val="000000"/>
          <w:sz w:val="24"/>
          <w:szCs w:val="24"/>
        </w:rPr>
        <w:t xml:space="preserve">for </w:t>
      </w:r>
      <w:r w:rsidRPr="005A08FC">
        <w:rPr>
          <w:rFonts w:cs="Calibri"/>
          <w:color w:val="000000"/>
          <w:sz w:val="24"/>
          <w:szCs w:val="24"/>
        </w:rPr>
        <w:t xml:space="preserve">an eligibility determination </w:t>
      </w:r>
      <w:r w:rsidRPr="005A08FC" w:rsidR="004E2071">
        <w:rPr>
          <w:rFonts w:cs="Calibri"/>
          <w:color w:val="000000"/>
          <w:sz w:val="24"/>
          <w:szCs w:val="24"/>
        </w:rPr>
        <w:t xml:space="preserve">in advance of </w:t>
      </w:r>
      <w:r w:rsidRPr="005A08FC" w:rsidR="00047284">
        <w:rPr>
          <w:rFonts w:cs="Calibri"/>
          <w:color w:val="000000"/>
          <w:sz w:val="24"/>
          <w:szCs w:val="24"/>
        </w:rPr>
        <w:t xml:space="preserve">a </w:t>
      </w:r>
      <w:r w:rsidRPr="005A08FC" w:rsidR="004E2071">
        <w:rPr>
          <w:rFonts w:cs="Calibri"/>
          <w:color w:val="000000"/>
          <w:sz w:val="24"/>
          <w:szCs w:val="24"/>
        </w:rPr>
        <w:t>need</w:t>
      </w:r>
      <w:r w:rsidRPr="005A08FC" w:rsidR="00047284">
        <w:rPr>
          <w:rFonts w:cs="Calibri"/>
          <w:color w:val="000000"/>
          <w:sz w:val="24"/>
          <w:szCs w:val="24"/>
        </w:rPr>
        <w:t xml:space="preserve"> for burial in a VA national cemetery</w:t>
      </w:r>
      <w:r w:rsidRPr="005A08FC">
        <w:rPr>
          <w:rFonts w:cs="Calibri"/>
          <w:color w:val="000000"/>
          <w:sz w:val="24"/>
          <w:szCs w:val="24"/>
        </w:rPr>
        <w:t xml:space="preserve">.  </w:t>
      </w:r>
    </w:p>
    <w:p w:rsidR="00DC35F3" w:rsidRPr="005A08FC" w:rsidP="001F44FE" w14:paraId="57F578C3" w14:textId="77777777">
      <w:pPr>
        <w:ind w:left="360"/>
        <w:rPr>
          <w:rFonts w:cs="Calibri"/>
          <w:b/>
          <w:sz w:val="24"/>
          <w:szCs w:val="24"/>
        </w:rPr>
      </w:pPr>
    </w:p>
    <w:p w:rsidR="001F31C3" w:rsidRPr="005A08FC" w:rsidP="001F44FE" w14:paraId="7F26AD26" w14:textId="08DABCA1">
      <w:pPr>
        <w:ind w:left="360"/>
        <w:rPr>
          <w:rFonts w:cs="Calibri"/>
          <w:sz w:val="24"/>
          <w:szCs w:val="24"/>
        </w:rPr>
      </w:pPr>
      <w:r w:rsidRPr="005A08FC">
        <w:rPr>
          <w:rFonts w:cs="Calibri"/>
          <w:b/>
          <w:sz w:val="24"/>
          <w:szCs w:val="24"/>
        </w:rPr>
        <w:t>3.</w:t>
      </w:r>
      <w:r w:rsidRPr="005A08FC">
        <w:rPr>
          <w:rFonts w:cs="Calibri"/>
          <w:b/>
          <w:sz w:val="24"/>
          <w:szCs w:val="24"/>
        </w:rPr>
        <w:tab/>
        <w:t xml:space="preserve">Describe whether, and to what extent, the collection of information involves the use of automated, electronic, mechanical, or other technological collection techniques or other forms of information technology, </w:t>
      </w:r>
      <w:r w:rsidRPr="005A08FC" w:rsidR="00030727">
        <w:rPr>
          <w:rFonts w:cs="Calibri"/>
          <w:b/>
          <w:sz w:val="24"/>
          <w:szCs w:val="24"/>
        </w:rPr>
        <w:t>e.g.,</w:t>
      </w:r>
      <w:r w:rsidRPr="005A08FC">
        <w:rPr>
          <w:rFonts w:cs="Calibri"/>
          <w:b/>
          <w:sz w:val="24"/>
          <w:szCs w:val="24"/>
        </w:rPr>
        <w:t xml:space="preserve"> permitting electronic submission of responses, and the basis for the decision for adopting this means of collection.  Also describe any consideration of using information technology to reduce burden.</w:t>
      </w:r>
    </w:p>
    <w:p w:rsidR="00EA6FB8" w:rsidRPr="005A08FC" w:rsidP="001F44FE" w14:paraId="09CD829E" w14:textId="77777777">
      <w:pPr>
        <w:ind w:left="360"/>
        <w:rPr>
          <w:rFonts w:cs="Calibri"/>
          <w:sz w:val="24"/>
          <w:szCs w:val="24"/>
        </w:rPr>
      </w:pPr>
    </w:p>
    <w:p w:rsidR="001F31C3" w:rsidRPr="005A08FC" w:rsidP="001F44FE" w14:paraId="2C18ABF6" w14:textId="49B229EC">
      <w:pPr>
        <w:ind w:left="360"/>
        <w:rPr>
          <w:rFonts w:cs="Calibri"/>
          <w:sz w:val="24"/>
          <w:szCs w:val="24"/>
        </w:rPr>
      </w:pPr>
      <w:r w:rsidRPr="005A08FC">
        <w:rPr>
          <w:rFonts w:cs="Calibri"/>
          <w:sz w:val="24"/>
          <w:szCs w:val="24"/>
        </w:rPr>
        <w:t xml:space="preserve">The public may </w:t>
      </w:r>
      <w:r w:rsidRPr="005A08FC">
        <w:rPr>
          <w:rFonts w:cs="Calibri"/>
          <w:sz w:val="24"/>
          <w:szCs w:val="24"/>
        </w:rPr>
        <w:t xml:space="preserve">access </w:t>
      </w:r>
      <w:r w:rsidRPr="005A08FC">
        <w:rPr>
          <w:rFonts w:cs="Calibri"/>
          <w:sz w:val="24"/>
          <w:szCs w:val="24"/>
        </w:rPr>
        <w:t xml:space="preserve">VA Form 40-10007, </w:t>
      </w:r>
      <w:r w:rsidRPr="005A08FC" w:rsidR="004E2071">
        <w:rPr>
          <w:rFonts w:cs="Calibri"/>
          <w:sz w:val="24"/>
          <w:szCs w:val="24"/>
        </w:rPr>
        <w:t xml:space="preserve">Application </w:t>
      </w:r>
      <w:r w:rsidRPr="005A08FC" w:rsidR="00B42E06">
        <w:rPr>
          <w:rFonts w:cs="Calibri"/>
          <w:sz w:val="24"/>
          <w:szCs w:val="24"/>
        </w:rPr>
        <w:t>f</w:t>
      </w:r>
      <w:r w:rsidRPr="005A08FC" w:rsidR="004E2071">
        <w:rPr>
          <w:rFonts w:cs="Calibri"/>
          <w:sz w:val="24"/>
          <w:szCs w:val="24"/>
        </w:rPr>
        <w:t xml:space="preserve">or Pre-Need </w:t>
      </w:r>
      <w:r w:rsidRPr="005A08FC">
        <w:rPr>
          <w:rFonts w:cs="Calibri"/>
          <w:sz w:val="24"/>
          <w:szCs w:val="24"/>
        </w:rPr>
        <w:t xml:space="preserve">Determination of Eligibility for </w:t>
      </w:r>
      <w:r w:rsidRPr="005A08FC" w:rsidR="004E2071">
        <w:rPr>
          <w:rFonts w:cs="Calibri"/>
          <w:sz w:val="24"/>
          <w:szCs w:val="24"/>
        </w:rPr>
        <w:t xml:space="preserve">Burial </w:t>
      </w:r>
      <w:r w:rsidRPr="005A08FC">
        <w:rPr>
          <w:rFonts w:cs="Calibri"/>
          <w:sz w:val="24"/>
          <w:szCs w:val="24"/>
        </w:rPr>
        <w:t xml:space="preserve">in a VA National Cemetery, </w:t>
      </w:r>
      <w:r w:rsidRPr="005A08FC">
        <w:rPr>
          <w:rFonts w:cs="Calibri"/>
          <w:sz w:val="24"/>
          <w:szCs w:val="24"/>
        </w:rPr>
        <w:t>online</w:t>
      </w:r>
      <w:r w:rsidRPr="005A08FC" w:rsidR="00417B84">
        <w:rPr>
          <w:rFonts w:cs="Calibri"/>
          <w:sz w:val="24"/>
          <w:szCs w:val="24"/>
        </w:rPr>
        <w:t>,</w:t>
      </w:r>
      <w:r w:rsidRPr="005A08FC">
        <w:rPr>
          <w:rFonts w:cs="Calibri"/>
          <w:sz w:val="24"/>
          <w:szCs w:val="24"/>
        </w:rPr>
        <w:t xml:space="preserve"> </w:t>
      </w:r>
      <w:r w:rsidRPr="005A08FC" w:rsidR="00417B84">
        <w:rPr>
          <w:rFonts w:cs="Calibri"/>
          <w:sz w:val="24"/>
          <w:szCs w:val="24"/>
        </w:rPr>
        <w:t xml:space="preserve">available through Vets.gov, </w:t>
      </w:r>
      <w:r w:rsidRPr="005A08FC">
        <w:rPr>
          <w:rFonts w:cs="Calibri"/>
          <w:sz w:val="24"/>
          <w:szCs w:val="24"/>
        </w:rPr>
        <w:t xml:space="preserve">and submit </w:t>
      </w:r>
      <w:r w:rsidRPr="005A08FC">
        <w:rPr>
          <w:rFonts w:cs="Calibri"/>
          <w:sz w:val="24"/>
          <w:szCs w:val="24"/>
        </w:rPr>
        <w:t>completed forms along with supporting documents</w:t>
      </w:r>
      <w:r w:rsidRPr="005A08FC" w:rsidR="00FF6D82">
        <w:rPr>
          <w:rFonts w:cs="Calibri"/>
          <w:sz w:val="24"/>
          <w:szCs w:val="24"/>
        </w:rPr>
        <w:t xml:space="preserve"> through </w:t>
      </w:r>
      <w:r w:rsidRPr="005A08FC" w:rsidR="00B42E06">
        <w:rPr>
          <w:rFonts w:cs="Calibri"/>
          <w:sz w:val="24"/>
          <w:szCs w:val="24"/>
        </w:rPr>
        <w:t>U</w:t>
      </w:r>
      <w:r w:rsidRPr="005A08FC" w:rsidR="00850C8D">
        <w:rPr>
          <w:rFonts w:cs="Calibri"/>
          <w:sz w:val="24"/>
          <w:szCs w:val="24"/>
        </w:rPr>
        <w:t>.</w:t>
      </w:r>
      <w:r w:rsidRPr="005A08FC" w:rsidR="00B42E06">
        <w:rPr>
          <w:rFonts w:cs="Calibri"/>
          <w:sz w:val="24"/>
          <w:szCs w:val="24"/>
        </w:rPr>
        <w:t>S</w:t>
      </w:r>
      <w:r w:rsidRPr="005A08FC" w:rsidR="00850C8D">
        <w:rPr>
          <w:rFonts w:cs="Calibri"/>
          <w:sz w:val="24"/>
          <w:szCs w:val="24"/>
        </w:rPr>
        <w:t>.</w:t>
      </w:r>
      <w:r w:rsidRPr="005A08FC" w:rsidR="00B42E06">
        <w:rPr>
          <w:rFonts w:cs="Calibri"/>
          <w:sz w:val="24"/>
          <w:szCs w:val="24"/>
        </w:rPr>
        <w:t xml:space="preserve"> mail, or fax</w:t>
      </w:r>
      <w:r w:rsidRPr="005A08FC">
        <w:rPr>
          <w:rFonts w:cs="Calibri"/>
          <w:sz w:val="24"/>
          <w:szCs w:val="24"/>
        </w:rPr>
        <w:t xml:space="preserve">.  The </w:t>
      </w:r>
      <w:r w:rsidRPr="005A08FC" w:rsidR="00C16E47">
        <w:rPr>
          <w:rFonts w:cs="Calibri"/>
          <w:sz w:val="24"/>
          <w:szCs w:val="24"/>
        </w:rPr>
        <w:t>form</w:t>
      </w:r>
      <w:r w:rsidRPr="005A08FC">
        <w:rPr>
          <w:rFonts w:cs="Calibri"/>
          <w:sz w:val="24"/>
          <w:szCs w:val="24"/>
        </w:rPr>
        <w:t xml:space="preserve"> </w:t>
      </w:r>
      <w:r w:rsidRPr="005A08FC" w:rsidR="002A777E">
        <w:rPr>
          <w:rFonts w:cs="Calibri"/>
          <w:sz w:val="24"/>
          <w:szCs w:val="24"/>
        </w:rPr>
        <w:t xml:space="preserve">can be made </w:t>
      </w:r>
      <w:r w:rsidRPr="005A08FC">
        <w:rPr>
          <w:rFonts w:cs="Calibri"/>
          <w:sz w:val="24"/>
          <w:szCs w:val="24"/>
        </w:rPr>
        <w:t xml:space="preserve">available in a hardcopy version for those who do not have access to the online form.  </w:t>
      </w:r>
    </w:p>
    <w:p w:rsidR="001F31C3" w:rsidRPr="005A08FC" w:rsidP="001F44FE" w14:paraId="4989B78F" w14:textId="77777777">
      <w:pPr>
        <w:ind w:left="360"/>
        <w:rPr>
          <w:rFonts w:cs="Calibri"/>
          <w:sz w:val="24"/>
          <w:szCs w:val="24"/>
        </w:rPr>
      </w:pPr>
    </w:p>
    <w:p w:rsidR="001F31C3" w:rsidRPr="005A08FC" w:rsidP="001F31C3" w14:paraId="023EB036" w14:textId="77777777">
      <w:pPr>
        <w:rPr>
          <w:rFonts w:cs="Calibri"/>
          <w:sz w:val="24"/>
          <w:szCs w:val="24"/>
        </w:rPr>
      </w:pPr>
    </w:p>
    <w:p w:rsidR="001F31C3" w:rsidRPr="005A08FC" w:rsidP="001F44FE" w14:paraId="39FAAFB4" w14:textId="77777777">
      <w:pPr>
        <w:ind w:left="360"/>
        <w:rPr>
          <w:rFonts w:cs="Calibri"/>
          <w:b/>
          <w:sz w:val="24"/>
          <w:szCs w:val="24"/>
        </w:rPr>
      </w:pPr>
      <w:r w:rsidRPr="005A08FC">
        <w:rPr>
          <w:rFonts w:cs="Calibri"/>
          <w:b/>
          <w:sz w:val="24"/>
          <w:szCs w:val="24"/>
        </w:rPr>
        <w:t>4.</w:t>
      </w:r>
      <w:r w:rsidRPr="005A08FC">
        <w:rPr>
          <w:rFonts w:cs="Calibri"/>
          <w:b/>
          <w:sz w:val="24"/>
          <w:szCs w:val="24"/>
        </w:rPr>
        <w:tab/>
        <w:t>Describe efforts to identify duplication.  Show specifically why any similar information already available cannot be used or modified for use for the purposes described in Item 2 above.</w:t>
      </w:r>
    </w:p>
    <w:p w:rsidR="00EA6FB8" w:rsidRPr="005A08FC" w:rsidP="001F44FE" w14:paraId="61336D0C" w14:textId="77777777">
      <w:pPr>
        <w:ind w:left="360"/>
        <w:rPr>
          <w:rFonts w:cs="Calibri"/>
          <w:sz w:val="24"/>
          <w:szCs w:val="24"/>
        </w:rPr>
      </w:pPr>
    </w:p>
    <w:p w:rsidR="001F31C3" w:rsidRPr="005A08FC" w:rsidP="001F44FE" w14:paraId="0CEB6258" w14:textId="05EACEE9">
      <w:pPr>
        <w:ind w:left="360"/>
        <w:rPr>
          <w:rFonts w:cs="Calibri"/>
          <w:sz w:val="24"/>
          <w:szCs w:val="24"/>
        </w:rPr>
      </w:pPr>
      <w:r w:rsidRPr="005A08FC">
        <w:rPr>
          <w:rFonts w:cs="Calibri"/>
          <w:sz w:val="24"/>
          <w:szCs w:val="24"/>
        </w:rPr>
        <w:t xml:space="preserve">There is no duplication.  </w:t>
      </w:r>
      <w:r w:rsidRPr="005A08FC" w:rsidR="00081B2B">
        <w:rPr>
          <w:rFonts w:cs="Calibri"/>
          <w:sz w:val="24"/>
          <w:szCs w:val="24"/>
        </w:rPr>
        <w:t xml:space="preserve">VA’s pre-need program is </w:t>
      </w:r>
      <w:r w:rsidRPr="005A08FC" w:rsidR="00D752BC">
        <w:rPr>
          <w:rFonts w:cs="Calibri"/>
          <w:sz w:val="24"/>
          <w:szCs w:val="24"/>
        </w:rPr>
        <w:t>unique from other VA programs</w:t>
      </w:r>
      <w:r w:rsidRPr="005A08FC" w:rsidR="00081B2B">
        <w:rPr>
          <w:rFonts w:cs="Calibri"/>
          <w:sz w:val="24"/>
          <w:szCs w:val="24"/>
        </w:rPr>
        <w:t xml:space="preserve"> and the information </w:t>
      </w:r>
      <w:r w:rsidRPr="005A08FC">
        <w:rPr>
          <w:rFonts w:cs="Calibri"/>
          <w:sz w:val="24"/>
          <w:szCs w:val="24"/>
        </w:rPr>
        <w:t>VA collect</w:t>
      </w:r>
      <w:r w:rsidRPr="005A08FC" w:rsidR="00F35228">
        <w:rPr>
          <w:rFonts w:cs="Calibri"/>
          <w:sz w:val="24"/>
          <w:szCs w:val="24"/>
        </w:rPr>
        <w:t>s</w:t>
      </w:r>
      <w:r w:rsidRPr="005A08FC">
        <w:rPr>
          <w:rFonts w:cs="Calibri"/>
          <w:sz w:val="24"/>
          <w:szCs w:val="24"/>
        </w:rPr>
        <w:t xml:space="preserve"> for </w:t>
      </w:r>
      <w:r w:rsidRPr="005A08FC" w:rsidR="00081B2B">
        <w:rPr>
          <w:rFonts w:cs="Calibri"/>
          <w:sz w:val="24"/>
          <w:szCs w:val="24"/>
        </w:rPr>
        <w:t xml:space="preserve">these decisions cannot otherwise be obtained or utilized from </w:t>
      </w:r>
      <w:r w:rsidRPr="005A08FC" w:rsidR="00F35228">
        <w:rPr>
          <w:rFonts w:cs="Calibri"/>
          <w:sz w:val="24"/>
          <w:szCs w:val="24"/>
        </w:rPr>
        <w:t xml:space="preserve">other </w:t>
      </w:r>
      <w:r w:rsidRPr="005A08FC" w:rsidR="00081B2B">
        <w:rPr>
          <w:rFonts w:cs="Calibri"/>
          <w:sz w:val="24"/>
          <w:szCs w:val="24"/>
        </w:rPr>
        <w:t xml:space="preserve">information collections.  </w:t>
      </w:r>
      <w:r w:rsidRPr="005A08FC" w:rsidR="00850C8D">
        <w:rPr>
          <w:rFonts w:cs="Calibri"/>
          <w:sz w:val="24"/>
          <w:szCs w:val="24"/>
        </w:rPr>
        <w:t xml:space="preserve">NCA </w:t>
      </w:r>
      <w:r w:rsidRPr="005A08FC" w:rsidR="00081B2B">
        <w:rPr>
          <w:rFonts w:cs="Calibri"/>
          <w:sz w:val="24"/>
          <w:szCs w:val="24"/>
        </w:rPr>
        <w:t xml:space="preserve">revised the previously approved </w:t>
      </w:r>
      <w:r w:rsidRPr="005A08FC" w:rsidR="006A23A5">
        <w:rPr>
          <w:rFonts w:cs="Calibri"/>
          <w:sz w:val="24"/>
          <w:szCs w:val="24"/>
        </w:rPr>
        <w:t>pre-need form that was intended for burial planning</w:t>
      </w:r>
      <w:r w:rsidRPr="005A08FC" w:rsidR="00081B2B">
        <w:rPr>
          <w:rFonts w:cs="Calibri"/>
          <w:sz w:val="24"/>
          <w:szCs w:val="24"/>
        </w:rPr>
        <w:t xml:space="preserve"> for use in determining eligibility as of the date of the pre-need claim</w:t>
      </w:r>
      <w:r w:rsidRPr="005A08FC" w:rsidR="006A23A5">
        <w:rPr>
          <w:rFonts w:cs="Calibri"/>
          <w:sz w:val="24"/>
          <w:szCs w:val="24"/>
        </w:rPr>
        <w:t xml:space="preserve">.  </w:t>
      </w:r>
    </w:p>
    <w:p w:rsidR="001F31C3" w:rsidRPr="005A08FC" w:rsidP="001F44FE" w14:paraId="3D287C8C" w14:textId="77777777">
      <w:pPr>
        <w:ind w:left="360"/>
        <w:rPr>
          <w:rFonts w:cs="Calibri"/>
          <w:sz w:val="24"/>
          <w:szCs w:val="24"/>
        </w:rPr>
      </w:pPr>
    </w:p>
    <w:p w:rsidR="001F31C3" w:rsidRPr="005A08FC" w:rsidP="001F44FE" w14:paraId="553ED1A3" w14:textId="77777777">
      <w:pPr>
        <w:spacing w:line="276" w:lineRule="auto"/>
        <w:ind w:left="360"/>
        <w:rPr>
          <w:rFonts w:cs="Calibri"/>
          <w:b/>
          <w:sz w:val="24"/>
          <w:szCs w:val="24"/>
        </w:rPr>
      </w:pPr>
      <w:r w:rsidRPr="005A08FC">
        <w:rPr>
          <w:rFonts w:cs="Calibri"/>
          <w:b/>
          <w:sz w:val="24"/>
          <w:szCs w:val="24"/>
        </w:rPr>
        <w:t>5.</w:t>
      </w:r>
      <w:r w:rsidRPr="005A08FC">
        <w:rPr>
          <w:rFonts w:cs="Calibri"/>
          <w:b/>
          <w:sz w:val="24"/>
          <w:szCs w:val="24"/>
        </w:rPr>
        <w:tab/>
        <w:t>If the collection of information impacts small businesses or other small entities, describe any methods used to minimize burden.</w:t>
      </w:r>
    </w:p>
    <w:p w:rsidR="00EA6FB8" w:rsidRPr="005A08FC" w:rsidP="001F44FE" w14:paraId="65FD3EB1" w14:textId="77777777">
      <w:pPr>
        <w:pStyle w:val="NoSpacing"/>
        <w:ind w:left="360"/>
        <w:rPr>
          <w:rFonts w:cs="Calibri"/>
          <w:sz w:val="24"/>
          <w:szCs w:val="24"/>
        </w:rPr>
      </w:pPr>
    </w:p>
    <w:p w:rsidR="001F31C3" w:rsidRPr="005A08FC" w:rsidP="001F44FE" w14:paraId="3F5AFC65" w14:textId="0F6B06A7">
      <w:pPr>
        <w:pStyle w:val="NoSpacing"/>
        <w:ind w:left="360"/>
        <w:rPr>
          <w:rFonts w:cs="Calibri"/>
          <w:sz w:val="24"/>
          <w:szCs w:val="24"/>
        </w:rPr>
      </w:pPr>
      <w:r w:rsidRPr="005A08FC">
        <w:rPr>
          <w:rFonts w:cs="Calibri"/>
          <w:sz w:val="24"/>
          <w:szCs w:val="24"/>
        </w:rPr>
        <w:t xml:space="preserve">The collection of information does not </w:t>
      </w:r>
      <w:r w:rsidRPr="005A08FC" w:rsidR="006A23A5">
        <w:rPr>
          <w:rFonts w:cs="Calibri"/>
          <w:sz w:val="24"/>
          <w:szCs w:val="24"/>
        </w:rPr>
        <w:t xml:space="preserve">affect </w:t>
      </w:r>
      <w:r w:rsidRPr="005A08FC">
        <w:rPr>
          <w:rFonts w:cs="Calibri"/>
          <w:sz w:val="24"/>
          <w:szCs w:val="24"/>
        </w:rPr>
        <w:t xml:space="preserve">small businesses </w:t>
      </w:r>
      <w:r w:rsidRPr="005A08FC" w:rsidR="00706E5C">
        <w:rPr>
          <w:rFonts w:cs="Calibri"/>
          <w:sz w:val="24"/>
          <w:szCs w:val="24"/>
        </w:rPr>
        <w:t>or entities</w:t>
      </w:r>
      <w:r w:rsidRPr="005A08FC">
        <w:rPr>
          <w:rFonts w:cs="Calibri"/>
          <w:sz w:val="24"/>
          <w:szCs w:val="24"/>
        </w:rPr>
        <w:t xml:space="preserve">.  </w:t>
      </w:r>
      <w:r w:rsidRPr="005A08FC" w:rsidR="00706E5C">
        <w:rPr>
          <w:rFonts w:cs="Calibri"/>
          <w:sz w:val="24"/>
          <w:szCs w:val="24"/>
        </w:rPr>
        <w:t>Submission of the pre-need application is voluntary.  VA receiv</w:t>
      </w:r>
      <w:r w:rsidRPr="005A08FC" w:rsidR="00F35228">
        <w:rPr>
          <w:rFonts w:cs="Calibri"/>
          <w:sz w:val="24"/>
          <w:szCs w:val="24"/>
        </w:rPr>
        <w:t>es</w:t>
      </w:r>
      <w:r w:rsidRPr="005A08FC" w:rsidR="00706E5C">
        <w:rPr>
          <w:rFonts w:cs="Calibri"/>
          <w:sz w:val="24"/>
          <w:szCs w:val="24"/>
        </w:rPr>
        <w:t xml:space="preserve"> applications from potential claimants and those interested in burial planning.</w:t>
      </w:r>
      <w:r w:rsidRPr="005A08FC" w:rsidR="006A23A5">
        <w:rPr>
          <w:rFonts w:cs="Calibri"/>
          <w:sz w:val="24"/>
          <w:szCs w:val="24"/>
        </w:rPr>
        <w:t xml:space="preserve">  </w:t>
      </w:r>
    </w:p>
    <w:p w:rsidR="001F31C3" w:rsidRPr="005A08FC" w:rsidP="001F44FE" w14:paraId="20917E58" w14:textId="77777777">
      <w:pPr>
        <w:pStyle w:val="NoSpacing"/>
        <w:ind w:left="360"/>
        <w:rPr>
          <w:rFonts w:cs="Calibri"/>
          <w:b/>
          <w:sz w:val="24"/>
          <w:szCs w:val="24"/>
        </w:rPr>
      </w:pPr>
    </w:p>
    <w:p w:rsidR="001F31C3" w:rsidRPr="005A08FC" w:rsidP="001F44FE" w14:paraId="08A8ACAC" w14:textId="4A8320CA">
      <w:pPr>
        <w:ind w:left="360"/>
        <w:rPr>
          <w:rFonts w:cs="Calibri"/>
          <w:b/>
          <w:sz w:val="24"/>
          <w:szCs w:val="24"/>
        </w:rPr>
      </w:pPr>
      <w:r w:rsidRPr="005A08FC">
        <w:rPr>
          <w:rFonts w:cs="Calibri"/>
          <w:b/>
          <w:sz w:val="24"/>
          <w:szCs w:val="24"/>
        </w:rPr>
        <w:t>6.</w:t>
      </w:r>
      <w:r w:rsidRPr="005A08FC">
        <w:rPr>
          <w:rFonts w:cs="Calibri"/>
          <w:b/>
          <w:sz w:val="24"/>
          <w:szCs w:val="24"/>
        </w:rPr>
        <w:tab/>
        <w:t>Describe the consequences to Federal program or policy activities if the collection is not conducted or is conducted less frequently</w:t>
      </w:r>
      <w:r w:rsidRPr="005A08FC" w:rsidR="00030727">
        <w:rPr>
          <w:rFonts w:cs="Calibri"/>
          <w:b/>
          <w:sz w:val="24"/>
          <w:szCs w:val="24"/>
        </w:rPr>
        <w:t>,</w:t>
      </w:r>
      <w:r w:rsidRPr="005A08FC">
        <w:rPr>
          <w:rFonts w:cs="Calibri"/>
          <w:b/>
          <w:sz w:val="24"/>
          <w:szCs w:val="24"/>
        </w:rPr>
        <w:t xml:space="preserve"> as well as any technical or legal obstacles to reducing burden.</w:t>
      </w:r>
    </w:p>
    <w:p w:rsidR="00EA6FB8" w:rsidRPr="005A08FC" w:rsidP="001F44FE" w14:paraId="49F4E686" w14:textId="77777777">
      <w:pPr>
        <w:ind w:left="360"/>
        <w:rPr>
          <w:rFonts w:cs="Calibri"/>
          <w:sz w:val="24"/>
          <w:szCs w:val="24"/>
        </w:rPr>
      </w:pPr>
    </w:p>
    <w:p w:rsidR="001F31C3" w:rsidRPr="005A08FC" w:rsidP="001F44FE" w14:paraId="533C8AAE" w14:textId="6CE3EE4F">
      <w:pPr>
        <w:ind w:left="360"/>
        <w:rPr>
          <w:rFonts w:cs="Calibri"/>
          <w:sz w:val="24"/>
          <w:szCs w:val="24"/>
        </w:rPr>
      </w:pPr>
      <w:r w:rsidRPr="005A08FC">
        <w:rPr>
          <w:rFonts w:cs="Calibri"/>
          <w:sz w:val="24"/>
          <w:szCs w:val="24"/>
        </w:rPr>
        <w:t xml:space="preserve">The information collection for pre-need burial eligibility decisions is significant to VA’s success in meeting the growing needs of Veterans and their family members to plan for </w:t>
      </w:r>
      <w:r w:rsidRPr="005A08FC" w:rsidR="00642038">
        <w:rPr>
          <w:rFonts w:cs="Calibri"/>
          <w:sz w:val="24"/>
          <w:szCs w:val="24"/>
        </w:rPr>
        <w:t>end-of-life</w:t>
      </w:r>
      <w:r w:rsidRPr="005A08FC">
        <w:rPr>
          <w:rFonts w:cs="Calibri"/>
          <w:sz w:val="24"/>
          <w:szCs w:val="24"/>
        </w:rPr>
        <w:t xml:space="preserve"> decisions.  Without the form and ability to collect information reflected on the form, </w:t>
      </w:r>
      <w:r w:rsidRPr="005A08FC">
        <w:rPr>
          <w:rFonts w:cs="Calibri"/>
          <w:sz w:val="24"/>
          <w:szCs w:val="24"/>
        </w:rPr>
        <w:t>VA miss</w:t>
      </w:r>
      <w:r w:rsidRPr="005A08FC" w:rsidR="0044583A">
        <w:rPr>
          <w:rFonts w:cs="Calibri"/>
          <w:sz w:val="24"/>
          <w:szCs w:val="24"/>
        </w:rPr>
        <w:t>es</w:t>
      </w:r>
      <w:r w:rsidRPr="005A08FC">
        <w:rPr>
          <w:rFonts w:cs="Calibri"/>
          <w:sz w:val="24"/>
          <w:szCs w:val="24"/>
        </w:rPr>
        <w:t xml:space="preserve"> an opportunity to </w:t>
      </w:r>
      <w:r w:rsidRPr="005A08FC">
        <w:rPr>
          <w:rFonts w:cs="Calibri"/>
          <w:sz w:val="24"/>
          <w:szCs w:val="24"/>
        </w:rPr>
        <w:t xml:space="preserve">respond </w:t>
      </w:r>
      <w:r w:rsidRPr="005A08FC">
        <w:rPr>
          <w:rFonts w:cs="Calibri"/>
          <w:sz w:val="24"/>
          <w:szCs w:val="24"/>
        </w:rPr>
        <w:t xml:space="preserve">to </w:t>
      </w:r>
      <w:r w:rsidRPr="005A08FC" w:rsidR="004D6508">
        <w:rPr>
          <w:rFonts w:cs="Calibri"/>
          <w:sz w:val="24"/>
          <w:szCs w:val="24"/>
        </w:rPr>
        <w:t xml:space="preserve">this important </w:t>
      </w:r>
      <w:r w:rsidRPr="005A08FC">
        <w:rPr>
          <w:rFonts w:cs="Calibri"/>
          <w:sz w:val="24"/>
          <w:szCs w:val="24"/>
        </w:rPr>
        <w:t xml:space="preserve">need and </w:t>
      </w:r>
      <w:r w:rsidRPr="005A08FC" w:rsidR="004D6508">
        <w:rPr>
          <w:rFonts w:cs="Calibri"/>
          <w:sz w:val="24"/>
          <w:szCs w:val="24"/>
        </w:rPr>
        <w:t xml:space="preserve">to </w:t>
      </w:r>
      <w:r w:rsidRPr="005A08FC">
        <w:rPr>
          <w:rFonts w:cs="Calibri"/>
          <w:sz w:val="24"/>
          <w:szCs w:val="24"/>
        </w:rPr>
        <w:t xml:space="preserve">improve </w:t>
      </w:r>
      <w:r w:rsidRPr="005A08FC" w:rsidR="004D6508">
        <w:rPr>
          <w:rFonts w:cs="Calibri"/>
          <w:sz w:val="24"/>
          <w:szCs w:val="24"/>
        </w:rPr>
        <w:t xml:space="preserve">access to benefits </w:t>
      </w:r>
      <w:r w:rsidRPr="005A08FC">
        <w:rPr>
          <w:rFonts w:cs="Calibri"/>
          <w:sz w:val="24"/>
          <w:szCs w:val="24"/>
        </w:rPr>
        <w:t xml:space="preserve">to Veterans, </w:t>
      </w:r>
      <w:r w:rsidRPr="005A08FC" w:rsidR="007117DA">
        <w:rPr>
          <w:rFonts w:cs="Calibri"/>
          <w:sz w:val="24"/>
          <w:szCs w:val="24"/>
        </w:rPr>
        <w:t>S</w:t>
      </w:r>
      <w:r w:rsidRPr="005A08FC">
        <w:rPr>
          <w:rFonts w:cs="Calibri"/>
          <w:sz w:val="24"/>
          <w:szCs w:val="24"/>
        </w:rPr>
        <w:t>ervicemembers</w:t>
      </w:r>
      <w:r w:rsidRPr="005A08FC" w:rsidR="008133FC">
        <w:rPr>
          <w:rFonts w:cs="Calibri"/>
          <w:sz w:val="24"/>
          <w:szCs w:val="24"/>
        </w:rPr>
        <w:t>,</w:t>
      </w:r>
      <w:r w:rsidRPr="005A08FC">
        <w:rPr>
          <w:rFonts w:cs="Calibri"/>
          <w:sz w:val="24"/>
          <w:szCs w:val="24"/>
        </w:rPr>
        <w:t xml:space="preserve"> and their family members </w:t>
      </w:r>
      <w:r w:rsidRPr="005A08FC" w:rsidR="008433B5">
        <w:rPr>
          <w:rFonts w:cs="Calibri"/>
          <w:sz w:val="24"/>
          <w:szCs w:val="24"/>
        </w:rPr>
        <w:t xml:space="preserve">who want </w:t>
      </w:r>
      <w:r w:rsidRPr="005A08FC">
        <w:rPr>
          <w:rFonts w:cs="Calibri"/>
          <w:sz w:val="24"/>
          <w:szCs w:val="24"/>
        </w:rPr>
        <w:t xml:space="preserve">to plan for a critical life event.  There are no known technical or legal obstacles associated with reducing the burden on families at their time of need by collecting information from individuals who voluntarily seek VA’s assistance in </w:t>
      </w:r>
      <w:r w:rsidRPr="005A08FC" w:rsidR="000C5163">
        <w:rPr>
          <w:rFonts w:cs="Calibri"/>
          <w:sz w:val="24"/>
          <w:szCs w:val="24"/>
        </w:rPr>
        <w:t xml:space="preserve">preparing </w:t>
      </w:r>
      <w:r w:rsidRPr="005A08FC">
        <w:rPr>
          <w:rFonts w:cs="Calibri"/>
          <w:sz w:val="24"/>
          <w:szCs w:val="24"/>
        </w:rPr>
        <w:t xml:space="preserve">for burial in </w:t>
      </w:r>
      <w:r w:rsidRPr="005A08FC" w:rsidR="00213913">
        <w:rPr>
          <w:rFonts w:cs="Calibri"/>
          <w:sz w:val="24"/>
          <w:szCs w:val="24"/>
        </w:rPr>
        <w:t xml:space="preserve">a </w:t>
      </w:r>
      <w:r w:rsidRPr="005A08FC">
        <w:rPr>
          <w:rFonts w:cs="Calibri"/>
          <w:sz w:val="24"/>
          <w:szCs w:val="24"/>
        </w:rPr>
        <w:t xml:space="preserve">national cemetery.  </w:t>
      </w:r>
    </w:p>
    <w:p w:rsidR="001F31C3" w:rsidRPr="005A08FC" w:rsidP="001F31C3" w14:paraId="54A1138B" w14:textId="77777777">
      <w:pPr>
        <w:ind w:left="1080"/>
        <w:rPr>
          <w:rFonts w:cs="Calibri"/>
          <w:sz w:val="24"/>
          <w:szCs w:val="24"/>
        </w:rPr>
      </w:pPr>
    </w:p>
    <w:p w:rsidR="001F31C3" w:rsidRPr="005A08FC" w:rsidP="001F44FE" w14:paraId="4277AFA3" w14:textId="77777777">
      <w:pPr>
        <w:ind w:left="360"/>
        <w:rPr>
          <w:rFonts w:cs="Calibri"/>
          <w:sz w:val="24"/>
          <w:szCs w:val="24"/>
        </w:rPr>
      </w:pPr>
      <w:r w:rsidRPr="005A08FC">
        <w:rPr>
          <w:rFonts w:cs="Calibri"/>
          <w:b/>
          <w:sz w:val="24"/>
          <w:szCs w:val="24"/>
        </w:rPr>
        <w:t>7</w:t>
      </w:r>
      <w:r w:rsidRPr="005A08FC">
        <w:rPr>
          <w:rFonts w:cs="Calibri"/>
          <w:sz w:val="24"/>
          <w:szCs w:val="24"/>
        </w:rPr>
        <w:t>.</w:t>
      </w:r>
      <w:r w:rsidRPr="005A08FC">
        <w:rPr>
          <w:rFonts w:cs="Calibri"/>
          <w:sz w:val="24"/>
          <w:szCs w:val="24"/>
        </w:rPr>
        <w:tab/>
      </w:r>
      <w:r w:rsidRPr="005A08FC">
        <w:rPr>
          <w:rFonts w:cs="Calibri"/>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A6FB8" w:rsidRPr="005A08FC" w:rsidP="001F44FE" w14:paraId="0499C886" w14:textId="77777777">
      <w:pPr>
        <w:ind w:left="360"/>
        <w:rPr>
          <w:rFonts w:cs="Calibri"/>
          <w:sz w:val="24"/>
          <w:szCs w:val="24"/>
        </w:rPr>
      </w:pPr>
    </w:p>
    <w:p w:rsidR="001F31C3" w:rsidRPr="005A08FC" w:rsidP="001F44FE" w14:paraId="1AAE7B06" w14:textId="38ED628F">
      <w:pPr>
        <w:ind w:left="360"/>
        <w:rPr>
          <w:rFonts w:cs="Calibri"/>
          <w:sz w:val="24"/>
          <w:szCs w:val="24"/>
        </w:rPr>
      </w:pPr>
      <w:r w:rsidRPr="005A08FC">
        <w:rPr>
          <w:rFonts w:cs="Calibri"/>
          <w:sz w:val="24"/>
          <w:szCs w:val="24"/>
        </w:rPr>
        <w:t xml:space="preserve">None of the special circumstances described above occur </w:t>
      </w:r>
      <w:r w:rsidRPr="005A08FC" w:rsidR="00642038">
        <w:rPr>
          <w:rFonts w:cs="Calibri"/>
          <w:sz w:val="24"/>
          <w:szCs w:val="24"/>
        </w:rPr>
        <w:t>because of</w:t>
      </w:r>
      <w:r w:rsidRPr="005A08FC">
        <w:rPr>
          <w:rFonts w:cs="Calibri"/>
          <w:sz w:val="24"/>
          <w:szCs w:val="24"/>
        </w:rPr>
        <w:t xml:space="preserve"> collecting pre-need burial </w:t>
      </w:r>
      <w:r w:rsidRPr="005A08FC" w:rsidR="0008036B">
        <w:rPr>
          <w:rFonts w:cs="Calibri"/>
          <w:sz w:val="24"/>
          <w:szCs w:val="24"/>
        </w:rPr>
        <w:t xml:space="preserve">eligibility </w:t>
      </w:r>
      <w:r w:rsidRPr="005A08FC">
        <w:rPr>
          <w:rFonts w:cs="Calibri"/>
          <w:sz w:val="24"/>
          <w:szCs w:val="24"/>
        </w:rPr>
        <w:t xml:space="preserve">information.  </w:t>
      </w:r>
      <w:r w:rsidRPr="005A08FC" w:rsidR="000C5163">
        <w:rPr>
          <w:rFonts w:cs="Calibri"/>
          <w:sz w:val="24"/>
          <w:szCs w:val="24"/>
        </w:rPr>
        <w:t xml:space="preserve">Submission of the pre-need application is voluntary and should take potential respondents an average of </w:t>
      </w:r>
      <w:r w:rsidRPr="005A08FC" w:rsidR="00C756FB">
        <w:rPr>
          <w:rFonts w:cs="Calibri"/>
          <w:sz w:val="24"/>
          <w:szCs w:val="24"/>
        </w:rPr>
        <w:t>20</w:t>
      </w:r>
      <w:r w:rsidRPr="005A08FC" w:rsidR="000C5163">
        <w:rPr>
          <w:rFonts w:cs="Calibri"/>
          <w:sz w:val="24"/>
          <w:szCs w:val="24"/>
        </w:rPr>
        <w:t xml:space="preserve"> minutes to complete the form.  </w:t>
      </w:r>
      <w:r w:rsidRPr="005A08FC">
        <w:rPr>
          <w:rFonts w:cs="Calibri"/>
          <w:sz w:val="24"/>
          <w:szCs w:val="24"/>
        </w:rPr>
        <w:t xml:space="preserve"> </w:t>
      </w:r>
    </w:p>
    <w:p w:rsidR="001F31C3" w:rsidRPr="005A08FC" w:rsidP="001F31C3" w14:paraId="32B24D74" w14:textId="77777777">
      <w:pPr>
        <w:rPr>
          <w:rFonts w:cs="Calibri"/>
          <w:sz w:val="24"/>
          <w:szCs w:val="24"/>
          <w:highlight w:val="green"/>
        </w:rPr>
      </w:pPr>
    </w:p>
    <w:p w:rsidR="00EA6FB8" w:rsidRPr="005A08FC" w:rsidP="001F44FE" w14:paraId="7D521E6C" w14:textId="171A288C">
      <w:pPr>
        <w:pStyle w:val="NoSpacing"/>
        <w:ind w:left="360"/>
        <w:rPr>
          <w:rFonts w:cs="Calibri"/>
          <w:b/>
          <w:sz w:val="24"/>
          <w:szCs w:val="24"/>
        </w:rPr>
      </w:pPr>
      <w:r w:rsidRPr="005A08FC">
        <w:rPr>
          <w:rFonts w:cs="Calibri"/>
          <w:b/>
          <w:sz w:val="24"/>
          <w:szCs w:val="24"/>
        </w:rPr>
        <w:t>8.</w:t>
      </w:r>
      <w:r w:rsidRPr="005A08FC" w:rsidR="00FB321A">
        <w:rPr>
          <w:rFonts w:cs="Calibri"/>
          <w:b/>
          <w:sz w:val="24"/>
          <w:szCs w:val="24"/>
        </w:rPr>
        <w:t>a.</w:t>
      </w:r>
      <w:r w:rsidRPr="005A08FC">
        <w:rPr>
          <w:rFonts w:cs="Calibri"/>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5A08FC" w:rsidR="00F3447C">
        <w:rPr>
          <w:rFonts w:cs="Calibri"/>
          <w:b/>
          <w:sz w:val="24"/>
          <w:szCs w:val="24"/>
        </w:rPr>
        <w:t xml:space="preserve">  </w:t>
      </w:r>
    </w:p>
    <w:p w:rsidR="00EA6FB8" w:rsidRPr="005A08FC" w:rsidP="001F44FE" w14:paraId="526619C8" w14:textId="77777777">
      <w:pPr>
        <w:pStyle w:val="NoSpacing"/>
        <w:ind w:left="360"/>
        <w:rPr>
          <w:rFonts w:cs="Calibri"/>
          <w:b/>
          <w:sz w:val="24"/>
          <w:szCs w:val="24"/>
        </w:rPr>
      </w:pPr>
    </w:p>
    <w:p w:rsidR="00C76474" w:rsidP="001F44FE" w14:paraId="6208FABD" w14:textId="2DCBCDAD">
      <w:pPr>
        <w:pStyle w:val="NoSpacing"/>
        <w:ind w:left="360"/>
        <w:rPr>
          <w:rFonts w:cs="Calibri"/>
          <w:sz w:val="24"/>
          <w:szCs w:val="24"/>
        </w:rPr>
      </w:pPr>
      <w:r>
        <w:rPr>
          <w:rFonts w:cs="Calibri"/>
          <w:sz w:val="24"/>
          <w:szCs w:val="24"/>
        </w:rPr>
        <w:t>In accordance with 5 CFR 1320.8(d), NCA published a</w:t>
      </w:r>
      <w:r w:rsidR="006A3E1C">
        <w:rPr>
          <w:rFonts w:cs="Calibri"/>
          <w:sz w:val="24"/>
          <w:szCs w:val="24"/>
        </w:rPr>
        <w:t xml:space="preserve"> 60-day notice in the </w:t>
      </w:r>
      <w:r w:rsidRPr="00623F73" w:rsidR="006A3E1C">
        <w:rPr>
          <w:rFonts w:cs="Calibri"/>
          <w:i/>
          <w:iCs/>
          <w:sz w:val="24"/>
          <w:szCs w:val="24"/>
        </w:rPr>
        <w:t>Federal Register</w:t>
      </w:r>
      <w:r w:rsidR="006A3E1C">
        <w:rPr>
          <w:rFonts w:cs="Calibri"/>
          <w:sz w:val="24"/>
          <w:szCs w:val="24"/>
        </w:rPr>
        <w:t xml:space="preserve"> on December 2, 2022 (Vol</w:t>
      </w:r>
      <w:r>
        <w:rPr>
          <w:rFonts w:cs="Calibri"/>
          <w:sz w:val="24"/>
          <w:szCs w:val="24"/>
        </w:rPr>
        <w:t>ume</w:t>
      </w:r>
      <w:r w:rsidR="006A3E1C">
        <w:rPr>
          <w:rFonts w:cs="Calibri"/>
          <w:sz w:val="24"/>
          <w:szCs w:val="24"/>
        </w:rPr>
        <w:t xml:space="preserve"> 87, N</w:t>
      </w:r>
      <w:r>
        <w:rPr>
          <w:rFonts w:cs="Calibri"/>
          <w:sz w:val="24"/>
          <w:szCs w:val="24"/>
        </w:rPr>
        <w:t>umber</w:t>
      </w:r>
      <w:r w:rsidR="006A3E1C">
        <w:rPr>
          <w:rFonts w:cs="Calibri"/>
          <w:sz w:val="24"/>
          <w:szCs w:val="24"/>
        </w:rPr>
        <w:t xml:space="preserve"> 231, </w:t>
      </w:r>
      <w:r>
        <w:rPr>
          <w:rFonts w:cs="Calibri"/>
          <w:sz w:val="24"/>
          <w:szCs w:val="24"/>
        </w:rPr>
        <w:t>P</w:t>
      </w:r>
      <w:r w:rsidR="006A3E1C">
        <w:rPr>
          <w:rFonts w:cs="Calibri"/>
          <w:sz w:val="24"/>
          <w:szCs w:val="24"/>
        </w:rPr>
        <w:t>age</w:t>
      </w:r>
      <w:r w:rsidR="001C2188">
        <w:rPr>
          <w:rFonts w:cs="Calibri"/>
          <w:sz w:val="24"/>
          <w:szCs w:val="24"/>
        </w:rPr>
        <w:t>s</w:t>
      </w:r>
      <w:r w:rsidR="006A3E1C">
        <w:rPr>
          <w:rFonts w:cs="Calibri"/>
          <w:sz w:val="24"/>
          <w:szCs w:val="24"/>
        </w:rPr>
        <w:t xml:space="preserve"> 74213</w:t>
      </w:r>
      <w:r w:rsidR="001C2188">
        <w:rPr>
          <w:rFonts w:cs="Calibri"/>
          <w:sz w:val="24"/>
          <w:szCs w:val="24"/>
        </w:rPr>
        <w:t>-74214</w:t>
      </w:r>
      <w:r w:rsidR="006A3E1C">
        <w:rPr>
          <w:rFonts w:cs="Calibri"/>
          <w:sz w:val="24"/>
          <w:szCs w:val="24"/>
        </w:rPr>
        <w:t>).  NCA received no comments in response to this notice.</w:t>
      </w:r>
    </w:p>
    <w:p w:rsidR="006A3E1C" w:rsidP="001F44FE" w14:paraId="093BE294" w14:textId="596FEEA7">
      <w:pPr>
        <w:pStyle w:val="NoSpacing"/>
        <w:ind w:left="360"/>
        <w:rPr>
          <w:rFonts w:cs="Calibri"/>
          <w:sz w:val="24"/>
          <w:szCs w:val="24"/>
        </w:rPr>
      </w:pPr>
    </w:p>
    <w:p w:rsidR="006A3E1C" w:rsidRPr="005A08FC" w:rsidP="001F44FE" w14:paraId="362360EC" w14:textId="2CA0E323">
      <w:pPr>
        <w:pStyle w:val="NoSpacing"/>
        <w:ind w:left="360"/>
        <w:rPr>
          <w:rFonts w:cs="Calibri"/>
          <w:sz w:val="24"/>
          <w:szCs w:val="24"/>
        </w:rPr>
      </w:pPr>
      <w:r>
        <w:rPr>
          <w:rFonts w:cs="Calibri"/>
          <w:sz w:val="24"/>
          <w:szCs w:val="24"/>
        </w:rPr>
        <w:t>NCA published t</w:t>
      </w:r>
      <w:r>
        <w:rPr>
          <w:rFonts w:cs="Calibri"/>
          <w:sz w:val="24"/>
          <w:szCs w:val="24"/>
        </w:rPr>
        <w:t xml:space="preserve">he 30-day notice of Agency Information Collection Activity Under OMB review in the </w:t>
      </w:r>
      <w:r w:rsidRPr="00623F73">
        <w:rPr>
          <w:rFonts w:cs="Calibri"/>
          <w:i/>
          <w:iCs/>
          <w:sz w:val="24"/>
          <w:szCs w:val="24"/>
        </w:rPr>
        <w:t>Federal Register</w:t>
      </w:r>
      <w:r>
        <w:rPr>
          <w:rFonts w:cs="Calibri"/>
          <w:sz w:val="24"/>
          <w:szCs w:val="24"/>
        </w:rPr>
        <w:t xml:space="preserve"> on February 3, 2023 (Vol</w:t>
      </w:r>
      <w:r>
        <w:rPr>
          <w:rFonts w:cs="Calibri"/>
          <w:sz w:val="24"/>
          <w:szCs w:val="24"/>
        </w:rPr>
        <w:t>ume</w:t>
      </w:r>
      <w:r>
        <w:rPr>
          <w:rFonts w:cs="Calibri"/>
          <w:sz w:val="24"/>
          <w:szCs w:val="24"/>
        </w:rPr>
        <w:t xml:space="preserve"> 88, N</w:t>
      </w:r>
      <w:r>
        <w:rPr>
          <w:rFonts w:cs="Calibri"/>
          <w:sz w:val="24"/>
          <w:szCs w:val="24"/>
        </w:rPr>
        <w:t>umber</w:t>
      </w:r>
      <w:r>
        <w:rPr>
          <w:rFonts w:cs="Calibri"/>
          <w:sz w:val="24"/>
          <w:szCs w:val="24"/>
        </w:rPr>
        <w:t xml:space="preserve"> 23, </w:t>
      </w:r>
      <w:r>
        <w:rPr>
          <w:rFonts w:cs="Calibri"/>
          <w:sz w:val="24"/>
          <w:szCs w:val="24"/>
        </w:rPr>
        <w:t>P</w:t>
      </w:r>
      <w:r>
        <w:rPr>
          <w:rFonts w:cs="Calibri"/>
          <w:sz w:val="24"/>
          <w:szCs w:val="24"/>
        </w:rPr>
        <w:t>age 7554).</w:t>
      </w:r>
      <w:r>
        <w:rPr>
          <w:rFonts w:cs="Calibri"/>
          <w:sz w:val="24"/>
          <w:szCs w:val="24"/>
        </w:rPr>
        <w:t xml:space="preserve">  NCA received no comments.</w:t>
      </w:r>
    </w:p>
    <w:p w:rsidR="00FB321A" w:rsidRPr="005A08FC" w:rsidP="001F44FE" w14:paraId="33E8E802" w14:textId="0919589E">
      <w:pPr>
        <w:pStyle w:val="NoSpacing"/>
        <w:ind w:left="360"/>
        <w:rPr>
          <w:rFonts w:cs="Calibri"/>
          <w:sz w:val="24"/>
          <w:szCs w:val="24"/>
        </w:rPr>
      </w:pPr>
    </w:p>
    <w:p w:rsidR="00FB321A" w:rsidRPr="005A08FC" w:rsidP="00FB321A" w14:paraId="5E0537C1" w14:textId="4C77F67F">
      <w:pPr>
        <w:pStyle w:val="NoSpacing"/>
        <w:ind w:left="360"/>
        <w:rPr>
          <w:rFonts w:cs="Calibri"/>
          <w:b/>
          <w:sz w:val="24"/>
          <w:szCs w:val="24"/>
        </w:rPr>
      </w:pPr>
      <w:r w:rsidRPr="005A08FC">
        <w:rPr>
          <w:rFonts w:cs="Calibri"/>
          <w:b/>
          <w:sz w:val="24"/>
          <w:szCs w:val="24"/>
        </w:rPr>
        <w:t>8.b.</w:t>
      </w:r>
      <w:r w:rsidRPr="005A08FC">
        <w:rPr>
          <w:rFonts w:cs="Calibri"/>
          <w:b/>
          <w:sz w:val="24"/>
          <w:szCs w:val="24"/>
        </w:rPr>
        <w:tab/>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  </w:t>
      </w:r>
    </w:p>
    <w:p w:rsidR="00FB321A" w:rsidRPr="005A08FC" w:rsidP="001F44FE" w14:paraId="2C69483E" w14:textId="77777777">
      <w:pPr>
        <w:pStyle w:val="NoSpacing"/>
        <w:ind w:left="360"/>
        <w:rPr>
          <w:rFonts w:cs="Calibri"/>
          <w:sz w:val="24"/>
          <w:szCs w:val="24"/>
        </w:rPr>
      </w:pPr>
    </w:p>
    <w:p w:rsidR="00FB321A" w:rsidRPr="005A08FC" w:rsidP="00FB321A" w14:paraId="216230EF" w14:textId="63158ABA">
      <w:pPr>
        <w:pStyle w:val="NoSpacing"/>
        <w:ind w:left="360"/>
        <w:rPr>
          <w:rFonts w:cs="Calibri"/>
          <w:sz w:val="24"/>
          <w:szCs w:val="24"/>
        </w:rPr>
      </w:pPr>
      <w:r w:rsidRPr="005A08FC">
        <w:rPr>
          <w:rFonts w:cs="Calibri"/>
          <w:sz w:val="24"/>
          <w:szCs w:val="24"/>
        </w:rPr>
        <w:t>Outside consultation is conducted with the public through the 60- and 30-day Federal Register notices.</w:t>
      </w:r>
    </w:p>
    <w:p w:rsidR="00FB321A" w:rsidRPr="005A08FC" w:rsidP="00FB321A" w14:paraId="43325C48" w14:textId="58EF28CB">
      <w:pPr>
        <w:ind w:left="1080"/>
        <w:rPr>
          <w:rFonts w:cs="Calibri"/>
          <w:sz w:val="24"/>
          <w:szCs w:val="24"/>
        </w:rPr>
      </w:pPr>
    </w:p>
    <w:p w:rsidR="001F31C3" w:rsidRPr="005A08FC" w:rsidP="001F44FE" w14:paraId="5ED95C9B" w14:textId="77777777">
      <w:pPr>
        <w:ind w:left="360"/>
        <w:rPr>
          <w:rFonts w:cs="Calibri"/>
          <w:sz w:val="24"/>
          <w:szCs w:val="24"/>
        </w:rPr>
      </w:pPr>
      <w:r w:rsidRPr="005A08FC">
        <w:rPr>
          <w:rFonts w:cs="Calibri"/>
          <w:b/>
          <w:sz w:val="24"/>
          <w:szCs w:val="24"/>
        </w:rPr>
        <w:t>9</w:t>
      </w:r>
      <w:r w:rsidRPr="005A08FC" w:rsidR="001E1F76">
        <w:rPr>
          <w:rFonts w:cs="Calibri"/>
          <w:sz w:val="24"/>
          <w:szCs w:val="24"/>
        </w:rPr>
        <w:t xml:space="preserve">.  </w:t>
      </w:r>
      <w:r w:rsidRPr="005A08FC">
        <w:rPr>
          <w:rFonts w:cs="Calibri"/>
          <w:b/>
          <w:sz w:val="24"/>
          <w:szCs w:val="24"/>
        </w:rPr>
        <w:t>Explain any decision to provide any payment or gift to respondents, other than remuneration of contractors or grantees.</w:t>
      </w:r>
    </w:p>
    <w:p w:rsidR="008A6056" w:rsidRPr="005A08FC" w:rsidP="001F44FE" w14:paraId="53C281F2" w14:textId="77777777">
      <w:pPr>
        <w:ind w:left="360"/>
        <w:rPr>
          <w:rFonts w:cs="Calibri"/>
          <w:sz w:val="24"/>
          <w:szCs w:val="24"/>
        </w:rPr>
      </w:pPr>
    </w:p>
    <w:p w:rsidR="001F31C3" w:rsidRPr="005A08FC" w:rsidP="001F44FE" w14:paraId="6800005F" w14:textId="683C7297">
      <w:pPr>
        <w:ind w:left="360"/>
        <w:rPr>
          <w:rFonts w:cs="Calibri"/>
          <w:sz w:val="24"/>
          <w:szCs w:val="24"/>
        </w:rPr>
      </w:pPr>
      <w:r w:rsidRPr="005A08FC">
        <w:rPr>
          <w:rFonts w:cs="Calibri"/>
          <w:sz w:val="24"/>
          <w:szCs w:val="24"/>
        </w:rPr>
        <w:t>No payment or gift</w:t>
      </w:r>
      <w:r w:rsidRPr="005A08FC" w:rsidR="00A46DDE">
        <w:rPr>
          <w:rFonts w:cs="Calibri"/>
          <w:sz w:val="24"/>
          <w:szCs w:val="24"/>
        </w:rPr>
        <w:t xml:space="preserve"> is</w:t>
      </w:r>
      <w:r w:rsidRPr="005A08FC">
        <w:rPr>
          <w:rFonts w:cs="Calibri"/>
          <w:sz w:val="24"/>
          <w:szCs w:val="24"/>
        </w:rPr>
        <w:t xml:space="preserve"> provided to respondents.</w:t>
      </w:r>
    </w:p>
    <w:p w:rsidR="001F31C3" w:rsidRPr="005A08FC" w:rsidP="001F44FE" w14:paraId="631B2615" w14:textId="77777777">
      <w:pPr>
        <w:ind w:left="360"/>
        <w:rPr>
          <w:rFonts w:cs="Calibri"/>
          <w:sz w:val="24"/>
          <w:szCs w:val="24"/>
        </w:rPr>
      </w:pPr>
    </w:p>
    <w:p w:rsidR="001F31C3" w:rsidRPr="005A08FC" w:rsidP="001F44FE" w14:paraId="2390F136" w14:textId="347FCFC8">
      <w:pPr>
        <w:ind w:left="360"/>
        <w:rPr>
          <w:rFonts w:cs="Calibri"/>
          <w:b/>
          <w:sz w:val="24"/>
          <w:szCs w:val="24"/>
        </w:rPr>
      </w:pPr>
      <w:r w:rsidRPr="005A08FC">
        <w:rPr>
          <w:rFonts w:cs="Calibri"/>
          <w:b/>
          <w:sz w:val="24"/>
          <w:szCs w:val="24"/>
        </w:rPr>
        <w:t>10.</w:t>
      </w:r>
      <w:r w:rsidRPr="005A08FC">
        <w:rPr>
          <w:rFonts w:cs="Calibri"/>
          <w:b/>
          <w:sz w:val="24"/>
          <w:szCs w:val="24"/>
        </w:rPr>
        <w:tab/>
        <w:t xml:space="preserve">Describe any assurance of </w:t>
      </w:r>
      <w:r w:rsidRPr="005A08FC" w:rsidR="00AE3D33">
        <w:rPr>
          <w:rFonts w:cs="Calibri"/>
          <w:b/>
          <w:sz w:val="24"/>
          <w:szCs w:val="24"/>
        </w:rPr>
        <w:t xml:space="preserve">confidentiality </w:t>
      </w:r>
      <w:r w:rsidRPr="005A08FC">
        <w:rPr>
          <w:rFonts w:cs="Calibri"/>
          <w:b/>
          <w:sz w:val="24"/>
          <w:szCs w:val="24"/>
        </w:rPr>
        <w:t>provided to respondents and the basis for the assurance in statue, regulation, or agency policy.</w:t>
      </w:r>
    </w:p>
    <w:p w:rsidR="00EA6FB8" w:rsidRPr="005A08FC" w:rsidP="001F44FE" w14:paraId="0A826895" w14:textId="77777777">
      <w:pPr>
        <w:ind w:left="360"/>
        <w:rPr>
          <w:rFonts w:cs="Calibri"/>
          <w:sz w:val="24"/>
          <w:szCs w:val="24"/>
        </w:rPr>
      </w:pPr>
    </w:p>
    <w:p w:rsidR="001F31C3" w:rsidRPr="005A08FC" w:rsidP="001F44FE" w14:paraId="47F2C5F0" w14:textId="33BB97EC">
      <w:pPr>
        <w:ind w:left="360"/>
        <w:rPr>
          <w:rFonts w:cs="Calibri"/>
          <w:sz w:val="24"/>
          <w:szCs w:val="24"/>
        </w:rPr>
      </w:pPr>
      <w:r w:rsidRPr="005A08FC">
        <w:rPr>
          <w:rFonts w:cs="Calibri"/>
          <w:sz w:val="24"/>
          <w:szCs w:val="24"/>
        </w:rPr>
        <w:t xml:space="preserve">An individual’s </w:t>
      </w:r>
      <w:r w:rsidRPr="005A08FC">
        <w:rPr>
          <w:rFonts w:cs="Calibri"/>
          <w:sz w:val="24"/>
          <w:szCs w:val="24"/>
        </w:rPr>
        <w:t xml:space="preserve">personal information </w:t>
      </w:r>
      <w:r w:rsidRPr="005A08FC" w:rsidR="0044583A">
        <w:rPr>
          <w:rFonts w:cs="Calibri"/>
          <w:sz w:val="24"/>
          <w:szCs w:val="24"/>
        </w:rPr>
        <w:t>is</w:t>
      </w:r>
      <w:r w:rsidRPr="005A08FC">
        <w:rPr>
          <w:rFonts w:cs="Calibri"/>
          <w:sz w:val="24"/>
          <w:szCs w:val="24"/>
        </w:rPr>
        <w:t xml:space="preserve"> kept </w:t>
      </w:r>
      <w:r w:rsidRPr="005A08FC">
        <w:rPr>
          <w:rFonts w:cs="Calibri"/>
          <w:sz w:val="24"/>
          <w:szCs w:val="24"/>
        </w:rPr>
        <w:t>confidential and</w:t>
      </w:r>
      <w:r w:rsidRPr="005A08FC">
        <w:rPr>
          <w:rFonts w:cs="Calibri"/>
          <w:sz w:val="24"/>
          <w:szCs w:val="24"/>
        </w:rPr>
        <w:t xml:space="preserve"> </w:t>
      </w:r>
      <w:r w:rsidRPr="005A08FC" w:rsidR="0044583A">
        <w:rPr>
          <w:rFonts w:cs="Calibri"/>
          <w:sz w:val="24"/>
          <w:szCs w:val="24"/>
        </w:rPr>
        <w:t xml:space="preserve">in </w:t>
      </w:r>
      <w:r w:rsidRPr="005A08FC">
        <w:rPr>
          <w:rFonts w:cs="Calibri"/>
          <w:sz w:val="24"/>
          <w:szCs w:val="24"/>
        </w:rPr>
        <w:t>strict accordance with VA privacy policies</w:t>
      </w:r>
      <w:r w:rsidRPr="005A08FC">
        <w:rPr>
          <w:rFonts w:cs="Calibri"/>
          <w:sz w:val="24"/>
          <w:szCs w:val="24"/>
        </w:rPr>
        <w:t xml:space="preserve"> and applicable legal authorities</w:t>
      </w:r>
      <w:r w:rsidRPr="005A08FC">
        <w:rPr>
          <w:rFonts w:cs="Calibri"/>
          <w:sz w:val="24"/>
          <w:szCs w:val="24"/>
        </w:rPr>
        <w:t xml:space="preserve">.  Social Security numbers and military service numbers are requested solely to ensure </w:t>
      </w:r>
      <w:r w:rsidRPr="005A08FC">
        <w:rPr>
          <w:rFonts w:cs="Calibri"/>
          <w:sz w:val="24"/>
          <w:szCs w:val="24"/>
        </w:rPr>
        <w:t xml:space="preserve">accurate </w:t>
      </w:r>
      <w:r w:rsidRPr="005A08FC">
        <w:rPr>
          <w:rFonts w:cs="Calibri"/>
          <w:sz w:val="24"/>
          <w:szCs w:val="24"/>
        </w:rPr>
        <w:t>identification of records</w:t>
      </w:r>
      <w:r w:rsidRPr="005A08FC">
        <w:rPr>
          <w:rFonts w:cs="Calibri"/>
          <w:sz w:val="24"/>
          <w:szCs w:val="24"/>
        </w:rPr>
        <w:t xml:space="preserve"> for the purpose of determining pre-need burial eligibility for those who request this information</w:t>
      </w:r>
      <w:r w:rsidRPr="005A08FC">
        <w:rPr>
          <w:rFonts w:cs="Calibri"/>
          <w:sz w:val="24"/>
          <w:szCs w:val="24"/>
        </w:rPr>
        <w:t xml:space="preserve">.  All respondents </w:t>
      </w:r>
      <w:r w:rsidRPr="005A08FC" w:rsidR="0044583A">
        <w:rPr>
          <w:rFonts w:cs="Calibri"/>
          <w:sz w:val="24"/>
          <w:szCs w:val="24"/>
        </w:rPr>
        <w:t>are</w:t>
      </w:r>
      <w:r w:rsidRPr="005A08FC">
        <w:rPr>
          <w:rFonts w:cs="Calibri"/>
          <w:sz w:val="24"/>
          <w:szCs w:val="24"/>
        </w:rPr>
        <w:t xml:space="preserve"> informed that all submitted material and information falls within the purview of the Privacy Act of 1974, </w:t>
      </w:r>
      <w:r w:rsidRPr="005A08FC" w:rsidR="00B23401">
        <w:rPr>
          <w:rFonts w:cs="Calibri"/>
          <w:sz w:val="24"/>
          <w:szCs w:val="24"/>
        </w:rPr>
        <w:t xml:space="preserve">5 USC 552a(e), </w:t>
      </w:r>
      <w:r w:rsidRPr="005A08FC">
        <w:rPr>
          <w:rFonts w:cs="Calibri"/>
          <w:sz w:val="24"/>
          <w:szCs w:val="24"/>
        </w:rPr>
        <w:t xml:space="preserve">and </w:t>
      </w:r>
      <w:r w:rsidRPr="005A08FC" w:rsidR="0044583A">
        <w:rPr>
          <w:rFonts w:cs="Calibri"/>
          <w:sz w:val="24"/>
          <w:szCs w:val="24"/>
        </w:rPr>
        <w:t>is</w:t>
      </w:r>
      <w:r w:rsidRPr="005A08FC">
        <w:rPr>
          <w:rFonts w:cs="Calibri"/>
          <w:sz w:val="24"/>
          <w:szCs w:val="24"/>
        </w:rPr>
        <w:t xml:space="preserve"> safeguarded in accordance with the applicable System of Records Notice (SORN).  The SORN is </w:t>
      </w:r>
      <w:r w:rsidRPr="005A08FC" w:rsidR="00F60123">
        <w:rPr>
          <w:rFonts w:cs="Calibri"/>
          <w:sz w:val="24"/>
          <w:szCs w:val="24"/>
        </w:rPr>
        <w:t xml:space="preserve">175VA41A, </w:t>
      </w:r>
      <w:r w:rsidRPr="005A08FC" w:rsidR="00F62BE2">
        <w:rPr>
          <w:rFonts w:cs="Calibri"/>
          <w:sz w:val="24"/>
          <w:szCs w:val="24"/>
        </w:rPr>
        <w:t xml:space="preserve">VA National Cemetery Pre-Need Eligibility Determination Records, </w:t>
      </w:r>
      <w:r w:rsidRPr="005A08FC" w:rsidR="00F60123">
        <w:rPr>
          <w:rFonts w:cs="Calibri"/>
          <w:sz w:val="24"/>
          <w:szCs w:val="24"/>
        </w:rPr>
        <w:t>which</w:t>
      </w:r>
      <w:r w:rsidRPr="005A08FC" w:rsidR="001F0730">
        <w:rPr>
          <w:rFonts w:cs="Calibri"/>
          <w:sz w:val="24"/>
          <w:szCs w:val="24"/>
        </w:rPr>
        <w:t xml:space="preserve"> cover</w:t>
      </w:r>
      <w:r w:rsidRPr="005A08FC" w:rsidR="00F60123">
        <w:rPr>
          <w:rFonts w:cs="Calibri"/>
          <w:sz w:val="24"/>
          <w:szCs w:val="24"/>
        </w:rPr>
        <w:t>s</w:t>
      </w:r>
      <w:r w:rsidRPr="005A08FC" w:rsidR="00CE77A8">
        <w:rPr>
          <w:rFonts w:cs="Calibri"/>
          <w:sz w:val="24"/>
          <w:szCs w:val="24"/>
        </w:rPr>
        <w:t xml:space="preserve"> </w:t>
      </w:r>
      <w:r w:rsidRPr="005A08FC" w:rsidR="001F0730">
        <w:rPr>
          <w:rFonts w:cs="Calibri"/>
          <w:sz w:val="24"/>
          <w:szCs w:val="24"/>
        </w:rPr>
        <w:t xml:space="preserve">the </w:t>
      </w:r>
      <w:r w:rsidRPr="005A08FC" w:rsidR="00CE77A8">
        <w:rPr>
          <w:rFonts w:cs="Calibri"/>
          <w:sz w:val="24"/>
          <w:szCs w:val="24"/>
        </w:rPr>
        <w:t xml:space="preserve">scope and routine uses </w:t>
      </w:r>
      <w:r w:rsidRPr="005A08FC" w:rsidR="001F0730">
        <w:rPr>
          <w:rFonts w:cs="Calibri"/>
          <w:sz w:val="24"/>
          <w:szCs w:val="24"/>
        </w:rPr>
        <w:t>for</w:t>
      </w:r>
      <w:r w:rsidRPr="005A08FC" w:rsidR="00CE77A8">
        <w:rPr>
          <w:rFonts w:cs="Calibri"/>
          <w:sz w:val="24"/>
          <w:szCs w:val="24"/>
        </w:rPr>
        <w:t xml:space="preserve"> </w:t>
      </w:r>
      <w:r w:rsidRPr="005A08FC" w:rsidR="00642038">
        <w:rPr>
          <w:rFonts w:cs="Calibri"/>
          <w:sz w:val="24"/>
          <w:szCs w:val="24"/>
        </w:rPr>
        <w:t>Pre-Need</w:t>
      </w:r>
      <w:r w:rsidRPr="005A08FC" w:rsidR="00B02FFC">
        <w:rPr>
          <w:rFonts w:cs="Calibri"/>
          <w:sz w:val="24"/>
          <w:szCs w:val="24"/>
        </w:rPr>
        <w:t>.</w:t>
      </w:r>
    </w:p>
    <w:p w:rsidR="001F31C3" w:rsidRPr="005A08FC" w:rsidP="001F31C3" w14:paraId="47A06FAA" w14:textId="77777777">
      <w:pPr>
        <w:ind w:left="1080"/>
        <w:rPr>
          <w:rFonts w:cs="Calibri"/>
          <w:sz w:val="24"/>
          <w:szCs w:val="24"/>
        </w:rPr>
      </w:pPr>
      <w:r w:rsidRPr="005A08FC">
        <w:rPr>
          <w:rFonts w:cs="Calibri"/>
          <w:sz w:val="24"/>
          <w:szCs w:val="24"/>
        </w:rPr>
        <w:t xml:space="preserve"> </w:t>
      </w:r>
    </w:p>
    <w:p w:rsidR="001F31C3" w:rsidRPr="005A08FC" w:rsidP="001F44FE" w14:paraId="70E8A0AD" w14:textId="77777777">
      <w:pPr>
        <w:pStyle w:val="BodyText3"/>
        <w:tabs>
          <w:tab w:val="clear" w:pos="540"/>
          <w:tab w:val="left" w:pos="90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sz w:val="24"/>
          <w:szCs w:val="24"/>
        </w:rPr>
      </w:pPr>
      <w:r w:rsidRPr="005A08FC">
        <w:rPr>
          <w:rFonts w:ascii="Calibri" w:hAnsi="Calibri" w:cs="Calibri"/>
          <w:sz w:val="24"/>
          <w:szCs w:val="24"/>
        </w:rPr>
        <w:t>11.</w:t>
      </w:r>
      <w:r w:rsidRPr="005A08FC">
        <w:rPr>
          <w:rFonts w:ascii="Calibri" w:hAnsi="Calibri" w:cs="Calibri"/>
          <w:sz w:val="24"/>
          <w:szCs w:val="24"/>
        </w:rPr>
        <w:tab/>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w:t>
      </w:r>
      <w:r w:rsidRPr="005A08FC">
        <w:rPr>
          <w:rFonts w:ascii="Calibri" w:hAnsi="Calibri" w:cs="Calibri"/>
          <w:sz w:val="24"/>
          <w:szCs w:val="24"/>
        </w:rPr>
        <w:t>persons from whom the information is requested, and any steps to be taken to obtain their consent.</w:t>
      </w:r>
    </w:p>
    <w:p w:rsidR="00EA6FB8" w:rsidRPr="005A08FC" w:rsidP="001F44FE" w14:paraId="2768F779" w14:textId="77777777">
      <w:pPr>
        <w:tabs>
          <w:tab w:val="left" w:pos="900"/>
        </w:tabs>
        <w:ind w:left="360"/>
        <w:rPr>
          <w:rFonts w:cs="Calibri"/>
          <w:sz w:val="24"/>
          <w:szCs w:val="24"/>
        </w:rPr>
      </w:pPr>
    </w:p>
    <w:p w:rsidR="001F31C3" w:rsidRPr="005A08FC" w:rsidP="001F44FE" w14:paraId="00EAA2B8" w14:textId="76476AB7">
      <w:pPr>
        <w:tabs>
          <w:tab w:val="left" w:pos="900"/>
        </w:tabs>
        <w:ind w:left="360"/>
        <w:rPr>
          <w:rFonts w:cs="Calibri"/>
          <w:sz w:val="24"/>
          <w:szCs w:val="24"/>
        </w:rPr>
      </w:pPr>
      <w:r w:rsidRPr="005A08FC">
        <w:rPr>
          <w:rFonts w:cs="Calibri"/>
          <w:sz w:val="24"/>
          <w:szCs w:val="24"/>
        </w:rPr>
        <w:t xml:space="preserve">Use of </w:t>
      </w:r>
      <w:r w:rsidRPr="005A08FC" w:rsidR="004D6508">
        <w:rPr>
          <w:rFonts w:cs="Calibri"/>
          <w:sz w:val="24"/>
          <w:szCs w:val="24"/>
        </w:rPr>
        <w:t xml:space="preserve">VA Form 40-10007 </w:t>
      </w:r>
      <w:r w:rsidRPr="005A08FC" w:rsidR="007146AC">
        <w:rPr>
          <w:rFonts w:cs="Calibri"/>
          <w:sz w:val="24"/>
          <w:szCs w:val="24"/>
        </w:rPr>
        <w:t xml:space="preserve">is </w:t>
      </w:r>
      <w:r w:rsidRPr="005A08FC" w:rsidR="005A08FC">
        <w:rPr>
          <w:rFonts w:cs="Calibri"/>
          <w:sz w:val="24"/>
          <w:szCs w:val="24"/>
        </w:rPr>
        <w:t>voluntary,</w:t>
      </w:r>
      <w:r w:rsidRPr="005A08FC">
        <w:rPr>
          <w:rFonts w:cs="Calibri"/>
          <w:sz w:val="24"/>
          <w:szCs w:val="24"/>
        </w:rPr>
        <w:t xml:space="preserve"> and VA </w:t>
      </w:r>
      <w:r w:rsidRPr="005A08FC" w:rsidR="0044583A">
        <w:rPr>
          <w:rFonts w:cs="Calibri"/>
          <w:sz w:val="24"/>
          <w:szCs w:val="24"/>
        </w:rPr>
        <w:t>o</w:t>
      </w:r>
      <w:r w:rsidRPr="005A08FC">
        <w:rPr>
          <w:rFonts w:cs="Calibri"/>
          <w:sz w:val="24"/>
          <w:szCs w:val="24"/>
        </w:rPr>
        <w:t xml:space="preserve">nly </w:t>
      </w:r>
      <w:r w:rsidRPr="005A08FC" w:rsidR="007146AC">
        <w:rPr>
          <w:rFonts w:cs="Calibri"/>
          <w:sz w:val="24"/>
          <w:szCs w:val="24"/>
        </w:rPr>
        <w:t>collect</w:t>
      </w:r>
      <w:r w:rsidRPr="005A08FC" w:rsidR="0044583A">
        <w:rPr>
          <w:rFonts w:cs="Calibri"/>
          <w:sz w:val="24"/>
          <w:szCs w:val="24"/>
        </w:rPr>
        <w:t>s</w:t>
      </w:r>
      <w:r w:rsidRPr="005A08FC" w:rsidR="00D64D51">
        <w:rPr>
          <w:rFonts w:cs="Calibri"/>
          <w:sz w:val="24"/>
          <w:szCs w:val="24"/>
        </w:rPr>
        <w:t xml:space="preserve">, </w:t>
      </w:r>
      <w:r w:rsidRPr="005A08FC">
        <w:rPr>
          <w:rFonts w:cs="Calibri"/>
          <w:sz w:val="24"/>
          <w:szCs w:val="24"/>
        </w:rPr>
        <w:t>review</w:t>
      </w:r>
      <w:r w:rsidRPr="005A08FC" w:rsidR="0044583A">
        <w:rPr>
          <w:rFonts w:cs="Calibri"/>
          <w:sz w:val="24"/>
          <w:szCs w:val="24"/>
        </w:rPr>
        <w:t>s</w:t>
      </w:r>
      <w:r w:rsidRPr="005A08FC" w:rsidR="00D64D51">
        <w:rPr>
          <w:rFonts w:cs="Calibri"/>
          <w:sz w:val="24"/>
          <w:szCs w:val="24"/>
        </w:rPr>
        <w:t>, and when authorized, disclose</w:t>
      </w:r>
      <w:r w:rsidRPr="005A08FC" w:rsidR="0044583A">
        <w:rPr>
          <w:rFonts w:cs="Calibri"/>
          <w:sz w:val="24"/>
          <w:szCs w:val="24"/>
        </w:rPr>
        <w:t>s</w:t>
      </w:r>
      <w:r w:rsidRPr="005A08FC">
        <w:rPr>
          <w:rFonts w:cs="Calibri"/>
          <w:sz w:val="24"/>
          <w:szCs w:val="24"/>
        </w:rPr>
        <w:t xml:space="preserve"> information relevant to establishing eligibility</w:t>
      </w:r>
      <w:r w:rsidRPr="005A08FC" w:rsidR="004D6508">
        <w:rPr>
          <w:rFonts w:cs="Calibri"/>
          <w:sz w:val="24"/>
          <w:szCs w:val="24"/>
        </w:rPr>
        <w:t xml:space="preserve"> for burial in a VA national cemetery</w:t>
      </w:r>
      <w:r w:rsidRPr="005A08FC">
        <w:rPr>
          <w:rFonts w:cs="Calibri"/>
          <w:sz w:val="24"/>
          <w:szCs w:val="24"/>
        </w:rPr>
        <w:t xml:space="preserve">. </w:t>
      </w:r>
      <w:r w:rsidRPr="005A08FC" w:rsidR="007B0832">
        <w:rPr>
          <w:rFonts w:cs="Calibri"/>
          <w:sz w:val="24"/>
          <w:szCs w:val="24"/>
        </w:rPr>
        <w:t xml:space="preserve">The </w:t>
      </w:r>
      <w:r w:rsidRPr="005A08FC" w:rsidR="003864E8">
        <w:rPr>
          <w:rFonts w:cs="Calibri"/>
          <w:sz w:val="24"/>
          <w:szCs w:val="24"/>
        </w:rPr>
        <w:t xml:space="preserve">NCA </w:t>
      </w:r>
      <w:r w:rsidRPr="005A08FC" w:rsidR="007B0832">
        <w:rPr>
          <w:rFonts w:cs="Calibri"/>
          <w:sz w:val="24"/>
          <w:szCs w:val="24"/>
        </w:rPr>
        <w:t>program office include</w:t>
      </w:r>
      <w:r w:rsidRPr="005A08FC" w:rsidR="003864E8">
        <w:rPr>
          <w:rFonts w:cs="Calibri"/>
          <w:sz w:val="24"/>
          <w:szCs w:val="24"/>
        </w:rPr>
        <w:t>s</w:t>
      </w:r>
      <w:r w:rsidRPr="005A08FC" w:rsidR="007B0832">
        <w:rPr>
          <w:rFonts w:cs="Calibri"/>
          <w:sz w:val="24"/>
          <w:szCs w:val="24"/>
        </w:rPr>
        <w:t xml:space="preserve"> </w:t>
      </w:r>
      <w:r w:rsidRPr="005A08FC" w:rsidR="003864E8">
        <w:rPr>
          <w:rFonts w:cs="Calibri"/>
          <w:sz w:val="24"/>
          <w:szCs w:val="24"/>
        </w:rPr>
        <w:t xml:space="preserve">check boxes </w:t>
      </w:r>
      <w:r w:rsidRPr="005A08FC" w:rsidR="007B0832">
        <w:rPr>
          <w:rFonts w:cs="Calibri"/>
          <w:sz w:val="24"/>
          <w:szCs w:val="24"/>
        </w:rPr>
        <w:t xml:space="preserve">for Race/Ethnicity.  This is purely for statistical purposes.  The VA Office for Minority Veterans has engaged NCA leadership on capturing this information on the pre-need eligibility form.    </w:t>
      </w:r>
    </w:p>
    <w:p w:rsidR="002D6DD0" w:rsidRPr="005A08FC" w:rsidP="00E53418" w14:paraId="44712471" w14:textId="77777777">
      <w:pPr>
        <w:tabs>
          <w:tab w:val="left" w:pos="900"/>
        </w:tabs>
        <w:rPr>
          <w:rFonts w:cs="Calibri"/>
          <w:b/>
          <w:sz w:val="24"/>
          <w:szCs w:val="24"/>
        </w:rPr>
      </w:pPr>
    </w:p>
    <w:p w:rsidR="00674AD7" w:rsidRPr="005A08FC" w:rsidP="00317AF0" w14:paraId="7433A185" w14:textId="788E00C0">
      <w:pPr>
        <w:tabs>
          <w:tab w:val="left" w:pos="900"/>
        </w:tabs>
        <w:spacing w:line="240" w:lineRule="exact"/>
        <w:ind w:left="360"/>
        <w:rPr>
          <w:rFonts w:cs="Calibri"/>
          <w:b/>
          <w:sz w:val="24"/>
          <w:szCs w:val="24"/>
        </w:rPr>
      </w:pPr>
      <w:bookmarkStart w:id="1" w:name="_Hlk15896514"/>
      <w:r w:rsidRPr="005A08FC">
        <w:rPr>
          <w:rFonts w:cs="Calibri"/>
          <w:b/>
          <w:sz w:val="24"/>
          <w:szCs w:val="24"/>
        </w:rPr>
        <w:t>12.</w:t>
      </w:r>
      <w:r w:rsidRPr="005A08FC">
        <w:rPr>
          <w:rFonts w:cs="Calibri"/>
          <w:b/>
          <w:sz w:val="24"/>
          <w:szCs w:val="24"/>
        </w:rPr>
        <w:tab/>
        <w:t>Estimate of the hour burden of the collection of information:</w:t>
      </w:r>
    </w:p>
    <w:p w:rsidR="00ED16F2" w:rsidRPr="005A08FC" w:rsidP="001F44FE" w14:paraId="7ABFAB6D" w14:textId="77777777">
      <w:pPr>
        <w:tabs>
          <w:tab w:val="left" w:pos="900"/>
        </w:tabs>
        <w:ind w:left="360"/>
        <w:rPr>
          <w:rFonts w:cs="Calibri"/>
          <w:b/>
          <w:sz w:val="24"/>
          <w:szCs w:val="24"/>
        </w:rPr>
      </w:pPr>
    </w:p>
    <w:p w:rsidR="00ED16F2" w:rsidRPr="005A08FC" w:rsidP="00082C9E" w14:paraId="4B28830D" w14:textId="03CB614B">
      <w:pPr>
        <w:spacing w:after="120"/>
        <w:ind w:left="720"/>
        <w:rPr>
          <w:rFonts w:cs="Calibri"/>
          <w:sz w:val="24"/>
          <w:szCs w:val="24"/>
        </w:rPr>
      </w:pPr>
      <w:r w:rsidRPr="005A08FC">
        <w:rPr>
          <w:rFonts w:cs="Calibri"/>
          <w:b/>
          <w:sz w:val="24"/>
          <w:szCs w:val="24"/>
        </w:rPr>
        <w:t xml:space="preserve">a.   </w:t>
      </w:r>
      <w:r w:rsidRPr="005A08FC" w:rsidR="009B6AE0">
        <w:rPr>
          <w:rFonts w:cs="Calibri"/>
          <w:b/>
          <w:sz w:val="24"/>
          <w:szCs w:val="24"/>
        </w:rPr>
        <w:t>T</w:t>
      </w:r>
      <w:r w:rsidRPr="005A08FC">
        <w:rPr>
          <w:rFonts w:cs="Calibri"/>
          <w:b/>
          <w:sz w:val="24"/>
          <w:szCs w:val="24"/>
        </w:rPr>
        <w:t xml:space="preserve">he number of respondents, frequency of responses, </w:t>
      </w:r>
      <w:r w:rsidRPr="005A08FC" w:rsidR="009B6AE0">
        <w:rPr>
          <w:rFonts w:cs="Calibri"/>
          <w:b/>
          <w:sz w:val="24"/>
          <w:szCs w:val="24"/>
        </w:rPr>
        <w:t xml:space="preserve">and </w:t>
      </w:r>
      <w:r w:rsidRPr="005A08FC">
        <w:rPr>
          <w:rFonts w:cs="Calibri"/>
          <w:b/>
          <w:sz w:val="24"/>
          <w:szCs w:val="24"/>
        </w:rPr>
        <w:t>annual hour burden</w:t>
      </w:r>
      <w:r w:rsidRPr="005A08FC" w:rsidR="009B6AE0">
        <w:rPr>
          <w:rFonts w:cs="Calibri"/>
          <w:b/>
          <w:sz w:val="24"/>
          <w:szCs w:val="24"/>
        </w:rPr>
        <w:t xml:space="preserve"> is reported</w:t>
      </w:r>
      <w:r w:rsidRPr="005A08FC">
        <w:rPr>
          <w:rFonts w:cs="Calibri"/>
          <w:b/>
          <w:sz w:val="24"/>
          <w:szCs w:val="24"/>
        </w:rPr>
        <w:t xml:space="preserve"> </w:t>
      </w:r>
      <w:r w:rsidRPr="005A08FC" w:rsidR="009B6AE0">
        <w:rPr>
          <w:rFonts w:cs="Calibri"/>
          <w:b/>
          <w:sz w:val="24"/>
          <w:szCs w:val="24"/>
        </w:rPr>
        <w:t>as follows:</w:t>
      </w:r>
    </w:p>
    <w:p w:rsidR="00ED16F2" w:rsidRPr="005A08FC" w:rsidP="00317AF0" w14:paraId="6C385BB1" w14:textId="45C171CD">
      <w:pPr>
        <w:tabs>
          <w:tab w:val="left" w:pos="810"/>
        </w:tabs>
        <w:spacing w:line="280" w:lineRule="exact"/>
        <w:ind w:left="360"/>
        <w:rPr>
          <w:rFonts w:cs="Calibri"/>
          <w:sz w:val="24"/>
          <w:szCs w:val="24"/>
        </w:rPr>
      </w:pPr>
      <w:r w:rsidRPr="005A08FC">
        <w:rPr>
          <w:rFonts w:cs="Calibri"/>
          <w:sz w:val="24"/>
          <w:szCs w:val="24"/>
        </w:rPr>
        <w:t>NCA</w:t>
      </w:r>
      <w:r w:rsidRPr="005A08FC">
        <w:rPr>
          <w:rFonts w:cs="Calibri"/>
          <w:sz w:val="24"/>
          <w:szCs w:val="24"/>
        </w:rPr>
        <w:t xml:space="preserve"> estimate</w:t>
      </w:r>
      <w:r w:rsidRPr="005A08FC">
        <w:rPr>
          <w:rFonts w:cs="Calibri"/>
          <w:sz w:val="24"/>
          <w:szCs w:val="24"/>
        </w:rPr>
        <w:t>s</w:t>
      </w:r>
      <w:r w:rsidRPr="005A08FC">
        <w:rPr>
          <w:rFonts w:cs="Calibri"/>
          <w:sz w:val="24"/>
          <w:szCs w:val="24"/>
        </w:rPr>
        <w:t xml:space="preserve"> that it will take each of the 47,400 respondents approximately twenty (20) minutes to complete VA Form 40-10007 and submit it along with supporting documents.  The typical pre-need stakeholder will take approximately five (5) minutes to complete the form and an additional 15 additional minutes to gather and submit supporting documents.  The burden hours will be 15,800 (47,400 respondents </w:t>
      </w:r>
      <w:r w:rsidRPr="005A08FC" w:rsidR="00F03D90">
        <w:rPr>
          <w:rFonts w:cs="Calibri"/>
          <w:sz w:val="24"/>
          <w:szCs w:val="24"/>
        </w:rPr>
        <w:t>×</w:t>
      </w:r>
      <w:r w:rsidRPr="005A08FC">
        <w:rPr>
          <w:rFonts w:cs="Calibri"/>
          <w:sz w:val="24"/>
          <w:szCs w:val="24"/>
        </w:rPr>
        <w:t xml:space="preserve"> 20 minutes </w:t>
      </w:r>
      <w:r w:rsidRPr="005A08FC" w:rsidR="00F03D90">
        <w:rPr>
          <w:rFonts w:cs="Calibri"/>
          <w:sz w:val="24"/>
          <w:szCs w:val="24"/>
        </w:rPr>
        <w:t>÷</w:t>
      </w:r>
      <w:r w:rsidRPr="005A08FC">
        <w:rPr>
          <w:rFonts w:cs="Calibri"/>
          <w:sz w:val="24"/>
          <w:szCs w:val="24"/>
        </w:rPr>
        <w:t xml:space="preserve"> 60 minutes = 15,800 hours).</w:t>
      </w:r>
    </w:p>
    <w:p w:rsidR="00560D11" w:rsidRPr="005A08FC" w:rsidP="00317AF0" w14:paraId="2DC7A3C6" w14:textId="77777777">
      <w:pPr>
        <w:tabs>
          <w:tab w:val="left" w:pos="810"/>
        </w:tabs>
        <w:spacing w:line="280" w:lineRule="exact"/>
        <w:ind w:left="360"/>
        <w:rPr>
          <w:rFonts w:cs="Calibri"/>
          <w:sz w:val="24"/>
          <w:szCs w:val="24"/>
        </w:rPr>
      </w:pPr>
    </w:p>
    <w:tbl>
      <w:tblPr>
        <w:tblW w:w="8828"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8"/>
        <w:gridCol w:w="1620"/>
        <w:gridCol w:w="1440"/>
        <w:gridCol w:w="1440"/>
        <w:gridCol w:w="1080"/>
        <w:gridCol w:w="1710"/>
      </w:tblGrid>
      <w:tr w14:paraId="7A0B697B" w14:textId="77777777" w:rsidTr="00642038">
        <w:tblPrEx>
          <w:tblW w:w="8828"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5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560D11" w14:paraId="7467AD26" w14:textId="77777777">
            <w:pPr>
              <w:ind w:left="-120"/>
              <w:jc w:val="center"/>
              <w:textAlignment w:val="baseline"/>
              <w:rPr>
                <w:rFonts w:eastAsia="Times New Roman" w:cs="Calibri"/>
                <w:sz w:val="24"/>
                <w:szCs w:val="24"/>
              </w:rPr>
            </w:pPr>
            <w:r w:rsidRPr="005A08FC">
              <w:rPr>
                <w:rFonts w:eastAsia="Times New Roman" w:cs="Calibr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560D11" w14:paraId="486A8E01" w14:textId="77777777">
            <w:pPr>
              <w:jc w:val="center"/>
              <w:textAlignment w:val="baseline"/>
              <w:rPr>
                <w:rFonts w:eastAsia="Times New Roman" w:cs="Calibri"/>
                <w:sz w:val="24"/>
                <w:szCs w:val="24"/>
              </w:rPr>
            </w:pPr>
            <w:r w:rsidRPr="005A08FC">
              <w:rPr>
                <w:rFonts w:eastAsia="Times New Roman" w:cs="Calibri"/>
                <w:sz w:val="24"/>
                <w:szCs w:val="24"/>
              </w:rPr>
              <w:t>Number of Respondents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560D11" w14:paraId="3AD6984D" w14:textId="77777777">
            <w:pPr>
              <w:jc w:val="center"/>
              <w:textAlignment w:val="baseline"/>
              <w:rPr>
                <w:rFonts w:eastAsia="Times New Roman" w:cs="Calibri"/>
                <w:sz w:val="24"/>
                <w:szCs w:val="24"/>
              </w:rPr>
            </w:pPr>
            <w:r w:rsidRPr="005A08FC">
              <w:rPr>
                <w:rFonts w:eastAsia="Times New Roman" w:cs="Calibri"/>
                <w:sz w:val="24"/>
                <w:szCs w:val="24"/>
              </w:rPr>
              <w:t>Number of Responses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560D11" w14:paraId="559D96F1" w14:textId="77777777">
            <w:pPr>
              <w:jc w:val="center"/>
              <w:textAlignment w:val="baseline"/>
              <w:rPr>
                <w:rFonts w:eastAsia="Times New Roman" w:cs="Calibri"/>
                <w:sz w:val="24"/>
                <w:szCs w:val="24"/>
              </w:rPr>
            </w:pPr>
            <w:r w:rsidRPr="005A08FC">
              <w:rPr>
                <w:rFonts w:eastAsia="Times New Roman" w:cs="Calibri"/>
                <w:sz w:val="24"/>
                <w:szCs w:val="24"/>
              </w:rPr>
              <w:t>Number of Minutes/ Response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642038" w14:paraId="19B474A5" w14:textId="3125F8A7">
            <w:pPr>
              <w:jc w:val="center"/>
              <w:textAlignment w:val="baseline"/>
              <w:rPr>
                <w:rFonts w:eastAsia="Times New Roman" w:cs="Calibri"/>
                <w:sz w:val="24"/>
                <w:szCs w:val="24"/>
              </w:rPr>
            </w:pPr>
            <w:r w:rsidRPr="005A08FC">
              <w:rPr>
                <w:rFonts w:eastAsia="Times New Roman" w:cs="Calibri"/>
                <w:sz w:val="24"/>
                <w:szCs w:val="24"/>
              </w:rPr>
              <w:t>Total Minutes</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560D11" w14:paraId="3AEB904B" w14:textId="77777777">
            <w:pPr>
              <w:jc w:val="center"/>
              <w:textAlignment w:val="baseline"/>
              <w:rPr>
                <w:rFonts w:eastAsia="Times New Roman" w:cs="Calibri"/>
                <w:sz w:val="24"/>
                <w:szCs w:val="24"/>
              </w:rPr>
            </w:pPr>
            <w:r w:rsidRPr="005A08FC">
              <w:rPr>
                <w:rFonts w:eastAsia="Times New Roman" w:cs="Calibri"/>
                <w:sz w:val="24"/>
                <w:szCs w:val="24"/>
              </w:rPr>
              <w:t>Total Number of Hours </w:t>
            </w:r>
          </w:p>
        </w:tc>
      </w:tr>
      <w:tr w14:paraId="65718FA3" w14:textId="77777777" w:rsidTr="00642038">
        <w:tblPrEx>
          <w:tblW w:w="8828" w:type="dxa"/>
          <w:tblInd w:w="352" w:type="dxa"/>
          <w:tblCellMar>
            <w:left w:w="0" w:type="dxa"/>
            <w:right w:w="0" w:type="dxa"/>
          </w:tblCellMar>
          <w:tblLook w:val="04A0"/>
        </w:tblPrEx>
        <w:trPr>
          <w:trHeight w:val="420"/>
        </w:trPr>
        <w:tc>
          <w:tcPr>
            <w:tcW w:w="15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560D11" w14:paraId="22DA8487" w14:textId="0AA36FF3">
            <w:pPr>
              <w:jc w:val="center"/>
              <w:textAlignment w:val="baseline"/>
              <w:rPr>
                <w:rFonts w:eastAsia="Times New Roman" w:cs="Calibri"/>
                <w:sz w:val="24"/>
                <w:szCs w:val="24"/>
              </w:rPr>
            </w:pPr>
            <w:r w:rsidRPr="005A08FC">
              <w:rPr>
                <w:rFonts w:eastAsia="Times New Roman" w:cs="Calibri"/>
                <w:sz w:val="24"/>
                <w:szCs w:val="24"/>
              </w:rPr>
              <w:t>Pre-Need Form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560D11" w14:paraId="341AF7CD" w14:textId="38030408">
            <w:pPr>
              <w:jc w:val="center"/>
              <w:textAlignment w:val="baseline"/>
              <w:rPr>
                <w:rFonts w:eastAsia="Times New Roman" w:cs="Calibri"/>
                <w:sz w:val="24"/>
                <w:szCs w:val="24"/>
              </w:rPr>
            </w:pPr>
            <w:r w:rsidRPr="005A08FC">
              <w:rPr>
                <w:rFonts w:eastAsia="Times New Roman" w:cs="Calibri"/>
                <w:b/>
                <w:bCs/>
                <w:sz w:val="24"/>
                <w:szCs w:val="24"/>
              </w:rPr>
              <w:t>47,400</w:t>
            </w:r>
            <w:r w:rsidRPr="005A08FC">
              <w:rPr>
                <w:rFonts w:eastAsia="Times New Roman" w:cs="Calibri"/>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560D11" w14:paraId="09A13543" w14:textId="77777777">
            <w:pPr>
              <w:jc w:val="center"/>
              <w:textAlignment w:val="baseline"/>
              <w:rPr>
                <w:rFonts w:eastAsia="Times New Roman" w:cs="Calibri"/>
                <w:sz w:val="24"/>
                <w:szCs w:val="24"/>
              </w:rPr>
            </w:pPr>
            <w:r w:rsidRPr="005A08FC">
              <w:rPr>
                <w:rFonts w:eastAsia="Times New Roman" w:cs="Calibri"/>
                <w:sz w:val="24"/>
                <w:szCs w:val="24"/>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560D11" w14:paraId="08851140" w14:textId="4F0FEDE3">
            <w:pPr>
              <w:jc w:val="center"/>
              <w:textAlignment w:val="baseline"/>
              <w:rPr>
                <w:rFonts w:eastAsia="Times New Roman" w:cs="Calibri"/>
                <w:sz w:val="24"/>
                <w:szCs w:val="24"/>
              </w:rPr>
            </w:pPr>
            <w:r w:rsidRPr="005A08FC">
              <w:rPr>
                <w:rFonts w:eastAsia="Times New Roman" w:cs="Calibri"/>
                <w:sz w:val="24"/>
                <w:szCs w:val="24"/>
              </w:rPr>
              <w:t>20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642038" w14:paraId="73F389C8" w14:textId="6B268D86">
            <w:pPr>
              <w:jc w:val="center"/>
              <w:textAlignment w:val="baseline"/>
              <w:rPr>
                <w:rFonts w:eastAsia="Times New Roman" w:cs="Calibri"/>
                <w:sz w:val="24"/>
                <w:szCs w:val="24"/>
              </w:rPr>
            </w:pPr>
            <w:r w:rsidRPr="005A08FC">
              <w:rPr>
                <w:rFonts w:eastAsia="Times New Roman" w:cs="Calibri"/>
                <w:sz w:val="24"/>
                <w:szCs w:val="24"/>
              </w:rPr>
              <w:t>948</w:t>
            </w:r>
            <w:r w:rsidRPr="005A08FC">
              <w:rPr>
                <w:rFonts w:eastAsia="Times New Roman" w:cs="Calibri"/>
                <w:sz w:val="24"/>
                <w:szCs w:val="24"/>
              </w:rPr>
              <w:t>,000</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0D11" w:rsidRPr="005A08FC" w:rsidP="00560D11" w14:paraId="60F9AD13" w14:textId="154FA019">
            <w:pPr>
              <w:jc w:val="center"/>
              <w:textAlignment w:val="baseline"/>
              <w:rPr>
                <w:rFonts w:eastAsia="Times New Roman" w:cs="Calibri"/>
                <w:sz w:val="24"/>
                <w:szCs w:val="24"/>
              </w:rPr>
            </w:pPr>
            <w:r w:rsidRPr="005A08FC">
              <w:rPr>
                <w:rFonts w:eastAsia="Times New Roman" w:cs="Calibri"/>
                <w:b/>
                <w:bCs/>
                <w:sz w:val="24"/>
                <w:szCs w:val="24"/>
              </w:rPr>
              <w:t>15</w:t>
            </w:r>
            <w:r w:rsidRPr="005A08FC">
              <w:rPr>
                <w:rFonts w:eastAsia="Times New Roman" w:cs="Calibri"/>
                <w:b/>
                <w:bCs/>
                <w:sz w:val="24"/>
                <w:szCs w:val="24"/>
              </w:rPr>
              <w:t>,</w:t>
            </w:r>
            <w:r w:rsidRPr="005A08FC">
              <w:rPr>
                <w:rFonts w:eastAsia="Times New Roman" w:cs="Calibri"/>
                <w:b/>
                <w:bCs/>
                <w:sz w:val="24"/>
                <w:szCs w:val="24"/>
              </w:rPr>
              <w:t>8</w:t>
            </w:r>
            <w:r w:rsidRPr="005A08FC">
              <w:rPr>
                <w:rFonts w:eastAsia="Times New Roman" w:cs="Calibri"/>
                <w:b/>
                <w:bCs/>
                <w:sz w:val="24"/>
                <w:szCs w:val="24"/>
              </w:rPr>
              <w:t>00 hours</w:t>
            </w:r>
            <w:r w:rsidRPr="005A08FC">
              <w:rPr>
                <w:rFonts w:eastAsia="Times New Roman" w:cs="Calibri"/>
                <w:sz w:val="24"/>
                <w:szCs w:val="24"/>
              </w:rPr>
              <w:t> </w:t>
            </w:r>
          </w:p>
        </w:tc>
      </w:tr>
    </w:tbl>
    <w:p w:rsidR="0068111E" w:rsidRPr="005A08FC" w:rsidP="00082C9E" w14:paraId="46738E20" w14:textId="03607AFF">
      <w:pPr>
        <w:rPr>
          <w:rFonts w:cs="Calibri"/>
          <w:sz w:val="24"/>
          <w:szCs w:val="24"/>
        </w:rPr>
      </w:pPr>
    </w:p>
    <w:p w:rsidR="0068111E" w:rsidRPr="005A08FC" w:rsidP="0068111E" w14:paraId="2042E52A" w14:textId="02EBEB2F">
      <w:pPr>
        <w:ind w:left="720"/>
        <w:rPr>
          <w:rFonts w:cs="Calibri"/>
          <w:sz w:val="24"/>
          <w:szCs w:val="24"/>
        </w:rPr>
      </w:pPr>
      <w:bookmarkStart w:id="2" w:name="_Hlk15910225"/>
      <w:r w:rsidRPr="005A08FC">
        <w:rPr>
          <w:rFonts w:cs="Calibri"/>
          <w:b/>
          <w:sz w:val="24"/>
          <w:szCs w:val="24"/>
        </w:rPr>
        <w:t>b.  If this request for approval covers more than one form, provide separate hour burden estimates for each form and aggregate the hour burdens in Item 13.</w:t>
      </w:r>
      <w:bookmarkEnd w:id="2"/>
    </w:p>
    <w:p w:rsidR="0068111E" w:rsidRPr="005A08FC" w:rsidP="001F44FE" w14:paraId="1A106A0F" w14:textId="77777777">
      <w:pPr>
        <w:ind w:left="360"/>
        <w:rPr>
          <w:rFonts w:cs="Calibri"/>
          <w:sz w:val="24"/>
          <w:szCs w:val="24"/>
        </w:rPr>
      </w:pPr>
    </w:p>
    <w:p w:rsidR="00BB215F" w:rsidRPr="005A08FC" w:rsidP="00082C9E" w14:paraId="33EC768F" w14:textId="09F6C3A2">
      <w:pPr>
        <w:spacing w:after="120"/>
        <w:ind w:left="360"/>
        <w:rPr>
          <w:rFonts w:cs="Calibri"/>
          <w:sz w:val="24"/>
          <w:szCs w:val="24"/>
        </w:rPr>
      </w:pPr>
      <w:r w:rsidRPr="005A08FC">
        <w:rPr>
          <w:rFonts w:cs="Calibri"/>
          <w:sz w:val="24"/>
          <w:szCs w:val="24"/>
        </w:rPr>
        <w:t xml:space="preserve">This request covers </w:t>
      </w:r>
      <w:r w:rsidRPr="005A08FC" w:rsidR="00477A12">
        <w:rPr>
          <w:rFonts w:cs="Calibri"/>
          <w:sz w:val="24"/>
          <w:szCs w:val="24"/>
        </w:rPr>
        <w:t xml:space="preserve">only </w:t>
      </w:r>
      <w:r w:rsidRPr="005A08FC">
        <w:rPr>
          <w:rFonts w:cs="Calibri"/>
          <w:sz w:val="24"/>
          <w:szCs w:val="24"/>
        </w:rPr>
        <w:t>one form</w:t>
      </w:r>
      <w:r w:rsidRPr="005A08FC" w:rsidR="00232949">
        <w:rPr>
          <w:rFonts w:cs="Calibri"/>
          <w:sz w:val="24"/>
          <w:szCs w:val="24"/>
        </w:rPr>
        <w:t>, the Application for P</w:t>
      </w:r>
      <w:r w:rsidRPr="005A08FC" w:rsidR="00E85BAF">
        <w:rPr>
          <w:rFonts w:cs="Calibri"/>
          <w:sz w:val="24"/>
          <w:szCs w:val="24"/>
        </w:rPr>
        <w:t>r</w:t>
      </w:r>
      <w:r w:rsidRPr="005A08FC" w:rsidR="00232949">
        <w:rPr>
          <w:rFonts w:cs="Calibri"/>
          <w:sz w:val="24"/>
          <w:szCs w:val="24"/>
        </w:rPr>
        <w:t>e-Need Determination of Eligibility for Burial in a VA National Cemetery</w:t>
      </w:r>
      <w:r w:rsidRPr="005A08FC">
        <w:rPr>
          <w:rFonts w:cs="Calibri"/>
          <w:sz w:val="24"/>
          <w:szCs w:val="24"/>
        </w:rPr>
        <w:t xml:space="preserve">.  Use of VA Form 40-10007 is voluntary and should only be submitted once. </w:t>
      </w:r>
    </w:p>
    <w:p w:rsidR="0068111E" w:rsidRPr="005A08FC" w:rsidP="00583ED9" w14:paraId="3A261C61" w14:textId="1DCC85E1">
      <w:pPr>
        <w:ind w:left="720"/>
        <w:rPr>
          <w:rFonts w:cs="Calibri"/>
          <w:sz w:val="24"/>
          <w:szCs w:val="24"/>
        </w:rPr>
      </w:pPr>
      <w:r w:rsidRPr="005A08FC">
        <w:rPr>
          <w:rFonts w:cs="Calibri"/>
          <w:b/>
          <w:sz w:val="24"/>
          <w:szCs w:val="24"/>
        </w:rPr>
        <w:t>c.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68111E" w:rsidRPr="005A08FC" w:rsidP="001F44FE" w14:paraId="33C57E82" w14:textId="77777777">
      <w:pPr>
        <w:ind w:left="360"/>
        <w:rPr>
          <w:rFonts w:cs="Calibri"/>
          <w:sz w:val="24"/>
          <w:szCs w:val="24"/>
        </w:rPr>
      </w:pPr>
    </w:p>
    <w:p w:rsidR="00D43161" w:rsidRPr="005A08FC" w:rsidP="00583ED9" w14:paraId="66001736" w14:textId="5EC06077">
      <w:pPr>
        <w:spacing w:line="280" w:lineRule="exact"/>
        <w:ind w:left="360"/>
        <w:rPr>
          <w:rFonts w:eastAsia="Times New Roman" w:cs="Calibri"/>
          <w:sz w:val="24"/>
          <w:szCs w:val="24"/>
        </w:rPr>
      </w:pPr>
      <w:r w:rsidRPr="005A08FC">
        <w:rPr>
          <w:rFonts w:eastAsia="Times New Roman" w:cs="Calibri"/>
          <w:sz w:val="24"/>
          <w:szCs w:val="24"/>
        </w:rPr>
        <w:t xml:space="preserve">VA cannot make assumptions about the population of respondents because of the variability of factors, such as the educational background and wage potential of respondents.  Therefore, </w:t>
      </w:r>
      <w:r w:rsidRPr="005A08FC">
        <w:rPr>
          <w:rFonts w:eastAsia="Times New Roman" w:cs="Calibri"/>
          <w:sz w:val="24"/>
          <w:szCs w:val="24"/>
        </w:rPr>
        <w:t xml:space="preserve">NCA uses general wage data to estimate the respondents’ costs associated with completing the information collection.  </w:t>
      </w:r>
    </w:p>
    <w:p w:rsidR="00D43161" w:rsidRPr="005A08FC" w:rsidP="00583ED9" w14:paraId="53E2A4D5" w14:textId="77777777">
      <w:pPr>
        <w:spacing w:line="280" w:lineRule="exact"/>
        <w:ind w:left="360"/>
        <w:rPr>
          <w:rFonts w:cs="Calibri"/>
          <w:sz w:val="24"/>
          <w:szCs w:val="24"/>
        </w:rPr>
      </w:pPr>
    </w:p>
    <w:p w:rsidR="004D6305" w:rsidRPr="005A08FC" w:rsidP="00583ED9" w14:paraId="050FF35A" w14:textId="124643D0">
      <w:pPr>
        <w:spacing w:line="280" w:lineRule="exact"/>
        <w:ind w:left="360"/>
        <w:rPr>
          <w:rStyle w:val="normaltextrun"/>
          <w:rFonts w:cs="Calibri"/>
          <w:color w:val="000000"/>
          <w:sz w:val="24"/>
          <w:szCs w:val="24"/>
          <w:bdr w:val="none" w:sz="0" w:space="0" w:color="auto" w:frame="1"/>
        </w:rPr>
      </w:pPr>
      <w:r w:rsidRPr="005A08FC">
        <w:rPr>
          <w:rFonts w:cs="Calibri"/>
          <w:sz w:val="24"/>
          <w:szCs w:val="24"/>
        </w:rPr>
        <w:t xml:space="preserve">The Bureau of Labor Statistics (BLS) gathers information on full-time wage and salary workers.  </w:t>
      </w:r>
      <w:r w:rsidRPr="005A08FC">
        <w:rPr>
          <w:rFonts w:eastAsia="Times New Roman" w:cs="Calibri"/>
          <w:sz w:val="24"/>
          <w:szCs w:val="24"/>
        </w:rPr>
        <w:t xml:space="preserve">According to the </w:t>
      </w:r>
      <w:r w:rsidRPr="005A08FC" w:rsidR="000D052B">
        <w:rPr>
          <w:rFonts w:eastAsia="Times New Roman" w:cs="Calibri"/>
          <w:sz w:val="24"/>
          <w:szCs w:val="24"/>
        </w:rPr>
        <w:t>latest available BLS data</w:t>
      </w:r>
      <w:r w:rsidRPr="005A08FC">
        <w:rPr>
          <w:rFonts w:eastAsia="Times New Roman" w:cs="Calibri"/>
          <w:sz w:val="24"/>
          <w:szCs w:val="24"/>
        </w:rPr>
        <w:t xml:space="preserve">, </w:t>
      </w:r>
      <w:r w:rsidRPr="005A08FC" w:rsidR="00792376">
        <w:rPr>
          <w:rFonts w:eastAsia="Times New Roman" w:cs="Calibri"/>
          <w:sz w:val="24"/>
          <w:szCs w:val="24"/>
        </w:rPr>
        <w:t xml:space="preserve">assuming a forty (40) hour work week, </w:t>
      </w:r>
      <w:r w:rsidRPr="005A08FC">
        <w:rPr>
          <w:rFonts w:eastAsia="Times New Roman" w:cs="Calibri"/>
          <w:sz w:val="24"/>
          <w:szCs w:val="24"/>
        </w:rPr>
        <w:t xml:space="preserve">the mean hourly wage is $28.01 based on the BLS wage code </w:t>
      </w:r>
      <w:r w:rsidRPr="005A08FC">
        <w:rPr>
          <w:rStyle w:val="normaltextrun"/>
          <w:rFonts w:cs="Calibri"/>
          <w:color w:val="000000"/>
          <w:sz w:val="24"/>
          <w:szCs w:val="24"/>
          <w:bdr w:val="none" w:sz="0" w:space="0" w:color="auto" w:frame="1"/>
        </w:rPr>
        <w:t>– “00-0000 All Occupations.”</w:t>
      </w:r>
      <w:r>
        <w:rPr>
          <w:rStyle w:val="FootnoteReference"/>
          <w:rFonts w:cs="Calibri"/>
          <w:color w:val="000000"/>
          <w:sz w:val="24"/>
          <w:szCs w:val="24"/>
          <w:bdr w:val="none" w:sz="0" w:space="0" w:color="auto" w:frame="1"/>
        </w:rPr>
        <w:footnoteReference w:id="2"/>
      </w:r>
    </w:p>
    <w:p w:rsidR="004D6305" w:rsidRPr="005A08FC" w:rsidP="00583ED9" w14:paraId="5FE4B455" w14:textId="77777777">
      <w:pPr>
        <w:spacing w:line="280" w:lineRule="exact"/>
        <w:ind w:left="360"/>
        <w:rPr>
          <w:rFonts w:cs="Calibri"/>
          <w:sz w:val="24"/>
          <w:szCs w:val="24"/>
        </w:rPr>
      </w:pPr>
    </w:p>
    <w:p w:rsidR="00953061" w:rsidRPr="005A08FC" w:rsidP="00583ED9" w14:paraId="336007A7" w14:textId="07469EDB">
      <w:pPr>
        <w:spacing w:line="280" w:lineRule="exact"/>
        <w:ind w:left="360"/>
        <w:rPr>
          <w:rFonts w:cs="Calibri"/>
          <w:sz w:val="24"/>
          <w:szCs w:val="24"/>
        </w:rPr>
      </w:pPr>
    </w:p>
    <w:p w:rsidR="00953061" w:rsidRPr="005A08FC" w:rsidP="00583ED9" w14:paraId="3B48F706" w14:textId="1AE73F4D">
      <w:pPr>
        <w:spacing w:line="280" w:lineRule="exact"/>
        <w:ind w:left="360"/>
        <w:rPr>
          <w:rFonts w:cs="Calibri"/>
          <w:sz w:val="24"/>
          <w:szCs w:val="24"/>
        </w:rPr>
      </w:pPr>
      <w:r w:rsidRPr="005A08FC">
        <w:rPr>
          <w:rFonts w:cs="Calibri"/>
          <w:sz w:val="24"/>
          <w:szCs w:val="24"/>
        </w:rPr>
        <w:t xml:space="preserve">NCA estimates the annual cost to all respondents to be $442,558.00 (15,800 annual burden hours × $28.01 </w:t>
      </w:r>
      <w:r w:rsidRPr="005A08FC" w:rsidR="00E44F12">
        <w:rPr>
          <w:rFonts w:cs="Calibri"/>
          <w:sz w:val="24"/>
          <w:szCs w:val="24"/>
        </w:rPr>
        <w:t>mean hourly wage</w:t>
      </w:r>
      <w:r w:rsidRPr="005A08FC">
        <w:rPr>
          <w:rFonts w:cs="Calibri"/>
          <w:sz w:val="24"/>
          <w:szCs w:val="24"/>
        </w:rPr>
        <w:t>).</w:t>
      </w:r>
    </w:p>
    <w:p w:rsidR="008F2CDB" w:rsidRPr="005A08FC" w:rsidP="00082C9E" w14:paraId="4F51D034" w14:textId="3FE743F0">
      <w:pPr>
        <w:ind w:left="360"/>
        <w:rPr>
          <w:rFonts w:cs="Calibri"/>
          <w:sz w:val="24"/>
          <w:szCs w:val="24"/>
        </w:rPr>
      </w:pPr>
      <w:r w:rsidRPr="005A08FC">
        <w:rPr>
          <w:rFonts w:cs="Calibri"/>
          <w:sz w:val="24"/>
          <w:szCs w:val="24"/>
        </w:rPr>
        <w:t xml:space="preserve">  </w:t>
      </w:r>
      <w:bookmarkEnd w:id="1"/>
    </w:p>
    <w:p w:rsidR="001F31C3" w:rsidRPr="005A08FC" w:rsidP="001F44FE" w14:paraId="10AD4597"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sz w:val="24"/>
          <w:szCs w:val="24"/>
        </w:rPr>
      </w:pPr>
      <w:r w:rsidRPr="005A08FC">
        <w:rPr>
          <w:rFonts w:ascii="Calibri" w:hAnsi="Calibri" w:cs="Calibri"/>
          <w:sz w:val="24"/>
          <w:szCs w:val="24"/>
        </w:rPr>
        <w:t>13.</w:t>
      </w:r>
      <w:r w:rsidRPr="005A08FC">
        <w:rPr>
          <w:rFonts w:ascii="Calibri" w:hAnsi="Calibri" w:cs="Calibri"/>
          <w:sz w:val="24"/>
          <w:szCs w:val="24"/>
        </w:rPr>
        <w:tab/>
        <w:t>Provide an estimate of the total annual cost burden to respondents or record</w:t>
      </w:r>
      <w:r w:rsidRPr="005A08FC" w:rsidR="00213913">
        <w:rPr>
          <w:rFonts w:ascii="Calibri" w:hAnsi="Calibri" w:cs="Calibri"/>
          <w:sz w:val="24"/>
          <w:szCs w:val="24"/>
        </w:rPr>
        <w:t xml:space="preserve"> </w:t>
      </w:r>
      <w:r w:rsidRPr="005A08FC">
        <w:rPr>
          <w:rFonts w:ascii="Calibri" w:hAnsi="Calibri" w:cs="Calibri"/>
          <w:sz w:val="24"/>
          <w:szCs w:val="24"/>
        </w:rPr>
        <w:t>keepers resulting from the collection of information.  (Do not include the cost of any hour burden shown in Items 12 and 14).</w:t>
      </w:r>
    </w:p>
    <w:p w:rsidR="008F2CDB" w:rsidRPr="005A08FC" w:rsidP="001F44FE" w14:paraId="62537E81"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sz w:val="24"/>
          <w:szCs w:val="24"/>
        </w:rPr>
      </w:pPr>
    </w:p>
    <w:p w:rsidR="001F31C3" w:rsidRPr="005A08FC" w:rsidP="001F44FE" w14:paraId="38291419" w14:textId="4B542390">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sz w:val="24"/>
          <w:szCs w:val="24"/>
        </w:rPr>
      </w:pPr>
      <w:r w:rsidRPr="005A08FC">
        <w:rPr>
          <w:rFonts w:ascii="Calibri" w:hAnsi="Calibri" w:cs="Calibri"/>
          <w:b w:val="0"/>
          <w:bCs/>
          <w:sz w:val="24"/>
          <w:szCs w:val="24"/>
        </w:rPr>
        <w:t xml:space="preserve">There are no annualized costs to respondents other than the labor burden costs addressed in Item 12 of this document to complete this collection.  </w:t>
      </w:r>
      <w:r w:rsidRPr="005A08FC">
        <w:rPr>
          <w:rFonts w:ascii="Calibri" w:hAnsi="Calibri" w:cs="Calibri"/>
          <w:b w:val="0"/>
          <w:sz w:val="24"/>
          <w:szCs w:val="24"/>
        </w:rPr>
        <w:t xml:space="preserve">  </w:t>
      </w:r>
    </w:p>
    <w:p w:rsidR="001F31C3" w:rsidRPr="005A08FC" w:rsidP="001F44FE" w14:paraId="1AF4D8E1"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b w:val="0"/>
          <w:sz w:val="24"/>
          <w:szCs w:val="24"/>
        </w:rPr>
      </w:pPr>
    </w:p>
    <w:p w:rsidR="001F31C3" w:rsidRPr="005A08FC" w:rsidP="001F44FE" w14:paraId="3E30E264"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sz w:val="24"/>
          <w:szCs w:val="24"/>
        </w:rPr>
      </w:pPr>
      <w:r w:rsidRPr="005A08FC">
        <w:rPr>
          <w:rFonts w:ascii="Calibri" w:hAnsi="Calibri" w:cs="Calibri"/>
          <w:sz w:val="24"/>
          <w:szCs w:val="24"/>
        </w:rPr>
        <w:t>14.</w:t>
      </w:r>
      <w:r w:rsidRPr="005A08FC">
        <w:rPr>
          <w:rFonts w:ascii="Calibri" w:hAnsi="Calibri" w:cs="Calibri"/>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A6FB8" w:rsidRPr="005A08FC" w:rsidP="001F31C3" w14:paraId="7469E812" w14:textId="77777777">
      <w:pPr>
        <w:ind w:left="1080"/>
        <w:rPr>
          <w:rFonts w:cs="Calibri"/>
          <w:sz w:val="24"/>
          <w:szCs w:val="24"/>
        </w:rPr>
      </w:pPr>
    </w:p>
    <w:p w:rsidR="00421113" w:rsidRPr="005A08FC" w:rsidP="001F44FE" w14:paraId="53A1FEAD" w14:textId="533C869B">
      <w:pPr>
        <w:pStyle w:val="NoSpacing"/>
        <w:ind w:left="360"/>
        <w:rPr>
          <w:rFonts w:cs="Calibri"/>
          <w:sz w:val="24"/>
          <w:szCs w:val="24"/>
        </w:rPr>
      </w:pPr>
      <w:r w:rsidRPr="005A08FC">
        <w:rPr>
          <w:rFonts w:cs="Calibri"/>
          <w:sz w:val="24"/>
          <w:szCs w:val="24"/>
        </w:rPr>
        <w:t>NCA estimates the Federal Government cost by estimating NCA costs for this information collection.</w:t>
      </w:r>
      <w:r>
        <w:rPr>
          <w:rStyle w:val="FootnoteReference"/>
          <w:rFonts w:cs="Calibri"/>
          <w:sz w:val="24"/>
          <w:szCs w:val="24"/>
        </w:rPr>
        <w:footnoteReference w:id="3"/>
      </w:r>
      <w:r w:rsidRPr="005A08FC">
        <w:rPr>
          <w:rFonts w:cs="Calibri"/>
          <w:sz w:val="24"/>
          <w:szCs w:val="24"/>
        </w:rPr>
        <w:t xml:space="preserve">  </w:t>
      </w:r>
      <w:r w:rsidRPr="005A08FC" w:rsidR="007B18D9">
        <w:rPr>
          <w:rFonts w:cs="Calibri"/>
          <w:sz w:val="24"/>
          <w:szCs w:val="24"/>
        </w:rPr>
        <w:t xml:space="preserve">The estimated cost </w:t>
      </w:r>
      <w:r w:rsidRPr="005A08FC">
        <w:rPr>
          <w:rFonts w:cs="Calibri"/>
          <w:sz w:val="24"/>
          <w:szCs w:val="24"/>
        </w:rPr>
        <w:t xml:space="preserve">for permanent </w:t>
      </w:r>
      <w:r w:rsidRPr="005A08FC" w:rsidR="000C1695">
        <w:rPr>
          <w:rFonts w:cs="Calibri"/>
          <w:sz w:val="24"/>
          <w:szCs w:val="24"/>
        </w:rPr>
        <w:t>full-time equivalent (</w:t>
      </w:r>
      <w:r w:rsidRPr="005A08FC">
        <w:rPr>
          <w:rFonts w:cs="Calibri"/>
          <w:sz w:val="24"/>
          <w:szCs w:val="24"/>
        </w:rPr>
        <w:t>FTE</w:t>
      </w:r>
      <w:r w:rsidRPr="005A08FC" w:rsidR="000C1695">
        <w:rPr>
          <w:rFonts w:cs="Calibri"/>
          <w:sz w:val="24"/>
          <w:szCs w:val="24"/>
        </w:rPr>
        <w:t>)</w:t>
      </w:r>
      <w:r w:rsidRPr="005A08FC">
        <w:rPr>
          <w:rFonts w:cs="Calibri"/>
          <w:sz w:val="24"/>
          <w:szCs w:val="24"/>
        </w:rPr>
        <w:t xml:space="preserve"> for the Pre-Need section is 1 GS-11 Supervisor and 8 GS-9</w:t>
      </w:r>
      <w:r w:rsidRPr="005A08FC" w:rsidR="0062145B">
        <w:rPr>
          <w:rFonts w:cs="Calibri"/>
          <w:sz w:val="24"/>
          <w:szCs w:val="24"/>
        </w:rPr>
        <w:t>/</w:t>
      </w:r>
      <w:r w:rsidRPr="005A08FC">
        <w:rPr>
          <w:rFonts w:cs="Calibri"/>
          <w:sz w:val="24"/>
          <w:szCs w:val="24"/>
        </w:rPr>
        <w:t xml:space="preserve">10 Analysts who work at the National Cemetery Scheduling Office.  </w:t>
      </w:r>
    </w:p>
    <w:p w:rsidR="0010760C" w:rsidRPr="005A08FC" w:rsidP="001F44FE" w14:paraId="32AE5506" w14:textId="793FB439">
      <w:pPr>
        <w:pStyle w:val="NoSpacing"/>
        <w:ind w:left="360"/>
        <w:rPr>
          <w:rFonts w:cs="Calibri"/>
          <w:sz w:val="24"/>
          <w:szCs w:val="24"/>
        </w:rPr>
      </w:pPr>
    </w:p>
    <w:p w:rsidR="00E51B17" w:rsidRPr="005A08FC" w:rsidP="001F44FE" w14:paraId="5C0EC5D0" w14:textId="301A0214">
      <w:pPr>
        <w:pStyle w:val="NoSpacing"/>
        <w:ind w:left="360"/>
        <w:rPr>
          <w:rFonts w:cs="Calibri"/>
          <w:sz w:val="24"/>
          <w:szCs w:val="24"/>
        </w:rPr>
      </w:pPr>
      <w:r w:rsidRPr="005A08FC">
        <w:rPr>
          <w:rFonts w:cs="Calibri"/>
          <w:sz w:val="24"/>
          <w:szCs w:val="24"/>
        </w:rPr>
        <w:t>A GS 10 Step 5 employee will take 3 minutes to review a</w:t>
      </w:r>
      <w:r w:rsidRPr="005A08FC" w:rsidR="00CB26F1">
        <w:rPr>
          <w:rFonts w:cs="Calibri"/>
          <w:sz w:val="24"/>
          <w:szCs w:val="24"/>
        </w:rPr>
        <w:t xml:space="preserve"> Pre-Need</w:t>
      </w:r>
      <w:r w:rsidRPr="005A08FC">
        <w:rPr>
          <w:rFonts w:cs="Calibri"/>
          <w:sz w:val="24"/>
          <w:szCs w:val="24"/>
        </w:rPr>
        <w:t xml:space="preserve"> application.  $</w:t>
      </w:r>
      <w:r w:rsidRPr="005A08FC" w:rsidR="00412B83">
        <w:rPr>
          <w:rFonts w:cs="Calibri"/>
          <w:sz w:val="24"/>
          <w:szCs w:val="24"/>
        </w:rPr>
        <w:t>34.92</w:t>
      </w:r>
      <w:r w:rsidRPr="005A08FC">
        <w:rPr>
          <w:rFonts w:cs="Calibri"/>
          <w:sz w:val="24"/>
          <w:szCs w:val="24"/>
        </w:rPr>
        <w:t xml:space="preserve"> GS 10 Step 5 hourly wage × 0.05 hours = $</w:t>
      </w:r>
      <w:r w:rsidRPr="005A08FC" w:rsidR="00412B83">
        <w:rPr>
          <w:rFonts w:cs="Calibri"/>
          <w:sz w:val="24"/>
          <w:szCs w:val="24"/>
        </w:rPr>
        <w:t>1.75</w:t>
      </w:r>
      <w:r w:rsidRPr="005A08FC">
        <w:rPr>
          <w:rFonts w:cs="Calibri"/>
          <w:sz w:val="24"/>
          <w:szCs w:val="24"/>
        </w:rPr>
        <w:t>.  Next, NCA multiplies the 0.05 hours by the 47,</w:t>
      </w:r>
      <w:r w:rsidRPr="005A08FC" w:rsidR="00A219D6">
        <w:rPr>
          <w:rFonts w:cs="Calibri"/>
          <w:sz w:val="24"/>
          <w:szCs w:val="24"/>
        </w:rPr>
        <w:t>400 application forms to calculate 2,370 burden hours.  Then, NCA multiplies the $</w:t>
      </w:r>
      <w:r w:rsidRPr="005A08FC" w:rsidR="00412B83">
        <w:rPr>
          <w:rFonts w:cs="Calibri"/>
          <w:sz w:val="24"/>
          <w:szCs w:val="24"/>
        </w:rPr>
        <w:t>1.75</w:t>
      </w:r>
      <w:r w:rsidRPr="005A08FC" w:rsidR="00A219D6">
        <w:rPr>
          <w:rFonts w:cs="Calibri"/>
          <w:sz w:val="24"/>
          <w:szCs w:val="24"/>
        </w:rPr>
        <w:t xml:space="preserve"> by the 47,400 application forms to calculate the $</w:t>
      </w:r>
      <w:r w:rsidRPr="005A08FC" w:rsidR="00412B83">
        <w:rPr>
          <w:rFonts w:cs="Calibri"/>
          <w:sz w:val="24"/>
          <w:szCs w:val="24"/>
        </w:rPr>
        <w:t>82,760.40</w:t>
      </w:r>
      <w:r w:rsidRPr="005A08FC" w:rsidR="00A219D6">
        <w:rPr>
          <w:rFonts w:cs="Calibri"/>
          <w:sz w:val="24"/>
          <w:szCs w:val="24"/>
        </w:rPr>
        <w:t xml:space="preserve"> cost.</w:t>
      </w:r>
      <w:r w:rsidRPr="005A08FC" w:rsidR="00045BD8">
        <w:rPr>
          <w:rFonts w:cs="Calibri"/>
          <w:sz w:val="24"/>
          <w:szCs w:val="24"/>
        </w:rPr>
        <w:t xml:space="preserve">  Next, NCA multiplies the $</w:t>
      </w:r>
      <w:r w:rsidRPr="005A08FC" w:rsidR="00412B83">
        <w:rPr>
          <w:rFonts w:cs="Calibri"/>
          <w:sz w:val="24"/>
          <w:szCs w:val="24"/>
        </w:rPr>
        <w:t>82,760.40</w:t>
      </w:r>
      <w:r w:rsidRPr="005A08FC" w:rsidR="00045BD8">
        <w:rPr>
          <w:rFonts w:cs="Calibri"/>
          <w:sz w:val="24"/>
          <w:szCs w:val="24"/>
        </w:rPr>
        <w:t xml:space="preserve"> cost by 8 </w:t>
      </w:r>
      <w:r w:rsidRPr="005A08FC" w:rsidR="00E33ED7">
        <w:rPr>
          <w:rFonts w:cs="Calibri"/>
          <w:sz w:val="24"/>
          <w:szCs w:val="24"/>
        </w:rPr>
        <w:t xml:space="preserve">National Cemetery Scheduling Office </w:t>
      </w:r>
      <w:r w:rsidRPr="005A08FC" w:rsidR="00045BD8">
        <w:rPr>
          <w:rFonts w:cs="Calibri"/>
          <w:sz w:val="24"/>
          <w:szCs w:val="24"/>
        </w:rPr>
        <w:t>employees to calculate the $</w:t>
      </w:r>
      <w:r w:rsidRPr="005A08FC" w:rsidR="00412B83">
        <w:rPr>
          <w:rFonts w:cs="Calibri"/>
          <w:sz w:val="24"/>
          <w:szCs w:val="24"/>
        </w:rPr>
        <w:t>662,083.20</w:t>
      </w:r>
      <w:r w:rsidRPr="005A08FC" w:rsidR="00045BD8">
        <w:rPr>
          <w:rFonts w:cs="Calibri"/>
          <w:sz w:val="24"/>
          <w:szCs w:val="24"/>
        </w:rPr>
        <w:t xml:space="preserve"> analyst cost.</w:t>
      </w:r>
    </w:p>
    <w:p w:rsidR="00E51B17" w:rsidRPr="005A08FC" w:rsidP="001F44FE" w14:paraId="1A493359" w14:textId="77777777">
      <w:pPr>
        <w:pStyle w:val="NoSpacing"/>
        <w:ind w:left="360"/>
        <w:rPr>
          <w:rFonts w:cs="Calibri"/>
          <w:sz w:val="24"/>
          <w:szCs w:val="24"/>
        </w:rPr>
      </w:pPr>
    </w:p>
    <w:p w:rsidR="00E51B17" w:rsidRPr="005A08FC" w:rsidP="001F44FE" w14:paraId="1DE110DE" w14:textId="5BFCF9DF">
      <w:pPr>
        <w:pStyle w:val="NoSpacing"/>
        <w:ind w:left="360"/>
        <w:rPr>
          <w:rFonts w:cs="Calibri"/>
          <w:sz w:val="24"/>
          <w:szCs w:val="24"/>
        </w:rPr>
      </w:pPr>
      <w:r w:rsidRPr="005A08FC">
        <w:rPr>
          <w:rFonts w:cs="Calibri"/>
          <w:sz w:val="24"/>
          <w:szCs w:val="24"/>
        </w:rPr>
        <w:t>A GS 11 Step 1 supervisor will take 3 minutes</w:t>
      </w:r>
      <w:r w:rsidRPr="005A08FC">
        <w:rPr>
          <w:rFonts w:cs="Calibri"/>
          <w:sz w:val="24"/>
          <w:szCs w:val="24"/>
        </w:rPr>
        <w:t xml:space="preserve"> to review a</w:t>
      </w:r>
      <w:r w:rsidRPr="005A08FC" w:rsidR="00CB26F1">
        <w:rPr>
          <w:rFonts w:cs="Calibri"/>
          <w:sz w:val="24"/>
          <w:szCs w:val="24"/>
        </w:rPr>
        <w:t xml:space="preserve"> Pre-Need</w:t>
      </w:r>
      <w:r w:rsidRPr="005A08FC">
        <w:rPr>
          <w:rFonts w:cs="Calibri"/>
          <w:sz w:val="24"/>
          <w:szCs w:val="24"/>
        </w:rPr>
        <w:t xml:space="preserve"> application</w:t>
      </w:r>
      <w:r w:rsidRPr="005A08FC">
        <w:rPr>
          <w:rFonts w:cs="Calibri"/>
          <w:sz w:val="24"/>
          <w:szCs w:val="24"/>
        </w:rPr>
        <w:t>.  $</w:t>
      </w:r>
      <w:r w:rsidRPr="005A08FC" w:rsidR="00412B83">
        <w:rPr>
          <w:rFonts w:cs="Calibri"/>
          <w:sz w:val="24"/>
          <w:szCs w:val="24"/>
        </w:rPr>
        <w:t>33.85</w:t>
      </w:r>
      <w:r w:rsidRPr="005A08FC">
        <w:rPr>
          <w:rFonts w:cs="Calibri"/>
          <w:sz w:val="24"/>
          <w:szCs w:val="24"/>
        </w:rPr>
        <w:t xml:space="preserve"> GS 1</w:t>
      </w:r>
      <w:r w:rsidRPr="005A08FC" w:rsidR="00DE6650">
        <w:rPr>
          <w:rFonts w:cs="Calibri"/>
          <w:sz w:val="24"/>
          <w:szCs w:val="24"/>
        </w:rPr>
        <w:t>1</w:t>
      </w:r>
      <w:r w:rsidRPr="005A08FC">
        <w:rPr>
          <w:rFonts w:cs="Calibri"/>
          <w:sz w:val="24"/>
          <w:szCs w:val="24"/>
        </w:rPr>
        <w:t xml:space="preserve"> </w:t>
      </w:r>
      <w:r w:rsidRPr="005A08FC">
        <w:rPr>
          <w:rFonts w:cs="Calibri"/>
          <w:sz w:val="24"/>
          <w:szCs w:val="24"/>
        </w:rPr>
        <w:t xml:space="preserve">Step 1 </w:t>
      </w:r>
      <w:r w:rsidRPr="005A08FC">
        <w:rPr>
          <w:rFonts w:cs="Calibri"/>
          <w:sz w:val="24"/>
          <w:szCs w:val="24"/>
        </w:rPr>
        <w:t>hourly wage × 0.05</w:t>
      </w:r>
      <w:r w:rsidRPr="005A08FC">
        <w:rPr>
          <w:rFonts w:cs="Calibri"/>
          <w:sz w:val="24"/>
          <w:szCs w:val="24"/>
        </w:rPr>
        <w:t xml:space="preserve"> hours = $</w:t>
      </w:r>
      <w:r w:rsidRPr="005A08FC" w:rsidR="00412B83">
        <w:rPr>
          <w:rFonts w:cs="Calibri"/>
          <w:sz w:val="24"/>
          <w:szCs w:val="24"/>
        </w:rPr>
        <w:t>1.69</w:t>
      </w:r>
      <w:r w:rsidRPr="005A08FC">
        <w:rPr>
          <w:rFonts w:cs="Calibri"/>
          <w:sz w:val="24"/>
          <w:szCs w:val="24"/>
        </w:rPr>
        <w:t>.  Next, NCA multiplies the 0.05 hours by the 47,400 application forms to calculate 2,370 burden hours.  Then, NCA multiplies the $</w:t>
      </w:r>
      <w:r w:rsidRPr="005A08FC" w:rsidR="00412B83">
        <w:rPr>
          <w:rFonts w:cs="Calibri"/>
          <w:sz w:val="24"/>
          <w:szCs w:val="24"/>
        </w:rPr>
        <w:t>1.69</w:t>
      </w:r>
      <w:r w:rsidRPr="005A08FC">
        <w:rPr>
          <w:rFonts w:cs="Calibri"/>
          <w:sz w:val="24"/>
          <w:szCs w:val="24"/>
        </w:rPr>
        <w:t xml:space="preserve"> by the 47,400 application forms to calculate the $</w:t>
      </w:r>
      <w:r w:rsidRPr="005A08FC" w:rsidR="00412B83">
        <w:rPr>
          <w:rFonts w:cs="Calibri"/>
          <w:sz w:val="24"/>
          <w:szCs w:val="24"/>
        </w:rPr>
        <w:t>80,224.50</w:t>
      </w:r>
      <w:r w:rsidRPr="005A08FC">
        <w:rPr>
          <w:rFonts w:cs="Calibri"/>
          <w:sz w:val="24"/>
          <w:szCs w:val="24"/>
        </w:rPr>
        <w:t xml:space="preserve"> </w:t>
      </w:r>
      <w:r w:rsidRPr="005A08FC" w:rsidR="00045BD8">
        <w:rPr>
          <w:rFonts w:cs="Calibri"/>
          <w:sz w:val="24"/>
          <w:szCs w:val="24"/>
        </w:rPr>
        <w:t>supervisor cost</w:t>
      </w:r>
      <w:r w:rsidRPr="005A08FC">
        <w:rPr>
          <w:rFonts w:cs="Calibri"/>
          <w:sz w:val="24"/>
          <w:szCs w:val="24"/>
        </w:rPr>
        <w:t>.</w:t>
      </w:r>
    </w:p>
    <w:p w:rsidR="0065781D" w:rsidRPr="005A08FC" w:rsidP="001F44FE" w14:paraId="1BF1DC7B" w14:textId="2312A8C3">
      <w:pPr>
        <w:pStyle w:val="NoSpacing"/>
        <w:ind w:left="360"/>
        <w:rPr>
          <w:rFonts w:cs="Calibri"/>
          <w:sz w:val="24"/>
          <w:szCs w:val="24"/>
        </w:rPr>
      </w:pPr>
      <w:r w:rsidRPr="005A08FC">
        <w:rPr>
          <w:rFonts w:cs="Calibri"/>
          <w:sz w:val="24"/>
          <w:szCs w:val="24"/>
        </w:rPr>
        <w:t xml:space="preserve"> </w:t>
      </w:r>
      <w:r w:rsidRPr="005A08FC">
        <w:rPr>
          <w:rFonts w:cs="Calibri"/>
          <w:sz w:val="24"/>
          <w:szCs w:val="24"/>
        </w:rPr>
        <w:t xml:space="preserve"> </w:t>
      </w:r>
    </w:p>
    <w:p w:rsidR="00045BD8" w:rsidRPr="005A08FC" w:rsidP="001F44FE" w14:paraId="4790E242" w14:textId="1129EC64">
      <w:pPr>
        <w:pStyle w:val="NoSpacing"/>
        <w:ind w:left="360"/>
        <w:rPr>
          <w:rFonts w:cs="Calibri"/>
          <w:sz w:val="24"/>
          <w:szCs w:val="24"/>
        </w:rPr>
      </w:pPr>
      <w:r w:rsidRPr="005A08FC">
        <w:rPr>
          <w:rFonts w:cs="Calibri"/>
          <w:sz w:val="24"/>
          <w:szCs w:val="24"/>
        </w:rPr>
        <w:t>NCA sums the $</w:t>
      </w:r>
      <w:r w:rsidRPr="005A08FC" w:rsidR="00412B83">
        <w:rPr>
          <w:rFonts w:cs="Calibri"/>
          <w:sz w:val="24"/>
          <w:szCs w:val="24"/>
        </w:rPr>
        <w:t>662,083.20</w:t>
      </w:r>
      <w:r w:rsidRPr="005A08FC">
        <w:rPr>
          <w:rFonts w:cs="Calibri"/>
          <w:sz w:val="24"/>
          <w:szCs w:val="24"/>
        </w:rPr>
        <w:t xml:space="preserve"> analyst cost and the $</w:t>
      </w:r>
      <w:r w:rsidRPr="005A08FC" w:rsidR="00412B83">
        <w:rPr>
          <w:rFonts w:cs="Calibri"/>
          <w:sz w:val="24"/>
          <w:szCs w:val="24"/>
        </w:rPr>
        <w:t>80,224.50</w:t>
      </w:r>
      <w:r w:rsidRPr="005A08FC">
        <w:rPr>
          <w:rFonts w:cs="Calibri"/>
          <w:sz w:val="24"/>
          <w:szCs w:val="24"/>
        </w:rPr>
        <w:t xml:space="preserve"> supervisor cost to calculate $</w:t>
      </w:r>
      <w:r w:rsidRPr="005A08FC" w:rsidR="00412B83">
        <w:rPr>
          <w:rFonts w:cs="Calibri"/>
          <w:sz w:val="24"/>
          <w:szCs w:val="24"/>
        </w:rPr>
        <w:t>742,307.70</w:t>
      </w:r>
      <w:r w:rsidRPr="005A08FC">
        <w:rPr>
          <w:rFonts w:cs="Calibri"/>
          <w:sz w:val="24"/>
          <w:szCs w:val="24"/>
        </w:rPr>
        <w:t xml:space="preserve"> </w:t>
      </w:r>
      <w:r w:rsidRPr="005A08FC" w:rsidR="00412B83">
        <w:rPr>
          <w:rFonts w:cs="Calibri"/>
          <w:sz w:val="24"/>
          <w:szCs w:val="24"/>
        </w:rPr>
        <w:t xml:space="preserve">annual </w:t>
      </w:r>
      <w:r w:rsidRPr="005A08FC">
        <w:rPr>
          <w:rFonts w:cs="Calibri"/>
          <w:sz w:val="24"/>
          <w:szCs w:val="24"/>
        </w:rPr>
        <w:t xml:space="preserve">cost to the </w:t>
      </w:r>
      <w:r w:rsidRPr="005A08FC" w:rsidR="0075768B">
        <w:rPr>
          <w:rFonts w:cs="Calibri"/>
          <w:sz w:val="24"/>
          <w:szCs w:val="24"/>
        </w:rPr>
        <w:t>Federal G</w:t>
      </w:r>
      <w:r w:rsidRPr="005A08FC">
        <w:rPr>
          <w:rFonts w:cs="Calibri"/>
          <w:sz w:val="24"/>
          <w:szCs w:val="24"/>
        </w:rPr>
        <w:t>overnment.</w:t>
      </w:r>
    </w:p>
    <w:p w:rsidR="0010760C" w:rsidRPr="005A08FC" w:rsidP="001F44FE" w14:paraId="562CE503" w14:textId="14BEA874">
      <w:pPr>
        <w:pStyle w:val="NoSpacing"/>
        <w:ind w:left="360"/>
        <w:rPr>
          <w:rFonts w:cs="Calibri"/>
          <w:sz w:val="24"/>
          <w:szCs w:val="24"/>
        </w:rPr>
      </w:pPr>
      <w:r w:rsidRPr="005A08FC">
        <w:rPr>
          <w:rFonts w:cs="Calibri"/>
          <w:sz w:val="24"/>
          <w:szCs w:val="24"/>
        </w:rPr>
        <w:t xml:space="preserve">These figures are based on the FY </w:t>
      </w:r>
      <w:r w:rsidRPr="005A08FC" w:rsidR="00412B83">
        <w:rPr>
          <w:rFonts w:cs="Calibri"/>
          <w:sz w:val="24"/>
          <w:szCs w:val="24"/>
        </w:rPr>
        <w:t xml:space="preserve">2023 </w:t>
      </w:r>
      <w:r w:rsidRPr="005A08FC">
        <w:rPr>
          <w:rFonts w:cs="Calibri"/>
          <w:sz w:val="24"/>
          <w:szCs w:val="24"/>
        </w:rPr>
        <w:t xml:space="preserve">General Schedule Pay Table for the </w:t>
      </w:r>
      <w:r w:rsidRPr="005A08FC" w:rsidR="009B7BEA">
        <w:rPr>
          <w:rFonts w:cs="Calibri"/>
          <w:sz w:val="24"/>
          <w:szCs w:val="24"/>
        </w:rPr>
        <w:t xml:space="preserve">Locality Pay Area of St. Louis-St. Charles-Farmington, MO-IL Effective January </w:t>
      </w:r>
      <w:r w:rsidRPr="005A08FC" w:rsidR="005C1F12">
        <w:rPr>
          <w:rFonts w:cs="Calibri"/>
          <w:sz w:val="24"/>
          <w:szCs w:val="24"/>
        </w:rPr>
        <w:t>2023</w:t>
      </w:r>
      <w:r w:rsidRPr="005A08FC" w:rsidR="009B7BEA">
        <w:rPr>
          <w:rFonts w:cs="Calibri"/>
          <w:sz w:val="24"/>
          <w:szCs w:val="24"/>
        </w:rPr>
        <w:t xml:space="preserve">: </w:t>
      </w:r>
      <w:r w:rsidRPr="005A08FC" w:rsidR="00BD6C2E">
        <w:rPr>
          <w:rFonts w:cs="Calibri"/>
          <w:sz w:val="24"/>
          <w:szCs w:val="24"/>
        </w:rPr>
        <w:t xml:space="preserve"> </w:t>
      </w:r>
      <w:hyperlink r:id="rId6" w:history="1">
        <w:r w:rsidRPr="005A08FC" w:rsidR="005C1F12">
          <w:rPr>
            <w:rFonts w:cs="Calibri"/>
            <w:color w:val="0000FF"/>
            <w:sz w:val="24"/>
            <w:szCs w:val="24"/>
            <w:u w:val="single"/>
          </w:rPr>
          <w:t>https://www.opm.gov/policy-data-oversight/pay-leave/salaries-wages/salary-tables/pdf/2023/SL_h.pdf</w:t>
        </w:r>
      </w:hyperlink>
    </w:p>
    <w:p w:rsidR="001F31C3" w:rsidRPr="005A08FC" w:rsidP="001F44FE" w14:paraId="74B23197" w14:textId="582907A2">
      <w:pPr>
        <w:pStyle w:val="NoSpacing"/>
        <w:ind w:left="360"/>
        <w:rPr>
          <w:rFonts w:cs="Calibri"/>
          <w:b/>
          <w:sz w:val="24"/>
          <w:szCs w:val="24"/>
        </w:rPr>
      </w:pPr>
      <w:r w:rsidRPr="005A08FC">
        <w:rPr>
          <w:rFonts w:cs="Calibri"/>
          <w:sz w:val="24"/>
          <w:szCs w:val="24"/>
        </w:rPr>
        <w:br/>
      </w:r>
      <w:r w:rsidRPr="005A08FC">
        <w:rPr>
          <w:rFonts w:cs="Calibri"/>
          <w:b/>
          <w:sz w:val="24"/>
          <w:szCs w:val="24"/>
        </w:rPr>
        <w:t>15.</w:t>
      </w:r>
      <w:r w:rsidRPr="005A08FC">
        <w:rPr>
          <w:rFonts w:cs="Calibri"/>
          <w:b/>
          <w:sz w:val="24"/>
          <w:szCs w:val="24"/>
        </w:rPr>
        <w:tab/>
        <w:t>Explain the reason</w:t>
      </w:r>
      <w:r w:rsidRPr="005A08FC" w:rsidR="002F0990">
        <w:rPr>
          <w:rFonts w:cs="Calibri"/>
          <w:b/>
          <w:sz w:val="24"/>
          <w:szCs w:val="24"/>
        </w:rPr>
        <w:t>s</w:t>
      </w:r>
      <w:r w:rsidRPr="005A08FC">
        <w:rPr>
          <w:rFonts w:cs="Calibri"/>
          <w:b/>
          <w:sz w:val="24"/>
          <w:szCs w:val="24"/>
        </w:rPr>
        <w:t xml:space="preserve"> for any program changes or adjustments reported in Items 13 or 14</w:t>
      </w:r>
      <w:r w:rsidRPr="005A08FC" w:rsidR="002F0990">
        <w:rPr>
          <w:rFonts w:cs="Calibri"/>
          <w:b/>
          <w:sz w:val="24"/>
          <w:szCs w:val="24"/>
        </w:rPr>
        <w:t>.</w:t>
      </w:r>
    </w:p>
    <w:p w:rsidR="00EA6FB8" w:rsidRPr="005A08FC" w:rsidP="00746D22" w14:paraId="73256E48" w14:textId="77777777">
      <w:pPr>
        <w:ind w:left="1080"/>
        <w:rPr>
          <w:rFonts w:cs="Calibri"/>
          <w:sz w:val="24"/>
          <w:szCs w:val="24"/>
        </w:rPr>
      </w:pPr>
    </w:p>
    <w:p w:rsidR="001F31C3" w:rsidRPr="005A08FC" w:rsidP="001F44FE" w14:paraId="7E04A6E1" w14:textId="6C2354A7">
      <w:pPr>
        <w:ind w:left="360"/>
        <w:rPr>
          <w:rFonts w:cs="Calibri"/>
          <w:sz w:val="24"/>
          <w:szCs w:val="24"/>
        </w:rPr>
      </w:pPr>
      <w:r w:rsidRPr="005A08FC">
        <w:rPr>
          <w:rFonts w:cs="Calibri"/>
          <w:sz w:val="24"/>
          <w:szCs w:val="24"/>
        </w:rPr>
        <w:t xml:space="preserve">NCA adjusted the burden estimates (such as mean hourly wage, total cost to respondents, </w:t>
      </w:r>
      <w:r w:rsidRPr="005A08FC" w:rsidR="0075768B">
        <w:rPr>
          <w:rFonts w:cs="Calibri"/>
          <w:sz w:val="24"/>
          <w:szCs w:val="24"/>
        </w:rPr>
        <w:t>hourly wage</w:t>
      </w:r>
      <w:r w:rsidRPr="005A08FC">
        <w:rPr>
          <w:rFonts w:cs="Calibri"/>
          <w:sz w:val="24"/>
          <w:szCs w:val="24"/>
        </w:rPr>
        <w:t xml:space="preserve"> for supervisor, </w:t>
      </w:r>
      <w:r w:rsidRPr="005A08FC" w:rsidR="0075768B">
        <w:rPr>
          <w:rFonts w:cs="Calibri"/>
          <w:sz w:val="24"/>
          <w:szCs w:val="24"/>
        </w:rPr>
        <w:t>hourly wage</w:t>
      </w:r>
      <w:r w:rsidRPr="005A08FC">
        <w:rPr>
          <w:rFonts w:cs="Calibri"/>
          <w:sz w:val="24"/>
          <w:szCs w:val="24"/>
        </w:rPr>
        <w:t xml:space="preserve"> for analysts who work at the National Cemetery Scheduling Office, and </w:t>
      </w:r>
      <w:r w:rsidRPr="005A08FC" w:rsidR="005C1F12">
        <w:rPr>
          <w:rFonts w:cs="Calibri"/>
          <w:sz w:val="24"/>
          <w:szCs w:val="24"/>
        </w:rPr>
        <w:t xml:space="preserve">annual </w:t>
      </w:r>
      <w:r w:rsidRPr="005A08FC">
        <w:rPr>
          <w:rFonts w:cs="Calibri"/>
          <w:sz w:val="24"/>
          <w:szCs w:val="24"/>
        </w:rPr>
        <w:t xml:space="preserve">cost to </w:t>
      </w:r>
      <w:r w:rsidRPr="005A08FC" w:rsidR="00F4768E">
        <w:rPr>
          <w:rFonts w:cs="Calibri"/>
          <w:sz w:val="24"/>
          <w:szCs w:val="24"/>
        </w:rPr>
        <w:t>the Federal G</w:t>
      </w:r>
      <w:r w:rsidRPr="005A08FC">
        <w:rPr>
          <w:rFonts w:cs="Calibri"/>
          <w:sz w:val="24"/>
          <w:szCs w:val="24"/>
        </w:rPr>
        <w:t>overnment) since the previously submitted information collection.</w:t>
      </w:r>
      <w:r w:rsidRPr="005A08FC" w:rsidR="00F57ED0">
        <w:rPr>
          <w:rFonts w:cs="Calibri"/>
          <w:sz w:val="24"/>
          <w:szCs w:val="24"/>
        </w:rPr>
        <w:t xml:space="preserve"> </w:t>
      </w:r>
    </w:p>
    <w:p w:rsidR="004D6508" w:rsidRPr="005A08FC" w:rsidP="001F31C3" w14:paraId="13830724"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cs="Calibri"/>
          <w:sz w:val="24"/>
          <w:szCs w:val="24"/>
        </w:rPr>
      </w:pPr>
    </w:p>
    <w:p w:rsidR="001F31C3" w:rsidRPr="005A08FC" w:rsidP="001F44FE" w14:paraId="24B5BE3B"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sz w:val="24"/>
          <w:szCs w:val="24"/>
        </w:rPr>
      </w:pPr>
      <w:r w:rsidRPr="005A08FC">
        <w:rPr>
          <w:rFonts w:ascii="Calibri" w:hAnsi="Calibri" w:cs="Calibri"/>
          <w:sz w:val="24"/>
          <w:szCs w:val="24"/>
        </w:rPr>
        <w:t>16.</w:t>
      </w:r>
      <w:r w:rsidRPr="005A08FC">
        <w:rPr>
          <w:rFonts w:ascii="Calibri" w:hAnsi="Calibri" w:cs="Calibri"/>
          <w:sz w:val="24"/>
          <w:szCs w:val="24"/>
        </w:rPr>
        <w:tab/>
        <w:t xml:space="preserve">For collections of information whose results will be published, outline plans for tabulation and publication.  Address any complex analytical techniques that will be used.  Provide the time </w:t>
      </w:r>
      <w:r w:rsidRPr="005A08FC" w:rsidR="009E6758">
        <w:rPr>
          <w:rFonts w:ascii="Calibri" w:hAnsi="Calibri" w:cs="Calibri"/>
          <w:sz w:val="24"/>
          <w:szCs w:val="24"/>
        </w:rPr>
        <w:t>schedule</w:t>
      </w:r>
      <w:r w:rsidRPr="005A08FC">
        <w:rPr>
          <w:rFonts w:ascii="Calibri" w:hAnsi="Calibri" w:cs="Calibri"/>
          <w:sz w:val="24"/>
          <w:szCs w:val="24"/>
        </w:rPr>
        <w:t xml:space="preserve"> for the entire project, including beginning and ending dates of the collection of information, completion of report, publication dates, and other actions.</w:t>
      </w:r>
    </w:p>
    <w:p w:rsidR="00EA6FB8" w:rsidRPr="005A08FC" w:rsidP="001F31C3" w14:paraId="6B4FA237" w14:textId="77777777">
      <w:pPr>
        <w:ind w:left="1080"/>
        <w:rPr>
          <w:rFonts w:cs="Calibri"/>
          <w:sz w:val="24"/>
          <w:szCs w:val="24"/>
        </w:rPr>
      </w:pPr>
    </w:p>
    <w:p w:rsidR="001F31C3" w:rsidRPr="005A08FC" w:rsidP="001F44FE" w14:paraId="690F0E71" w14:textId="33FB2D16">
      <w:pPr>
        <w:ind w:left="360"/>
        <w:rPr>
          <w:rFonts w:cs="Calibri"/>
          <w:sz w:val="24"/>
          <w:szCs w:val="24"/>
        </w:rPr>
      </w:pPr>
      <w:r w:rsidRPr="005A08FC">
        <w:rPr>
          <w:rFonts w:cs="Calibri"/>
          <w:sz w:val="24"/>
          <w:szCs w:val="24"/>
        </w:rPr>
        <w:t>The results of this information collection will not be published</w:t>
      </w:r>
      <w:r w:rsidRPr="005A08FC" w:rsidR="00483B42">
        <w:rPr>
          <w:rFonts w:cs="Calibri"/>
          <w:sz w:val="24"/>
          <w:szCs w:val="24"/>
        </w:rPr>
        <w:t>.</w:t>
      </w:r>
      <w:r w:rsidRPr="005A08FC">
        <w:rPr>
          <w:rFonts w:cs="Calibri"/>
          <w:sz w:val="24"/>
          <w:szCs w:val="24"/>
        </w:rPr>
        <w:t xml:space="preserve">  </w:t>
      </w:r>
    </w:p>
    <w:p w:rsidR="001F31C3" w:rsidRPr="005A08FC" w:rsidP="001F31C3" w14:paraId="01A9E5A3" w14:textId="77777777">
      <w:pPr>
        <w:ind w:left="1080"/>
        <w:rPr>
          <w:rFonts w:cs="Calibri"/>
          <w:sz w:val="24"/>
          <w:szCs w:val="24"/>
        </w:rPr>
      </w:pPr>
    </w:p>
    <w:p w:rsidR="001F31C3" w:rsidRPr="005A08FC" w:rsidP="001F44FE" w14:paraId="6DDB56DC" w14:textId="77777777">
      <w:pPr>
        <w:pStyle w:val="BodyText3"/>
        <w:tabs>
          <w:tab w:val="left" w:pos="360"/>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sz w:val="24"/>
          <w:szCs w:val="24"/>
        </w:rPr>
      </w:pPr>
      <w:r w:rsidRPr="005A08FC">
        <w:rPr>
          <w:rFonts w:ascii="Calibri" w:hAnsi="Calibri" w:cs="Calibri"/>
          <w:sz w:val="24"/>
          <w:szCs w:val="24"/>
        </w:rPr>
        <w:t>17.</w:t>
      </w:r>
      <w:r w:rsidRPr="005A08FC">
        <w:rPr>
          <w:rFonts w:ascii="Calibri" w:hAnsi="Calibri" w:cs="Calibri"/>
          <w:sz w:val="24"/>
          <w:szCs w:val="24"/>
        </w:rPr>
        <w:tab/>
        <w:t xml:space="preserve">If seeking approval to omit the expiration date for OMB approval of the information collection, explain the reasons that display would be inappropriate. </w:t>
      </w:r>
    </w:p>
    <w:p w:rsidR="00EA6FB8" w:rsidRPr="005A08FC" w:rsidP="001F31C3" w14:paraId="12A01C0E" w14:textId="77777777">
      <w:pPr>
        <w:ind w:left="720" w:firstLine="360"/>
        <w:rPr>
          <w:rFonts w:cs="Calibri"/>
          <w:sz w:val="24"/>
          <w:szCs w:val="24"/>
        </w:rPr>
      </w:pPr>
    </w:p>
    <w:p w:rsidR="001F31C3" w:rsidRPr="005A08FC" w:rsidP="001F44FE" w14:paraId="2360F3EB" w14:textId="24ECB19C">
      <w:pPr>
        <w:ind w:left="360"/>
        <w:rPr>
          <w:rFonts w:cs="Calibri"/>
          <w:sz w:val="24"/>
          <w:szCs w:val="24"/>
        </w:rPr>
      </w:pPr>
      <w:r w:rsidRPr="005A08FC">
        <w:rPr>
          <w:rFonts w:cs="Calibri"/>
          <w:sz w:val="24"/>
          <w:szCs w:val="24"/>
        </w:rPr>
        <w:t xml:space="preserve">NCA is </w:t>
      </w:r>
      <w:r w:rsidRPr="005A08FC">
        <w:rPr>
          <w:rFonts w:cs="Calibri"/>
          <w:sz w:val="24"/>
          <w:szCs w:val="24"/>
        </w:rPr>
        <w:t>not seek</w:t>
      </w:r>
      <w:r w:rsidRPr="005A08FC">
        <w:rPr>
          <w:rFonts w:cs="Calibri"/>
          <w:sz w:val="24"/>
          <w:szCs w:val="24"/>
        </w:rPr>
        <w:t>ing</w:t>
      </w:r>
      <w:r w:rsidRPr="005A08FC">
        <w:rPr>
          <w:rFonts w:cs="Calibri"/>
          <w:sz w:val="24"/>
          <w:szCs w:val="24"/>
        </w:rPr>
        <w:t xml:space="preserve"> approval to omit the expiration date</w:t>
      </w:r>
      <w:r w:rsidRPr="005A08FC" w:rsidR="00B03D0C">
        <w:rPr>
          <w:rFonts w:cs="Calibri"/>
          <w:sz w:val="24"/>
          <w:szCs w:val="24"/>
        </w:rPr>
        <w:t xml:space="preserve"> for OMB approval</w:t>
      </w:r>
      <w:r w:rsidRPr="005A08FC" w:rsidR="00325450">
        <w:rPr>
          <w:rFonts w:cs="Calibri"/>
          <w:sz w:val="24"/>
          <w:szCs w:val="24"/>
        </w:rPr>
        <w:t xml:space="preserve"> of this information collection</w:t>
      </w:r>
      <w:r w:rsidRPr="005A08FC">
        <w:rPr>
          <w:rFonts w:cs="Calibri"/>
          <w:sz w:val="24"/>
          <w:szCs w:val="24"/>
        </w:rPr>
        <w:t xml:space="preserve">.  </w:t>
      </w:r>
    </w:p>
    <w:p w:rsidR="001F31C3" w:rsidRPr="005A08FC" w:rsidP="001F31C3" w14:paraId="597A4600" w14:textId="77777777">
      <w:pPr>
        <w:ind w:left="1080"/>
        <w:rPr>
          <w:rFonts w:cs="Calibri"/>
          <w:sz w:val="24"/>
          <w:szCs w:val="24"/>
        </w:rPr>
      </w:pPr>
    </w:p>
    <w:p w:rsidR="001F31C3" w:rsidRPr="005A08FC" w:rsidP="001F44FE" w14:paraId="42DC60B7"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Calibri"/>
          <w:sz w:val="24"/>
          <w:szCs w:val="24"/>
        </w:rPr>
      </w:pPr>
      <w:r w:rsidRPr="005A08FC">
        <w:rPr>
          <w:rFonts w:ascii="Calibri" w:hAnsi="Calibri" w:cs="Calibri"/>
          <w:sz w:val="24"/>
          <w:szCs w:val="24"/>
        </w:rPr>
        <w:t>18.</w:t>
      </w:r>
      <w:r w:rsidRPr="005A08FC">
        <w:rPr>
          <w:rFonts w:ascii="Calibri" w:hAnsi="Calibri" w:cs="Calibri"/>
          <w:sz w:val="24"/>
          <w:szCs w:val="24"/>
        </w:rPr>
        <w:tab/>
        <w:t>Explain each exception to the certification statement identified in Item 19, “Certification for Paperwork Reduction Act Submissions,” of OMB 83-I.</w:t>
      </w:r>
    </w:p>
    <w:p w:rsidR="00EA6FB8" w:rsidRPr="005A08FC" w:rsidP="001F31C3" w14:paraId="1B7729D8" w14:textId="77777777">
      <w:pPr>
        <w:ind w:left="360" w:firstLine="720"/>
        <w:rPr>
          <w:rFonts w:cs="Calibri"/>
          <w:sz w:val="24"/>
          <w:szCs w:val="24"/>
        </w:rPr>
      </w:pPr>
    </w:p>
    <w:p w:rsidR="001F31C3" w:rsidRPr="005A08FC" w:rsidP="001F44FE" w14:paraId="458D0362" w14:textId="0F84E26C">
      <w:pPr>
        <w:ind w:left="360"/>
        <w:rPr>
          <w:rFonts w:cs="Calibri"/>
          <w:sz w:val="24"/>
          <w:szCs w:val="24"/>
        </w:rPr>
      </w:pPr>
      <w:r w:rsidRPr="005A08FC">
        <w:rPr>
          <w:rFonts w:cs="Calibri"/>
          <w:sz w:val="24"/>
          <w:szCs w:val="24"/>
        </w:rPr>
        <w:t>There are no exceptions.</w:t>
      </w:r>
    </w:p>
    <w:p w:rsidR="001F31C3" w:rsidRPr="005A08FC" w:rsidP="001F44FE" w14:paraId="7E09C4BA" w14:textId="041C4372">
      <w:pPr>
        <w:ind w:left="360"/>
        <w:rPr>
          <w:rFonts w:cs="Calibri"/>
          <w:sz w:val="24"/>
          <w:szCs w:val="24"/>
        </w:rPr>
      </w:pPr>
    </w:p>
    <w:sectPr w:rsidSect="00317AF0">
      <w:headerReference w:type="default" r:id="rId7"/>
      <w:footerReference w:type="default" r:id="rId8"/>
      <w:pgSz w:w="12240" w:h="15840"/>
      <w:pgMar w:top="1008" w:right="1530" w:bottom="1008"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0922179"/>
      <w:docPartObj>
        <w:docPartGallery w:val="Page Numbers (Bottom of Page)"/>
        <w:docPartUnique/>
      </w:docPartObj>
    </w:sdtPr>
    <w:sdtEndPr>
      <w:rPr>
        <w:noProof/>
      </w:rPr>
    </w:sdtEndPr>
    <w:sdtContent>
      <w:p w:rsidR="001F44FE" w14:paraId="592A58F2" w14:textId="201DE781">
        <w:pPr>
          <w:pStyle w:val="Footer"/>
          <w:jc w:val="right"/>
        </w:pPr>
        <w:r>
          <w:fldChar w:fldCharType="begin"/>
        </w:r>
        <w:r>
          <w:instrText xml:space="preserve"> PAGE   \* MERGEFORMAT </w:instrText>
        </w:r>
        <w:r>
          <w:fldChar w:fldCharType="separate"/>
        </w:r>
        <w:r w:rsidR="00EF3001">
          <w:rPr>
            <w:noProof/>
          </w:rPr>
          <w:t>5</w:t>
        </w:r>
        <w:r>
          <w:rPr>
            <w:noProof/>
          </w:rPr>
          <w:fldChar w:fldCharType="end"/>
        </w:r>
      </w:p>
    </w:sdtContent>
  </w:sdt>
  <w:p w:rsidR="001F44FE" w14:paraId="48A310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32580" w:rsidP="00DA37C2" w14:paraId="62CCBABF" w14:textId="77777777">
      <w:r>
        <w:separator/>
      </w:r>
    </w:p>
  </w:footnote>
  <w:footnote w:type="continuationSeparator" w:id="1">
    <w:p w:rsidR="00832580" w:rsidP="00DA37C2" w14:paraId="1F603F6B" w14:textId="77777777">
      <w:r>
        <w:continuationSeparator/>
      </w:r>
    </w:p>
  </w:footnote>
  <w:footnote w:id="2">
    <w:p w:rsidR="00792376" w:rsidRPr="005A08FC" w14:paraId="49738295" w14:textId="37462EB1">
      <w:pPr>
        <w:pStyle w:val="FootnoteText"/>
        <w:rPr>
          <w:rFonts w:cs="Calibri"/>
        </w:rPr>
      </w:pPr>
      <w:r w:rsidRPr="005A08FC">
        <w:rPr>
          <w:rStyle w:val="FootnoteReference"/>
          <w:rFonts w:cs="Calibri"/>
        </w:rPr>
        <w:footnoteRef/>
      </w:r>
      <w:r w:rsidRPr="005A08FC">
        <w:rPr>
          <w:rFonts w:cs="Calibri"/>
        </w:rPr>
        <w:t xml:space="preserve"> The mean hourly wage rate for All Occupations is $28.01.  BLS.  May 2021 National Occupational Employment and Wage Estimates.  Occupational Code 00-0000 All Occupations.  Last Modified Date: 3/31/2022 (accessed 11/17/2022).  </w:t>
      </w:r>
      <w:hyperlink r:id="rId1" w:anchor="00-0000" w:history="1">
        <w:r w:rsidRPr="005A08FC">
          <w:rPr>
            <w:rStyle w:val="Hyperlink"/>
            <w:rFonts w:cs="Calibri"/>
          </w:rPr>
          <w:t>https://www.bls.gov/oes/2021/may/oes_nat.htm#00-0000</w:t>
        </w:r>
      </w:hyperlink>
      <w:r w:rsidRPr="005A08FC">
        <w:rPr>
          <w:rFonts w:cs="Calibri"/>
        </w:rPr>
        <w:t xml:space="preserve">.  </w:t>
      </w:r>
    </w:p>
  </w:footnote>
  <w:footnote w:id="3">
    <w:p w:rsidR="004C0897" w14:paraId="5404CC1D" w14:textId="730BAAA6">
      <w:pPr>
        <w:pStyle w:val="FootnoteText"/>
      </w:pPr>
      <w:r>
        <w:rPr>
          <w:rStyle w:val="FootnoteReference"/>
        </w:rPr>
        <w:footnoteRef/>
      </w:r>
      <w:r>
        <w:t xml:space="preserve"> This information collection does not place a burden on any other Federal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37C2" w14:paraId="14F392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5C388B"/>
    <w:multiLevelType w:val="hybridMultilevel"/>
    <w:tmpl w:val="B562E5E0"/>
    <w:lvl w:ilvl="0">
      <w:start w:val="1"/>
      <w:numFmt w:val="decimal"/>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
    <w:nsid w:val="530F3207"/>
    <w:multiLevelType w:val="hybridMultilevel"/>
    <w:tmpl w:val="D450A1D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C3"/>
    <w:rsid w:val="00001218"/>
    <w:rsid w:val="00001D17"/>
    <w:rsid w:val="00005F8D"/>
    <w:rsid w:val="0001103B"/>
    <w:rsid w:val="00022CD3"/>
    <w:rsid w:val="000271D6"/>
    <w:rsid w:val="000305B1"/>
    <w:rsid w:val="00030727"/>
    <w:rsid w:val="00031C19"/>
    <w:rsid w:val="00033D49"/>
    <w:rsid w:val="0003531D"/>
    <w:rsid w:val="00035F66"/>
    <w:rsid w:val="00036F9C"/>
    <w:rsid w:val="00044131"/>
    <w:rsid w:val="0004451B"/>
    <w:rsid w:val="00045BD8"/>
    <w:rsid w:val="00047284"/>
    <w:rsid w:val="00047C7C"/>
    <w:rsid w:val="000518F8"/>
    <w:rsid w:val="0005206B"/>
    <w:rsid w:val="00056EF3"/>
    <w:rsid w:val="00060DDD"/>
    <w:rsid w:val="00067F65"/>
    <w:rsid w:val="0007106F"/>
    <w:rsid w:val="000711E9"/>
    <w:rsid w:val="0008036B"/>
    <w:rsid w:val="0008187E"/>
    <w:rsid w:val="00081B2B"/>
    <w:rsid w:val="00082A58"/>
    <w:rsid w:val="00082C9E"/>
    <w:rsid w:val="00086F7F"/>
    <w:rsid w:val="000916F7"/>
    <w:rsid w:val="00091A3F"/>
    <w:rsid w:val="000936C9"/>
    <w:rsid w:val="00095759"/>
    <w:rsid w:val="000A4DE8"/>
    <w:rsid w:val="000A5B9E"/>
    <w:rsid w:val="000B21E6"/>
    <w:rsid w:val="000B2E8F"/>
    <w:rsid w:val="000B472E"/>
    <w:rsid w:val="000C1695"/>
    <w:rsid w:val="000C5163"/>
    <w:rsid w:val="000D052B"/>
    <w:rsid w:val="000D230C"/>
    <w:rsid w:val="000D32C7"/>
    <w:rsid w:val="000D337F"/>
    <w:rsid w:val="000D4182"/>
    <w:rsid w:val="000E3F18"/>
    <w:rsid w:val="001015AF"/>
    <w:rsid w:val="0010760C"/>
    <w:rsid w:val="00114DA3"/>
    <w:rsid w:val="001310A0"/>
    <w:rsid w:val="00144939"/>
    <w:rsid w:val="00150994"/>
    <w:rsid w:val="00152FFC"/>
    <w:rsid w:val="001563DE"/>
    <w:rsid w:val="00160EE8"/>
    <w:rsid w:val="001776EE"/>
    <w:rsid w:val="00180BEA"/>
    <w:rsid w:val="001841FF"/>
    <w:rsid w:val="00186E12"/>
    <w:rsid w:val="00190108"/>
    <w:rsid w:val="00190148"/>
    <w:rsid w:val="001911EE"/>
    <w:rsid w:val="00196ADB"/>
    <w:rsid w:val="001A4A41"/>
    <w:rsid w:val="001A765B"/>
    <w:rsid w:val="001C2188"/>
    <w:rsid w:val="001C5351"/>
    <w:rsid w:val="001D14C4"/>
    <w:rsid w:val="001D248D"/>
    <w:rsid w:val="001E1E22"/>
    <w:rsid w:val="001E1F76"/>
    <w:rsid w:val="001E364C"/>
    <w:rsid w:val="001E4D31"/>
    <w:rsid w:val="001F0730"/>
    <w:rsid w:val="001F31C3"/>
    <w:rsid w:val="001F44FE"/>
    <w:rsid w:val="001F7B15"/>
    <w:rsid w:val="00200722"/>
    <w:rsid w:val="00202D8A"/>
    <w:rsid w:val="00211920"/>
    <w:rsid w:val="00213913"/>
    <w:rsid w:val="0021452A"/>
    <w:rsid w:val="002200D7"/>
    <w:rsid w:val="002206AE"/>
    <w:rsid w:val="00226E12"/>
    <w:rsid w:val="00230EDE"/>
    <w:rsid w:val="00232949"/>
    <w:rsid w:val="00236AC2"/>
    <w:rsid w:val="00255D9F"/>
    <w:rsid w:val="0025724C"/>
    <w:rsid w:val="00257715"/>
    <w:rsid w:val="00257DEE"/>
    <w:rsid w:val="002655C3"/>
    <w:rsid w:val="00265951"/>
    <w:rsid w:val="00266DC3"/>
    <w:rsid w:val="00267EF7"/>
    <w:rsid w:val="00271BCB"/>
    <w:rsid w:val="00271C6D"/>
    <w:rsid w:val="00272D4B"/>
    <w:rsid w:val="002767B5"/>
    <w:rsid w:val="00282831"/>
    <w:rsid w:val="00292309"/>
    <w:rsid w:val="0029380C"/>
    <w:rsid w:val="00293B01"/>
    <w:rsid w:val="00297270"/>
    <w:rsid w:val="002A777E"/>
    <w:rsid w:val="002B26A6"/>
    <w:rsid w:val="002C14DF"/>
    <w:rsid w:val="002C1A40"/>
    <w:rsid w:val="002C6639"/>
    <w:rsid w:val="002C72FD"/>
    <w:rsid w:val="002C7DBD"/>
    <w:rsid w:val="002D4512"/>
    <w:rsid w:val="002D6DD0"/>
    <w:rsid w:val="002D71AF"/>
    <w:rsid w:val="002D7465"/>
    <w:rsid w:val="002E1730"/>
    <w:rsid w:val="002E4076"/>
    <w:rsid w:val="002F01A7"/>
    <w:rsid w:val="002F0990"/>
    <w:rsid w:val="002F1725"/>
    <w:rsid w:val="002F4E07"/>
    <w:rsid w:val="002F76AD"/>
    <w:rsid w:val="003029EC"/>
    <w:rsid w:val="00302A13"/>
    <w:rsid w:val="003071A6"/>
    <w:rsid w:val="0031607B"/>
    <w:rsid w:val="0031656E"/>
    <w:rsid w:val="00317AF0"/>
    <w:rsid w:val="003250E2"/>
    <w:rsid w:val="00325450"/>
    <w:rsid w:val="00325897"/>
    <w:rsid w:val="00327A72"/>
    <w:rsid w:val="00330981"/>
    <w:rsid w:val="00331438"/>
    <w:rsid w:val="0033573E"/>
    <w:rsid w:val="00342ECE"/>
    <w:rsid w:val="00343C69"/>
    <w:rsid w:val="00345827"/>
    <w:rsid w:val="003466CE"/>
    <w:rsid w:val="003469BC"/>
    <w:rsid w:val="00347FFB"/>
    <w:rsid w:val="00354DD1"/>
    <w:rsid w:val="00357ABF"/>
    <w:rsid w:val="00362736"/>
    <w:rsid w:val="003635C9"/>
    <w:rsid w:val="0037384F"/>
    <w:rsid w:val="00383BA0"/>
    <w:rsid w:val="003864E8"/>
    <w:rsid w:val="00386C7F"/>
    <w:rsid w:val="00387924"/>
    <w:rsid w:val="00392269"/>
    <w:rsid w:val="00393BA4"/>
    <w:rsid w:val="003A177C"/>
    <w:rsid w:val="003B0F04"/>
    <w:rsid w:val="003B4ABF"/>
    <w:rsid w:val="003D3056"/>
    <w:rsid w:val="003E4BD4"/>
    <w:rsid w:val="003E6D78"/>
    <w:rsid w:val="003E70C4"/>
    <w:rsid w:val="003E7B89"/>
    <w:rsid w:val="00400A5B"/>
    <w:rsid w:val="00401DF4"/>
    <w:rsid w:val="00412B83"/>
    <w:rsid w:val="00414B9F"/>
    <w:rsid w:val="00414F8A"/>
    <w:rsid w:val="00417B84"/>
    <w:rsid w:val="00421113"/>
    <w:rsid w:val="00421736"/>
    <w:rsid w:val="00422EDD"/>
    <w:rsid w:val="004254D6"/>
    <w:rsid w:val="00430675"/>
    <w:rsid w:val="004347F0"/>
    <w:rsid w:val="004349F6"/>
    <w:rsid w:val="0044494F"/>
    <w:rsid w:val="0044583A"/>
    <w:rsid w:val="0045147E"/>
    <w:rsid w:val="004519AA"/>
    <w:rsid w:val="00465975"/>
    <w:rsid w:val="00466352"/>
    <w:rsid w:val="00471DFC"/>
    <w:rsid w:val="004740E0"/>
    <w:rsid w:val="00477A12"/>
    <w:rsid w:val="00483B42"/>
    <w:rsid w:val="00483C31"/>
    <w:rsid w:val="004856B4"/>
    <w:rsid w:val="004A0955"/>
    <w:rsid w:val="004A2CE7"/>
    <w:rsid w:val="004B626B"/>
    <w:rsid w:val="004B6C0B"/>
    <w:rsid w:val="004C0897"/>
    <w:rsid w:val="004C1CBF"/>
    <w:rsid w:val="004D101C"/>
    <w:rsid w:val="004D6305"/>
    <w:rsid w:val="004D6508"/>
    <w:rsid w:val="004D6726"/>
    <w:rsid w:val="004E2071"/>
    <w:rsid w:val="004E4D15"/>
    <w:rsid w:val="004E59A2"/>
    <w:rsid w:val="004E5D15"/>
    <w:rsid w:val="00501209"/>
    <w:rsid w:val="00502E80"/>
    <w:rsid w:val="00512F7E"/>
    <w:rsid w:val="00513686"/>
    <w:rsid w:val="00520D16"/>
    <w:rsid w:val="005234DE"/>
    <w:rsid w:val="00524938"/>
    <w:rsid w:val="00525CD6"/>
    <w:rsid w:val="00536FEE"/>
    <w:rsid w:val="00537380"/>
    <w:rsid w:val="005461B7"/>
    <w:rsid w:val="00550C55"/>
    <w:rsid w:val="00551029"/>
    <w:rsid w:val="00553299"/>
    <w:rsid w:val="0055445B"/>
    <w:rsid w:val="00555CD8"/>
    <w:rsid w:val="005573F7"/>
    <w:rsid w:val="00560D11"/>
    <w:rsid w:val="00564BA7"/>
    <w:rsid w:val="00565D61"/>
    <w:rsid w:val="00574BE3"/>
    <w:rsid w:val="00583ED9"/>
    <w:rsid w:val="0059135A"/>
    <w:rsid w:val="00591E04"/>
    <w:rsid w:val="005A08FC"/>
    <w:rsid w:val="005A29E7"/>
    <w:rsid w:val="005A7FB7"/>
    <w:rsid w:val="005B49D2"/>
    <w:rsid w:val="005B68D1"/>
    <w:rsid w:val="005C0762"/>
    <w:rsid w:val="005C1F12"/>
    <w:rsid w:val="005C43DD"/>
    <w:rsid w:val="005C524B"/>
    <w:rsid w:val="005D0CDB"/>
    <w:rsid w:val="005D3F1A"/>
    <w:rsid w:val="005D5AC8"/>
    <w:rsid w:val="005D5E57"/>
    <w:rsid w:val="005E0093"/>
    <w:rsid w:val="005E2C0D"/>
    <w:rsid w:val="005E350B"/>
    <w:rsid w:val="005E6D2C"/>
    <w:rsid w:val="005E7C2E"/>
    <w:rsid w:val="005F012D"/>
    <w:rsid w:val="006016F5"/>
    <w:rsid w:val="00604522"/>
    <w:rsid w:val="00610A95"/>
    <w:rsid w:val="00611FBA"/>
    <w:rsid w:val="0062145B"/>
    <w:rsid w:val="00623F73"/>
    <w:rsid w:val="00627492"/>
    <w:rsid w:val="00642038"/>
    <w:rsid w:val="00652BE9"/>
    <w:rsid w:val="0065781D"/>
    <w:rsid w:val="00662E9F"/>
    <w:rsid w:val="00663AB6"/>
    <w:rsid w:val="006679F2"/>
    <w:rsid w:val="00674A2A"/>
    <w:rsid w:val="00674AD7"/>
    <w:rsid w:val="0068111E"/>
    <w:rsid w:val="00691D3C"/>
    <w:rsid w:val="00692242"/>
    <w:rsid w:val="006939ED"/>
    <w:rsid w:val="00694876"/>
    <w:rsid w:val="00695AAD"/>
    <w:rsid w:val="00696918"/>
    <w:rsid w:val="00697A44"/>
    <w:rsid w:val="006A23A5"/>
    <w:rsid w:val="006A29DD"/>
    <w:rsid w:val="006A3E1C"/>
    <w:rsid w:val="006A79CE"/>
    <w:rsid w:val="006B2440"/>
    <w:rsid w:val="006B45E4"/>
    <w:rsid w:val="006C2C40"/>
    <w:rsid w:val="006C6F63"/>
    <w:rsid w:val="006D0554"/>
    <w:rsid w:val="006D1386"/>
    <w:rsid w:val="006D45F6"/>
    <w:rsid w:val="006D5DCD"/>
    <w:rsid w:val="006D6D5D"/>
    <w:rsid w:val="006E2079"/>
    <w:rsid w:val="006F1368"/>
    <w:rsid w:val="00706E5C"/>
    <w:rsid w:val="007117DA"/>
    <w:rsid w:val="007146AC"/>
    <w:rsid w:val="00715FAD"/>
    <w:rsid w:val="00720495"/>
    <w:rsid w:val="00721C66"/>
    <w:rsid w:val="007229DA"/>
    <w:rsid w:val="00727BDE"/>
    <w:rsid w:val="00727C25"/>
    <w:rsid w:val="00730AC4"/>
    <w:rsid w:val="00746D22"/>
    <w:rsid w:val="0075109C"/>
    <w:rsid w:val="00755C81"/>
    <w:rsid w:val="00756A8E"/>
    <w:rsid w:val="0075768B"/>
    <w:rsid w:val="0076782B"/>
    <w:rsid w:val="00771FAC"/>
    <w:rsid w:val="007830BA"/>
    <w:rsid w:val="007833A0"/>
    <w:rsid w:val="00792376"/>
    <w:rsid w:val="007949FB"/>
    <w:rsid w:val="0079502C"/>
    <w:rsid w:val="0079611F"/>
    <w:rsid w:val="00797490"/>
    <w:rsid w:val="007A15F0"/>
    <w:rsid w:val="007A4654"/>
    <w:rsid w:val="007A6292"/>
    <w:rsid w:val="007A638A"/>
    <w:rsid w:val="007A663C"/>
    <w:rsid w:val="007B0832"/>
    <w:rsid w:val="007B18D9"/>
    <w:rsid w:val="007B482E"/>
    <w:rsid w:val="007B4F33"/>
    <w:rsid w:val="007B5684"/>
    <w:rsid w:val="007C35BF"/>
    <w:rsid w:val="007C6A67"/>
    <w:rsid w:val="007C6A94"/>
    <w:rsid w:val="007C6E21"/>
    <w:rsid w:val="007C771F"/>
    <w:rsid w:val="007E1C6D"/>
    <w:rsid w:val="007E6F7E"/>
    <w:rsid w:val="007E7798"/>
    <w:rsid w:val="007F1E8A"/>
    <w:rsid w:val="007F3B96"/>
    <w:rsid w:val="0080787B"/>
    <w:rsid w:val="008133FC"/>
    <w:rsid w:val="00817141"/>
    <w:rsid w:val="00831F1E"/>
    <w:rsid w:val="00832580"/>
    <w:rsid w:val="008433B5"/>
    <w:rsid w:val="00844428"/>
    <w:rsid w:val="00846EF6"/>
    <w:rsid w:val="00850C8D"/>
    <w:rsid w:val="00851C26"/>
    <w:rsid w:val="0085205F"/>
    <w:rsid w:val="0086102D"/>
    <w:rsid w:val="008623B0"/>
    <w:rsid w:val="008671E2"/>
    <w:rsid w:val="00870A55"/>
    <w:rsid w:val="00893CDE"/>
    <w:rsid w:val="0089646A"/>
    <w:rsid w:val="008A6056"/>
    <w:rsid w:val="008B1A6C"/>
    <w:rsid w:val="008B54A3"/>
    <w:rsid w:val="008B6430"/>
    <w:rsid w:val="008C02AC"/>
    <w:rsid w:val="008D1540"/>
    <w:rsid w:val="008E115F"/>
    <w:rsid w:val="008E61D4"/>
    <w:rsid w:val="008F1993"/>
    <w:rsid w:val="008F2CDB"/>
    <w:rsid w:val="008F5070"/>
    <w:rsid w:val="008F7284"/>
    <w:rsid w:val="009046CA"/>
    <w:rsid w:val="009131B9"/>
    <w:rsid w:val="009305C5"/>
    <w:rsid w:val="00950F44"/>
    <w:rsid w:val="00952B46"/>
    <w:rsid w:val="00953061"/>
    <w:rsid w:val="00953C7C"/>
    <w:rsid w:val="00963699"/>
    <w:rsid w:val="00966671"/>
    <w:rsid w:val="00966E01"/>
    <w:rsid w:val="00967266"/>
    <w:rsid w:val="00973C0C"/>
    <w:rsid w:val="0097520F"/>
    <w:rsid w:val="009752DF"/>
    <w:rsid w:val="00985BA7"/>
    <w:rsid w:val="009875CE"/>
    <w:rsid w:val="00990CE8"/>
    <w:rsid w:val="009B3C52"/>
    <w:rsid w:val="009B3F1D"/>
    <w:rsid w:val="009B42FC"/>
    <w:rsid w:val="009B6AE0"/>
    <w:rsid w:val="009B7BEA"/>
    <w:rsid w:val="009C7953"/>
    <w:rsid w:val="009E147E"/>
    <w:rsid w:val="009E52E5"/>
    <w:rsid w:val="009E5645"/>
    <w:rsid w:val="009E6758"/>
    <w:rsid w:val="009E6914"/>
    <w:rsid w:val="009F24ED"/>
    <w:rsid w:val="009F39D7"/>
    <w:rsid w:val="00A03268"/>
    <w:rsid w:val="00A1626A"/>
    <w:rsid w:val="00A219D6"/>
    <w:rsid w:val="00A2254A"/>
    <w:rsid w:val="00A2569C"/>
    <w:rsid w:val="00A356BE"/>
    <w:rsid w:val="00A417E4"/>
    <w:rsid w:val="00A43AAA"/>
    <w:rsid w:val="00A465EF"/>
    <w:rsid w:val="00A469DF"/>
    <w:rsid w:val="00A46D08"/>
    <w:rsid w:val="00A46DDE"/>
    <w:rsid w:val="00A503D5"/>
    <w:rsid w:val="00A5067A"/>
    <w:rsid w:val="00A53024"/>
    <w:rsid w:val="00A53115"/>
    <w:rsid w:val="00A5452D"/>
    <w:rsid w:val="00A55EBA"/>
    <w:rsid w:val="00A67F4A"/>
    <w:rsid w:val="00A74F5F"/>
    <w:rsid w:val="00A8082A"/>
    <w:rsid w:val="00A81F94"/>
    <w:rsid w:val="00A847B3"/>
    <w:rsid w:val="00A85737"/>
    <w:rsid w:val="00A97E59"/>
    <w:rsid w:val="00AA1562"/>
    <w:rsid w:val="00AA306C"/>
    <w:rsid w:val="00AA4AB9"/>
    <w:rsid w:val="00AA7208"/>
    <w:rsid w:val="00AE2B2F"/>
    <w:rsid w:val="00AE3D33"/>
    <w:rsid w:val="00AF588E"/>
    <w:rsid w:val="00AF7FA0"/>
    <w:rsid w:val="00B001EC"/>
    <w:rsid w:val="00B02FFC"/>
    <w:rsid w:val="00B03D0C"/>
    <w:rsid w:val="00B0451D"/>
    <w:rsid w:val="00B07522"/>
    <w:rsid w:val="00B11164"/>
    <w:rsid w:val="00B1318E"/>
    <w:rsid w:val="00B21EE9"/>
    <w:rsid w:val="00B2234E"/>
    <w:rsid w:val="00B2252C"/>
    <w:rsid w:val="00B23401"/>
    <w:rsid w:val="00B354B5"/>
    <w:rsid w:val="00B35D6E"/>
    <w:rsid w:val="00B41972"/>
    <w:rsid w:val="00B42E06"/>
    <w:rsid w:val="00B431DC"/>
    <w:rsid w:val="00B4680A"/>
    <w:rsid w:val="00B507E3"/>
    <w:rsid w:val="00B526CE"/>
    <w:rsid w:val="00B53B7F"/>
    <w:rsid w:val="00B662C0"/>
    <w:rsid w:val="00B73015"/>
    <w:rsid w:val="00B819DB"/>
    <w:rsid w:val="00B83885"/>
    <w:rsid w:val="00B85D41"/>
    <w:rsid w:val="00B86FE5"/>
    <w:rsid w:val="00BA1D85"/>
    <w:rsid w:val="00BA664B"/>
    <w:rsid w:val="00BB0D5F"/>
    <w:rsid w:val="00BB215F"/>
    <w:rsid w:val="00BB5C55"/>
    <w:rsid w:val="00BB5D59"/>
    <w:rsid w:val="00BB6C05"/>
    <w:rsid w:val="00BC1C5E"/>
    <w:rsid w:val="00BC22E4"/>
    <w:rsid w:val="00BC48E8"/>
    <w:rsid w:val="00BC49BE"/>
    <w:rsid w:val="00BC6E3A"/>
    <w:rsid w:val="00BC71C7"/>
    <w:rsid w:val="00BC7744"/>
    <w:rsid w:val="00BD1D94"/>
    <w:rsid w:val="00BD2CC0"/>
    <w:rsid w:val="00BD3646"/>
    <w:rsid w:val="00BD4277"/>
    <w:rsid w:val="00BD6C2E"/>
    <w:rsid w:val="00BD7050"/>
    <w:rsid w:val="00BD777D"/>
    <w:rsid w:val="00BE077D"/>
    <w:rsid w:val="00BE7080"/>
    <w:rsid w:val="00C0034B"/>
    <w:rsid w:val="00C1491E"/>
    <w:rsid w:val="00C16E47"/>
    <w:rsid w:val="00C20453"/>
    <w:rsid w:val="00C21760"/>
    <w:rsid w:val="00C32C61"/>
    <w:rsid w:val="00C34C8E"/>
    <w:rsid w:val="00C37054"/>
    <w:rsid w:val="00C44DA2"/>
    <w:rsid w:val="00C5117D"/>
    <w:rsid w:val="00C5492D"/>
    <w:rsid w:val="00C54F6D"/>
    <w:rsid w:val="00C55C6B"/>
    <w:rsid w:val="00C66FA6"/>
    <w:rsid w:val="00C67475"/>
    <w:rsid w:val="00C756FB"/>
    <w:rsid w:val="00C76474"/>
    <w:rsid w:val="00C803E7"/>
    <w:rsid w:val="00C912AC"/>
    <w:rsid w:val="00C91693"/>
    <w:rsid w:val="00C96DD1"/>
    <w:rsid w:val="00CB2491"/>
    <w:rsid w:val="00CB26F1"/>
    <w:rsid w:val="00CB5DA7"/>
    <w:rsid w:val="00CC111F"/>
    <w:rsid w:val="00CC2165"/>
    <w:rsid w:val="00CD6115"/>
    <w:rsid w:val="00CE1452"/>
    <w:rsid w:val="00CE61C8"/>
    <w:rsid w:val="00CE77A8"/>
    <w:rsid w:val="00CF3293"/>
    <w:rsid w:val="00CF4300"/>
    <w:rsid w:val="00CF4D5D"/>
    <w:rsid w:val="00D00608"/>
    <w:rsid w:val="00D05581"/>
    <w:rsid w:val="00D11F78"/>
    <w:rsid w:val="00D1700E"/>
    <w:rsid w:val="00D172E0"/>
    <w:rsid w:val="00D17CB6"/>
    <w:rsid w:val="00D2093F"/>
    <w:rsid w:val="00D259DC"/>
    <w:rsid w:val="00D27552"/>
    <w:rsid w:val="00D30224"/>
    <w:rsid w:val="00D31C39"/>
    <w:rsid w:val="00D325CD"/>
    <w:rsid w:val="00D360D1"/>
    <w:rsid w:val="00D43161"/>
    <w:rsid w:val="00D432C7"/>
    <w:rsid w:val="00D53589"/>
    <w:rsid w:val="00D5458B"/>
    <w:rsid w:val="00D55C31"/>
    <w:rsid w:val="00D5691C"/>
    <w:rsid w:val="00D56FC8"/>
    <w:rsid w:val="00D570B1"/>
    <w:rsid w:val="00D64D51"/>
    <w:rsid w:val="00D65492"/>
    <w:rsid w:val="00D675F2"/>
    <w:rsid w:val="00D67D26"/>
    <w:rsid w:val="00D752BC"/>
    <w:rsid w:val="00D859F8"/>
    <w:rsid w:val="00D92A0A"/>
    <w:rsid w:val="00D95E75"/>
    <w:rsid w:val="00DA0410"/>
    <w:rsid w:val="00DA35A7"/>
    <w:rsid w:val="00DA37C2"/>
    <w:rsid w:val="00DC028E"/>
    <w:rsid w:val="00DC35F3"/>
    <w:rsid w:val="00DC37E8"/>
    <w:rsid w:val="00DC5BD8"/>
    <w:rsid w:val="00DD1EBE"/>
    <w:rsid w:val="00DD5ED1"/>
    <w:rsid w:val="00DD75A0"/>
    <w:rsid w:val="00DE160E"/>
    <w:rsid w:val="00DE27DF"/>
    <w:rsid w:val="00DE3D8E"/>
    <w:rsid w:val="00DE568C"/>
    <w:rsid w:val="00DE6650"/>
    <w:rsid w:val="00DF0941"/>
    <w:rsid w:val="00DF1492"/>
    <w:rsid w:val="00DF2BDA"/>
    <w:rsid w:val="00DF2F5D"/>
    <w:rsid w:val="00DF7EFF"/>
    <w:rsid w:val="00E00409"/>
    <w:rsid w:val="00E0134A"/>
    <w:rsid w:val="00E043AB"/>
    <w:rsid w:val="00E04B99"/>
    <w:rsid w:val="00E144BA"/>
    <w:rsid w:val="00E238AE"/>
    <w:rsid w:val="00E2421A"/>
    <w:rsid w:val="00E33ED7"/>
    <w:rsid w:val="00E3540C"/>
    <w:rsid w:val="00E4146D"/>
    <w:rsid w:val="00E43192"/>
    <w:rsid w:val="00E447FC"/>
    <w:rsid w:val="00E44F12"/>
    <w:rsid w:val="00E45285"/>
    <w:rsid w:val="00E51B17"/>
    <w:rsid w:val="00E53418"/>
    <w:rsid w:val="00E557A5"/>
    <w:rsid w:val="00E673C0"/>
    <w:rsid w:val="00E71472"/>
    <w:rsid w:val="00E725EE"/>
    <w:rsid w:val="00E77105"/>
    <w:rsid w:val="00E77790"/>
    <w:rsid w:val="00E85BAF"/>
    <w:rsid w:val="00EA6FB8"/>
    <w:rsid w:val="00EB63F3"/>
    <w:rsid w:val="00EC0B03"/>
    <w:rsid w:val="00ED0F2B"/>
    <w:rsid w:val="00ED16F2"/>
    <w:rsid w:val="00ED1935"/>
    <w:rsid w:val="00ED1A9B"/>
    <w:rsid w:val="00ED4AE9"/>
    <w:rsid w:val="00ED545F"/>
    <w:rsid w:val="00ED73A7"/>
    <w:rsid w:val="00ED76D3"/>
    <w:rsid w:val="00EF3001"/>
    <w:rsid w:val="00EF60C7"/>
    <w:rsid w:val="00EF7301"/>
    <w:rsid w:val="00F03D90"/>
    <w:rsid w:val="00F100E5"/>
    <w:rsid w:val="00F10360"/>
    <w:rsid w:val="00F107C8"/>
    <w:rsid w:val="00F14201"/>
    <w:rsid w:val="00F14768"/>
    <w:rsid w:val="00F17A55"/>
    <w:rsid w:val="00F208E3"/>
    <w:rsid w:val="00F21240"/>
    <w:rsid w:val="00F21FD6"/>
    <w:rsid w:val="00F3198F"/>
    <w:rsid w:val="00F3447C"/>
    <w:rsid w:val="00F35228"/>
    <w:rsid w:val="00F43760"/>
    <w:rsid w:val="00F43DA1"/>
    <w:rsid w:val="00F47242"/>
    <w:rsid w:val="00F475DB"/>
    <w:rsid w:val="00F4768E"/>
    <w:rsid w:val="00F47ED5"/>
    <w:rsid w:val="00F50BDE"/>
    <w:rsid w:val="00F57ED0"/>
    <w:rsid w:val="00F60123"/>
    <w:rsid w:val="00F62BE2"/>
    <w:rsid w:val="00F725BA"/>
    <w:rsid w:val="00F74CAA"/>
    <w:rsid w:val="00F8044C"/>
    <w:rsid w:val="00F8073A"/>
    <w:rsid w:val="00F85579"/>
    <w:rsid w:val="00F91CFA"/>
    <w:rsid w:val="00F93B69"/>
    <w:rsid w:val="00F955D5"/>
    <w:rsid w:val="00FA02F2"/>
    <w:rsid w:val="00FB1322"/>
    <w:rsid w:val="00FB321A"/>
    <w:rsid w:val="00FB613E"/>
    <w:rsid w:val="00FB6428"/>
    <w:rsid w:val="00FC46E9"/>
    <w:rsid w:val="00FC6813"/>
    <w:rsid w:val="00FD1E56"/>
    <w:rsid w:val="00FD5313"/>
    <w:rsid w:val="00FD7569"/>
    <w:rsid w:val="00FF3D87"/>
    <w:rsid w:val="00FF6D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7FABCD"/>
  <w15:docId w15:val="{021F2DB1-F027-467E-99CC-3E8F4B23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 w:type="paragraph" w:styleId="Revision">
    <w:name w:val="Revision"/>
    <w:hidden/>
    <w:uiPriority w:val="99"/>
    <w:semiHidden/>
    <w:rsid w:val="00B21EE9"/>
    <w:pPr>
      <w:spacing w:after="0" w:line="240" w:lineRule="auto"/>
    </w:pPr>
    <w:rPr>
      <w:rFonts w:ascii="Calibri" w:hAnsi="Calibri"/>
      <w:sz w:val="22"/>
      <w:szCs w:val="22"/>
      <w:lang w:bidi="ar-SA"/>
    </w:rPr>
  </w:style>
  <w:style w:type="paragraph" w:styleId="Header">
    <w:name w:val="header"/>
    <w:basedOn w:val="Normal"/>
    <w:link w:val="HeaderChar"/>
    <w:uiPriority w:val="99"/>
    <w:unhideWhenUsed/>
    <w:rsid w:val="00DA37C2"/>
    <w:pPr>
      <w:tabs>
        <w:tab w:val="center" w:pos="4680"/>
        <w:tab w:val="right" w:pos="9360"/>
      </w:tabs>
    </w:pPr>
  </w:style>
  <w:style w:type="character" w:customStyle="1" w:styleId="HeaderChar">
    <w:name w:val="Header Char"/>
    <w:basedOn w:val="DefaultParagraphFont"/>
    <w:link w:val="Header"/>
    <w:uiPriority w:val="99"/>
    <w:rsid w:val="00DA37C2"/>
    <w:rPr>
      <w:rFonts w:ascii="Calibri" w:hAnsi="Calibri"/>
      <w:sz w:val="22"/>
      <w:szCs w:val="22"/>
      <w:lang w:bidi="ar-SA"/>
    </w:rPr>
  </w:style>
  <w:style w:type="paragraph" w:styleId="Footer">
    <w:name w:val="footer"/>
    <w:basedOn w:val="Normal"/>
    <w:link w:val="FooterChar"/>
    <w:uiPriority w:val="99"/>
    <w:unhideWhenUsed/>
    <w:rsid w:val="00DA37C2"/>
    <w:pPr>
      <w:tabs>
        <w:tab w:val="center" w:pos="4680"/>
        <w:tab w:val="right" w:pos="9360"/>
      </w:tabs>
    </w:pPr>
  </w:style>
  <w:style w:type="character" w:customStyle="1" w:styleId="FooterChar">
    <w:name w:val="Footer Char"/>
    <w:basedOn w:val="DefaultParagraphFont"/>
    <w:link w:val="Footer"/>
    <w:uiPriority w:val="99"/>
    <w:rsid w:val="00DA37C2"/>
    <w:rPr>
      <w:rFonts w:ascii="Calibri" w:hAnsi="Calibri"/>
      <w:sz w:val="22"/>
      <w:szCs w:val="22"/>
      <w:lang w:bidi="ar-SA"/>
    </w:rPr>
  </w:style>
  <w:style w:type="character" w:customStyle="1" w:styleId="UnresolvedMention1">
    <w:name w:val="Unresolved Mention1"/>
    <w:basedOn w:val="DefaultParagraphFont"/>
    <w:uiPriority w:val="99"/>
    <w:semiHidden/>
    <w:unhideWhenUsed/>
    <w:rsid w:val="009B7BEA"/>
    <w:rPr>
      <w:color w:val="605E5C"/>
      <w:shd w:val="clear" w:color="auto" w:fill="E1DFDD"/>
    </w:rPr>
  </w:style>
  <w:style w:type="character" w:styleId="FollowedHyperlink">
    <w:name w:val="FollowedHyperlink"/>
    <w:basedOn w:val="DefaultParagraphFont"/>
    <w:uiPriority w:val="99"/>
    <w:semiHidden/>
    <w:unhideWhenUsed/>
    <w:rsid w:val="00AE3D33"/>
    <w:rPr>
      <w:color w:val="800080" w:themeColor="followedHyperlink"/>
      <w:u w:val="single"/>
    </w:rPr>
  </w:style>
  <w:style w:type="character" w:customStyle="1" w:styleId="normaltextrun">
    <w:name w:val="normaltextrun"/>
    <w:basedOn w:val="DefaultParagraphFont"/>
    <w:rsid w:val="004D6305"/>
  </w:style>
  <w:style w:type="paragraph" w:customStyle="1" w:styleId="paragraph">
    <w:name w:val="paragraph"/>
    <w:basedOn w:val="Normal"/>
    <w:rsid w:val="00560D11"/>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560D11"/>
  </w:style>
  <w:style w:type="paragraph" w:styleId="FootnoteText">
    <w:name w:val="footnote text"/>
    <w:basedOn w:val="Normal"/>
    <w:link w:val="FootnoteTextChar"/>
    <w:uiPriority w:val="99"/>
    <w:semiHidden/>
    <w:unhideWhenUsed/>
    <w:rsid w:val="004C0897"/>
    <w:rPr>
      <w:sz w:val="20"/>
      <w:szCs w:val="20"/>
    </w:rPr>
  </w:style>
  <w:style w:type="character" w:customStyle="1" w:styleId="FootnoteTextChar">
    <w:name w:val="Footnote Text Char"/>
    <w:basedOn w:val="DefaultParagraphFont"/>
    <w:link w:val="FootnoteText"/>
    <w:uiPriority w:val="99"/>
    <w:semiHidden/>
    <w:rsid w:val="004C0897"/>
    <w:rPr>
      <w:rFonts w:ascii="Calibri" w:hAnsi="Calibri"/>
      <w:sz w:val="20"/>
      <w:szCs w:val="20"/>
      <w:lang w:bidi="ar-SA"/>
    </w:rPr>
  </w:style>
  <w:style w:type="character" w:styleId="FootnoteReference">
    <w:name w:val="footnote reference"/>
    <w:basedOn w:val="DefaultParagraphFont"/>
    <w:uiPriority w:val="99"/>
    <w:semiHidden/>
    <w:unhideWhenUsed/>
    <w:rsid w:val="004C0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pm.gov/policy-data-oversight/pay-leave/salaries-wages/salary-tables/pdf/2023/SL_h.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FEB1-A41B-4D3F-827B-74695CA4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Willie</dc:creator>
  <cp:lastModifiedBy>Hurley, Brian J.</cp:lastModifiedBy>
  <cp:revision>4</cp:revision>
  <cp:lastPrinted>2020-01-10T12:57:00Z</cp:lastPrinted>
  <dcterms:created xsi:type="dcterms:W3CDTF">2023-02-03T14:27:00Z</dcterms:created>
  <dcterms:modified xsi:type="dcterms:W3CDTF">2023-02-03T14:53:00Z</dcterms:modified>
</cp:coreProperties>
</file>