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0B6D" w:rsidRPr="00C9140D" w:rsidP="00EA0B6D" w14:paraId="59E01B71"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0589A947"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0D2FB980" w14:textId="2000A9C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53694803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22933" w:rsidR="005E714A">
        <w:rPr>
          <w:b/>
        </w:rPr>
        <w:t>TITLE OF INFORMATION COLLECTION:</w:t>
      </w:r>
      <w:r w:rsidRPr="00DE1431" w:rsidR="005E714A">
        <w:t xml:space="preserve"> </w:t>
      </w:r>
      <w:r w:rsidRPr="002E4373" w:rsidR="002E4373">
        <w:t>State Sentencing Commissions Data Pilot Study</w:t>
      </w:r>
    </w:p>
    <w:p w:rsidR="005E714A" w:rsidRPr="00DE1431" w14:paraId="7AEC1985" w14:textId="77777777"/>
    <w:p w:rsidR="00721F62" w:rsidP="00996C3B" w14:paraId="5BB44CAC" w14:textId="110F9A7D">
      <w:pPr>
        <w:pStyle w:val="Default"/>
        <w:rPr>
          <w:rFonts w:ascii="Times New Roman" w:hAnsi="Times New Roman" w:cs="Times New Roman"/>
        </w:rPr>
      </w:pPr>
      <w:r w:rsidRPr="00D22933">
        <w:rPr>
          <w:rFonts w:ascii="Times New Roman" w:hAnsi="Times New Roman" w:cs="Times New Roman"/>
          <w:b/>
        </w:rPr>
        <w:t>PURPOSE:</w:t>
      </w:r>
      <w:r w:rsidRPr="00DE1431" w:rsidR="00C14CC4">
        <w:rPr>
          <w:rFonts w:ascii="Times New Roman" w:hAnsi="Times New Roman" w:cs="Times New Roman"/>
          <w:b/>
        </w:rPr>
        <w:t xml:space="preserve">  </w:t>
      </w:r>
      <w:r w:rsidR="00264A57">
        <w:rPr>
          <w:rFonts w:ascii="Times New Roman" w:hAnsi="Times New Roman" w:cs="Times New Roman"/>
          <w:bCs/>
        </w:rPr>
        <w:t xml:space="preserve">The purpose of this generic request is </w:t>
      </w:r>
      <w:r w:rsidR="001E142E">
        <w:rPr>
          <w:rFonts w:ascii="Times New Roman" w:hAnsi="Times New Roman" w:cs="Times New Roman"/>
          <w:bCs/>
        </w:rPr>
        <w:t xml:space="preserve">to </w:t>
      </w:r>
      <w:r w:rsidR="009D7483">
        <w:rPr>
          <w:rFonts w:ascii="Times New Roman" w:hAnsi="Times New Roman" w:cs="Times New Roman"/>
        </w:rPr>
        <w:t xml:space="preserve">contact </w:t>
      </w:r>
      <w:r w:rsidRPr="00647795" w:rsidR="009D7483">
        <w:rPr>
          <w:rFonts w:ascii="Times New Roman" w:hAnsi="Times New Roman" w:cs="Times New Roman"/>
        </w:rPr>
        <w:t xml:space="preserve">up to </w:t>
      </w:r>
      <w:r>
        <w:rPr>
          <w:rFonts w:ascii="Times New Roman" w:hAnsi="Times New Roman" w:cs="Times New Roman"/>
        </w:rPr>
        <w:t>22 state sentencing commi</w:t>
      </w:r>
      <w:r w:rsidR="001E142E">
        <w:rPr>
          <w:rFonts w:ascii="Times New Roman" w:hAnsi="Times New Roman" w:cs="Times New Roman"/>
        </w:rPr>
        <w:t xml:space="preserve">ssions identified as active in 2025 to assess the availability and accessibility of state sentencing data, as an initial step toward improving </w:t>
      </w:r>
      <w:r w:rsidRPr="001E142E" w:rsidR="001E142E">
        <w:rPr>
          <w:rFonts w:ascii="Times New Roman" w:hAnsi="Times New Roman" w:cs="Times New Roman"/>
        </w:rPr>
        <w:t>future sentencing data collection and reporting efforts</w:t>
      </w:r>
      <w:r w:rsidR="001E142E">
        <w:rPr>
          <w:rFonts w:ascii="Times New Roman" w:hAnsi="Times New Roman" w:cs="Times New Roman"/>
        </w:rPr>
        <w:t xml:space="preserve">. </w:t>
      </w:r>
    </w:p>
    <w:p w:rsidR="00721F62" w:rsidP="00996C3B" w14:paraId="03CF565D" w14:textId="77777777">
      <w:pPr>
        <w:pStyle w:val="Default"/>
        <w:rPr>
          <w:rFonts w:ascii="Times New Roman" w:hAnsi="Times New Roman" w:cs="Times New Roman"/>
        </w:rPr>
      </w:pPr>
    </w:p>
    <w:p w:rsidR="001B0AAA" w:rsidRPr="00DE1431" w:rsidP="00434E33" w14:paraId="52093972" w14:textId="77777777">
      <w:pPr>
        <w:pStyle w:val="Header"/>
        <w:tabs>
          <w:tab w:val="clear" w:pos="4320"/>
          <w:tab w:val="clear" w:pos="8640"/>
        </w:tabs>
        <w:rPr>
          <w:b/>
        </w:rPr>
      </w:pPr>
    </w:p>
    <w:p w:rsidR="00996C3B" w:rsidRPr="00DE1431" w:rsidP="00996C3B" w14:paraId="46EDA560" w14:textId="77777777">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p>
    <w:p w:rsidR="00E26329" w14:paraId="404DB545" w14:textId="3433DA6F">
      <w:r>
        <w:t>22 state sentencing commissions identified by BJS as active in 2025</w:t>
      </w:r>
    </w:p>
    <w:p w:rsidR="001E142E" w:rsidRPr="00DE1431" w14:paraId="2CCD0C41" w14:textId="77777777">
      <w:pPr>
        <w:rPr>
          <w:b/>
        </w:rPr>
      </w:pPr>
    </w:p>
    <w:p w:rsidR="00F06866" w:rsidRPr="00DE1431" w14:paraId="002FEBEA" w14:textId="77777777">
      <w:pPr>
        <w:rPr>
          <w:b/>
        </w:rPr>
      </w:pPr>
      <w:r w:rsidRPr="003F393F">
        <w:rPr>
          <w:b/>
        </w:rPr>
        <w:t>TYPE OF COLLECTION:</w:t>
      </w:r>
      <w:r w:rsidRPr="00DE1431">
        <w:t xml:space="preserve"> (Check one)</w:t>
      </w:r>
    </w:p>
    <w:p w:rsidR="00441434" w:rsidRPr="00DE1431" w:rsidP="0096108F" w14:paraId="497A2D4D" w14:textId="77777777">
      <w:pPr>
        <w:pStyle w:val="BodyTextIndent"/>
        <w:tabs>
          <w:tab w:val="left" w:pos="360"/>
        </w:tabs>
        <w:ind w:left="0"/>
        <w:rPr>
          <w:bCs/>
          <w:sz w:val="24"/>
          <w:szCs w:val="24"/>
        </w:rPr>
      </w:pPr>
    </w:p>
    <w:p w:rsidR="00F06866" w:rsidRPr="00DE1431" w:rsidP="0096108F" w14:paraId="6F28ACC7"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0679334D"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AA6374" w:rsidRPr="00264A57" w:rsidP="009D7483" w14:paraId="72B1BEC0" w14:textId="644B2E32">
      <w:pPr>
        <w:pStyle w:val="BodyTextIndent"/>
        <w:tabs>
          <w:tab w:val="left" w:pos="360"/>
        </w:tabs>
        <w:ind w:left="5040" w:hanging="504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sidR="00F06866">
        <w:rPr>
          <w:bCs/>
          <w:sz w:val="24"/>
          <w:szCs w:val="24"/>
        </w:rPr>
        <w:t>[</w:t>
      </w:r>
      <w:r w:rsidR="00F81F4E">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sidR="00342553">
        <w:rPr>
          <w:bCs/>
          <w:sz w:val="24"/>
          <w:szCs w:val="24"/>
          <w:u w:val="single"/>
        </w:rPr>
        <w:t xml:space="preserve"> </w:t>
      </w:r>
      <w:r w:rsidR="00F81F4E">
        <w:rPr>
          <w:bCs/>
          <w:sz w:val="24"/>
          <w:szCs w:val="24"/>
          <w:u w:val="single"/>
        </w:rPr>
        <w:t>Pilot</w:t>
      </w:r>
    </w:p>
    <w:p w:rsidR="00342553" w:rsidRPr="00264A57" w:rsidP="00342553" w14:paraId="27EFCB48" w14:textId="50339C8F">
      <w:pPr>
        <w:pStyle w:val="BodyTextIndent"/>
        <w:tabs>
          <w:tab w:val="left" w:pos="360"/>
        </w:tabs>
        <w:ind w:left="0"/>
        <w:rPr>
          <w:bCs/>
          <w:sz w:val="24"/>
          <w:szCs w:val="24"/>
          <w:u w:val="single"/>
        </w:rPr>
      </w:pPr>
    </w:p>
    <w:p w:rsidR="00CA2650" w:rsidRPr="00DE1431" w:rsidP="00342553" w14:paraId="355642A1" w14:textId="77777777">
      <w:pPr>
        <w:pStyle w:val="BodyTextIndent"/>
        <w:tabs>
          <w:tab w:val="left" w:pos="360"/>
        </w:tabs>
        <w:ind w:left="0"/>
        <w:rPr>
          <w:b/>
          <w:sz w:val="24"/>
          <w:szCs w:val="24"/>
        </w:rPr>
      </w:pPr>
      <w:r w:rsidRPr="00FD0A84">
        <w:rPr>
          <w:b/>
          <w:sz w:val="24"/>
          <w:szCs w:val="24"/>
        </w:rPr>
        <w:t>C</w:t>
      </w:r>
      <w:r w:rsidRPr="00FD0A84" w:rsidR="009C13B9">
        <w:rPr>
          <w:b/>
          <w:sz w:val="24"/>
          <w:szCs w:val="24"/>
        </w:rPr>
        <w:t>ERTIFICATION:</w:t>
      </w:r>
    </w:p>
    <w:p w:rsidR="00441434" w:rsidRPr="00DE1431" w14:paraId="4946DA2D" w14:textId="77777777"/>
    <w:p w:rsidR="008101A5" w:rsidRPr="00DE1431" w:rsidP="008101A5" w14:paraId="3E2CD953" w14:textId="77777777">
      <w:r w:rsidRPr="00DE1431">
        <w:t xml:space="preserve">I certify the following to be true: </w:t>
      </w:r>
    </w:p>
    <w:p w:rsidR="008101A5" w:rsidRPr="00DE1431" w:rsidP="008101A5" w14:paraId="599A0AFC" w14:textId="77777777">
      <w:pPr>
        <w:pStyle w:val="ListParagraph"/>
        <w:numPr>
          <w:ilvl w:val="0"/>
          <w:numId w:val="14"/>
        </w:numPr>
      </w:pPr>
      <w:r w:rsidRPr="00DE1431">
        <w:t xml:space="preserve">The collection is voluntary. </w:t>
      </w:r>
    </w:p>
    <w:p w:rsidR="008101A5" w:rsidRPr="00DE1431" w:rsidP="008101A5" w14:paraId="05A44A7B"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0AC9F780"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0128A06D"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0E9F2E8C"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0BC96623"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48601150" w14:textId="77777777"/>
    <w:p w:rsidR="009C13B9" w:rsidRPr="00DE1431" w:rsidP="009C13B9" w14:paraId="2884FBEC" w14:textId="77777777">
      <w:r w:rsidRPr="00DE1431">
        <w:t>Name</w:t>
      </w:r>
      <w:r w:rsidRPr="00DE1431" w:rsidR="00DF5E90">
        <w:rPr>
          <w:u w:val="single"/>
        </w:rPr>
        <w:t xml:space="preserve">: </w:t>
      </w:r>
      <w:r w:rsidR="00296338">
        <w:rPr>
          <w:u w:val="single"/>
        </w:rPr>
        <w:t>Devon Adams</w:t>
      </w:r>
    </w:p>
    <w:p w:rsidR="00C57479" w:rsidRPr="00DE1431" w:rsidP="009C13B9" w14:paraId="10C16467" w14:textId="77777777">
      <w:pPr>
        <w:pStyle w:val="ListParagraph"/>
        <w:ind w:left="360"/>
      </w:pPr>
      <w:r w:rsidRPr="00DE1431">
        <w:t xml:space="preserve">       </w:t>
      </w:r>
    </w:p>
    <w:p w:rsidR="009C13B9" w:rsidRPr="00DE1431" w:rsidP="009C13B9" w14:paraId="66358AD3" w14:textId="77777777">
      <w:r w:rsidRPr="00DE1431">
        <w:t>To assist review, please provide answers to the following question:</w:t>
      </w:r>
    </w:p>
    <w:p w:rsidR="009C13B9" w:rsidRPr="00DE1431" w:rsidP="009C13B9" w14:paraId="2F1B9E77" w14:textId="77777777">
      <w:pPr>
        <w:pStyle w:val="ListParagraph"/>
        <w:ind w:left="360"/>
      </w:pPr>
    </w:p>
    <w:p w:rsidR="009C13B9" w:rsidRPr="00DE1431" w:rsidP="00C86E91" w14:paraId="519AFE97" w14:textId="77777777">
      <w:pPr>
        <w:rPr>
          <w:b/>
        </w:rPr>
      </w:pPr>
      <w:r w:rsidRPr="00FD0A84">
        <w:rPr>
          <w:b/>
        </w:rPr>
        <w:t>Personally Identifiable Information:</w:t>
      </w:r>
    </w:p>
    <w:p w:rsidR="00C86E91" w:rsidRPr="00DE1431" w:rsidP="00C86E91" w14:paraId="4225CC02" w14:textId="146F9A2F">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w:t>
      </w:r>
      <w:r w:rsidRPr="00DE1431" w:rsidR="009239AA">
        <w:t xml:space="preserve"> Yes  [</w:t>
      </w:r>
      <w:r w:rsidR="00B131C8">
        <w:t>X</w:t>
      </w:r>
      <w:r w:rsidRPr="00DE1431" w:rsidR="009239AA">
        <w:t xml:space="preserve">]  No </w:t>
      </w:r>
    </w:p>
    <w:p w:rsidR="00C86E91" w:rsidRPr="00DE1431" w:rsidP="00C86E91" w14:paraId="3F104ACF" w14:textId="7777777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9239AA">
        <w:t>[  ]</w:t>
      </w:r>
      <w:r w:rsidRPr="00DE1431" w:rsidR="009239AA">
        <w:t xml:space="preserve"> Yes [</w:t>
      </w:r>
      <w:r w:rsidRPr="00DE1431" w:rsidR="0023025C">
        <w:t xml:space="preserve"> </w:t>
      </w:r>
      <w:r w:rsidRPr="00DE1431" w:rsidR="009239AA">
        <w:t>] No</w:t>
      </w:r>
      <w:r w:rsidRPr="00DE1431">
        <w:t xml:space="preserve">   </w:t>
      </w:r>
    </w:p>
    <w:p w:rsidR="00C86E91" w:rsidRPr="00DE1431" w:rsidP="00C86E91" w14:paraId="6F12B81F"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Pr="00DE1431" w:rsidR="00AB5B0F">
        <w:t xml:space="preserve"> </w:t>
      </w:r>
      <w:r w:rsidRPr="00DE1431">
        <w:t>] No</w:t>
      </w:r>
    </w:p>
    <w:p w:rsidR="00996C3B" w:rsidRPr="00DE1431" w:rsidP="00996C3B" w14:paraId="3C2E5DB2"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P="00996C3B" w14:paraId="59CD46CF" w14:textId="77777777">
      <w:pPr>
        <w:pStyle w:val="ListParagraph"/>
        <w:ind w:left="0"/>
      </w:pPr>
    </w:p>
    <w:p w:rsidR="009D7483" w:rsidP="00996C3B" w14:paraId="69B2EC89" w14:textId="77777777">
      <w:pPr>
        <w:pStyle w:val="ListParagraph"/>
        <w:ind w:left="0"/>
      </w:pPr>
    </w:p>
    <w:p w:rsidR="009D7483" w:rsidRPr="00DE1431" w:rsidP="00996C3B" w14:paraId="18ABC9F2" w14:textId="77777777">
      <w:pPr>
        <w:pStyle w:val="ListParagraph"/>
        <w:ind w:left="0"/>
      </w:pPr>
    </w:p>
    <w:p w:rsidR="00CF6542" w:rsidRPr="00DE1431" w:rsidP="00C86E91" w14:paraId="3322688A" w14:textId="77777777">
      <w:pPr>
        <w:pStyle w:val="ListParagraph"/>
        <w:ind w:left="0"/>
        <w:rPr>
          <w:b/>
        </w:rPr>
      </w:pPr>
    </w:p>
    <w:p w:rsidR="00C86E91" w:rsidRPr="00DE1431" w:rsidP="00C86E91" w14:paraId="4A113AD7" w14:textId="77777777">
      <w:pPr>
        <w:pStyle w:val="ListParagraph"/>
        <w:ind w:left="0"/>
        <w:rPr>
          <w:b/>
        </w:rPr>
      </w:pPr>
      <w:r w:rsidRPr="00FD0A84">
        <w:rPr>
          <w:b/>
        </w:rPr>
        <w:t>Gifts or Payments</w:t>
      </w:r>
      <w:r w:rsidRPr="00FD0A84">
        <w:rPr>
          <w:b/>
        </w:rPr>
        <w:t>:</w:t>
      </w:r>
    </w:p>
    <w:p w:rsidR="00C86E91" w:rsidRPr="00DE1431" w:rsidP="00C86E91" w14:paraId="120B399A" w14:textId="3743D257">
      <w:r w:rsidRPr="00DE1431">
        <w:t xml:space="preserve">Is an incentive (e.g., money or reimbursement of expenses, token of appreciation) provided to participants?  </w:t>
      </w:r>
      <w:r w:rsidRPr="00DE1431">
        <w:t>[  ]</w:t>
      </w:r>
      <w:r w:rsidRPr="00DE1431">
        <w:t xml:space="preserve"> Yes [</w:t>
      </w:r>
      <w:r w:rsidR="00B131C8">
        <w:t>X</w:t>
      </w:r>
      <w:r w:rsidR="00BA0A36">
        <w:t>]</w:t>
      </w:r>
      <w:r w:rsidRPr="00DE1431">
        <w:t xml:space="preserve"> No  </w:t>
      </w:r>
    </w:p>
    <w:p w:rsidR="00996C3B" w:rsidRPr="00DE1431" w:rsidP="00996C3B" w14:paraId="53AD8736" w14:textId="77777777">
      <w:pPr>
        <w:pStyle w:val="Default"/>
        <w:rPr>
          <w:rFonts w:ascii="Times New Roman" w:hAnsi="Times New Roman" w:cs="Times New Roman"/>
        </w:rPr>
      </w:pPr>
    </w:p>
    <w:p w:rsidR="00996C3B" w:rsidRPr="00DE1431" w:rsidP="00996C3B" w14:paraId="4328FA49"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161689EE" w14:textId="77777777"/>
    <w:p w:rsidR="004D6E14" w:rsidRPr="00DE1431" w14:paraId="79B626E8" w14:textId="77777777">
      <w:pPr>
        <w:rPr>
          <w:b/>
        </w:rPr>
      </w:pPr>
    </w:p>
    <w:p w:rsidR="00996C3B" w:rsidRPr="00DE1431" w:rsidP="00996C3B" w14:paraId="5BFF7C01"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73451797"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3CA6E4E8"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69A8653B"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7C40772D"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5028E505"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4BE6CB68"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70161F68"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1BBFD5B0"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297592FC"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1E94A36B"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474DF97E" w14:textId="77777777">
      <w:pPr>
        <w:rPr>
          <w:i/>
        </w:rPr>
      </w:pPr>
    </w:p>
    <w:p w:rsidR="006832D9" w:rsidP="0B834C79" w14:paraId="15692467" w14:textId="77777777">
      <w:pPr>
        <w:keepNext/>
        <w:keepLines/>
        <w:rPr>
          <w:b/>
          <w:bCs/>
        </w:rPr>
      </w:pPr>
      <w:r w:rsidRPr="0B834C79">
        <w:rPr>
          <w:b/>
          <w:bCs/>
        </w:rPr>
        <w:t>Burden Table</w:t>
      </w:r>
    </w:p>
    <w:p w:rsidR="009D7483" w:rsidP="00F3170F" w14:paraId="0BFE1F65" w14:textId="77777777">
      <w:pPr>
        <w:keepNext/>
        <w:keepLines/>
        <w:rPr>
          <w:b/>
        </w:rPr>
      </w:pPr>
    </w:p>
    <w:tbl>
      <w:tblPr>
        <w:tblStyle w:val="TableGrid"/>
        <w:tblW w:w="10080" w:type="dxa"/>
        <w:tblInd w:w="-5" w:type="dxa"/>
        <w:tblLayout w:type="fixed"/>
        <w:tblLook w:val="04A0"/>
      </w:tblPr>
      <w:tblGrid>
        <w:gridCol w:w="990"/>
        <w:gridCol w:w="4680"/>
        <w:gridCol w:w="1530"/>
        <w:gridCol w:w="1440"/>
        <w:gridCol w:w="1440"/>
      </w:tblGrid>
      <w:tr w14:paraId="655DBEFC" w14:textId="77777777" w:rsidTr="0B834C79">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D7483" w:rsidP="003E12D8" w14:paraId="3D7C5226" w14:textId="77777777">
            <w:pPr>
              <w:keepNext/>
              <w:jc w:val="center"/>
              <w:rPr>
                <w:b/>
              </w:rPr>
            </w:pPr>
            <w:r>
              <w:rPr>
                <w:b/>
              </w:rPr>
              <w:t>Task #</w:t>
            </w:r>
          </w:p>
        </w:tc>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D7483" w:rsidP="003E12D8" w14:paraId="65685977" w14:textId="77777777">
            <w:pPr>
              <w:keepNext/>
              <w:jc w:val="center"/>
              <w:rPr>
                <w:b/>
                <w:i/>
              </w:rPr>
            </w:pPr>
            <w:r>
              <w:rPr>
                <w:b/>
              </w:rPr>
              <w:t>Task Description</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7483" w:rsidP="003E12D8" w14:paraId="6F3D0604" w14:textId="77777777">
            <w:pPr>
              <w:keepNext/>
              <w:jc w:val="center"/>
              <w:rPr>
                <w:b/>
              </w:rPr>
            </w:pPr>
            <w:r>
              <w:rPr>
                <w:b/>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7483" w:rsidP="003E12D8" w14:paraId="131CB4DA" w14:textId="77777777">
            <w:pPr>
              <w:keepNext/>
              <w:jc w:val="center"/>
              <w:rPr>
                <w:b/>
              </w:rPr>
            </w:pPr>
            <w:r>
              <w:rPr>
                <w:b/>
              </w:rPr>
              <w:t>Estimated burden</w:t>
            </w:r>
          </w:p>
          <w:p w:rsidR="009D7483" w:rsidP="003E12D8" w14:paraId="4F52CA2A" w14:textId="77777777">
            <w:pPr>
              <w:keepNext/>
              <w:jc w:val="center"/>
              <w:rPr>
                <w:b/>
                <w:i/>
              </w:rPr>
            </w:pPr>
            <w:r>
              <w:rPr>
                <w:b/>
                <w:i/>
              </w:rPr>
              <w:t>(in minutes)</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7483" w:rsidP="003E12D8" w14:paraId="36228539" w14:textId="77777777">
            <w:pPr>
              <w:keepNext/>
              <w:jc w:val="center"/>
              <w:rPr>
                <w:b/>
              </w:rPr>
            </w:pPr>
            <w:r>
              <w:rPr>
                <w:b/>
              </w:rPr>
              <w:t xml:space="preserve">Total burden </w:t>
            </w:r>
            <w:r>
              <w:rPr>
                <w:b/>
                <w:i/>
              </w:rPr>
              <w:t>(in hours)</w:t>
            </w:r>
          </w:p>
        </w:tc>
      </w:tr>
      <w:tr w14:paraId="2B6E1661" w14:textId="77777777" w:rsidTr="0B834C79">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6200F4" w:rsidP="006200F4" w14:paraId="5874BD3C" w14:textId="0F9C6A4A">
            <w:pPr>
              <w:keepNext/>
            </w:pPr>
            <w:r>
              <w:t>1</w:t>
            </w:r>
          </w:p>
        </w:tc>
        <w:tc>
          <w:tcPr>
            <w:tcW w:w="4680" w:type="dxa"/>
            <w:tcBorders>
              <w:top w:val="single" w:sz="4" w:space="0" w:color="auto"/>
              <w:left w:val="single" w:sz="4" w:space="0" w:color="auto"/>
              <w:bottom w:val="single" w:sz="4" w:space="0" w:color="auto"/>
              <w:right w:val="single" w:sz="4" w:space="0" w:color="auto"/>
            </w:tcBorders>
            <w:vAlign w:val="center"/>
          </w:tcPr>
          <w:p w:rsidR="006200F4" w:rsidRPr="00811039" w:rsidP="006200F4" w14:paraId="118C9206" w14:textId="0F9E018E">
            <w:pPr>
              <w:keepNext/>
            </w:pPr>
            <w:r w:rsidRPr="7C90ED2B">
              <w:t>State or local governments: Commission prenotification email</w:t>
            </w:r>
          </w:p>
        </w:tc>
        <w:tc>
          <w:tcPr>
            <w:tcW w:w="1530" w:type="dxa"/>
            <w:tcBorders>
              <w:top w:val="single" w:sz="4" w:space="0" w:color="auto"/>
              <w:left w:val="single" w:sz="4" w:space="0" w:color="auto"/>
              <w:bottom w:val="single" w:sz="4" w:space="0" w:color="auto"/>
              <w:right w:val="single" w:sz="4" w:space="0" w:color="auto"/>
            </w:tcBorders>
            <w:vAlign w:val="center"/>
          </w:tcPr>
          <w:p w:rsidR="006200F4" w:rsidP="006200F4" w14:paraId="58CAA0E2" w14:textId="2997D972">
            <w:pPr>
              <w:keepNext/>
            </w:pPr>
            <w:r w:rsidRPr="7C90ED2B">
              <w:t>22</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708ADA7C" w14:textId="0C9D544E">
            <w:pPr>
              <w:keepNext/>
            </w:pPr>
            <w:r w:rsidRPr="7C90ED2B">
              <w:t>5</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19ECC5D4" w14:textId="4A8D1C05">
            <w:pPr>
              <w:keepNext/>
            </w:pPr>
            <w:r w:rsidRPr="7C90ED2B">
              <w:t>2</w:t>
            </w:r>
          </w:p>
        </w:tc>
      </w:tr>
      <w:tr w14:paraId="59AF701E" w14:textId="77777777" w:rsidTr="0B834C79">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6200F4" w:rsidP="006200F4" w14:paraId="395D6234" w14:textId="4EC34076">
            <w:pPr>
              <w:keepNext/>
            </w:pPr>
            <w:r>
              <w:t>2</w:t>
            </w:r>
          </w:p>
        </w:tc>
        <w:tc>
          <w:tcPr>
            <w:tcW w:w="4680" w:type="dxa"/>
            <w:tcBorders>
              <w:top w:val="single" w:sz="4" w:space="0" w:color="auto"/>
              <w:left w:val="single" w:sz="4" w:space="0" w:color="auto"/>
              <w:bottom w:val="single" w:sz="4" w:space="0" w:color="auto"/>
              <w:right w:val="single" w:sz="4" w:space="0" w:color="auto"/>
            </w:tcBorders>
            <w:vAlign w:val="center"/>
          </w:tcPr>
          <w:p w:rsidR="006200F4" w:rsidP="006200F4" w14:paraId="4E8D2BFF" w14:textId="10B353A5">
            <w:pPr>
              <w:keepNext/>
            </w:pPr>
            <w:r w:rsidRPr="50DE7FEF">
              <w:t>State or local governments: Commission formal request email</w:t>
            </w:r>
          </w:p>
        </w:tc>
        <w:tc>
          <w:tcPr>
            <w:tcW w:w="1530" w:type="dxa"/>
            <w:tcBorders>
              <w:top w:val="single" w:sz="4" w:space="0" w:color="auto"/>
              <w:left w:val="single" w:sz="4" w:space="0" w:color="auto"/>
              <w:bottom w:val="single" w:sz="4" w:space="0" w:color="auto"/>
              <w:right w:val="single" w:sz="4" w:space="0" w:color="auto"/>
            </w:tcBorders>
            <w:vAlign w:val="center"/>
          </w:tcPr>
          <w:p w:rsidR="006200F4" w:rsidP="006200F4" w14:paraId="18DDBDF1" w14:textId="721C53E1">
            <w:pPr>
              <w:keepNext/>
            </w:pPr>
            <w:r w:rsidRPr="7C90ED2B">
              <w:t>22</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0DCC7409" w14:textId="5731083C">
            <w:pPr>
              <w:keepNext/>
            </w:pPr>
            <w:r w:rsidRPr="7C90ED2B">
              <w:t>5</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778C3A8F" w14:textId="4F20D080">
            <w:pPr>
              <w:keepNext/>
            </w:pPr>
            <w:r w:rsidRPr="7C90ED2B">
              <w:t>2</w:t>
            </w:r>
          </w:p>
        </w:tc>
      </w:tr>
      <w:tr w14:paraId="1366DDE9" w14:textId="77777777" w:rsidTr="0B834C79">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vAlign w:val="center"/>
          </w:tcPr>
          <w:p w:rsidR="006200F4" w:rsidP="006200F4" w14:paraId="3A6D0597" w14:textId="3C164CC1">
            <w:pPr>
              <w:keepNext/>
            </w:pPr>
            <w:r>
              <w:t>3</w:t>
            </w:r>
          </w:p>
        </w:tc>
        <w:tc>
          <w:tcPr>
            <w:tcW w:w="4680" w:type="dxa"/>
            <w:tcBorders>
              <w:top w:val="single" w:sz="4" w:space="0" w:color="auto"/>
              <w:left w:val="single" w:sz="4" w:space="0" w:color="auto"/>
              <w:bottom w:val="single" w:sz="4" w:space="0" w:color="auto"/>
              <w:right w:val="single" w:sz="4" w:space="0" w:color="auto"/>
            </w:tcBorders>
            <w:vAlign w:val="center"/>
          </w:tcPr>
          <w:p w:rsidR="006200F4" w:rsidP="006200F4" w14:paraId="037C51C5" w14:textId="41FAEADF">
            <w:pPr>
              <w:keepNext/>
            </w:pPr>
            <w:r w:rsidRPr="50DE7FEF">
              <w:t>State or local governments: Commission pulling and submitting data</w:t>
            </w:r>
          </w:p>
        </w:tc>
        <w:tc>
          <w:tcPr>
            <w:tcW w:w="1530" w:type="dxa"/>
            <w:tcBorders>
              <w:top w:val="single" w:sz="4" w:space="0" w:color="auto"/>
              <w:left w:val="single" w:sz="4" w:space="0" w:color="auto"/>
              <w:bottom w:val="single" w:sz="4" w:space="0" w:color="auto"/>
              <w:right w:val="single" w:sz="4" w:space="0" w:color="auto"/>
            </w:tcBorders>
            <w:vAlign w:val="center"/>
          </w:tcPr>
          <w:p w:rsidR="006200F4" w:rsidP="006200F4" w14:paraId="535992DC" w14:textId="7BE08A7A">
            <w:pPr>
              <w:keepNext/>
            </w:pPr>
            <w:r w:rsidRPr="50DE7FEF">
              <w:t>22</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2E63E6C7" w14:textId="1770DE78">
            <w:pPr>
              <w:keepNext/>
            </w:pPr>
            <w:r w:rsidRPr="50DE7FEF">
              <w:t>45</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49992680" w14:textId="384C913D">
            <w:pPr>
              <w:keepNext/>
            </w:pPr>
            <w:r>
              <w:t>17</w:t>
            </w:r>
          </w:p>
        </w:tc>
      </w:tr>
      <w:tr w14:paraId="7A58C8AE" w14:textId="77777777" w:rsidTr="0B834C79">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vAlign w:val="center"/>
          </w:tcPr>
          <w:p w:rsidR="006200F4" w:rsidP="006200F4" w14:paraId="3A548E0E" w14:textId="01204303">
            <w:pPr>
              <w:keepNext/>
            </w:pPr>
            <w:r>
              <w:t>4</w:t>
            </w:r>
          </w:p>
        </w:tc>
        <w:tc>
          <w:tcPr>
            <w:tcW w:w="4680" w:type="dxa"/>
            <w:tcBorders>
              <w:top w:val="single" w:sz="4" w:space="0" w:color="auto"/>
              <w:left w:val="single" w:sz="4" w:space="0" w:color="auto"/>
              <w:bottom w:val="single" w:sz="4" w:space="0" w:color="auto"/>
              <w:right w:val="single" w:sz="4" w:space="0" w:color="auto"/>
            </w:tcBorders>
            <w:vAlign w:val="center"/>
          </w:tcPr>
          <w:p w:rsidR="006200F4" w:rsidP="006200F4" w14:paraId="58DA8C12" w14:textId="25B39A43">
            <w:pPr>
              <w:keepNext/>
            </w:pPr>
            <w:r w:rsidRPr="7C90ED2B">
              <w:t>State or local governments: Commission nonrespondent follow-up via email</w:t>
            </w:r>
          </w:p>
        </w:tc>
        <w:tc>
          <w:tcPr>
            <w:tcW w:w="1530" w:type="dxa"/>
            <w:tcBorders>
              <w:top w:val="single" w:sz="4" w:space="0" w:color="auto"/>
              <w:left w:val="single" w:sz="4" w:space="0" w:color="auto"/>
              <w:bottom w:val="single" w:sz="4" w:space="0" w:color="auto"/>
              <w:right w:val="single" w:sz="4" w:space="0" w:color="auto"/>
            </w:tcBorders>
            <w:vAlign w:val="center"/>
          </w:tcPr>
          <w:p w:rsidR="006200F4" w:rsidP="006200F4" w14:paraId="533C7856" w14:textId="6F770574">
            <w:pPr>
              <w:keepNext/>
            </w:pPr>
            <w:r w:rsidRPr="7C90ED2B">
              <w:t>22</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51E1675D" w14:textId="1110BF8E">
            <w:pPr>
              <w:keepNext/>
            </w:pPr>
            <w:r w:rsidRPr="7C90ED2B">
              <w:t>5</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4F4738BF" w14:textId="4431903D">
            <w:pPr>
              <w:keepNext/>
            </w:pPr>
            <w:r w:rsidRPr="7C90ED2B">
              <w:t>2</w:t>
            </w:r>
          </w:p>
        </w:tc>
      </w:tr>
      <w:tr w14:paraId="28955316" w14:textId="77777777" w:rsidTr="0B834C79">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vAlign w:val="center"/>
          </w:tcPr>
          <w:p w:rsidR="006200F4" w:rsidP="006200F4" w14:paraId="1B389B7A" w14:textId="11424D68">
            <w:pPr>
              <w:keepNext/>
            </w:pPr>
            <w:r>
              <w:t>5</w:t>
            </w:r>
          </w:p>
        </w:tc>
        <w:tc>
          <w:tcPr>
            <w:tcW w:w="4680" w:type="dxa"/>
            <w:tcBorders>
              <w:top w:val="single" w:sz="4" w:space="0" w:color="auto"/>
              <w:left w:val="single" w:sz="4" w:space="0" w:color="auto"/>
              <w:bottom w:val="single" w:sz="4" w:space="0" w:color="auto"/>
              <w:right w:val="single" w:sz="4" w:space="0" w:color="auto"/>
            </w:tcBorders>
            <w:vAlign w:val="center"/>
          </w:tcPr>
          <w:p w:rsidR="006200F4" w:rsidP="006200F4" w14:paraId="65B15176" w14:textId="45772483">
            <w:pPr>
              <w:keepNext/>
            </w:pPr>
            <w:r w:rsidRPr="7C90ED2B">
              <w:t>State or local governments: Commission nonrespondent follow-up via phone</w:t>
            </w:r>
          </w:p>
        </w:tc>
        <w:tc>
          <w:tcPr>
            <w:tcW w:w="1530" w:type="dxa"/>
            <w:tcBorders>
              <w:top w:val="single" w:sz="4" w:space="0" w:color="auto"/>
              <w:left w:val="single" w:sz="4" w:space="0" w:color="auto"/>
              <w:bottom w:val="single" w:sz="4" w:space="0" w:color="auto"/>
              <w:right w:val="single" w:sz="4" w:space="0" w:color="auto"/>
            </w:tcBorders>
            <w:vAlign w:val="center"/>
          </w:tcPr>
          <w:p w:rsidR="006200F4" w:rsidP="006200F4" w14:paraId="5E8F1A45" w14:textId="23F7E463">
            <w:pPr>
              <w:keepNext/>
            </w:pPr>
            <w:r w:rsidRPr="7C90ED2B">
              <w:t>22</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32EFB351" w14:textId="6802E2DE">
            <w:pPr>
              <w:keepNext/>
            </w:pPr>
            <w:r w:rsidRPr="50DE7FEF">
              <w:t>15</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30BEF3A2" w14:textId="76726FC6">
            <w:pPr>
              <w:keepNext/>
            </w:pPr>
            <w:r>
              <w:t>6</w:t>
            </w:r>
          </w:p>
        </w:tc>
      </w:tr>
      <w:tr w14:paraId="4C73B810" w14:textId="77777777" w:rsidTr="0B834C79">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vAlign w:val="center"/>
          </w:tcPr>
          <w:p w:rsidR="006200F4" w:rsidP="006200F4" w14:paraId="6B58373E" w14:textId="37A04C86">
            <w:pPr>
              <w:keepNext/>
            </w:pPr>
            <w:r>
              <w:t>6</w:t>
            </w:r>
          </w:p>
        </w:tc>
        <w:tc>
          <w:tcPr>
            <w:tcW w:w="4680" w:type="dxa"/>
            <w:tcBorders>
              <w:top w:val="single" w:sz="4" w:space="0" w:color="auto"/>
              <w:left w:val="single" w:sz="4" w:space="0" w:color="auto"/>
              <w:bottom w:val="single" w:sz="4" w:space="0" w:color="auto"/>
              <w:right w:val="single" w:sz="4" w:space="0" w:color="auto"/>
            </w:tcBorders>
            <w:vAlign w:val="center"/>
          </w:tcPr>
          <w:p w:rsidR="006200F4" w:rsidP="006200F4" w14:paraId="324C4401" w14:textId="52561626">
            <w:pPr>
              <w:keepNext/>
            </w:pPr>
            <w:r w:rsidRPr="50DE7FEF">
              <w:t>State or local governments: Commission closeout email to refusals and nonrespondents</w:t>
            </w:r>
          </w:p>
        </w:tc>
        <w:tc>
          <w:tcPr>
            <w:tcW w:w="1530" w:type="dxa"/>
            <w:tcBorders>
              <w:top w:val="single" w:sz="4" w:space="0" w:color="auto"/>
              <w:left w:val="single" w:sz="4" w:space="0" w:color="auto"/>
              <w:bottom w:val="single" w:sz="4" w:space="0" w:color="auto"/>
              <w:right w:val="single" w:sz="4" w:space="0" w:color="auto"/>
            </w:tcBorders>
            <w:vAlign w:val="center"/>
          </w:tcPr>
          <w:p w:rsidR="006200F4" w:rsidP="006200F4" w14:paraId="32D9A538" w14:textId="2B849CDD">
            <w:pPr>
              <w:keepNext/>
            </w:pPr>
            <w:r w:rsidRPr="7C90ED2B">
              <w:t>22</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62A41A6D" w14:textId="198297D7">
            <w:pPr>
              <w:keepNext/>
            </w:pPr>
            <w:r w:rsidRPr="7C90ED2B">
              <w:t>5</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4C96B392" w14:textId="4207C682">
            <w:pPr>
              <w:keepNext/>
            </w:pPr>
            <w:r w:rsidRPr="7C90ED2B">
              <w:t>2</w:t>
            </w:r>
          </w:p>
        </w:tc>
      </w:tr>
      <w:tr w14:paraId="3AF9F424" w14:textId="77777777" w:rsidTr="0B834C79">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vAlign w:val="center"/>
          </w:tcPr>
          <w:p w:rsidR="006200F4" w:rsidP="006200F4" w14:paraId="10373E51" w14:textId="1BA47DEF">
            <w:pPr>
              <w:keepNext/>
            </w:pPr>
            <w:r>
              <w:t>7</w:t>
            </w:r>
          </w:p>
        </w:tc>
        <w:tc>
          <w:tcPr>
            <w:tcW w:w="4680" w:type="dxa"/>
            <w:tcBorders>
              <w:top w:val="single" w:sz="4" w:space="0" w:color="auto"/>
              <w:left w:val="single" w:sz="4" w:space="0" w:color="auto"/>
              <w:bottom w:val="single" w:sz="4" w:space="0" w:color="auto"/>
              <w:right w:val="single" w:sz="4" w:space="0" w:color="auto"/>
            </w:tcBorders>
            <w:vAlign w:val="center"/>
          </w:tcPr>
          <w:p w:rsidR="006200F4" w:rsidP="006200F4" w14:paraId="325E64FF" w14:textId="3F5733EE">
            <w:pPr>
              <w:keepNext/>
            </w:pPr>
            <w:r w:rsidRPr="50DE7FEF">
              <w:t>State or local governments: Commission inquiry/logistics calls</w:t>
            </w:r>
          </w:p>
        </w:tc>
        <w:tc>
          <w:tcPr>
            <w:tcW w:w="1530" w:type="dxa"/>
            <w:tcBorders>
              <w:top w:val="single" w:sz="4" w:space="0" w:color="auto"/>
              <w:left w:val="single" w:sz="4" w:space="0" w:color="auto"/>
              <w:bottom w:val="single" w:sz="4" w:space="0" w:color="auto"/>
              <w:right w:val="single" w:sz="4" w:space="0" w:color="auto"/>
            </w:tcBorders>
            <w:vAlign w:val="center"/>
          </w:tcPr>
          <w:p w:rsidR="006200F4" w:rsidP="006200F4" w14:paraId="6A554D9F" w14:textId="0F700EFA">
            <w:pPr>
              <w:keepNext/>
            </w:pPr>
            <w:r w:rsidRPr="50DE7FEF">
              <w:t>22</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658FB56F" w14:textId="18E0E9CF">
            <w:pPr>
              <w:keepNext/>
            </w:pPr>
            <w:r>
              <w:t>30</w:t>
            </w:r>
          </w:p>
        </w:tc>
        <w:tc>
          <w:tcPr>
            <w:tcW w:w="1440" w:type="dxa"/>
            <w:tcBorders>
              <w:top w:val="single" w:sz="4" w:space="0" w:color="auto"/>
              <w:left w:val="single" w:sz="4" w:space="0" w:color="auto"/>
              <w:bottom w:val="single" w:sz="4" w:space="0" w:color="auto"/>
              <w:right w:val="single" w:sz="4" w:space="0" w:color="auto"/>
            </w:tcBorders>
            <w:vAlign w:val="center"/>
          </w:tcPr>
          <w:p w:rsidR="006200F4" w:rsidP="006200F4" w14:paraId="55305A02" w14:textId="540CEC4D">
            <w:pPr>
              <w:keepNext/>
            </w:pPr>
            <w:r>
              <w:t>11</w:t>
            </w:r>
          </w:p>
        </w:tc>
      </w:tr>
      <w:tr w14:paraId="136104BD" w14:textId="77777777" w:rsidTr="00C4314A">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A358FE" w:rsidP="006200F4" w14:paraId="6C5BEC37" w14:textId="77777777">
            <w:pPr>
              <w:rPr>
                <w:b/>
              </w:rPr>
            </w:pPr>
          </w:p>
        </w:tc>
        <w:tc>
          <w:tcPr>
            <w:tcW w:w="4680" w:type="dxa"/>
            <w:tcBorders>
              <w:top w:val="single" w:sz="4" w:space="0" w:color="auto"/>
              <w:left w:val="single" w:sz="4" w:space="0" w:color="auto"/>
              <w:bottom w:val="single" w:sz="4" w:space="0" w:color="auto"/>
              <w:right w:val="single" w:sz="4" w:space="0" w:color="auto"/>
            </w:tcBorders>
            <w:vAlign w:val="center"/>
            <w:hideMark/>
          </w:tcPr>
          <w:p w:rsidR="00A358FE" w:rsidP="006200F4" w14:paraId="186A536D" w14:textId="3B434A81">
            <w:pPr>
              <w:rPr>
                <w:b/>
              </w:rPr>
            </w:pPr>
            <w:r>
              <w:rPr>
                <w:b/>
              </w:rPr>
              <w:t>Total</w:t>
            </w:r>
          </w:p>
        </w:tc>
        <w:tc>
          <w:tcPr>
            <w:tcW w:w="1530" w:type="dxa"/>
            <w:tcBorders>
              <w:top w:val="single" w:sz="4" w:space="0" w:color="auto"/>
              <w:left w:val="single" w:sz="4" w:space="0" w:color="auto"/>
              <w:bottom w:val="single" w:sz="4" w:space="0" w:color="auto"/>
              <w:right w:val="single" w:sz="4" w:space="0" w:color="auto"/>
            </w:tcBorders>
            <w:vAlign w:val="center"/>
          </w:tcPr>
          <w:p w:rsidR="00A358FE" w:rsidP="006200F4" w14:paraId="77519080" w14:textId="434553F2">
            <w:pPr>
              <w:rPr>
                <w:b/>
              </w:rPr>
            </w:pPr>
            <w:r>
              <w:rPr>
                <w:b/>
              </w:rPr>
              <w:t>22</w:t>
            </w:r>
          </w:p>
        </w:tc>
        <w:tc>
          <w:tcPr>
            <w:tcW w:w="1440" w:type="dxa"/>
            <w:tcBorders>
              <w:top w:val="single" w:sz="4" w:space="0" w:color="auto"/>
              <w:left w:val="single" w:sz="4" w:space="0" w:color="auto"/>
              <w:bottom w:val="single" w:sz="4" w:space="0" w:color="auto"/>
              <w:right w:val="single" w:sz="4" w:space="0" w:color="auto"/>
            </w:tcBorders>
            <w:vAlign w:val="center"/>
          </w:tcPr>
          <w:p w:rsidR="00A358FE" w:rsidP="006200F4" w14:paraId="1D81D924" w14:textId="356ED0EB">
            <w:pPr>
              <w:rPr>
                <w:b/>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A358FE" w:rsidP="006200F4" w14:paraId="197407EE" w14:textId="06203E9A">
            <w:pPr>
              <w:rPr>
                <w:b/>
                <w:bCs/>
              </w:rPr>
            </w:pPr>
            <w:r>
              <w:rPr>
                <w:b/>
                <w:bCs/>
              </w:rPr>
              <w:t>42</w:t>
            </w:r>
          </w:p>
        </w:tc>
      </w:tr>
    </w:tbl>
    <w:p w:rsidR="009D7483" w:rsidP="00F3170F" w14:paraId="4190936F" w14:textId="77777777">
      <w:pPr>
        <w:keepNext/>
        <w:keepLines/>
        <w:rPr>
          <w:b/>
        </w:rPr>
      </w:pPr>
    </w:p>
    <w:p w:rsidR="009D7483" w:rsidRPr="00DE1431" w:rsidP="00F3170F" w14:paraId="3B609B3B" w14:textId="77777777">
      <w:pPr>
        <w:keepNext/>
        <w:keepLines/>
        <w:rPr>
          <w:b/>
        </w:rPr>
      </w:pPr>
    </w:p>
    <w:p w:rsidR="009D7483" w:rsidRPr="00ED3CE5" w:rsidP="009D7483" w14:paraId="6B83E2D3" w14:textId="4DE46B80">
      <w:pPr>
        <w:pStyle w:val="BodyTextFirstIndent"/>
        <w:ind w:firstLine="0"/>
        <w:rPr>
          <w:b/>
          <w:bCs/>
        </w:rPr>
      </w:pPr>
      <w:r w:rsidRPr="00FD0A84">
        <w:rPr>
          <w:b/>
        </w:rPr>
        <w:t xml:space="preserve">FEDERAL </w:t>
      </w:r>
      <w:r w:rsidRPr="00FD0A84" w:rsidR="009F5923">
        <w:rPr>
          <w:b/>
        </w:rPr>
        <w:t>COST</w:t>
      </w:r>
      <w:r w:rsidRPr="00FD0A84" w:rsidR="00F06866">
        <w:rPr>
          <w:b/>
        </w:rPr>
        <w:t>:</w:t>
      </w:r>
      <w:r w:rsidRPr="00DE1431" w:rsidR="00895229">
        <w:rPr>
          <w:b/>
        </w:rPr>
        <w:t xml:space="preserve"> </w:t>
      </w:r>
      <w:r w:rsidRPr="00DE1431" w:rsidR="00C86E91">
        <w:rPr>
          <w:b/>
        </w:rPr>
        <w:t xml:space="preserve"> </w:t>
      </w:r>
      <w:bookmarkStart w:id="0" w:name="_Hlk153890692"/>
      <w:r w:rsidRPr="00ED3CE5">
        <w:t xml:space="preserve">The </w:t>
      </w:r>
      <w:bookmarkStart w:id="1" w:name="_Hlk154043965"/>
      <w:r w:rsidRPr="00ED3CE5">
        <w:t xml:space="preserve">estimated cost </w:t>
      </w:r>
      <w:bookmarkEnd w:id="1"/>
      <w:r w:rsidRPr="00ED3CE5">
        <w:t>to the Federal government is</w:t>
      </w:r>
      <w:r>
        <w:t xml:space="preserve"> </w:t>
      </w:r>
      <w:r w:rsidRPr="00546690" w:rsidR="00B131C8">
        <w:t>$128,</w:t>
      </w:r>
      <w:r w:rsidRPr="008047A9" w:rsidR="00B131C8">
        <w:t xml:space="preserve">736 </w:t>
      </w:r>
      <w:r w:rsidRPr="00ED3CE5">
        <w:t xml:space="preserve">for </w:t>
      </w:r>
      <w:r w:rsidR="00B131C8">
        <w:t>RTI</w:t>
      </w:r>
      <w:r w:rsidRPr="00ED3CE5">
        <w:t xml:space="preserve"> portion of the work and an estimated $</w:t>
      </w:r>
      <w:r w:rsidRPr="00B131C8" w:rsidR="00B131C8">
        <w:t xml:space="preserve">1,236 </w:t>
      </w:r>
      <w:r w:rsidRPr="00ED3CE5">
        <w:t xml:space="preserve">for </w:t>
      </w:r>
      <w:r w:rsidR="00B131C8">
        <w:t>20</w:t>
      </w:r>
      <w:r w:rsidRPr="00ED3CE5">
        <w:t xml:space="preserve"> hours of the GS-1</w:t>
      </w:r>
      <w:r w:rsidR="00B131C8">
        <w:t>2</w:t>
      </w:r>
      <w:r w:rsidRPr="00ED3CE5">
        <w:t xml:space="preserve"> project manager</w:t>
      </w:r>
      <w:r>
        <w:t>’</w:t>
      </w:r>
      <w:r w:rsidRPr="00ED3CE5">
        <w:t>s work for a total of</w:t>
      </w:r>
      <w:r>
        <w:t xml:space="preserve"> $</w:t>
      </w:r>
      <w:r w:rsidRPr="00B131C8" w:rsidR="00B131C8">
        <w:t>129,972</w:t>
      </w:r>
      <w:r w:rsidRPr="00ED3CE5">
        <w:t>.</w:t>
      </w:r>
    </w:p>
    <w:bookmarkEnd w:id="0"/>
    <w:p w:rsidR="00C57479" w:rsidRPr="00DE1431" w14:paraId="36D522FC" w14:textId="77777777">
      <w:pPr>
        <w:rPr>
          <w:bCs/>
        </w:rPr>
      </w:pPr>
    </w:p>
    <w:p w:rsidR="0069403B" w:rsidRPr="00DE1431" w:rsidP="00F06866" w14:paraId="29ABF0DE"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44444DE3" w14:textId="77777777">
      <w:pPr>
        <w:rPr>
          <w:b/>
        </w:rPr>
      </w:pPr>
    </w:p>
    <w:p w:rsidR="00F06866" w:rsidRPr="00DE1431" w:rsidP="00F06866" w14:paraId="0B6CE41F"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6B7826E4" w14:textId="12E4DE01">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A358FE">
        <w:t>X</w:t>
      </w:r>
      <w:r w:rsidRPr="00DE1431">
        <w:t>] Yes</w:t>
      </w:r>
      <w:r w:rsidRPr="00DE1431">
        <w:tab/>
        <w:t>[] No</w:t>
      </w:r>
    </w:p>
    <w:p w:rsidR="00636621" w:rsidRPr="00DE1431" w:rsidP="001B0AAA" w14:paraId="7B78EA6B" w14:textId="77777777">
      <w:r w:rsidRPr="00DE1431">
        <w:t>If the answer is yes, please provide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906B5E" w:rsidP="001B0AAA" w14:paraId="68C5F2CB" w14:textId="77777777"/>
    <w:p w:rsidR="009D16BF" w:rsidP="009D16BF" w14:paraId="2677C410" w14:textId="77777777">
      <w:r>
        <w:t>The current study frame consists of 22 state sentencing commissions identified by BJS as active in 2025. Active commissions were identified through a systematic review of publicly available sources, including the National Association of Sentencing Commissions’ website and reports, as well as the official websites of individual state sentencing commissions. Points of contact for these commissions were compiled based on the information available through these sources. Because the study aims to contact all identified active commissions, no sampling procedures will be used. The identified 22 states sentencing commissions include:</w:t>
      </w:r>
    </w:p>
    <w:p w:rsidR="009D16BF" w:rsidP="009D16BF" w14:paraId="5BA96364" w14:textId="77777777"/>
    <w:p w:rsidR="009D16BF" w:rsidRPr="00545359" w:rsidP="009D16BF" w14:paraId="0C56DB68" w14:textId="77777777">
      <w:pPr>
        <w:pStyle w:val="ListParagraph"/>
        <w:numPr>
          <w:ilvl w:val="0"/>
          <w:numId w:val="27"/>
        </w:numPr>
      </w:pPr>
      <w:r w:rsidRPr="00545359">
        <w:t>Alabama Sentencing Commission</w:t>
      </w:r>
    </w:p>
    <w:p w:rsidR="009D16BF" w:rsidRPr="00545359" w:rsidP="009D16BF" w14:paraId="7B2BE3B8" w14:textId="77777777">
      <w:pPr>
        <w:pStyle w:val="ListParagraph"/>
        <w:numPr>
          <w:ilvl w:val="0"/>
          <w:numId w:val="27"/>
        </w:numPr>
      </w:pPr>
      <w:r w:rsidRPr="00545359">
        <w:t>Alaska Judicial Council</w:t>
      </w:r>
    </w:p>
    <w:p w:rsidR="009D16BF" w:rsidRPr="00545359" w:rsidP="009D16BF" w14:paraId="5DCBF9DC" w14:textId="77777777">
      <w:pPr>
        <w:pStyle w:val="ListParagraph"/>
        <w:numPr>
          <w:ilvl w:val="0"/>
          <w:numId w:val="27"/>
        </w:numPr>
      </w:pPr>
      <w:r w:rsidRPr="00545359">
        <w:t>Arkansas Sentencing Commission</w:t>
      </w:r>
    </w:p>
    <w:p w:rsidR="009D16BF" w:rsidRPr="00545359" w:rsidP="009D16BF" w14:paraId="753D5C0A" w14:textId="77777777">
      <w:pPr>
        <w:pStyle w:val="ListParagraph"/>
        <w:numPr>
          <w:ilvl w:val="0"/>
          <w:numId w:val="27"/>
        </w:numPr>
      </w:pPr>
      <w:r w:rsidRPr="00545359">
        <w:t>Connecticut Sentencing Commission</w:t>
      </w:r>
    </w:p>
    <w:p w:rsidR="009D16BF" w:rsidRPr="00545359" w:rsidP="009D16BF" w14:paraId="4E00D3C8" w14:textId="77777777">
      <w:pPr>
        <w:pStyle w:val="ListParagraph"/>
        <w:numPr>
          <w:ilvl w:val="0"/>
          <w:numId w:val="27"/>
        </w:numPr>
      </w:pPr>
      <w:r w:rsidRPr="00545359">
        <w:t>Delaware Sentencing Accountability Commission</w:t>
      </w:r>
    </w:p>
    <w:p w:rsidR="009D16BF" w:rsidRPr="00545359" w:rsidP="009D16BF" w14:paraId="10C98C15" w14:textId="77777777">
      <w:pPr>
        <w:pStyle w:val="ListParagraph"/>
        <w:numPr>
          <w:ilvl w:val="0"/>
          <w:numId w:val="27"/>
        </w:numPr>
      </w:pPr>
      <w:r w:rsidRPr="00545359">
        <w:t>DC Sentencing Commission</w:t>
      </w:r>
    </w:p>
    <w:p w:rsidR="009D16BF" w:rsidRPr="00545359" w:rsidP="009D16BF" w14:paraId="1F0FAEBD" w14:textId="77777777">
      <w:pPr>
        <w:pStyle w:val="ListParagraph"/>
        <w:numPr>
          <w:ilvl w:val="0"/>
          <w:numId w:val="27"/>
        </w:numPr>
      </w:pPr>
      <w:r w:rsidRPr="00545359">
        <w:t>Illinois Sentencing Policy Advisory Council</w:t>
      </w:r>
    </w:p>
    <w:p w:rsidR="009D16BF" w:rsidRPr="00545359" w:rsidP="009D16BF" w14:paraId="37AF4979" w14:textId="77777777">
      <w:pPr>
        <w:pStyle w:val="ListParagraph"/>
        <w:numPr>
          <w:ilvl w:val="0"/>
          <w:numId w:val="27"/>
        </w:numPr>
      </w:pPr>
      <w:r w:rsidRPr="00545359">
        <w:t>Kansas Sentencing Commission</w:t>
      </w:r>
    </w:p>
    <w:p w:rsidR="009D16BF" w:rsidRPr="00545359" w:rsidP="009D16BF" w14:paraId="5AA2855E" w14:textId="77777777">
      <w:pPr>
        <w:pStyle w:val="ListParagraph"/>
        <w:numPr>
          <w:ilvl w:val="0"/>
          <w:numId w:val="27"/>
        </w:numPr>
      </w:pPr>
      <w:r w:rsidRPr="00545359">
        <w:t>Maryland State Commission on Criminal Sentencing Policy</w:t>
      </w:r>
    </w:p>
    <w:p w:rsidR="009D16BF" w:rsidRPr="00545359" w:rsidP="009D16BF" w14:paraId="27E33BE5" w14:textId="77777777">
      <w:pPr>
        <w:pStyle w:val="ListParagraph"/>
        <w:numPr>
          <w:ilvl w:val="0"/>
          <w:numId w:val="27"/>
        </w:numPr>
      </w:pPr>
      <w:r w:rsidRPr="00545359">
        <w:t>Massachusetts Sentencing Commission</w:t>
      </w:r>
    </w:p>
    <w:p w:rsidR="009D16BF" w:rsidRPr="00545359" w:rsidP="009D16BF" w14:paraId="537D8460" w14:textId="77777777">
      <w:pPr>
        <w:pStyle w:val="ListParagraph"/>
        <w:numPr>
          <w:ilvl w:val="0"/>
          <w:numId w:val="27"/>
        </w:numPr>
      </w:pPr>
      <w:r w:rsidRPr="00545359">
        <w:t>Minnesota Sentencing Guidelines Commission</w:t>
      </w:r>
    </w:p>
    <w:p w:rsidR="009D16BF" w:rsidRPr="00545359" w:rsidP="009D16BF" w14:paraId="114C3BF5" w14:textId="77777777">
      <w:pPr>
        <w:pStyle w:val="ListParagraph"/>
        <w:numPr>
          <w:ilvl w:val="0"/>
          <w:numId w:val="27"/>
        </w:numPr>
      </w:pPr>
      <w:r w:rsidRPr="00545359">
        <w:t>Missouri Sentencing Advisory Commission</w:t>
      </w:r>
    </w:p>
    <w:p w:rsidR="009D16BF" w:rsidRPr="00545359" w:rsidP="009D16BF" w14:paraId="34A4DAC1" w14:textId="77777777">
      <w:pPr>
        <w:pStyle w:val="ListParagraph"/>
        <w:numPr>
          <w:ilvl w:val="0"/>
          <w:numId w:val="27"/>
        </w:numPr>
      </w:pPr>
      <w:r w:rsidRPr="00545359">
        <w:t>Nevada Department of Sentencing Policy</w:t>
      </w:r>
    </w:p>
    <w:p w:rsidR="009D16BF" w:rsidRPr="00545359" w:rsidP="009D16BF" w14:paraId="3368F328" w14:textId="77777777">
      <w:pPr>
        <w:pStyle w:val="ListParagraph"/>
        <w:numPr>
          <w:ilvl w:val="0"/>
          <w:numId w:val="27"/>
        </w:numPr>
      </w:pPr>
      <w:r w:rsidRPr="00545359">
        <w:t>New Mexico Sentencing Commission</w:t>
      </w:r>
    </w:p>
    <w:p w:rsidR="009D16BF" w:rsidRPr="00545359" w:rsidP="009D16BF" w14:paraId="5C452597" w14:textId="77777777">
      <w:pPr>
        <w:pStyle w:val="ListParagraph"/>
        <w:numPr>
          <w:ilvl w:val="0"/>
          <w:numId w:val="27"/>
        </w:numPr>
      </w:pPr>
      <w:r w:rsidRPr="00545359">
        <w:t>North Carolina Sentencing &amp; Policy Advisory Commission</w:t>
      </w:r>
    </w:p>
    <w:p w:rsidR="009D16BF" w:rsidRPr="00545359" w:rsidP="009D16BF" w14:paraId="63BFE673" w14:textId="77777777">
      <w:pPr>
        <w:pStyle w:val="ListParagraph"/>
        <w:numPr>
          <w:ilvl w:val="0"/>
          <w:numId w:val="27"/>
        </w:numPr>
      </w:pPr>
      <w:r w:rsidRPr="00545359">
        <w:t>Ohio Criminal Sentencing Commission</w:t>
      </w:r>
    </w:p>
    <w:p w:rsidR="009D16BF" w:rsidRPr="00545359" w:rsidP="009D16BF" w14:paraId="53F8A663" w14:textId="77777777">
      <w:pPr>
        <w:pStyle w:val="ListParagraph"/>
        <w:numPr>
          <w:ilvl w:val="0"/>
          <w:numId w:val="27"/>
        </w:numPr>
      </w:pPr>
      <w:r w:rsidRPr="00545359">
        <w:t>Oregon Criminal Justice Commission</w:t>
      </w:r>
    </w:p>
    <w:p w:rsidR="009D16BF" w:rsidRPr="00545359" w:rsidP="009D16BF" w14:paraId="0514114A" w14:textId="77777777">
      <w:pPr>
        <w:pStyle w:val="ListParagraph"/>
        <w:numPr>
          <w:ilvl w:val="0"/>
          <w:numId w:val="27"/>
        </w:numPr>
      </w:pPr>
      <w:r w:rsidRPr="00545359">
        <w:t>Pennsylvania Commission on Sentencing</w:t>
      </w:r>
    </w:p>
    <w:p w:rsidR="009D16BF" w:rsidRPr="00545359" w:rsidP="009D16BF" w14:paraId="6DE7F7E1" w14:textId="77777777">
      <w:pPr>
        <w:pStyle w:val="ListParagraph"/>
        <w:numPr>
          <w:ilvl w:val="0"/>
          <w:numId w:val="27"/>
        </w:numPr>
      </w:pPr>
      <w:r w:rsidRPr="00545359">
        <w:t>Utah Sentencing Commission</w:t>
      </w:r>
    </w:p>
    <w:p w:rsidR="009D16BF" w:rsidRPr="00545359" w:rsidP="009D16BF" w14:paraId="771D752F" w14:textId="77777777">
      <w:pPr>
        <w:pStyle w:val="ListParagraph"/>
        <w:numPr>
          <w:ilvl w:val="0"/>
          <w:numId w:val="27"/>
        </w:numPr>
      </w:pPr>
      <w:r w:rsidRPr="00545359">
        <w:t>Virginia Criminal Sentencing Commission</w:t>
      </w:r>
    </w:p>
    <w:p w:rsidR="009D16BF" w:rsidRPr="00545359" w:rsidP="009D16BF" w14:paraId="4025956B" w14:textId="77777777">
      <w:pPr>
        <w:pStyle w:val="ListParagraph"/>
        <w:numPr>
          <w:ilvl w:val="0"/>
          <w:numId w:val="27"/>
        </w:numPr>
      </w:pPr>
      <w:r w:rsidRPr="00545359">
        <w:t>Washington State Sentencing Guidelines Commission, Office of Financial Management</w:t>
      </w:r>
    </w:p>
    <w:p w:rsidR="009D16BF" w:rsidRPr="00545359" w:rsidP="009D16BF" w14:paraId="7CE201C2" w14:textId="77777777">
      <w:pPr>
        <w:pStyle w:val="ListParagraph"/>
        <w:numPr>
          <w:ilvl w:val="0"/>
          <w:numId w:val="27"/>
        </w:numPr>
      </w:pPr>
      <w:r w:rsidRPr="00545359">
        <w:t>West Virginia Sentencing Commission</w:t>
      </w:r>
    </w:p>
    <w:p w:rsidR="004D6E14" w:rsidP="00A403BB" w14:paraId="610C332A" w14:textId="77777777">
      <w:pPr>
        <w:rPr>
          <w:b/>
        </w:rPr>
      </w:pPr>
    </w:p>
    <w:p w:rsidR="009D16BF" w:rsidP="00A403BB" w14:paraId="0DC25763" w14:textId="77777777">
      <w:pPr>
        <w:rPr>
          <w:b/>
        </w:rPr>
      </w:pPr>
    </w:p>
    <w:p w:rsidR="009D16BF" w:rsidRPr="00DE1431" w:rsidP="00A403BB" w14:paraId="3AECB8BB" w14:textId="77777777">
      <w:pPr>
        <w:rPr>
          <w:b/>
        </w:rPr>
      </w:pPr>
    </w:p>
    <w:p w:rsidR="00A403BB" w:rsidRPr="00DE1431" w:rsidP="00A403BB" w14:paraId="2C13BADC" w14:textId="77777777">
      <w:pPr>
        <w:rPr>
          <w:b/>
        </w:rPr>
      </w:pPr>
      <w:r w:rsidRPr="00DE1431">
        <w:rPr>
          <w:b/>
        </w:rPr>
        <w:t>Administration of the Instrument</w:t>
      </w:r>
    </w:p>
    <w:p w:rsidR="00A403BB" w:rsidRPr="00DE1431" w:rsidP="00A403BB" w14:paraId="0BF45348" w14:textId="77777777">
      <w:pPr>
        <w:pStyle w:val="ListParagraph"/>
        <w:numPr>
          <w:ilvl w:val="0"/>
          <w:numId w:val="17"/>
        </w:numPr>
      </w:pPr>
      <w:r w:rsidRPr="00DE1431">
        <w:t>H</w:t>
      </w:r>
      <w:r w:rsidRPr="00DE1431">
        <w:t>ow will you collect the information? (Check all that apply)</w:t>
      </w:r>
    </w:p>
    <w:p w:rsidR="001B0AAA" w:rsidRPr="00DE1431" w:rsidP="001B0AAA" w14:paraId="372B9DF7" w14:textId="02827608">
      <w:pPr>
        <w:ind w:left="720"/>
      </w:pPr>
      <w:r w:rsidRPr="00DE1431">
        <w:t>[</w:t>
      </w:r>
      <w:r w:rsidR="009D16BF">
        <w:t>X</w:t>
      </w:r>
      <w:r w:rsidRPr="00DE1431">
        <w:t>] Web-based</w:t>
      </w:r>
      <w:r w:rsidRPr="00DE1431">
        <w:t xml:space="preserve"> or other forms of </w:t>
      </w:r>
      <w:r w:rsidRPr="00DE1431">
        <w:t>Social Media</w:t>
      </w:r>
      <w:r w:rsidRPr="00DE1431">
        <w:t xml:space="preserve"> </w:t>
      </w:r>
    </w:p>
    <w:p w:rsidR="001B0AAA" w:rsidRPr="00DE1431" w:rsidP="001B0AAA" w14:paraId="1F57D809" w14:textId="6444BDE8">
      <w:pPr>
        <w:ind w:left="720"/>
      </w:pPr>
      <w:r w:rsidRPr="00DE1431">
        <w:t>[</w:t>
      </w:r>
      <w:r w:rsidR="009D16BF">
        <w:t>X</w:t>
      </w:r>
      <w:r w:rsidRPr="00DE1431">
        <w:t>] Telephone</w:t>
      </w:r>
      <w:r w:rsidRPr="00DE1431">
        <w:tab/>
      </w:r>
    </w:p>
    <w:p w:rsidR="001B0AAA" w:rsidRPr="00DE1431" w:rsidP="001B0AAA" w14:paraId="080799CE"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26A420B8" w14:textId="77777777">
      <w:pPr>
        <w:ind w:left="720"/>
      </w:pPr>
      <w:r w:rsidRPr="00DE1431">
        <w:t xml:space="preserve">[ </w:t>
      </w:r>
      <w:r w:rsidRPr="00DE1431">
        <w:t xml:space="preserve"> </w:t>
      </w:r>
      <w:r w:rsidRPr="00DE1431">
        <w:t>]</w:t>
      </w:r>
      <w:r w:rsidRPr="00DE1431">
        <w:t xml:space="preserve"> Mail</w:t>
      </w:r>
      <w:r w:rsidRPr="00DE1431">
        <w:t xml:space="preserve"> </w:t>
      </w:r>
    </w:p>
    <w:p w:rsidR="001B0AAA" w:rsidRPr="00DE1431" w:rsidP="001B0AAA" w14:paraId="0188051F" w14:textId="167857C8">
      <w:pPr>
        <w:ind w:left="720"/>
      </w:pPr>
      <w:r w:rsidRPr="00DE1431">
        <w:t>[</w:t>
      </w:r>
      <w:r w:rsidR="009D16BF">
        <w:t>X</w:t>
      </w:r>
      <w:r w:rsidRPr="00DE1431">
        <w:t>] Other, Explain</w:t>
      </w:r>
      <w:r w:rsidR="009D16BF">
        <w:t>: Email</w:t>
      </w:r>
      <w:r w:rsidR="00147EB2">
        <w:t xml:space="preserve"> </w:t>
      </w:r>
    </w:p>
    <w:p w:rsidR="00F24CFC" w:rsidRPr="00DE1431" w:rsidP="00F24CFC" w14:paraId="5A39144F" w14:textId="64F547C9">
      <w:pPr>
        <w:pStyle w:val="ListParagraph"/>
        <w:numPr>
          <w:ilvl w:val="0"/>
          <w:numId w:val="17"/>
        </w:numPr>
      </w:pPr>
      <w:r w:rsidRPr="00DE1431">
        <w:t xml:space="preserve">Will interviewers or facilitators be used?  [] </w:t>
      </w:r>
      <w:r w:rsidRPr="00DE1431">
        <w:t>Yes</w:t>
      </w:r>
      <w:r w:rsidRPr="00DE1431">
        <w:t xml:space="preserve"> [</w:t>
      </w:r>
      <w:r w:rsidR="009D16BF">
        <w:t>X</w:t>
      </w:r>
      <w:r w:rsidRPr="00DE1431">
        <w:t>] No</w:t>
      </w:r>
    </w:p>
    <w:p w:rsidR="00F24CFC" w:rsidRPr="00DE1431" w:rsidP="00F24CFC" w14:paraId="5ACCEE52" w14:textId="77777777">
      <w:pPr>
        <w:pStyle w:val="ListParagraph"/>
        <w:ind w:left="360"/>
      </w:pPr>
      <w:r w:rsidRPr="00DE1431">
        <w:t xml:space="preserve"> </w:t>
      </w:r>
    </w:p>
    <w:p w:rsidR="00F24CFC" w:rsidRPr="00DE1431" w:rsidP="00F24CFC" w14:paraId="02DF9A02" w14:textId="77777777">
      <w:pPr>
        <w:pStyle w:val="ListParagraph"/>
        <w:ind w:left="360"/>
      </w:pPr>
    </w:p>
    <w:p w:rsidR="005E714A" w:rsidRPr="00DE1431" w:rsidP="008228C3" w14:paraId="5723E683"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174F1ABE" w14:textId="77777777">
      <w:pPr>
        <w:rPr>
          <w:b/>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D3D195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DD9151C"/>
    <w:multiLevelType w:val="hybridMultilevel"/>
    <w:tmpl w:val="B3881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F43F67"/>
    <w:multiLevelType w:val="hybridMultilevel"/>
    <w:tmpl w:val="944A6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5DE6823"/>
    <w:multiLevelType w:val="hybridMultilevel"/>
    <w:tmpl w:val="2E8874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435491"/>
    <w:multiLevelType w:val="hybridMultilevel"/>
    <w:tmpl w:val="5E2E9914"/>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hAnsi="Times New Roman" w:eastAsiaTheme="minorEastAsia"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7827C6"/>
    <w:multiLevelType w:val="hybridMultilevel"/>
    <w:tmpl w:val="BFC80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E57302E"/>
    <w:multiLevelType w:val="hybridMultilevel"/>
    <w:tmpl w:val="FF4817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2247624">
    <w:abstractNumId w:val="12"/>
  </w:num>
  <w:num w:numId="2" w16cid:durableId="30344304">
    <w:abstractNumId w:val="23"/>
  </w:num>
  <w:num w:numId="3" w16cid:durableId="1889761276">
    <w:abstractNumId w:val="22"/>
  </w:num>
  <w:num w:numId="4" w16cid:durableId="1051609190">
    <w:abstractNumId w:val="25"/>
  </w:num>
  <w:num w:numId="5" w16cid:durableId="578708541">
    <w:abstractNumId w:val="4"/>
  </w:num>
  <w:num w:numId="6" w16cid:durableId="1097798292">
    <w:abstractNumId w:val="1"/>
  </w:num>
  <w:num w:numId="7" w16cid:durableId="2037189684">
    <w:abstractNumId w:val="10"/>
  </w:num>
  <w:num w:numId="8" w16cid:durableId="1437991284">
    <w:abstractNumId w:val="20"/>
  </w:num>
  <w:num w:numId="9" w16cid:durableId="1836994585">
    <w:abstractNumId w:val="11"/>
  </w:num>
  <w:num w:numId="10" w16cid:durableId="661588482">
    <w:abstractNumId w:val="2"/>
  </w:num>
  <w:num w:numId="11" w16cid:durableId="360404613">
    <w:abstractNumId w:val="7"/>
  </w:num>
  <w:num w:numId="12" w16cid:durableId="54359884">
    <w:abstractNumId w:val="8"/>
  </w:num>
  <w:num w:numId="13" w16cid:durableId="1960986878">
    <w:abstractNumId w:val="0"/>
  </w:num>
  <w:num w:numId="14" w16cid:durableId="161311224">
    <w:abstractNumId w:val="21"/>
  </w:num>
  <w:num w:numId="15" w16cid:durableId="180508820">
    <w:abstractNumId w:val="19"/>
  </w:num>
  <w:num w:numId="16" w16cid:durableId="1647708723">
    <w:abstractNumId w:val="14"/>
  </w:num>
  <w:num w:numId="17" w16cid:durableId="172108734">
    <w:abstractNumId w:val="5"/>
  </w:num>
  <w:num w:numId="18" w16cid:durableId="1574703608">
    <w:abstractNumId w:val="6"/>
  </w:num>
  <w:num w:numId="19" w16cid:durableId="158011281">
    <w:abstractNumId w:val="3"/>
  </w:num>
  <w:num w:numId="20" w16cid:durableId="1473716094">
    <w:abstractNumId w:val="13"/>
  </w:num>
  <w:num w:numId="21" w16cid:durableId="1242760244">
    <w:abstractNumId w:val="24"/>
  </w:num>
  <w:num w:numId="22" w16cid:durableId="986471802">
    <w:abstractNumId w:val="17"/>
  </w:num>
  <w:num w:numId="23" w16cid:durableId="520779102">
    <w:abstractNumId w:val="18"/>
  </w:num>
  <w:num w:numId="24" w16cid:durableId="1283918748">
    <w:abstractNumId w:val="16"/>
  </w:num>
  <w:num w:numId="25" w16cid:durableId="75369327">
    <w:abstractNumId w:val="9"/>
  </w:num>
  <w:num w:numId="26" w16cid:durableId="107357191">
    <w:abstractNumId w:val="15"/>
  </w:num>
  <w:num w:numId="27" w16cid:durableId="354717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504"/>
    <w:rsid w:val="00047A64"/>
    <w:rsid w:val="00067329"/>
    <w:rsid w:val="00093D40"/>
    <w:rsid w:val="000B2838"/>
    <w:rsid w:val="000B44E6"/>
    <w:rsid w:val="000C4D31"/>
    <w:rsid w:val="000C6A89"/>
    <w:rsid w:val="000D44CA"/>
    <w:rsid w:val="000E200B"/>
    <w:rsid w:val="000F68BE"/>
    <w:rsid w:val="0010258F"/>
    <w:rsid w:val="0010488D"/>
    <w:rsid w:val="00147EB2"/>
    <w:rsid w:val="00151624"/>
    <w:rsid w:val="0017640C"/>
    <w:rsid w:val="00191B02"/>
    <w:rsid w:val="001927A4"/>
    <w:rsid w:val="00194AC6"/>
    <w:rsid w:val="001A23B0"/>
    <w:rsid w:val="001A25CC"/>
    <w:rsid w:val="001B0AAA"/>
    <w:rsid w:val="001C39F7"/>
    <w:rsid w:val="001E142E"/>
    <w:rsid w:val="001E1D30"/>
    <w:rsid w:val="001F39E4"/>
    <w:rsid w:val="0020352D"/>
    <w:rsid w:val="00207A53"/>
    <w:rsid w:val="00220747"/>
    <w:rsid w:val="0023025C"/>
    <w:rsid w:val="00237B48"/>
    <w:rsid w:val="0024521E"/>
    <w:rsid w:val="0025468A"/>
    <w:rsid w:val="00263C3D"/>
    <w:rsid w:val="00264A57"/>
    <w:rsid w:val="00274D0B"/>
    <w:rsid w:val="00292D34"/>
    <w:rsid w:val="00296338"/>
    <w:rsid w:val="002B052D"/>
    <w:rsid w:val="002B34CD"/>
    <w:rsid w:val="002B3C95"/>
    <w:rsid w:val="002D0B92"/>
    <w:rsid w:val="002E4373"/>
    <w:rsid w:val="002F6636"/>
    <w:rsid w:val="00334228"/>
    <w:rsid w:val="00335D7B"/>
    <w:rsid w:val="00342553"/>
    <w:rsid w:val="003551C0"/>
    <w:rsid w:val="003C641A"/>
    <w:rsid w:val="003D5BBE"/>
    <w:rsid w:val="003E12D8"/>
    <w:rsid w:val="003E3C61"/>
    <w:rsid w:val="003F1C5B"/>
    <w:rsid w:val="003F393F"/>
    <w:rsid w:val="0041242E"/>
    <w:rsid w:val="00434E33"/>
    <w:rsid w:val="00441434"/>
    <w:rsid w:val="0045264C"/>
    <w:rsid w:val="00462E26"/>
    <w:rsid w:val="00484CC5"/>
    <w:rsid w:val="004876EC"/>
    <w:rsid w:val="00495E1F"/>
    <w:rsid w:val="004D6E14"/>
    <w:rsid w:val="005009B0"/>
    <w:rsid w:val="00511CA6"/>
    <w:rsid w:val="0052005B"/>
    <w:rsid w:val="005236BD"/>
    <w:rsid w:val="00545359"/>
    <w:rsid w:val="00546690"/>
    <w:rsid w:val="005838EE"/>
    <w:rsid w:val="005A1006"/>
    <w:rsid w:val="005C5109"/>
    <w:rsid w:val="005D5192"/>
    <w:rsid w:val="005E714A"/>
    <w:rsid w:val="005F693D"/>
    <w:rsid w:val="006140A0"/>
    <w:rsid w:val="006200F4"/>
    <w:rsid w:val="00623346"/>
    <w:rsid w:val="00636621"/>
    <w:rsid w:val="00642B49"/>
    <w:rsid w:val="00646E1C"/>
    <w:rsid w:val="00647795"/>
    <w:rsid w:val="00667FC8"/>
    <w:rsid w:val="006832D9"/>
    <w:rsid w:val="006921F3"/>
    <w:rsid w:val="0069403B"/>
    <w:rsid w:val="006A1518"/>
    <w:rsid w:val="006A6030"/>
    <w:rsid w:val="006A7783"/>
    <w:rsid w:val="006C524E"/>
    <w:rsid w:val="006D1FA8"/>
    <w:rsid w:val="006F3DDE"/>
    <w:rsid w:val="00704678"/>
    <w:rsid w:val="00721F62"/>
    <w:rsid w:val="00730611"/>
    <w:rsid w:val="007425E7"/>
    <w:rsid w:val="00771B6F"/>
    <w:rsid w:val="0077246E"/>
    <w:rsid w:val="007C30DE"/>
    <w:rsid w:val="007D2DB2"/>
    <w:rsid w:val="007E2171"/>
    <w:rsid w:val="007F7080"/>
    <w:rsid w:val="00802607"/>
    <w:rsid w:val="008047A9"/>
    <w:rsid w:val="008101A5"/>
    <w:rsid w:val="00811039"/>
    <w:rsid w:val="00816341"/>
    <w:rsid w:val="00822664"/>
    <w:rsid w:val="008228C3"/>
    <w:rsid w:val="0082541A"/>
    <w:rsid w:val="00843796"/>
    <w:rsid w:val="00846A23"/>
    <w:rsid w:val="00895229"/>
    <w:rsid w:val="008B049B"/>
    <w:rsid w:val="008B2EB3"/>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6C3B"/>
    <w:rsid w:val="009A6F3E"/>
    <w:rsid w:val="009C13B9"/>
    <w:rsid w:val="009D01A2"/>
    <w:rsid w:val="009D16BF"/>
    <w:rsid w:val="009D7483"/>
    <w:rsid w:val="009F5923"/>
    <w:rsid w:val="00A04D8C"/>
    <w:rsid w:val="00A05814"/>
    <w:rsid w:val="00A358FE"/>
    <w:rsid w:val="00A403BB"/>
    <w:rsid w:val="00A427DE"/>
    <w:rsid w:val="00A674DF"/>
    <w:rsid w:val="00A83AA6"/>
    <w:rsid w:val="00A934D6"/>
    <w:rsid w:val="00AA6374"/>
    <w:rsid w:val="00AB5B0F"/>
    <w:rsid w:val="00AE1809"/>
    <w:rsid w:val="00B131C8"/>
    <w:rsid w:val="00B30429"/>
    <w:rsid w:val="00B34C70"/>
    <w:rsid w:val="00B41076"/>
    <w:rsid w:val="00B80D76"/>
    <w:rsid w:val="00B824F4"/>
    <w:rsid w:val="00BA0A36"/>
    <w:rsid w:val="00BA2105"/>
    <w:rsid w:val="00BA7E06"/>
    <w:rsid w:val="00BB43B5"/>
    <w:rsid w:val="00BB6219"/>
    <w:rsid w:val="00BD290F"/>
    <w:rsid w:val="00BD78CA"/>
    <w:rsid w:val="00C14CC4"/>
    <w:rsid w:val="00C33C52"/>
    <w:rsid w:val="00C40D8B"/>
    <w:rsid w:val="00C4314A"/>
    <w:rsid w:val="00C4747E"/>
    <w:rsid w:val="00C51D51"/>
    <w:rsid w:val="00C52C54"/>
    <w:rsid w:val="00C57479"/>
    <w:rsid w:val="00C61393"/>
    <w:rsid w:val="00C72681"/>
    <w:rsid w:val="00C8407A"/>
    <w:rsid w:val="00C84100"/>
    <w:rsid w:val="00C8488C"/>
    <w:rsid w:val="00C86E91"/>
    <w:rsid w:val="00C9140D"/>
    <w:rsid w:val="00CA2650"/>
    <w:rsid w:val="00CB1078"/>
    <w:rsid w:val="00CC0238"/>
    <w:rsid w:val="00CC6FAF"/>
    <w:rsid w:val="00CE4B74"/>
    <w:rsid w:val="00CE5BEF"/>
    <w:rsid w:val="00CF6542"/>
    <w:rsid w:val="00D1575A"/>
    <w:rsid w:val="00D22933"/>
    <w:rsid w:val="00D24698"/>
    <w:rsid w:val="00D428A1"/>
    <w:rsid w:val="00D57300"/>
    <w:rsid w:val="00D6383F"/>
    <w:rsid w:val="00D86DC0"/>
    <w:rsid w:val="00DB59D0"/>
    <w:rsid w:val="00DC33D3"/>
    <w:rsid w:val="00DC7ADE"/>
    <w:rsid w:val="00DE1431"/>
    <w:rsid w:val="00DE36F7"/>
    <w:rsid w:val="00DF5E90"/>
    <w:rsid w:val="00E211C6"/>
    <w:rsid w:val="00E26329"/>
    <w:rsid w:val="00E40B50"/>
    <w:rsid w:val="00E50293"/>
    <w:rsid w:val="00E624FB"/>
    <w:rsid w:val="00E65FFC"/>
    <w:rsid w:val="00E744EA"/>
    <w:rsid w:val="00E80951"/>
    <w:rsid w:val="00E86CC6"/>
    <w:rsid w:val="00EA0B6D"/>
    <w:rsid w:val="00EB56B3"/>
    <w:rsid w:val="00ED3CE5"/>
    <w:rsid w:val="00ED4F60"/>
    <w:rsid w:val="00ED6492"/>
    <w:rsid w:val="00EE1A1A"/>
    <w:rsid w:val="00EF2095"/>
    <w:rsid w:val="00F06866"/>
    <w:rsid w:val="00F15956"/>
    <w:rsid w:val="00F24CFC"/>
    <w:rsid w:val="00F3170F"/>
    <w:rsid w:val="00F51AC7"/>
    <w:rsid w:val="00F7764F"/>
    <w:rsid w:val="00F81F4E"/>
    <w:rsid w:val="00F976B0"/>
    <w:rsid w:val="00FA6DE7"/>
    <w:rsid w:val="00FC0A8E"/>
    <w:rsid w:val="00FD0A84"/>
    <w:rsid w:val="00FE2FA6"/>
    <w:rsid w:val="00FE3DF2"/>
    <w:rsid w:val="0A9FDA8C"/>
    <w:rsid w:val="0B834C79"/>
    <w:rsid w:val="50DE7FEF"/>
    <w:rsid w:val="7C90ED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BC1F4"/>
  <w15:docId w15:val="{3D05DA31-0AE4-410C-962C-1B9D3EA1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link w:val="BodyTextChar"/>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 w:type="paragraph" w:styleId="BodyTextFirstIndent">
    <w:name w:val="Body Text First Indent"/>
    <w:basedOn w:val="BodyText"/>
    <w:link w:val="BodyTextFirstIndentChar"/>
    <w:rsid w:val="009D7483"/>
    <w:pPr>
      <w:widowControl/>
      <w:spacing w:after="120"/>
      <w:ind w:firstLine="210"/>
    </w:pPr>
    <w:rPr>
      <w:i w:val="0"/>
      <w:iCs w:val="0"/>
      <w:snapToGrid/>
      <w:sz w:val="24"/>
      <w:szCs w:val="24"/>
    </w:rPr>
  </w:style>
  <w:style w:type="character" w:customStyle="1" w:styleId="BodyTextChar">
    <w:name w:val="Body Text Char"/>
    <w:basedOn w:val="DefaultParagraphFont"/>
    <w:link w:val="BodyText"/>
    <w:rsid w:val="009D7483"/>
    <w:rPr>
      <w:i/>
      <w:iCs/>
      <w:snapToGrid w:val="0"/>
    </w:rPr>
  </w:style>
  <w:style w:type="character" w:customStyle="1" w:styleId="BodyTextFirstIndentChar">
    <w:name w:val="Body Text First Indent Char"/>
    <w:basedOn w:val="BodyTextChar"/>
    <w:link w:val="BodyTextFirstIndent"/>
    <w:rsid w:val="009D7483"/>
    <w:rPr>
      <w:i w:val="0"/>
      <w:iCs w:val="0"/>
      <w:snapToGrid/>
      <w:sz w:val="24"/>
      <w:szCs w:val="24"/>
    </w:rPr>
  </w:style>
  <w:style w:type="character" w:styleId="FootnoteReference">
    <w:name w:val="footnote reference"/>
    <w:uiPriority w:val="99"/>
    <w:rsid w:val="00151624"/>
    <w:rPr>
      <w:vertAlign w:val="superscript"/>
    </w:rPr>
  </w:style>
  <w:style w:type="paragraph" w:styleId="FootnoteText">
    <w:name w:val="footnote text"/>
    <w:aliases w:val="Footnote Text Char Char,Footnote Text Char Char Char Char,Footnote Text-no space"/>
    <w:basedOn w:val="Normal"/>
    <w:link w:val="FootnoteTextChar"/>
    <w:uiPriority w:val="99"/>
    <w:unhideWhenUsed/>
    <w:qFormat/>
    <w:rsid w:val="00151624"/>
    <w:rPr>
      <w:rFonts w:ascii="Calibri" w:eastAsia="MS Mincho" w:hAnsi="Calibri" w:cs="Arial"/>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151624"/>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629836F0D9584CA1B19164E1AC1BAA" ma:contentTypeVersion="3" ma:contentTypeDescription="Create a new document." ma:contentTypeScope="" ma:versionID="c3b1c221d547cdd42b6812292ae6b1f7">
  <xsd:schema xmlns:xsd="http://www.w3.org/2001/XMLSchema" xmlns:xs="http://www.w3.org/2001/XMLSchema" xmlns:p="http://schemas.microsoft.com/office/2006/metadata/properties" xmlns:ns2="df58bf08-73f3-4a3a-ac30-de1024a7178a" targetNamespace="http://schemas.microsoft.com/office/2006/metadata/properties" ma:root="true" ma:fieldsID="f72ad62a327d782dbe5154d64612fa68" ns2:_="">
    <xsd:import namespace="df58bf08-73f3-4a3a-ac30-de1024a717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8bf08-73f3-4a3a-ac30-de1024a71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0CDF6-47A3-45D1-A97E-B351E79CBB2F}">
  <ds:schemaRefs>
    <ds:schemaRef ds:uri="http://schemas.openxmlformats.org/officeDocument/2006/bibliography"/>
  </ds:schemaRefs>
</ds:datastoreItem>
</file>

<file path=customXml/itemProps2.xml><?xml version="1.0" encoding="utf-8"?>
<ds:datastoreItem xmlns:ds="http://schemas.openxmlformats.org/officeDocument/2006/customXml" ds:itemID="{EDDCB2B1-4D8B-49CF-BB8C-2F3D7ACE15E7}">
  <ds:schemaRefs>
    <ds:schemaRef ds:uri="http://schemas.microsoft.com/sharepoint/v3/contenttype/forms"/>
  </ds:schemaRefs>
</ds:datastoreItem>
</file>

<file path=customXml/itemProps3.xml><?xml version="1.0" encoding="utf-8"?>
<ds:datastoreItem xmlns:ds="http://schemas.openxmlformats.org/officeDocument/2006/customXml" ds:itemID="{CDBB6027-2F33-41C6-86E8-83A93286F6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BB5A38-C5AB-428A-992D-D58F5EAB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8bf08-73f3-4a3a-ac30-de1024a71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5684</Characters>
  <Application>Microsoft Office Word</Application>
  <DocSecurity>0</DocSecurity>
  <Lines>47</Lines>
  <Paragraphs>13</Paragraphs>
  <ScaleCrop>false</ScaleCrop>
  <Company>ssa</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Seo-Park, Rachel (OJP)</cp:lastModifiedBy>
  <cp:revision>2</cp:revision>
  <cp:lastPrinted>2019-10-28T14:28:00Z</cp:lastPrinted>
  <dcterms:created xsi:type="dcterms:W3CDTF">2026-01-15T17:59:00Z</dcterms:created>
  <dcterms:modified xsi:type="dcterms:W3CDTF">2026-01-15T17:59:00Z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0x010100EB629836F0D9584CA1B19164E1AC1BAA</vt:lpwstr>
  </property>
  <property fmtid="{D5CDD505-2E9C-101B-9397-08002B2CF9AE}" pid="3" name="_NewReviewCycle">
    <vt:lpwstr/>
  </property>
</Properties>
</file>